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EC5B8" w14:textId="38D759D5" w:rsidR="00BC0147" w:rsidRPr="00FF75A4" w:rsidRDefault="001D2206" w:rsidP="001D2206">
      <w:pPr>
        <w:pStyle w:val="Pagedecouverture"/>
        <w:rPr>
          <w:noProof/>
        </w:rPr>
      </w:pPr>
      <w:r>
        <w:rPr>
          <w:noProof/>
        </w:rPr>
        <w:pict w14:anchorId="4E5B1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6FF5A1AE-77D1-4529-A063-FC5B763347AF" style="width:455.25pt;height:387.75pt">
            <v:imagedata r:id="rId10" o:title=""/>
          </v:shape>
        </w:pict>
      </w:r>
    </w:p>
    <w:p w14:paraId="72A3F7B0" w14:textId="77777777" w:rsidR="00BC0147" w:rsidRPr="00FF75A4" w:rsidRDefault="00BC0147" w:rsidP="00BC0147">
      <w:pPr>
        <w:rPr>
          <w:noProof/>
        </w:rPr>
        <w:sectPr w:rsidR="00BC0147" w:rsidRPr="00FF75A4" w:rsidSect="001D2206">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pgNumType w:start="0"/>
          <w:cols w:space="720"/>
          <w:docGrid w:linePitch="360"/>
        </w:sectPr>
      </w:pPr>
    </w:p>
    <w:p w14:paraId="1761FE98" w14:textId="77777777" w:rsidR="00BC0147" w:rsidRPr="00FF75A4" w:rsidRDefault="00BC0147" w:rsidP="00BC0147">
      <w:pPr>
        <w:pStyle w:val="Annexetitre"/>
        <w:rPr>
          <w:noProof/>
        </w:rPr>
      </w:pPr>
      <w:bookmarkStart w:id="0" w:name="_GoBack"/>
      <w:bookmarkEnd w:id="0"/>
      <w:r w:rsidRPr="00FF75A4">
        <w:rPr>
          <w:noProof/>
        </w:rPr>
        <w:lastRenderedPageBreak/>
        <w:t>ПРИЛОЖЕНИЕ I</w:t>
      </w:r>
    </w:p>
    <w:p w14:paraId="2570D72D" w14:textId="77777777" w:rsidR="00BC0147" w:rsidRPr="00FF75A4" w:rsidRDefault="00BC0147" w:rsidP="00BC0147">
      <w:pPr>
        <w:rPr>
          <w:noProof/>
        </w:rPr>
      </w:pPr>
    </w:p>
    <w:p w14:paraId="74FB9789" w14:textId="77777777" w:rsidR="00BC0147" w:rsidRPr="00FF75A4" w:rsidRDefault="00BC0147" w:rsidP="00BC0147">
      <w:pPr>
        <w:rPr>
          <w:noProof/>
        </w:rPr>
      </w:pPr>
      <w:r w:rsidRPr="00FF75A4">
        <w:rPr>
          <w:noProof/>
        </w:rPr>
        <w:t>„</w:t>
      </w:r>
      <w:r w:rsidRPr="00FF75A4">
        <w:rPr>
          <w:b/>
          <w:noProof/>
        </w:rPr>
        <w:t>I. Рисков профил на корабите</w:t>
      </w:r>
    </w:p>
    <w:p w14:paraId="72F159D4" w14:textId="77777777" w:rsidR="00BC0147" w:rsidRPr="00FF75A4" w:rsidRDefault="00BC0147" w:rsidP="00BC0147">
      <w:pPr>
        <w:rPr>
          <w:noProof/>
        </w:rPr>
      </w:pPr>
      <w:r w:rsidRPr="00FF75A4">
        <w:rPr>
          <w:noProof/>
        </w:rPr>
        <w:t>Рисковият профил на даден кораб се определя чрез съчетание от следните: общи параметри, параметри, свързани с историята на кораба, и параметри на околната среда.</w:t>
      </w:r>
    </w:p>
    <w:p w14:paraId="30100BFC" w14:textId="77777777" w:rsidR="00BC0147" w:rsidRPr="00FF75A4" w:rsidRDefault="00BC0147" w:rsidP="00BC0147">
      <w:pPr>
        <w:rPr>
          <w:b/>
          <w:noProof/>
        </w:rPr>
      </w:pPr>
      <w:r w:rsidRPr="00FF75A4">
        <w:rPr>
          <w:b/>
          <w:noProof/>
        </w:rPr>
        <w:t>1. Общи параметри</w:t>
      </w:r>
    </w:p>
    <w:p w14:paraId="72A880A9" w14:textId="52ECEEF7" w:rsidR="00BC0147" w:rsidRPr="00FF75A4" w:rsidRDefault="00ED557B" w:rsidP="00ED557B">
      <w:pPr>
        <w:pStyle w:val="Point0"/>
        <w:rPr>
          <w:noProof/>
        </w:rPr>
      </w:pPr>
      <w:r>
        <w:rPr>
          <w:noProof/>
        </w:rPr>
        <w:t>а)</w:t>
      </w:r>
      <w:r w:rsidRPr="00ED557B">
        <w:rPr>
          <w:noProof/>
        </w:rPr>
        <w:tab/>
      </w:r>
      <w:r w:rsidR="00BC0147" w:rsidRPr="00FF75A4">
        <w:rPr>
          <w:noProof/>
        </w:rPr>
        <w:t>Вид на кораба</w:t>
      </w:r>
    </w:p>
    <w:p w14:paraId="455CC37D" w14:textId="77777777" w:rsidR="00BC0147" w:rsidRPr="00FF75A4" w:rsidRDefault="00BC0147" w:rsidP="00BC0147">
      <w:pPr>
        <w:pStyle w:val="Point1"/>
        <w:ind w:left="850" w:firstLine="0"/>
        <w:rPr>
          <w:noProof/>
        </w:rPr>
      </w:pPr>
      <w:r w:rsidRPr="00FF75A4">
        <w:rPr>
          <w:noProof/>
        </w:rPr>
        <w:t>За пътнически кораби, нефтени танкери, химикаловози, газовози и кораби за насипни товари, се счита, че представляват повишен риск.</w:t>
      </w:r>
    </w:p>
    <w:p w14:paraId="12C46210" w14:textId="2F195A4E" w:rsidR="00BC0147" w:rsidRPr="00FF75A4" w:rsidRDefault="00ED557B" w:rsidP="00ED557B">
      <w:pPr>
        <w:pStyle w:val="Point0"/>
        <w:rPr>
          <w:noProof/>
        </w:rPr>
      </w:pPr>
      <w:r>
        <w:rPr>
          <w:noProof/>
        </w:rPr>
        <w:t>б)</w:t>
      </w:r>
      <w:r w:rsidRPr="00ED557B">
        <w:rPr>
          <w:noProof/>
        </w:rPr>
        <w:tab/>
      </w:r>
      <w:r w:rsidR="00BC0147" w:rsidRPr="00FF75A4">
        <w:rPr>
          <w:noProof/>
        </w:rPr>
        <w:t>Възраст на кораба</w:t>
      </w:r>
    </w:p>
    <w:p w14:paraId="12F2B683" w14:textId="77777777" w:rsidR="00BC0147" w:rsidRPr="00FF75A4" w:rsidRDefault="00BC0147" w:rsidP="00BC0147">
      <w:pPr>
        <w:pStyle w:val="Point1"/>
        <w:rPr>
          <w:noProof/>
        </w:rPr>
      </w:pPr>
      <w:r w:rsidRPr="00FF75A4">
        <w:rPr>
          <w:noProof/>
        </w:rPr>
        <w:t>За корабите на повече от 12 години се смята, че представляват повишен риск.</w:t>
      </w:r>
    </w:p>
    <w:p w14:paraId="045089FF" w14:textId="48E7345E" w:rsidR="00BC0147" w:rsidRPr="00FF75A4" w:rsidRDefault="00ED557B" w:rsidP="00ED557B">
      <w:pPr>
        <w:pStyle w:val="Point0"/>
        <w:rPr>
          <w:noProof/>
        </w:rPr>
      </w:pPr>
      <w:r>
        <w:rPr>
          <w:noProof/>
        </w:rPr>
        <w:t>в)</w:t>
      </w:r>
      <w:r w:rsidRPr="00ED557B">
        <w:rPr>
          <w:noProof/>
        </w:rPr>
        <w:tab/>
      </w:r>
      <w:r w:rsidR="00BC0147" w:rsidRPr="00FF75A4">
        <w:rPr>
          <w:noProof/>
        </w:rPr>
        <w:t>Показатели на държавата на знамето</w:t>
      </w:r>
    </w:p>
    <w:p w14:paraId="20CABD47" w14:textId="77777777" w:rsidR="00BC0147" w:rsidRPr="00FF75A4" w:rsidRDefault="00BC0147" w:rsidP="00BC0147">
      <w:pPr>
        <w:pStyle w:val="Point1"/>
        <w:rPr>
          <w:noProof/>
        </w:rPr>
      </w:pPr>
      <w:r w:rsidRPr="00FF75A4">
        <w:rPr>
          <w:noProof/>
        </w:rPr>
        <w:t>i)</w:t>
      </w:r>
      <w:r w:rsidRPr="00FF75A4">
        <w:rPr>
          <w:noProof/>
        </w:rPr>
        <w:tab/>
        <w:t>Счита се, че корабите, плаващи под знамето на държава с голям брой задържания в рамките на Общността и в региона на Парижкия МР, представляват повишен риск.</w:t>
      </w:r>
    </w:p>
    <w:p w14:paraId="1CCC04C4" w14:textId="77777777" w:rsidR="00BC0147" w:rsidRPr="00FF75A4" w:rsidRDefault="00BC0147" w:rsidP="00BC0147">
      <w:pPr>
        <w:pStyle w:val="Point1"/>
        <w:rPr>
          <w:noProof/>
        </w:rPr>
      </w:pPr>
      <w:r w:rsidRPr="00FF75A4">
        <w:rPr>
          <w:noProof/>
        </w:rPr>
        <w:t>ii)</w:t>
      </w:r>
      <w:r w:rsidRPr="00FF75A4">
        <w:rPr>
          <w:noProof/>
        </w:rPr>
        <w:tab/>
        <w:t>Счита се, че корабите, плаващи под знамето на държава с малък брой задържания в рамките на Общността и в региона на Парижкия МР, представляват понижен риск.</w:t>
      </w:r>
    </w:p>
    <w:p w14:paraId="59DFA0FA" w14:textId="77777777" w:rsidR="00BC0147" w:rsidRPr="00FF75A4" w:rsidRDefault="00BC0147" w:rsidP="00BC0147">
      <w:pPr>
        <w:pStyle w:val="Point1"/>
        <w:rPr>
          <w:noProof/>
        </w:rPr>
      </w:pPr>
      <w:r w:rsidRPr="00FF75A4">
        <w:rPr>
          <w:noProof/>
        </w:rPr>
        <w:t>iii)</w:t>
      </w:r>
      <w:r w:rsidRPr="00FF75A4">
        <w:rPr>
          <w:noProof/>
        </w:rPr>
        <w:tab/>
        <w:t>Счита се, че корабите, плаващи под знамето на държава, която е ратифицирала всички задължителни актове на ММО, изброени в член 2, параграф 1, представляват понижен риск. Веднага след като са приети мерките по член 10, параграф 3, държавата на знамето на такъв кораб демонстрира, че спазва изискванията на Кодекса за прилагане на задължителните актове на ММО.</w:t>
      </w:r>
    </w:p>
    <w:p w14:paraId="732F857D" w14:textId="77777777" w:rsidR="00BC0147" w:rsidRPr="00FF75A4" w:rsidRDefault="00BC0147" w:rsidP="00BC0147">
      <w:pPr>
        <w:pStyle w:val="Point1"/>
        <w:rPr>
          <w:noProof/>
        </w:rPr>
      </w:pPr>
      <w:r w:rsidRPr="00FF75A4">
        <w:rPr>
          <w:noProof/>
        </w:rPr>
        <w:t>iv)</w:t>
      </w:r>
      <w:r w:rsidRPr="00FF75A4">
        <w:rPr>
          <w:noProof/>
        </w:rPr>
        <w:tab/>
        <w:t>Кораби, плаващи под знамето на държава, която е предоставила електронни версии на задължителните свидетелства, посочени в точки 1—XX от приложение IV.</w:t>
      </w:r>
    </w:p>
    <w:p w14:paraId="0120F11E" w14:textId="572008A1" w:rsidR="00BC0147" w:rsidRPr="00FF75A4" w:rsidRDefault="00ED557B" w:rsidP="00ED557B">
      <w:pPr>
        <w:pStyle w:val="Point0"/>
        <w:rPr>
          <w:noProof/>
        </w:rPr>
      </w:pPr>
      <w:r>
        <w:rPr>
          <w:noProof/>
        </w:rPr>
        <w:t>г)</w:t>
      </w:r>
      <w:r w:rsidRPr="00ED557B">
        <w:rPr>
          <w:noProof/>
        </w:rPr>
        <w:tab/>
      </w:r>
      <w:r w:rsidR="00BC0147" w:rsidRPr="00FF75A4">
        <w:rPr>
          <w:noProof/>
        </w:rPr>
        <w:t>Признати организации</w:t>
      </w:r>
    </w:p>
    <w:p w14:paraId="67CEC42B" w14:textId="77777777" w:rsidR="00BC0147" w:rsidRPr="00FF75A4" w:rsidRDefault="00BC0147" w:rsidP="00BC0147">
      <w:pPr>
        <w:pStyle w:val="Point1"/>
        <w:rPr>
          <w:noProof/>
        </w:rPr>
      </w:pPr>
      <w:r w:rsidRPr="00FF75A4">
        <w:rPr>
          <w:noProof/>
        </w:rPr>
        <w:t>i)</w:t>
      </w:r>
      <w:r w:rsidRPr="00FF75A4">
        <w:rPr>
          <w:noProof/>
        </w:rPr>
        <w:tab/>
        <w:t>Счита се, че корабите, на които са издадени свидетелства от признати организации с ниски или много ниски показатели за брой задържания в рамките на Общността и в региона на Парижкия МР, представляват повишен риск.</w:t>
      </w:r>
    </w:p>
    <w:p w14:paraId="02488F46" w14:textId="77777777" w:rsidR="00BC0147" w:rsidRPr="00FF75A4" w:rsidRDefault="00BC0147" w:rsidP="00BC0147">
      <w:pPr>
        <w:pStyle w:val="Point1"/>
        <w:rPr>
          <w:noProof/>
        </w:rPr>
      </w:pPr>
      <w:r w:rsidRPr="00FF75A4">
        <w:rPr>
          <w:noProof/>
        </w:rPr>
        <w:t>ii)</w:t>
      </w:r>
      <w:r w:rsidRPr="00FF75A4">
        <w:rPr>
          <w:noProof/>
        </w:rPr>
        <w:tab/>
        <w:t>Счита се, че корабите, на които са издадени свидетелства от признати организации с високи показатели за брой задържания в рамките на Общността и в региона на Парижкия МР, представляват понижен риск.</w:t>
      </w:r>
    </w:p>
    <w:p w14:paraId="34AD33B7" w14:textId="77777777" w:rsidR="00BC0147" w:rsidRPr="00FF75A4" w:rsidRDefault="00BC0147" w:rsidP="00BC0147">
      <w:pPr>
        <w:pStyle w:val="Point1"/>
        <w:rPr>
          <w:noProof/>
        </w:rPr>
      </w:pPr>
      <w:r w:rsidRPr="00FF75A4">
        <w:rPr>
          <w:noProof/>
        </w:rPr>
        <w:t>iii)</w:t>
      </w:r>
      <w:r w:rsidRPr="00FF75A4">
        <w:rPr>
          <w:noProof/>
        </w:rPr>
        <w:tab/>
        <w:t>Корабите, на които са издадени свидетелства от организации, признати съгласно условията на Регламент (ЕО) № 391/2009.</w:t>
      </w:r>
    </w:p>
    <w:p w14:paraId="73A5D1AA" w14:textId="4F9938F4" w:rsidR="00BC0147" w:rsidRPr="00FF75A4" w:rsidRDefault="00ED557B" w:rsidP="00ED557B">
      <w:pPr>
        <w:pStyle w:val="Point0"/>
        <w:rPr>
          <w:noProof/>
        </w:rPr>
      </w:pPr>
      <w:r>
        <w:rPr>
          <w:noProof/>
        </w:rPr>
        <w:t>д)</w:t>
      </w:r>
      <w:r w:rsidRPr="00ED557B">
        <w:rPr>
          <w:noProof/>
        </w:rPr>
        <w:tab/>
      </w:r>
      <w:r w:rsidR="00BC0147" w:rsidRPr="00FF75A4">
        <w:rPr>
          <w:noProof/>
        </w:rPr>
        <w:t>Показатели на компанията</w:t>
      </w:r>
    </w:p>
    <w:p w14:paraId="3B6963F7" w14:textId="77777777" w:rsidR="00BC0147" w:rsidRPr="00FF75A4" w:rsidRDefault="00F9656B" w:rsidP="00F9656B">
      <w:pPr>
        <w:pStyle w:val="Point1"/>
        <w:rPr>
          <w:noProof/>
        </w:rPr>
      </w:pPr>
      <w:r w:rsidRPr="00FF75A4">
        <w:rPr>
          <w:noProof/>
        </w:rPr>
        <w:t>i)</w:t>
      </w:r>
      <w:r w:rsidRPr="00FF75A4">
        <w:rPr>
          <w:noProof/>
        </w:rPr>
        <w:tab/>
        <w:t>Счита се, че корабите на компания с ниски или много ниски показатели, обусловени от броя неизправности и задържания на неговите кораби в рамките на Общността и в региона на Парижкия МР, представляват повишен риск.</w:t>
      </w:r>
    </w:p>
    <w:p w14:paraId="552CC249" w14:textId="77777777" w:rsidR="00BC0147" w:rsidRPr="00FF75A4" w:rsidRDefault="00F9656B" w:rsidP="00F9656B">
      <w:pPr>
        <w:pStyle w:val="Point1"/>
        <w:rPr>
          <w:noProof/>
        </w:rPr>
      </w:pPr>
      <w:r w:rsidRPr="00FF75A4">
        <w:rPr>
          <w:noProof/>
        </w:rPr>
        <w:t>ii)</w:t>
      </w:r>
      <w:r w:rsidRPr="00FF75A4">
        <w:rPr>
          <w:noProof/>
        </w:rPr>
        <w:tab/>
        <w:t>Счита се, че корабите на компания с високи показатели, обусловени от броя неизправности и задържания на неговите кораби в рамките на Общността и в региона на Парижкия МР, представляват понижен риск.</w:t>
      </w:r>
    </w:p>
    <w:p w14:paraId="31265645" w14:textId="1ADB0BA4" w:rsidR="00BC0147" w:rsidRPr="00FF75A4" w:rsidRDefault="00ED557B" w:rsidP="00ED557B">
      <w:pPr>
        <w:pStyle w:val="Point0"/>
        <w:rPr>
          <w:noProof/>
        </w:rPr>
      </w:pPr>
      <w:r>
        <w:rPr>
          <w:noProof/>
        </w:rPr>
        <w:t>е)</w:t>
      </w:r>
      <w:r w:rsidRPr="00ED557B">
        <w:rPr>
          <w:noProof/>
        </w:rPr>
        <w:tab/>
      </w:r>
      <w:r w:rsidR="00BC0147" w:rsidRPr="00FF75A4">
        <w:rPr>
          <w:noProof/>
        </w:rPr>
        <w:t>Параметри, свързани с историята на кораба</w:t>
      </w:r>
    </w:p>
    <w:p w14:paraId="26C85030" w14:textId="77777777" w:rsidR="00BC0147" w:rsidRPr="00FF75A4" w:rsidRDefault="00F9656B" w:rsidP="00F9656B">
      <w:pPr>
        <w:pStyle w:val="Point1"/>
        <w:rPr>
          <w:noProof/>
        </w:rPr>
      </w:pPr>
      <w:r w:rsidRPr="00FF75A4">
        <w:rPr>
          <w:noProof/>
        </w:rPr>
        <w:t>i)</w:t>
      </w:r>
      <w:r w:rsidRPr="00FF75A4">
        <w:rPr>
          <w:noProof/>
        </w:rPr>
        <w:tab/>
        <w:t>Счита се, че корабите, които са били задържани повече от един път, представляват повишен риск.</w:t>
      </w:r>
    </w:p>
    <w:p w14:paraId="6DB900F9" w14:textId="77777777" w:rsidR="00BC0147" w:rsidRPr="00FF75A4" w:rsidRDefault="00F9656B" w:rsidP="00F9656B">
      <w:pPr>
        <w:pStyle w:val="Point1"/>
        <w:rPr>
          <w:noProof/>
        </w:rPr>
      </w:pPr>
      <w:r w:rsidRPr="00FF75A4">
        <w:rPr>
          <w:noProof/>
        </w:rPr>
        <w:t>ii)</w:t>
      </w:r>
      <w:r w:rsidRPr="00FF75A4">
        <w:rPr>
          <w:noProof/>
        </w:rPr>
        <w:tab/>
        <w:t>Счита се, че корабите, които по време на проверка(и), извършена(и) през периода, посочен в приложение II, са имали по-малко на брой неизправности от посоченото в приложение II, представляват понижен риск.</w:t>
      </w:r>
    </w:p>
    <w:p w14:paraId="6D6751DB" w14:textId="77777777" w:rsidR="00BC0147" w:rsidRPr="00FF75A4" w:rsidRDefault="00F9656B" w:rsidP="00F9656B">
      <w:pPr>
        <w:pStyle w:val="Point1"/>
        <w:rPr>
          <w:noProof/>
        </w:rPr>
      </w:pPr>
      <w:r w:rsidRPr="00FF75A4">
        <w:rPr>
          <w:noProof/>
        </w:rPr>
        <w:t>iii)</w:t>
      </w:r>
      <w:r w:rsidRPr="00FF75A4">
        <w:rPr>
          <w:noProof/>
        </w:rPr>
        <w:tab/>
        <w:t>Счита се, че корабите, които не са били задържани през периода, посочен в приложение II, представляват понижен риск.</w:t>
      </w:r>
    </w:p>
    <w:p w14:paraId="2FBC3313" w14:textId="77777777" w:rsidR="00BC0147" w:rsidRPr="00FF75A4" w:rsidRDefault="00BC0147" w:rsidP="00BC0147">
      <w:pPr>
        <w:rPr>
          <w:noProof/>
        </w:rPr>
      </w:pPr>
      <w:r w:rsidRPr="00FF75A4">
        <w:rPr>
          <w:noProof/>
        </w:rPr>
        <w:t>Параметрите на риск се съчетават, като се използва скала за оценка, която отразява относителното влияние на всеки параметър върху цялостния риск на кораба, с цел да се определят следните рискови профили на кораба:</w:t>
      </w:r>
    </w:p>
    <w:p w14:paraId="620024C2" w14:textId="77777777" w:rsidR="00BC0147" w:rsidRPr="00FF75A4" w:rsidRDefault="00BC0147" w:rsidP="00A4190F">
      <w:pPr>
        <w:pStyle w:val="Tiret1"/>
        <w:numPr>
          <w:ilvl w:val="0"/>
          <w:numId w:val="12"/>
        </w:numPr>
        <w:rPr>
          <w:noProof/>
        </w:rPr>
      </w:pPr>
      <w:r w:rsidRPr="00FF75A4">
        <w:rPr>
          <w:noProof/>
        </w:rPr>
        <w:t>повишен риск,</w:t>
      </w:r>
    </w:p>
    <w:p w14:paraId="3A8F23E8" w14:textId="77777777" w:rsidR="00BC0147" w:rsidRPr="00FF75A4" w:rsidRDefault="00BC0147" w:rsidP="00A4190F">
      <w:pPr>
        <w:pStyle w:val="Tiret1"/>
        <w:rPr>
          <w:noProof/>
        </w:rPr>
      </w:pPr>
      <w:r w:rsidRPr="00FF75A4">
        <w:rPr>
          <w:noProof/>
        </w:rPr>
        <w:t>стандартен риск,</w:t>
      </w:r>
    </w:p>
    <w:p w14:paraId="206157AC" w14:textId="77777777" w:rsidR="00BC0147" w:rsidRPr="00FF75A4" w:rsidRDefault="00BC0147" w:rsidP="00A4190F">
      <w:pPr>
        <w:pStyle w:val="Tiret1"/>
        <w:rPr>
          <w:noProof/>
        </w:rPr>
      </w:pPr>
      <w:r w:rsidRPr="00FF75A4">
        <w:rPr>
          <w:noProof/>
        </w:rPr>
        <w:t>понижен риск.</w:t>
      </w:r>
    </w:p>
    <w:p w14:paraId="516D1389" w14:textId="77777777" w:rsidR="00BC0147" w:rsidRPr="00FF75A4" w:rsidRDefault="00BC0147" w:rsidP="00BC0147">
      <w:pPr>
        <w:rPr>
          <w:noProof/>
        </w:rPr>
      </w:pPr>
      <w:r w:rsidRPr="00FF75A4">
        <w:rPr>
          <w:noProof/>
        </w:rPr>
        <w:t>При определянето на тези рискови профили се отдава по-голямо значение на параметрите, които се отнасят до вида кораб, показателите на държавата на знамето, признатите организации и показателите на компанията.</w:t>
      </w:r>
    </w:p>
    <w:p w14:paraId="6093557F" w14:textId="03F7ACAF" w:rsidR="00BC0147" w:rsidRPr="00FF75A4" w:rsidRDefault="00ED557B" w:rsidP="00ED557B">
      <w:pPr>
        <w:pStyle w:val="Point0"/>
        <w:rPr>
          <w:noProof/>
        </w:rPr>
      </w:pPr>
      <w:r>
        <w:rPr>
          <w:noProof/>
        </w:rPr>
        <w:t>ж)</w:t>
      </w:r>
      <w:r w:rsidRPr="00ED557B">
        <w:rPr>
          <w:noProof/>
        </w:rPr>
        <w:tab/>
      </w:r>
      <w:r w:rsidR="00BC0147" w:rsidRPr="00FF75A4">
        <w:rPr>
          <w:noProof/>
        </w:rPr>
        <w:t>Параметри на околната среда</w:t>
      </w:r>
    </w:p>
    <w:p w14:paraId="0F43C41A" w14:textId="77777777" w:rsidR="00BC0147" w:rsidRPr="00FF75A4" w:rsidRDefault="00F9656B" w:rsidP="00F9656B">
      <w:pPr>
        <w:pStyle w:val="Point1"/>
        <w:rPr>
          <w:noProof/>
        </w:rPr>
      </w:pPr>
      <w:r w:rsidRPr="00FF75A4">
        <w:rPr>
          <w:noProof/>
        </w:rPr>
        <w:t>i)</w:t>
      </w:r>
      <w:r w:rsidRPr="00FF75A4">
        <w:rPr>
          <w:noProof/>
        </w:rPr>
        <w:tab/>
        <w:t>Показателят за въглероден интензитет на кораба, счита се, че корабите, които са от категория D—E, представляват повишен риск.</w:t>
      </w:r>
    </w:p>
    <w:p w14:paraId="35C6E08E" w14:textId="77777777" w:rsidR="00BC0147" w:rsidRPr="00FF75A4" w:rsidRDefault="00F9656B" w:rsidP="00F9656B">
      <w:pPr>
        <w:pStyle w:val="Point1"/>
        <w:rPr>
          <w:noProof/>
        </w:rPr>
        <w:sectPr w:rsidR="00BC0147" w:rsidRPr="00FF75A4" w:rsidSect="001D2206">
          <w:footerReference w:type="default" r:id="rId17"/>
          <w:footerReference w:type="first" r:id="rId18"/>
          <w:pgSz w:w="11907" w:h="16839"/>
          <w:pgMar w:top="1134" w:right="1417" w:bottom="1134" w:left="1417" w:header="709" w:footer="709" w:gutter="0"/>
          <w:cols w:space="720"/>
          <w:docGrid w:linePitch="360"/>
        </w:sectPr>
      </w:pPr>
      <w:r w:rsidRPr="00FF75A4">
        <w:rPr>
          <w:noProof/>
        </w:rPr>
        <w:t>ii)</w:t>
      </w:r>
      <w:r w:rsidRPr="00FF75A4">
        <w:rPr>
          <w:noProof/>
        </w:rPr>
        <w:tab/>
        <w:t xml:space="preserve">Счита се, че корабите, които по време на проверка(и), извършена(и) през периода, посочен в приложение II, са имали по-малко на брой неизправности, свързани с конвенциите MARPOL, AFS, BWM, CLC 92, Конвенцията за корабното гориво и Конвенцията от Найроби, посочени в приложение II, представляват понижен риск. </w:t>
      </w:r>
    </w:p>
    <w:p w14:paraId="29A16986" w14:textId="77777777" w:rsidR="00BC0147" w:rsidRPr="00FF75A4" w:rsidRDefault="00BC0147" w:rsidP="00BC0147">
      <w:pPr>
        <w:pStyle w:val="Annexetitre"/>
        <w:rPr>
          <w:noProof/>
        </w:rPr>
      </w:pPr>
      <w:r w:rsidRPr="00FF75A4">
        <w:rPr>
          <w:noProof/>
        </w:rPr>
        <w:t>ПРИЛОЖЕНИЕ II</w:t>
      </w:r>
    </w:p>
    <w:p w14:paraId="305A0D87" w14:textId="77777777" w:rsidR="00BC0147" w:rsidRPr="00FF75A4" w:rsidRDefault="00BC0147" w:rsidP="00BC0147">
      <w:pPr>
        <w:rPr>
          <w:noProof/>
        </w:rPr>
      </w:pPr>
    </w:p>
    <w:p w14:paraId="09C5B157" w14:textId="77777777" w:rsidR="00F9656B" w:rsidRPr="00FF75A4" w:rsidRDefault="00F9656B" w:rsidP="00F9656B">
      <w:pPr>
        <w:spacing w:before="1"/>
        <w:ind w:left="1058" w:right="143"/>
        <w:jc w:val="center"/>
        <w:rPr>
          <w:b/>
          <w:noProof/>
          <w:sz w:val="17"/>
        </w:rPr>
      </w:pPr>
      <w:r w:rsidRPr="00FF75A4">
        <w:rPr>
          <w:b/>
          <w:noProof/>
          <w:color w:val="231F20"/>
          <w:sz w:val="17"/>
        </w:rPr>
        <w:t>СТРУКТУРА НА РИСКОВИЯ ПРОФИЛ НА КОРАБ</w:t>
      </w:r>
    </w:p>
    <w:p w14:paraId="0030FA0D" w14:textId="77777777" w:rsidR="00F9656B" w:rsidRPr="00FF75A4" w:rsidRDefault="00F9656B" w:rsidP="00F9656B">
      <w:pPr>
        <w:spacing w:before="124"/>
        <w:ind w:left="1061" w:right="143"/>
        <w:jc w:val="center"/>
        <w:rPr>
          <w:b/>
          <w:noProof/>
          <w:sz w:val="17"/>
        </w:rPr>
      </w:pPr>
      <w:r w:rsidRPr="00FF75A4">
        <w:rPr>
          <w:b/>
          <w:noProof/>
          <w:color w:val="231F20"/>
          <w:sz w:val="17"/>
        </w:rPr>
        <w:t>(посочена в член 10, параграф 2)</w:t>
      </w:r>
    </w:p>
    <w:p w14:paraId="71F574F9" w14:textId="77777777" w:rsidR="00F9656B" w:rsidRPr="00FF75A4" w:rsidRDefault="00F9656B" w:rsidP="00F9656B">
      <w:pPr>
        <w:widowControl w:val="0"/>
        <w:autoSpaceDE w:val="0"/>
        <w:autoSpaceDN w:val="0"/>
        <w:spacing w:before="2" w:after="1"/>
        <w:jc w:val="left"/>
        <w:rPr>
          <w:b/>
          <w:strike/>
          <w:noProof/>
          <w:sz w:val="23"/>
        </w:rPr>
      </w:pPr>
    </w:p>
    <w:tbl>
      <w:tblPr>
        <w:tblW w:w="8318" w:type="dxa"/>
        <w:tblInd w:w="10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1"/>
        <w:gridCol w:w="1066"/>
        <w:gridCol w:w="1067"/>
        <w:gridCol w:w="1066"/>
        <w:gridCol w:w="1396"/>
        <w:gridCol w:w="1164"/>
        <w:gridCol w:w="1066"/>
        <w:gridCol w:w="1062"/>
      </w:tblGrid>
      <w:tr w:rsidR="00F9656B" w:rsidRPr="00FF75A4" w14:paraId="4042BAFE" w14:textId="77777777" w:rsidTr="009B4189">
        <w:trPr>
          <w:trHeight w:val="339"/>
        </w:trPr>
        <w:tc>
          <w:tcPr>
            <w:tcW w:w="3630" w:type="dxa"/>
            <w:gridSpan w:val="4"/>
            <w:vMerge w:val="restart"/>
            <w:tcBorders>
              <w:left w:val="nil"/>
            </w:tcBorders>
          </w:tcPr>
          <w:p w14:paraId="709573C2" w14:textId="77777777" w:rsidR="00F9656B" w:rsidRPr="00FF75A4" w:rsidRDefault="00F9656B" w:rsidP="00F9656B">
            <w:pPr>
              <w:widowControl w:val="0"/>
              <w:autoSpaceDE w:val="0"/>
              <w:autoSpaceDN w:val="0"/>
              <w:spacing w:before="0" w:after="0"/>
              <w:jc w:val="left"/>
              <w:rPr>
                <w:noProof/>
                <w:sz w:val="16"/>
              </w:rPr>
            </w:pPr>
          </w:p>
        </w:tc>
        <w:tc>
          <w:tcPr>
            <w:tcW w:w="4688" w:type="dxa"/>
            <w:gridSpan w:val="4"/>
            <w:tcBorders>
              <w:right w:val="nil"/>
            </w:tcBorders>
          </w:tcPr>
          <w:p w14:paraId="3086D915" w14:textId="77777777" w:rsidR="00F9656B" w:rsidRPr="00FF75A4" w:rsidRDefault="00F9656B" w:rsidP="00F9656B">
            <w:pPr>
              <w:widowControl w:val="0"/>
              <w:autoSpaceDE w:val="0"/>
              <w:autoSpaceDN w:val="0"/>
              <w:spacing w:before="82" w:after="0"/>
              <w:ind w:left="2127" w:right="2129"/>
              <w:jc w:val="center"/>
              <w:rPr>
                <w:noProof/>
                <w:sz w:val="14"/>
              </w:rPr>
            </w:pPr>
            <w:r w:rsidRPr="00FF75A4">
              <w:rPr>
                <w:noProof/>
                <w:color w:val="231F20"/>
                <w:sz w:val="14"/>
              </w:rPr>
              <w:t>Профил</w:t>
            </w:r>
          </w:p>
        </w:tc>
      </w:tr>
      <w:tr w:rsidR="00F9656B" w:rsidRPr="00FF75A4" w14:paraId="49C41373" w14:textId="77777777" w:rsidTr="009B4189">
        <w:trPr>
          <w:trHeight w:val="509"/>
        </w:trPr>
        <w:tc>
          <w:tcPr>
            <w:tcW w:w="3630" w:type="dxa"/>
            <w:gridSpan w:val="4"/>
            <w:vMerge/>
            <w:tcBorders>
              <w:top w:val="nil"/>
              <w:left w:val="nil"/>
            </w:tcBorders>
          </w:tcPr>
          <w:p w14:paraId="5B0C7D3C" w14:textId="77777777" w:rsidR="00F9656B" w:rsidRPr="00FF75A4" w:rsidRDefault="00F9656B" w:rsidP="00F9656B">
            <w:pPr>
              <w:rPr>
                <w:noProof/>
                <w:sz w:val="2"/>
              </w:rPr>
            </w:pPr>
          </w:p>
        </w:tc>
        <w:tc>
          <w:tcPr>
            <w:tcW w:w="2560" w:type="dxa"/>
            <w:gridSpan w:val="2"/>
          </w:tcPr>
          <w:p w14:paraId="092D5445" w14:textId="77777777" w:rsidR="00F9656B" w:rsidRPr="00FF75A4" w:rsidRDefault="00F9656B" w:rsidP="00F9656B">
            <w:pPr>
              <w:widowControl w:val="0"/>
              <w:autoSpaceDE w:val="0"/>
              <w:autoSpaceDN w:val="0"/>
              <w:spacing w:before="5" w:after="0"/>
              <w:jc w:val="left"/>
              <w:rPr>
                <w:b/>
                <w:noProof/>
                <w:sz w:val="14"/>
              </w:rPr>
            </w:pPr>
          </w:p>
          <w:p w14:paraId="2B069D01" w14:textId="77777777" w:rsidR="00F9656B" w:rsidRPr="00FF75A4" w:rsidRDefault="00F9656B" w:rsidP="00F9656B">
            <w:pPr>
              <w:widowControl w:val="0"/>
              <w:autoSpaceDE w:val="0"/>
              <w:autoSpaceDN w:val="0"/>
              <w:spacing w:before="0" w:after="0"/>
              <w:ind w:left="568"/>
              <w:jc w:val="left"/>
              <w:rPr>
                <w:noProof/>
                <w:sz w:val="14"/>
              </w:rPr>
            </w:pPr>
            <w:r w:rsidRPr="00FF75A4">
              <w:rPr>
                <w:noProof/>
                <w:color w:val="231F20"/>
                <w:sz w:val="14"/>
              </w:rPr>
              <w:t>Кораб с високорисков профил (КВРП)</w:t>
            </w:r>
          </w:p>
        </w:tc>
        <w:tc>
          <w:tcPr>
            <w:tcW w:w="1066" w:type="dxa"/>
          </w:tcPr>
          <w:p w14:paraId="37C20335" w14:textId="77777777" w:rsidR="00F9656B" w:rsidRPr="00FF75A4" w:rsidRDefault="00F9656B" w:rsidP="00F9656B">
            <w:pPr>
              <w:widowControl w:val="0"/>
              <w:autoSpaceDE w:val="0"/>
              <w:autoSpaceDN w:val="0"/>
              <w:spacing w:before="81" w:after="0" w:line="254" w:lineRule="auto"/>
              <w:ind w:left="178" w:hanging="82"/>
              <w:jc w:val="left"/>
              <w:rPr>
                <w:noProof/>
                <w:sz w:val="14"/>
              </w:rPr>
            </w:pPr>
            <w:r w:rsidRPr="00FF75A4">
              <w:rPr>
                <w:noProof/>
                <w:color w:val="231F20"/>
                <w:sz w:val="14"/>
              </w:rPr>
              <w:t>Кораб със стандартен рисков профил (КСРП)</w:t>
            </w:r>
          </w:p>
        </w:tc>
        <w:tc>
          <w:tcPr>
            <w:tcW w:w="1062" w:type="dxa"/>
            <w:tcBorders>
              <w:right w:val="nil"/>
            </w:tcBorders>
          </w:tcPr>
          <w:p w14:paraId="2901EBE9" w14:textId="77777777" w:rsidR="00F9656B" w:rsidRPr="00FF75A4" w:rsidRDefault="00F9656B" w:rsidP="00F9656B">
            <w:pPr>
              <w:widowControl w:val="0"/>
              <w:autoSpaceDE w:val="0"/>
              <w:autoSpaceDN w:val="0"/>
              <w:spacing w:before="81" w:after="0" w:line="254" w:lineRule="auto"/>
              <w:ind w:left="340" w:hanging="284"/>
              <w:jc w:val="left"/>
              <w:rPr>
                <w:noProof/>
                <w:sz w:val="14"/>
              </w:rPr>
            </w:pPr>
            <w:r w:rsidRPr="00FF75A4">
              <w:rPr>
                <w:noProof/>
                <w:color w:val="231F20"/>
                <w:sz w:val="14"/>
              </w:rPr>
              <w:t>Кораб с нискорисков профил (КНРП)</w:t>
            </w:r>
          </w:p>
        </w:tc>
      </w:tr>
      <w:tr w:rsidR="00F9656B" w:rsidRPr="00FF75A4" w14:paraId="565A94CD" w14:textId="77777777" w:rsidTr="009B4189">
        <w:trPr>
          <w:trHeight w:val="510"/>
        </w:trPr>
        <w:tc>
          <w:tcPr>
            <w:tcW w:w="3630" w:type="dxa"/>
            <w:gridSpan w:val="4"/>
            <w:tcBorders>
              <w:left w:val="nil"/>
            </w:tcBorders>
          </w:tcPr>
          <w:p w14:paraId="022AF966" w14:textId="77777777" w:rsidR="00F9656B" w:rsidRPr="00FF75A4" w:rsidRDefault="00F9656B" w:rsidP="00F9656B">
            <w:pPr>
              <w:widowControl w:val="0"/>
              <w:autoSpaceDE w:val="0"/>
              <w:autoSpaceDN w:val="0"/>
              <w:spacing w:before="6" w:after="0"/>
              <w:jc w:val="left"/>
              <w:rPr>
                <w:b/>
                <w:noProof/>
                <w:sz w:val="14"/>
              </w:rPr>
            </w:pPr>
          </w:p>
          <w:p w14:paraId="45AE70A2" w14:textId="77777777" w:rsidR="00F9656B" w:rsidRPr="00FF75A4" w:rsidRDefault="00F9656B" w:rsidP="00F9656B">
            <w:pPr>
              <w:widowControl w:val="0"/>
              <w:autoSpaceDE w:val="0"/>
              <w:autoSpaceDN w:val="0"/>
              <w:spacing w:before="0" w:after="0"/>
              <w:ind w:left="1218" w:right="1218"/>
              <w:jc w:val="center"/>
              <w:rPr>
                <w:noProof/>
                <w:sz w:val="14"/>
              </w:rPr>
            </w:pPr>
            <w:r w:rsidRPr="00FF75A4">
              <w:rPr>
                <w:noProof/>
                <w:color w:val="231F20"/>
                <w:sz w:val="14"/>
              </w:rPr>
              <w:t>Общи параметри</w:t>
            </w:r>
          </w:p>
        </w:tc>
        <w:tc>
          <w:tcPr>
            <w:tcW w:w="1396" w:type="dxa"/>
          </w:tcPr>
          <w:p w14:paraId="5023C1A2" w14:textId="77777777" w:rsidR="00F9656B" w:rsidRPr="00FF75A4" w:rsidRDefault="00F9656B" w:rsidP="00F9656B">
            <w:pPr>
              <w:widowControl w:val="0"/>
              <w:autoSpaceDE w:val="0"/>
              <w:autoSpaceDN w:val="0"/>
              <w:spacing w:before="6" w:after="0"/>
              <w:jc w:val="left"/>
              <w:rPr>
                <w:b/>
                <w:noProof/>
                <w:sz w:val="14"/>
              </w:rPr>
            </w:pPr>
          </w:p>
          <w:p w14:paraId="06C838F9" w14:textId="77777777" w:rsidR="00F9656B" w:rsidRPr="00FF75A4" w:rsidRDefault="00F9656B" w:rsidP="00F9656B">
            <w:pPr>
              <w:widowControl w:val="0"/>
              <w:autoSpaceDE w:val="0"/>
              <w:autoSpaceDN w:val="0"/>
              <w:spacing w:before="0" w:after="0"/>
              <w:ind w:left="504" w:right="505"/>
              <w:jc w:val="center"/>
              <w:rPr>
                <w:noProof/>
                <w:sz w:val="14"/>
              </w:rPr>
            </w:pPr>
            <w:r w:rsidRPr="00FF75A4">
              <w:rPr>
                <w:noProof/>
                <w:color w:val="231F20"/>
                <w:sz w:val="14"/>
              </w:rPr>
              <w:t>Критерии</w:t>
            </w:r>
          </w:p>
        </w:tc>
        <w:tc>
          <w:tcPr>
            <w:tcW w:w="1164" w:type="dxa"/>
          </w:tcPr>
          <w:p w14:paraId="4A3E691F" w14:textId="77777777" w:rsidR="00F9656B" w:rsidRPr="00FF75A4" w:rsidRDefault="00F9656B" w:rsidP="00F9656B">
            <w:pPr>
              <w:widowControl w:val="0"/>
              <w:autoSpaceDE w:val="0"/>
              <w:autoSpaceDN w:val="0"/>
              <w:spacing w:before="82" w:after="0" w:line="254" w:lineRule="auto"/>
              <w:ind w:left="343" w:hanging="131"/>
              <w:jc w:val="left"/>
              <w:rPr>
                <w:noProof/>
                <w:sz w:val="14"/>
              </w:rPr>
            </w:pPr>
            <w:r w:rsidRPr="00FF75A4">
              <w:rPr>
                <w:noProof/>
                <w:color w:val="231F20"/>
                <w:sz w:val="14"/>
              </w:rPr>
              <w:t>Оценка в точки</w:t>
            </w:r>
          </w:p>
        </w:tc>
        <w:tc>
          <w:tcPr>
            <w:tcW w:w="1066" w:type="dxa"/>
          </w:tcPr>
          <w:p w14:paraId="57539ABC" w14:textId="77777777" w:rsidR="00F9656B" w:rsidRPr="00FF75A4" w:rsidRDefault="00F9656B" w:rsidP="00F9656B">
            <w:pPr>
              <w:widowControl w:val="0"/>
              <w:autoSpaceDE w:val="0"/>
              <w:autoSpaceDN w:val="0"/>
              <w:spacing w:before="6" w:after="0"/>
              <w:jc w:val="left"/>
              <w:rPr>
                <w:b/>
                <w:noProof/>
                <w:sz w:val="14"/>
              </w:rPr>
            </w:pPr>
          </w:p>
          <w:p w14:paraId="3D63FB49" w14:textId="77777777" w:rsidR="00F9656B" w:rsidRPr="00FF75A4" w:rsidRDefault="00F9656B" w:rsidP="00F9656B">
            <w:pPr>
              <w:widowControl w:val="0"/>
              <w:autoSpaceDE w:val="0"/>
              <w:autoSpaceDN w:val="0"/>
              <w:spacing w:before="0" w:after="0"/>
              <w:ind w:left="300"/>
              <w:jc w:val="left"/>
              <w:rPr>
                <w:noProof/>
                <w:sz w:val="14"/>
              </w:rPr>
            </w:pPr>
            <w:r w:rsidRPr="00FF75A4">
              <w:rPr>
                <w:noProof/>
                <w:color w:val="231F20"/>
                <w:sz w:val="14"/>
              </w:rPr>
              <w:t>Критерии</w:t>
            </w:r>
          </w:p>
        </w:tc>
        <w:tc>
          <w:tcPr>
            <w:tcW w:w="1062" w:type="dxa"/>
            <w:tcBorders>
              <w:right w:val="nil"/>
            </w:tcBorders>
          </w:tcPr>
          <w:p w14:paraId="3FABE2F5" w14:textId="77777777" w:rsidR="00F9656B" w:rsidRPr="00FF75A4" w:rsidRDefault="00F9656B" w:rsidP="00F9656B">
            <w:pPr>
              <w:widowControl w:val="0"/>
              <w:autoSpaceDE w:val="0"/>
              <w:autoSpaceDN w:val="0"/>
              <w:spacing w:before="6" w:after="0"/>
              <w:jc w:val="left"/>
              <w:rPr>
                <w:b/>
                <w:noProof/>
                <w:sz w:val="14"/>
              </w:rPr>
            </w:pPr>
          </w:p>
          <w:p w14:paraId="402E96C3" w14:textId="77777777" w:rsidR="00F9656B" w:rsidRPr="00FF75A4" w:rsidRDefault="00F9656B" w:rsidP="00F9656B">
            <w:pPr>
              <w:widowControl w:val="0"/>
              <w:autoSpaceDE w:val="0"/>
              <w:autoSpaceDN w:val="0"/>
              <w:spacing w:before="0" w:after="0"/>
              <w:ind w:left="62" w:right="63"/>
              <w:jc w:val="center"/>
              <w:rPr>
                <w:noProof/>
                <w:sz w:val="14"/>
              </w:rPr>
            </w:pPr>
            <w:r w:rsidRPr="00FF75A4">
              <w:rPr>
                <w:noProof/>
                <w:color w:val="231F20"/>
                <w:sz w:val="14"/>
              </w:rPr>
              <w:t>Критерии</w:t>
            </w:r>
          </w:p>
        </w:tc>
      </w:tr>
      <w:tr w:rsidR="00F9656B" w:rsidRPr="00FF75A4" w14:paraId="4185F0CF" w14:textId="77777777" w:rsidTr="009B4189">
        <w:trPr>
          <w:trHeight w:val="1128"/>
        </w:trPr>
        <w:tc>
          <w:tcPr>
            <w:tcW w:w="431" w:type="dxa"/>
            <w:tcBorders>
              <w:left w:val="nil"/>
            </w:tcBorders>
          </w:tcPr>
          <w:p w14:paraId="6C0B4DC4" w14:textId="77777777" w:rsidR="00F9656B" w:rsidRPr="00FF75A4" w:rsidRDefault="00F9656B" w:rsidP="00F9656B">
            <w:pPr>
              <w:widowControl w:val="0"/>
              <w:autoSpaceDE w:val="0"/>
              <w:autoSpaceDN w:val="0"/>
              <w:spacing w:before="70" w:after="0"/>
              <w:jc w:val="left"/>
              <w:rPr>
                <w:noProof/>
                <w:sz w:val="17"/>
              </w:rPr>
            </w:pPr>
            <w:r w:rsidRPr="00FF75A4">
              <w:rPr>
                <w:noProof/>
                <w:color w:val="231F20"/>
                <w:sz w:val="17"/>
              </w:rPr>
              <w:t>1</w:t>
            </w:r>
          </w:p>
        </w:tc>
        <w:tc>
          <w:tcPr>
            <w:tcW w:w="3199" w:type="dxa"/>
            <w:gridSpan w:val="3"/>
          </w:tcPr>
          <w:p w14:paraId="08B35B7B" w14:textId="77777777" w:rsidR="00F9656B" w:rsidRPr="00FF75A4" w:rsidRDefault="00F9656B" w:rsidP="00F9656B">
            <w:pPr>
              <w:widowControl w:val="0"/>
              <w:autoSpaceDE w:val="0"/>
              <w:autoSpaceDN w:val="0"/>
              <w:spacing w:before="70" w:after="0"/>
              <w:ind w:left="84"/>
              <w:jc w:val="left"/>
              <w:rPr>
                <w:noProof/>
                <w:sz w:val="17"/>
              </w:rPr>
            </w:pPr>
            <w:r w:rsidRPr="00FF75A4">
              <w:rPr>
                <w:noProof/>
                <w:color w:val="231F20"/>
                <w:sz w:val="17"/>
              </w:rPr>
              <w:t>Вид на кораба</w:t>
            </w:r>
          </w:p>
        </w:tc>
        <w:tc>
          <w:tcPr>
            <w:tcW w:w="1396" w:type="dxa"/>
          </w:tcPr>
          <w:p w14:paraId="63C93A26" w14:textId="77777777" w:rsidR="00F9656B" w:rsidRPr="00FF75A4" w:rsidRDefault="00F9656B" w:rsidP="00F9656B">
            <w:pPr>
              <w:widowControl w:val="0"/>
              <w:autoSpaceDE w:val="0"/>
              <w:autoSpaceDN w:val="0"/>
              <w:spacing w:before="73" w:after="0" w:line="235" w:lineRule="auto"/>
              <w:ind w:left="84" w:right="108"/>
              <w:jc w:val="left"/>
              <w:rPr>
                <w:noProof/>
                <w:sz w:val="17"/>
              </w:rPr>
            </w:pPr>
            <w:r w:rsidRPr="00FF75A4">
              <w:rPr>
                <w:noProof/>
                <w:color w:val="231F20"/>
                <w:sz w:val="17"/>
              </w:rPr>
              <w:t>Химикаловоз Газовоз</w:t>
            </w:r>
          </w:p>
          <w:p w14:paraId="39C8B40C" w14:textId="77777777" w:rsidR="00F9656B" w:rsidRPr="00FF75A4" w:rsidRDefault="00F9656B" w:rsidP="00F9656B">
            <w:pPr>
              <w:widowControl w:val="0"/>
              <w:autoSpaceDE w:val="0"/>
              <w:autoSpaceDN w:val="0"/>
              <w:spacing w:before="0" w:after="0" w:line="235" w:lineRule="auto"/>
              <w:ind w:left="84" w:right="212"/>
              <w:jc w:val="left"/>
              <w:rPr>
                <w:noProof/>
                <w:sz w:val="17"/>
              </w:rPr>
            </w:pPr>
            <w:r w:rsidRPr="00FF75A4">
              <w:rPr>
                <w:noProof/>
                <w:color w:val="231F20"/>
                <w:sz w:val="17"/>
              </w:rPr>
              <w:t>Нефтен танкер Кораб за насипни товари Пътнически кораб</w:t>
            </w:r>
          </w:p>
        </w:tc>
        <w:tc>
          <w:tcPr>
            <w:tcW w:w="1164" w:type="dxa"/>
          </w:tcPr>
          <w:p w14:paraId="63B00DF1" w14:textId="77777777" w:rsidR="00F9656B" w:rsidRPr="00FF75A4" w:rsidRDefault="00F9656B" w:rsidP="00F9656B">
            <w:pPr>
              <w:widowControl w:val="0"/>
              <w:autoSpaceDE w:val="0"/>
              <w:autoSpaceDN w:val="0"/>
              <w:spacing w:before="70" w:after="0"/>
              <w:ind w:right="3"/>
              <w:jc w:val="center"/>
              <w:rPr>
                <w:noProof/>
                <w:sz w:val="17"/>
              </w:rPr>
            </w:pPr>
            <w:r w:rsidRPr="00FF75A4">
              <w:rPr>
                <w:noProof/>
                <w:color w:val="231F20"/>
                <w:sz w:val="17"/>
              </w:rPr>
              <w:t>1</w:t>
            </w:r>
          </w:p>
        </w:tc>
        <w:tc>
          <w:tcPr>
            <w:tcW w:w="1066" w:type="dxa"/>
            <w:vMerge w:val="restart"/>
            <w:textDirection w:val="btLr"/>
          </w:tcPr>
          <w:p w14:paraId="7413D1BB" w14:textId="77777777" w:rsidR="00F9656B" w:rsidRPr="00FF75A4" w:rsidRDefault="00F9656B" w:rsidP="00F9656B">
            <w:pPr>
              <w:widowControl w:val="0"/>
              <w:autoSpaceDE w:val="0"/>
              <w:autoSpaceDN w:val="0"/>
              <w:spacing w:before="89" w:after="0"/>
              <w:ind w:left="2609"/>
              <w:jc w:val="left"/>
              <w:rPr>
                <w:noProof/>
                <w:sz w:val="17"/>
              </w:rPr>
            </w:pPr>
            <w:r w:rsidRPr="00FF75A4">
              <w:rPr>
                <w:noProof/>
                <w:color w:val="231F20"/>
                <w:sz w:val="17"/>
              </w:rPr>
              <w:t>кораб, който не представлява повишен или понижен риск</w:t>
            </w:r>
          </w:p>
        </w:tc>
        <w:tc>
          <w:tcPr>
            <w:tcW w:w="1062" w:type="dxa"/>
            <w:tcBorders>
              <w:right w:val="nil"/>
            </w:tcBorders>
          </w:tcPr>
          <w:p w14:paraId="3761E473" w14:textId="77777777" w:rsidR="00F9656B" w:rsidRPr="00FF75A4" w:rsidRDefault="00F9656B" w:rsidP="00F9656B">
            <w:pPr>
              <w:widowControl w:val="0"/>
              <w:autoSpaceDE w:val="0"/>
              <w:autoSpaceDN w:val="0"/>
              <w:spacing w:before="70" w:after="0"/>
              <w:ind w:left="62" w:right="66"/>
              <w:jc w:val="center"/>
              <w:rPr>
                <w:noProof/>
                <w:sz w:val="17"/>
              </w:rPr>
            </w:pPr>
            <w:r w:rsidRPr="00FF75A4">
              <w:rPr>
                <w:noProof/>
                <w:color w:val="231F20"/>
                <w:sz w:val="17"/>
              </w:rPr>
              <w:t>Всички видове</w:t>
            </w:r>
          </w:p>
        </w:tc>
      </w:tr>
      <w:tr w:rsidR="00F9656B" w:rsidRPr="00FF75A4" w14:paraId="3E2B5C07" w14:textId="77777777" w:rsidTr="009B4189">
        <w:trPr>
          <w:trHeight w:val="361"/>
        </w:trPr>
        <w:tc>
          <w:tcPr>
            <w:tcW w:w="431" w:type="dxa"/>
            <w:tcBorders>
              <w:left w:val="nil"/>
            </w:tcBorders>
          </w:tcPr>
          <w:p w14:paraId="4A7417A8" w14:textId="77777777" w:rsidR="00F9656B" w:rsidRPr="00FF75A4" w:rsidRDefault="00F9656B" w:rsidP="00F9656B">
            <w:pPr>
              <w:widowControl w:val="0"/>
              <w:autoSpaceDE w:val="0"/>
              <w:autoSpaceDN w:val="0"/>
              <w:spacing w:before="70" w:after="0"/>
              <w:jc w:val="left"/>
              <w:rPr>
                <w:noProof/>
                <w:sz w:val="17"/>
              </w:rPr>
            </w:pPr>
            <w:r w:rsidRPr="00FF75A4">
              <w:rPr>
                <w:noProof/>
                <w:color w:val="231F20"/>
                <w:sz w:val="17"/>
              </w:rPr>
              <w:t>2</w:t>
            </w:r>
          </w:p>
        </w:tc>
        <w:tc>
          <w:tcPr>
            <w:tcW w:w="3199" w:type="dxa"/>
            <w:gridSpan w:val="3"/>
          </w:tcPr>
          <w:p w14:paraId="62BC556E" w14:textId="77777777" w:rsidR="00F9656B" w:rsidRPr="00FF75A4" w:rsidRDefault="00F9656B" w:rsidP="00F9656B">
            <w:pPr>
              <w:widowControl w:val="0"/>
              <w:autoSpaceDE w:val="0"/>
              <w:autoSpaceDN w:val="0"/>
              <w:spacing w:before="70" w:after="0"/>
              <w:ind w:left="84"/>
              <w:jc w:val="left"/>
              <w:rPr>
                <w:noProof/>
                <w:sz w:val="17"/>
              </w:rPr>
            </w:pPr>
            <w:r w:rsidRPr="00FF75A4">
              <w:rPr>
                <w:noProof/>
                <w:color w:val="231F20"/>
                <w:sz w:val="17"/>
              </w:rPr>
              <w:t>Възраст на кораба</w:t>
            </w:r>
          </w:p>
        </w:tc>
        <w:tc>
          <w:tcPr>
            <w:tcW w:w="1396" w:type="dxa"/>
          </w:tcPr>
          <w:p w14:paraId="6E264F26" w14:textId="77777777" w:rsidR="00F9656B" w:rsidRPr="00FF75A4" w:rsidRDefault="00F9656B" w:rsidP="00F9656B">
            <w:pPr>
              <w:widowControl w:val="0"/>
              <w:autoSpaceDE w:val="0"/>
              <w:autoSpaceDN w:val="0"/>
              <w:spacing w:before="70" w:after="0"/>
              <w:ind w:left="84"/>
              <w:jc w:val="left"/>
              <w:rPr>
                <w:noProof/>
                <w:sz w:val="17"/>
              </w:rPr>
            </w:pPr>
            <w:r w:rsidRPr="00FF75A4">
              <w:rPr>
                <w:noProof/>
                <w:color w:val="231F20"/>
                <w:sz w:val="17"/>
              </w:rPr>
              <w:t>Всички видове &gt;12 г.</w:t>
            </w:r>
          </w:p>
        </w:tc>
        <w:tc>
          <w:tcPr>
            <w:tcW w:w="1164" w:type="dxa"/>
          </w:tcPr>
          <w:p w14:paraId="4EB75E1D" w14:textId="77777777" w:rsidR="00F9656B" w:rsidRPr="00FF75A4" w:rsidRDefault="00F9656B" w:rsidP="00F9656B">
            <w:pPr>
              <w:widowControl w:val="0"/>
              <w:autoSpaceDE w:val="0"/>
              <w:autoSpaceDN w:val="0"/>
              <w:spacing w:before="70" w:after="0"/>
              <w:ind w:right="3"/>
              <w:jc w:val="center"/>
              <w:rPr>
                <w:noProof/>
                <w:sz w:val="17"/>
              </w:rPr>
            </w:pPr>
            <w:r w:rsidRPr="00FF75A4">
              <w:rPr>
                <w:noProof/>
                <w:color w:val="231F20"/>
                <w:sz w:val="17"/>
              </w:rPr>
              <w:t>1</w:t>
            </w:r>
          </w:p>
        </w:tc>
        <w:tc>
          <w:tcPr>
            <w:tcW w:w="1066" w:type="dxa"/>
            <w:vMerge/>
            <w:tcBorders>
              <w:top w:val="nil"/>
            </w:tcBorders>
            <w:textDirection w:val="btLr"/>
          </w:tcPr>
          <w:p w14:paraId="6BA25B5E" w14:textId="77777777" w:rsidR="00F9656B" w:rsidRPr="00FF75A4" w:rsidRDefault="00F9656B" w:rsidP="00F9656B">
            <w:pPr>
              <w:rPr>
                <w:noProof/>
                <w:sz w:val="2"/>
              </w:rPr>
            </w:pPr>
          </w:p>
        </w:tc>
        <w:tc>
          <w:tcPr>
            <w:tcW w:w="1062" w:type="dxa"/>
            <w:tcBorders>
              <w:right w:val="nil"/>
            </w:tcBorders>
          </w:tcPr>
          <w:p w14:paraId="4E982760" w14:textId="77777777" w:rsidR="00F9656B" w:rsidRPr="00FF75A4" w:rsidRDefault="00F9656B" w:rsidP="00F9656B">
            <w:pPr>
              <w:widowControl w:val="0"/>
              <w:autoSpaceDE w:val="0"/>
              <w:autoSpaceDN w:val="0"/>
              <w:spacing w:before="70" w:after="0"/>
              <w:ind w:left="62" w:right="65"/>
              <w:jc w:val="center"/>
              <w:rPr>
                <w:noProof/>
                <w:sz w:val="17"/>
              </w:rPr>
            </w:pPr>
            <w:r w:rsidRPr="00FF75A4">
              <w:rPr>
                <w:noProof/>
                <w:color w:val="231F20"/>
                <w:sz w:val="17"/>
              </w:rPr>
              <w:t>На всякаква възраст</w:t>
            </w:r>
          </w:p>
        </w:tc>
      </w:tr>
      <w:tr w:rsidR="0019616A" w:rsidRPr="00FF75A4" w14:paraId="4573C86A" w14:textId="77777777" w:rsidTr="008477FB">
        <w:trPr>
          <w:trHeight w:val="922"/>
        </w:trPr>
        <w:tc>
          <w:tcPr>
            <w:tcW w:w="431" w:type="dxa"/>
            <w:tcBorders>
              <w:left w:val="nil"/>
            </w:tcBorders>
          </w:tcPr>
          <w:p w14:paraId="20763D54" w14:textId="77777777" w:rsidR="0019616A" w:rsidRPr="00FF75A4" w:rsidRDefault="0019616A" w:rsidP="00F9656B">
            <w:pPr>
              <w:widowControl w:val="0"/>
              <w:autoSpaceDE w:val="0"/>
              <w:autoSpaceDN w:val="0"/>
              <w:spacing w:before="69" w:after="0"/>
              <w:jc w:val="left"/>
              <w:rPr>
                <w:noProof/>
                <w:sz w:val="17"/>
              </w:rPr>
            </w:pPr>
            <w:r w:rsidRPr="00FF75A4">
              <w:rPr>
                <w:noProof/>
                <w:color w:val="231F20"/>
                <w:sz w:val="17"/>
              </w:rPr>
              <w:t>3а</w:t>
            </w:r>
          </w:p>
        </w:tc>
        <w:tc>
          <w:tcPr>
            <w:tcW w:w="1066" w:type="dxa"/>
            <w:vMerge w:val="restart"/>
            <w:textDirection w:val="btLr"/>
          </w:tcPr>
          <w:p w14:paraId="731B8F9C" w14:textId="77777777" w:rsidR="0019616A" w:rsidRPr="00FF75A4" w:rsidRDefault="0019616A" w:rsidP="00F9656B">
            <w:pPr>
              <w:widowControl w:val="0"/>
              <w:autoSpaceDE w:val="0"/>
              <w:autoSpaceDN w:val="0"/>
              <w:spacing w:before="90" w:after="0"/>
              <w:ind w:left="357"/>
              <w:jc w:val="left"/>
              <w:rPr>
                <w:noProof/>
                <w:sz w:val="17"/>
              </w:rPr>
            </w:pPr>
            <w:r w:rsidRPr="00FF75A4">
              <w:rPr>
                <w:noProof/>
                <w:color w:val="231F20"/>
                <w:sz w:val="17"/>
              </w:rPr>
              <w:t>Знаме</w:t>
            </w:r>
          </w:p>
        </w:tc>
        <w:tc>
          <w:tcPr>
            <w:tcW w:w="3529" w:type="dxa"/>
            <w:gridSpan w:val="3"/>
          </w:tcPr>
          <w:p w14:paraId="03615A8C" w14:textId="77777777" w:rsidR="0019616A" w:rsidRPr="00FF75A4" w:rsidRDefault="0019616A" w:rsidP="00F9656B">
            <w:pPr>
              <w:widowControl w:val="0"/>
              <w:autoSpaceDE w:val="0"/>
              <w:autoSpaceDN w:val="0"/>
              <w:spacing w:before="71" w:after="0" w:line="237" w:lineRule="auto"/>
              <w:ind w:left="84"/>
              <w:jc w:val="left"/>
              <w:rPr>
                <w:noProof/>
                <w:sz w:val="17"/>
              </w:rPr>
            </w:pPr>
            <w:r w:rsidRPr="00FF75A4">
              <w:rPr>
                <w:noProof/>
                <w:color w:val="231F20"/>
                <w:sz w:val="17"/>
              </w:rPr>
              <w:t xml:space="preserve">  Ниски показатели</w:t>
            </w:r>
          </w:p>
        </w:tc>
        <w:tc>
          <w:tcPr>
            <w:tcW w:w="1164" w:type="dxa"/>
          </w:tcPr>
          <w:p w14:paraId="48DB5E89" w14:textId="77777777" w:rsidR="0019616A" w:rsidRPr="00FF75A4" w:rsidRDefault="00111D35" w:rsidP="00F9656B">
            <w:pPr>
              <w:widowControl w:val="0"/>
              <w:autoSpaceDE w:val="0"/>
              <w:autoSpaceDN w:val="0"/>
              <w:spacing w:before="70" w:after="0"/>
              <w:ind w:right="3"/>
              <w:jc w:val="center"/>
              <w:rPr>
                <w:noProof/>
                <w:sz w:val="17"/>
              </w:rPr>
            </w:pPr>
            <w:r w:rsidRPr="00FF75A4">
              <w:rPr>
                <w:noProof/>
                <w:color w:val="231F20"/>
                <w:sz w:val="17"/>
              </w:rPr>
              <w:t>2</w:t>
            </w:r>
          </w:p>
        </w:tc>
        <w:tc>
          <w:tcPr>
            <w:tcW w:w="1066" w:type="dxa"/>
            <w:vMerge/>
            <w:tcBorders>
              <w:top w:val="nil"/>
            </w:tcBorders>
            <w:textDirection w:val="btLr"/>
          </w:tcPr>
          <w:p w14:paraId="22C69805" w14:textId="77777777" w:rsidR="0019616A" w:rsidRPr="00FF75A4" w:rsidRDefault="0019616A" w:rsidP="00F9656B">
            <w:pPr>
              <w:rPr>
                <w:noProof/>
                <w:sz w:val="2"/>
              </w:rPr>
            </w:pPr>
          </w:p>
        </w:tc>
        <w:tc>
          <w:tcPr>
            <w:tcW w:w="1062" w:type="dxa"/>
            <w:tcBorders>
              <w:right w:val="nil"/>
            </w:tcBorders>
          </w:tcPr>
          <w:p w14:paraId="37C2C106" w14:textId="77777777" w:rsidR="0019616A" w:rsidRPr="00FF75A4" w:rsidRDefault="0019616A" w:rsidP="0019616A">
            <w:pPr>
              <w:widowControl w:val="0"/>
              <w:autoSpaceDE w:val="0"/>
              <w:autoSpaceDN w:val="0"/>
              <w:spacing w:before="69" w:after="0"/>
              <w:jc w:val="center"/>
              <w:rPr>
                <w:noProof/>
                <w:sz w:val="17"/>
              </w:rPr>
            </w:pPr>
            <w:r w:rsidRPr="00FF75A4">
              <w:rPr>
                <w:noProof/>
                <w:color w:val="231F20"/>
                <w:sz w:val="17"/>
              </w:rPr>
              <w:t>Високи показатели</w:t>
            </w:r>
          </w:p>
        </w:tc>
      </w:tr>
      <w:tr w:rsidR="00F9656B" w:rsidRPr="00FF75A4" w14:paraId="2AFAD968" w14:textId="77777777" w:rsidTr="009B4189">
        <w:trPr>
          <w:trHeight w:val="361"/>
        </w:trPr>
        <w:tc>
          <w:tcPr>
            <w:tcW w:w="431" w:type="dxa"/>
            <w:tcBorders>
              <w:left w:val="nil"/>
            </w:tcBorders>
          </w:tcPr>
          <w:p w14:paraId="05DC5E0F" w14:textId="77777777" w:rsidR="00F9656B" w:rsidRPr="00FF75A4" w:rsidRDefault="00F9656B" w:rsidP="00F9656B">
            <w:pPr>
              <w:widowControl w:val="0"/>
              <w:autoSpaceDE w:val="0"/>
              <w:autoSpaceDN w:val="0"/>
              <w:spacing w:before="70" w:after="0"/>
              <w:ind w:left="-1"/>
              <w:jc w:val="left"/>
              <w:rPr>
                <w:noProof/>
                <w:sz w:val="17"/>
              </w:rPr>
            </w:pPr>
            <w:r w:rsidRPr="00FF75A4">
              <w:rPr>
                <w:noProof/>
                <w:color w:val="231F20"/>
                <w:sz w:val="17"/>
              </w:rPr>
              <w:t>3б</w:t>
            </w:r>
          </w:p>
        </w:tc>
        <w:tc>
          <w:tcPr>
            <w:tcW w:w="1066" w:type="dxa"/>
            <w:vMerge/>
            <w:tcBorders>
              <w:top w:val="nil"/>
            </w:tcBorders>
            <w:textDirection w:val="btLr"/>
          </w:tcPr>
          <w:p w14:paraId="721106DD" w14:textId="77777777" w:rsidR="00F9656B" w:rsidRPr="00FF75A4" w:rsidRDefault="00F9656B" w:rsidP="00F9656B">
            <w:pPr>
              <w:rPr>
                <w:noProof/>
                <w:sz w:val="2"/>
              </w:rPr>
            </w:pPr>
          </w:p>
        </w:tc>
        <w:tc>
          <w:tcPr>
            <w:tcW w:w="2133" w:type="dxa"/>
            <w:gridSpan w:val="2"/>
          </w:tcPr>
          <w:p w14:paraId="12414CF1" w14:textId="77777777" w:rsidR="00F9656B" w:rsidRPr="00FF75A4" w:rsidRDefault="00F9656B" w:rsidP="00F9656B">
            <w:pPr>
              <w:widowControl w:val="0"/>
              <w:autoSpaceDE w:val="0"/>
              <w:autoSpaceDN w:val="0"/>
              <w:spacing w:before="70" w:after="0"/>
              <w:ind w:left="84"/>
              <w:jc w:val="left"/>
              <w:rPr>
                <w:noProof/>
                <w:sz w:val="17"/>
              </w:rPr>
            </w:pPr>
            <w:r w:rsidRPr="00FF75A4">
              <w:rPr>
                <w:noProof/>
                <w:color w:val="231F20"/>
                <w:sz w:val="17"/>
              </w:rPr>
              <w:t xml:space="preserve">Ратифицирани са всички актове на ММО, изброени в член 2 </w:t>
            </w:r>
          </w:p>
        </w:tc>
        <w:tc>
          <w:tcPr>
            <w:tcW w:w="1396" w:type="dxa"/>
          </w:tcPr>
          <w:p w14:paraId="6E316861" w14:textId="77777777" w:rsidR="00F9656B" w:rsidRPr="00FF75A4" w:rsidRDefault="00F9656B" w:rsidP="00F9656B">
            <w:pPr>
              <w:widowControl w:val="0"/>
              <w:autoSpaceDE w:val="0"/>
              <w:autoSpaceDN w:val="0"/>
              <w:spacing w:before="70" w:after="0"/>
              <w:jc w:val="center"/>
              <w:rPr>
                <w:noProof/>
                <w:sz w:val="17"/>
              </w:rPr>
            </w:pPr>
            <w:r w:rsidRPr="00FF75A4">
              <w:rPr>
                <w:noProof/>
                <w:color w:val="231F20"/>
                <w:sz w:val="17"/>
              </w:rPr>
              <w:t>-</w:t>
            </w:r>
          </w:p>
        </w:tc>
        <w:tc>
          <w:tcPr>
            <w:tcW w:w="1164" w:type="dxa"/>
          </w:tcPr>
          <w:p w14:paraId="787E3F3B" w14:textId="77777777" w:rsidR="00F9656B" w:rsidRPr="00FF75A4" w:rsidRDefault="00F9656B" w:rsidP="00F9656B">
            <w:pPr>
              <w:widowControl w:val="0"/>
              <w:autoSpaceDE w:val="0"/>
              <w:autoSpaceDN w:val="0"/>
              <w:spacing w:before="70" w:after="0"/>
              <w:ind w:right="2"/>
              <w:jc w:val="center"/>
              <w:rPr>
                <w:noProof/>
                <w:sz w:val="17"/>
              </w:rPr>
            </w:pPr>
            <w:r w:rsidRPr="00FF75A4">
              <w:rPr>
                <w:noProof/>
                <w:color w:val="231F20"/>
                <w:sz w:val="17"/>
              </w:rPr>
              <w:t>-</w:t>
            </w:r>
          </w:p>
        </w:tc>
        <w:tc>
          <w:tcPr>
            <w:tcW w:w="1066" w:type="dxa"/>
            <w:vMerge/>
            <w:tcBorders>
              <w:top w:val="nil"/>
            </w:tcBorders>
            <w:textDirection w:val="btLr"/>
          </w:tcPr>
          <w:p w14:paraId="1E4CAD27" w14:textId="77777777" w:rsidR="00F9656B" w:rsidRPr="00FF75A4" w:rsidRDefault="00F9656B" w:rsidP="00F9656B">
            <w:pPr>
              <w:rPr>
                <w:noProof/>
                <w:sz w:val="2"/>
              </w:rPr>
            </w:pPr>
          </w:p>
        </w:tc>
        <w:tc>
          <w:tcPr>
            <w:tcW w:w="1062" w:type="dxa"/>
            <w:tcBorders>
              <w:right w:val="nil"/>
            </w:tcBorders>
          </w:tcPr>
          <w:p w14:paraId="7E9B683D" w14:textId="77777777" w:rsidR="00F9656B" w:rsidRPr="00FF75A4" w:rsidRDefault="00F9656B" w:rsidP="00F9656B">
            <w:pPr>
              <w:widowControl w:val="0"/>
              <w:autoSpaceDE w:val="0"/>
              <w:autoSpaceDN w:val="0"/>
              <w:spacing w:before="70" w:after="0"/>
              <w:ind w:left="61" w:right="66"/>
              <w:jc w:val="center"/>
              <w:rPr>
                <w:noProof/>
                <w:sz w:val="17"/>
              </w:rPr>
            </w:pPr>
            <w:r w:rsidRPr="00FF75A4">
              <w:rPr>
                <w:noProof/>
                <w:color w:val="231F20"/>
                <w:sz w:val="17"/>
              </w:rPr>
              <w:t>Да</w:t>
            </w:r>
          </w:p>
        </w:tc>
      </w:tr>
      <w:tr w:rsidR="00F9656B" w:rsidRPr="00FF75A4" w14:paraId="36524821" w14:textId="77777777" w:rsidTr="009B4189">
        <w:trPr>
          <w:trHeight w:val="361"/>
        </w:trPr>
        <w:tc>
          <w:tcPr>
            <w:tcW w:w="431" w:type="dxa"/>
            <w:tcBorders>
              <w:left w:val="nil"/>
            </w:tcBorders>
          </w:tcPr>
          <w:p w14:paraId="74733E53" w14:textId="77777777" w:rsidR="00F9656B" w:rsidRPr="00FF75A4" w:rsidRDefault="00F9656B" w:rsidP="00F9656B">
            <w:pPr>
              <w:widowControl w:val="0"/>
              <w:autoSpaceDE w:val="0"/>
              <w:autoSpaceDN w:val="0"/>
              <w:spacing w:before="70" w:after="0"/>
              <w:ind w:left="-1"/>
              <w:jc w:val="left"/>
              <w:rPr>
                <w:noProof/>
                <w:color w:val="231F20"/>
                <w:spacing w:val="-5"/>
                <w:sz w:val="17"/>
              </w:rPr>
            </w:pPr>
            <w:r w:rsidRPr="00FF75A4">
              <w:rPr>
                <w:noProof/>
                <w:color w:val="231F20"/>
                <w:sz w:val="17"/>
              </w:rPr>
              <w:t>3в</w:t>
            </w:r>
          </w:p>
        </w:tc>
        <w:tc>
          <w:tcPr>
            <w:tcW w:w="1066" w:type="dxa"/>
            <w:tcBorders>
              <w:top w:val="nil"/>
            </w:tcBorders>
            <w:textDirection w:val="btLr"/>
          </w:tcPr>
          <w:p w14:paraId="042AE44D" w14:textId="77777777" w:rsidR="00F9656B" w:rsidRPr="00FF75A4" w:rsidRDefault="00F9656B" w:rsidP="00F9656B">
            <w:pPr>
              <w:rPr>
                <w:noProof/>
                <w:sz w:val="2"/>
              </w:rPr>
            </w:pPr>
          </w:p>
        </w:tc>
        <w:tc>
          <w:tcPr>
            <w:tcW w:w="2133" w:type="dxa"/>
            <w:gridSpan w:val="2"/>
          </w:tcPr>
          <w:p w14:paraId="7C85120B" w14:textId="77777777" w:rsidR="00F9656B" w:rsidRPr="00FF75A4" w:rsidRDefault="00F9656B" w:rsidP="00F9656B">
            <w:pPr>
              <w:widowControl w:val="0"/>
              <w:autoSpaceDE w:val="0"/>
              <w:autoSpaceDN w:val="0"/>
              <w:spacing w:before="70" w:after="0"/>
              <w:ind w:left="84"/>
              <w:jc w:val="left"/>
              <w:rPr>
                <w:noProof/>
                <w:color w:val="231F20"/>
                <w:sz w:val="17"/>
              </w:rPr>
            </w:pPr>
            <w:r w:rsidRPr="00FF75A4">
              <w:rPr>
                <w:noProof/>
                <w:color w:val="231F20"/>
                <w:sz w:val="17"/>
              </w:rPr>
              <w:t>Електронно свидетелство</w:t>
            </w:r>
          </w:p>
        </w:tc>
        <w:tc>
          <w:tcPr>
            <w:tcW w:w="1396" w:type="dxa"/>
          </w:tcPr>
          <w:p w14:paraId="1812396B" w14:textId="77777777" w:rsidR="00F9656B" w:rsidRPr="00FF75A4" w:rsidRDefault="00F9656B" w:rsidP="00F9656B">
            <w:pPr>
              <w:widowControl w:val="0"/>
              <w:autoSpaceDE w:val="0"/>
              <w:autoSpaceDN w:val="0"/>
              <w:spacing w:before="70" w:after="0"/>
              <w:ind w:left="84" w:right="2"/>
              <w:jc w:val="left"/>
              <w:rPr>
                <w:noProof/>
                <w:color w:val="231F20"/>
                <w:sz w:val="17"/>
              </w:rPr>
            </w:pPr>
            <w:r w:rsidRPr="00FF75A4">
              <w:rPr>
                <w:noProof/>
                <w:color w:val="231F20"/>
                <w:sz w:val="17"/>
              </w:rPr>
              <w:t>Задължителните свидетелства се предават по цифров път в информационната система</w:t>
            </w:r>
          </w:p>
        </w:tc>
        <w:tc>
          <w:tcPr>
            <w:tcW w:w="1164" w:type="dxa"/>
          </w:tcPr>
          <w:p w14:paraId="0E317672" w14:textId="77777777" w:rsidR="00F9656B" w:rsidRPr="00FF75A4" w:rsidRDefault="00F9656B" w:rsidP="00F9656B">
            <w:pPr>
              <w:widowControl w:val="0"/>
              <w:autoSpaceDE w:val="0"/>
              <w:autoSpaceDN w:val="0"/>
              <w:spacing w:before="70" w:after="0"/>
              <w:ind w:left="84" w:right="2"/>
              <w:jc w:val="left"/>
              <w:rPr>
                <w:noProof/>
                <w:color w:val="231F20"/>
                <w:sz w:val="17"/>
              </w:rPr>
            </w:pPr>
          </w:p>
        </w:tc>
        <w:tc>
          <w:tcPr>
            <w:tcW w:w="1066" w:type="dxa"/>
            <w:vMerge/>
            <w:tcBorders>
              <w:top w:val="nil"/>
            </w:tcBorders>
            <w:textDirection w:val="btLr"/>
          </w:tcPr>
          <w:p w14:paraId="1A99AC36" w14:textId="77777777" w:rsidR="00F9656B" w:rsidRPr="00FF75A4" w:rsidRDefault="00F9656B" w:rsidP="00F9656B">
            <w:pPr>
              <w:rPr>
                <w:noProof/>
                <w:sz w:val="2"/>
              </w:rPr>
            </w:pPr>
          </w:p>
        </w:tc>
        <w:tc>
          <w:tcPr>
            <w:tcW w:w="1062" w:type="dxa"/>
            <w:tcBorders>
              <w:right w:val="nil"/>
            </w:tcBorders>
          </w:tcPr>
          <w:p w14:paraId="14706152" w14:textId="77777777" w:rsidR="00F9656B" w:rsidRPr="00FF75A4" w:rsidRDefault="00F9656B" w:rsidP="00F9656B">
            <w:pPr>
              <w:widowControl w:val="0"/>
              <w:autoSpaceDE w:val="0"/>
              <w:autoSpaceDN w:val="0"/>
              <w:spacing w:before="70" w:after="0"/>
              <w:ind w:left="61" w:right="66"/>
              <w:jc w:val="center"/>
              <w:rPr>
                <w:noProof/>
                <w:color w:val="231F20"/>
                <w:spacing w:val="-5"/>
                <w:sz w:val="17"/>
              </w:rPr>
            </w:pPr>
          </w:p>
        </w:tc>
      </w:tr>
      <w:tr w:rsidR="00F9656B" w:rsidRPr="00FF75A4" w14:paraId="489FEBD4" w14:textId="77777777" w:rsidTr="009B4189">
        <w:trPr>
          <w:trHeight w:val="360"/>
        </w:trPr>
        <w:tc>
          <w:tcPr>
            <w:tcW w:w="431" w:type="dxa"/>
            <w:vMerge w:val="restart"/>
            <w:tcBorders>
              <w:left w:val="nil"/>
            </w:tcBorders>
          </w:tcPr>
          <w:p w14:paraId="0DA5DC74" w14:textId="77777777" w:rsidR="00F9656B" w:rsidRPr="00FF75A4" w:rsidRDefault="00F9656B" w:rsidP="00F9656B">
            <w:pPr>
              <w:widowControl w:val="0"/>
              <w:autoSpaceDE w:val="0"/>
              <w:autoSpaceDN w:val="0"/>
              <w:spacing w:before="69" w:after="0"/>
              <w:jc w:val="left"/>
              <w:rPr>
                <w:noProof/>
                <w:sz w:val="17"/>
              </w:rPr>
            </w:pPr>
            <w:r w:rsidRPr="00FF75A4">
              <w:rPr>
                <w:noProof/>
                <w:color w:val="231F20"/>
                <w:sz w:val="17"/>
              </w:rPr>
              <w:t>4а</w:t>
            </w:r>
          </w:p>
        </w:tc>
        <w:tc>
          <w:tcPr>
            <w:tcW w:w="1066" w:type="dxa"/>
            <w:vMerge w:val="restart"/>
            <w:textDirection w:val="btLr"/>
          </w:tcPr>
          <w:p w14:paraId="2F07060A" w14:textId="77777777" w:rsidR="00F9656B" w:rsidRPr="00FF75A4" w:rsidRDefault="00F9656B" w:rsidP="00F9656B">
            <w:pPr>
              <w:widowControl w:val="0"/>
              <w:autoSpaceDE w:val="0"/>
              <w:autoSpaceDN w:val="0"/>
              <w:spacing w:before="91" w:after="0" w:line="237" w:lineRule="auto"/>
              <w:ind w:left="640" w:right="327" w:hanging="335"/>
              <w:jc w:val="left"/>
              <w:rPr>
                <w:noProof/>
                <w:sz w:val="17"/>
              </w:rPr>
            </w:pPr>
            <w:r w:rsidRPr="00FF75A4">
              <w:rPr>
                <w:noProof/>
                <w:color w:val="231F20"/>
                <w:sz w:val="17"/>
              </w:rPr>
              <w:t>Призната организация</w:t>
            </w:r>
          </w:p>
        </w:tc>
        <w:tc>
          <w:tcPr>
            <w:tcW w:w="1067" w:type="dxa"/>
            <w:vMerge w:val="restart"/>
            <w:textDirection w:val="btLr"/>
          </w:tcPr>
          <w:p w14:paraId="3B7F7471" w14:textId="77777777" w:rsidR="00F9656B" w:rsidRPr="00FF75A4" w:rsidRDefault="00F9656B" w:rsidP="00F9656B">
            <w:pPr>
              <w:widowControl w:val="0"/>
              <w:autoSpaceDE w:val="0"/>
              <w:autoSpaceDN w:val="0"/>
              <w:spacing w:before="91" w:after="0"/>
              <w:ind w:left="429"/>
              <w:jc w:val="left"/>
              <w:rPr>
                <w:noProof/>
                <w:sz w:val="17"/>
              </w:rPr>
            </w:pPr>
            <w:r w:rsidRPr="00FF75A4">
              <w:rPr>
                <w:noProof/>
                <w:color w:val="231F20"/>
                <w:sz w:val="17"/>
              </w:rPr>
              <w:t>Показатели</w:t>
            </w:r>
          </w:p>
        </w:tc>
        <w:tc>
          <w:tcPr>
            <w:tcW w:w="1066" w:type="dxa"/>
          </w:tcPr>
          <w:p w14:paraId="23A2DF7B" w14:textId="77777777" w:rsidR="00F9656B" w:rsidRPr="00FF75A4" w:rsidRDefault="00F9656B" w:rsidP="00F9656B">
            <w:pPr>
              <w:widowControl w:val="0"/>
              <w:autoSpaceDE w:val="0"/>
              <w:autoSpaceDN w:val="0"/>
              <w:spacing w:before="69" w:after="0"/>
              <w:ind w:left="83"/>
              <w:jc w:val="left"/>
              <w:rPr>
                <w:noProof/>
                <w:sz w:val="17"/>
              </w:rPr>
            </w:pPr>
            <w:r w:rsidRPr="00FF75A4">
              <w:rPr>
                <w:noProof/>
                <w:color w:val="231F20"/>
                <w:sz w:val="17"/>
              </w:rPr>
              <w:t>Високи</w:t>
            </w:r>
          </w:p>
        </w:tc>
        <w:tc>
          <w:tcPr>
            <w:tcW w:w="1396" w:type="dxa"/>
          </w:tcPr>
          <w:p w14:paraId="3A642FA6" w14:textId="77777777" w:rsidR="00F9656B" w:rsidRPr="00FF75A4" w:rsidRDefault="00F9656B" w:rsidP="00F9656B">
            <w:pPr>
              <w:widowControl w:val="0"/>
              <w:autoSpaceDE w:val="0"/>
              <w:autoSpaceDN w:val="0"/>
              <w:spacing w:before="69" w:after="0"/>
              <w:jc w:val="center"/>
              <w:rPr>
                <w:noProof/>
                <w:sz w:val="17"/>
              </w:rPr>
            </w:pPr>
            <w:r w:rsidRPr="00FF75A4">
              <w:rPr>
                <w:noProof/>
                <w:color w:val="231F20"/>
                <w:sz w:val="17"/>
              </w:rPr>
              <w:t>-</w:t>
            </w:r>
          </w:p>
        </w:tc>
        <w:tc>
          <w:tcPr>
            <w:tcW w:w="1164" w:type="dxa"/>
          </w:tcPr>
          <w:p w14:paraId="3084D576" w14:textId="77777777" w:rsidR="00F9656B" w:rsidRPr="00FF75A4" w:rsidRDefault="00F9656B" w:rsidP="00F9656B">
            <w:pPr>
              <w:widowControl w:val="0"/>
              <w:autoSpaceDE w:val="0"/>
              <w:autoSpaceDN w:val="0"/>
              <w:spacing w:before="69" w:after="0"/>
              <w:ind w:right="2"/>
              <w:jc w:val="center"/>
              <w:rPr>
                <w:noProof/>
                <w:sz w:val="17"/>
              </w:rPr>
            </w:pPr>
            <w:r w:rsidRPr="00FF75A4">
              <w:rPr>
                <w:noProof/>
                <w:color w:val="231F20"/>
                <w:sz w:val="17"/>
              </w:rPr>
              <w:t>-</w:t>
            </w:r>
          </w:p>
        </w:tc>
        <w:tc>
          <w:tcPr>
            <w:tcW w:w="1066" w:type="dxa"/>
            <w:vMerge/>
            <w:tcBorders>
              <w:top w:val="nil"/>
            </w:tcBorders>
            <w:textDirection w:val="btLr"/>
          </w:tcPr>
          <w:p w14:paraId="72FDE7C1" w14:textId="77777777" w:rsidR="00F9656B" w:rsidRPr="00FF75A4" w:rsidRDefault="00F9656B" w:rsidP="00F9656B">
            <w:pPr>
              <w:rPr>
                <w:noProof/>
                <w:sz w:val="2"/>
              </w:rPr>
            </w:pPr>
          </w:p>
        </w:tc>
        <w:tc>
          <w:tcPr>
            <w:tcW w:w="1062" w:type="dxa"/>
            <w:tcBorders>
              <w:right w:val="nil"/>
            </w:tcBorders>
          </w:tcPr>
          <w:p w14:paraId="11B0D9CB" w14:textId="77777777" w:rsidR="00F9656B" w:rsidRPr="00FF75A4" w:rsidRDefault="00F9656B" w:rsidP="00F9656B">
            <w:pPr>
              <w:widowControl w:val="0"/>
              <w:autoSpaceDE w:val="0"/>
              <w:autoSpaceDN w:val="0"/>
              <w:spacing w:before="69" w:after="0"/>
              <w:ind w:left="59" w:right="66"/>
              <w:jc w:val="center"/>
              <w:rPr>
                <w:noProof/>
                <w:sz w:val="17"/>
              </w:rPr>
            </w:pPr>
            <w:r w:rsidRPr="00FF75A4">
              <w:rPr>
                <w:noProof/>
                <w:color w:val="231F20"/>
                <w:sz w:val="17"/>
              </w:rPr>
              <w:t>Високи</w:t>
            </w:r>
          </w:p>
        </w:tc>
      </w:tr>
      <w:tr w:rsidR="00F9656B" w:rsidRPr="00FF75A4" w14:paraId="4743F743" w14:textId="77777777" w:rsidTr="009B4189">
        <w:trPr>
          <w:trHeight w:val="361"/>
        </w:trPr>
        <w:tc>
          <w:tcPr>
            <w:tcW w:w="431" w:type="dxa"/>
            <w:vMerge/>
            <w:tcBorders>
              <w:top w:val="nil"/>
              <w:left w:val="nil"/>
            </w:tcBorders>
          </w:tcPr>
          <w:p w14:paraId="3A270EDD" w14:textId="77777777" w:rsidR="00F9656B" w:rsidRPr="00FF75A4" w:rsidRDefault="00F9656B" w:rsidP="00F9656B">
            <w:pPr>
              <w:rPr>
                <w:noProof/>
                <w:sz w:val="2"/>
              </w:rPr>
            </w:pPr>
          </w:p>
        </w:tc>
        <w:tc>
          <w:tcPr>
            <w:tcW w:w="1066" w:type="dxa"/>
            <w:vMerge/>
            <w:tcBorders>
              <w:top w:val="nil"/>
            </w:tcBorders>
            <w:textDirection w:val="btLr"/>
          </w:tcPr>
          <w:p w14:paraId="07720EE1" w14:textId="77777777" w:rsidR="00F9656B" w:rsidRPr="00FF75A4" w:rsidRDefault="00F9656B" w:rsidP="00F9656B">
            <w:pPr>
              <w:rPr>
                <w:noProof/>
                <w:sz w:val="2"/>
              </w:rPr>
            </w:pPr>
          </w:p>
        </w:tc>
        <w:tc>
          <w:tcPr>
            <w:tcW w:w="1067" w:type="dxa"/>
            <w:vMerge/>
            <w:tcBorders>
              <w:top w:val="nil"/>
            </w:tcBorders>
            <w:textDirection w:val="btLr"/>
          </w:tcPr>
          <w:p w14:paraId="3DB17201" w14:textId="77777777" w:rsidR="00F9656B" w:rsidRPr="00FF75A4" w:rsidRDefault="00F9656B" w:rsidP="00F9656B">
            <w:pPr>
              <w:rPr>
                <w:noProof/>
                <w:sz w:val="2"/>
              </w:rPr>
            </w:pPr>
          </w:p>
        </w:tc>
        <w:tc>
          <w:tcPr>
            <w:tcW w:w="1066" w:type="dxa"/>
          </w:tcPr>
          <w:p w14:paraId="5B6F66E7" w14:textId="77777777" w:rsidR="00F9656B" w:rsidRPr="00FF75A4" w:rsidRDefault="00F9656B" w:rsidP="00F9656B">
            <w:pPr>
              <w:widowControl w:val="0"/>
              <w:autoSpaceDE w:val="0"/>
              <w:autoSpaceDN w:val="0"/>
              <w:spacing w:before="70" w:after="0"/>
              <w:ind w:left="83"/>
              <w:jc w:val="left"/>
              <w:rPr>
                <w:noProof/>
                <w:sz w:val="17"/>
              </w:rPr>
            </w:pPr>
            <w:r w:rsidRPr="00FF75A4">
              <w:rPr>
                <w:noProof/>
                <w:color w:val="231F20"/>
                <w:sz w:val="17"/>
              </w:rPr>
              <w:t>Средни</w:t>
            </w:r>
          </w:p>
        </w:tc>
        <w:tc>
          <w:tcPr>
            <w:tcW w:w="1396" w:type="dxa"/>
          </w:tcPr>
          <w:p w14:paraId="5BCBA440" w14:textId="77777777" w:rsidR="00F9656B" w:rsidRPr="00FF75A4" w:rsidRDefault="00F9656B" w:rsidP="00F9656B">
            <w:pPr>
              <w:widowControl w:val="0"/>
              <w:autoSpaceDE w:val="0"/>
              <w:autoSpaceDN w:val="0"/>
              <w:spacing w:before="70" w:after="0"/>
              <w:jc w:val="center"/>
              <w:rPr>
                <w:noProof/>
                <w:sz w:val="17"/>
              </w:rPr>
            </w:pPr>
            <w:r w:rsidRPr="00FF75A4">
              <w:rPr>
                <w:noProof/>
                <w:color w:val="231F20"/>
                <w:sz w:val="17"/>
              </w:rPr>
              <w:t>-</w:t>
            </w:r>
          </w:p>
        </w:tc>
        <w:tc>
          <w:tcPr>
            <w:tcW w:w="1164" w:type="dxa"/>
          </w:tcPr>
          <w:p w14:paraId="2E692084" w14:textId="77777777" w:rsidR="00F9656B" w:rsidRPr="00FF75A4" w:rsidRDefault="00F9656B" w:rsidP="00F9656B">
            <w:pPr>
              <w:widowControl w:val="0"/>
              <w:autoSpaceDE w:val="0"/>
              <w:autoSpaceDN w:val="0"/>
              <w:spacing w:before="70" w:after="0"/>
              <w:ind w:right="2"/>
              <w:jc w:val="center"/>
              <w:rPr>
                <w:noProof/>
                <w:sz w:val="17"/>
              </w:rPr>
            </w:pPr>
            <w:r w:rsidRPr="00FF75A4">
              <w:rPr>
                <w:noProof/>
                <w:color w:val="231F20"/>
                <w:sz w:val="17"/>
              </w:rPr>
              <w:t>-</w:t>
            </w:r>
          </w:p>
        </w:tc>
        <w:tc>
          <w:tcPr>
            <w:tcW w:w="1066" w:type="dxa"/>
            <w:vMerge/>
            <w:tcBorders>
              <w:top w:val="nil"/>
            </w:tcBorders>
            <w:textDirection w:val="btLr"/>
          </w:tcPr>
          <w:p w14:paraId="121125B2" w14:textId="77777777" w:rsidR="00F9656B" w:rsidRPr="00FF75A4" w:rsidRDefault="00F9656B" w:rsidP="00F9656B">
            <w:pPr>
              <w:rPr>
                <w:noProof/>
                <w:sz w:val="2"/>
              </w:rPr>
            </w:pPr>
          </w:p>
        </w:tc>
        <w:tc>
          <w:tcPr>
            <w:tcW w:w="1062" w:type="dxa"/>
            <w:tcBorders>
              <w:right w:val="nil"/>
            </w:tcBorders>
          </w:tcPr>
          <w:p w14:paraId="36DFEAEB" w14:textId="77777777" w:rsidR="00F9656B" w:rsidRPr="00FF75A4" w:rsidRDefault="00F9656B" w:rsidP="00F9656B">
            <w:pPr>
              <w:widowControl w:val="0"/>
              <w:autoSpaceDE w:val="0"/>
              <w:autoSpaceDN w:val="0"/>
              <w:spacing w:before="70" w:after="0"/>
              <w:ind w:right="2"/>
              <w:jc w:val="center"/>
              <w:rPr>
                <w:noProof/>
                <w:sz w:val="17"/>
              </w:rPr>
            </w:pPr>
            <w:r w:rsidRPr="00FF75A4">
              <w:rPr>
                <w:noProof/>
                <w:color w:val="231F20"/>
                <w:sz w:val="17"/>
              </w:rPr>
              <w:t>-</w:t>
            </w:r>
          </w:p>
        </w:tc>
      </w:tr>
      <w:tr w:rsidR="00F9656B" w:rsidRPr="00FF75A4" w14:paraId="75968773" w14:textId="77777777" w:rsidTr="009B4189">
        <w:trPr>
          <w:trHeight w:val="360"/>
        </w:trPr>
        <w:tc>
          <w:tcPr>
            <w:tcW w:w="431" w:type="dxa"/>
            <w:vMerge/>
            <w:tcBorders>
              <w:top w:val="nil"/>
              <w:left w:val="nil"/>
            </w:tcBorders>
          </w:tcPr>
          <w:p w14:paraId="1571A088" w14:textId="77777777" w:rsidR="00F9656B" w:rsidRPr="00FF75A4" w:rsidRDefault="00F9656B" w:rsidP="00F9656B">
            <w:pPr>
              <w:rPr>
                <w:noProof/>
                <w:sz w:val="2"/>
              </w:rPr>
            </w:pPr>
          </w:p>
        </w:tc>
        <w:tc>
          <w:tcPr>
            <w:tcW w:w="1066" w:type="dxa"/>
            <w:vMerge/>
            <w:tcBorders>
              <w:top w:val="nil"/>
            </w:tcBorders>
            <w:textDirection w:val="btLr"/>
          </w:tcPr>
          <w:p w14:paraId="4328370E" w14:textId="77777777" w:rsidR="00F9656B" w:rsidRPr="00FF75A4" w:rsidRDefault="00F9656B" w:rsidP="00F9656B">
            <w:pPr>
              <w:rPr>
                <w:noProof/>
                <w:sz w:val="2"/>
              </w:rPr>
            </w:pPr>
          </w:p>
        </w:tc>
        <w:tc>
          <w:tcPr>
            <w:tcW w:w="1067" w:type="dxa"/>
            <w:vMerge/>
            <w:tcBorders>
              <w:top w:val="nil"/>
            </w:tcBorders>
            <w:textDirection w:val="btLr"/>
          </w:tcPr>
          <w:p w14:paraId="78D4F005" w14:textId="77777777" w:rsidR="00F9656B" w:rsidRPr="00FF75A4" w:rsidRDefault="00F9656B" w:rsidP="00F9656B">
            <w:pPr>
              <w:rPr>
                <w:noProof/>
                <w:sz w:val="2"/>
              </w:rPr>
            </w:pPr>
          </w:p>
        </w:tc>
        <w:tc>
          <w:tcPr>
            <w:tcW w:w="1066" w:type="dxa"/>
          </w:tcPr>
          <w:p w14:paraId="1C08EB27" w14:textId="77777777" w:rsidR="00F9656B" w:rsidRPr="00FF75A4" w:rsidRDefault="00F9656B" w:rsidP="00F9656B">
            <w:pPr>
              <w:widowControl w:val="0"/>
              <w:autoSpaceDE w:val="0"/>
              <w:autoSpaceDN w:val="0"/>
              <w:spacing w:before="70" w:after="0"/>
              <w:ind w:left="83"/>
              <w:jc w:val="left"/>
              <w:rPr>
                <w:noProof/>
                <w:sz w:val="17"/>
              </w:rPr>
            </w:pPr>
            <w:r w:rsidRPr="00FF75A4">
              <w:rPr>
                <w:noProof/>
                <w:color w:val="231F20"/>
                <w:sz w:val="17"/>
              </w:rPr>
              <w:t>Ниски</w:t>
            </w:r>
          </w:p>
        </w:tc>
        <w:tc>
          <w:tcPr>
            <w:tcW w:w="1396" w:type="dxa"/>
          </w:tcPr>
          <w:p w14:paraId="1D31EA0C" w14:textId="77777777" w:rsidR="00F9656B" w:rsidRPr="00FF75A4" w:rsidRDefault="00F9656B" w:rsidP="00F9656B">
            <w:pPr>
              <w:widowControl w:val="0"/>
              <w:autoSpaceDE w:val="0"/>
              <w:autoSpaceDN w:val="0"/>
              <w:spacing w:before="70" w:after="0"/>
              <w:ind w:left="84"/>
              <w:jc w:val="left"/>
              <w:rPr>
                <w:noProof/>
                <w:sz w:val="17"/>
              </w:rPr>
            </w:pPr>
            <w:r w:rsidRPr="00FF75A4">
              <w:rPr>
                <w:noProof/>
                <w:color w:val="231F20"/>
                <w:sz w:val="17"/>
              </w:rPr>
              <w:t>Ниски</w:t>
            </w:r>
          </w:p>
        </w:tc>
        <w:tc>
          <w:tcPr>
            <w:tcW w:w="1164" w:type="dxa"/>
            <w:vMerge w:val="restart"/>
          </w:tcPr>
          <w:p w14:paraId="1EEC8EA6" w14:textId="77777777" w:rsidR="00F9656B" w:rsidRPr="00FF75A4" w:rsidRDefault="00F9656B" w:rsidP="00F9656B">
            <w:pPr>
              <w:widowControl w:val="0"/>
              <w:autoSpaceDE w:val="0"/>
              <w:autoSpaceDN w:val="0"/>
              <w:spacing w:before="70" w:after="0"/>
              <w:ind w:right="3"/>
              <w:jc w:val="center"/>
              <w:rPr>
                <w:noProof/>
                <w:sz w:val="17"/>
              </w:rPr>
            </w:pPr>
            <w:r w:rsidRPr="00FF75A4">
              <w:rPr>
                <w:noProof/>
                <w:color w:val="231F20"/>
                <w:sz w:val="17"/>
              </w:rPr>
              <w:t>1</w:t>
            </w:r>
          </w:p>
        </w:tc>
        <w:tc>
          <w:tcPr>
            <w:tcW w:w="1066" w:type="dxa"/>
            <w:vMerge/>
            <w:tcBorders>
              <w:top w:val="nil"/>
            </w:tcBorders>
            <w:textDirection w:val="btLr"/>
          </w:tcPr>
          <w:p w14:paraId="74294A4C" w14:textId="77777777" w:rsidR="00F9656B" w:rsidRPr="00FF75A4" w:rsidRDefault="00F9656B" w:rsidP="00F9656B">
            <w:pPr>
              <w:rPr>
                <w:noProof/>
                <w:sz w:val="2"/>
              </w:rPr>
            </w:pPr>
          </w:p>
        </w:tc>
        <w:tc>
          <w:tcPr>
            <w:tcW w:w="1062" w:type="dxa"/>
            <w:tcBorders>
              <w:right w:val="nil"/>
            </w:tcBorders>
          </w:tcPr>
          <w:p w14:paraId="6F143733" w14:textId="77777777" w:rsidR="00F9656B" w:rsidRPr="00FF75A4" w:rsidRDefault="00F9656B" w:rsidP="00F9656B">
            <w:pPr>
              <w:widowControl w:val="0"/>
              <w:autoSpaceDE w:val="0"/>
              <w:autoSpaceDN w:val="0"/>
              <w:spacing w:before="70" w:after="0"/>
              <w:ind w:right="2"/>
              <w:jc w:val="center"/>
              <w:rPr>
                <w:noProof/>
                <w:sz w:val="17"/>
              </w:rPr>
            </w:pPr>
            <w:r w:rsidRPr="00FF75A4">
              <w:rPr>
                <w:noProof/>
                <w:color w:val="231F20"/>
                <w:sz w:val="17"/>
              </w:rPr>
              <w:t>-</w:t>
            </w:r>
          </w:p>
        </w:tc>
      </w:tr>
      <w:tr w:rsidR="00F9656B" w:rsidRPr="00FF75A4" w14:paraId="5BA8FB31" w14:textId="77777777" w:rsidTr="009B4189">
        <w:trPr>
          <w:trHeight w:val="361"/>
        </w:trPr>
        <w:tc>
          <w:tcPr>
            <w:tcW w:w="431" w:type="dxa"/>
            <w:vMerge/>
            <w:tcBorders>
              <w:top w:val="nil"/>
              <w:left w:val="nil"/>
            </w:tcBorders>
          </w:tcPr>
          <w:p w14:paraId="2AD74495" w14:textId="77777777" w:rsidR="00F9656B" w:rsidRPr="00FF75A4" w:rsidRDefault="00F9656B" w:rsidP="00F9656B">
            <w:pPr>
              <w:rPr>
                <w:noProof/>
                <w:sz w:val="2"/>
              </w:rPr>
            </w:pPr>
          </w:p>
        </w:tc>
        <w:tc>
          <w:tcPr>
            <w:tcW w:w="1066" w:type="dxa"/>
            <w:vMerge/>
            <w:tcBorders>
              <w:top w:val="nil"/>
            </w:tcBorders>
            <w:textDirection w:val="btLr"/>
          </w:tcPr>
          <w:p w14:paraId="1F6EE112" w14:textId="77777777" w:rsidR="00F9656B" w:rsidRPr="00FF75A4" w:rsidRDefault="00F9656B" w:rsidP="00F9656B">
            <w:pPr>
              <w:rPr>
                <w:noProof/>
                <w:sz w:val="2"/>
              </w:rPr>
            </w:pPr>
          </w:p>
        </w:tc>
        <w:tc>
          <w:tcPr>
            <w:tcW w:w="1067" w:type="dxa"/>
            <w:vMerge/>
            <w:tcBorders>
              <w:top w:val="nil"/>
            </w:tcBorders>
            <w:textDirection w:val="btLr"/>
          </w:tcPr>
          <w:p w14:paraId="7BBD3A50" w14:textId="77777777" w:rsidR="00F9656B" w:rsidRPr="00FF75A4" w:rsidRDefault="00F9656B" w:rsidP="00F9656B">
            <w:pPr>
              <w:rPr>
                <w:noProof/>
                <w:sz w:val="2"/>
              </w:rPr>
            </w:pPr>
          </w:p>
        </w:tc>
        <w:tc>
          <w:tcPr>
            <w:tcW w:w="1066" w:type="dxa"/>
          </w:tcPr>
          <w:p w14:paraId="257319E8" w14:textId="77777777" w:rsidR="00F9656B" w:rsidRPr="00FF75A4" w:rsidRDefault="00F9656B" w:rsidP="00F9656B">
            <w:pPr>
              <w:widowControl w:val="0"/>
              <w:autoSpaceDE w:val="0"/>
              <w:autoSpaceDN w:val="0"/>
              <w:spacing w:before="70" w:after="0"/>
              <w:ind w:left="83"/>
              <w:jc w:val="left"/>
              <w:rPr>
                <w:noProof/>
                <w:sz w:val="17"/>
              </w:rPr>
            </w:pPr>
            <w:r w:rsidRPr="00FF75A4">
              <w:rPr>
                <w:noProof/>
                <w:color w:val="231F20"/>
                <w:sz w:val="17"/>
              </w:rPr>
              <w:t>Много ниски</w:t>
            </w:r>
          </w:p>
        </w:tc>
        <w:tc>
          <w:tcPr>
            <w:tcW w:w="1396" w:type="dxa"/>
          </w:tcPr>
          <w:p w14:paraId="4BB5A316" w14:textId="77777777" w:rsidR="00F9656B" w:rsidRPr="00FF75A4" w:rsidRDefault="00F9656B" w:rsidP="00F9656B">
            <w:pPr>
              <w:widowControl w:val="0"/>
              <w:autoSpaceDE w:val="0"/>
              <w:autoSpaceDN w:val="0"/>
              <w:spacing w:before="70" w:after="0"/>
              <w:ind w:left="84"/>
              <w:jc w:val="left"/>
              <w:rPr>
                <w:noProof/>
                <w:sz w:val="17"/>
              </w:rPr>
            </w:pPr>
            <w:r w:rsidRPr="00FF75A4">
              <w:rPr>
                <w:noProof/>
                <w:color w:val="231F20"/>
                <w:sz w:val="17"/>
              </w:rPr>
              <w:t>Много ниски</w:t>
            </w:r>
          </w:p>
        </w:tc>
        <w:tc>
          <w:tcPr>
            <w:tcW w:w="1164" w:type="dxa"/>
            <w:vMerge/>
            <w:tcBorders>
              <w:top w:val="nil"/>
            </w:tcBorders>
          </w:tcPr>
          <w:p w14:paraId="123E599D" w14:textId="77777777" w:rsidR="00F9656B" w:rsidRPr="00FF75A4" w:rsidRDefault="00F9656B" w:rsidP="00F9656B">
            <w:pPr>
              <w:rPr>
                <w:noProof/>
                <w:sz w:val="2"/>
              </w:rPr>
            </w:pPr>
          </w:p>
        </w:tc>
        <w:tc>
          <w:tcPr>
            <w:tcW w:w="1066" w:type="dxa"/>
            <w:vMerge/>
            <w:tcBorders>
              <w:top w:val="nil"/>
            </w:tcBorders>
            <w:textDirection w:val="btLr"/>
          </w:tcPr>
          <w:p w14:paraId="7D008E9C" w14:textId="77777777" w:rsidR="00F9656B" w:rsidRPr="00FF75A4" w:rsidRDefault="00F9656B" w:rsidP="00F9656B">
            <w:pPr>
              <w:rPr>
                <w:noProof/>
                <w:sz w:val="2"/>
              </w:rPr>
            </w:pPr>
          </w:p>
        </w:tc>
        <w:tc>
          <w:tcPr>
            <w:tcW w:w="1062" w:type="dxa"/>
            <w:tcBorders>
              <w:right w:val="nil"/>
            </w:tcBorders>
          </w:tcPr>
          <w:p w14:paraId="196BE7D1" w14:textId="77777777" w:rsidR="00F9656B" w:rsidRPr="00FF75A4" w:rsidRDefault="00F9656B" w:rsidP="00F9656B">
            <w:pPr>
              <w:widowControl w:val="0"/>
              <w:autoSpaceDE w:val="0"/>
              <w:autoSpaceDN w:val="0"/>
              <w:spacing w:before="70" w:after="0"/>
              <w:ind w:right="2"/>
              <w:jc w:val="center"/>
              <w:rPr>
                <w:noProof/>
                <w:sz w:val="17"/>
              </w:rPr>
            </w:pPr>
            <w:r w:rsidRPr="00FF75A4">
              <w:rPr>
                <w:noProof/>
                <w:color w:val="231F20"/>
                <w:sz w:val="17"/>
              </w:rPr>
              <w:t>-</w:t>
            </w:r>
          </w:p>
        </w:tc>
      </w:tr>
      <w:tr w:rsidR="00F9656B" w:rsidRPr="00FF75A4" w14:paraId="31848A92" w14:textId="77777777" w:rsidTr="009B4189">
        <w:trPr>
          <w:trHeight w:val="360"/>
        </w:trPr>
        <w:tc>
          <w:tcPr>
            <w:tcW w:w="431" w:type="dxa"/>
            <w:tcBorders>
              <w:left w:val="nil"/>
            </w:tcBorders>
          </w:tcPr>
          <w:p w14:paraId="7CB95E77" w14:textId="77777777" w:rsidR="00F9656B" w:rsidRPr="00FF75A4" w:rsidRDefault="00F9656B" w:rsidP="00F9656B">
            <w:pPr>
              <w:widowControl w:val="0"/>
              <w:autoSpaceDE w:val="0"/>
              <w:autoSpaceDN w:val="0"/>
              <w:spacing w:before="69" w:after="0"/>
              <w:ind w:left="-1"/>
              <w:jc w:val="left"/>
              <w:rPr>
                <w:noProof/>
                <w:sz w:val="17"/>
              </w:rPr>
            </w:pPr>
            <w:r w:rsidRPr="00FF75A4">
              <w:rPr>
                <w:noProof/>
                <w:color w:val="231F20"/>
                <w:sz w:val="17"/>
              </w:rPr>
              <w:t>4б</w:t>
            </w:r>
          </w:p>
        </w:tc>
        <w:tc>
          <w:tcPr>
            <w:tcW w:w="1066" w:type="dxa"/>
            <w:vMerge/>
            <w:tcBorders>
              <w:top w:val="nil"/>
            </w:tcBorders>
            <w:textDirection w:val="btLr"/>
          </w:tcPr>
          <w:p w14:paraId="6E69E8FF" w14:textId="77777777" w:rsidR="00F9656B" w:rsidRPr="00FF75A4" w:rsidRDefault="00F9656B" w:rsidP="00F9656B">
            <w:pPr>
              <w:rPr>
                <w:noProof/>
                <w:sz w:val="2"/>
              </w:rPr>
            </w:pPr>
          </w:p>
        </w:tc>
        <w:tc>
          <w:tcPr>
            <w:tcW w:w="2133" w:type="dxa"/>
            <w:gridSpan w:val="2"/>
          </w:tcPr>
          <w:p w14:paraId="701C82E2" w14:textId="77777777" w:rsidR="00F9656B" w:rsidRPr="00FF75A4" w:rsidRDefault="00F9656B" w:rsidP="00F9656B">
            <w:pPr>
              <w:widowControl w:val="0"/>
              <w:autoSpaceDE w:val="0"/>
              <w:autoSpaceDN w:val="0"/>
              <w:spacing w:before="69" w:after="0"/>
              <w:ind w:left="546"/>
              <w:jc w:val="left"/>
              <w:rPr>
                <w:noProof/>
                <w:sz w:val="17"/>
              </w:rPr>
            </w:pPr>
            <w:r w:rsidRPr="00FF75A4">
              <w:rPr>
                <w:noProof/>
                <w:color w:val="231F20"/>
                <w:sz w:val="17"/>
              </w:rPr>
              <w:t>Признати от ЕС</w:t>
            </w:r>
          </w:p>
        </w:tc>
        <w:tc>
          <w:tcPr>
            <w:tcW w:w="1396" w:type="dxa"/>
          </w:tcPr>
          <w:p w14:paraId="10D608DF" w14:textId="77777777" w:rsidR="00F9656B" w:rsidRPr="00FF75A4" w:rsidRDefault="00F9656B" w:rsidP="00F9656B">
            <w:pPr>
              <w:widowControl w:val="0"/>
              <w:autoSpaceDE w:val="0"/>
              <w:autoSpaceDN w:val="0"/>
              <w:spacing w:before="69" w:after="0"/>
              <w:jc w:val="center"/>
              <w:rPr>
                <w:noProof/>
                <w:sz w:val="17"/>
              </w:rPr>
            </w:pPr>
            <w:r w:rsidRPr="00FF75A4">
              <w:rPr>
                <w:noProof/>
                <w:color w:val="231F20"/>
                <w:sz w:val="17"/>
              </w:rPr>
              <w:t>-</w:t>
            </w:r>
          </w:p>
        </w:tc>
        <w:tc>
          <w:tcPr>
            <w:tcW w:w="1164" w:type="dxa"/>
          </w:tcPr>
          <w:p w14:paraId="7E1F14B8" w14:textId="77777777" w:rsidR="00F9656B" w:rsidRPr="00FF75A4" w:rsidRDefault="00F9656B" w:rsidP="00F9656B">
            <w:pPr>
              <w:widowControl w:val="0"/>
              <w:autoSpaceDE w:val="0"/>
              <w:autoSpaceDN w:val="0"/>
              <w:spacing w:before="69" w:after="0"/>
              <w:ind w:right="2"/>
              <w:jc w:val="center"/>
              <w:rPr>
                <w:noProof/>
                <w:sz w:val="17"/>
              </w:rPr>
            </w:pPr>
            <w:r w:rsidRPr="00FF75A4">
              <w:rPr>
                <w:noProof/>
                <w:color w:val="231F20"/>
                <w:sz w:val="17"/>
              </w:rPr>
              <w:t>-</w:t>
            </w:r>
          </w:p>
        </w:tc>
        <w:tc>
          <w:tcPr>
            <w:tcW w:w="1066" w:type="dxa"/>
            <w:vMerge/>
            <w:tcBorders>
              <w:top w:val="nil"/>
            </w:tcBorders>
            <w:textDirection w:val="btLr"/>
          </w:tcPr>
          <w:p w14:paraId="096AE284" w14:textId="77777777" w:rsidR="00F9656B" w:rsidRPr="00FF75A4" w:rsidRDefault="00F9656B" w:rsidP="00F9656B">
            <w:pPr>
              <w:rPr>
                <w:noProof/>
                <w:sz w:val="2"/>
              </w:rPr>
            </w:pPr>
          </w:p>
        </w:tc>
        <w:tc>
          <w:tcPr>
            <w:tcW w:w="1062" w:type="dxa"/>
            <w:tcBorders>
              <w:right w:val="nil"/>
            </w:tcBorders>
          </w:tcPr>
          <w:p w14:paraId="6480853E" w14:textId="77777777" w:rsidR="00F9656B" w:rsidRPr="00FF75A4" w:rsidRDefault="00F9656B" w:rsidP="00F9656B">
            <w:pPr>
              <w:widowControl w:val="0"/>
              <w:autoSpaceDE w:val="0"/>
              <w:autoSpaceDN w:val="0"/>
              <w:spacing w:before="69" w:after="0"/>
              <w:ind w:left="61" w:right="66"/>
              <w:jc w:val="center"/>
              <w:rPr>
                <w:noProof/>
                <w:sz w:val="17"/>
              </w:rPr>
            </w:pPr>
            <w:r w:rsidRPr="00FF75A4">
              <w:rPr>
                <w:noProof/>
                <w:color w:val="231F20"/>
                <w:sz w:val="17"/>
              </w:rPr>
              <w:t>Да</w:t>
            </w:r>
          </w:p>
        </w:tc>
      </w:tr>
      <w:tr w:rsidR="00F9656B" w:rsidRPr="00FF75A4" w14:paraId="6B34E5A0" w14:textId="77777777" w:rsidTr="009B4189">
        <w:trPr>
          <w:trHeight w:val="360"/>
        </w:trPr>
        <w:tc>
          <w:tcPr>
            <w:tcW w:w="431" w:type="dxa"/>
            <w:vMerge w:val="restart"/>
            <w:tcBorders>
              <w:left w:val="nil"/>
            </w:tcBorders>
          </w:tcPr>
          <w:p w14:paraId="44C4BDDC" w14:textId="77777777" w:rsidR="00F9656B" w:rsidRPr="00FF75A4" w:rsidRDefault="00F9656B" w:rsidP="00F9656B">
            <w:pPr>
              <w:widowControl w:val="0"/>
              <w:autoSpaceDE w:val="0"/>
              <w:autoSpaceDN w:val="0"/>
              <w:spacing w:before="69" w:after="0"/>
              <w:jc w:val="left"/>
              <w:rPr>
                <w:noProof/>
                <w:sz w:val="17"/>
              </w:rPr>
            </w:pPr>
            <w:r w:rsidRPr="00FF75A4">
              <w:rPr>
                <w:noProof/>
                <w:color w:val="231F20"/>
                <w:sz w:val="17"/>
              </w:rPr>
              <w:t>5</w:t>
            </w:r>
          </w:p>
        </w:tc>
        <w:tc>
          <w:tcPr>
            <w:tcW w:w="1066" w:type="dxa"/>
            <w:vMerge w:val="restart"/>
            <w:textDirection w:val="btLr"/>
          </w:tcPr>
          <w:p w14:paraId="4AB46AF3" w14:textId="77777777" w:rsidR="00F9656B" w:rsidRPr="00FF75A4" w:rsidRDefault="00F9656B" w:rsidP="00F9656B">
            <w:pPr>
              <w:widowControl w:val="0"/>
              <w:autoSpaceDE w:val="0"/>
              <w:autoSpaceDN w:val="0"/>
              <w:spacing w:before="90" w:after="0"/>
              <w:ind w:left="429"/>
              <w:jc w:val="left"/>
              <w:rPr>
                <w:noProof/>
                <w:sz w:val="17"/>
              </w:rPr>
            </w:pPr>
            <w:r w:rsidRPr="00FF75A4">
              <w:rPr>
                <w:noProof/>
                <w:color w:val="231F20"/>
                <w:sz w:val="17"/>
              </w:rPr>
              <w:t>Компания</w:t>
            </w:r>
          </w:p>
        </w:tc>
        <w:tc>
          <w:tcPr>
            <w:tcW w:w="1067" w:type="dxa"/>
            <w:vMerge w:val="restart"/>
            <w:textDirection w:val="btLr"/>
          </w:tcPr>
          <w:p w14:paraId="0677D7CE" w14:textId="77777777" w:rsidR="00F9656B" w:rsidRPr="00FF75A4" w:rsidRDefault="00F9656B" w:rsidP="00F9656B">
            <w:pPr>
              <w:widowControl w:val="0"/>
              <w:autoSpaceDE w:val="0"/>
              <w:autoSpaceDN w:val="0"/>
              <w:spacing w:before="91" w:after="0"/>
              <w:ind w:left="429"/>
              <w:jc w:val="left"/>
              <w:rPr>
                <w:noProof/>
                <w:sz w:val="17"/>
              </w:rPr>
            </w:pPr>
            <w:r w:rsidRPr="00FF75A4">
              <w:rPr>
                <w:noProof/>
                <w:color w:val="231F20"/>
                <w:sz w:val="17"/>
              </w:rPr>
              <w:t>Показатели</w:t>
            </w:r>
          </w:p>
        </w:tc>
        <w:tc>
          <w:tcPr>
            <w:tcW w:w="1066" w:type="dxa"/>
          </w:tcPr>
          <w:p w14:paraId="3E9EA00D" w14:textId="77777777" w:rsidR="00F9656B" w:rsidRPr="00FF75A4" w:rsidRDefault="00F9656B" w:rsidP="00F9656B">
            <w:pPr>
              <w:widowControl w:val="0"/>
              <w:autoSpaceDE w:val="0"/>
              <w:autoSpaceDN w:val="0"/>
              <w:spacing w:before="69" w:after="0"/>
              <w:ind w:left="83"/>
              <w:jc w:val="left"/>
              <w:rPr>
                <w:noProof/>
                <w:sz w:val="17"/>
              </w:rPr>
            </w:pPr>
            <w:r w:rsidRPr="00FF75A4">
              <w:rPr>
                <w:noProof/>
                <w:color w:val="231F20"/>
                <w:sz w:val="17"/>
              </w:rPr>
              <w:t>Високи</w:t>
            </w:r>
          </w:p>
        </w:tc>
        <w:tc>
          <w:tcPr>
            <w:tcW w:w="1396" w:type="dxa"/>
          </w:tcPr>
          <w:p w14:paraId="666EDE9F" w14:textId="77777777" w:rsidR="00F9656B" w:rsidRPr="00FF75A4" w:rsidRDefault="00F9656B" w:rsidP="00F9656B">
            <w:pPr>
              <w:widowControl w:val="0"/>
              <w:autoSpaceDE w:val="0"/>
              <w:autoSpaceDN w:val="0"/>
              <w:spacing w:before="69" w:after="0"/>
              <w:jc w:val="center"/>
              <w:rPr>
                <w:noProof/>
                <w:sz w:val="17"/>
              </w:rPr>
            </w:pPr>
            <w:r w:rsidRPr="00FF75A4">
              <w:rPr>
                <w:noProof/>
                <w:color w:val="231F20"/>
                <w:sz w:val="17"/>
              </w:rPr>
              <w:t>-</w:t>
            </w:r>
          </w:p>
        </w:tc>
        <w:tc>
          <w:tcPr>
            <w:tcW w:w="1164" w:type="dxa"/>
          </w:tcPr>
          <w:p w14:paraId="465F7A0A" w14:textId="77777777" w:rsidR="00F9656B" w:rsidRPr="00FF75A4" w:rsidRDefault="00F9656B" w:rsidP="00F9656B">
            <w:pPr>
              <w:widowControl w:val="0"/>
              <w:autoSpaceDE w:val="0"/>
              <w:autoSpaceDN w:val="0"/>
              <w:spacing w:before="69" w:after="0"/>
              <w:ind w:right="2"/>
              <w:jc w:val="center"/>
              <w:rPr>
                <w:noProof/>
                <w:sz w:val="17"/>
              </w:rPr>
            </w:pPr>
            <w:r w:rsidRPr="00FF75A4">
              <w:rPr>
                <w:noProof/>
                <w:color w:val="231F20"/>
                <w:sz w:val="17"/>
              </w:rPr>
              <w:t>-</w:t>
            </w:r>
          </w:p>
        </w:tc>
        <w:tc>
          <w:tcPr>
            <w:tcW w:w="1066" w:type="dxa"/>
            <w:vMerge/>
            <w:tcBorders>
              <w:top w:val="nil"/>
            </w:tcBorders>
            <w:textDirection w:val="btLr"/>
          </w:tcPr>
          <w:p w14:paraId="57D9AA46" w14:textId="77777777" w:rsidR="00F9656B" w:rsidRPr="00FF75A4" w:rsidRDefault="00F9656B" w:rsidP="00F9656B">
            <w:pPr>
              <w:rPr>
                <w:noProof/>
                <w:sz w:val="2"/>
              </w:rPr>
            </w:pPr>
          </w:p>
        </w:tc>
        <w:tc>
          <w:tcPr>
            <w:tcW w:w="1062" w:type="dxa"/>
            <w:tcBorders>
              <w:right w:val="nil"/>
            </w:tcBorders>
          </w:tcPr>
          <w:p w14:paraId="546614B2" w14:textId="77777777" w:rsidR="00F9656B" w:rsidRPr="00FF75A4" w:rsidRDefault="00F9656B" w:rsidP="00F9656B">
            <w:pPr>
              <w:widowControl w:val="0"/>
              <w:autoSpaceDE w:val="0"/>
              <w:autoSpaceDN w:val="0"/>
              <w:spacing w:before="69" w:after="0"/>
              <w:ind w:left="59" w:right="66"/>
              <w:jc w:val="center"/>
              <w:rPr>
                <w:noProof/>
                <w:sz w:val="17"/>
              </w:rPr>
            </w:pPr>
            <w:r w:rsidRPr="00FF75A4">
              <w:rPr>
                <w:noProof/>
                <w:color w:val="231F20"/>
                <w:sz w:val="17"/>
              </w:rPr>
              <w:t>Високи</w:t>
            </w:r>
          </w:p>
        </w:tc>
      </w:tr>
      <w:tr w:rsidR="00F9656B" w:rsidRPr="00FF75A4" w14:paraId="613BF1D6" w14:textId="77777777" w:rsidTr="009B4189">
        <w:trPr>
          <w:trHeight w:val="361"/>
        </w:trPr>
        <w:tc>
          <w:tcPr>
            <w:tcW w:w="431" w:type="dxa"/>
            <w:vMerge/>
            <w:tcBorders>
              <w:top w:val="nil"/>
              <w:left w:val="nil"/>
            </w:tcBorders>
          </w:tcPr>
          <w:p w14:paraId="675A19B8" w14:textId="77777777" w:rsidR="00F9656B" w:rsidRPr="00FF75A4" w:rsidRDefault="00F9656B" w:rsidP="00F9656B">
            <w:pPr>
              <w:rPr>
                <w:noProof/>
                <w:sz w:val="2"/>
              </w:rPr>
            </w:pPr>
          </w:p>
        </w:tc>
        <w:tc>
          <w:tcPr>
            <w:tcW w:w="1066" w:type="dxa"/>
            <w:vMerge/>
            <w:tcBorders>
              <w:top w:val="nil"/>
            </w:tcBorders>
            <w:textDirection w:val="btLr"/>
          </w:tcPr>
          <w:p w14:paraId="06998595" w14:textId="77777777" w:rsidR="00F9656B" w:rsidRPr="00FF75A4" w:rsidRDefault="00F9656B" w:rsidP="00F9656B">
            <w:pPr>
              <w:rPr>
                <w:noProof/>
                <w:sz w:val="2"/>
              </w:rPr>
            </w:pPr>
          </w:p>
        </w:tc>
        <w:tc>
          <w:tcPr>
            <w:tcW w:w="1067" w:type="dxa"/>
            <w:vMerge/>
            <w:tcBorders>
              <w:top w:val="nil"/>
            </w:tcBorders>
            <w:textDirection w:val="btLr"/>
          </w:tcPr>
          <w:p w14:paraId="4AA66185" w14:textId="77777777" w:rsidR="00F9656B" w:rsidRPr="00FF75A4" w:rsidRDefault="00F9656B" w:rsidP="00F9656B">
            <w:pPr>
              <w:rPr>
                <w:noProof/>
                <w:sz w:val="2"/>
              </w:rPr>
            </w:pPr>
          </w:p>
        </w:tc>
        <w:tc>
          <w:tcPr>
            <w:tcW w:w="1066" w:type="dxa"/>
          </w:tcPr>
          <w:p w14:paraId="6BF81497" w14:textId="77777777" w:rsidR="00F9656B" w:rsidRPr="00FF75A4" w:rsidRDefault="00F9656B" w:rsidP="00F9656B">
            <w:pPr>
              <w:widowControl w:val="0"/>
              <w:autoSpaceDE w:val="0"/>
              <w:autoSpaceDN w:val="0"/>
              <w:spacing w:before="70" w:after="0"/>
              <w:ind w:left="83"/>
              <w:jc w:val="left"/>
              <w:rPr>
                <w:noProof/>
                <w:sz w:val="17"/>
              </w:rPr>
            </w:pPr>
            <w:r w:rsidRPr="00FF75A4">
              <w:rPr>
                <w:noProof/>
                <w:color w:val="231F20"/>
                <w:sz w:val="17"/>
              </w:rPr>
              <w:t>Средни</w:t>
            </w:r>
          </w:p>
        </w:tc>
        <w:tc>
          <w:tcPr>
            <w:tcW w:w="1396" w:type="dxa"/>
          </w:tcPr>
          <w:p w14:paraId="273AC690" w14:textId="77777777" w:rsidR="00F9656B" w:rsidRPr="00FF75A4" w:rsidRDefault="00F9656B" w:rsidP="00F9656B">
            <w:pPr>
              <w:widowControl w:val="0"/>
              <w:autoSpaceDE w:val="0"/>
              <w:autoSpaceDN w:val="0"/>
              <w:spacing w:before="70" w:after="0"/>
              <w:jc w:val="center"/>
              <w:rPr>
                <w:noProof/>
                <w:sz w:val="17"/>
              </w:rPr>
            </w:pPr>
            <w:r w:rsidRPr="00FF75A4">
              <w:rPr>
                <w:noProof/>
                <w:color w:val="231F20"/>
                <w:sz w:val="17"/>
              </w:rPr>
              <w:t>-</w:t>
            </w:r>
          </w:p>
        </w:tc>
        <w:tc>
          <w:tcPr>
            <w:tcW w:w="1164" w:type="dxa"/>
          </w:tcPr>
          <w:p w14:paraId="14E056C2" w14:textId="77777777" w:rsidR="00F9656B" w:rsidRPr="00FF75A4" w:rsidRDefault="00F9656B" w:rsidP="00F9656B">
            <w:pPr>
              <w:widowControl w:val="0"/>
              <w:autoSpaceDE w:val="0"/>
              <w:autoSpaceDN w:val="0"/>
              <w:spacing w:before="70" w:after="0"/>
              <w:ind w:right="2"/>
              <w:jc w:val="center"/>
              <w:rPr>
                <w:noProof/>
                <w:sz w:val="17"/>
              </w:rPr>
            </w:pPr>
            <w:r w:rsidRPr="00FF75A4">
              <w:rPr>
                <w:noProof/>
                <w:color w:val="231F20"/>
                <w:sz w:val="17"/>
              </w:rPr>
              <w:t>-</w:t>
            </w:r>
          </w:p>
        </w:tc>
        <w:tc>
          <w:tcPr>
            <w:tcW w:w="1066" w:type="dxa"/>
            <w:vMerge/>
            <w:tcBorders>
              <w:top w:val="nil"/>
            </w:tcBorders>
            <w:textDirection w:val="btLr"/>
          </w:tcPr>
          <w:p w14:paraId="7D6D1F26" w14:textId="77777777" w:rsidR="00F9656B" w:rsidRPr="00FF75A4" w:rsidRDefault="00F9656B" w:rsidP="00F9656B">
            <w:pPr>
              <w:rPr>
                <w:noProof/>
                <w:sz w:val="2"/>
              </w:rPr>
            </w:pPr>
          </w:p>
        </w:tc>
        <w:tc>
          <w:tcPr>
            <w:tcW w:w="1062" w:type="dxa"/>
            <w:tcBorders>
              <w:right w:val="nil"/>
            </w:tcBorders>
          </w:tcPr>
          <w:p w14:paraId="5E50EA5E" w14:textId="77777777" w:rsidR="00F9656B" w:rsidRPr="00FF75A4" w:rsidRDefault="00F9656B" w:rsidP="00F9656B">
            <w:pPr>
              <w:widowControl w:val="0"/>
              <w:autoSpaceDE w:val="0"/>
              <w:autoSpaceDN w:val="0"/>
              <w:spacing w:before="70" w:after="0"/>
              <w:ind w:right="2"/>
              <w:jc w:val="center"/>
              <w:rPr>
                <w:noProof/>
                <w:sz w:val="17"/>
              </w:rPr>
            </w:pPr>
            <w:r w:rsidRPr="00FF75A4">
              <w:rPr>
                <w:noProof/>
                <w:color w:val="231F20"/>
                <w:sz w:val="17"/>
              </w:rPr>
              <w:t>-</w:t>
            </w:r>
          </w:p>
        </w:tc>
      </w:tr>
      <w:tr w:rsidR="00F9656B" w:rsidRPr="00FF75A4" w14:paraId="30F91C43" w14:textId="77777777" w:rsidTr="009B4189">
        <w:trPr>
          <w:trHeight w:val="360"/>
        </w:trPr>
        <w:tc>
          <w:tcPr>
            <w:tcW w:w="431" w:type="dxa"/>
            <w:vMerge/>
            <w:tcBorders>
              <w:top w:val="nil"/>
              <w:left w:val="nil"/>
            </w:tcBorders>
          </w:tcPr>
          <w:p w14:paraId="53B988D7" w14:textId="77777777" w:rsidR="00F9656B" w:rsidRPr="00FF75A4" w:rsidRDefault="00F9656B" w:rsidP="00F9656B">
            <w:pPr>
              <w:rPr>
                <w:noProof/>
                <w:sz w:val="2"/>
              </w:rPr>
            </w:pPr>
          </w:p>
        </w:tc>
        <w:tc>
          <w:tcPr>
            <w:tcW w:w="1066" w:type="dxa"/>
            <w:vMerge/>
            <w:tcBorders>
              <w:top w:val="nil"/>
            </w:tcBorders>
            <w:textDirection w:val="btLr"/>
          </w:tcPr>
          <w:p w14:paraId="0FC381BE" w14:textId="77777777" w:rsidR="00F9656B" w:rsidRPr="00FF75A4" w:rsidRDefault="00F9656B" w:rsidP="00F9656B">
            <w:pPr>
              <w:rPr>
                <w:noProof/>
                <w:sz w:val="2"/>
              </w:rPr>
            </w:pPr>
          </w:p>
        </w:tc>
        <w:tc>
          <w:tcPr>
            <w:tcW w:w="1067" w:type="dxa"/>
            <w:vMerge/>
            <w:tcBorders>
              <w:top w:val="nil"/>
            </w:tcBorders>
            <w:textDirection w:val="btLr"/>
          </w:tcPr>
          <w:p w14:paraId="5A54FD22" w14:textId="77777777" w:rsidR="00F9656B" w:rsidRPr="00FF75A4" w:rsidRDefault="00F9656B" w:rsidP="00F9656B">
            <w:pPr>
              <w:rPr>
                <w:noProof/>
                <w:sz w:val="2"/>
              </w:rPr>
            </w:pPr>
          </w:p>
        </w:tc>
        <w:tc>
          <w:tcPr>
            <w:tcW w:w="1066" w:type="dxa"/>
          </w:tcPr>
          <w:p w14:paraId="097FFA84" w14:textId="77777777" w:rsidR="00F9656B" w:rsidRPr="00FF75A4" w:rsidRDefault="00F9656B" w:rsidP="00F9656B">
            <w:pPr>
              <w:widowControl w:val="0"/>
              <w:autoSpaceDE w:val="0"/>
              <w:autoSpaceDN w:val="0"/>
              <w:spacing w:before="70" w:after="0"/>
              <w:ind w:left="83"/>
              <w:jc w:val="left"/>
              <w:rPr>
                <w:noProof/>
                <w:sz w:val="17"/>
              </w:rPr>
            </w:pPr>
            <w:r w:rsidRPr="00FF75A4">
              <w:rPr>
                <w:noProof/>
                <w:color w:val="231F20"/>
                <w:sz w:val="17"/>
              </w:rPr>
              <w:t>Ниски</w:t>
            </w:r>
          </w:p>
        </w:tc>
        <w:tc>
          <w:tcPr>
            <w:tcW w:w="1396" w:type="dxa"/>
          </w:tcPr>
          <w:p w14:paraId="0DBA426B" w14:textId="77777777" w:rsidR="00F9656B" w:rsidRPr="00FF75A4" w:rsidRDefault="00F9656B" w:rsidP="00F9656B">
            <w:pPr>
              <w:widowControl w:val="0"/>
              <w:autoSpaceDE w:val="0"/>
              <w:autoSpaceDN w:val="0"/>
              <w:spacing w:before="70" w:after="0"/>
              <w:ind w:left="84"/>
              <w:jc w:val="left"/>
              <w:rPr>
                <w:noProof/>
                <w:sz w:val="17"/>
              </w:rPr>
            </w:pPr>
            <w:r w:rsidRPr="00FF75A4">
              <w:rPr>
                <w:noProof/>
                <w:color w:val="231F20"/>
                <w:sz w:val="17"/>
              </w:rPr>
              <w:t>Ниски</w:t>
            </w:r>
          </w:p>
        </w:tc>
        <w:tc>
          <w:tcPr>
            <w:tcW w:w="1164" w:type="dxa"/>
            <w:vMerge w:val="restart"/>
          </w:tcPr>
          <w:p w14:paraId="3D92B9A5" w14:textId="77777777" w:rsidR="00F9656B" w:rsidRPr="00FF75A4" w:rsidRDefault="00F9656B" w:rsidP="00F9656B">
            <w:pPr>
              <w:widowControl w:val="0"/>
              <w:autoSpaceDE w:val="0"/>
              <w:autoSpaceDN w:val="0"/>
              <w:spacing w:before="70" w:after="0"/>
              <w:ind w:right="3"/>
              <w:jc w:val="center"/>
              <w:rPr>
                <w:noProof/>
                <w:sz w:val="17"/>
              </w:rPr>
            </w:pPr>
            <w:r w:rsidRPr="00FF75A4">
              <w:rPr>
                <w:noProof/>
                <w:color w:val="231F20"/>
                <w:sz w:val="17"/>
              </w:rPr>
              <w:t>2</w:t>
            </w:r>
          </w:p>
        </w:tc>
        <w:tc>
          <w:tcPr>
            <w:tcW w:w="1066" w:type="dxa"/>
            <w:vMerge/>
            <w:tcBorders>
              <w:top w:val="nil"/>
            </w:tcBorders>
            <w:textDirection w:val="btLr"/>
          </w:tcPr>
          <w:p w14:paraId="40E8C050" w14:textId="77777777" w:rsidR="00F9656B" w:rsidRPr="00FF75A4" w:rsidRDefault="00F9656B" w:rsidP="00F9656B">
            <w:pPr>
              <w:rPr>
                <w:noProof/>
                <w:sz w:val="2"/>
              </w:rPr>
            </w:pPr>
          </w:p>
        </w:tc>
        <w:tc>
          <w:tcPr>
            <w:tcW w:w="1062" w:type="dxa"/>
            <w:tcBorders>
              <w:right w:val="nil"/>
            </w:tcBorders>
          </w:tcPr>
          <w:p w14:paraId="3C26A0F1" w14:textId="77777777" w:rsidR="00F9656B" w:rsidRPr="00FF75A4" w:rsidRDefault="00F9656B" w:rsidP="00F9656B">
            <w:pPr>
              <w:widowControl w:val="0"/>
              <w:autoSpaceDE w:val="0"/>
              <w:autoSpaceDN w:val="0"/>
              <w:spacing w:before="70" w:after="0"/>
              <w:ind w:right="2"/>
              <w:jc w:val="center"/>
              <w:rPr>
                <w:noProof/>
                <w:sz w:val="17"/>
              </w:rPr>
            </w:pPr>
            <w:r w:rsidRPr="00FF75A4">
              <w:rPr>
                <w:noProof/>
                <w:color w:val="231F20"/>
                <w:sz w:val="17"/>
              </w:rPr>
              <w:t>-</w:t>
            </w:r>
          </w:p>
        </w:tc>
      </w:tr>
      <w:tr w:rsidR="00F9656B" w:rsidRPr="00FF75A4" w14:paraId="50D8146B" w14:textId="77777777" w:rsidTr="009B4189">
        <w:trPr>
          <w:trHeight w:val="361"/>
        </w:trPr>
        <w:tc>
          <w:tcPr>
            <w:tcW w:w="431" w:type="dxa"/>
            <w:vMerge/>
            <w:tcBorders>
              <w:top w:val="nil"/>
              <w:left w:val="nil"/>
            </w:tcBorders>
          </w:tcPr>
          <w:p w14:paraId="5FBE0098" w14:textId="77777777" w:rsidR="00F9656B" w:rsidRPr="00FF75A4" w:rsidRDefault="00F9656B" w:rsidP="00F9656B">
            <w:pPr>
              <w:rPr>
                <w:noProof/>
                <w:sz w:val="2"/>
              </w:rPr>
            </w:pPr>
          </w:p>
        </w:tc>
        <w:tc>
          <w:tcPr>
            <w:tcW w:w="1066" w:type="dxa"/>
            <w:vMerge/>
            <w:tcBorders>
              <w:top w:val="nil"/>
            </w:tcBorders>
            <w:textDirection w:val="btLr"/>
          </w:tcPr>
          <w:p w14:paraId="1729A149" w14:textId="77777777" w:rsidR="00F9656B" w:rsidRPr="00FF75A4" w:rsidRDefault="00F9656B" w:rsidP="00F9656B">
            <w:pPr>
              <w:rPr>
                <w:noProof/>
                <w:sz w:val="2"/>
              </w:rPr>
            </w:pPr>
          </w:p>
        </w:tc>
        <w:tc>
          <w:tcPr>
            <w:tcW w:w="1067" w:type="dxa"/>
            <w:vMerge/>
            <w:tcBorders>
              <w:top w:val="nil"/>
            </w:tcBorders>
            <w:textDirection w:val="btLr"/>
          </w:tcPr>
          <w:p w14:paraId="331D2DBC" w14:textId="77777777" w:rsidR="00F9656B" w:rsidRPr="00FF75A4" w:rsidRDefault="00F9656B" w:rsidP="00F9656B">
            <w:pPr>
              <w:rPr>
                <w:noProof/>
                <w:sz w:val="2"/>
              </w:rPr>
            </w:pPr>
          </w:p>
        </w:tc>
        <w:tc>
          <w:tcPr>
            <w:tcW w:w="1066" w:type="dxa"/>
          </w:tcPr>
          <w:p w14:paraId="01705254" w14:textId="77777777" w:rsidR="00F9656B" w:rsidRPr="00FF75A4" w:rsidRDefault="00F9656B" w:rsidP="00F9656B">
            <w:pPr>
              <w:widowControl w:val="0"/>
              <w:autoSpaceDE w:val="0"/>
              <w:autoSpaceDN w:val="0"/>
              <w:spacing w:before="70" w:after="0"/>
              <w:ind w:left="83"/>
              <w:jc w:val="left"/>
              <w:rPr>
                <w:noProof/>
                <w:sz w:val="17"/>
              </w:rPr>
            </w:pPr>
            <w:r w:rsidRPr="00FF75A4">
              <w:rPr>
                <w:noProof/>
                <w:color w:val="231F20"/>
                <w:sz w:val="17"/>
              </w:rPr>
              <w:t>Много ниски</w:t>
            </w:r>
          </w:p>
        </w:tc>
        <w:tc>
          <w:tcPr>
            <w:tcW w:w="1396" w:type="dxa"/>
          </w:tcPr>
          <w:p w14:paraId="4D130980" w14:textId="77777777" w:rsidR="00F9656B" w:rsidRPr="00FF75A4" w:rsidRDefault="00F9656B" w:rsidP="00F9656B">
            <w:pPr>
              <w:widowControl w:val="0"/>
              <w:autoSpaceDE w:val="0"/>
              <w:autoSpaceDN w:val="0"/>
              <w:spacing w:before="70" w:after="0"/>
              <w:ind w:left="84"/>
              <w:jc w:val="left"/>
              <w:rPr>
                <w:noProof/>
                <w:sz w:val="17"/>
              </w:rPr>
            </w:pPr>
            <w:r w:rsidRPr="00FF75A4">
              <w:rPr>
                <w:noProof/>
                <w:color w:val="231F20"/>
                <w:sz w:val="17"/>
              </w:rPr>
              <w:t>Много ниски</w:t>
            </w:r>
          </w:p>
        </w:tc>
        <w:tc>
          <w:tcPr>
            <w:tcW w:w="1164" w:type="dxa"/>
            <w:vMerge/>
            <w:tcBorders>
              <w:top w:val="nil"/>
            </w:tcBorders>
          </w:tcPr>
          <w:p w14:paraId="6E605B0D" w14:textId="77777777" w:rsidR="00F9656B" w:rsidRPr="00FF75A4" w:rsidRDefault="00F9656B" w:rsidP="00F9656B">
            <w:pPr>
              <w:rPr>
                <w:noProof/>
                <w:sz w:val="2"/>
              </w:rPr>
            </w:pPr>
          </w:p>
        </w:tc>
        <w:tc>
          <w:tcPr>
            <w:tcW w:w="1066" w:type="dxa"/>
            <w:vMerge/>
            <w:tcBorders>
              <w:top w:val="nil"/>
            </w:tcBorders>
            <w:textDirection w:val="btLr"/>
          </w:tcPr>
          <w:p w14:paraId="0191E814" w14:textId="77777777" w:rsidR="00F9656B" w:rsidRPr="00FF75A4" w:rsidRDefault="00F9656B" w:rsidP="00F9656B">
            <w:pPr>
              <w:rPr>
                <w:noProof/>
                <w:sz w:val="2"/>
              </w:rPr>
            </w:pPr>
          </w:p>
        </w:tc>
        <w:tc>
          <w:tcPr>
            <w:tcW w:w="1062" w:type="dxa"/>
            <w:tcBorders>
              <w:right w:val="nil"/>
            </w:tcBorders>
          </w:tcPr>
          <w:p w14:paraId="5580FF89" w14:textId="77777777" w:rsidR="00F9656B" w:rsidRPr="00FF75A4" w:rsidRDefault="00F9656B" w:rsidP="00F9656B">
            <w:pPr>
              <w:widowControl w:val="0"/>
              <w:autoSpaceDE w:val="0"/>
              <w:autoSpaceDN w:val="0"/>
              <w:spacing w:before="70" w:after="0"/>
              <w:ind w:right="2"/>
              <w:jc w:val="center"/>
              <w:rPr>
                <w:noProof/>
                <w:sz w:val="17"/>
              </w:rPr>
            </w:pPr>
            <w:r w:rsidRPr="00FF75A4">
              <w:rPr>
                <w:noProof/>
                <w:color w:val="231F20"/>
                <w:sz w:val="17"/>
              </w:rPr>
              <w:t>-</w:t>
            </w:r>
          </w:p>
        </w:tc>
      </w:tr>
      <w:tr w:rsidR="00F9656B" w:rsidRPr="00FF75A4" w14:paraId="392CA625" w14:textId="77777777" w:rsidTr="009B4189">
        <w:trPr>
          <w:trHeight w:val="360"/>
        </w:trPr>
        <w:tc>
          <w:tcPr>
            <w:tcW w:w="3630" w:type="dxa"/>
            <w:gridSpan w:val="4"/>
            <w:tcBorders>
              <w:left w:val="nil"/>
            </w:tcBorders>
          </w:tcPr>
          <w:p w14:paraId="0C943686" w14:textId="77777777" w:rsidR="00F9656B" w:rsidRPr="00FF75A4" w:rsidRDefault="00F9656B" w:rsidP="00F9656B">
            <w:pPr>
              <w:widowControl w:val="0"/>
              <w:autoSpaceDE w:val="0"/>
              <w:autoSpaceDN w:val="0"/>
              <w:spacing w:before="69" w:after="0"/>
              <w:ind w:left="-1"/>
              <w:jc w:val="left"/>
              <w:rPr>
                <w:noProof/>
                <w:sz w:val="17"/>
              </w:rPr>
            </w:pPr>
            <w:r w:rsidRPr="00FF75A4">
              <w:rPr>
                <w:noProof/>
                <w:color w:val="231F20"/>
                <w:sz w:val="17"/>
              </w:rPr>
              <w:t>Параметри, свързани с историята на кораба</w:t>
            </w:r>
          </w:p>
        </w:tc>
        <w:tc>
          <w:tcPr>
            <w:tcW w:w="2560" w:type="dxa"/>
            <w:gridSpan w:val="2"/>
          </w:tcPr>
          <w:p w14:paraId="2CFC6A81" w14:textId="77777777" w:rsidR="00F9656B" w:rsidRPr="00FF75A4" w:rsidRDefault="00F9656B" w:rsidP="00F9656B">
            <w:pPr>
              <w:widowControl w:val="0"/>
              <w:autoSpaceDE w:val="0"/>
              <w:autoSpaceDN w:val="0"/>
              <w:spacing w:before="0" w:after="0"/>
              <w:jc w:val="left"/>
              <w:rPr>
                <w:noProof/>
                <w:sz w:val="16"/>
              </w:rPr>
            </w:pPr>
          </w:p>
        </w:tc>
        <w:tc>
          <w:tcPr>
            <w:tcW w:w="1066" w:type="dxa"/>
            <w:vMerge/>
            <w:tcBorders>
              <w:top w:val="nil"/>
            </w:tcBorders>
            <w:textDirection w:val="btLr"/>
          </w:tcPr>
          <w:p w14:paraId="6A8E96B3" w14:textId="77777777" w:rsidR="00F9656B" w:rsidRPr="00FF75A4" w:rsidRDefault="00F9656B" w:rsidP="00F9656B">
            <w:pPr>
              <w:rPr>
                <w:noProof/>
                <w:sz w:val="2"/>
              </w:rPr>
            </w:pPr>
          </w:p>
        </w:tc>
        <w:tc>
          <w:tcPr>
            <w:tcW w:w="1062" w:type="dxa"/>
            <w:tcBorders>
              <w:right w:val="nil"/>
            </w:tcBorders>
          </w:tcPr>
          <w:p w14:paraId="7B3847EF" w14:textId="77777777" w:rsidR="00F9656B" w:rsidRPr="00FF75A4" w:rsidRDefault="00F9656B" w:rsidP="00F9656B">
            <w:pPr>
              <w:widowControl w:val="0"/>
              <w:autoSpaceDE w:val="0"/>
              <w:autoSpaceDN w:val="0"/>
              <w:spacing w:before="0" w:after="0"/>
              <w:jc w:val="left"/>
              <w:rPr>
                <w:noProof/>
                <w:sz w:val="16"/>
              </w:rPr>
            </w:pPr>
          </w:p>
        </w:tc>
      </w:tr>
      <w:tr w:rsidR="00F9656B" w:rsidRPr="00FF75A4" w14:paraId="3CD848A1" w14:textId="77777777" w:rsidTr="009B4189">
        <w:trPr>
          <w:trHeight w:val="1320"/>
        </w:trPr>
        <w:tc>
          <w:tcPr>
            <w:tcW w:w="431" w:type="dxa"/>
            <w:tcBorders>
              <w:left w:val="nil"/>
            </w:tcBorders>
          </w:tcPr>
          <w:p w14:paraId="00EE98E9" w14:textId="77777777" w:rsidR="00F9656B" w:rsidRPr="00FF75A4" w:rsidRDefault="00F9656B" w:rsidP="00F9656B">
            <w:pPr>
              <w:widowControl w:val="0"/>
              <w:autoSpaceDE w:val="0"/>
              <w:autoSpaceDN w:val="0"/>
              <w:spacing w:before="70" w:after="0"/>
              <w:jc w:val="left"/>
              <w:rPr>
                <w:noProof/>
                <w:sz w:val="17"/>
              </w:rPr>
            </w:pPr>
            <w:r w:rsidRPr="00FF75A4">
              <w:rPr>
                <w:noProof/>
                <w:color w:val="231F20"/>
                <w:sz w:val="17"/>
              </w:rPr>
              <w:t>6</w:t>
            </w:r>
          </w:p>
        </w:tc>
        <w:tc>
          <w:tcPr>
            <w:tcW w:w="2133" w:type="dxa"/>
            <w:gridSpan w:val="2"/>
          </w:tcPr>
          <w:p w14:paraId="5C6CD059" w14:textId="77777777" w:rsidR="00F9656B" w:rsidRPr="00FF75A4" w:rsidRDefault="00F9656B" w:rsidP="0019616A">
            <w:pPr>
              <w:widowControl w:val="0"/>
              <w:autoSpaceDE w:val="0"/>
              <w:autoSpaceDN w:val="0"/>
              <w:spacing w:before="73" w:after="0" w:line="235" w:lineRule="auto"/>
              <w:ind w:left="84" w:right="80"/>
              <w:rPr>
                <w:noProof/>
                <w:sz w:val="17"/>
              </w:rPr>
            </w:pPr>
            <w:r w:rsidRPr="00FF75A4">
              <w:rPr>
                <w:noProof/>
                <w:color w:val="231F20"/>
                <w:sz w:val="17"/>
              </w:rPr>
              <w:t>Брой регистрирани неизправности при всяка проверка през предходните 36 месеца</w:t>
            </w:r>
          </w:p>
        </w:tc>
        <w:tc>
          <w:tcPr>
            <w:tcW w:w="1066" w:type="dxa"/>
            <w:textDirection w:val="btLr"/>
          </w:tcPr>
          <w:p w14:paraId="5581DEE4" w14:textId="77777777" w:rsidR="00F9656B" w:rsidRPr="00FF75A4" w:rsidRDefault="00F9656B" w:rsidP="00F9656B">
            <w:pPr>
              <w:widowControl w:val="0"/>
              <w:autoSpaceDE w:val="0"/>
              <w:autoSpaceDN w:val="0"/>
              <w:spacing w:before="90" w:after="0"/>
              <w:ind w:left="276"/>
              <w:jc w:val="left"/>
              <w:rPr>
                <w:noProof/>
                <w:sz w:val="17"/>
              </w:rPr>
            </w:pPr>
            <w:r w:rsidRPr="00FF75A4">
              <w:rPr>
                <w:noProof/>
                <w:color w:val="231F20"/>
                <w:sz w:val="17"/>
              </w:rPr>
              <w:t>Неизправности</w:t>
            </w:r>
          </w:p>
        </w:tc>
        <w:tc>
          <w:tcPr>
            <w:tcW w:w="1396" w:type="dxa"/>
          </w:tcPr>
          <w:p w14:paraId="7250C018" w14:textId="77777777" w:rsidR="00F9656B" w:rsidRPr="00FF75A4" w:rsidRDefault="00F9656B" w:rsidP="00F9656B">
            <w:pPr>
              <w:widowControl w:val="0"/>
              <w:autoSpaceDE w:val="0"/>
              <w:autoSpaceDN w:val="0"/>
              <w:spacing w:before="70" w:after="0"/>
              <w:ind w:left="84"/>
              <w:jc w:val="left"/>
              <w:rPr>
                <w:noProof/>
                <w:color w:val="231F20"/>
                <w:sz w:val="17"/>
              </w:rPr>
            </w:pPr>
            <w:r w:rsidRPr="00FF75A4">
              <w:rPr>
                <w:noProof/>
                <w:color w:val="231F20"/>
                <w:sz w:val="17"/>
              </w:rPr>
              <w:t>&gt; 6 при една от проверките</w:t>
            </w:r>
          </w:p>
        </w:tc>
        <w:tc>
          <w:tcPr>
            <w:tcW w:w="1164" w:type="dxa"/>
          </w:tcPr>
          <w:p w14:paraId="1EE64ECF" w14:textId="77777777" w:rsidR="00F9656B" w:rsidRPr="00FF75A4" w:rsidRDefault="00F9656B" w:rsidP="00F9656B">
            <w:pPr>
              <w:widowControl w:val="0"/>
              <w:autoSpaceDE w:val="0"/>
              <w:autoSpaceDN w:val="0"/>
              <w:spacing w:before="70" w:after="0"/>
              <w:ind w:right="2"/>
              <w:jc w:val="center"/>
              <w:rPr>
                <w:noProof/>
                <w:sz w:val="17"/>
              </w:rPr>
            </w:pPr>
            <w:r w:rsidRPr="00FF75A4">
              <w:rPr>
                <w:noProof/>
                <w:color w:val="231F20"/>
                <w:sz w:val="17"/>
              </w:rPr>
              <w:t>-</w:t>
            </w:r>
          </w:p>
        </w:tc>
        <w:tc>
          <w:tcPr>
            <w:tcW w:w="1066" w:type="dxa"/>
            <w:vMerge/>
            <w:tcBorders>
              <w:top w:val="nil"/>
            </w:tcBorders>
            <w:textDirection w:val="btLr"/>
          </w:tcPr>
          <w:p w14:paraId="046A18DF" w14:textId="77777777" w:rsidR="00F9656B" w:rsidRPr="00FF75A4" w:rsidRDefault="00F9656B" w:rsidP="00F9656B">
            <w:pPr>
              <w:rPr>
                <w:noProof/>
                <w:sz w:val="2"/>
              </w:rPr>
            </w:pPr>
          </w:p>
        </w:tc>
        <w:tc>
          <w:tcPr>
            <w:tcW w:w="1062" w:type="dxa"/>
            <w:tcBorders>
              <w:right w:val="nil"/>
            </w:tcBorders>
          </w:tcPr>
          <w:p w14:paraId="7548C2EE" w14:textId="77777777" w:rsidR="00F9656B" w:rsidRPr="00FF75A4" w:rsidRDefault="00F9656B" w:rsidP="00F9656B">
            <w:pPr>
              <w:widowControl w:val="0"/>
              <w:autoSpaceDE w:val="0"/>
              <w:autoSpaceDN w:val="0"/>
              <w:spacing w:before="73" w:after="0" w:line="235" w:lineRule="auto"/>
              <w:ind w:left="51" w:right="53" w:firstLine="1"/>
              <w:jc w:val="center"/>
              <w:rPr>
                <w:noProof/>
                <w:sz w:val="17"/>
              </w:rPr>
            </w:pPr>
            <w:r w:rsidRPr="00FF75A4">
              <w:rPr>
                <w:noProof/>
                <w:color w:val="231F20"/>
                <w:sz w:val="17"/>
              </w:rPr>
              <w:t>≤ 5 при всяка отделна проверка (и поне една извършена проверка през предходните</w:t>
            </w:r>
          </w:p>
          <w:p w14:paraId="036B0CD7" w14:textId="77777777" w:rsidR="00F9656B" w:rsidRPr="00FF75A4" w:rsidRDefault="00F9656B" w:rsidP="00F9656B">
            <w:pPr>
              <w:widowControl w:val="0"/>
              <w:autoSpaceDE w:val="0"/>
              <w:autoSpaceDN w:val="0"/>
              <w:spacing w:before="0" w:after="0" w:line="194" w:lineRule="exact"/>
              <w:ind w:left="62" w:right="66"/>
              <w:jc w:val="center"/>
              <w:rPr>
                <w:noProof/>
                <w:sz w:val="17"/>
              </w:rPr>
            </w:pPr>
            <w:r w:rsidRPr="00FF75A4">
              <w:rPr>
                <w:noProof/>
                <w:color w:val="231F20"/>
                <w:sz w:val="17"/>
              </w:rPr>
              <w:t>36 месеца)</w:t>
            </w:r>
          </w:p>
        </w:tc>
      </w:tr>
      <w:tr w:rsidR="00F9656B" w:rsidRPr="00FF75A4" w14:paraId="7159F23E" w14:textId="77777777" w:rsidTr="009B4189">
        <w:trPr>
          <w:trHeight w:val="1235"/>
        </w:trPr>
        <w:tc>
          <w:tcPr>
            <w:tcW w:w="431" w:type="dxa"/>
            <w:tcBorders>
              <w:left w:val="nil"/>
            </w:tcBorders>
          </w:tcPr>
          <w:p w14:paraId="50672EFD" w14:textId="77777777" w:rsidR="00F9656B" w:rsidRPr="00FF75A4" w:rsidRDefault="00F9656B" w:rsidP="00F9656B">
            <w:pPr>
              <w:widowControl w:val="0"/>
              <w:autoSpaceDE w:val="0"/>
              <w:autoSpaceDN w:val="0"/>
              <w:spacing w:before="70" w:after="0"/>
              <w:ind w:left="-1"/>
              <w:jc w:val="left"/>
              <w:rPr>
                <w:noProof/>
                <w:sz w:val="17"/>
              </w:rPr>
            </w:pPr>
            <w:r w:rsidRPr="00FF75A4">
              <w:rPr>
                <w:noProof/>
                <w:color w:val="231F20"/>
                <w:sz w:val="17"/>
              </w:rPr>
              <w:t>7</w:t>
            </w:r>
          </w:p>
        </w:tc>
        <w:tc>
          <w:tcPr>
            <w:tcW w:w="2133" w:type="dxa"/>
            <w:gridSpan w:val="2"/>
          </w:tcPr>
          <w:p w14:paraId="21828C55" w14:textId="77777777" w:rsidR="00F9656B" w:rsidRPr="00FF75A4" w:rsidRDefault="00F9656B" w:rsidP="00F9656B">
            <w:pPr>
              <w:widowControl w:val="0"/>
              <w:tabs>
                <w:tab w:val="left" w:pos="919"/>
                <w:tab w:val="left" w:pos="1342"/>
              </w:tabs>
              <w:autoSpaceDE w:val="0"/>
              <w:autoSpaceDN w:val="0"/>
              <w:spacing w:before="73" w:after="0" w:line="235" w:lineRule="auto"/>
              <w:ind w:left="84" w:right="84"/>
              <w:jc w:val="left"/>
              <w:rPr>
                <w:noProof/>
                <w:sz w:val="17"/>
              </w:rPr>
            </w:pPr>
            <w:r w:rsidRPr="00FF75A4">
              <w:rPr>
                <w:noProof/>
                <w:color w:val="231F20"/>
                <w:sz w:val="17"/>
              </w:rPr>
              <w:t>Брой</w:t>
            </w:r>
            <w:r w:rsidRPr="00FF75A4">
              <w:rPr>
                <w:noProof/>
              </w:rPr>
              <w:tab/>
            </w:r>
            <w:r w:rsidRPr="00FF75A4">
              <w:rPr>
                <w:noProof/>
              </w:rPr>
              <w:tab/>
            </w:r>
            <w:r w:rsidRPr="00FF75A4">
              <w:rPr>
                <w:noProof/>
                <w:color w:val="231F20"/>
                <w:sz w:val="17"/>
              </w:rPr>
              <w:t>задържания през предходните 36 месеца</w:t>
            </w:r>
          </w:p>
        </w:tc>
        <w:tc>
          <w:tcPr>
            <w:tcW w:w="1066" w:type="dxa"/>
            <w:textDirection w:val="btLr"/>
          </w:tcPr>
          <w:p w14:paraId="284E6C5A" w14:textId="77777777" w:rsidR="00F9656B" w:rsidRPr="00FF75A4" w:rsidRDefault="00F9656B" w:rsidP="00F9656B">
            <w:pPr>
              <w:widowControl w:val="0"/>
              <w:autoSpaceDE w:val="0"/>
              <w:autoSpaceDN w:val="0"/>
              <w:spacing w:before="90" w:after="0"/>
              <w:ind w:left="145"/>
              <w:jc w:val="left"/>
              <w:rPr>
                <w:noProof/>
                <w:sz w:val="17"/>
              </w:rPr>
            </w:pPr>
            <w:r w:rsidRPr="00FF75A4">
              <w:rPr>
                <w:noProof/>
                <w:color w:val="231F20"/>
                <w:sz w:val="17"/>
              </w:rPr>
              <w:t>Задържания</w:t>
            </w:r>
          </w:p>
        </w:tc>
        <w:tc>
          <w:tcPr>
            <w:tcW w:w="1396" w:type="dxa"/>
          </w:tcPr>
          <w:p w14:paraId="639F7982" w14:textId="77777777" w:rsidR="00F9656B" w:rsidRPr="00FF75A4" w:rsidRDefault="00F9656B" w:rsidP="00F9656B">
            <w:pPr>
              <w:widowControl w:val="0"/>
              <w:autoSpaceDE w:val="0"/>
              <w:autoSpaceDN w:val="0"/>
              <w:spacing w:before="70" w:after="0"/>
              <w:ind w:left="84"/>
              <w:jc w:val="left"/>
              <w:rPr>
                <w:noProof/>
                <w:sz w:val="17"/>
              </w:rPr>
            </w:pPr>
            <w:r w:rsidRPr="00FF75A4">
              <w:rPr>
                <w:noProof/>
                <w:color w:val="231F20"/>
                <w:sz w:val="17"/>
              </w:rPr>
              <w:t>≥ 2 задържания</w:t>
            </w:r>
          </w:p>
        </w:tc>
        <w:tc>
          <w:tcPr>
            <w:tcW w:w="1164" w:type="dxa"/>
          </w:tcPr>
          <w:p w14:paraId="78054EA2" w14:textId="77777777" w:rsidR="00F9656B" w:rsidRPr="00FF75A4" w:rsidRDefault="00F9656B" w:rsidP="00F9656B">
            <w:pPr>
              <w:widowControl w:val="0"/>
              <w:autoSpaceDE w:val="0"/>
              <w:autoSpaceDN w:val="0"/>
              <w:spacing w:before="70" w:after="0"/>
              <w:ind w:right="3"/>
              <w:jc w:val="center"/>
              <w:rPr>
                <w:noProof/>
                <w:sz w:val="17"/>
              </w:rPr>
            </w:pPr>
            <w:r w:rsidRPr="00FF75A4">
              <w:rPr>
                <w:noProof/>
                <w:color w:val="231F20"/>
                <w:sz w:val="17"/>
              </w:rPr>
              <w:t>1</w:t>
            </w:r>
          </w:p>
        </w:tc>
        <w:tc>
          <w:tcPr>
            <w:tcW w:w="1066" w:type="dxa"/>
            <w:vMerge/>
            <w:tcBorders>
              <w:top w:val="nil"/>
              <w:bottom w:val="nil"/>
            </w:tcBorders>
            <w:textDirection w:val="btLr"/>
          </w:tcPr>
          <w:p w14:paraId="7EA697F5" w14:textId="77777777" w:rsidR="00F9656B" w:rsidRPr="00FF75A4" w:rsidRDefault="00F9656B" w:rsidP="00F9656B">
            <w:pPr>
              <w:rPr>
                <w:noProof/>
                <w:sz w:val="2"/>
              </w:rPr>
            </w:pPr>
          </w:p>
        </w:tc>
        <w:tc>
          <w:tcPr>
            <w:tcW w:w="1062" w:type="dxa"/>
            <w:tcBorders>
              <w:right w:val="nil"/>
            </w:tcBorders>
          </w:tcPr>
          <w:p w14:paraId="58207CA0" w14:textId="77777777" w:rsidR="00F9656B" w:rsidRPr="00FF75A4" w:rsidRDefault="00F9656B" w:rsidP="00F9656B">
            <w:pPr>
              <w:widowControl w:val="0"/>
              <w:autoSpaceDE w:val="0"/>
              <w:autoSpaceDN w:val="0"/>
              <w:spacing w:before="70" w:after="0"/>
              <w:ind w:left="62" w:right="66"/>
              <w:jc w:val="center"/>
              <w:rPr>
                <w:noProof/>
                <w:sz w:val="17"/>
              </w:rPr>
            </w:pPr>
            <w:r w:rsidRPr="00FF75A4">
              <w:rPr>
                <w:noProof/>
                <w:color w:val="231F20"/>
                <w:sz w:val="17"/>
              </w:rPr>
              <w:t>Няма задържания</w:t>
            </w:r>
          </w:p>
        </w:tc>
      </w:tr>
      <w:tr w:rsidR="00F9656B" w:rsidRPr="00FF75A4" w14:paraId="240AA22B" w14:textId="77777777" w:rsidTr="009B4189">
        <w:trPr>
          <w:trHeight w:val="274"/>
        </w:trPr>
        <w:tc>
          <w:tcPr>
            <w:tcW w:w="6190" w:type="dxa"/>
            <w:gridSpan w:val="6"/>
            <w:tcBorders>
              <w:left w:val="nil"/>
            </w:tcBorders>
          </w:tcPr>
          <w:p w14:paraId="22AF38D9" w14:textId="77777777" w:rsidR="00F9656B" w:rsidRPr="00FF75A4" w:rsidRDefault="00F9656B" w:rsidP="00F9656B">
            <w:pPr>
              <w:widowControl w:val="0"/>
              <w:autoSpaceDE w:val="0"/>
              <w:autoSpaceDN w:val="0"/>
              <w:spacing w:before="70" w:after="0"/>
              <w:ind w:right="3"/>
              <w:jc w:val="left"/>
              <w:rPr>
                <w:noProof/>
                <w:color w:val="231F20"/>
                <w:w w:val="99"/>
                <w:sz w:val="17"/>
              </w:rPr>
            </w:pPr>
            <w:r w:rsidRPr="00FF75A4">
              <w:rPr>
                <w:noProof/>
                <w:color w:val="231F20"/>
                <w:sz w:val="17"/>
              </w:rPr>
              <w:t>Параметри на околната среда</w:t>
            </w:r>
          </w:p>
        </w:tc>
        <w:tc>
          <w:tcPr>
            <w:tcW w:w="1066" w:type="dxa"/>
            <w:tcBorders>
              <w:top w:val="nil"/>
              <w:bottom w:val="nil"/>
            </w:tcBorders>
            <w:textDirection w:val="btLr"/>
          </w:tcPr>
          <w:p w14:paraId="3724AE48" w14:textId="77777777" w:rsidR="00F9656B" w:rsidRPr="00FF75A4" w:rsidRDefault="00F9656B" w:rsidP="00F9656B">
            <w:pPr>
              <w:rPr>
                <w:noProof/>
                <w:sz w:val="2"/>
              </w:rPr>
            </w:pPr>
          </w:p>
        </w:tc>
        <w:tc>
          <w:tcPr>
            <w:tcW w:w="1062" w:type="dxa"/>
            <w:tcBorders>
              <w:right w:val="nil"/>
            </w:tcBorders>
          </w:tcPr>
          <w:p w14:paraId="153EC4A5" w14:textId="77777777" w:rsidR="00F9656B" w:rsidRPr="00FF75A4" w:rsidRDefault="00F9656B" w:rsidP="00F9656B">
            <w:pPr>
              <w:widowControl w:val="0"/>
              <w:autoSpaceDE w:val="0"/>
              <w:autoSpaceDN w:val="0"/>
              <w:spacing w:before="70" w:after="0"/>
              <w:ind w:left="62" w:right="66"/>
              <w:jc w:val="center"/>
              <w:rPr>
                <w:noProof/>
                <w:color w:val="231F20"/>
                <w:sz w:val="17"/>
              </w:rPr>
            </w:pPr>
          </w:p>
        </w:tc>
      </w:tr>
      <w:tr w:rsidR="00F9656B" w:rsidRPr="00FF75A4" w14:paraId="38AAF3F3" w14:textId="77777777" w:rsidTr="009B4189">
        <w:trPr>
          <w:trHeight w:val="1235"/>
        </w:trPr>
        <w:tc>
          <w:tcPr>
            <w:tcW w:w="431" w:type="dxa"/>
            <w:tcBorders>
              <w:left w:val="nil"/>
            </w:tcBorders>
          </w:tcPr>
          <w:p w14:paraId="46FC1640" w14:textId="77777777" w:rsidR="00F9656B" w:rsidRPr="00FF75A4" w:rsidRDefault="00F9656B" w:rsidP="00F9656B">
            <w:pPr>
              <w:widowControl w:val="0"/>
              <w:autoSpaceDE w:val="0"/>
              <w:autoSpaceDN w:val="0"/>
              <w:spacing w:before="70" w:after="0"/>
              <w:ind w:left="-1"/>
              <w:jc w:val="left"/>
              <w:rPr>
                <w:noProof/>
                <w:color w:val="231F20"/>
                <w:w w:val="99"/>
                <w:sz w:val="17"/>
              </w:rPr>
            </w:pPr>
            <w:r w:rsidRPr="00FF75A4">
              <w:rPr>
                <w:noProof/>
                <w:color w:val="231F20"/>
                <w:sz w:val="17"/>
              </w:rPr>
              <w:t>8</w:t>
            </w:r>
          </w:p>
        </w:tc>
        <w:tc>
          <w:tcPr>
            <w:tcW w:w="2133" w:type="dxa"/>
            <w:gridSpan w:val="2"/>
          </w:tcPr>
          <w:p w14:paraId="4FEE6BCB" w14:textId="77777777" w:rsidR="00F9656B" w:rsidRPr="00FF75A4" w:rsidRDefault="00F9656B" w:rsidP="00F9656B">
            <w:pPr>
              <w:widowControl w:val="0"/>
              <w:tabs>
                <w:tab w:val="left" w:pos="919"/>
                <w:tab w:val="left" w:pos="1342"/>
              </w:tabs>
              <w:autoSpaceDE w:val="0"/>
              <w:autoSpaceDN w:val="0"/>
              <w:spacing w:before="73" w:after="0" w:line="235" w:lineRule="auto"/>
              <w:ind w:left="84" w:right="84"/>
              <w:jc w:val="left"/>
              <w:rPr>
                <w:noProof/>
                <w:color w:val="231F20"/>
                <w:spacing w:val="-2"/>
                <w:sz w:val="17"/>
              </w:rPr>
            </w:pPr>
            <w:r w:rsidRPr="00FF75A4">
              <w:rPr>
                <w:noProof/>
                <w:color w:val="231F20"/>
                <w:sz w:val="17"/>
              </w:rPr>
              <w:t>Показател за въглероден интензитет (CII)</w:t>
            </w:r>
          </w:p>
        </w:tc>
        <w:tc>
          <w:tcPr>
            <w:tcW w:w="1066" w:type="dxa"/>
            <w:textDirection w:val="btLr"/>
          </w:tcPr>
          <w:p w14:paraId="08AA1CB9" w14:textId="77777777" w:rsidR="00F9656B" w:rsidRPr="00FF75A4" w:rsidRDefault="00F9656B" w:rsidP="00F9656B">
            <w:pPr>
              <w:widowControl w:val="0"/>
              <w:autoSpaceDE w:val="0"/>
              <w:autoSpaceDN w:val="0"/>
              <w:spacing w:before="90" w:after="0"/>
              <w:ind w:left="145"/>
              <w:jc w:val="left"/>
              <w:rPr>
                <w:noProof/>
                <w:color w:val="231F20"/>
                <w:spacing w:val="-2"/>
                <w:sz w:val="17"/>
              </w:rPr>
            </w:pPr>
            <w:r w:rsidRPr="00FF75A4">
              <w:rPr>
                <w:noProof/>
                <w:color w:val="231F20"/>
                <w:sz w:val="17"/>
              </w:rPr>
              <w:t>Категоризация</w:t>
            </w:r>
          </w:p>
          <w:p w14:paraId="011C8DBF" w14:textId="77777777" w:rsidR="00F9656B" w:rsidRPr="00FF75A4" w:rsidRDefault="00F9656B" w:rsidP="00F9656B">
            <w:pPr>
              <w:widowControl w:val="0"/>
              <w:autoSpaceDE w:val="0"/>
              <w:autoSpaceDN w:val="0"/>
              <w:spacing w:before="90" w:after="0"/>
              <w:ind w:left="145"/>
              <w:jc w:val="left"/>
              <w:rPr>
                <w:noProof/>
                <w:color w:val="231F20"/>
                <w:spacing w:val="-2"/>
                <w:sz w:val="17"/>
              </w:rPr>
            </w:pPr>
          </w:p>
        </w:tc>
        <w:tc>
          <w:tcPr>
            <w:tcW w:w="1396" w:type="dxa"/>
          </w:tcPr>
          <w:p w14:paraId="3F769621" w14:textId="77777777" w:rsidR="00F9656B" w:rsidRPr="00FF75A4" w:rsidRDefault="00F9656B" w:rsidP="00F9656B">
            <w:pPr>
              <w:widowControl w:val="0"/>
              <w:autoSpaceDE w:val="0"/>
              <w:autoSpaceDN w:val="0"/>
              <w:spacing w:before="70" w:after="0"/>
              <w:ind w:left="84"/>
              <w:jc w:val="left"/>
              <w:rPr>
                <w:noProof/>
                <w:color w:val="231F20"/>
                <w:sz w:val="17"/>
              </w:rPr>
            </w:pPr>
            <w:r w:rsidRPr="00FF75A4">
              <w:rPr>
                <w:noProof/>
                <w:color w:val="231F20"/>
                <w:sz w:val="17"/>
              </w:rPr>
              <w:t>D—E</w:t>
            </w:r>
          </w:p>
        </w:tc>
        <w:tc>
          <w:tcPr>
            <w:tcW w:w="1164" w:type="dxa"/>
          </w:tcPr>
          <w:p w14:paraId="436A3D3E" w14:textId="77777777" w:rsidR="00F9656B" w:rsidRPr="00FF75A4" w:rsidRDefault="0019616A" w:rsidP="0019616A">
            <w:pPr>
              <w:widowControl w:val="0"/>
              <w:autoSpaceDE w:val="0"/>
              <w:autoSpaceDN w:val="0"/>
              <w:spacing w:before="70" w:after="0"/>
              <w:ind w:right="3"/>
              <w:jc w:val="center"/>
              <w:rPr>
                <w:noProof/>
                <w:color w:val="231F20"/>
                <w:w w:val="99"/>
                <w:sz w:val="17"/>
              </w:rPr>
            </w:pPr>
            <w:r w:rsidRPr="00FF75A4">
              <w:rPr>
                <w:noProof/>
                <w:color w:val="231F20"/>
                <w:sz w:val="17"/>
              </w:rPr>
              <w:t>1</w:t>
            </w:r>
          </w:p>
        </w:tc>
        <w:tc>
          <w:tcPr>
            <w:tcW w:w="1066" w:type="dxa"/>
            <w:tcBorders>
              <w:top w:val="nil"/>
              <w:bottom w:val="nil"/>
            </w:tcBorders>
            <w:textDirection w:val="btLr"/>
          </w:tcPr>
          <w:p w14:paraId="5DBC3CE0" w14:textId="77777777" w:rsidR="00F9656B" w:rsidRPr="00FF75A4" w:rsidRDefault="00F9656B" w:rsidP="00F9656B">
            <w:pPr>
              <w:rPr>
                <w:b/>
                <w:noProof/>
                <w:sz w:val="2"/>
              </w:rPr>
            </w:pPr>
          </w:p>
        </w:tc>
        <w:tc>
          <w:tcPr>
            <w:tcW w:w="1062" w:type="dxa"/>
            <w:tcBorders>
              <w:right w:val="nil"/>
            </w:tcBorders>
          </w:tcPr>
          <w:p w14:paraId="197856E9" w14:textId="77777777" w:rsidR="00F9656B" w:rsidRPr="00FF75A4" w:rsidRDefault="00F9656B" w:rsidP="00F9656B">
            <w:pPr>
              <w:widowControl w:val="0"/>
              <w:autoSpaceDE w:val="0"/>
              <w:autoSpaceDN w:val="0"/>
              <w:spacing w:before="70" w:after="0"/>
              <w:ind w:left="62" w:right="66"/>
              <w:jc w:val="center"/>
              <w:rPr>
                <w:b/>
                <w:noProof/>
                <w:color w:val="231F20"/>
                <w:sz w:val="17"/>
              </w:rPr>
            </w:pPr>
          </w:p>
        </w:tc>
      </w:tr>
      <w:tr w:rsidR="00F9656B" w:rsidRPr="00FF75A4" w14:paraId="33694428" w14:textId="77777777" w:rsidTr="009B4189">
        <w:trPr>
          <w:trHeight w:val="1235"/>
        </w:trPr>
        <w:tc>
          <w:tcPr>
            <w:tcW w:w="431" w:type="dxa"/>
            <w:tcBorders>
              <w:left w:val="nil"/>
            </w:tcBorders>
          </w:tcPr>
          <w:p w14:paraId="115D79D0" w14:textId="77777777" w:rsidR="00F9656B" w:rsidRPr="00FF75A4" w:rsidRDefault="00F9656B" w:rsidP="00F9656B">
            <w:pPr>
              <w:widowControl w:val="0"/>
              <w:autoSpaceDE w:val="0"/>
              <w:autoSpaceDN w:val="0"/>
              <w:spacing w:before="70" w:after="0"/>
              <w:ind w:left="-1"/>
              <w:jc w:val="left"/>
              <w:rPr>
                <w:noProof/>
                <w:color w:val="231F20"/>
                <w:w w:val="99"/>
                <w:sz w:val="17"/>
              </w:rPr>
            </w:pPr>
            <w:r w:rsidRPr="00FF75A4">
              <w:rPr>
                <w:noProof/>
                <w:color w:val="231F20"/>
                <w:sz w:val="17"/>
              </w:rPr>
              <w:t>9</w:t>
            </w:r>
          </w:p>
        </w:tc>
        <w:tc>
          <w:tcPr>
            <w:tcW w:w="2133" w:type="dxa"/>
            <w:gridSpan w:val="2"/>
          </w:tcPr>
          <w:p w14:paraId="4A16CD72" w14:textId="77777777" w:rsidR="00F9656B" w:rsidRPr="00FF75A4" w:rsidRDefault="00F9656B" w:rsidP="0019616A">
            <w:pPr>
              <w:widowControl w:val="0"/>
              <w:tabs>
                <w:tab w:val="left" w:pos="919"/>
                <w:tab w:val="left" w:pos="1342"/>
              </w:tabs>
              <w:autoSpaceDE w:val="0"/>
              <w:autoSpaceDN w:val="0"/>
              <w:spacing w:before="73" w:after="0" w:line="235" w:lineRule="auto"/>
              <w:ind w:left="84" w:right="84"/>
              <w:jc w:val="left"/>
              <w:rPr>
                <w:noProof/>
                <w:color w:val="231F20"/>
                <w:spacing w:val="-2"/>
                <w:sz w:val="17"/>
              </w:rPr>
            </w:pPr>
            <w:r w:rsidRPr="00FF75A4">
              <w:rPr>
                <w:noProof/>
                <w:color w:val="231F20"/>
                <w:sz w:val="17"/>
              </w:rPr>
              <w:t>Брой неизправности, свързани с конвенциите MARPOL, AFS, BWM, CLC 92, Конвенцията за корабното гориво и Конвенцията от Найроби, регистрирани при всяка проверка през предходните 36 месеца</w:t>
            </w:r>
          </w:p>
        </w:tc>
        <w:tc>
          <w:tcPr>
            <w:tcW w:w="1066" w:type="dxa"/>
            <w:textDirection w:val="btLr"/>
          </w:tcPr>
          <w:p w14:paraId="67D460AF" w14:textId="77777777" w:rsidR="00F9656B" w:rsidRPr="00FF75A4" w:rsidRDefault="00F9656B" w:rsidP="00F9656B">
            <w:pPr>
              <w:widowControl w:val="0"/>
              <w:autoSpaceDE w:val="0"/>
              <w:autoSpaceDN w:val="0"/>
              <w:spacing w:before="90" w:after="0"/>
              <w:ind w:left="145"/>
              <w:jc w:val="left"/>
              <w:rPr>
                <w:noProof/>
                <w:color w:val="231F20"/>
                <w:spacing w:val="-2"/>
                <w:sz w:val="17"/>
              </w:rPr>
            </w:pPr>
            <w:r w:rsidRPr="00FF75A4">
              <w:rPr>
                <w:noProof/>
                <w:color w:val="231F20"/>
                <w:sz w:val="17"/>
              </w:rPr>
              <w:t>Неизправности</w:t>
            </w:r>
          </w:p>
          <w:p w14:paraId="598E0459" w14:textId="77777777" w:rsidR="00F9656B" w:rsidRPr="00FF75A4" w:rsidRDefault="00F9656B" w:rsidP="00F9656B">
            <w:pPr>
              <w:widowControl w:val="0"/>
              <w:autoSpaceDE w:val="0"/>
              <w:autoSpaceDN w:val="0"/>
              <w:spacing w:before="90" w:after="0"/>
              <w:ind w:left="145"/>
              <w:jc w:val="left"/>
              <w:rPr>
                <w:noProof/>
                <w:color w:val="231F20"/>
                <w:spacing w:val="-2"/>
                <w:sz w:val="17"/>
              </w:rPr>
            </w:pPr>
          </w:p>
        </w:tc>
        <w:tc>
          <w:tcPr>
            <w:tcW w:w="1396" w:type="dxa"/>
          </w:tcPr>
          <w:p w14:paraId="38499DF4" w14:textId="77777777" w:rsidR="00F9656B" w:rsidRPr="00FF75A4" w:rsidRDefault="00F9656B" w:rsidP="00F9656B">
            <w:pPr>
              <w:widowControl w:val="0"/>
              <w:autoSpaceDE w:val="0"/>
              <w:autoSpaceDN w:val="0"/>
              <w:spacing w:before="70" w:after="0"/>
              <w:ind w:left="84"/>
              <w:jc w:val="left"/>
              <w:rPr>
                <w:noProof/>
                <w:color w:val="231F20"/>
                <w:sz w:val="17"/>
              </w:rPr>
            </w:pPr>
            <w:r w:rsidRPr="00FF75A4">
              <w:rPr>
                <w:noProof/>
                <w:color w:val="231F20"/>
                <w:sz w:val="17"/>
              </w:rPr>
              <w:t xml:space="preserve">&gt; 3 при една от </w:t>
            </w:r>
          </w:p>
          <w:p w14:paraId="7B3D6863" w14:textId="77777777" w:rsidR="00F9656B" w:rsidRPr="00FF75A4" w:rsidRDefault="00F9656B" w:rsidP="00F9656B">
            <w:pPr>
              <w:widowControl w:val="0"/>
              <w:autoSpaceDE w:val="0"/>
              <w:autoSpaceDN w:val="0"/>
              <w:spacing w:before="70" w:after="0"/>
              <w:ind w:left="84"/>
              <w:jc w:val="left"/>
              <w:rPr>
                <w:noProof/>
                <w:color w:val="231F20"/>
                <w:sz w:val="17"/>
              </w:rPr>
            </w:pPr>
            <w:r w:rsidRPr="00FF75A4">
              <w:rPr>
                <w:noProof/>
                <w:color w:val="231F20"/>
                <w:sz w:val="17"/>
              </w:rPr>
              <w:t>проверките</w:t>
            </w:r>
          </w:p>
        </w:tc>
        <w:tc>
          <w:tcPr>
            <w:tcW w:w="1164" w:type="dxa"/>
          </w:tcPr>
          <w:p w14:paraId="7DDA9A7E" w14:textId="77777777" w:rsidR="00F9656B" w:rsidRPr="00FF75A4" w:rsidRDefault="0019616A" w:rsidP="0019616A">
            <w:pPr>
              <w:widowControl w:val="0"/>
              <w:autoSpaceDE w:val="0"/>
              <w:autoSpaceDN w:val="0"/>
              <w:spacing w:before="70" w:after="0"/>
              <w:ind w:right="3"/>
              <w:jc w:val="center"/>
              <w:rPr>
                <w:noProof/>
                <w:color w:val="231F20"/>
                <w:w w:val="99"/>
                <w:sz w:val="17"/>
              </w:rPr>
            </w:pPr>
            <w:r w:rsidRPr="00FF75A4">
              <w:rPr>
                <w:noProof/>
                <w:color w:val="231F20"/>
                <w:sz w:val="17"/>
              </w:rPr>
              <w:t>1</w:t>
            </w:r>
          </w:p>
        </w:tc>
        <w:tc>
          <w:tcPr>
            <w:tcW w:w="1066" w:type="dxa"/>
            <w:tcBorders>
              <w:top w:val="nil"/>
            </w:tcBorders>
            <w:textDirection w:val="btLr"/>
          </w:tcPr>
          <w:p w14:paraId="4665CFC8" w14:textId="77777777" w:rsidR="00F9656B" w:rsidRPr="00FF75A4" w:rsidRDefault="00F9656B" w:rsidP="00F9656B">
            <w:pPr>
              <w:rPr>
                <w:b/>
                <w:noProof/>
                <w:sz w:val="2"/>
              </w:rPr>
            </w:pPr>
          </w:p>
        </w:tc>
        <w:tc>
          <w:tcPr>
            <w:tcW w:w="1062" w:type="dxa"/>
            <w:tcBorders>
              <w:right w:val="nil"/>
            </w:tcBorders>
          </w:tcPr>
          <w:p w14:paraId="4AE0F6CF" w14:textId="77777777" w:rsidR="00F9656B" w:rsidRPr="00FF75A4" w:rsidRDefault="00F9656B" w:rsidP="00F9656B">
            <w:pPr>
              <w:widowControl w:val="0"/>
              <w:autoSpaceDE w:val="0"/>
              <w:autoSpaceDN w:val="0"/>
              <w:spacing w:before="70" w:after="0"/>
              <w:ind w:left="62" w:right="66"/>
              <w:jc w:val="center"/>
              <w:rPr>
                <w:b/>
                <w:noProof/>
                <w:color w:val="231F20"/>
                <w:sz w:val="17"/>
              </w:rPr>
            </w:pPr>
          </w:p>
        </w:tc>
      </w:tr>
    </w:tbl>
    <w:p w14:paraId="68688E04" w14:textId="77777777" w:rsidR="003A0F31" w:rsidRPr="00FF75A4" w:rsidRDefault="003A0F31" w:rsidP="003A0F31">
      <w:pPr>
        <w:pStyle w:val="Text1"/>
        <w:rPr>
          <w:noProof/>
          <w:w w:val="105"/>
          <w:sz w:val="14"/>
        </w:rPr>
      </w:pPr>
      <w:r w:rsidRPr="00FF75A4">
        <w:rPr>
          <w:noProof/>
          <w:sz w:val="14"/>
        </w:rPr>
        <w:t>КВРП са кораби, които отговарят на критериите за общ сбор от 5 или повече точки по скалата за оценка. КНРП са кораби, които отговарят на всички критерии за нискорискови параметри.</w:t>
      </w:r>
    </w:p>
    <w:p w14:paraId="0E1D2757" w14:textId="77777777" w:rsidR="003A0F31" w:rsidRPr="00FF75A4" w:rsidRDefault="003A0F31" w:rsidP="003A0F31">
      <w:pPr>
        <w:pStyle w:val="Text1"/>
        <w:rPr>
          <w:noProof/>
          <w:w w:val="105"/>
          <w:sz w:val="14"/>
        </w:rPr>
      </w:pPr>
      <w:r w:rsidRPr="00FF75A4">
        <w:rPr>
          <w:noProof/>
          <w:sz w:val="14"/>
        </w:rPr>
        <w:t>КСРП са кораби, които не са нито КВРП, нито КНРП.</w:t>
      </w:r>
    </w:p>
    <w:p w14:paraId="0F7B0010" w14:textId="77777777" w:rsidR="003A0F31" w:rsidRPr="00FF75A4" w:rsidRDefault="003A0F31" w:rsidP="00F9656B">
      <w:pPr>
        <w:rPr>
          <w:noProof/>
          <w:color w:val="231F20"/>
          <w:w w:val="105"/>
          <w:sz w:val="14"/>
        </w:rPr>
      </w:pPr>
    </w:p>
    <w:p w14:paraId="7CBE15EA" w14:textId="77777777" w:rsidR="00F9656B" w:rsidRPr="00FF75A4" w:rsidRDefault="00F9656B" w:rsidP="00F9656B">
      <w:pPr>
        <w:rPr>
          <w:i/>
          <w:noProof/>
          <w:color w:val="231F20"/>
          <w:sz w:val="17"/>
        </w:rPr>
      </w:pPr>
      <w:r w:rsidRPr="00FF75A4">
        <w:rPr>
          <w:noProof/>
        </w:rPr>
        <w:br w:type="page"/>
      </w:r>
    </w:p>
    <w:p w14:paraId="235BA360" w14:textId="77777777" w:rsidR="00BC0147" w:rsidRPr="00FF75A4" w:rsidRDefault="00BC0147" w:rsidP="00BC0147">
      <w:pPr>
        <w:rPr>
          <w:noProof/>
        </w:rPr>
        <w:sectPr w:rsidR="00BC0147" w:rsidRPr="00FF75A4" w:rsidSect="001D2206">
          <w:pgSz w:w="11907" w:h="16839"/>
          <w:pgMar w:top="1134" w:right="1417" w:bottom="1134" w:left="1417" w:header="709" w:footer="709" w:gutter="0"/>
          <w:cols w:space="720"/>
          <w:docGrid w:linePitch="360"/>
        </w:sectPr>
      </w:pPr>
    </w:p>
    <w:p w14:paraId="0D976CF9" w14:textId="77777777" w:rsidR="00BC0147" w:rsidRPr="00FF75A4" w:rsidRDefault="00BC0147" w:rsidP="00BC0147">
      <w:pPr>
        <w:pStyle w:val="Annexetitre"/>
        <w:rPr>
          <w:noProof/>
        </w:rPr>
      </w:pPr>
      <w:r w:rsidRPr="00FF75A4">
        <w:rPr>
          <w:noProof/>
        </w:rPr>
        <w:t>ПРИЛОЖЕНИЕ III</w:t>
      </w:r>
    </w:p>
    <w:p w14:paraId="053C50CC" w14:textId="77777777" w:rsidR="00BC0147" w:rsidRPr="00FF75A4" w:rsidRDefault="00BC0147" w:rsidP="00BC0147">
      <w:pPr>
        <w:rPr>
          <w:noProof/>
        </w:rPr>
      </w:pPr>
    </w:p>
    <w:p w14:paraId="75F44865" w14:textId="77777777" w:rsidR="00F9656B" w:rsidRPr="00FF75A4" w:rsidRDefault="00F9656B" w:rsidP="00F9656B">
      <w:pPr>
        <w:pStyle w:val="NormalCentered"/>
        <w:rPr>
          <w:noProof/>
        </w:rPr>
      </w:pPr>
      <w:r w:rsidRPr="00FF75A4">
        <w:rPr>
          <w:noProof/>
        </w:rPr>
        <w:t>„</w:t>
      </w:r>
      <w:r w:rsidRPr="00FF75A4">
        <w:rPr>
          <w:b/>
          <w:noProof/>
        </w:rPr>
        <w:t>Приложение IV</w:t>
      </w:r>
    </w:p>
    <w:p w14:paraId="378A43ED" w14:textId="77777777" w:rsidR="00F9656B" w:rsidRPr="00FF75A4" w:rsidRDefault="00F9656B" w:rsidP="00F9656B">
      <w:pPr>
        <w:pStyle w:val="NormalCentered"/>
        <w:rPr>
          <w:b/>
          <w:noProof/>
        </w:rPr>
      </w:pPr>
      <w:r w:rsidRPr="00FF75A4">
        <w:rPr>
          <w:b/>
          <w:noProof/>
        </w:rPr>
        <w:t>СПИСЪК НА СВИДЕТЕЛСТВА И ДОКУМЕНТИ</w:t>
      </w:r>
    </w:p>
    <w:p w14:paraId="4E5CB10A" w14:textId="77777777" w:rsidR="00F9656B" w:rsidRPr="00FF75A4" w:rsidRDefault="00F9656B" w:rsidP="00F9656B">
      <w:pPr>
        <w:pStyle w:val="NormalCentered"/>
        <w:rPr>
          <w:b/>
          <w:noProof/>
        </w:rPr>
      </w:pPr>
      <w:r w:rsidRPr="00FF75A4">
        <w:rPr>
          <w:b/>
          <w:noProof/>
        </w:rPr>
        <w:t>(съгласно член 13, параграф 1)</w:t>
      </w:r>
    </w:p>
    <w:p w14:paraId="5500B395" w14:textId="77777777" w:rsidR="00F9656B" w:rsidRPr="00FF75A4" w:rsidRDefault="00F9656B" w:rsidP="00F9656B">
      <w:pPr>
        <w:rPr>
          <w:noProof/>
        </w:rPr>
      </w:pPr>
      <w:r w:rsidRPr="00FF75A4">
        <w:rPr>
          <w:noProof/>
        </w:rPr>
        <w:t xml:space="preserve">Част А Списък на свидетелствата и документите, които, доколкото е приложимо, следва да бъдат проверявани като минимум по време на проверката, посочена в точка 2.2.3 (според случая): </w:t>
      </w:r>
    </w:p>
    <w:p w14:paraId="16F64B00" w14:textId="77777777" w:rsidR="00F9656B" w:rsidRPr="00FF75A4" w:rsidRDefault="00BC493B" w:rsidP="00BC493B">
      <w:pPr>
        <w:pStyle w:val="Point0"/>
        <w:rPr>
          <w:noProof/>
        </w:rPr>
      </w:pPr>
      <w:r w:rsidRPr="00FF75A4">
        <w:rPr>
          <w:noProof/>
        </w:rPr>
        <w:t>1.</w:t>
      </w:r>
      <w:r w:rsidRPr="00FF75A4">
        <w:rPr>
          <w:noProof/>
        </w:rPr>
        <w:tab/>
        <w:t>Международно свидетелство за тонаж;</w:t>
      </w:r>
    </w:p>
    <w:p w14:paraId="01A7F9BF" w14:textId="77777777" w:rsidR="00F9656B" w:rsidRPr="00FF75A4" w:rsidRDefault="00BC493B" w:rsidP="00BC493B">
      <w:pPr>
        <w:pStyle w:val="Point0"/>
        <w:rPr>
          <w:noProof/>
        </w:rPr>
      </w:pPr>
      <w:r w:rsidRPr="00FF75A4">
        <w:rPr>
          <w:noProof/>
        </w:rPr>
        <w:t>2.</w:t>
      </w:r>
      <w:r w:rsidRPr="00FF75A4">
        <w:rPr>
          <w:noProof/>
        </w:rPr>
        <w:tab/>
        <w:t xml:space="preserve">Доклади за предишни проверки по реда на държавен пристанищен контрол; </w:t>
      </w:r>
    </w:p>
    <w:p w14:paraId="2424D773" w14:textId="77777777" w:rsidR="00F9656B" w:rsidRPr="00FF75A4" w:rsidRDefault="00BC493B" w:rsidP="00BC493B">
      <w:pPr>
        <w:pStyle w:val="Point0"/>
        <w:rPr>
          <w:noProof/>
        </w:rPr>
      </w:pPr>
      <w:r w:rsidRPr="00FF75A4">
        <w:rPr>
          <w:noProof/>
        </w:rPr>
        <w:t>3.</w:t>
      </w:r>
      <w:r w:rsidRPr="00FF75A4">
        <w:rPr>
          <w:noProof/>
        </w:rPr>
        <w:tab/>
        <w:t>Свидетелство за безопасност на пътнически кораб (правило I/12 от SOLAS 1974 г.);</w:t>
      </w:r>
    </w:p>
    <w:p w14:paraId="346A200F" w14:textId="77777777" w:rsidR="00F9656B" w:rsidRPr="00FF75A4" w:rsidRDefault="00BC493B" w:rsidP="00BC493B">
      <w:pPr>
        <w:pStyle w:val="Point0"/>
        <w:rPr>
          <w:noProof/>
        </w:rPr>
      </w:pPr>
      <w:r w:rsidRPr="00FF75A4">
        <w:rPr>
          <w:noProof/>
        </w:rPr>
        <w:t>4.</w:t>
      </w:r>
      <w:r w:rsidRPr="00FF75A4">
        <w:rPr>
          <w:noProof/>
        </w:rPr>
        <w:tab/>
        <w:t>Свидетелство за безопасност на конструкцията на товарен кораб (правило I/12 от SOLAS 1974 г.);</w:t>
      </w:r>
    </w:p>
    <w:p w14:paraId="665CB727" w14:textId="77777777" w:rsidR="00F9656B" w:rsidRPr="00FF75A4" w:rsidRDefault="00BC493B" w:rsidP="00BC493B">
      <w:pPr>
        <w:pStyle w:val="Point0"/>
        <w:rPr>
          <w:noProof/>
        </w:rPr>
      </w:pPr>
      <w:r w:rsidRPr="00FF75A4">
        <w:rPr>
          <w:noProof/>
        </w:rPr>
        <w:t>5.</w:t>
      </w:r>
      <w:r w:rsidRPr="00FF75A4">
        <w:rPr>
          <w:noProof/>
        </w:rPr>
        <w:tab/>
        <w:t>Свидетелство за безопасност на оборудването на товарен кораб (правило I/12 от SOLAS 1974 г.);</w:t>
      </w:r>
    </w:p>
    <w:p w14:paraId="0DEB313E" w14:textId="77777777" w:rsidR="00F9656B" w:rsidRPr="00FF75A4" w:rsidRDefault="00BC493B" w:rsidP="00BC493B">
      <w:pPr>
        <w:pStyle w:val="Point0"/>
        <w:rPr>
          <w:noProof/>
        </w:rPr>
      </w:pPr>
      <w:r w:rsidRPr="00FF75A4">
        <w:rPr>
          <w:noProof/>
        </w:rPr>
        <w:t>6.</w:t>
      </w:r>
      <w:r w:rsidRPr="00FF75A4">
        <w:rPr>
          <w:noProof/>
        </w:rPr>
        <w:tab/>
        <w:t>Свидетелство за радиобезопасност на товарен кораб (правило I/12 от SOLAS 1974 г.);</w:t>
      </w:r>
    </w:p>
    <w:p w14:paraId="12CCE00F" w14:textId="77777777" w:rsidR="00F9656B" w:rsidRPr="00FF75A4" w:rsidRDefault="00BC493B" w:rsidP="00BC493B">
      <w:pPr>
        <w:pStyle w:val="Point0"/>
        <w:rPr>
          <w:noProof/>
        </w:rPr>
      </w:pPr>
      <w:r w:rsidRPr="00FF75A4">
        <w:rPr>
          <w:noProof/>
        </w:rPr>
        <w:t>7.</w:t>
      </w:r>
      <w:r w:rsidRPr="00FF75A4">
        <w:rPr>
          <w:noProof/>
        </w:rPr>
        <w:tab/>
        <w:t xml:space="preserve">Свидетелство за безопасност на товарен кораб (правило I/12 от SOLAS 1974 г.); </w:t>
      </w:r>
    </w:p>
    <w:p w14:paraId="58BC4C55" w14:textId="77777777" w:rsidR="00F9656B" w:rsidRPr="00FF75A4" w:rsidRDefault="00BC493B" w:rsidP="00BC493B">
      <w:pPr>
        <w:pStyle w:val="Point0"/>
        <w:rPr>
          <w:noProof/>
        </w:rPr>
      </w:pPr>
      <w:r w:rsidRPr="00FF75A4">
        <w:rPr>
          <w:noProof/>
        </w:rPr>
        <w:t>8.</w:t>
      </w:r>
      <w:r w:rsidRPr="00FF75A4">
        <w:rPr>
          <w:noProof/>
        </w:rPr>
        <w:tab/>
        <w:t>Свидетелство за освобождаване (правило I/12 от SOLAS 1974 г.);</w:t>
      </w:r>
    </w:p>
    <w:p w14:paraId="4AC92B26" w14:textId="77777777" w:rsidR="00F9656B" w:rsidRPr="00FF75A4" w:rsidRDefault="00BC493B" w:rsidP="00BC493B">
      <w:pPr>
        <w:pStyle w:val="Point0"/>
        <w:rPr>
          <w:noProof/>
        </w:rPr>
      </w:pPr>
      <w:r w:rsidRPr="00FF75A4">
        <w:rPr>
          <w:noProof/>
        </w:rPr>
        <w:t>9.</w:t>
      </w:r>
      <w:r w:rsidRPr="00FF75A4">
        <w:rPr>
          <w:noProof/>
        </w:rPr>
        <w:tab/>
        <w:t xml:space="preserve">Документ за минималното безопасно комплектоване с екипаж (правило V/14.2 от SOLAS 1974 г.); </w:t>
      </w:r>
    </w:p>
    <w:p w14:paraId="22893B94" w14:textId="77777777" w:rsidR="00F9656B" w:rsidRPr="00FF75A4" w:rsidRDefault="00BC493B" w:rsidP="00BC493B">
      <w:pPr>
        <w:pStyle w:val="Point0"/>
        <w:rPr>
          <w:noProof/>
        </w:rPr>
      </w:pPr>
      <w:r w:rsidRPr="00FF75A4">
        <w:rPr>
          <w:noProof/>
        </w:rPr>
        <w:t>10.</w:t>
      </w:r>
      <w:r w:rsidRPr="00FF75A4">
        <w:rPr>
          <w:noProof/>
        </w:rPr>
        <w:tab/>
        <w:t>Международно свидетелство за товарните водолинии (1966 г.) (член 16.1 от LLC 66/88);</w:t>
      </w:r>
    </w:p>
    <w:p w14:paraId="05BF7064" w14:textId="77777777" w:rsidR="00F9656B" w:rsidRPr="00FF75A4" w:rsidRDefault="00BC493B" w:rsidP="00BC493B">
      <w:pPr>
        <w:pStyle w:val="Point0"/>
        <w:rPr>
          <w:noProof/>
        </w:rPr>
      </w:pPr>
      <w:r w:rsidRPr="00FF75A4">
        <w:rPr>
          <w:noProof/>
        </w:rPr>
        <w:t>11.</w:t>
      </w:r>
      <w:r w:rsidRPr="00FF75A4">
        <w:rPr>
          <w:noProof/>
        </w:rPr>
        <w:tab/>
        <w:t xml:space="preserve">Международно свидетелство за освобождаване по товарните водолинии (член 16.2 от LLC 66/88); </w:t>
      </w:r>
    </w:p>
    <w:p w14:paraId="1C4754B8" w14:textId="77777777" w:rsidR="00F9656B" w:rsidRPr="00FF75A4" w:rsidRDefault="00BC493B" w:rsidP="00BC493B">
      <w:pPr>
        <w:pStyle w:val="Point0"/>
        <w:rPr>
          <w:noProof/>
        </w:rPr>
      </w:pPr>
      <w:r w:rsidRPr="00FF75A4">
        <w:rPr>
          <w:noProof/>
        </w:rPr>
        <w:t>12.</w:t>
      </w:r>
      <w:r w:rsidRPr="00FF75A4">
        <w:rPr>
          <w:noProof/>
        </w:rPr>
        <w:tab/>
        <w:t xml:space="preserve">Международно свидетелство за предотвратяване на замърсяване с нефт (анекс I към MARPOL, правило 7.1); </w:t>
      </w:r>
    </w:p>
    <w:p w14:paraId="7789C6A5" w14:textId="77777777" w:rsidR="00F9656B" w:rsidRPr="00FF75A4" w:rsidRDefault="00BC493B" w:rsidP="00BC493B">
      <w:pPr>
        <w:pStyle w:val="Point0"/>
        <w:rPr>
          <w:noProof/>
        </w:rPr>
      </w:pPr>
      <w:r w:rsidRPr="00FF75A4">
        <w:rPr>
          <w:noProof/>
        </w:rPr>
        <w:t>13.</w:t>
      </w:r>
      <w:r w:rsidRPr="00FF75A4">
        <w:rPr>
          <w:noProof/>
        </w:rPr>
        <w:tab/>
        <w:t>Международно свидетелство за предотвратяване на замърсяване при превозване на вредни течни вещества в наливно състояние (NLS) (анекс II към MARPOL, правило 9.1);</w:t>
      </w:r>
    </w:p>
    <w:p w14:paraId="7B96A3CB" w14:textId="77777777" w:rsidR="00F9656B" w:rsidRPr="00FF75A4" w:rsidRDefault="00BC493B" w:rsidP="00BC493B">
      <w:pPr>
        <w:pStyle w:val="Point0"/>
        <w:rPr>
          <w:noProof/>
        </w:rPr>
      </w:pPr>
      <w:r w:rsidRPr="00FF75A4">
        <w:rPr>
          <w:noProof/>
        </w:rPr>
        <w:t>14.</w:t>
      </w:r>
      <w:r w:rsidRPr="00FF75A4">
        <w:rPr>
          <w:noProof/>
        </w:rPr>
        <w:tab/>
        <w:t xml:space="preserve">Международно свидетелство за предотвратяване на замърсяване с канални нечистотии (ISPPC) (анекс IV към MARPOL, правило 5.1, MEPC.1/Circ.408); </w:t>
      </w:r>
    </w:p>
    <w:p w14:paraId="5D16ACB0" w14:textId="77777777" w:rsidR="00F9656B" w:rsidRPr="00FF75A4" w:rsidRDefault="00BC493B" w:rsidP="00BC493B">
      <w:pPr>
        <w:pStyle w:val="Point0"/>
        <w:rPr>
          <w:noProof/>
        </w:rPr>
      </w:pPr>
      <w:r w:rsidRPr="00FF75A4">
        <w:rPr>
          <w:noProof/>
        </w:rPr>
        <w:t>15.</w:t>
      </w:r>
      <w:r w:rsidRPr="00FF75A4">
        <w:rPr>
          <w:noProof/>
        </w:rPr>
        <w:tab/>
        <w:t xml:space="preserve">Международно свидетелство за предотвратяване на замърсяване на въздуха (IAPPC) (анекс VI към MARPOL, правило 6.1); </w:t>
      </w:r>
    </w:p>
    <w:p w14:paraId="49EBC536" w14:textId="77777777" w:rsidR="00F9656B" w:rsidRPr="00FF75A4" w:rsidRDefault="00BC493B" w:rsidP="00BC493B">
      <w:pPr>
        <w:pStyle w:val="Point0"/>
        <w:rPr>
          <w:noProof/>
        </w:rPr>
      </w:pPr>
      <w:r w:rsidRPr="00FF75A4">
        <w:rPr>
          <w:noProof/>
        </w:rPr>
        <w:t>16.</w:t>
      </w:r>
      <w:r w:rsidRPr="00FF75A4">
        <w:rPr>
          <w:noProof/>
        </w:rPr>
        <w:tab/>
        <w:t xml:space="preserve">Международен сертификат за енергийна ефективност (анекс VI към MARPOL, правило 6); </w:t>
      </w:r>
    </w:p>
    <w:p w14:paraId="74F98A52" w14:textId="77777777" w:rsidR="00F9656B" w:rsidRPr="00FF75A4" w:rsidRDefault="00BC493B" w:rsidP="00BC493B">
      <w:pPr>
        <w:pStyle w:val="Point0"/>
        <w:rPr>
          <w:noProof/>
        </w:rPr>
      </w:pPr>
      <w:r w:rsidRPr="00FF75A4">
        <w:rPr>
          <w:noProof/>
        </w:rPr>
        <w:t>17.</w:t>
      </w:r>
      <w:r w:rsidRPr="00FF75A4">
        <w:rPr>
          <w:noProof/>
        </w:rPr>
        <w:tab/>
        <w:t>Международен сертификат за управление на баластните води (IBWMC) (член 9.1, буква а) от BWMC и разпоредба E-2);</w:t>
      </w:r>
    </w:p>
    <w:p w14:paraId="243C6699" w14:textId="77777777" w:rsidR="00F9656B" w:rsidRPr="00FF75A4" w:rsidRDefault="00BC493B" w:rsidP="00BC493B">
      <w:pPr>
        <w:pStyle w:val="Point0"/>
        <w:rPr>
          <w:noProof/>
        </w:rPr>
      </w:pPr>
      <w:r w:rsidRPr="00FF75A4">
        <w:rPr>
          <w:noProof/>
        </w:rPr>
        <w:t>18.</w:t>
      </w:r>
      <w:r w:rsidRPr="00FF75A4">
        <w:rPr>
          <w:noProof/>
        </w:rPr>
        <w:tab/>
        <w:t xml:space="preserve">Международен сертификат за противообрастващи системи (сертификат IAFS) (приложение 4 към AFS от 2001 г., правило 2); </w:t>
      </w:r>
    </w:p>
    <w:p w14:paraId="3C38CA55" w14:textId="77777777" w:rsidR="00F9656B" w:rsidRPr="00FF75A4" w:rsidRDefault="00BC493B" w:rsidP="00BC493B">
      <w:pPr>
        <w:pStyle w:val="Point0"/>
        <w:rPr>
          <w:noProof/>
        </w:rPr>
      </w:pPr>
      <w:r w:rsidRPr="00FF75A4">
        <w:rPr>
          <w:noProof/>
        </w:rPr>
        <w:t>19.</w:t>
      </w:r>
      <w:r w:rsidRPr="00FF75A4">
        <w:rPr>
          <w:noProof/>
        </w:rPr>
        <w:tab/>
        <w:t xml:space="preserve">Декларация относно AFS (приложение 4 към AFS от 2001 г., правило 5); </w:t>
      </w:r>
    </w:p>
    <w:p w14:paraId="69B6F50B" w14:textId="77777777" w:rsidR="00F9656B" w:rsidRPr="00FF75A4" w:rsidRDefault="00BC493B" w:rsidP="00BC493B">
      <w:pPr>
        <w:pStyle w:val="Point0"/>
        <w:rPr>
          <w:noProof/>
        </w:rPr>
      </w:pPr>
      <w:r w:rsidRPr="00FF75A4">
        <w:rPr>
          <w:noProof/>
        </w:rPr>
        <w:t>20.</w:t>
      </w:r>
      <w:r w:rsidRPr="00FF75A4">
        <w:rPr>
          <w:noProof/>
        </w:rPr>
        <w:tab/>
        <w:t>Международно свидетелство за сигурност на кораба (ISSC) или временно международно свидетелство за сигурност на кораба (част A/19 от Кодекса ISPS и допълнения);</w:t>
      </w:r>
    </w:p>
    <w:p w14:paraId="2AE3A2DB" w14:textId="77777777" w:rsidR="00F9656B" w:rsidRPr="00FF75A4" w:rsidRDefault="00BC493B" w:rsidP="00BC493B">
      <w:pPr>
        <w:pStyle w:val="Point0"/>
        <w:rPr>
          <w:noProof/>
        </w:rPr>
      </w:pPr>
      <w:r w:rsidRPr="00FF75A4">
        <w:rPr>
          <w:noProof/>
        </w:rPr>
        <w:t>21.</w:t>
      </w:r>
      <w:r w:rsidRPr="00FF75A4">
        <w:rPr>
          <w:noProof/>
        </w:rPr>
        <w:tab/>
        <w:t>Свидетелства за капитани, лица от командния състав или лица от редовия състав, издадени в съответствие с Конвенцията STCW (член VI, правило I/2 и раздел A-I/2 от Кодекса STCW);</w:t>
      </w:r>
    </w:p>
    <w:p w14:paraId="79EB68B2" w14:textId="77777777" w:rsidR="00F9656B" w:rsidRPr="00FF75A4" w:rsidRDefault="00BC493B" w:rsidP="00BC493B">
      <w:pPr>
        <w:pStyle w:val="Point0"/>
        <w:rPr>
          <w:noProof/>
        </w:rPr>
      </w:pPr>
      <w:r w:rsidRPr="00FF75A4">
        <w:rPr>
          <w:noProof/>
        </w:rPr>
        <w:t>22.</w:t>
      </w:r>
      <w:r w:rsidRPr="00FF75A4">
        <w:rPr>
          <w:noProof/>
        </w:rPr>
        <w:tab/>
        <w:t>Копие от документа за съответствие или копие от временния документ за съответствие, издаден в съответствие с Международния кодекс за управление на безопасната експлоатация на кораби и предотвратяване на замърсяването (DoC) (Кодекса ISM) (правило IX/4.2 от SOLAS, параграфи 13 и 14 от Кодекса ISM);</w:t>
      </w:r>
    </w:p>
    <w:p w14:paraId="571C7D42" w14:textId="77777777" w:rsidR="00F9656B" w:rsidRPr="00FF75A4" w:rsidRDefault="00BC493B" w:rsidP="00BC493B">
      <w:pPr>
        <w:pStyle w:val="Point0"/>
        <w:rPr>
          <w:noProof/>
        </w:rPr>
      </w:pPr>
      <w:r w:rsidRPr="00FF75A4">
        <w:rPr>
          <w:noProof/>
        </w:rPr>
        <w:t>23.</w:t>
      </w:r>
      <w:r w:rsidRPr="00FF75A4">
        <w:rPr>
          <w:noProof/>
        </w:rPr>
        <w:tab/>
        <w:t xml:space="preserve">Свидетелство за управление на безопасността или временно свидетелство за управление на безопасността, издадено в съответствие с Международния кодекс за управление на безопасната експлоатация на кораби и предотвратяване на замърсяването (SMC) (правило IX/4.3 от SOLAS 1974 г, параграфи 13 и 14 от Кодекса ISM); </w:t>
      </w:r>
    </w:p>
    <w:p w14:paraId="7AFE2BE8" w14:textId="77777777" w:rsidR="00F9656B" w:rsidRPr="00FF75A4" w:rsidRDefault="00BC493B" w:rsidP="00BC493B">
      <w:pPr>
        <w:pStyle w:val="Point0"/>
        <w:rPr>
          <w:noProof/>
        </w:rPr>
      </w:pPr>
      <w:r w:rsidRPr="00FF75A4">
        <w:rPr>
          <w:noProof/>
        </w:rPr>
        <w:t>24.</w:t>
      </w:r>
      <w:r w:rsidRPr="00FF75A4">
        <w:rPr>
          <w:noProof/>
        </w:rPr>
        <w:tab/>
        <w:t xml:space="preserve">Международно свидетелство за годност за превозване на втечнени газове в наливно състояние или свидетелство за годност за превозване на втечнени газове в наливно състояние, в зависимост от случая (правило 1.5.4 от Кодекса IGC или правило 1.6 от Кодекса GC); </w:t>
      </w:r>
    </w:p>
    <w:p w14:paraId="03E768CF" w14:textId="77777777" w:rsidR="00F9656B" w:rsidRPr="00FF75A4" w:rsidRDefault="00BC493B" w:rsidP="00BC493B">
      <w:pPr>
        <w:pStyle w:val="Point0"/>
        <w:rPr>
          <w:noProof/>
        </w:rPr>
      </w:pPr>
      <w:r w:rsidRPr="00FF75A4">
        <w:rPr>
          <w:noProof/>
        </w:rPr>
        <w:t>25.</w:t>
      </w:r>
      <w:r w:rsidRPr="00FF75A4">
        <w:rPr>
          <w:noProof/>
        </w:rPr>
        <w:tab/>
        <w:t>Международно свидетелство за годност за превоз на опасни химикали в наливно състояние или свидетелство за годност за превоз на опасни химикали в наливно състояние, в зависимост от случая ( правило 1.45.4 от Кодекса IBC и правило 1.6.3 от Кодекса BCH); 26 INF (Международен кодекс за безопасен превоз на отработено ядрено гориво, плутоний и високо радиоактивни отпадъци на борда на кораби) Свидетелство за годност (правило VII/16 от SOLAS и правило 1.3 от Кодекса INF);</w:t>
      </w:r>
    </w:p>
    <w:p w14:paraId="5FAC74AF" w14:textId="77777777" w:rsidR="00F9656B" w:rsidRPr="00FF75A4" w:rsidRDefault="00BC493B" w:rsidP="00BC493B">
      <w:pPr>
        <w:pStyle w:val="Point0"/>
        <w:rPr>
          <w:noProof/>
        </w:rPr>
      </w:pPr>
      <w:r w:rsidRPr="00FF75A4">
        <w:rPr>
          <w:noProof/>
        </w:rPr>
        <w:t>26.</w:t>
      </w:r>
      <w:r w:rsidRPr="00FF75A4">
        <w:rPr>
          <w:noProof/>
        </w:rPr>
        <w:tab/>
        <w:t>INF (Международен кодекс за безопасен превоз на отработено ядрено гориво, плутоний и високо радиоактивни отпадъци на борда на кораби) Свидетелство за годност (правило VII/16 от SOLAS и правило 1.3 от Кодекса INF);</w:t>
      </w:r>
    </w:p>
    <w:p w14:paraId="76055335" w14:textId="77777777" w:rsidR="00F9656B" w:rsidRPr="00FF75A4" w:rsidRDefault="00BC493B" w:rsidP="00BC493B">
      <w:pPr>
        <w:pStyle w:val="Point0"/>
        <w:rPr>
          <w:noProof/>
        </w:rPr>
      </w:pPr>
      <w:r w:rsidRPr="00FF75A4">
        <w:rPr>
          <w:noProof/>
        </w:rPr>
        <w:t>27.</w:t>
      </w:r>
      <w:r w:rsidRPr="00FF75A4">
        <w:rPr>
          <w:noProof/>
        </w:rPr>
        <w:tab/>
        <w:t>Свидетелство за наличието на застраховка или друго финансово обезпечаване на гражданската отговорност за щети от замърсяване с нефт (CLC 69/92, член VII.2);</w:t>
      </w:r>
    </w:p>
    <w:p w14:paraId="45561F33" w14:textId="77777777" w:rsidR="00F9656B" w:rsidRPr="00FF75A4" w:rsidRDefault="00BC493B" w:rsidP="00BC493B">
      <w:pPr>
        <w:pStyle w:val="Point0"/>
        <w:rPr>
          <w:noProof/>
        </w:rPr>
      </w:pPr>
      <w:r w:rsidRPr="00FF75A4">
        <w:rPr>
          <w:noProof/>
        </w:rPr>
        <w:t>28.</w:t>
      </w:r>
      <w:r w:rsidRPr="00FF75A4">
        <w:rPr>
          <w:noProof/>
        </w:rPr>
        <w:tab/>
        <w:t xml:space="preserve">Свидетелство за наличието на застраховка или друго финансово обезпечаване на гражданската отговорност за щети от замърсяване с бункерно гориво (BUNKERS 2001 г., член 7.2); </w:t>
      </w:r>
    </w:p>
    <w:p w14:paraId="13F7C69D" w14:textId="77777777" w:rsidR="00F9656B" w:rsidRPr="00FF75A4" w:rsidRDefault="00BC493B" w:rsidP="00BC493B">
      <w:pPr>
        <w:pStyle w:val="Point0"/>
        <w:rPr>
          <w:noProof/>
        </w:rPr>
      </w:pPr>
      <w:r w:rsidRPr="00FF75A4">
        <w:rPr>
          <w:noProof/>
        </w:rPr>
        <w:t>29.</w:t>
      </w:r>
      <w:r w:rsidRPr="00FF75A4">
        <w:rPr>
          <w:noProof/>
        </w:rPr>
        <w:tab/>
        <w:t xml:space="preserve">Свидетелство за наличието на застраховка или друго финансово обезпечаване по отношение на отговорността за отстраняване на потънало имущество (Отстраняване на потънало имущество, член 12); </w:t>
      </w:r>
    </w:p>
    <w:p w14:paraId="238B3BC5" w14:textId="77777777" w:rsidR="00F9656B" w:rsidRPr="00FF75A4" w:rsidRDefault="00BC493B" w:rsidP="00BC493B">
      <w:pPr>
        <w:pStyle w:val="Point0"/>
        <w:rPr>
          <w:noProof/>
        </w:rPr>
      </w:pPr>
      <w:r w:rsidRPr="00FF75A4">
        <w:rPr>
          <w:noProof/>
        </w:rPr>
        <w:t>30.</w:t>
      </w:r>
      <w:r w:rsidRPr="00FF75A4">
        <w:rPr>
          <w:noProof/>
        </w:rPr>
        <w:tab/>
        <w:t xml:space="preserve">Свидетелство за безопасност на високоскоростни плавателни съдове и разрешително за експлоатация на високоскоростни плавателни съдове (правило X/3.2 от SOLAS 1974 г. и правила 1.8.1 и 1.9 от Кодекса HSC 94/00); </w:t>
      </w:r>
    </w:p>
    <w:p w14:paraId="2F80BA07" w14:textId="77777777" w:rsidR="00F9656B" w:rsidRPr="00FF75A4" w:rsidRDefault="00BC493B" w:rsidP="00BC493B">
      <w:pPr>
        <w:pStyle w:val="Point0"/>
        <w:rPr>
          <w:noProof/>
        </w:rPr>
      </w:pPr>
      <w:r w:rsidRPr="00FF75A4">
        <w:rPr>
          <w:noProof/>
        </w:rPr>
        <w:t>31.</w:t>
      </w:r>
      <w:r w:rsidRPr="00FF75A4">
        <w:rPr>
          <w:noProof/>
        </w:rPr>
        <w:tab/>
        <w:t xml:space="preserve">Документ за съответствие със специалните изисквания за кораби, превозващи опасни товари (правило II-2/19.4 от SOLAS 1974 г.); </w:t>
      </w:r>
    </w:p>
    <w:p w14:paraId="786D60A0" w14:textId="77777777" w:rsidR="00F9656B" w:rsidRPr="00FF75A4" w:rsidRDefault="00BC493B" w:rsidP="00BC493B">
      <w:pPr>
        <w:pStyle w:val="Point0"/>
        <w:rPr>
          <w:noProof/>
        </w:rPr>
      </w:pPr>
      <w:r w:rsidRPr="00FF75A4">
        <w:rPr>
          <w:noProof/>
        </w:rPr>
        <w:t>32.</w:t>
      </w:r>
      <w:r w:rsidRPr="00FF75A4">
        <w:rPr>
          <w:noProof/>
        </w:rPr>
        <w:tab/>
        <w:t xml:space="preserve">Документ за разрешително за превоз на зърно и ръководство за товарене на зърно (правило VI/9 от SOLAS 1974 г.; Международен кодекс за безопасен превоз на насипно зърно, раздел 3); </w:t>
      </w:r>
    </w:p>
    <w:p w14:paraId="1720E246" w14:textId="77777777" w:rsidR="00F9656B" w:rsidRPr="00FF75A4" w:rsidRDefault="00BC493B" w:rsidP="00BC493B">
      <w:pPr>
        <w:pStyle w:val="Point0"/>
        <w:rPr>
          <w:noProof/>
        </w:rPr>
      </w:pPr>
      <w:r w:rsidRPr="00FF75A4">
        <w:rPr>
          <w:noProof/>
        </w:rPr>
        <w:t>33.</w:t>
      </w:r>
      <w:r w:rsidRPr="00FF75A4">
        <w:rPr>
          <w:noProof/>
        </w:rPr>
        <w:tab/>
        <w:t>Декларация за съответствие на схемата за оценяване на състоянието (CAS), окончателен доклад и протокол за преглед по CAS (анекс I към MARPOL, правила 20 и 21; резолюция MEPC.94 (46), изменена с резолюции MEPC.99 (48), MEPC.112 (50), MEPC.131 (53), MEPC.155 (55) и MEPC.236 (65);</w:t>
      </w:r>
    </w:p>
    <w:p w14:paraId="63954C8D" w14:textId="77777777" w:rsidR="00F9656B" w:rsidRPr="00FF75A4" w:rsidRDefault="00BC493B" w:rsidP="00BC493B">
      <w:pPr>
        <w:pStyle w:val="Point0"/>
        <w:rPr>
          <w:noProof/>
        </w:rPr>
      </w:pPr>
      <w:r w:rsidRPr="00FF75A4">
        <w:rPr>
          <w:noProof/>
        </w:rPr>
        <w:t>34.</w:t>
      </w:r>
      <w:r w:rsidRPr="00FF75A4">
        <w:rPr>
          <w:noProof/>
        </w:rPr>
        <w:tab/>
        <w:t>Документ за непрекъснат запис на историята на кораба (правило XI-1/5 от SOLAS 1974 г.);</w:t>
      </w:r>
    </w:p>
    <w:p w14:paraId="71A6B51B" w14:textId="77777777" w:rsidR="00F9656B" w:rsidRPr="00FF75A4" w:rsidRDefault="00BC493B" w:rsidP="00BC493B">
      <w:pPr>
        <w:pStyle w:val="Point0"/>
        <w:rPr>
          <w:noProof/>
        </w:rPr>
      </w:pPr>
      <w:r w:rsidRPr="00FF75A4">
        <w:rPr>
          <w:noProof/>
        </w:rPr>
        <w:t>35.</w:t>
      </w:r>
      <w:r w:rsidRPr="00FF75A4">
        <w:rPr>
          <w:noProof/>
        </w:rPr>
        <w:tab/>
        <w:t xml:space="preserve">Регистър на течните горива, части I и II (анекс I към MARPOL, правила 17 и 36); </w:t>
      </w:r>
    </w:p>
    <w:p w14:paraId="237EBEA0" w14:textId="77777777" w:rsidR="00F9656B" w:rsidRPr="00FF75A4" w:rsidRDefault="00BC493B" w:rsidP="00BC493B">
      <w:pPr>
        <w:pStyle w:val="Point0"/>
        <w:rPr>
          <w:noProof/>
        </w:rPr>
      </w:pPr>
      <w:r w:rsidRPr="00FF75A4">
        <w:rPr>
          <w:noProof/>
        </w:rPr>
        <w:t>36.</w:t>
      </w:r>
      <w:r w:rsidRPr="00FF75A4">
        <w:rPr>
          <w:noProof/>
        </w:rPr>
        <w:tab/>
        <w:t xml:space="preserve">Регистър на товара (анекс II към MARPOL, правило 15); </w:t>
      </w:r>
    </w:p>
    <w:p w14:paraId="5063D6AB" w14:textId="77777777" w:rsidR="00F9656B" w:rsidRPr="00FF75A4" w:rsidRDefault="00BC493B" w:rsidP="00BC493B">
      <w:pPr>
        <w:pStyle w:val="Point0"/>
        <w:rPr>
          <w:noProof/>
        </w:rPr>
      </w:pPr>
      <w:r w:rsidRPr="00FF75A4">
        <w:rPr>
          <w:noProof/>
        </w:rPr>
        <w:t>37.</w:t>
      </w:r>
      <w:r w:rsidRPr="00FF75A4">
        <w:rPr>
          <w:noProof/>
        </w:rPr>
        <w:tab/>
        <w:t xml:space="preserve">Дневник за отпадъци, части I и II (анекс V към MARPOL, правило 10.3); (анекс V към MARPOL, правило 10); </w:t>
      </w:r>
    </w:p>
    <w:p w14:paraId="212F3018" w14:textId="77777777" w:rsidR="00F9656B" w:rsidRPr="00FF75A4" w:rsidRDefault="00BC493B" w:rsidP="00BC493B">
      <w:pPr>
        <w:pStyle w:val="Point0"/>
        <w:rPr>
          <w:noProof/>
        </w:rPr>
      </w:pPr>
      <w:r w:rsidRPr="00FF75A4">
        <w:rPr>
          <w:noProof/>
        </w:rPr>
        <w:t>38.</w:t>
      </w:r>
      <w:r w:rsidRPr="00FF75A4">
        <w:rPr>
          <w:noProof/>
        </w:rPr>
        <w:tab/>
        <w:t xml:space="preserve">План за управление на твърдите отпадъци (анекс V към MARPOL, правило 10; резолюция MEPC.220 (63); </w:t>
      </w:r>
    </w:p>
    <w:p w14:paraId="2A54D79F" w14:textId="77777777" w:rsidR="00F9656B" w:rsidRPr="00FF75A4" w:rsidRDefault="00BC493B" w:rsidP="00BC493B">
      <w:pPr>
        <w:pStyle w:val="Point0"/>
        <w:rPr>
          <w:noProof/>
        </w:rPr>
      </w:pPr>
      <w:r w:rsidRPr="00FF75A4">
        <w:rPr>
          <w:noProof/>
        </w:rPr>
        <w:t>39.</w:t>
      </w:r>
      <w:r w:rsidRPr="00FF75A4">
        <w:rPr>
          <w:noProof/>
        </w:rPr>
        <w:tab/>
        <w:t xml:space="preserve">Корабен дневник и записи за нивото и статуса „включен/изключен“ на корабните дизелови двигатели (анекс VI към MARPOL, правило 13.5.3);  </w:t>
      </w:r>
    </w:p>
    <w:p w14:paraId="13E0AC81" w14:textId="77777777" w:rsidR="00F9656B" w:rsidRPr="00FF75A4" w:rsidRDefault="00BC493B" w:rsidP="00BC493B">
      <w:pPr>
        <w:pStyle w:val="Point0"/>
        <w:rPr>
          <w:noProof/>
        </w:rPr>
      </w:pPr>
      <w:r w:rsidRPr="00FF75A4">
        <w:rPr>
          <w:noProof/>
        </w:rPr>
        <w:t>40.</w:t>
      </w:r>
      <w:r w:rsidRPr="00FF75A4">
        <w:rPr>
          <w:noProof/>
        </w:rPr>
        <w:tab/>
        <w:t>Корабен дневник за смяна на вида на горивото (анекс VI към MARPOL, правило 14.6);</w:t>
      </w:r>
    </w:p>
    <w:p w14:paraId="2D469E1E" w14:textId="77777777" w:rsidR="00F9656B" w:rsidRPr="00FF75A4" w:rsidRDefault="00BC493B" w:rsidP="00BC493B">
      <w:pPr>
        <w:pStyle w:val="Point0"/>
        <w:rPr>
          <w:noProof/>
        </w:rPr>
      </w:pPr>
      <w:r w:rsidRPr="00FF75A4">
        <w:rPr>
          <w:noProof/>
        </w:rPr>
        <w:t>41.</w:t>
      </w:r>
      <w:r w:rsidRPr="00FF75A4">
        <w:rPr>
          <w:noProof/>
        </w:rPr>
        <w:tab/>
        <w:t xml:space="preserve">Регистър на озоноразрушаващите вещества (анекс VI към MARPOL, правило 12.6); </w:t>
      </w:r>
    </w:p>
    <w:p w14:paraId="092CA2CB" w14:textId="77777777" w:rsidR="00F9656B" w:rsidRPr="00FF75A4" w:rsidRDefault="00BC493B" w:rsidP="00BC493B">
      <w:pPr>
        <w:pStyle w:val="Point0"/>
        <w:rPr>
          <w:noProof/>
        </w:rPr>
      </w:pPr>
      <w:r w:rsidRPr="00FF75A4">
        <w:rPr>
          <w:noProof/>
        </w:rPr>
        <w:t>42.</w:t>
      </w:r>
      <w:r w:rsidRPr="00FF75A4">
        <w:rPr>
          <w:noProof/>
        </w:rPr>
        <w:tab/>
        <w:t xml:space="preserve">Регистър на баластните води (BWRB) (член 9.1, буква б) от BWMC и правило Б-2); </w:t>
      </w:r>
    </w:p>
    <w:p w14:paraId="106DFA93" w14:textId="77777777" w:rsidR="00F9656B" w:rsidRPr="00FF75A4" w:rsidRDefault="00BC493B" w:rsidP="00BC493B">
      <w:pPr>
        <w:pStyle w:val="Point0"/>
        <w:rPr>
          <w:noProof/>
        </w:rPr>
      </w:pPr>
      <w:r w:rsidRPr="00FF75A4">
        <w:rPr>
          <w:noProof/>
        </w:rPr>
        <w:t>43.</w:t>
      </w:r>
      <w:r w:rsidRPr="00FF75A4">
        <w:rPr>
          <w:noProof/>
        </w:rPr>
        <w:tab/>
        <w:t xml:space="preserve">Стационарни системи за гасене на пожари с газ — Удостоверение за освобождаване на товарни отделения и списък на товарите (правило II-2/10.7.1.4 от SOLAS 1974 г.); </w:t>
      </w:r>
    </w:p>
    <w:p w14:paraId="66328F0D" w14:textId="77777777" w:rsidR="00F9656B" w:rsidRPr="00FF75A4" w:rsidRDefault="00BC493B" w:rsidP="00BC493B">
      <w:pPr>
        <w:pStyle w:val="Point0"/>
        <w:rPr>
          <w:noProof/>
        </w:rPr>
      </w:pPr>
      <w:r w:rsidRPr="00FF75A4">
        <w:rPr>
          <w:noProof/>
        </w:rPr>
        <w:t>44.</w:t>
      </w:r>
      <w:r w:rsidRPr="00FF75A4">
        <w:rPr>
          <w:noProof/>
        </w:rPr>
        <w:tab/>
        <w:t>Манифест за опасни товари или план за складиране (правила VII/4 и VII/7-2 от SOLAS 1974 г.; анекс III към MARPOL, правило 54);</w:t>
      </w:r>
    </w:p>
    <w:p w14:paraId="3CA6C1A9" w14:textId="77777777" w:rsidR="00F9656B" w:rsidRPr="00FF75A4" w:rsidRDefault="00BC493B" w:rsidP="00BC493B">
      <w:pPr>
        <w:pStyle w:val="Point0"/>
        <w:rPr>
          <w:noProof/>
        </w:rPr>
      </w:pPr>
      <w:r w:rsidRPr="00FF75A4">
        <w:rPr>
          <w:noProof/>
        </w:rPr>
        <w:t>45.</w:t>
      </w:r>
      <w:r w:rsidRPr="00FF75A4">
        <w:rPr>
          <w:noProof/>
        </w:rPr>
        <w:tab/>
        <w:t xml:space="preserve">За нефтени танкери — записът от системата за наблюдение и контрол на разтоварване на нефт за последния преход под баласт (анекс I към MARPOL, правило 31.2); </w:t>
      </w:r>
    </w:p>
    <w:p w14:paraId="6460455C" w14:textId="77777777" w:rsidR="00F9656B" w:rsidRPr="00FF75A4" w:rsidRDefault="00BC493B" w:rsidP="00BC493B">
      <w:pPr>
        <w:pStyle w:val="Point0"/>
        <w:rPr>
          <w:noProof/>
        </w:rPr>
      </w:pPr>
      <w:r w:rsidRPr="00FF75A4">
        <w:rPr>
          <w:noProof/>
        </w:rPr>
        <w:t>46.</w:t>
      </w:r>
      <w:r w:rsidRPr="00FF75A4">
        <w:rPr>
          <w:noProof/>
        </w:rPr>
        <w:tab/>
        <w:t xml:space="preserve">План за сътрудничество при търсене и спасяване за пътнически кораби, плаващи по фиксирани маршрути (правило V/7.3 от SOLAS 1974 г.); </w:t>
      </w:r>
    </w:p>
    <w:p w14:paraId="5C51D9E0" w14:textId="77777777" w:rsidR="00F9656B" w:rsidRPr="00FF75A4" w:rsidRDefault="00BC493B" w:rsidP="00BC493B">
      <w:pPr>
        <w:pStyle w:val="Point0"/>
        <w:rPr>
          <w:noProof/>
        </w:rPr>
      </w:pPr>
      <w:r w:rsidRPr="00FF75A4">
        <w:rPr>
          <w:noProof/>
        </w:rPr>
        <w:t>47.</w:t>
      </w:r>
      <w:r w:rsidRPr="00FF75A4">
        <w:rPr>
          <w:noProof/>
        </w:rPr>
        <w:tab/>
        <w:t xml:space="preserve">За пътнически кораби — списък на експлоатационните ограничения (правило V/30.2 от SOLAS 1974 г.); </w:t>
      </w:r>
    </w:p>
    <w:p w14:paraId="4B203F17" w14:textId="77777777" w:rsidR="00F9656B" w:rsidRPr="00FF75A4" w:rsidRDefault="00BC493B" w:rsidP="00BC493B">
      <w:pPr>
        <w:pStyle w:val="Point0"/>
        <w:rPr>
          <w:noProof/>
        </w:rPr>
      </w:pPr>
      <w:r w:rsidRPr="00FF75A4">
        <w:rPr>
          <w:noProof/>
        </w:rPr>
        <w:t>48.</w:t>
      </w:r>
      <w:r w:rsidRPr="00FF75A4">
        <w:rPr>
          <w:noProof/>
        </w:rPr>
        <w:tab/>
        <w:t xml:space="preserve">Морски карти и морски публикации (правила V/19.2.1.4 и V/27 от SOLAS 1974 г.); </w:t>
      </w:r>
    </w:p>
    <w:p w14:paraId="2F213198" w14:textId="77777777" w:rsidR="00F9656B" w:rsidRPr="00FF75A4" w:rsidRDefault="00BC493B" w:rsidP="00BC493B">
      <w:pPr>
        <w:pStyle w:val="Point0"/>
        <w:rPr>
          <w:noProof/>
        </w:rPr>
      </w:pPr>
      <w:r w:rsidRPr="00FF75A4">
        <w:rPr>
          <w:noProof/>
        </w:rPr>
        <w:t>49.</w:t>
      </w:r>
      <w:r w:rsidRPr="00FF75A4">
        <w:rPr>
          <w:noProof/>
        </w:rPr>
        <w:tab/>
        <w:t xml:space="preserve">Записи на почивните часове и таблица на работното време на борда (раздели A-VIII/1.5 и 1.7 от Кодекса STCW, член 5.7, член 8.1 от Конвенция 180 на МОТ и стандарти А.2.3.10 и А.2.3.12 от Морската трудова конвенция, 2006 г.); </w:t>
      </w:r>
    </w:p>
    <w:p w14:paraId="27785EB3" w14:textId="77777777" w:rsidR="00F9656B" w:rsidRPr="00FF75A4" w:rsidRDefault="00BC493B" w:rsidP="00BC493B">
      <w:pPr>
        <w:pStyle w:val="Point0"/>
        <w:rPr>
          <w:noProof/>
        </w:rPr>
      </w:pPr>
      <w:r w:rsidRPr="00FF75A4">
        <w:rPr>
          <w:noProof/>
        </w:rPr>
        <w:t>50.</w:t>
      </w:r>
      <w:r w:rsidRPr="00FF75A4">
        <w:rPr>
          <w:noProof/>
        </w:rPr>
        <w:tab/>
        <w:t>Сведения за машинни помещения с безвахтено обслужване (правило II-I/46.3 от SOLAS 1974 г.);</w:t>
      </w:r>
    </w:p>
    <w:p w14:paraId="4FD5C1A2" w14:textId="77777777" w:rsidR="00F9656B" w:rsidRPr="00FF75A4" w:rsidRDefault="00BC493B" w:rsidP="00BC493B">
      <w:pPr>
        <w:pStyle w:val="Point0"/>
        <w:rPr>
          <w:noProof/>
        </w:rPr>
      </w:pPr>
      <w:r w:rsidRPr="00FF75A4">
        <w:rPr>
          <w:noProof/>
        </w:rPr>
        <w:t>51.</w:t>
      </w:r>
      <w:r w:rsidRPr="00FF75A4">
        <w:rPr>
          <w:noProof/>
        </w:rPr>
        <w:tab/>
        <w:t>Свидетелства, които се изискват съгласно Директива 2009/20/ЕО на Европейския парламент и на Съвета от 23 април 2009 г. относно застраховката на корабособствениците при морски искове;</w:t>
      </w:r>
    </w:p>
    <w:p w14:paraId="56723E10" w14:textId="77777777" w:rsidR="00F9656B" w:rsidRPr="00FF75A4" w:rsidRDefault="00BC493B" w:rsidP="00BC493B">
      <w:pPr>
        <w:pStyle w:val="Point0"/>
        <w:rPr>
          <w:noProof/>
        </w:rPr>
      </w:pPr>
      <w:r w:rsidRPr="00FF75A4">
        <w:rPr>
          <w:noProof/>
        </w:rPr>
        <w:t>52.</w:t>
      </w:r>
      <w:r w:rsidRPr="00FF75A4">
        <w:rPr>
          <w:noProof/>
        </w:rPr>
        <w:tab/>
        <w:t>Свидетелство, което се изисква съгласно Регламент (ЕО) № 392/2009 на Европейския парламент и на Съвета от 23 април 2009 г. относно отговорността на пътническите превозвачи по море в случай на произшествие;</w:t>
      </w:r>
    </w:p>
    <w:p w14:paraId="77C3E053" w14:textId="77777777" w:rsidR="00F9656B" w:rsidRPr="00FF75A4" w:rsidRDefault="00BC493B" w:rsidP="00BC493B">
      <w:pPr>
        <w:pStyle w:val="Point0"/>
        <w:rPr>
          <w:noProof/>
        </w:rPr>
      </w:pPr>
      <w:r w:rsidRPr="00FF75A4">
        <w:rPr>
          <w:noProof/>
        </w:rPr>
        <w:t>53.</w:t>
      </w:r>
      <w:r w:rsidRPr="00FF75A4">
        <w:rPr>
          <w:noProof/>
        </w:rPr>
        <w:tab/>
        <w:t>Свидетелство за инвентарния опис на опасни материали или свидетелство за съответствие съгласно Регламент (ЕС) № 1257/2013 на Европейския парламент и на Съвета; както и</w:t>
      </w:r>
    </w:p>
    <w:p w14:paraId="3081BB4D" w14:textId="77777777" w:rsidR="00F9656B" w:rsidRPr="00FF75A4" w:rsidRDefault="00BC493B" w:rsidP="00BC493B">
      <w:pPr>
        <w:pStyle w:val="Point0"/>
        <w:rPr>
          <w:noProof/>
        </w:rPr>
      </w:pPr>
      <w:r w:rsidRPr="00FF75A4">
        <w:rPr>
          <w:noProof/>
        </w:rPr>
        <w:t>54.</w:t>
      </w:r>
      <w:r w:rsidRPr="00FF75A4">
        <w:rPr>
          <w:noProof/>
        </w:rPr>
        <w:tab/>
        <w:t>Документ за спазени изисквания, издаден съгласно Регламент (ЕС) 2015/757 на Европейския парламент и на Съвета от 29 април 2015 г. относно мониторинга, докладването и проверката на емисиите на въглероден диоксид от морския транспорт и за изменение на Директива 2009/16/ЕО.</w:t>
      </w:r>
    </w:p>
    <w:p w14:paraId="7BFB4938" w14:textId="77777777" w:rsidR="00F9656B" w:rsidRPr="00FF75A4" w:rsidRDefault="00F9656B" w:rsidP="00F9656B">
      <w:pPr>
        <w:rPr>
          <w:noProof/>
        </w:rPr>
      </w:pPr>
      <w:r w:rsidRPr="00FF75A4">
        <w:rPr>
          <w:noProof/>
        </w:rPr>
        <w:t>Част Б Списък на други свидетелства и документи, които, доколкото е приложимо, трябва да бъдат на борда (според случая):</w:t>
      </w:r>
    </w:p>
    <w:p w14:paraId="7234D7C9" w14:textId="77777777" w:rsidR="00F9656B" w:rsidRPr="00FF75A4" w:rsidRDefault="00BC493B" w:rsidP="00BC493B">
      <w:pPr>
        <w:pStyle w:val="Point0"/>
        <w:rPr>
          <w:noProof/>
        </w:rPr>
      </w:pPr>
      <w:r w:rsidRPr="00FF75A4">
        <w:rPr>
          <w:noProof/>
        </w:rPr>
        <w:t>1.</w:t>
      </w:r>
      <w:r w:rsidRPr="00FF75A4">
        <w:rPr>
          <w:noProof/>
        </w:rPr>
        <w:tab/>
        <w:t xml:space="preserve">Конструктивни чертежи (правило II-1/3-7 от SOLAS); </w:t>
      </w:r>
    </w:p>
    <w:p w14:paraId="70473054" w14:textId="77777777" w:rsidR="00F9656B" w:rsidRPr="00FF75A4" w:rsidRDefault="00BC493B" w:rsidP="00BC493B">
      <w:pPr>
        <w:pStyle w:val="Point0"/>
        <w:rPr>
          <w:noProof/>
        </w:rPr>
      </w:pPr>
      <w:r w:rsidRPr="00FF75A4">
        <w:rPr>
          <w:noProof/>
        </w:rPr>
        <w:t>2.</w:t>
      </w:r>
      <w:r w:rsidRPr="00FF75A4">
        <w:rPr>
          <w:noProof/>
        </w:rPr>
        <w:tab/>
        <w:t>Корабостроително досие (правило II-1/3-10 от SOLAS);</w:t>
      </w:r>
    </w:p>
    <w:p w14:paraId="7615FF86" w14:textId="77777777" w:rsidR="00F9656B" w:rsidRPr="00FF75A4" w:rsidRDefault="00BC493B" w:rsidP="00BC493B">
      <w:pPr>
        <w:pStyle w:val="Point0"/>
        <w:rPr>
          <w:noProof/>
        </w:rPr>
      </w:pPr>
      <w:r w:rsidRPr="00FF75A4">
        <w:rPr>
          <w:noProof/>
        </w:rPr>
        <w:t>3.</w:t>
      </w:r>
      <w:r w:rsidRPr="00FF75A4">
        <w:rPr>
          <w:noProof/>
        </w:rPr>
        <w:tab/>
        <w:t xml:space="preserve">Наръчник и информация за маневрирането (правило II-1/28 от SOLAS); </w:t>
      </w:r>
    </w:p>
    <w:p w14:paraId="44F89F01" w14:textId="77777777" w:rsidR="00F9656B" w:rsidRPr="00FF75A4" w:rsidRDefault="00BC493B" w:rsidP="00BC493B">
      <w:pPr>
        <w:pStyle w:val="Point0"/>
        <w:rPr>
          <w:noProof/>
        </w:rPr>
      </w:pPr>
      <w:r w:rsidRPr="00FF75A4">
        <w:rPr>
          <w:noProof/>
        </w:rPr>
        <w:t>4.</w:t>
      </w:r>
      <w:r w:rsidRPr="00FF75A4">
        <w:rPr>
          <w:noProof/>
        </w:rPr>
        <w:tab/>
        <w:t xml:space="preserve">Информация за стабилността (правила II-1/5 и II-1/5-1 от SOLAS и правило 10 от LLC 66/88); </w:t>
      </w:r>
    </w:p>
    <w:p w14:paraId="10F8D5CA" w14:textId="77777777" w:rsidR="00F9656B" w:rsidRPr="00FF75A4" w:rsidRDefault="00BC493B" w:rsidP="00BC493B">
      <w:pPr>
        <w:pStyle w:val="Point0"/>
        <w:rPr>
          <w:noProof/>
        </w:rPr>
      </w:pPr>
      <w:r w:rsidRPr="00FF75A4">
        <w:rPr>
          <w:noProof/>
        </w:rPr>
        <w:t>5.</w:t>
      </w:r>
      <w:r w:rsidRPr="00FF75A4">
        <w:rPr>
          <w:noProof/>
        </w:rPr>
        <w:tab/>
        <w:t xml:space="preserve">Информация за подразделянето и устойчивостта (анекс I към MARPOL, правило 28); </w:t>
      </w:r>
    </w:p>
    <w:p w14:paraId="352E537E" w14:textId="77777777" w:rsidR="00F9656B" w:rsidRPr="00FF75A4" w:rsidRDefault="00BC493B" w:rsidP="00BC493B">
      <w:pPr>
        <w:pStyle w:val="Point0"/>
        <w:rPr>
          <w:noProof/>
        </w:rPr>
      </w:pPr>
      <w:r w:rsidRPr="00FF75A4">
        <w:rPr>
          <w:noProof/>
        </w:rPr>
        <w:t>6.</w:t>
      </w:r>
      <w:r w:rsidRPr="00FF75A4">
        <w:rPr>
          <w:noProof/>
        </w:rPr>
        <w:tab/>
        <w:t>Планове и наръчници за контрол на щетите (правило II-1/19 от SOLAS; MSC.1/Circ.1245)</w:t>
      </w:r>
    </w:p>
    <w:p w14:paraId="4D45C996" w14:textId="77777777" w:rsidR="00F9656B" w:rsidRPr="00FF75A4" w:rsidRDefault="00BC493B" w:rsidP="00BC493B">
      <w:pPr>
        <w:pStyle w:val="Point0"/>
        <w:rPr>
          <w:noProof/>
        </w:rPr>
      </w:pPr>
      <w:r w:rsidRPr="00FF75A4">
        <w:rPr>
          <w:noProof/>
        </w:rPr>
        <w:t>7.</w:t>
      </w:r>
      <w:r w:rsidRPr="00FF75A4">
        <w:rPr>
          <w:noProof/>
        </w:rPr>
        <w:tab/>
        <w:t xml:space="preserve">Ръководство за достъп до конструкцията на кораба (правило II-1/3-6 от SOLAS); </w:t>
      </w:r>
    </w:p>
    <w:p w14:paraId="09535DE8" w14:textId="77777777" w:rsidR="00F9656B" w:rsidRPr="00FF75A4" w:rsidRDefault="00BC493B" w:rsidP="00BC493B">
      <w:pPr>
        <w:pStyle w:val="Point0"/>
        <w:rPr>
          <w:noProof/>
        </w:rPr>
      </w:pPr>
      <w:r w:rsidRPr="00FF75A4">
        <w:rPr>
          <w:noProof/>
        </w:rPr>
        <w:t>8.</w:t>
      </w:r>
      <w:r w:rsidRPr="00FF75A4">
        <w:rPr>
          <w:noProof/>
        </w:rPr>
        <w:tab/>
        <w:t xml:space="preserve">Досиета с доклади от задълбочени прегледи (в случай на кораби за насипни товари или нефтени танкери) (правило XI-1/2SOLAS и параграфи 6.2 и 6.3 от Кодекса ESP от 2011 г, приложение А, част А и част Б и приложение Б, част А и част Б);  </w:t>
      </w:r>
    </w:p>
    <w:p w14:paraId="5E463BA9" w14:textId="77777777" w:rsidR="00F9656B" w:rsidRPr="00FF75A4" w:rsidRDefault="00BC493B" w:rsidP="00BC493B">
      <w:pPr>
        <w:pStyle w:val="Point0"/>
        <w:rPr>
          <w:noProof/>
        </w:rPr>
      </w:pPr>
      <w:r w:rsidRPr="00FF75A4">
        <w:rPr>
          <w:noProof/>
        </w:rPr>
        <w:t>9.</w:t>
      </w:r>
      <w:r w:rsidRPr="00FF75A4">
        <w:rPr>
          <w:noProof/>
        </w:rPr>
        <w:tab/>
        <w:t xml:space="preserve">Ръководство за укрепване на товара (правило VI/5.6 и VII/5 от SOLAS; MSC.1/Circ.1353/Rev.1); </w:t>
      </w:r>
    </w:p>
    <w:p w14:paraId="476BACF1" w14:textId="77777777" w:rsidR="00F9656B" w:rsidRPr="00FF75A4" w:rsidRDefault="00BC493B" w:rsidP="00BC493B">
      <w:pPr>
        <w:pStyle w:val="Point0"/>
        <w:rPr>
          <w:noProof/>
        </w:rPr>
      </w:pPr>
      <w:r w:rsidRPr="00FF75A4">
        <w:rPr>
          <w:noProof/>
        </w:rPr>
        <w:t>10.</w:t>
      </w:r>
      <w:r w:rsidRPr="00FF75A4">
        <w:rPr>
          <w:noProof/>
        </w:rPr>
        <w:tab/>
        <w:t xml:space="preserve">Наръчник на кораба за насипни товари (правила VI/7.2 и XII/8 от SOLAS, Кодекс BLU); </w:t>
      </w:r>
    </w:p>
    <w:p w14:paraId="08D67EA2" w14:textId="77777777" w:rsidR="00F9656B" w:rsidRPr="00FF75A4" w:rsidRDefault="00BC493B" w:rsidP="00BC493B">
      <w:pPr>
        <w:pStyle w:val="Point0"/>
        <w:rPr>
          <w:noProof/>
        </w:rPr>
      </w:pPr>
      <w:r w:rsidRPr="00FF75A4">
        <w:rPr>
          <w:noProof/>
        </w:rPr>
        <w:t>11.</w:t>
      </w:r>
      <w:r w:rsidRPr="00FF75A4">
        <w:rPr>
          <w:noProof/>
        </w:rPr>
        <w:tab/>
        <w:t xml:space="preserve">План за товарене/разтоварване за кораби за насипни товари (правило VI/7.3 от SOLAS); </w:t>
      </w:r>
    </w:p>
    <w:p w14:paraId="27C4C19A" w14:textId="77777777" w:rsidR="00F9656B" w:rsidRPr="00FF75A4" w:rsidRDefault="00BC493B" w:rsidP="00BC493B">
      <w:pPr>
        <w:pStyle w:val="Point0"/>
        <w:rPr>
          <w:noProof/>
        </w:rPr>
      </w:pPr>
      <w:r w:rsidRPr="00FF75A4">
        <w:rPr>
          <w:noProof/>
        </w:rPr>
        <w:t>12.</w:t>
      </w:r>
      <w:r w:rsidRPr="00FF75A4">
        <w:rPr>
          <w:noProof/>
        </w:rPr>
        <w:tab/>
        <w:t>Информация за товара (правила VI/2 и XII/10 от SOLAS, MSC/Circ.663);</w:t>
      </w:r>
    </w:p>
    <w:p w14:paraId="424405FD" w14:textId="77777777" w:rsidR="00F9656B" w:rsidRPr="00FF75A4" w:rsidRDefault="00BC493B" w:rsidP="00BC493B">
      <w:pPr>
        <w:pStyle w:val="Point0"/>
        <w:rPr>
          <w:noProof/>
        </w:rPr>
      </w:pPr>
      <w:r w:rsidRPr="00FF75A4">
        <w:rPr>
          <w:noProof/>
        </w:rPr>
        <w:t>13.</w:t>
      </w:r>
      <w:r w:rsidRPr="00FF75A4">
        <w:rPr>
          <w:noProof/>
        </w:rPr>
        <w:tab/>
        <w:t xml:space="preserve">Противопожарен план/наръчник (правила II-2/15.2.4 и II-2/15.3.2 от SOLAS); </w:t>
      </w:r>
    </w:p>
    <w:p w14:paraId="46A69AF8" w14:textId="77777777" w:rsidR="00F9656B" w:rsidRPr="00FF75A4" w:rsidRDefault="00BC493B" w:rsidP="00BC493B">
      <w:pPr>
        <w:pStyle w:val="Point0"/>
        <w:rPr>
          <w:noProof/>
        </w:rPr>
      </w:pPr>
      <w:r w:rsidRPr="00FF75A4">
        <w:rPr>
          <w:noProof/>
        </w:rPr>
        <w:t>14.</w:t>
      </w:r>
      <w:r w:rsidRPr="00FF75A4">
        <w:rPr>
          <w:noProof/>
        </w:rPr>
        <w:tab/>
        <w:t xml:space="preserve">Експлоатационен наръчник за противопожарна безопасност (правило II-2/16.2 от SOLAS); </w:t>
      </w:r>
    </w:p>
    <w:p w14:paraId="0093F0B1" w14:textId="77777777" w:rsidR="00F9656B" w:rsidRPr="00FF75A4" w:rsidRDefault="00BC493B" w:rsidP="00BC493B">
      <w:pPr>
        <w:pStyle w:val="Point0"/>
        <w:rPr>
          <w:noProof/>
        </w:rPr>
      </w:pPr>
      <w:r w:rsidRPr="00FF75A4">
        <w:rPr>
          <w:noProof/>
        </w:rPr>
        <w:t>15.</w:t>
      </w:r>
      <w:r w:rsidRPr="00FF75A4">
        <w:rPr>
          <w:noProof/>
        </w:rPr>
        <w:tab/>
        <w:t>Ръководство за обучение по противопожарна безопасност (правило II-2/1 5.2.3 от SOLAS);</w:t>
      </w:r>
    </w:p>
    <w:p w14:paraId="46856C8C" w14:textId="77777777" w:rsidR="00F9656B" w:rsidRPr="00FF75A4" w:rsidRDefault="00BC493B" w:rsidP="00BC493B">
      <w:pPr>
        <w:pStyle w:val="Point0"/>
        <w:rPr>
          <w:noProof/>
        </w:rPr>
      </w:pPr>
      <w:r w:rsidRPr="00FF75A4">
        <w:rPr>
          <w:noProof/>
        </w:rPr>
        <w:t>16.</w:t>
      </w:r>
      <w:r w:rsidRPr="00FF75A4">
        <w:rPr>
          <w:noProof/>
        </w:rPr>
        <w:tab/>
        <w:t xml:space="preserve">Ръководство за обучение (правило III/35 от SOLAS); </w:t>
      </w:r>
    </w:p>
    <w:p w14:paraId="07A2242F" w14:textId="77777777" w:rsidR="00F9656B" w:rsidRPr="00FF75A4" w:rsidRDefault="00BC493B" w:rsidP="00BC493B">
      <w:pPr>
        <w:pStyle w:val="Point0"/>
        <w:rPr>
          <w:noProof/>
        </w:rPr>
      </w:pPr>
      <w:r w:rsidRPr="00FF75A4">
        <w:rPr>
          <w:noProof/>
        </w:rPr>
        <w:t>17.</w:t>
      </w:r>
      <w:r w:rsidRPr="00FF75A4">
        <w:rPr>
          <w:noProof/>
        </w:rPr>
        <w:tab/>
        <w:t xml:space="preserve">Записи за обучение и тренировки на борда и техническо обслужване (правила II-2/15.2.2.5 и № III/19.3 и III/19.5, III/20.6 и III/20.7 от SOLAS); </w:t>
      </w:r>
    </w:p>
    <w:p w14:paraId="7252DE89" w14:textId="77777777" w:rsidR="00F9656B" w:rsidRPr="00FF75A4" w:rsidRDefault="00BC493B" w:rsidP="00BC493B">
      <w:pPr>
        <w:pStyle w:val="Point0"/>
        <w:rPr>
          <w:noProof/>
        </w:rPr>
      </w:pPr>
      <w:r w:rsidRPr="00FF75A4">
        <w:rPr>
          <w:noProof/>
        </w:rPr>
        <w:t>18.</w:t>
      </w:r>
      <w:r w:rsidRPr="00FF75A4">
        <w:rPr>
          <w:noProof/>
        </w:rPr>
        <w:tab/>
        <w:t xml:space="preserve">Специфични за кораба планове и процедури за спасяване на хора във водата (правило III/17-1 от SOLAS; MSC.346 (91); MSC.1/Circ.1447); </w:t>
      </w:r>
    </w:p>
    <w:p w14:paraId="70302833" w14:textId="77777777" w:rsidR="00F9656B" w:rsidRPr="00FF75A4" w:rsidRDefault="00BC493B" w:rsidP="00BC493B">
      <w:pPr>
        <w:pStyle w:val="Point0"/>
        <w:rPr>
          <w:noProof/>
        </w:rPr>
      </w:pPr>
      <w:r w:rsidRPr="00FF75A4">
        <w:rPr>
          <w:noProof/>
        </w:rPr>
        <w:t>19.</w:t>
      </w:r>
      <w:r w:rsidRPr="00FF75A4">
        <w:rPr>
          <w:noProof/>
        </w:rPr>
        <w:tab/>
        <w:t xml:space="preserve">Система за подпомагане на вземането на решения от капитаните (пътнически кораби) (правило III/29 от SOLAS); </w:t>
      </w:r>
    </w:p>
    <w:p w14:paraId="0283253E" w14:textId="77777777" w:rsidR="00F9656B" w:rsidRPr="00FF75A4" w:rsidRDefault="00BC493B" w:rsidP="00BC493B">
      <w:pPr>
        <w:pStyle w:val="Point0"/>
        <w:rPr>
          <w:noProof/>
        </w:rPr>
      </w:pPr>
      <w:r w:rsidRPr="00FF75A4">
        <w:rPr>
          <w:noProof/>
        </w:rPr>
        <w:t>20.</w:t>
      </w:r>
      <w:r w:rsidRPr="00FF75A4">
        <w:rPr>
          <w:noProof/>
        </w:rPr>
        <w:tab/>
        <w:t xml:space="preserve">Международен сигнален код и копие на том III от ръководството IAMSAR (правило V/21 от SOLAS); </w:t>
      </w:r>
    </w:p>
    <w:p w14:paraId="7C38609C" w14:textId="77777777" w:rsidR="00F9656B" w:rsidRPr="00FF75A4" w:rsidRDefault="00BC493B" w:rsidP="00BC493B">
      <w:pPr>
        <w:pStyle w:val="Point0"/>
        <w:rPr>
          <w:noProof/>
        </w:rPr>
      </w:pPr>
      <w:r w:rsidRPr="00FF75A4">
        <w:rPr>
          <w:noProof/>
        </w:rPr>
        <w:t>21.</w:t>
      </w:r>
      <w:r w:rsidRPr="00FF75A4">
        <w:rPr>
          <w:noProof/>
        </w:rPr>
        <w:tab/>
        <w:t>Записи за навигационни дейности (правила V/26 и V/28.1 от SOLAS);</w:t>
      </w:r>
    </w:p>
    <w:p w14:paraId="19DF3D82" w14:textId="77777777" w:rsidR="00F9656B" w:rsidRPr="00FF75A4" w:rsidRDefault="00BC493B" w:rsidP="00BC493B">
      <w:pPr>
        <w:pStyle w:val="Point0"/>
        <w:rPr>
          <w:noProof/>
        </w:rPr>
      </w:pPr>
      <w:r w:rsidRPr="00FF75A4">
        <w:rPr>
          <w:noProof/>
        </w:rPr>
        <w:t>22.</w:t>
      </w:r>
      <w:r w:rsidRPr="00FF75A4">
        <w:rPr>
          <w:noProof/>
        </w:rPr>
        <w:tab/>
        <w:t xml:space="preserve">План за сигурност на кораба и свързаните записи (правило XI-2/9 от SOLAS и Кодекса ISPS, части A/9 и 10); </w:t>
      </w:r>
    </w:p>
    <w:p w14:paraId="24475FF2" w14:textId="77777777" w:rsidR="00F9656B" w:rsidRPr="00FF75A4" w:rsidRDefault="00BC493B" w:rsidP="00BC493B">
      <w:pPr>
        <w:pStyle w:val="Point0"/>
        <w:rPr>
          <w:noProof/>
        </w:rPr>
      </w:pPr>
      <w:r w:rsidRPr="00FF75A4">
        <w:rPr>
          <w:noProof/>
        </w:rPr>
        <w:t>23.</w:t>
      </w:r>
      <w:r w:rsidRPr="00FF75A4">
        <w:rPr>
          <w:noProof/>
        </w:rPr>
        <w:tab/>
        <w:t xml:space="preserve">Международно свидетелство на двигателя за предотвратяване на замърсяването на въздуха (EIAPPC) (Технически кодекс NOX от 2008 г., правило 2.1.1.1); </w:t>
      </w:r>
    </w:p>
    <w:p w14:paraId="613897D6" w14:textId="77777777" w:rsidR="00F9656B" w:rsidRPr="00FF75A4" w:rsidRDefault="00BC493B" w:rsidP="00BC493B">
      <w:pPr>
        <w:pStyle w:val="Point0"/>
        <w:rPr>
          <w:noProof/>
        </w:rPr>
      </w:pPr>
      <w:r w:rsidRPr="00FF75A4">
        <w:rPr>
          <w:noProof/>
        </w:rPr>
        <w:t>24.</w:t>
      </w:r>
      <w:r w:rsidRPr="00FF75A4">
        <w:rPr>
          <w:noProof/>
        </w:rPr>
        <w:tab/>
        <w:t xml:space="preserve">Техническо досие за проектния индекс за енергийна ефективност (EEDI) (анекс VI към MARPOL, правило 20); </w:t>
      </w:r>
    </w:p>
    <w:p w14:paraId="5325CD2D" w14:textId="77777777" w:rsidR="00F9656B" w:rsidRPr="00FF75A4" w:rsidRDefault="00BC493B" w:rsidP="00BC493B">
      <w:pPr>
        <w:pStyle w:val="Point0"/>
        <w:rPr>
          <w:noProof/>
        </w:rPr>
      </w:pPr>
      <w:r w:rsidRPr="00FF75A4">
        <w:rPr>
          <w:noProof/>
        </w:rPr>
        <w:t>25.</w:t>
      </w:r>
      <w:r w:rsidRPr="00FF75A4">
        <w:rPr>
          <w:noProof/>
        </w:rPr>
        <w:tab/>
        <w:t xml:space="preserve">Технически досиета (Технически кодекс NOX от 2008 г., правило 2.3.4); </w:t>
      </w:r>
    </w:p>
    <w:p w14:paraId="6C3D086B" w14:textId="77777777" w:rsidR="00F9656B" w:rsidRPr="00FF75A4" w:rsidRDefault="00BC493B" w:rsidP="00BC493B">
      <w:pPr>
        <w:pStyle w:val="Point0"/>
        <w:rPr>
          <w:noProof/>
        </w:rPr>
      </w:pPr>
      <w:r w:rsidRPr="00FF75A4">
        <w:rPr>
          <w:noProof/>
        </w:rPr>
        <w:t>26.</w:t>
      </w:r>
      <w:r w:rsidRPr="00FF75A4">
        <w:rPr>
          <w:noProof/>
        </w:rPr>
        <w:tab/>
        <w:t>Регистър на параметрите на двигателя (Технически кодекс NOX, правило 2.3.7);</w:t>
      </w:r>
    </w:p>
    <w:p w14:paraId="7C78DF3D" w14:textId="77777777" w:rsidR="00F9656B" w:rsidRPr="00FF75A4" w:rsidRDefault="00BC493B" w:rsidP="00BC493B">
      <w:pPr>
        <w:pStyle w:val="Point0"/>
        <w:rPr>
          <w:noProof/>
        </w:rPr>
      </w:pPr>
      <w:r w:rsidRPr="00FF75A4">
        <w:rPr>
          <w:noProof/>
        </w:rPr>
        <w:t>27.</w:t>
      </w:r>
      <w:r w:rsidRPr="00FF75A4">
        <w:rPr>
          <w:noProof/>
        </w:rPr>
        <w:tab/>
        <w:t>Сертификат за одобрение на типа на инсинератора (анекс VI към MARPOL, правило 16.6);</w:t>
      </w:r>
    </w:p>
    <w:p w14:paraId="4419166E" w14:textId="77777777" w:rsidR="00F9656B" w:rsidRPr="00FF75A4" w:rsidRDefault="00BC493B" w:rsidP="00BC493B">
      <w:pPr>
        <w:pStyle w:val="Point0"/>
        <w:rPr>
          <w:noProof/>
        </w:rPr>
      </w:pPr>
      <w:r w:rsidRPr="00FF75A4">
        <w:rPr>
          <w:noProof/>
        </w:rPr>
        <w:t>28.</w:t>
      </w:r>
      <w:r w:rsidRPr="00FF75A4">
        <w:rPr>
          <w:noProof/>
        </w:rPr>
        <w:tab/>
        <w:t xml:space="preserve">Ръководство на производителя за експлоатация на инсинератори (анекс VI към MARPOL, правило 16.7); </w:t>
      </w:r>
    </w:p>
    <w:p w14:paraId="117E49C3" w14:textId="77777777" w:rsidR="00F9656B" w:rsidRPr="00FF75A4" w:rsidRDefault="00BC493B" w:rsidP="00BC493B">
      <w:pPr>
        <w:pStyle w:val="Point0"/>
        <w:rPr>
          <w:noProof/>
        </w:rPr>
      </w:pPr>
      <w:r w:rsidRPr="00FF75A4">
        <w:rPr>
          <w:noProof/>
        </w:rPr>
        <w:t>29.</w:t>
      </w:r>
      <w:r w:rsidRPr="00FF75A4">
        <w:rPr>
          <w:noProof/>
        </w:rPr>
        <w:tab/>
        <w:t>Процедура за смяна а горивото при смяна на вида на горивото (анекс VI към MARPOL, правило 14.6 );</w:t>
      </w:r>
    </w:p>
    <w:p w14:paraId="34E0827A" w14:textId="77777777" w:rsidR="00F9656B" w:rsidRPr="00FF75A4" w:rsidRDefault="00BC493B" w:rsidP="00BC493B">
      <w:pPr>
        <w:pStyle w:val="Point0"/>
        <w:rPr>
          <w:noProof/>
        </w:rPr>
      </w:pPr>
      <w:r w:rsidRPr="00FF75A4">
        <w:rPr>
          <w:noProof/>
        </w:rPr>
        <w:t>30.</w:t>
      </w:r>
      <w:r w:rsidRPr="00FF75A4">
        <w:rPr>
          <w:noProof/>
        </w:rPr>
        <w:tab/>
        <w:t xml:space="preserve">Разписки за бункероване и представителна проба (анекс VI към MARPOL, правила 18.6 и 18.8.1); </w:t>
      </w:r>
    </w:p>
    <w:p w14:paraId="23FA447C" w14:textId="77777777" w:rsidR="00F9656B" w:rsidRPr="00FF75A4" w:rsidRDefault="00BC493B" w:rsidP="00BC493B">
      <w:pPr>
        <w:pStyle w:val="Point0"/>
        <w:rPr>
          <w:noProof/>
        </w:rPr>
      </w:pPr>
      <w:r w:rsidRPr="00FF75A4">
        <w:rPr>
          <w:noProof/>
        </w:rPr>
        <w:t>31.</w:t>
      </w:r>
      <w:r w:rsidRPr="00FF75A4">
        <w:rPr>
          <w:noProof/>
        </w:rPr>
        <w:tab/>
        <w:t xml:space="preserve">План за действие при извънредни ситуации, свързани със замърсяване с нефт на борда на кораба (анекс I към MARPOL, правило 37.1; резолюция MEPC.54(32), изменена с резолюция MEPC.86(44); </w:t>
      </w:r>
    </w:p>
    <w:p w14:paraId="53220B6F" w14:textId="77777777" w:rsidR="00F9656B" w:rsidRPr="00FF75A4" w:rsidRDefault="00BC493B" w:rsidP="00BC493B">
      <w:pPr>
        <w:pStyle w:val="Point0"/>
        <w:rPr>
          <w:noProof/>
        </w:rPr>
      </w:pPr>
      <w:r w:rsidRPr="00FF75A4">
        <w:rPr>
          <w:noProof/>
        </w:rPr>
        <w:t>32.</w:t>
      </w:r>
      <w:r w:rsidRPr="00FF75A4">
        <w:rPr>
          <w:noProof/>
        </w:rPr>
        <w:tab/>
        <w:t>План за действие при извънредни ситуации, свързани със замърсяване на морето с вредни течни вещества на борда на кораба (анекс II към MARPOL, правило 17);</w:t>
      </w:r>
    </w:p>
    <w:p w14:paraId="5C1D789D" w14:textId="77777777" w:rsidR="00F9656B" w:rsidRPr="00FF75A4" w:rsidRDefault="00BC493B" w:rsidP="00BC493B">
      <w:pPr>
        <w:pStyle w:val="Point0"/>
        <w:rPr>
          <w:noProof/>
        </w:rPr>
      </w:pPr>
      <w:r w:rsidRPr="00FF75A4">
        <w:rPr>
          <w:noProof/>
        </w:rPr>
        <w:t>33.</w:t>
      </w:r>
      <w:r w:rsidRPr="00FF75A4">
        <w:rPr>
          <w:noProof/>
        </w:rPr>
        <w:tab/>
        <w:t xml:space="preserve">План за управление на енергийната ефективност на корабите (анекс VI към MARPOL, правило 22, MEPC.1/Circ795); </w:t>
      </w:r>
    </w:p>
    <w:p w14:paraId="71A91053" w14:textId="77777777" w:rsidR="00F9656B" w:rsidRPr="00FF75A4" w:rsidRDefault="00BC493B" w:rsidP="00BC493B">
      <w:pPr>
        <w:pStyle w:val="Point0"/>
        <w:rPr>
          <w:noProof/>
        </w:rPr>
      </w:pPr>
      <w:r w:rsidRPr="00FF75A4">
        <w:rPr>
          <w:noProof/>
        </w:rPr>
        <w:t>34.</w:t>
      </w:r>
      <w:r w:rsidRPr="00FF75A4">
        <w:rPr>
          <w:noProof/>
        </w:rPr>
        <w:tab/>
        <w:t xml:space="preserve">Оперативен план за STS и записи на операциите по STS (от кораб на кораб) (анекс I към MARPOL, правило 41); </w:t>
      </w:r>
    </w:p>
    <w:p w14:paraId="7DE43290" w14:textId="77777777" w:rsidR="00F9656B" w:rsidRPr="00FF75A4" w:rsidRDefault="00BC493B" w:rsidP="00BC493B">
      <w:pPr>
        <w:pStyle w:val="Point0"/>
        <w:rPr>
          <w:noProof/>
        </w:rPr>
      </w:pPr>
      <w:r w:rsidRPr="00FF75A4">
        <w:rPr>
          <w:noProof/>
        </w:rPr>
        <w:t>35.</w:t>
      </w:r>
      <w:r w:rsidRPr="00FF75A4">
        <w:rPr>
          <w:noProof/>
        </w:rPr>
        <w:tab/>
        <w:t xml:space="preserve">Ръководство за процедури и ангажименти (химикаловози) (анекс II, правило 14.1 към MARPOL; резолюция MEPC.18(22), изменена с резолюция MEPC.62(35); </w:t>
      </w:r>
    </w:p>
    <w:p w14:paraId="3674CC9A" w14:textId="77777777" w:rsidR="00F9656B" w:rsidRPr="00FF75A4" w:rsidRDefault="00BC493B" w:rsidP="00BC493B">
      <w:pPr>
        <w:pStyle w:val="Point0"/>
        <w:rPr>
          <w:noProof/>
        </w:rPr>
      </w:pPr>
      <w:r w:rsidRPr="00FF75A4">
        <w:rPr>
          <w:noProof/>
        </w:rPr>
        <w:t>36.</w:t>
      </w:r>
      <w:r w:rsidRPr="00FF75A4">
        <w:rPr>
          <w:noProof/>
        </w:rPr>
        <w:tab/>
        <w:t xml:space="preserve">План за управление на VOC (летливи органични съединения) (анекс VI към MARPOL, правило 15.6); </w:t>
      </w:r>
    </w:p>
    <w:p w14:paraId="39DA0763" w14:textId="77777777" w:rsidR="00F9656B" w:rsidRPr="00FF75A4" w:rsidRDefault="00BC493B" w:rsidP="00BC493B">
      <w:pPr>
        <w:pStyle w:val="Point0"/>
        <w:rPr>
          <w:noProof/>
        </w:rPr>
      </w:pPr>
      <w:r w:rsidRPr="00FF75A4">
        <w:rPr>
          <w:noProof/>
        </w:rPr>
        <w:t>37.</w:t>
      </w:r>
      <w:r w:rsidRPr="00FF75A4">
        <w:rPr>
          <w:noProof/>
        </w:rPr>
        <w:tab/>
        <w:t xml:space="preserve">План за управление на баластните води (BWMP) (правило B-1 от BWMC, резолюция MEPC.127 (53) </w:t>
      </w:r>
    </w:p>
    <w:p w14:paraId="7C5A39D4" w14:textId="77777777" w:rsidR="00F9656B" w:rsidRPr="00FF75A4" w:rsidRDefault="00BC493B" w:rsidP="00BC493B">
      <w:pPr>
        <w:pStyle w:val="Point0"/>
        <w:rPr>
          <w:noProof/>
        </w:rPr>
      </w:pPr>
      <w:r w:rsidRPr="00FF75A4">
        <w:rPr>
          <w:noProof/>
        </w:rPr>
        <w:t>38.</w:t>
      </w:r>
      <w:r w:rsidRPr="00FF75A4">
        <w:rPr>
          <w:noProof/>
        </w:rPr>
        <w:tab/>
        <w:t xml:space="preserve">Протокол от изпитване за съответствие по LRIT (далечно опознаване и проследяване на кораби) (правило V/19-1.6 от SOLAS; MSC.1/Circ.1307); </w:t>
      </w:r>
    </w:p>
    <w:p w14:paraId="2C696431" w14:textId="77777777" w:rsidR="00F9656B" w:rsidRPr="00FF75A4" w:rsidRDefault="00BC493B" w:rsidP="00BC493B">
      <w:pPr>
        <w:pStyle w:val="Point0"/>
        <w:rPr>
          <w:noProof/>
        </w:rPr>
      </w:pPr>
      <w:r w:rsidRPr="00FF75A4">
        <w:rPr>
          <w:noProof/>
        </w:rPr>
        <w:t>39.</w:t>
      </w:r>
      <w:r w:rsidRPr="00FF75A4">
        <w:rPr>
          <w:noProof/>
        </w:rPr>
        <w:tab/>
        <w:t xml:space="preserve">Копие от удостоверението за съответствие, издадено от изпитвателния орган, в което се посочват датата на съответствие и приложимите стандарти за ефективност на VDR (устройство за записване на данните от пътуването) (правило V/18.8 от SOLAS); </w:t>
      </w:r>
    </w:p>
    <w:p w14:paraId="62356E1C" w14:textId="77777777" w:rsidR="00F9656B" w:rsidRPr="00FF75A4" w:rsidRDefault="00BC493B" w:rsidP="00BC493B">
      <w:pPr>
        <w:pStyle w:val="Point0"/>
        <w:rPr>
          <w:noProof/>
        </w:rPr>
      </w:pPr>
      <w:r w:rsidRPr="00FF75A4">
        <w:rPr>
          <w:noProof/>
        </w:rPr>
        <w:t>40.</w:t>
      </w:r>
      <w:r w:rsidRPr="00FF75A4">
        <w:rPr>
          <w:noProof/>
        </w:rPr>
        <w:tab/>
        <w:t xml:space="preserve">Протокол от изпитването на AIS (системи за автоматична идентификация) (правило V/18.9 от SOLAS, MSC.1/Circ.1252); </w:t>
      </w:r>
    </w:p>
    <w:p w14:paraId="36CE1EDC" w14:textId="77777777" w:rsidR="00F9656B" w:rsidRPr="00FF75A4" w:rsidRDefault="00BC493B" w:rsidP="00BC493B">
      <w:pPr>
        <w:pStyle w:val="Point0"/>
        <w:rPr>
          <w:noProof/>
        </w:rPr>
      </w:pPr>
      <w:r w:rsidRPr="00FF75A4">
        <w:rPr>
          <w:noProof/>
        </w:rPr>
        <w:t>41.</w:t>
      </w:r>
      <w:r w:rsidRPr="00FF75A4">
        <w:rPr>
          <w:noProof/>
        </w:rPr>
        <w:tab/>
        <w:t xml:space="preserve">Протокол от проучването на шума (правило II-1/3-12 от SOLAS); </w:t>
      </w:r>
    </w:p>
    <w:p w14:paraId="1C82ACF9" w14:textId="77777777" w:rsidR="00F9656B" w:rsidRPr="00FF75A4" w:rsidRDefault="00BC493B" w:rsidP="00BC493B">
      <w:pPr>
        <w:pStyle w:val="Point0"/>
        <w:rPr>
          <w:noProof/>
        </w:rPr>
      </w:pPr>
      <w:r w:rsidRPr="00FF75A4">
        <w:rPr>
          <w:noProof/>
        </w:rPr>
        <w:t>42.</w:t>
      </w:r>
      <w:r w:rsidRPr="00FF75A4">
        <w:rPr>
          <w:noProof/>
        </w:rPr>
        <w:tab/>
        <w:t xml:space="preserve">Оперативно ръководство за мониторинг и контрол на изхвърлянето на нефт (ODMC) (анекс I към MARPOL, правило 31; резолюция А.496 (XII); резолюция A.586 (14), изменена с резолюция MEPC.24 (22); резолюция MEPC.108 (49), изменена с резолюция MEPC.240 (65); </w:t>
      </w:r>
    </w:p>
    <w:p w14:paraId="5C329822" w14:textId="77777777" w:rsidR="00F9656B" w:rsidRPr="00FF75A4" w:rsidRDefault="00BC493B" w:rsidP="00BC493B">
      <w:pPr>
        <w:pStyle w:val="Point0"/>
        <w:rPr>
          <w:noProof/>
        </w:rPr>
      </w:pPr>
      <w:r w:rsidRPr="00FF75A4">
        <w:rPr>
          <w:noProof/>
        </w:rPr>
        <w:t>43.</w:t>
      </w:r>
      <w:r w:rsidRPr="00FF75A4">
        <w:rPr>
          <w:noProof/>
        </w:rPr>
        <w:tab/>
        <w:t xml:space="preserve">Ръководство за експлоатация и оборудване за измиване на суров нефт (анекс I към MARPOL, правило 35, резолюция MEPC.81 (43); </w:t>
      </w:r>
    </w:p>
    <w:p w14:paraId="1C033BBA" w14:textId="77777777" w:rsidR="00F9656B" w:rsidRPr="00FF75A4" w:rsidRDefault="00BC493B" w:rsidP="00BC493B">
      <w:pPr>
        <w:pStyle w:val="Point0"/>
        <w:rPr>
          <w:noProof/>
        </w:rPr>
      </w:pPr>
      <w:r w:rsidRPr="00FF75A4">
        <w:rPr>
          <w:noProof/>
        </w:rPr>
        <w:t>44.</w:t>
      </w:r>
      <w:r w:rsidRPr="00FF75A4">
        <w:rPr>
          <w:noProof/>
        </w:rPr>
        <w:tab/>
        <w:t xml:space="preserve">Информационни листове за безопасност на материала (MSDS) (правило VI/5-1 от SOLAS, MSC.286 (86); </w:t>
      </w:r>
    </w:p>
    <w:p w14:paraId="43170D36" w14:textId="77777777" w:rsidR="00F9656B" w:rsidRPr="00FF75A4" w:rsidRDefault="00BC493B" w:rsidP="00BC493B">
      <w:pPr>
        <w:pStyle w:val="Point0"/>
        <w:rPr>
          <w:noProof/>
        </w:rPr>
      </w:pPr>
      <w:r w:rsidRPr="00FF75A4">
        <w:rPr>
          <w:noProof/>
        </w:rPr>
        <w:t>45.</w:t>
      </w:r>
      <w:r w:rsidRPr="00FF75A4">
        <w:rPr>
          <w:noProof/>
        </w:rPr>
        <w:tab/>
        <w:t xml:space="preserve">Запис за AFS (Международен сертификат за противообрастващи системи) (приложение 4 към AFS от 2001 г., правило 2); </w:t>
      </w:r>
    </w:p>
    <w:p w14:paraId="6662A4C2" w14:textId="77777777" w:rsidR="00F9656B" w:rsidRPr="00FF75A4" w:rsidRDefault="00BC493B" w:rsidP="00BC493B">
      <w:pPr>
        <w:pStyle w:val="Point0"/>
        <w:rPr>
          <w:noProof/>
        </w:rPr>
      </w:pPr>
      <w:r w:rsidRPr="00FF75A4">
        <w:rPr>
          <w:noProof/>
        </w:rPr>
        <w:t>46.</w:t>
      </w:r>
      <w:r w:rsidRPr="00FF75A4">
        <w:rPr>
          <w:noProof/>
        </w:rPr>
        <w:tab/>
        <w:t>Техническо досие за нанасяне на покритие (правило II-1/3-2 от SOLAS ); и</w:t>
      </w:r>
    </w:p>
    <w:p w14:paraId="7157A600" w14:textId="77777777" w:rsidR="00F9656B" w:rsidRPr="00FF75A4" w:rsidRDefault="00BC493B" w:rsidP="00BC493B">
      <w:pPr>
        <w:pStyle w:val="Point0"/>
        <w:rPr>
          <w:noProof/>
        </w:rPr>
      </w:pPr>
      <w:r w:rsidRPr="00FF75A4">
        <w:rPr>
          <w:noProof/>
        </w:rPr>
        <w:t>47.</w:t>
      </w:r>
      <w:r w:rsidRPr="00FF75A4">
        <w:rPr>
          <w:noProof/>
        </w:rPr>
        <w:tab/>
        <w:t>Планове за техническо обслужване (правила II-2/14.2.2, II-2/14.3 и II-2/14.4 от SOLAS).</w:t>
      </w:r>
    </w:p>
    <w:p w14:paraId="4A88540C" w14:textId="77777777" w:rsidR="00F9656B" w:rsidRPr="00FF75A4" w:rsidRDefault="00F9656B" w:rsidP="00F9656B">
      <w:pPr>
        <w:rPr>
          <w:noProof/>
        </w:rPr>
      </w:pPr>
      <w:r w:rsidRPr="00FF75A4">
        <w:rPr>
          <w:noProof/>
        </w:rPr>
        <w:t xml:space="preserve">За справка: </w:t>
      </w:r>
    </w:p>
    <w:p w14:paraId="6B0D288C" w14:textId="77777777" w:rsidR="00F9656B" w:rsidRPr="00FF75A4" w:rsidRDefault="00BC493B" w:rsidP="00BC493B">
      <w:pPr>
        <w:pStyle w:val="Point0"/>
        <w:rPr>
          <w:noProof/>
        </w:rPr>
      </w:pPr>
      <w:r w:rsidRPr="00FF75A4">
        <w:rPr>
          <w:noProof/>
        </w:rPr>
        <w:t>1.</w:t>
      </w:r>
      <w:r w:rsidRPr="00FF75A4">
        <w:rPr>
          <w:noProof/>
        </w:rPr>
        <w:tab/>
        <w:t xml:space="preserve">Удостоверение за регистрация или друг документ за гражданство (член 9.1.2 от UNCLOS); </w:t>
      </w:r>
    </w:p>
    <w:p w14:paraId="72D97B0B" w14:textId="77777777" w:rsidR="00F9656B" w:rsidRPr="00FF75A4" w:rsidRDefault="00BC493B" w:rsidP="00BC493B">
      <w:pPr>
        <w:pStyle w:val="Point0"/>
        <w:rPr>
          <w:noProof/>
        </w:rPr>
      </w:pPr>
      <w:r w:rsidRPr="00FF75A4">
        <w:rPr>
          <w:noProof/>
        </w:rPr>
        <w:t>2.</w:t>
      </w:r>
      <w:r w:rsidRPr="00FF75A4">
        <w:rPr>
          <w:noProof/>
        </w:rPr>
        <w:tab/>
        <w:t xml:space="preserve">Сертификати, свързани със стабилността на корпуса и на инсталациите за движение на кораба, издадени от засегнатото класификационното дружество (да се изисква само ако корабът е класиран от класификационно дружество); </w:t>
      </w:r>
    </w:p>
    <w:p w14:paraId="1C523C53" w14:textId="77777777" w:rsidR="00F9656B" w:rsidRPr="00FF75A4" w:rsidRDefault="00BC493B" w:rsidP="00BC493B">
      <w:pPr>
        <w:pStyle w:val="Point0"/>
        <w:rPr>
          <w:noProof/>
        </w:rPr>
      </w:pPr>
      <w:r w:rsidRPr="00FF75A4">
        <w:rPr>
          <w:noProof/>
        </w:rPr>
        <w:t>3.</w:t>
      </w:r>
      <w:r w:rsidRPr="00FF75A4">
        <w:rPr>
          <w:noProof/>
        </w:rPr>
        <w:tab/>
        <w:t xml:space="preserve">Регистър на товарните съоръжения (член 9.2(4) от Конвенция № 32 на МОТ и член 25 от Конвенция № 152 на МОТ); </w:t>
      </w:r>
    </w:p>
    <w:p w14:paraId="19E10237" w14:textId="77777777" w:rsidR="00F9656B" w:rsidRPr="00FF75A4" w:rsidRDefault="00BC493B" w:rsidP="00BC493B">
      <w:pPr>
        <w:pStyle w:val="Point0"/>
        <w:rPr>
          <w:noProof/>
        </w:rPr>
      </w:pPr>
      <w:r w:rsidRPr="00FF75A4">
        <w:rPr>
          <w:noProof/>
        </w:rPr>
        <w:t>4.</w:t>
      </w:r>
      <w:r w:rsidRPr="00FF75A4">
        <w:rPr>
          <w:noProof/>
        </w:rPr>
        <w:tab/>
        <w:t xml:space="preserve">Сертификати за оборудване за товарене и разтоварване (член 4.3, буква д) от Конвенция № 134 на МОТ и член 9, параграф 4 Конвенция № 32 на МОТ); </w:t>
      </w:r>
    </w:p>
    <w:p w14:paraId="681EA516" w14:textId="77777777" w:rsidR="00F9656B" w:rsidRPr="00FF75A4" w:rsidRDefault="00BC493B" w:rsidP="00BC493B">
      <w:pPr>
        <w:pStyle w:val="Point0"/>
        <w:rPr>
          <w:noProof/>
        </w:rPr>
      </w:pPr>
      <w:r w:rsidRPr="00FF75A4">
        <w:rPr>
          <w:noProof/>
        </w:rPr>
        <w:t>5.</w:t>
      </w:r>
      <w:r w:rsidRPr="00FF75A4">
        <w:rPr>
          <w:noProof/>
        </w:rPr>
        <w:tab/>
        <w:t xml:space="preserve">Медицински свидетелства (Конвенция № 73 на МОТ или МТК, стандарт A1.2 от 2006 г.); </w:t>
      </w:r>
    </w:p>
    <w:p w14:paraId="7AB0242A" w14:textId="77777777" w:rsidR="00F9656B" w:rsidRPr="00FF75A4" w:rsidRDefault="00BC493B" w:rsidP="00BC493B">
      <w:pPr>
        <w:pStyle w:val="Point0"/>
        <w:rPr>
          <w:noProof/>
        </w:rPr>
      </w:pPr>
      <w:r w:rsidRPr="00FF75A4">
        <w:rPr>
          <w:noProof/>
        </w:rPr>
        <w:t>6.</w:t>
      </w:r>
      <w:r w:rsidRPr="00FF75A4">
        <w:rPr>
          <w:noProof/>
        </w:rPr>
        <w:tab/>
        <w:t>Записи за работното време или почивката на морските лица (част II, член 8.1 от Конвенция № 180 на МОТ или МТК 2006 г., стандарт А.2.3.12);</w:t>
      </w:r>
    </w:p>
    <w:p w14:paraId="52686408" w14:textId="77777777" w:rsidR="00F9656B" w:rsidRPr="00FF75A4" w:rsidRDefault="00BC493B" w:rsidP="00BC493B">
      <w:pPr>
        <w:pStyle w:val="Point0"/>
        <w:rPr>
          <w:noProof/>
        </w:rPr>
      </w:pPr>
      <w:r w:rsidRPr="00FF75A4">
        <w:rPr>
          <w:noProof/>
        </w:rPr>
        <w:t>7.</w:t>
      </w:r>
      <w:r w:rsidRPr="00FF75A4">
        <w:rPr>
          <w:noProof/>
        </w:rPr>
        <w:tab/>
        <w:t xml:space="preserve">Морско трудово свидетелство ( правило 5.1.3 от МТК, 2006 г.); </w:t>
      </w:r>
    </w:p>
    <w:p w14:paraId="09D25BA7" w14:textId="77777777" w:rsidR="00F9656B" w:rsidRPr="00FF75A4" w:rsidRDefault="00BC493B" w:rsidP="00BC493B">
      <w:pPr>
        <w:pStyle w:val="Point0"/>
        <w:rPr>
          <w:noProof/>
        </w:rPr>
      </w:pPr>
      <w:r w:rsidRPr="00FF75A4">
        <w:rPr>
          <w:noProof/>
        </w:rPr>
        <w:t>8.</w:t>
      </w:r>
      <w:r w:rsidRPr="00FF75A4">
        <w:rPr>
          <w:noProof/>
        </w:rPr>
        <w:tab/>
        <w:t>Декларация за морско трудово свидетелство (правило 5.1.3 от МТК, 2006 г.);</w:t>
      </w:r>
    </w:p>
    <w:p w14:paraId="6612D9DA" w14:textId="77777777" w:rsidR="00F9656B" w:rsidRPr="00FF75A4" w:rsidRDefault="00BC493B" w:rsidP="00BC493B">
      <w:pPr>
        <w:pStyle w:val="Point0"/>
        <w:rPr>
          <w:noProof/>
        </w:rPr>
      </w:pPr>
      <w:r w:rsidRPr="00FF75A4">
        <w:rPr>
          <w:noProof/>
        </w:rPr>
        <w:t>9.</w:t>
      </w:r>
      <w:r w:rsidRPr="00FF75A4">
        <w:rPr>
          <w:noProof/>
        </w:rPr>
        <w:tab/>
        <w:t>Декларация за спазване на морските трудови норми (DMLC) на борда (части I и II) (правило 5.1.3 от МТК, 2006 г.);</w:t>
      </w:r>
    </w:p>
    <w:p w14:paraId="7C3C6545" w14:textId="77777777" w:rsidR="00F9656B" w:rsidRPr="00FF75A4" w:rsidRDefault="00BC493B" w:rsidP="00BC493B">
      <w:pPr>
        <w:pStyle w:val="Point0"/>
        <w:rPr>
          <w:noProof/>
        </w:rPr>
      </w:pPr>
      <w:r w:rsidRPr="00FF75A4">
        <w:rPr>
          <w:noProof/>
        </w:rPr>
        <w:t>10.</w:t>
      </w:r>
      <w:r w:rsidRPr="00FF75A4">
        <w:rPr>
          <w:noProof/>
        </w:rPr>
        <w:tab/>
        <w:t>Трудови договори на моряците (стандарт A 2.1 от МТК, 2006 г.);</w:t>
      </w:r>
    </w:p>
    <w:p w14:paraId="3406098B" w14:textId="77777777" w:rsidR="00F9656B" w:rsidRPr="00FF75A4" w:rsidRDefault="00BC493B" w:rsidP="00BC493B">
      <w:pPr>
        <w:pStyle w:val="Point0"/>
        <w:rPr>
          <w:noProof/>
        </w:rPr>
      </w:pPr>
      <w:r w:rsidRPr="00FF75A4">
        <w:rPr>
          <w:noProof/>
        </w:rPr>
        <w:t>11.</w:t>
      </w:r>
      <w:r w:rsidRPr="00FF75A4">
        <w:rPr>
          <w:noProof/>
        </w:rPr>
        <w:tab/>
        <w:t xml:space="preserve">Удостоверение за застраховка или финансово обезпечение за репатриране на моряци (правило 2.5 от МТК, 2006 г.); и </w:t>
      </w:r>
    </w:p>
    <w:p w14:paraId="66A8EE8A" w14:textId="77777777" w:rsidR="00BC0147" w:rsidRPr="00FF75A4" w:rsidRDefault="00BC493B" w:rsidP="00BC493B">
      <w:pPr>
        <w:pStyle w:val="Point0"/>
        <w:rPr>
          <w:noProof/>
        </w:rPr>
        <w:sectPr w:rsidR="00BC0147" w:rsidRPr="00FF75A4" w:rsidSect="001D2206">
          <w:pgSz w:w="11907" w:h="16839"/>
          <w:pgMar w:top="1134" w:right="1417" w:bottom="1134" w:left="1417" w:header="709" w:footer="709" w:gutter="0"/>
          <w:cols w:space="720"/>
          <w:docGrid w:linePitch="360"/>
        </w:sectPr>
      </w:pPr>
      <w:r w:rsidRPr="00FF75A4">
        <w:rPr>
          <w:noProof/>
        </w:rPr>
        <w:t>12.</w:t>
      </w:r>
      <w:r w:rsidRPr="00FF75A4">
        <w:rPr>
          <w:noProof/>
        </w:rPr>
        <w:tab/>
        <w:t>Удостоверение за застраховка или финансово обезпечение на отговорността на корабособствениците (МТК, 2006 г., правило 4.2).“</w:t>
      </w:r>
    </w:p>
    <w:p w14:paraId="79D40430" w14:textId="77777777" w:rsidR="00BC0147" w:rsidRPr="00FF75A4" w:rsidRDefault="00BC0147" w:rsidP="00BC0147">
      <w:pPr>
        <w:pStyle w:val="Annexetitre"/>
        <w:rPr>
          <w:noProof/>
        </w:rPr>
      </w:pPr>
      <w:r w:rsidRPr="00FF75A4">
        <w:rPr>
          <w:noProof/>
        </w:rPr>
        <w:t>ПРИЛОЖЕНИЕ IV</w:t>
      </w:r>
    </w:p>
    <w:p w14:paraId="55B1A065" w14:textId="77777777" w:rsidR="00BC0147" w:rsidRPr="00FF75A4" w:rsidRDefault="00BC0147" w:rsidP="00BC0147">
      <w:pPr>
        <w:rPr>
          <w:noProof/>
        </w:rPr>
      </w:pPr>
    </w:p>
    <w:p w14:paraId="1A631F61" w14:textId="77777777" w:rsidR="00492E88" w:rsidRPr="00FF75A4" w:rsidRDefault="00492E88" w:rsidP="00492E88">
      <w:pPr>
        <w:pStyle w:val="NormalCentered"/>
        <w:rPr>
          <w:noProof/>
        </w:rPr>
      </w:pPr>
      <w:r w:rsidRPr="00FF75A4">
        <w:rPr>
          <w:noProof/>
        </w:rPr>
        <w:t>„ПРИЛОЖЕНИЕ VI</w:t>
      </w:r>
    </w:p>
    <w:p w14:paraId="67B79A29" w14:textId="77777777" w:rsidR="00492E88" w:rsidRPr="00FF75A4" w:rsidRDefault="00492E88" w:rsidP="00492E88">
      <w:pPr>
        <w:pStyle w:val="NormalCentered"/>
        <w:rPr>
          <w:noProof/>
        </w:rPr>
      </w:pPr>
      <w:r w:rsidRPr="00FF75A4">
        <w:rPr>
          <w:noProof/>
        </w:rPr>
        <w:t>ПРОЦЕДУРИ ЗА КОНТРОЛ НА КОРАБИТЕ</w:t>
      </w:r>
    </w:p>
    <w:p w14:paraId="09A21381" w14:textId="77777777" w:rsidR="00492E88" w:rsidRPr="00FF75A4" w:rsidRDefault="00492E88" w:rsidP="00492E88">
      <w:pPr>
        <w:pStyle w:val="NormalCentered"/>
        <w:rPr>
          <w:noProof/>
        </w:rPr>
      </w:pPr>
      <w:r w:rsidRPr="00FF75A4">
        <w:rPr>
          <w:noProof/>
        </w:rPr>
        <w:t>(посочени в член 15, параграф 1)</w:t>
      </w:r>
    </w:p>
    <w:p w14:paraId="29D2F1F7" w14:textId="77777777" w:rsidR="00492E88" w:rsidRPr="00FF75A4" w:rsidRDefault="00492E88" w:rsidP="00492E88">
      <w:pPr>
        <w:rPr>
          <w:noProof/>
        </w:rPr>
      </w:pPr>
    </w:p>
    <w:p w14:paraId="1C9949C1" w14:textId="77777777" w:rsidR="00492E88" w:rsidRPr="00FF75A4" w:rsidRDefault="00492E88" w:rsidP="00492E88">
      <w:pPr>
        <w:rPr>
          <w:noProof/>
        </w:rPr>
      </w:pPr>
      <w:r w:rsidRPr="00FF75A4">
        <w:rPr>
          <w:noProof/>
        </w:rPr>
        <w:t>Приложение I „Процедури при държавен пристанищен контрол“ към Парижкия МР и следните инструкции, издадени в съответствие с Парижкия МР, в тяхната осъвременена версия:</w:t>
      </w:r>
    </w:p>
    <w:p w14:paraId="3FAF2D5B" w14:textId="77777777" w:rsidR="00492E88" w:rsidRPr="00FF75A4" w:rsidRDefault="00492E88" w:rsidP="00492E88">
      <w:pPr>
        <w:rPr>
          <w:noProof/>
        </w:rPr>
      </w:pPr>
      <w:r w:rsidRPr="00FF75A4">
        <w:rPr>
          <w:noProof/>
        </w:rPr>
        <w:t>PSCC Технически инструкции</w:t>
      </w:r>
    </w:p>
    <w:p w14:paraId="3E6BD766" w14:textId="77777777" w:rsidR="00492E88" w:rsidRPr="00FF75A4" w:rsidRDefault="00492E88" w:rsidP="00A4190F">
      <w:pPr>
        <w:pStyle w:val="Tiret0"/>
        <w:numPr>
          <w:ilvl w:val="0"/>
          <w:numId w:val="13"/>
        </w:numPr>
        <w:rPr>
          <w:noProof/>
        </w:rPr>
      </w:pPr>
      <w:r w:rsidRPr="00FF75A4">
        <w:rPr>
          <w:noProof/>
        </w:rPr>
        <w:t>PSCC41-2008-07 Кодекс на добрите практики</w:t>
      </w:r>
    </w:p>
    <w:p w14:paraId="4A3327A4" w14:textId="77777777" w:rsidR="00492E88" w:rsidRPr="00FF75A4" w:rsidRDefault="00492E88" w:rsidP="00A4190F">
      <w:pPr>
        <w:pStyle w:val="Tiret0"/>
        <w:rPr>
          <w:noProof/>
        </w:rPr>
      </w:pPr>
      <w:r w:rsidRPr="00FF75A4">
        <w:rPr>
          <w:noProof/>
        </w:rPr>
        <w:t>PSCC53-2020-08 Определения и съкращения</w:t>
      </w:r>
    </w:p>
    <w:p w14:paraId="27849246" w14:textId="77777777" w:rsidR="00492E88" w:rsidRPr="00FF75A4" w:rsidRDefault="00492E88" w:rsidP="00492E88">
      <w:pPr>
        <w:rPr>
          <w:noProof/>
        </w:rPr>
      </w:pPr>
      <w:r w:rsidRPr="00FF75A4">
        <w:rPr>
          <w:noProof/>
        </w:rPr>
        <w:t>Общ парижки меморандум за разбирателство</w:t>
      </w:r>
    </w:p>
    <w:p w14:paraId="23EC5D26" w14:textId="77777777" w:rsidR="00492E88" w:rsidRPr="00FF75A4" w:rsidRDefault="00492E88" w:rsidP="00792940">
      <w:pPr>
        <w:pStyle w:val="Tiret0"/>
        <w:numPr>
          <w:ilvl w:val="0"/>
          <w:numId w:val="1"/>
        </w:numPr>
        <w:rPr>
          <w:noProof/>
        </w:rPr>
      </w:pPr>
      <w:r w:rsidRPr="00FF75A4">
        <w:rPr>
          <w:noProof/>
        </w:rPr>
        <w:t>PSCC54-2021-03 Вид на проверката</w:t>
      </w:r>
    </w:p>
    <w:p w14:paraId="3DBE4CDA" w14:textId="77777777" w:rsidR="00492E88" w:rsidRPr="00FF75A4" w:rsidRDefault="00492E88" w:rsidP="00792940">
      <w:pPr>
        <w:pStyle w:val="Tiret0"/>
        <w:numPr>
          <w:ilvl w:val="0"/>
          <w:numId w:val="1"/>
        </w:numPr>
        <w:rPr>
          <w:noProof/>
        </w:rPr>
      </w:pPr>
      <w:r w:rsidRPr="00FF75A4">
        <w:rPr>
          <w:noProof/>
        </w:rPr>
        <w:t>PSCC55-2022-10 Задържане и предприемане на действия</w:t>
      </w:r>
    </w:p>
    <w:p w14:paraId="48971D10" w14:textId="77777777" w:rsidR="00492E88" w:rsidRPr="00FF75A4" w:rsidRDefault="00492E88" w:rsidP="00792940">
      <w:pPr>
        <w:pStyle w:val="Tiret0"/>
        <w:numPr>
          <w:ilvl w:val="0"/>
          <w:numId w:val="1"/>
        </w:numPr>
        <w:rPr>
          <w:noProof/>
        </w:rPr>
      </w:pPr>
      <w:r w:rsidRPr="00FF75A4">
        <w:rPr>
          <w:noProof/>
        </w:rPr>
        <w:t>PSCC55-2022-08 Образци на формуляри</w:t>
      </w:r>
    </w:p>
    <w:p w14:paraId="6842CECB" w14:textId="77777777" w:rsidR="00492E88" w:rsidRPr="00FF75A4" w:rsidRDefault="00492E88" w:rsidP="00792940">
      <w:pPr>
        <w:pStyle w:val="Tiret0"/>
        <w:numPr>
          <w:ilvl w:val="0"/>
          <w:numId w:val="1"/>
        </w:numPr>
        <w:rPr>
          <w:noProof/>
        </w:rPr>
      </w:pPr>
      <w:r w:rsidRPr="00FF75A4">
        <w:rPr>
          <w:noProof/>
        </w:rPr>
        <w:t>PSCC52-2019-05 Оперативен контрол</w:t>
      </w:r>
    </w:p>
    <w:p w14:paraId="660435BC" w14:textId="77777777" w:rsidR="00492E88" w:rsidRPr="00FF75A4" w:rsidRDefault="00492E88" w:rsidP="00792940">
      <w:pPr>
        <w:pStyle w:val="Tiret0"/>
        <w:numPr>
          <w:ilvl w:val="0"/>
          <w:numId w:val="1"/>
        </w:numPr>
        <w:rPr>
          <w:noProof/>
        </w:rPr>
      </w:pPr>
      <w:r w:rsidRPr="00FF75A4">
        <w:rPr>
          <w:noProof/>
        </w:rPr>
        <w:t>PSS43-2010-11 Освобождавания от държавата на знамето</w:t>
      </w:r>
    </w:p>
    <w:p w14:paraId="4A8E4E07" w14:textId="77777777" w:rsidR="00492E88" w:rsidRPr="00FF75A4" w:rsidRDefault="00492E88" w:rsidP="00792940">
      <w:pPr>
        <w:pStyle w:val="Tiret0"/>
        <w:numPr>
          <w:ilvl w:val="0"/>
          <w:numId w:val="1"/>
        </w:numPr>
        <w:rPr>
          <w:noProof/>
        </w:rPr>
      </w:pPr>
      <w:r w:rsidRPr="00FF75A4">
        <w:rPr>
          <w:noProof/>
        </w:rPr>
        <w:t>PSCC48-2015-09 Отговорност на призната организация</w:t>
      </w:r>
    </w:p>
    <w:p w14:paraId="50544F7D" w14:textId="77777777" w:rsidR="00492E88" w:rsidRPr="00FF75A4" w:rsidRDefault="00492E88" w:rsidP="00792940">
      <w:pPr>
        <w:pStyle w:val="Tiret0"/>
        <w:numPr>
          <w:ilvl w:val="0"/>
          <w:numId w:val="1"/>
        </w:numPr>
        <w:rPr>
          <w:noProof/>
        </w:rPr>
      </w:pPr>
      <w:r w:rsidRPr="00FF75A4">
        <w:rPr>
          <w:noProof/>
        </w:rPr>
        <w:t>PSCC51 Спиране на операция</w:t>
      </w:r>
    </w:p>
    <w:p w14:paraId="4D7A4C4B" w14:textId="77777777" w:rsidR="00492E88" w:rsidRPr="00FF75A4" w:rsidRDefault="00492E88" w:rsidP="00792940">
      <w:pPr>
        <w:pStyle w:val="Tiret0"/>
        <w:numPr>
          <w:ilvl w:val="0"/>
          <w:numId w:val="1"/>
        </w:numPr>
        <w:rPr>
          <w:noProof/>
        </w:rPr>
      </w:pPr>
      <w:r w:rsidRPr="00FF75A4">
        <w:rPr>
          <w:noProof/>
        </w:rPr>
        <w:t xml:space="preserve">PSCC49-2016-11 Изпитване за прекъсване на електроснабдяването </w:t>
      </w:r>
    </w:p>
    <w:p w14:paraId="67CDC9F0" w14:textId="77777777" w:rsidR="00492E88" w:rsidRPr="00FF75A4" w:rsidRDefault="00492E88" w:rsidP="00792940">
      <w:pPr>
        <w:pStyle w:val="Tiret0"/>
        <w:numPr>
          <w:ilvl w:val="0"/>
          <w:numId w:val="1"/>
        </w:numPr>
        <w:rPr>
          <w:noProof/>
        </w:rPr>
      </w:pPr>
      <w:r w:rsidRPr="00FF75A4">
        <w:rPr>
          <w:noProof/>
        </w:rPr>
        <w:t>PSCC53-2020-06 Отказ за достъп (забрана)</w:t>
      </w:r>
    </w:p>
    <w:p w14:paraId="5CC8DD38" w14:textId="77777777" w:rsidR="00492E88" w:rsidRPr="00FF75A4" w:rsidRDefault="00492E88" w:rsidP="00792940">
      <w:pPr>
        <w:pStyle w:val="Tiret0"/>
        <w:numPr>
          <w:ilvl w:val="0"/>
          <w:numId w:val="1"/>
        </w:numPr>
        <w:rPr>
          <w:noProof/>
        </w:rPr>
      </w:pPr>
      <w:r w:rsidRPr="00FF75A4">
        <w:rPr>
          <w:noProof/>
        </w:rPr>
        <w:t>PSCC50-2017-12 Структура на кораби за насипни товари/нефтени танкери</w:t>
      </w:r>
    </w:p>
    <w:p w14:paraId="20DB8FCD" w14:textId="77777777" w:rsidR="00492E88" w:rsidRPr="00FF75A4" w:rsidRDefault="00492E88" w:rsidP="00792940">
      <w:pPr>
        <w:pStyle w:val="Tiret0"/>
        <w:numPr>
          <w:ilvl w:val="0"/>
          <w:numId w:val="1"/>
        </w:numPr>
        <w:rPr>
          <w:noProof/>
        </w:rPr>
      </w:pPr>
      <w:r w:rsidRPr="00FF75A4">
        <w:rPr>
          <w:noProof/>
        </w:rPr>
        <w:t>PSCC43-2010-06 Поставяне на сух док</w:t>
      </w:r>
    </w:p>
    <w:p w14:paraId="222878E0" w14:textId="77777777" w:rsidR="00492E88" w:rsidRPr="00FF75A4" w:rsidRDefault="00492E88" w:rsidP="00792940">
      <w:pPr>
        <w:pStyle w:val="Tiret0"/>
        <w:numPr>
          <w:ilvl w:val="0"/>
          <w:numId w:val="1"/>
        </w:numPr>
        <w:rPr>
          <w:noProof/>
        </w:rPr>
      </w:pPr>
      <w:r w:rsidRPr="00FF75A4">
        <w:rPr>
          <w:noProof/>
        </w:rPr>
        <w:t>PSCC53-2020-11 Разрешаване за еднократно пътуване до ремонтен завод за неизправности при „случайни повреди“</w:t>
      </w:r>
    </w:p>
    <w:p w14:paraId="05B1F535" w14:textId="77777777" w:rsidR="00492E88" w:rsidRPr="00FF75A4" w:rsidRDefault="00492E88" w:rsidP="00492E88">
      <w:pPr>
        <w:rPr>
          <w:noProof/>
        </w:rPr>
      </w:pPr>
      <w:r w:rsidRPr="00FF75A4">
        <w:rPr>
          <w:noProof/>
        </w:rPr>
        <w:t>Конвенция SOLAS</w:t>
      </w:r>
    </w:p>
    <w:p w14:paraId="17189ED7" w14:textId="77777777" w:rsidR="00492E88" w:rsidRPr="00FF75A4" w:rsidRDefault="00492E88" w:rsidP="00792940">
      <w:pPr>
        <w:pStyle w:val="Tiret0"/>
        <w:numPr>
          <w:ilvl w:val="0"/>
          <w:numId w:val="2"/>
        </w:numPr>
        <w:rPr>
          <w:noProof/>
        </w:rPr>
      </w:pPr>
      <w:r w:rsidRPr="00FF75A4">
        <w:rPr>
          <w:noProof/>
        </w:rPr>
        <w:t xml:space="preserve">PSCC55-2022-09 Кодекс ISM </w:t>
      </w:r>
    </w:p>
    <w:p w14:paraId="26925481" w14:textId="77777777" w:rsidR="00492E88" w:rsidRPr="00FF75A4" w:rsidRDefault="00492E88" w:rsidP="00792940">
      <w:pPr>
        <w:pStyle w:val="Tiret0"/>
        <w:numPr>
          <w:ilvl w:val="0"/>
          <w:numId w:val="2"/>
        </w:numPr>
        <w:rPr>
          <w:noProof/>
        </w:rPr>
      </w:pPr>
      <w:r w:rsidRPr="00FF75A4">
        <w:rPr>
          <w:noProof/>
        </w:rPr>
        <w:t>PSCC54-2021-02 Кодекс ISPS</w:t>
      </w:r>
    </w:p>
    <w:p w14:paraId="56C0ADC2" w14:textId="77777777" w:rsidR="00492E88" w:rsidRPr="00FF75A4" w:rsidRDefault="00492E88" w:rsidP="00792940">
      <w:pPr>
        <w:pStyle w:val="Tiret0"/>
        <w:numPr>
          <w:ilvl w:val="0"/>
          <w:numId w:val="2"/>
        </w:numPr>
        <w:rPr>
          <w:noProof/>
        </w:rPr>
      </w:pPr>
      <w:r w:rsidRPr="00FF75A4">
        <w:rPr>
          <w:noProof/>
        </w:rPr>
        <w:t>PSCC51-2018-12 Система за изобразяване на електронни карти и информация (ECDIS)</w:t>
      </w:r>
    </w:p>
    <w:p w14:paraId="38D6BD99" w14:textId="77777777" w:rsidR="00492E88" w:rsidRPr="00FF75A4" w:rsidRDefault="00492E88" w:rsidP="00792940">
      <w:pPr>
        <w:pStyle w:val="Tiret0"/>
        <w:numPr>
          <w:ilvl w:val="0"/>
          <w:numId w:val="2"/>
        </w:numPr>
        <w:rPr>
          <w:noProof/>
        </w:rPr>
      </w:pPr>
      <w:r w:rsidRPr="00FF75A4">
        <w:rPr>
          <w:noProof/>
        </w:rPr>
        <w:t>PSCC43-2010-32 Устройство за записване на данните от пътуването (VDR)</w:t>
      </w:r>
    </w:p>
    <w:p w14:paraId="2134736C" w14:textId="77777777" w:rsidR="00492E88" w:rsidRPr="00FF75A4" w:rsidRDefault="00492E88" w:rsidP="00792940">
      <w:pPr>
        <w:pStyle w:val="Tiret0"/>
        <w:numPr>
          <w:ilvl w:val="0"/>
          <w:numId w:val="2"/>
        </w:numPr>
        <w:rPr>
          <w:noProof/>
        </w:rPr>
      </w:pPr>
      <w:r w:rsidRPr="00FF75A4">
        <w:rPr>
          <w:noProof/>
        </w:rPr>
        <w:t>PSCC43-2010-09 Информационни листове за безопасност на материала</w:t>
      </w:r>
    </w:p>
    <w:p w14:paraId="743CABBB" w14:textId="77777777" w:rsidR="00492E88" w:rsidRPr="00FF75A4" w:rsidRDefault="00492E88" w:rsidP="00792940">
      <w:pPr>
        <w:pStyle w:val="Tiret0"/>
        <w:numPr>
          <w:ilvl w:val="0"/>
          <w:numId w:val="2"/>
        </w:numPr>
        <w:rPr>
          <w:noProof/>
        </w:rPr>
      </w:pPr>
      <w:r w:rsidRPr="00FF75A4">
        <w:rPr>
          <w:noProof/>
        </w:rPr>
        <w:t>PSCC43-2010-21 Световна морска система за бедствие и безопасност (GMDSS)</w:t>
      </w:r>
    </w:p>
    <w:p w14:paraId="5695194C" w14:textId="77777777" w:rsidR="00492E88" w:rsidRPr="00FF75A4" w:rsidRDefault="00492E88" w:rsidP="00792940">
      <w:pPr>
        <w:pStyle w:val="Tiret0"/>
        <w:numPr>
          <w:ilvl w:val="0"/>
          <w:numId w:val="2"/>
        </w:numPr>
        <w:rPr>
          <w:noProof/>
        </w:rPr>
      </w:pPr>
      <w:r w:rsidRPr="00FF75A4">
        <w:rPr>
          <w:noProof/>
        </w:rPr>
        <w:t>PSCC44-2011-16 Куки за освобождаване на спасителна лодка при натоварване</w:t>
      </w:r>
    </w:p>
    <w:p w14:paraId="30F855E5" w14:textId="77777777" w:rsidR="00492E88" w:rsidRPr="00FF75A4" w:rsidRDefault="00492E88" w:rsidP="00792940">
      <w:pPr>
        <w:pStyle w:val="Tiret0"/>
        <w:numPr>
          <w:ilvl w:val="0"/>
          <w:numId w:val="2"/>
        </w:numPr>
        <w:rPr>
          <w:noProof/>
        </w:rPr>
      </w:pPr>
      <w:r w:rsidRPr="00FF75A4">
        <w:rPr>
          <w:noProof/>
        </w:rPr>
        <w:t>PSCC45-2012-10 Устойчивост при повреда на танкери</w:t>
      </w:r>
    </w:p>
    <w:p w14:paraId="42041180" w14:textId="77777777" w:rsidR="00492E88" w:rsidRPr="00FF75A4" w:rsidRDefault="00492E88" w:rsidP="00792940">
      <w:pPr>
        <w:pStyle w:val="Tiret0"/>
        <w:numPr>
          <w:ilvl w:val="0"/>
          <w:numId w:val="2"/>
        </w:numPr>
        <w:rPr>
          <w:noProof/>
        </w:rPr>
      </w:pPr>
      <w:r w:rsidRPr="00FF75A4">
        <w:rPr>
          <w:noProof/>
        </w:rPr>
        <w:t>PSCC55-2022-05 Протокол от изпитване за съответствие LRIT</w:t>
      </w:r>
    </w:p>
    <w:p w14:paraId="31203723" w14:textId="77777777" w:rsidR="00492E88" w:rsidRPr="00FF75A4" w:rsidRDefault="00492E88" w:rsidP="00792940">
      <w:pPr>
        <w:pStyle w:val="Tiret0"/>
        <w:numPr>
          <w:ilvl w:val="0"/>
          <w:numId w:val="2"/>
        </w:numPr>
        <w:rPr>
          <w:noProof/>
        </w:rPr>
      </w:pPr>
      <w:r w:rsidRPr="00FF75A4">
        <w:rPr>
          <w:noProof/>
        </w:rPr>
        <w:t>PSCC43-2010-28 Измервания на дебелината ESP/CAS</w:t>
      </w:r>
    </w:p>
    <w:p w14:paraId="3BF0192D" w14:textId="77777777" w:rsidR="00492E88" w:rsidRPr="00FF75A4" w:rsidRDefault="00492E88" w:rsidP="00792940">
      <w:pPr>
        <w:pStyle w:val="Tiret0"/>
        <w:numPr>
          <w:ilvl w:val="0"/>
          <w:numId w:val="2"/>
        </w:numPr>
        <w:rPr>
          <w:noProof/>
        </w:rPr>
      </w:pPr>
      <w:r w:rsidRPr="00FF75A4">
        <w:rPr>
          <w:noProof/>
        </w:rPr>
        <w:t>PSCC43-2010-29 Измерване на дебелината</w:t>
      </w:r>
    </w:p>
    <w:p w14:paraId="05029690" w14:textId="77777777" w:rsidR="00492E88" w:rsidRPr="00FF75A4" w:rsidRDefault="00492E88" w:rsidP="00792940">
      <w:pPr>
        <w:pStyle w:val="Tiret0"/>
        <w:numPr>
          <w:ilvl w:val="0"/>
          <w:numId w:val="2"/>
        </w:numPr>
        <w:rPr>
          <w:noProof/>
        </w:rPr>
      </w:pPr>
      <w:r w:rsidRPr="00FF75A4">
        <w:rPr>
          <w:noProof/>
        </w:rPr>
        <w:t xml:space="preserve">PSCC51-2018-11 Полярен кодекс </w:t>
      </w:r>
    </w:p>
    <w:p w14:paraId="4F56C32A" w14:textId="77777777" w:rsidR="00492E88" w:rsidRPr="00FF75A4" w:rsidRDefault="00492E88" w:rsidP="00792940">
      <w:pPr>
        <w:pStyle w:val="Tiret0"/>
        <w:numPr>
          <w:ilvl w:val="0"/>
          <w:numId w:val="2"/>
        </w:numPr>
        <w:rPr>
          <w:noProof/>
        </w:rPr>
      </w:pPr>
      <w:r w:rsidRPr="00FF75A4">
        <w:rPr>
          <w:noProof/>
        </w:rPr>
        <w:t>PSCC55-2022-02 Кодекс IGF</w:t>
      </w:r>
    </w:p>
    <w:p w14:paraId="4E8A0C95" w14:textId="77777777" w:rsidR="00492E88" w:rsidRPr="00FF75A4" w:rsidRDefault="00492E88" w:rsidP="00492E88">
      <w:pPr>
        <w:rPr>
          <w:noProof/>
        </w:rPr>
      </w:pPr>
      <w:r w:rsidRPr="00FF75A4">
        <w:rPr>
          <w:noProof/>
        </w:rPr>
        <w:t>Конвенция MARPOL</w:t>
      </w:r>
    </w:p>
    <w:p w14:paraId="2111804E" w14:textId="77777777" w:rsidR="00492E88" w:rsidRPr="00FF75A4" w:rsidRDefault="00492E88" w:rsidP="00792940">
      <w:pPr>
        <w:pStyle w:val="Tiret0"/>
        <w:numPr>
          <w:ilvl w:val="0"/>
          <w:numId w:val="3"/>
        </w:numPr>
        <w:rPr>
          <w:noProof/>
        </w:rPr>
      </w:pPr>
      <w:r w:rsidRPr="00FF75A4">
        <w:rPr>
          <w:noProof/>
        </w:rPr>
        <w:t>PSCC46-2013-18 анекс I към MARPOL Маслоуловител (OWS)</w:t>
      </w:r>
    </w:p>
    <w:p w14:paraId="3773F173" w14:textId="77777777" w:rsidR="00492E88" w:rsidRPr="00FF75A4" w:rsidRDefault="00492E88" w:rsidP="00792940">
      <w:pPr>
        <w:pStyle w:val="Tiret0"/>
        <w:numPr>
          <w:ilvl w:val="0"/>
          <w:numId w:val="3"/>
        </w:numPr>
        <w:rPr>
          <w:noProof/>
        </w:rPr>
      </w:pPr>
      <w:r w:rsidRPr="00FF75A4">
        <w:rPr>
          <w:noProof/>
        </w:rPr>
        <w:t>PSCC43-2010-39 анекс II към MARPOL Отстраняване</w:t>
      </w:r>
    </w:p>
    <w:p w14:paraId="76029CB2" w14:textId="77777777" w:rsidR="00492E88" w:rsidRPr="00FF75A4" w:rsidRDefault="00492E88" w:rsidP="00792940">
      <w:pPr>
        <w:pStyle w:val="Tiret0"/>
        <w:numPr>
          <w:ilvl w:val="0"/>
          <w:numId w:val="3"/>
        </w:numPr>
        <w:rPr>
          <w:noProof/>
        </w:rPr>
      </w:pPr>
      <w:r w:rsidRPr="00FF75A4">
        <w:rPr>
          <w:noProof/>
        </w:rPr>
        <w:t>PSCC47-2014-08 анекс III към MARPOL Международен кодекс за превоз на опасни товари по море (IMDG)</w:t>
      </w:r>
    </w:p>
    <w:p w14:paraId="5D424349" w14:textId="77777777" w:rsidR="00492E88" w:rsidRPr="00FF75A4" w:rsidRDefault="00492E88" w:rsidP="00792940">
      <w:pPr>
        <w:pStyle w:val="Tiret0"/>
        <w:numPr>
          <w:ilvl w:val="0"/>
          <w:numId w:val="3"/>
        </w:numPr>
        <w:rPr>
          <w:noProof/>
        </w:rPr>
      </w:pPr>
      <w:r w:rsidRPr="00FF75A4">
        <w:rPr>
          <w:noProof/>
        </w:rPr>
        <w:t>PSCC55-2022-07 анекс IV към MARPOL Отпадъчни води</w:t>
      </w:r>
    </w:p>
    <w:p w14:paraId="521C33A4" w14:textId="77777777" w:rsidR="00492E88" w:rsidRPr="00FF75A4" w:rsidRDefault="00492E88" w:rsidP="00792940">
      <w:pPr>
        <w:pStyle w:val="Tiret0"/>
        <w:numPr>
          <w:ilvl w:val="0"/>
          <w:numId w:val="3"/>
        </w:numPr>
        <w:rPr>
          <w:noProof/>
        </w:rPr>
      </w:pPr>
      <w:r w:rsidRPr="00FF75A4">
        <w:rPr>
          <w:noProof/>
        </w:rPr>
        <w:t>PSCC52-2019-07 анекс V към MARPOL Отпадъци</w:t>
      </w:r>
    </w:p>
    <w:p w14:paraId="1EF5F88A" w14:textId="77777777" w:rsidR="00492E88" w:rsidRPr="00FF75A4" w:rsidRDefault="00492E88" w:rsidP="00792940">
      <w:pPr>
        <w:pStyle w:val="Tiret0"/>
        <w:numPr>
          <w:ilvl w:val="0"/>
          <w:numId w:val="3"/>
        </w:numPr>
        <w:rPr>
          <w:noProof/>
        </w:rPr>
      </w:pPr>
      <w:r w:rsidRPr="00FF75A4">
        <w:rPr>
          <w:noProof/>
        </w:rPr>
        <w:t>PSCC55-2022-11 анекс VI към MARPOL Замърсяване на въздуха</w:t>
      </w:r>
    </w:p>
    <w:p w14:paraId="5D4C976E" w14:textId="77777777" w:rsidR="00492E88" w:rsidRPr="00FF75A4" w:rsidRDefault="00492E88" w:rsidP="00792940">
      <w:pPr>
        <w:pStyle w:val="Tiret0"/>
        <w:numPr>
          <w:ilvl w:val="0"/>
          <w:numId w:val="3"/>
        </w:numPr>
        <w:rPr>
          <w:noProof/>
        </w:rPr>
      </w:pPr>
      <w:r w:rsidRPr="00FF75A4">
        <w:rPr>
          <w:noProof/>
        </w:rPr>
        <w:t xml:space="preserve">PSCC43-2010-38 Измиване на суров нефт </w:t>
      </w:r>
    </w:p>
    <w:p w14:paraId="5E5A33DF" w14:textId="77777777" w:rsidR="00492E88" w:rsidRPr="00FF75A4" w:rsidRDefault="00492E88" w:rsidP="00792940">
      <w:pPr>
        <w:pStyle w:val="Tiret0"/>
        <w:numPr>
          <w:ilvl w:val="0"/>
          <w:numId w:val="3"/>
        </w:numPr>
        <w:rPr>
          <w:noProof/>
        </w:rPr>
      </w:pPr>
      <w:r w:rsidRPr="00FF75A4">
        <w:rPr>
          <w:noProof/>
        </w:rPr>
        <w:t>PSCC44-2011-20 MARPOL Разследване</w:t>
      </w:r>
    </w:p>
    <w:p w14:paraId="4584D4D8" w14:textId="77777777" w:rsidR="00492E88" w:rsidRPr="00FF75A4" w:rsidRDefault="00492E88" w:rsidP="00792940">
      <w:pPr>
        <w:pStyle w:val="Tiret0"/>
        <w:numPr>
          <w:ilvl w:val="0"/>
          <w:numId w:val="3"/>
        </w:numPr>
        <w:rPr>
          <w:noProof/>
        </w:rPr>
      </w:pPr>
      <w:r w:rsidRPr="00FF75A4">
        <w:rPr>
          <w:noProof/>
        </w:rPr>
        <w:t>Международна конвенция за товарните водолинии</w:t>
      </w:r>
    </w:p>
    <w:p w14:paraId="13E62C5A" w14:textId="77777777" w:rsidR="00492E88" w:rsidRPr="00FF75A4" w:rsidRDefault="00492E88" w:rsidP="00792940">
      <w:pPr>
        <w:pStyle w:val="Tiret0"/>
        <w:numPr>
          <w:ilvl w:val="0"/>
          <w:numId w:val="3"/>
        </w:numPr>
        <w:rPr>
          <w:noProof/>
        </w:rPr>
      </w:pPr>
      <w:r w:rsidRPr="00FF75A4">
        <w:rPr>
          <w:noProof/>
        </w:rPr>
        <w:t>PSCC54-2021-06 Международна конвенция за товарните водолинии</w:t>
      </w:r>
    </w:p>
    <w:p w14:paraId="00402FEC" w14:textId="77777777" w:rsidR="00492E88" w:rsidRPr="00FF75A4" w:rsidRDefault="00492E88" w:rsidP="00492E88">
      <w:pPr>
        <w:rPr>
          <w:noProof/>
        </w:rPr>
      </w:pPr>
      <w:r w:rsidRPr="00FF75A4">
        <w:rPr>
          <w:noProof/>
        </w:rPr>
        <w:t>Конвенция AFS (Международен сертификат за противообрастващи системи)</w:t>
      </w:r>
    </w:p>
    <w:p w14:paraId="397B1F31" w14:textId="77777777" w:rsidR="00492E88" w:rsidRPr="00FF75A4" w:rsidRDefault="00492E88" w:rsidP="00792940">
      <w:pPr>
        <w:pStyle w:val="Tiret0"/>
        <w:numPr>
          <w:ilvl w:val="0"/>
          <w:numId w:val="4"/>
        </w:numPr>
        <w:rPr>
          <w:noProof/>
        </w:rPr>
      </w:pPr>
      <w:r w:rsidRPr="00FF75A4">
        <w:rPr>
          <w:noProof/>
        </w:rPr>
        <w:t>PSCC47-2014-13 Противообрастващи системи</w:t>
      </w:r>
    </w:p>
    <w:p w14:paraId="436865F5" w14:textId="77777777" w:rsidR="00492E88" w:rsidRPr="00FF75A4" w:rsidRDefault="00492E88" w:rsidP="00492E88">
      <w:pPr>
        <w:rPr>
          <w:noProof/>
        </w:rPr>
      </w:pPr>
      <w:r w:rsidRPr="00FF75A4">
        <w:rPr>
          <w:noProof/>
        </w:rPr>
        <w:t>Конвенция за корабното гориво</w:t>
      </w:r>
    </w:p>
    <w:p w14:paraId="171C30FD" w14:textId="77777777" w:rsidR="00492E88" w:rsidRPr="00FF75A4" w:rsidRDefault="00492E88" w:rsidP="00792940">
      <w:pPr>
        <w:pStyle w:val="Tiret0"/>
        <w:numPr>
          <w:ilvl w:val="0"/>
          <w:numId w:val="5"/>
        </w:numPr>
        <w:rPr>
          <w:noProof/>
        </w:rPr>
      </w:pPr>
      <w:r w:rsidRPr="00FF75A4">
        <w:rPr>
          <w:noProof/>
        </w:rPr>
        <w:t>PSCC43-2010-08 Конвенция за корабното гориво</w:t>
      </w:r>
    </w:p>
    <w:p w14:paraId="2F900A3E" w14:textId="77777777" w:rsidR="00492E88" w:rsidRPr="00FF75A4" w:rsidRDefault="00492E88" w:rsidP="00792940">
      <w:pPr>
        <w:pStyle w:val="Tiret0"/>
        <w:numPr>
          <w:ilvl w:val="0"/>
          <w:numId w:val="5"/>
        </w:numPr>
        <w:rPr>
          <w:noProof/>
        </w:rPr>
      </w:pPr>
      <w:r w:rsidRPr="00FF75A4">
        <w:rPr>
          <w:noProof/>
        </w:rPr>
        <w:t>Сертифициране на моряците и комплектоване с екипаж</w:t>
      </w:r>
    </w:p>
    <w:p w14:paraId="43E5A612" w14:textId="77777777" w:rsidR="00492E88" w:rsidRPr="00FF75A4" w:rsidRDefault="00492E88" w:rsidP="00792940">
      <w:pPr>
        <w:pStyle w:val="Tiret0"/>
        <w:numPr>
          <w:ilvl w:val="0"/>
          <w:numId w:val="5"/>
        </w:numPr>
        <w:rPr>
          <w:noProof/>
        </w:rPr>
      </w:pPr>
      <w:r w:rsidRPr="00FF75A4">
        <w:rPr>
          <w:noProof/>
        </w:rPr>
        <w:t>PSCC54-2021-04 Сертифициране на моряците и комплектоване с екипаж (STCW, МТК и SOLAS)</w:t>
      </w:r>
    </w:p>
    <w:p w14:paraId="5C20C732" w14:textId="77777777" w:rsidR="00492E88" w:rsidRPr="00FF75A4" w:rsidRDefault="00492E88" w:rsidP="00792940">
      <w:pPr>
        <w:pStyle w:val="Tiret0"/>
        <w:numPr>
          <w:ilvl w:val="0"/>
          <w:numId w:val="5"/>
        </w:numPr>
        <w:rPr>
          <w:noProof/>
        </w:rPr>
      </w:pPr>
      <w:r w:rsidRPr="00FF75A4">
        <w:rPr>
          <w:noProof/>
        </w:rPr>
        <w:t>Конвенция за управление на баластните води</w:t>
      </w:r>
    </w:p>
    <w:p w14:paraId="7086AE04" w14:textId="77777777" w:rsidR="00492E88" w:rsidRPr="00FF75A4" w:rsidRDefault="00492E88" w:rsidP="00792940">
      <w:pPr>
        <w:pStyle w:val="Tiret0"/>
        <w:numPr>
          <w:ilvl w:val="0"/>
          <w:numId w:val="5"/>
        </w:numPr>
        <w:rPr>
          <w:noProof/>
        </w:rPr>
      </w:pPr>
      <w:r w:rsidRPr="00FF75A4">
        <w:rPr>
          <w:noProof/>
        </w:rPr>
        <w:t>PSCC51-2018-09 Конвенция за управление на баластните води</w:t>
      </w:r>
    </w:p>
    <w:p w14:paraId="79CEBC05" w14:textId="77777777" w:rsidR="00492E88" w:rsidRPr="00FF75A4" w:rsidRDefault="00492E88" w:rsidP="00492E88">
      <w:pPr>
        <w:rPr>
          <w:noProof/>
        </w:rPr>
      </w:pPr>
      <w:r w:rsidRPr="00FF75A4">
        <w:rPr>
          <w:noProof/>
        </w:rPr>
        <w:t>Конвенции на МОТ</w:t>
      </w:r>
    </w:p>
    <w:p w14:paraId="0B1013AA" w14:textId="77777777" w:rsidR="00492E88" w:rsidRPr="00FF75A4" w:rsidRDefault="00492E88" w:rsidP="00792940">
      <w:pPr>
        <w:pStyle w:val="Tiret0"/>
        <w:numPr>
          <w:ilvl w:val="0"/>
          <w:numId w:val="6"/>
        </w:numPr>
        <w:rPr>
          <w:noProof/>
        </w:rPr>
      </w:pPr>
      <w:r w:rsidRPr="00FF75A4">
        <w:rPr>
          <w:noProof/>
        </w:rPr>
        <w:t xml:space="preserve">PSCC52-2019-10 Морска трудова конвенция от 2006 г. (МТК) </w:t>
      </w:r>
    </w:p>
    <w:p w14:paraId="02CF2060" w14:textId="77777777" w:rsidR="00492E88" w:rsidRPr="00FF75A4" w:rsidRDefault="00492E88" w:rsidP="00792940">
      <w:pPr>
        <w:pStyle w:val="Tiret0"/>
        <w:numPr>
          <w:ilvl w:val="0"/>
          <w:numId w:val="6"/>
        </w:numPr>
        <w:rPr>
          <w:noProof/>
        </w:rPr>
      </w:pPr>
      <w:r w:rsidRPr="00FF75A4">
        <w:rPr>
          <w:noProof/>
        </w:rPr>
        <w:t xml:space="preserve">PSCC53-2020-14 Работни часове или почивка и годност за дежурство“ </w:t>
      </w:r>
    </w:p>
    <w:p w14:paraId="5F19BE84" w14:textId="77777777" w:rsidR="00BC0147" w:rsidRPr="00FF75A4" w:rsidRDefault="00492E88" w:rsidP="00492E88">
      <w:pPr>
        <w:rPr>
          <w:noProof/>
        </w:rPr>
        <w:sectPr w:rsidR="00BC0147" w:rsidRPr="00FF75A4" w:rsidSect="001D2206">
          <w:pgSz w:w="11907" w:h="16839"/>
          <w:pgMar w:top="1134" w:right="1417" w:bottom="1134" w:left="1417" w:header="709" w:footer="709" w:gutter="0"/>
          <w:cols w:space="720"/>
          <w:docGrid w:linePitch="360"/>
        </w:sectPr>
      </w:pPr>
      <w:r w:rsidRPr="00FF75A4">
        <w:rPr>
          <w:noProof/>
        </w:rPr>
        <w:t xml:space="preserve"> </w:t>
      </w:r>
    </w:p>
    <w:p w14:paraId="79AEBE45" w14:textId="77777777" w:rsidR="00BC0147" w:rsidRPr="00FF75A4" w:rsidRDefault="00BC0147" w:rsidP="00BC0147">
      <w:pPr>
        <w:pStyle w:val="Annexetitre"/>
        <w:rPr>
          <w:noProof/>
        </w:rPr>
      </w:pPr>
      <w:r w:rsidRPr="00FF75A4">
        <w:rPr>
          <w:noProof/>
        </w:rPr>
        <w:t>ПРИЛОЖЕНИЕ V</w:t>
      </w:r>
    </w:p>
    <w:p w14:paraId="3FC658A0" w14:textId="77777777" w:rsidR="00492E88" w:rsidRPr="00FF75A4" w:rsidRDefault="00492E88" w:rsidP="00492E88">
      <w:pPr>
        <w:pStyle w:val="NormalCentered"/>
        <w:rPr>
          <w:noProof/>
        </w:rPr>
      </w:pPr>
      <w:r w:rsidRPr="00FF75A4">
        <w:rPr>
          <w:noProof/>
        </w:rPr>
        <w:t>„ПРИЛОЖЕНИЕ VIII</w:t>
      </w:r>
    </w:p>
    <w:p w14:paraId="3742B9D5" w14:textId="77777777" w:rsidR="00492E88" w:rsidRPr="00FF75A4" w:rsidRDefault="00492E88" w:rsidP="00492E88">
      <w:pPr>
        <w:pStyle w:val="NormalCentered"/>
        <w:rPr>
          <w:noProof/>
        </w:rPr>
      </w:pPr>
      <w:r w:rsidRPr="00FF75A4">
        <w:rPr>
          <w:noProof/>
        </w:rPr>
        <w:t>РАЗПОРЕДБИ ОТНОСНО ОТКАЗА НА ДОСТЪП ДО ПРИСТАНИЩА И МЕСТА ЗА ЗАСТАВАНЕ НА КОТВА В РАМКИТЕ НА ОБЩНОСТТА</w:t>
      </w:r>
    </w:p>
    <w:p w14:paraId="15DFF3B4" w14:textId="77777777" w:rsidR="00492E88" w:rsidRPr="00FF75A4" w:rsidRDefault="00492E88" w:rsidP="00492E88">
      <w:pPr>
        <w:pStyle w:val="NormalCentered"/>
        <w:rPr>
          <w:noProof/>
        </w:rPr>
      </w:pPr>
      <w:r w:rsidRPr="00FF75A4">
        <w:rPr>
          <w:noProof/>
        </w:rPr>
        <w:t>(посочени в член 16)</w:t>
      </w:r>
    </w:p>
    <w:p w14:paraId="4B94F344" w14:textId="77777777" w:rsidR="00492E88" w:rsidRPr="00FF75A4" w:rsidRDefault="00492E88" w:rsidP="00492E88">
      <w:pPr>
        <w:rPr>
          <w:noProof/>
        </w:rPr>
      </w:pPr>
    </w:p>
    <w:p w14:paraId="2C455E5B" w14:textId="5D3FB2DA" w:rsidR="00492E88" w:rsidRPr="00FF75A4" w:rsidRDefault="00492E88" w:rsidP="00792940">
      <w:pPr>
        <w:pStyle w:val="Point0number"/>
        <w:numPr>
          <w:ilvl w:val="0"/>
          <w:numId w:val="7"/>
        </w:numPr>
        <w:rPr>
          <w:noProof/>
        </w:rPr>
      </w:pPr>
      <w:r w:rsidRPr="00FF75A4">
        <w:rPr>
          <w:noProof/>
        </w:rPr>
        <w:t>Ако са изпълнени условията, описани в член 16, параграф 1, компетентните пристанищни власти, където корабът е задържан за трети път, уведомяват писмено капитана на кораба, че ще бъде издадена заповед за отказ на достъп, която ще се приложи веднага след като корабът напусне пристанището. Заповедта за отказ на достъп се прилага веднага след като корабът напусне пристанището, след като нередностите, довели до задържането, са били отстранени.</w:t>
      </w:r>
      <w:r w:rsidR="00ED557B" w:rsidRPr="00FF75A4">
        <w:rPr>
          <w:noProof/>
        </w:rPr>
        <w:t xml:space="preserve"> </w:t>
      </w:r>
    </w:p>
    <w:p w14:paraId="7C419D0D" w14:textId="77777777" w:rsidR="00492E88" w:rsidRPr="00FF75A4" w:rsidRDefault="00492E88" w:rsidP="00792940">
      <w:pPr>
        <w:pStyle w:val="Point0number"/>
        <w:numPr>
          <w:ilvl w:val="0"/>
          <w:numId w:val="7"/>
        </w:numPr>
        <w:rPr>
          <w:noProof/>
        </w:rPr>
      </w:pPr>
      <w:r w:rsidRPr="00FF75A4">
        <w:rPr>
          <w:noProof/>
        </w:rPr>
        <w:t>Компетентните власти изпращат копие от заповедта за отказ на достъп до администрацията на държавата на знамето, съответната призната организация, останалите държави членки, както и до останалите страни, подписали Парижкия МР, до Комисията и секретариата на Парижкия МР. Компетентният орган незабавно актуализира също така базата данни за проверките с информация относно отказа на достъп.</w:t>
      </w:r>
    </w:p>
    <w:p w14:paraId="7C32ED50" w14:textId="77777777" w:rsidR="00492E88" w:rsidRPr="00FF75A4" w:rsidRDefault="00492E88" w:rsidP="00792940">
      <w:pPr>
        <w:pStyle w:val="Point0number"/>
        <w:numPr>
          <w:ilvl w:val="0"/>
          <w:numId w:val="7"/>
        </w:numPr>
        <w:rPr>
          <w:noProof/>
        </w:rPr>
      </w:pPr>
      <w:r w:rsidRPr="00FF75A4">
        <w:rPr>
          <w:noProof/>
        </w:rPr>
        <w:t>За да бъде отменена заповедта за отказ на достъп, корабособственикът или операторът на кораба трябва да отправи официално искане до компетентния орган на държавата членка, която е наложила заповедта за отказ на достъп. Към искането се прилага документ от администрацията на държавата на знамето, издаден след посещение на борда на кораба от контрольор, който е надлежно упълномощен от администрацията на държавата на знамето, от който става ясно, че корабът напълно съответства на приложимите разпоредби на конвенциите. Администрацията на държавата на знамето представя на компетентния орган доказателство за това, че е било направено посещение на кораба.</w:t>
      </w:r>
    </w:p>
    <w:p w14:paraId="48C6FDFD" w14:textId="77777777" w:rsidR="00492E88" w:rsidRPr="00FF75A4" w:rsidRDefault="00492E88" w:rsidP="00792940">
      <w:pPr>
        <w:pStyle w:val="Point0number"/>
        <w:numPr>
          <w:ilvl w:val="0"/>
          <w:numId w:val="7"/>
        </w:numPr>
        <w:rPr>
          <w:noProof/>
        </w:rPr>
      </w:pPr>
      <w:r w:rsidRPr="00FF75A4">
        <w:rPr>
          <w:noProof/>
        </w:rPr>
        <w:t>Искането за отмяна на заповедта за отказ на достъп трябва също да бъде придружено, по целесъобразност, от документ на класификационното дружество, което е дало клас на кораба след посещение на борда на кораба от контрольор от класификационното дружество, от който се вижда, че корабът е в съответствие със стандартите за клас, утвърдени от въпросното дружество. Класификационното дружество представя на компетентния орган доказателство за това, че е било направено посещение на кораба.</w:t>
      </w:r>
    </w:p>
    <w:p w14:paraId="150AAA5B" w14:textId="77777777" w:rsidR="00492E88" w:rsidRPr="00FF75A4" w:rsidRDefault="00492E88" w:rsidP="00792940">
      <w:pPr>
        <w:pStyle w:val="Point0number"/>
        <w:numPr>
          <w:ilvl w:val="0"/>
          <w:numId w:val="7"/>
        </w:numPr>
        <w:rPr>
          <w:noProof/>
        </w:rPr>
      </w:pPr>
      <w:r w:rsidRPr="00FF75A4">
        <w:rPr>
          <w:noProof/>
        </w:rPr>
        <w:t>Заповедта за отказ на достъп може да бъде отменена само след като изтече срокът, посочен в член 16 от настоящата директива, като компанията трябва да отправи официално искане до държавния пристанищен орган на държавата членка, която е наложила забраната, и да предостави документите, изисквани съгласно параграфи 3 и 4.</w:t>
      </w:r>
    </w:p>
    <w:p w14:paraId="5536178F" w14:textId="77777777" w:rsidR="00492E88" w:rsidRPr="00FF75A4" w:rsidRDefault="00492E88" w:rsidP="00792940">
      <w:pPr>
        <w:pStyle w:val="Point0number"/>
        <w:numPr>
          <w:ilvl w:val="0"/>
          <w:numId w:val="7"/>
        </w:numPr>
        <w:rPr>
          <w:noProof/>
        </w:rPr>
      </w:pPr>
      <w:r w:rsidRPr="00FF75A4">
        <w:rPr>
          <w:noProof/>
        </w:rPr>
        <w:t>Такова искане, включващо изискваните документи, трябва да бъде подадено в държавата, в която е наложена забраната, най-малко един месец преди края на периода на забрана. Ако този срок не бъде спазен, може да настъпи забавяне до един месец, след като забраняващата държава е получила искането.</w:t>
      </w:r>
    </w:p>
    <w:p w14:paraId="1732B320" w14:textId="77777777" w:rsidR="00492E88" w:rsidRPr="00FF75A4" w:rsidRDefault="00492E88" w:rsidP="00792940">
      <w:pPr>
        <w:pStyle w:val="Point0number"/>
        <w:numPr>
          <w:ilvl w:val="0"/>
          <w:numId w:val="7"/>
        </w:numPr>
        <w:rPr>
          <w:noProof/>
        </w:rPr>
      </w:pPr>
      <w:r w:rsidRPr="00FF75A4">
        <w:rPr>
          <w:noProof/>
        </w:rPr>
        <w:t>Информационната система ще добави по-голям коефициент на кораба и корабът ще бъде посочен като подлежащ на вида проверка „Разширена проверка“ при следващото акостиране в пристанище/място за заставане на котва в региона.</w:t>
      </w:r>
    </w:p>
    <w:p w14:paraId="0F0E94DD" w14:textId="77777777" w:rsidR="00492E88" w:rsidRPr="00FF75A4" w:rsidRDefault="00492E88" w:rsidP="00792940">
      <w:pPr>
        <w:pStyle w:val="Point0number"/>
        <w:numPr>
          <w:ilvl w:val="0"/>
          <w:numId w:val="7"/>
        </w:numPr>
        <w:rPr>
          <w:noProof/>
        </w:rPr>
      </w:pPr>
      <w:r w:rsidRPr="00FF75A4">
        <w:rPr>
          <w:noProof/>
        </w:rPr>
        <w:t>Компетентният орган уведомява също така за своето решение в писмена форма администрацията на държавата на знамето, съответното класификационно дружество, останалите държави членки, останалите страни, подписали Парижкия МР, Комисията и секретариата на Парижкия МР. Освен това Компетентният орган трябва незабавно да актуализира базата данни за проверките с информация относно отмяната на отказа на достъп.</w:t>
      </w:r>
    </w:p>
    <w:p w14:paraId="3D71ABA4" w14:textId="77777777" w:rsidR="00905D22" w:rsidRPr="00FF75A4" w:rsidRDefault="00492E88" w:rsidP="00792940">
      <w:pPr>
        <w:pStyle w:val="Point0number"/>
        <w:numPr>
          <w:ilvl w:val="0"/>
          <w:numId w:val="7"/>
        </w:numPr>
        <w:rPr>
          <w:noProof/>
        </w:rPr>
      </w:pPr>
      <w:r w:rsidRPr="00FF75A4">
        <w:rPr>
          <w:noProof/>
        </w:rPr>
        <w:t>Информацията, отнасяща се до корабите, на които е отказан достъп до пристанищата на Общността, трябва да бъде на разположение в базата данни за проверките и публикувана в съответствие с разпоредбите на член 26 и приложение XIII.“</w:t>
      </w:r>
    </w:p>
    <w:sectPr w:rsidR="00905D22" w:rsidRPr="00FF75A4" w:rsidSect="001D220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1D4A7" w14:textId="77777777" w:rsidR="00BC0147" w:rsidRDefault="00BC0147" w:rsidP="00BC0147">
      <w:pPr>
        <w:spacing w:before="0" w:after="0"/>
      </w:pPr>
      <w:r>
        <w:separator/>
      </w:r>
    </w:p>
  </w:endnote>
  <w:endnote w:type="continuationSeparator" w:id="0">
    <w:p w14:paraId="53EE37D4" w14:textId="77777777" w:rsidR="00BC0147" w:rsidRDefault="00BC0147" w:rsidP="00BC01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D44B3" w14:textId="211FEA18" w:rsidR="00FF75A4" w:rsidRPr="001D2206" w:rsidRDefault="00FF75A4" w:rsidP="001D2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835E" w14:textId="7177E93C" w:rsidR="00FF75A4" w:rsidRPr="001D2206" w:rsidRDefault="001D2206" w:rsidP="001D2206">
    <w:pPr>
      <w:pStyle w:val="Footer"/>
      <w:rPr>
        <w:rFonts w:ascii="Arial" w:hAnsi="Arial" w:cs="Arial"/>
        <w:b/>
        <w:sz w:val="48"/>
      </w:rPr>
    </w:pPr>
    <w:r w:rsidRPr="001D2206">
      <w:rPr>
        <w:rFonts w:ascii="Arial" w:hAnsi="Arial" w:cs="Arial"/>
        <w:b/>
        <w:sz w:val="48"/>
      </w:rPr>
      <w:t>BG</w:t>
    </w:r>
    <w:r w:rsidRPr="001D2206">
      <w:rPr>
        <w:rFonts w:ascii="Arial" w:hAnsi="Arial" w:cs="Arial"/>
        <w:b/>
        <w:sz w:val="48"/>
      </w:rPr>
      <w:tab/>
    </w:r>
    <w:r w:rsidRPr="001D2206">
      <w:rPr>
        <w:rFonts w:ascii="Arial" w:hAnsi="Arial" w:cs="Arial"/>
        <w:b/>
        <w:sz w:val="48"/>
      </w:rPr>
      <w:tab/>
    </w:r>
    <w:r w:rsidRPr="001D2206">
      <w:tab/>
    </w:r>
    <w:r w:rsidRPr="001D2206">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28D46" w14:textId="77777777" w:rsidR="001D2206" w:rsidRPr="001D2206" w:rsidRDefault="001D2206" w:rsidP="001D22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CAB5B" w14:textId="163BA63F" w:rsidR="001D2206" w:rsidRPr="001D2206" w:rsidRDefault="001D2206" w:rsidP="001D2206">
    <w:pPr>
      <w:pStyle w:val="Footer"/>
      <w:rPr>
        <w:rFonts w:ascii="Arial" w:hAnsi="Arial" w:cs="Arial"/>
        <w:b/>
        <w:sz w:val="48"/>
      </w:rPr>
    </w:pPr>
    <w:r w:rsidRPr="001D2206">
      <w:rPr>
        <w:rFonts w:ascii="Arial" w:hAnsi="Arial" w:cs="Arial"/>
        <w:b/>
        <w:sz w:val="48"/>
      </w:rPr>
      <w:t>BG</w:t>
    </w:r>
    <w:r w:rsidRPr="001D220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D2206">
      <w:tab/>
    </w:r>
    <w:r w:rsidRPr="001D2206">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3301" w14:textId="77777777" w:rsidR="001D2206" w:rsidRPr="001D2206" w:rsidRDefault="001D2206" w:rsidP="001D2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F5837" w14:textId="77777777" w:rsidR="00BC0147" w:rsidRDefault="00BC0147" w:rsidP="00BC0147">
      <w:pPr>
        <w:spacing w:before="0" w:after="0"/>
      </w:pPr>
      <w:r>
        <w:separator/>
      </w:r>
    </w:p>
  </w:footnote>
  <w:footnote w:type="continuationSeparator" w:id="0">
    <w:p w14:paraId="58463D99" w14:textId="77777777" w:rsidR="00BC0147" w:rsidRDefault="00BC0147" w:rsidP="00BC014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D2042" w14:textId="77777777" w:rsidR="001D2206" w:rsidRPr="001D2206" w:rsidRDefault="001D2206" w:rsidP="001D2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4ADB" w14:textId="77777777" w:rsidR="001D2206" w:rsidRPr="001D2206" w:rsidRDefault="001D2206" w:rsidP="001D2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3094F" w14:textId="77777777" w:rsidR="001D2206" w:rsidRPr="001D2206" w:rsidRDefault="001D2206" w:rsidP="001D2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09E58B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D321C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60019D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3FCD7B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AC6061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1621FA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F3A6D7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9FC065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lvlOverride w:ilvl="0">
      <w:startOverride w:val="1"/>
    </w:lvlOverride>
  </w:num>
  <w:num w:numId="2">
    <w:abstractNumId w:val="19"/>
    <w:lvlOverride w:ilvl="0">
      <w:startOverride w:val="1"/>
    </w:lvlOverride>
  </w:num>
  <w:num w:numId="3">
    <w:abstractNumId w:val="19"/>
    <w:lvlOverride w:ilvl="0">
      <w:startOverride w:val="1"/>
    </w:lvlOverride>
  </w:num>
  <w:num w:numId="4">
    <w:abstractNumId w:val="19"/>
    <w:lvlOverride w:ilvl="0">
      <w:startOverride w:val="1"/>
    </w:lvlOverride>
  </w:num>
  <w:num w:numId="5">
    <w:abstractNumId w:val="19"/>
    <w:lvlOverride w:ilvl="0">
      <w:startOverride w:val="1"/>
    </w:lvlOverride>
  </w:num>
  <w:num w:numId="6">
    <w:abstractNumId w:val="19"/>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12"/>
    <w:lvlOverride w:ilvl="0">
      <w:startOverride w:val="1"/>
    </w:lvlOverride>
  </w:num>
  <w:num w:numId="13">
    <w:abstractNumId w:val="19"/>
    <w:lvlOverride w:ilvl="0">
      <w:startOverride w:val="1"/>
    </w:lvlOverride>
  </w:num>
  <w:num w:numId="14">
    <w:abstractNumId w:val="6"/>
  </w:num>
  <w:num w:numId="15">
    <w:abstractNumId w:val="2"/>
  </w:num>
  <w:num w:numId="16">
    <w:abstractNumId w:val="1"/>
  </w:num>
  <w:num w:numId="17">
    <w:abstractNumId w:val="0"/>
  </w:num>
  <w:num w:numId="18">
    <w:abstractNumId w:val="19"/>
  </w:num>
  <w:num w:numId="19">
    <w:abstractNumId w:val="12"/>
  </w:num>
  <w:num w:numId="20">
    <w:abstractNumId w:val="21"/>
  </w:num>
  <w:num w:numId="21">
    <w:abstractNumId w:val="11"/>
  </w:num>
  <w:num w:numId="22">
    <w:abstractNumId w:val="13"/>
  </w:num>
  <w:num w:numId="23">
    <w:abstractNumId w:val="14"/>
  </w:num>
  <w:num w:numId="24">
    <w:abstractNumId w:val="9"/>
  </w:num>
  <w:num w:numId="25">
    <w:abstractNumId w:val="20"/>
  </w:num>
  <w:num w:numId="26">
    <w:abstractNumId w:val="8"/>
  </w:num>
  <w:num w:numId="27">
    <w:abstractNumId w:val="15"/>
  </w:num>
  <w:num w:numId="28">
    <w:abstractNumId w:val="17"/>
  </w:num>
  <w:num w:numId="29">
    <w:abstractNumId w:val="18"/>
  </w:num>
  <w:num w:numId="30">
    <w:abstractNumId w:val="10"/>
  </w:num>
  <w:num w:numId="31">
    <w:abstractNumId w:val="16"/>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ttachedTemplate r:id="rId1"/>
  <w:revisionView w:markup="0"/>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03 14:43:0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u1082?\u1098?\u1084?"/>
    <w:docVar w:name="LW_ACCOMPAGNANT.CP" w:val="към"/>
    <w:docVar w:name="LW_ANNEX_NBR_FIRST" w:val="1"/>
    <w:docVar w:name="LW_ANNEX_NBR_LAST" w:val="5"/>
    <w:docVar w:name="LW_ANNEX_UNIQUE" w:val="0"/>
    <w:docVar w:name="LW_CORRIGENDUM" w:val="&lt;UNUSED&gt;"/>
    <w:docVar w:name="LW_COVERPAGE_EXISTS" w:val="True"/>
    <w:docVar w:name="LW_COVERPAGE_GUID" w:val="6FF5A1AE-77D1-4529-A063-FC5B763347AF"/>
    <w:docVar w:name="LW_COVERPAGE_TYPE" w:val="1"/>
    <w:docVar w:name="LW_CROSSREFERENCE" w:val="{SEC(2023) 202 final} - {SWD(2023) 148 final} - {SWD(2023) 149 final}"/>
    <w:docVar w:name="LW_DocType" w:val="ANNEX"/>
    <w:docVar w:name="LW_EMISSION" w:val="1.6.2023"/>
    <w:docVar w:name="LW_EMISSION_ISODATE" w:val="2023-06-01"/>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79?\u1072? \u1080?\u1079?\u1084?\u1077?\u1085?\u1077?\u1085?\u1080?\u1077? \u1085?\u1072? \u1044?\u1080?\u1088?\u1077?\u1082?\u1090?\u1080?\u1074?\u1072? 2009/16/\u1045?\u1054? \u1086?\u1090?\u1085?\u1086?\u1089?\u1085?\u1086? \u1076?\u1098?\u1088?\u1078?\u1072?\u1074?\u1085?\u1080?\u1103? \u1087?\u1088?\u1080?\u1089?\u1090?\u1072?\u1085?\u1080?\u1097?\u1077?\u1085? \u1082?\u1086?\u1085?\u1090?\u1088?\u1086?\u1083?"/>
    <w:docVar w:name="LW_OBJETACTEPRINCIPAL.CP" w:val="за изменение на Директива 2009/16/ЕО относно държавния пристанищен контрол"/>
    <w:docVar w:name="LW_PART_NBR" w:val="&lt;UNUSED&gt;"/>
    <w:docVar w:name="LW_PART_NBR_TOTAL" w:val="&lt;UNUSED&gt;"/>
    <w:docVar w:name="LW_REF.INST.NEW" w:val="COM"/>
    <w:docVar w:name="LW_REF.INST.NEW_ADOPTED" w:val="final"/>
    <w:docVar w:name="LW_REF.INST.NEW_TEXT" w:val="(2023) 27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71?"/>
    <w:docVar w:name="LW_TYPE.DOC.CP" w:val="ПРИЛОЖЕНИЯ"/>
    <w:docVar w:name="LW_TYPEACTEPRINCIPAL" w:val="\u1055?\u1088?\u1077?\u1076?\u1083?\u1086?\u1078?\u1077?\u1085?\u1080?\u1077? \u1079?\u1072? \u1076?\u1080?\u1088?\u1077?\u1082?\u1090?\u1080?\u1074?\u1072? \u1085?\u1072? \u1045?\u1074?\u1088?\u1086?\u1087?\u1077?\u1081?\u1089?\u1082?\u1080?\u1103? \u1087?\u1072?\u1088?\u1083?\u1072?\u1084?\u1077?\u1085?\u1090? \u1080? \u1085?\u1072? \u1057?\u1098?\u1074?\u1077?\u1090?\u1072?"/>
    <w:docVar w:name="LW_TYPEACTEPRINCIPAL.CP" w:val="Предложение за директива на Европейския парламент и на Съвета"/>
    <w:docVar w:name="LwApiVersions" w:val="LW4CoDe 1.23.2.0; LW 8.0, Build 20211117"/>
  </w:docVars>
  <w:rsids>
    <w:rsidRoot w:val="00BC0147"/>
    <w:rsid w:val="000B5A4D"/>
    <w:rsid w:val="000F7DB9"/>
    <w:rsid w:val="00111D35"/>
    <w:rsid w:val="0011561D"/>
    <w:rsid w:val="00161668"/>
    <w:rsid w:val="00165C4F"/>
    <w:rsid w:val="00170B34"/>
    <w:rsid w:val="0019616A"/>
    <w:rsid w:val="001D2206"/>
    <w:rsid w:val="001F343E"/>
    <w:rsid w:val="002047B4"/>
    <w:rsid w:val="002B044F"/>
    <w:rsid w:val="003A0F31"/>
    <w:rsid w:val="003D27AD"/>
    <w:rsid w:val="00414949"/>
    <w:rsid w:val="00492E88"/>
    <w:rsid w:val="00492EB7"/>
    <w:rsid w:val="0050517A"/>
    <w:rsid w:val="005B2A4E"/>
    <w:rsid w:val="005B3AA8"/>
    <w:rsid w:val="005C24DA"/>
    <w:rsid w:val="00600FA2"/>
    <w:rsid w:val="00613B8A"/>
    <w:rsid w:val="00626E37"/>
    <w:rsid w:val="00637829"/>
    <w:rsid w:val="00651CD9"/>
    <w:rsid w:val="0065619F"/>
    <w:rsid w:val="006A6BCB"/>
    <w:rsid w:val="006B5447"/>
    <w:rsid w:val="006E171E"/>
    <w:rsid w:val="006E2C4F"/>
    <w:rsid w:val="00766044"/>
    <w:rsid w:val="00792940"/>
    <w:rsid w:val="007C71F2"/>
    <w:rsid w:val="007D5C4D"/>
    <w:rsid w:val="00836A2C"/>
    <w:rsid w:val="008773F4"/>
    <w:rsid w:val="008D6398"/>
    <w:rsid w:val="008E6FCF"/>
    <w:rsid w:val="00905D22"/>
    <w:rsid w:val="009420E5"/>
    <w:rsid w:val="009F2B8A"/>
    <w:rsid w:val="00A13B51"/>
    <w:rsid w:val="00A25067"/>
    <w:rsid w:val="00A4190F"/>
    <w:rsid w:val="00A6243B"/>
    <w:rsid w:val="00A71F6D"/>
    <w:rsid w:val="00A73D3A"/>
    <w:rsid w:val="00AB6E84"/>
    <w:rsid w:val="00AB7255"/>
    <w:rsid w:val="00AC6B3E"/>
    <w:rsid w:val="00B5298B"/>
    <w:rsid w:val="00B94370"/>
    <w:rsid w:val="00BA4F3C"/>
    <w:rsid w:val="00BB30BC"/>
    <w:rsid w:val="00BC0147"/>
    <w:rsid w:val="00BC493B"/>
    <w:rsid w:val="00C469CD"/>
    <w:rsid w:val="00C953CA"/>
    <w:rsid w:val="00CA4FF3"/>
    <w:rsid w:val="00D3249D"/>
    <w:rsid w:val="00D328C4"/>
    <w:rsid w:val="00D33986"/>
    <w:rsid w:val="00D7306E"/>
    <w:rsid w:val="00D91814"/>
    <w:rsid w:val="00E3798E"/>
    <w:rsid w:val="00E43100"/>
    <w:rsid w:val="00EC5CFF"/>
    <w:rsid w:val="00ED557B"/>
    <w:rsid w:val="00F110D7"/>
    <w:rsid w:val="00F7024E"/>
    <w:rsid w:val="00F82260"/>
    <w:rsid w:val="00F85156"/>
    <w:rsid w:val="00F9656B"/>
    <w:rsid w:val="00FD2A42"/>
    <w:rsid w:val="00FE7E39"/>
    <w:rsid w:val="00FF5336"/>
    <w:rsid w:val="00FF7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D5DAA33"/>
  <w15:docId w15:val="{915D7741-2FA1-4303-8E70-692737AF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EC5CFF"/>
    <w:pPr>
      <w:numPr>
        <w:numId w:val="8"/>
      </w:numPr>
      <w:contextualSpacing/>
    </w:pPr>
  </w:style>
  <w:style w:type="paragraph" w:styleId="ListBullet2">
    <w:name w:val="List Bullet 2"/>
    <w:basedOn w:val="Normal"/>
    <w:uiPriority w:val="99"/>
    <w:semiHidden/>
    <w:unhideWhenUsed/>
    <w:rsid w:val="00EC5CFF"/>
    <w:pPr>
      <w:numPr>
        <w:numId w:val="9"/>
      </w:numPr>
      <w:contextualSpacing/>
    </w:pPr>
  </w:style>
  <w:style w:type="paragraph" w:styleId="ListBullet3">
    <w:name w:val="List Bullet 3"/>
    <w:basedOn w:val="Normal"/>
    <w:uiPriority w:val="99"/>
    <w:semiHidden/>
    <w:unhideWhenUsed/>
    <w:rsid w:val="00EC5CFF"/>
    <w:pPr>
      <w:numPr>
        <w:numId w:val="10"/>
      </w:numPr>
      <w:contextualSpacing/>
    </w:pPr>
  </w:style>
  <w:style w:type="paragraph" w:styleId="ListBullet4">
    <w:name w:val="List Bullet 4"/>
    <w:basedOn w:val="Normal"/>
    <w:uiPriority w:val="99"/>
    <w:semiHidden/>
    <w:unhideWhenUsed/>
    <w:rsid w:val="00EC5CFF"/>
    <w:pPr>
      <w:numPr>
        <w:numId w:val="11"/>
      </w:numPr>
      <w:contextualSpacing/>
    </w:pPr>
  </w:style>
  <w:style w:type="paragraph" w:styleId="Caption">
    <w:name w:val="caption"/>
    <w:basedOn w:val="Normal"/>
    <w:next w:val="Normal"/>
    <w:uiPriority w:val="35"/>
    <w:semiHidden/>
    <w:unhideWhenUsed/>
    <w:qFormat/>
    <w:rsid w:val="00792940"/>
    <w:pPr>
      <w:spacing w:before="0" w:after="200"/>
    </w:pPr>
    <w:rPr>
      <w:i/>
      <w:color w:val="1F497D" w:themeColor="text2"/>
      <w:sz w:val="18"/>
    </w:rPr>
  </w:style>
  <w:style w:type="paragraph" w:styleId="TableofFigures">
    <w:name w:val="table of figures"/>
    <w:basedOn w:val="Normal"/>
    <w:next w:val="Normal"/>
    <w:uiPriority w:val="99"/>
    <w:semiHidden/>
    <w:unhideWhenUsed/>
    <w:rsid w:val="00792940"/>
    <w:pPr>
      <w:spacing w:after="0"/>
    </w:pPr>
  </w:style>
  <w:style w:type="paragraph" w:styleId="ListNumber">
    <w:name w:val="List Number"/>
    <w:basedOn w:val="Normal"/>
    <w:uiPriority w:val="99"/>
    <w:semiHidden/>
    <w:unhideWhenUsed/>
    <w:rsid w:val="00792940"/>
    <w:pPr>
      <w:numPr>
        <w:numId w:val="14"/>
      </w:numPr>
      <w:contextualSpacing/>
    </w:pPr>
  </w:style>
  <w:style w:type="paragraph" w:styleId="ListNumber2">
    <w:name w:val="List Number 2"/>
    <w:basedOn w:val="Normal"/>
    <w:uiPriority w:val="99"/>
    <w:semiHidden/>
    <w:unhideWhenUsed/>
    <w:rsid w:val="00792940"/>
    <w:pPr>
      <w:numPr>
        <w:numId w:val="15"/>
      </w:numPr>
      <w:contextualSpacing/>
    </w:pPr>
  </w:style>
  <w:style w:type="paragraph" w:styleId="ListNumber3">
    <w:name w:val="List Number 3"/>
    <w:basedOn w:val="Normal"/>
    <w:uiPriority w:val="99"/>
    <w:semiHidden/>
    <w:unhideWhenUsed/>
    <w:rsid w:val="00792940"/>
    <w:pPr>
      <w:numPr>
        <w:numId w:val="16"/>
      </w:numPr>
      <w:contextualSpacing/>
    </w:pPr>
  </w:style>
  <w:style w:type="paragraph" w:styleId="ListNumber4">
    <w:name w:val="List Number 4"/>
    <w:basedOn w:val="Normal"/>
    <w:uiPriority w:val="99"/>
    <w:semiHidden/>
    <w:unhideWhenUsed/>
    <w:rsid w:val="00792940"/>
    <w:pPr>
      <w:numPr>
        <w:numId w:val="17"/>
      </w:numPr>
      <w:contextualSpacing/>
    </w:pPr>
  </w:style>
  <w:style w:type="character" w:styleId="CommentReference">
    <w:name w:val="annotation reference"/>
    <w:basedOn w:val="DefaultParagraphFont"/>
    <w:uiPriority w:val="99"/>
    <w:semiHidden/>
    <w:unhideWhenUsed/>
    <w:rsid w:val="005C24DA"/>
    <w:rPr>
      <w:sz w:val="16"/>
    </w:rPr>
  </w:style>
  <w:style w:type="paragraph" w:styleId="CommentText">
    <w:name w:val="annotation text"/>
    <w:basedOn w:val="Normal"/>
    <w:link w:val="CommentTextChar"/>
    <w:uiPriority w:val="99"/>
    <w:semiHidden/>
    <w:unhideWhenUsed/>
    <w:rsid w:val="005C24DA"/>
    <w:rPr>
      <w:sz w:val="20"/>
    </w:rPr>
  </w:style>
  <w:style w:type="character" w:customStyle="1" w:styleId="CommentTextChar">
    <w:name w:val="Comment Text Char"/>
    <w:basedOn w:val="DefaultParagraphFont"/>
    <w:link w:val="CommentText"/>
    <w:uiPriority w:val="99"/>
    <w:semiHidden/>
    <w:rsid w:val="005C24DA"/>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5C24DA"/>
    <w:rPr>
      <w:b/>
    </w:rPr>
  </w:style>
  <w:style w:type="character" w:customStyle="1" w:styleId="CommentSubjectChar">
    <w:name w:val="Comment Subject Char"/>
    <w:basedOn w:val="CommentTextChar"/>
    <w:link w:val="CommentSubject"/>
    <w:uiPriority w:val="99"/>
    <w:semiHidden/>
    <w:rsid w:val="005C24DA"/>
    <w:rPr>
      <w:rFonts w:ascii="Times New Roman" w:hAnsi="Times New Roman" w:cs="Times New Roman"/>
      <w:b/>
      <w:sz w:val="20"/>
    </w:rPr>
  </w:style>
  <w:style w:type="character" w:styleId="Hyperlink">
    <w:name w:val="Hyperlink"/>
    <w:basedOn w:val="DefaultParagraphFont"/>
    <w:uiPriority w:val="99"/>
    <w:unhideWhenUsed/>
    <w:rsid w:val="005C24DA"/>
    <w:rPr>
      <w:color w:val="0000FF" w:themeColor="hyperlink"/>
      <w:u w:val="single"/>
    </w:rPr>
  </w:style>
  <w:style w:type="character" w:customStyle="1" w:styleId="UnresolvedMention1">
    <w:name w:val="Unresolved Mention1"/>
    <w:basedOn w:val="DefaultParagraphFont"/>
    <w:uiPriority w:val="99"/>
    <w:semiHidden/>
    <w:unhideWhenUsed/>
    <w:rsid w:val="005C24DA"/>
    <w:rPr>
      <w:color w:val="605E5C"/>
      <w:shd w:val="clear" w:color="auto" w:fill="E1DFDD"/>
    </w:rPr>
  </w:style>
  <w:style w:type="paragraph" w:styleId="Header">
    <w:name w:val="header"/>
    <w:basedOn w:val="Normal"/>
    <w:link w:val="HeaderChar"/>
    <w:uiPriority w:val="99"/>
    <w:unhideWhenUsed/>
    <w:rsid w:val="001D2206"/>
    <w:pPr>
      <w:tabs>
        <w:tab w:val="center" w:pos="4535"/>
        <w:tab w:val="right" w:pos="9071"/>
      </w:tabs>
      <w:spacing w:before="0"/>
    </w:pPr>
  </w:style>
  <w:style w:type="character" w:customStyle="1" w:styleId="HeaderChar">
    <w:name w:val="Header Char"/>
    <w:basedOn w:val="DefaultParagraphFont"/>
    <w:link w:val="Header"/>
    <w:uiPriority w:val="99"/>
    <w:rsid w:val="001D2206"/>
    <w:rPr>
      <w:rFonts w:ascii="Times New Roman" w:hAnsi="Times New Roman" w:cs="Times New Roman"/>
      <w:sz w:val="24"/>
      <w:lang w:val="bg-BG"/>
    </w:rPr>
  </w:style>
  <w:style w:type="paragraph" w:styleId="Footer">
    <w:name w:val="footer"/>
    <w:basedOn w:val="Normal"/>
    <w:link w:val="FooterChar"/>
    <w:uiPriority w:val="99"/>
    <w:unhideWhenUsed/>
    <w:rsid w:val="001D220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D2206"/>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D2206"/>
    <w:pPr>
      <w:tabs>
        <w:tab w:val="center" w:pos="7285"/>
        <w:tab w:val="right" w:pos="14003"/>
      </w:tabs>
      <w:spacing w:before="0"/>
    </w:pPr>
  </w:style>
  <w:style w:type="paragraph" w:customStyle="1" w:styleId="FooterLandscape">
    <w:name w:val="FooterLandscape"/>
    <w:basedOn w:val="Normal"/>
    <w:rsid w:val="001D220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D220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D2206"/>
    <w:pPr>
      <w:spacing w:before="0"/>
      <w:jc w:val="right"/>
    </w:pPr>
    <w:rPr>
      <w:sz w:val="28"/>
    </w:rPr>
  </w:style>
  <w:style w:type="paragraph" w:customStyle="1" w:styleId="FooterSensitivity">
    <w:name w:val="Footer Sensitivity"/>
    <w:basedOn w:val="Normal"/>
    <w:rsid w:val="001D220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D555233027C1E41B8DD1CBE89128322" ma:contentTypeVersion="5" ma:contentTypeDescription="Create a new document in this library." ma:contentTypeScope="" ma:versionID="ea66bbe31642424c0522fa00dc9b13f3">
  <xsd:schema xmlns:xsd="http://www.w3.org/2001/XMLSchema" xmlns:xs="http://www.w3.org/2001/XMLSchema" xmlns:p="http://schemas.microsoft.com/office/2006/metadata/properties" xmlns:ns3="2C0E8722-3A40-479F-B012-367D1FB754C3" xmlns:ns4="2c0e8722-3a40-479f-b012-367d1fb754c3" xmlns:ns5="43dbc629-2500-4e93-a4c6-7001653b156d" targetNamespace="http://schemas.microsoft.com/office/2006/metadata/properties" ma:root="true" ma:fieldsID="e875e5b2e8832adf35d65ed7ec4b79f6" ns3:_="" ns4:_="" ns5:_="">
    <xsd:import namespace="2C0E8722-3A40-479F-B012-367D1FB754C3"/>
    <xsd:import namespace="2c0e8722-3a40-479f-b012-367d1fb754c3"/>
    <xsd:import namespace="43dbc629-2500-4e93-a4c6-7001653b156d"/>
    <xsd:element name="properties">
      <xsd:complexType>
        <xsd:sequence>
          <xsd:element name="documentManagement">
            <xsd:complexType>
              <xsd:all>
                <xsd:element ref="ns3:EC_Collab_Reference" minOccurs="0"/>
                <xsd:element ref="ns3:EC_Collab_DocumentLanguage"/>
                <xsd:element ref="ns3:EC_Collab_Status"/>
                <xsd:element ref="ns3:Status" minOccurs="0"/>
                <xsd:element ref="ns4:EC_ARES_NUMBER" minOccurs="0"/>
                <xsd:element ref="ns4:EC_ARES_DATE_TRANSFERRED" minOccurs="0"/>
                <xsd:element ref="ns4:EC_ARES_TRANSFERRED_B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E8722-3A40-479F-B012-367D1FB754C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tatus" ma:index="15" nillable="true" ma:displayName="Status" ma:default="Draft"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2c0e8722-3a40-479f-b012-367d1fb754c3"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bc629-2500-4e93-a4c6-7001653b156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2C0E8722-3A40-479F-B012-367D1FB754C3">EN</EC_Collab_DocumentLanguage>
    <Status xmlns="2C0E8722-3A40-479F-B012-367D1FB754C3">Draft</Status>
    <EC_ARES_NUMBER xmlns="2c0e8722-3a40-479f-b012-367d1fb754c3">
      <Url xsi:nil="true"/>
      <Description xsi:nil="true"/>
    </EC_ARES_NUMBER>
    <EC_ARES_DATE_TRANSFERRED xmlns="2c0e8722-3a40-479f-b012-367d1fb754c3" xsi:nil="true"/>
    <EC_Collab_Status xmlns="2C0E8722-3A40-479F-B012-367D1FB754C3">Not Started</EC_Collab_Status>
    <EC_ARES_TRANSFERRED_BY xmlns="2c0e8722-3a40-479f-b012-367d1fb754c3" xsi:nil="true"/>
    <EC_Collab_Reference xmlns="2C0E8722-3A40-479F-B012-367D1FB754C3" xsi:nil="true"/>
  </documentManagement>
</p:properties>
</file>

<file path=customXml/itemProps1.xml><?xml version="1.0" encoding="utf-8"?>
<ds:datastoreItem xmlns:ds="http://schemas.openxmlformats.org/officeDocument/2006/customXml" ds:itemID="{E10D4245-FE66-4610-A921-3ACCAB63E707}">
  <ds:schemaRefs>
    <ds:schemaRef ds:uri="http://schemas.microsoft.com/sharepoint/v3/contenttype/forms"/>
  </ds:schemaRefs>
</ds:datastoreItem>
</file>

<file path=customXml/itemProps2.xml><?xml version="1.0" encoding="utf-8"?>
<ds:datastoreItem xmlns:ds="http://schemas.openxmlformats.org/officeDocument/2006/customXml" ds:itemID="{5FD54671-0490-4C41-90F5-17750B019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E8722-3A40-479F-B012-367D1FB754C3"/>
    <ds:schemaRef ds:uri="2c0e8722-3a40-479f-b012-367d1fb754c3"/>
    <ds:schemaRef ds:uri="43dbc629-2500-4e93-a4c6-7001653b1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70CED-A34A-493F-A165-2AEC220C3F51}">
  <ds:schemaRefs>
    <ds:schemaRef ds:uri="http://purl.org/dc/terms/"/>
    <ds:schemaRef ds:uri="http://schemas.openxmlformats.org/package/2006/metadata/core-properties"/>
    <ds:schemaRef ds:uri="43dbc629-2500-4e93-a4c6-7001653b156d"/>
    <ds:schemaRef ds:uri="http://schemas.microsoft.com/office/2006/documentManagement/types"/>
    <ds:schemaRef ds:uri="2c0e8722-3a40-479f-b012-367d1fb754c3"/>
    <ds:schemaRef ds:uri="http://purl.org/dc/elements/1.1/"/>
    <ds:schemaRef ds:uri="http://schemas.microsoft.com/office/2006/metadata/properties"/>
    <ds:schemaRef ds:uri="http://schemas.microsoft.com/office/infopath/2007/PartnerControls"/>
    <ds:schemaRef ds:uri="2C0E8722-3A40-479F-B012-367D1FB754C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ANNEX.dotm</Template>
  <TotalTime>68</TotalTime>
  <Pages>16</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EC CoDe</cp:lastModifiedBy>
  <cp:revision>39</cp:revision>
  <dcterms:created xsi:type="dcterms:W3CDTF">2023-05-11T06:56:00Z</dcterms:created>
  <dcterms:modified xsi:type="dcterms:W3CDTF">2023-07-03T12:43:00Z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20230124</vt:lpwstr>
  </property>
  <property fmtid="{D5CDD505-2E9C-101B-9397-08002B2CF9AE}" pid="6" name="First annex">
    <vt:lpwstr>1</vt:lpwstr>
  </property>
  <property fmtid="{D5CDD505-2E9C-101B-9397-08002B2CF9AE}" pid="7" name="Last annex">
    <vt:lpwstr>5</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0x010100258AA79CEB83498886A3A08681123250006D555233027C1E41B8DD1CBE89128322</vt:lpwstr>
  </property>
  <property fmtid="{D5CDD505-2E9C-101B-9397-08002B2CF9AE}" pid="14" name="MSIP_Label_6bd9ddd1-4d20-43f6-abfa-fc3c07406f94_Enabled">
    <vt:lpwstr>true</vt:lpwstr>
  </property>
  <property fmtid="{D5CDD505-2E9C-101B-9397-08002B2CF9AE}" pid="15" name="MSIP_Label_6bd9ddd1-4d20-43f6-abfa-fc3c07406f94_SetDate">
    <vt:lpwstr>2023-03-20T15:26:12Z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274cf058-6ccb-4c82-b307-341c1cf14192</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