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1A8228" w14:textId="2174F566" w:rsidR="008273B8" w:rsidRDefault="00B1199F" w:rsidP="00B1199F">
      <w:pPr>
        <w:pStyle w:val="Pagedecouverture"/>
        <w:rPr>
          <w:noProof/>
        </w:rPr>
      </w:pPr>
      <w:bookmarkStart w:id="0" w:name="LW_BM_COVERPAGE"/>
      <w:r>
        <w:rPr>
          <w:noProof/>
        </w:rPr>
        <w:pict w14:anchorId="4A8E71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alt="ED7D6B68-18F7-4427-916B-C988D56C1BBF" style="width:455.25pt;height:371.25pt">
            <v:imagedata r:id="rId11" o:title=""/>
          </v:shape>
        </w:pict>
      </w:r>
    </w:p>
    <w:bookmarkEnd w:id="0"/>
    <w:p w14:paraId="74604E4A" w14:textId="77777777" w:rsidR="008273B8" w:rsidRDefault="008273B8">
      <w:pPr>
        <w:rPr>
          <w:noProof/>
        </w:rPr>
        <w:sectPr w:rsidR="008273B8" w:rsidSect="00B1199F">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0"/>
          <w:cols w:space="720"/>
          <w:docGrid w:linePitch="360"/>
        </w:sectPr>
      </w:pPr>
    </w:p>
    <w:p w14:paraId="3C7CF112" w14:textId="71E624C9" w:rsidR="008273B8" w:rsidRDefault="00B93063">
      <w:pPr>
        <w:pStyle w:val="P68B1DB1-Heading11"/>
        <w:numPr>
          <w:ilvl w:val="0"/>
          <w:numId w:val="0"/>
        </w:numPr>
        <w:spacing w:after="360"/>
        <w:jc w:val="center"/>
        <w:rPr>
          <w:noProof/>
        </w:rPr>
      </w:pPr>
      <w:bookmarkStart w:id="1" w:name="_GoBack"/>
      <w:bookmarkEnd w:id="1"/>
      <w:r>
        <w:rPr>
          <w:noProof/>
        </w:rPr>
        <w:lastRenderedPageBreak/>
        <w:t>PRILOG</w:t>
      </w:r>
    </w:p>
    <w:p w14:paraId="7A538B60" w14:textId="20392226" w:rsidR="008273B8" w:rsidRDefault="00B93063">
      <w:pPr>
        <w:pStyle w:val="Heading1"/>
        <w:numPr>
          <w:ilvl w:val="0"/>
          <w:numId w:val="0"/>
        </w:numPr>
        <w:spacing w:after="360"/>
        <w:rPr>
          <w:noProof/>
        </w:rPr>
      </w:pPr>
      <w:r>
        <w:rPr>
          <w:noProof/>
        </w:rPr>
        <w:t>ODJELJAK 1.: REFORME I ULAGANJA U OKVIRU PLANA ZA OPORAVAK I OTPORNOST</w:t>
      </w:r>
    </w:p>
    <w:p w14:paraId="7A538B61" w14:textId="77777777" w:rsidR="008273B8" w:rsidRDefault="00B93063">
      <w:pPr>
        <w:pStyle w:val="ManualHeading1"/>
        <w:numPr>
          <w:ilvl w:val="0"/>
          <w:numId w:val="35"/>
        </w:numPr>
        <w:spacing w:after="360"/>
        <w:ind w:left="360"/>
        <w:rPr>
          <w:noProof/>
        </w:rPr>
      </w:pPr>
      <w:r>
        <w:rPr>
          <w:noProof/>
        </w:rPr>
        <w:t xml:space="preserve">Opis reformi i ulaganja </w:t>
      </w:r>
    </w:p>
    <w:p w14:paraId="7A538B62" w14:textId="77777777" w:rsidR="008273B8" w:rsidRDefault="00B93063">
      <w:pPr>
        <w:pStyle w:val="P68B1DB1-ManualHeading22"/>
        <w:numPr>
          <w:ilvl w:val="0"/>
          <w:numId w:val="38"/>
        </w:numPr>
        <w:spacing w:before="360" w:after="360"/>
        <w:ind w:left="360"/>
        <w:rPr>
          <w:noProof/>
        </w:rPr>
      </w:pPr>
      <w:r>
        <w:rPr>
          <w:noProof/>
        </w:rPr>
        <w:t>Sastavnica 1.: Rješavanje problema klimatske neutralnosti s pomoću poboljšane energetske učinkovitosti, čiste energije i kružnog gospodarstva</w:t>
      </w:r>
    </w:p>
    <w:p w14:paraId="7A538B63" w14:textId="1950A091" w:rsidR="008273B8" w:rsidRDefault="00B93063">
      <w:pPr>
        <w:pStyle w:val="P68B1DB1-Normal3"/>
        <w:jc w:val="both"/>
        <w:rPr>
          <w:rFonts w:cs="Times New Roman"/>
          <w:noProof/>
        </w:rPr>
      </w:pPr>
      <w:r>
        <w:rPr>
          <w:noProof/>
        </w:rPr>
        <w:t xml:space="preserve">Tom komponentom malteškog plana za oporavak i otpornost pridonosi se svladavanju izazova povezanih s naglim povećanjem potrošnje energije i stvaranja otpada koji proizlazi iz brzog rasta stanovništva, zaposlenosti i BDP-a posljednjih godina. Te izazove pogoršavaju posebne značajke Malte, uključujući njezinu malu veličinu, veliku gustoću naseljenosti, ograničen prostor zemljišta, nedostatak ekonomije razmjera, njezinu ovisnost o pojedinačnim distributerima i dobavljačima, kao i oskudnost prirodnih resursa. </w:t>
      </w:r>
    </w:p>
    <w:p w14:paraId="7A538B64" w14:textId="77777777" w:rsidR="008273B8" w:rsidRDefault="00B93063">
      <w:pPr>
        <w:pStyle w:val="P68B1DB1-Normal3"/>
        <w:jc w:val="both"/>
        <w:rPr>
          <w:rFonts w:cs="Times New Roman"/>
          <w:noProof/>
        </w:rPr>
      </w:pPr>
      <w:r>
        <w:rPr>
          <w:noProof/>
        </w:rPr>
        <w:t>Ciljevi su komponente ulaganje u dekarbonizaciju niza zgrada, pružanje rješenja za energiju iz obnovljivih izvora u javnim prostorima te uvođenje reformi za razvoj dugoročne strategije obnove zgrada i poboljšanje gospodarenja otpadom.</w:t>
      </w:r>
    </w:p>
    <w:p w14:paraId="7A538B65" w14:textId="77777777" w:rsidR="008273B8" w:rsidRDefault="00B93063">
      <w:pPr>
        <w:pStyle w:val="P68B1DB1-Normal3"/>
        <w:jc w:val="both"/>
        <w:rPr>
          <w:rFonts w:cs="Times New Roman"/>
          <w:noProof/>
        </w:rPr>
      </w:pPr>
      <w:r>
        <w:rPr>
          <w:noProof/>
        </w:rPr>
        <w:t>Ulaganja se sastoje od obnove niza zgrada privatnog i javnog sektora, javnih škola i bolnica kojima je cilj poboljšati energetsku učinkovitost tih zgrada, smanjiti potrošnju energije i emisije ugljika. Komponenta je usmjerena i na izgradnju blizu ugljično neutralne škole koja će uključivati i upotrebu sustava za energiju iz obnovljivih izvora, kao i ulaganja u energiju iz obnovljivih izvora u cestama i javnim prostorima. Reformom za razvoj dugoročne strategije obnove zgrada dopunjuju se ta ulaganja stvaranjem okvira kojim se promiče obnova fonda zgrada Malte do 2050. Komponentom se predviđa i osmišljavanje poboljšane politike o otpadu, uključujući reorganizaciju prikupljanja otpada, kako bi se ograničio otpad i poboljšala kružnost.</w:t>
      </w:r>
    </w:p>
    <w:p w14:paraId="7A538B67" w14:textId="552162C5" w:rsidR="008273B8" w:rsidRDefault="00B93063">
      <w:pPr>
        <w:pStyle w:val="P68B1DB1-Normal3"/>
        <w:jc w:val="both"/>
        <w:rPr>
          <w:rFonts w:cs="Times New Roman"/>
          <w:noProof/>
        </w:rPr>
      </w:pPr>
      <w:r>
        <w:rPr>
          <w:noProof/>
        </w:rPr>
        <w:t xml:space="preserve">Tom se komponentom pridonosi provedbi preporuka za pojedinu zemlju o ulaganjima u zelenu i digitalnu tranziciju, posebno u pogledu čiste i učinkovite proizvodnje i uporabe energije te gospodarenja otpadom (3., 3. i 4. preporuka po državama članicama iz 2022.). Očekuje se da se nijednom mjerom u ovoj komponenti ne nanosi bitna šteta okolišnim ciljevima u smislu članka 17. Uredbe (EU) 2020/852, uzimajući u obzir opis mjera i koraka ublažavanja utvrđenih u planu za oporavak i otpornost u skladu s Tehničkim smjernicama o nenanošenju bitne štete (2021/C58/01). </w:t>
      </w:r>
    </w:p>
    <w:p w14:paraId="7A538B68" w14:textId="77777777" w:rsidR="008273B8" w:rsidRDefault="00B93063">
      <w:pPr>
        <w:rPr>
          <w:rFonts w:ascii="Times New Roman" w:hAnsi="Times New Roman" w:cs="Times New Roman"/>
          <w:noProof/>
          <w:sz w:val="24"/>
        </w:rPr>
      </w:pPr>
      <w:r>
        <w:rPr>
          <w:noProof/>
        </w:rPr>
        <w:br w:type="page"/>
      </w:r>
    </w:p>
    <w:p w14:paraId="7A538B69" w14:textId="77777777" w:rsidR="008273B8" w:rsidRDefault="00B93063">
      <w:pPr>
        <w:pStyle w:val="P68B1DB1-ManualHeading34"/>
        <w:spacing w:before="240" w:after="240"/>
        <w:rPr>
          <w:noProof/>
          <w:u w:val="single"/>
        </w:rPr>
      </w:pPr>
      <w:r>
        <w:rPr>
          <w:noProof/>
        </w:rPr>
        <w:t xml:space="preserve">A.1. </w:t>
      </w:r>
      <w:r>
        <w:rPr>
          <w:noProof/>
        </w:rPr>
        <w:tab/>
      </w:r>
      <w:r>
        <w:rPr>
          <w:noProof/>
          <w:u w:val="single"/>
        </w:rPr>
        <w:t>Opis reformi i ulaganja za bespovratnu financijsku potporu</w:t>
      </w:r>
    </w:p>
    <w:p w14:paraId="7A538B6A" w14:textId="77777777" w:rsidR="008273B8" w:rsidRDefault="00B93063">
      <w:pPr>
        <w:pStyle w:val="P68B1DB1-Normal5"/>
        <w:jc w:val="both"/>
        <w:rPr>
          <w:rFonts w:cs="Times New Roman"/>
          <w:noProof/>
        </w:rPr>
      </w:pPr>
      <w:r>
        <w:rPr>
          <w:noProof/>
        </w:rPr>
        <w:t>Reforma C1-R1: Razvoj dugoročne strategije obnove</w:t>
      </w:r>
    </w:p>
    <w:p w14:paraId="7A538B6B" w14:textId="77777777" w:rsidR="008273B8" w:rsidRDefault="00B93063">
      <w:pPr>
        <w:pStyle w:val="P68B1DB1-Normal3"/>
        <w:jc w:val="both"/>
        <w:rPr>
          <w:rFonts w:cs="Times New Roman"/>
          <w:noProof/>
        </w:rPr>
      </w:pPr>
      <w:r>
        <w:rPr>
          <w:noProof/>
        </w:rPr>
        <w:t xml:space="preserve">Cilj je reforme ojačati institucionalni okvir i osigurati dostupnost kvalificirane radne snage u građevinskoj i građevinskoj industriji. </w:t>
      </w:r>
    </w:p>
    <w:p w14:paraId="7A538B6C" w14:textId="6132B514" w:rsidR="008273B8" w:rsidRDefault="00B93063">
      <w:pPr>
        <w:pStyle w:val="P68B1DB1-Normal3"/>
        <w:jc w:val="both"/>
        <w:rPr>
          <w:rFonts w:cs="Times New Roman"/>
          <w:noProof/>
        </w:rPr>
      </w:pPr>
      <w:r>
        <w:rPr>
          <w:noProof/>
        </w:rPr>
        <w:t>Reformom se uspostavlja regulatorno tijelo za zgrade odgovorno za integrirano uređenje i održivo upravljanje građevinskom i građevinskom industrijom koji ima različite odgovornosti, uključujući izdavanje i provedbu smjernica i metodologija dobre prakse, politika i propisa, koji osigurava centralizirani ured za zaprimanje i obradu pritužbi te praćenje izvedbe, sigurnosti i kvalitete zgrada i građevinskih radova na Malti. Osigurava potrebno osoblje regulatornog tijela koje je u potpunosti operativno. Njime se povećava dostupnost kvalificiranog osoblja proširenjem mjera za stjecanje vještina i usavršavanje na nove profesionalne kategorije kako bi se dobila iskaznica vještina s posebnim prioritetom povezanim sa stjecanjem potrebnih vještina za potporu projektima obnove zgrada. Reformske mjere uključene su u dugoročnu strategiju obnove čiji je cilj obnova malteškog fonda zgrada u cilju poboljšanja energetske učinkovitosti, povećanja uporabe energije iz obnovljivih izvora, smanjenja emisija i postizanja dekarbonizacije fonda zgrada do 2050.</w:t>
      </w:r>
    </w:p>
    <w:p w14:paraId="7A538B6D" w14:textId="77777777" w:rsidR="008273B8" w:rsidRDefault="00B93063">
      <w:pPr>
        <w:pStyle w:val="P68B1DB1-Normal3"/>
        <w:jc w:val="both"/>
        <w:rPr>
          <w:rFonts w:cs="Times New Roman"/>
          <w:noProof/>
        </w:rPr>
      </w:pPr>
      <w:r>
        <w:rPr>
          <w:noProof/>
        </w:rPr>
        <w:t>Reforma se provodi do 30. lipnja 2023.</w:t>
      </w:r>
    </w:p>
    <w:p w14:paraId="7A538B6E" w14:textId="77777777" w:rsidR="008273B8" w:rsidRDefault="00B93063">
      <w:pPr>
        <w:pStyle w:val="P68B1DB1-Normal5"/>
        <w:jc w:val="both"/>
        <w:rPr>
          <w:rFonts w:cs="Times New Roman"/>
          <w:noProof/>
        </w:rPr>
      </w:pPr>
      <w:r>
        <w:rPr>
          <w:noProof/>
        </w:rPr>
        <w:t xml:space="preserve">Reforma C1-R2: Poticanje učinkovitog gospodarenja otpadom s pomoću čvrstog okvira za upravljanje otpadom, uključujući reformu sustava skupljanja otpada </w:t>
      </w:r>
    </w:p>
    <w:p w14:paraId="7A538B6F" w14:textId="77777777" w:rsidR="008273B8" w:rsidRDefault="00B93063">
      <w:pPr>
        <w:pStyle w:val="P68B1DB1-Normal3"/>
        <w:jc w:val="both"/>
        <w:rPr>
          <w:rFonts w:cs="Times New Roman"/>
          <w:noProof/>
        </w:rPr>
      </w:pPr>
      <w:r>
        <w:rPr>
          <w:noProof/>
        </w:rPr>
        <w:t xml:space="preserve">Cilj je reforme poboljšati gospodarenje otpadom i potaknuti prelazak na kružno gospodarstvo. </w:t>
      </w:r>
    </w:p>
    <w:p w14:paraId="7A538B70" w14:textId="77777777" w:rsidR="008273B8" w:rsidRDefault="00B93063">
      <w:pPr>
        <w:pStyle w:val="P68B1DB1-Normal3"/>
        <w:jc w:val="both"/>
        <w:rPr>
          <w:rFonts w:cs="Times New Roman"/>
          <w:noProof/>
        </w:rPr>
      </w:pPr>
      <w:r>
        <w:rPr>
          <w:noProof/>
        </w:rPr>
        <w:t>Reforma se sastoji od prijelaza na regionalizirani i usklađeni nacionalni sustav prikupljanja otpada, proširenja proširene odgovornosti proizvođača na nove sektore i mjera koje se odnose na građevinski otpad i otpad od rušenja.</w:t>
      </w:r>
    </w:p>
    <w:p w14:paraId="7A538B71" w14:textId="50F2B8B6" w:rsidR="008273B8" w:rsidRDefault="00B93063">
      <w:pPr>
        <w:pStyle w:val="P68B1DB1-Normal3"/>
        <w:jc w:val="both"/>
        <w:rPr>
          <w:rFonts w:cs="Times New Roman"/>
          <w:i/>
          <w:noProof/>
        </w:rPr>
      </w:pPr>
      <w:r>
        <w:rPr>
          <w:noProof/>
        </w:rPr>
        <w:t xml:space="preserve">Reorganizacijom skupljanja otpada konsolidiraju se usluge skupljanja otpada u šest regija na Malti i na Gozu (iz postojećeg fragmentiranog okvira koji obuhvaća 68 lokalnih vijeća). Reformom se nastoje ostvariti veće ekonomije razmjera, povećano odvojeno prikupljanje, bolje iskorištavanje relevantnog voznog parka i optimizacija troškova ulaganja. </w:t>
      </w:r>
    </w:p>
    <w:p w14:paraId="7A538B72" w14:textId="77777777" w:rsidR="008273B8" w:rsidRDefault="00B93063">
      <w:pPr>
        <w:pStyle w:val="P68B1DB1-Normal3"/>
        <w:jc w:val="both"/>
        <w:rPr>
          <w:rFonts w:cs="Times New Roman"/>
          <w:i/>
          <w:noProof/>
        </w:rPr>
      </w:pPr>
      <w:r>
        <w:rPr>
          <w:noProof/>
        </w:rPr>
        <w:t xml:space="preserve">Zakonodavstvo stupa na snagu kako bi se obveze proširene odgovornosti proizvođača proširile na dodatne tokove otpada, kao što su gume i tekstil. O izvedivosti i opsegu takvog proširenja odlučuje se na temelju neovisne studije. Taj se proces podupire i stupanjem na snagu zakonodavstva usmjerenog na plastiku za jednokratnu uporabu. </w:t>
      </w:r>
    </w:p>
    <w:p w14:paraId="7A538B73" w14:textId="77777777" w:rsidR="008273B8" w:rsidRDefault="00B93063">
      <w:pPr>
        <w:pStyle w:val="P68B1DB1-Normal3"/>
        <w:jc w:val="both"/>
        <w:rPr>
          <w:rFonts w:cs="Times New Roman"/>
          <w:noProof/>
        </w:rPr>
      </w:pPr>
      <w:r>
        <w:rPr>
          <w:noProof/>
        </w:rPr>
        <w:t>Donosi se strategija za građevinski otpad i otpad od rušenja, u kojoj se utvrđuju mogućnosti za gospodarenje otpadom nastalim tijekom aktivnosti gradnje i rušenja kako bi se obrada takvog otpada preusmjerila s odlaganja na pripremu za ponovnu uporabu i recikliranje. Za provedbu takve strategije: i. stupa na snagu novi regulatorni okvir za gospodarenje građevinskim otpadom i otpadom od rušenja, ii. donose se standardi za građevinsku industriju kako bi se smanjio nastali građevinski otpad i otpad od rušenja te kako bi se osiguralo da je nastali otpad prikladan za obradu u skladu s hijerarhijom otpada; i iii. uspostavljaju se uvjeti za oporabu odgovarajućeg građevinskog otpada i otpada od rušenja u strogo potrebnim količinama za nasipavanje kamenoloma koji su proglašeni djelomično iscrpljenima, iscrpljenima ili neaktivnima kako bi se vratili u izvorno stanje.</w:t>
      </w:r>
    </w:p>
    <w:p w14:paraId="7A538B74" w14:textId="77777777" w:rsidR="008273B8" w:rsidRDefault="00B93063">
      <w:pPr>
        <w:pStyle w:val="P68B1DB1-Normal3"/>
        <w:jc w:val="both"/>
        <w:rPr>
          <w:rFonts w:cs="Times New Roman"/>
          <w:noProof/>
        </w:rPr>
      </w:pPr>
      <w:r>
        <w:rPr>
          <w:noProof/>
        </w:rPr>
        <w:t xml:space="preserve">Očekuje se da se tom mjerom ne nanosi bitna šteta okolišnim ciljevima u smislu članka 17. Uredbe (EU) 2020/852, uzimajući u obzir opis mjere i korake ublažavanja utvrđene u planu za oporavak i otpornost u skladu s Tehničkim smjernicama o nenanošenju bitne štete (2021/C58/01). </w:t>
      </w:r>
    </w:p>
    <w:p w14:paraId="7A538B75" w14:textId="77777777" w:rsidR="008273B8" w:rsidRDefault="00B93063">
      <w:pPr>
        <w:pStyle w:val="P68B1DB1-Normal3"/>
        <w:jc w:val="both"/>
        <w:rPr>
          <w:rFonts w:cs="Times New Roman"/>
          <w:noProof/>
        </w:rPr>
      </w:pPr>
      <w:r>
        <w:rPr>
          <w:noProof/>
        </w:rPr>
        <w:t>Reforma se provodi do 31. prosinca 2025.</w:t>
      </w:r>
    </w:p>
    <w:p w14:paraId="7A538B76" w14:textId="0AA4FFD4" w:rsidR="008273B8" w:rsidRDefault="00B93063">
      <w:pPr>
        <w:pStyle w:val="P68B1DB1-Normal5"/>
        <w:jc w:val="both"/>
        <w:rPr>
          <w:rFonts w:cs="Times New Roman"/>
          <w:noProof/>
        </w:rPr>
      </w:pPr>
      <w:r>
        <w:rPr>
          <w:noProof/>
        </w:rPr>
        <w:t xml:space="preserve">Ulaganje C1-I1: Ulaganje u obnovu i ekologizaciju zgrada javnog i privatnog sektora, uključujući naknadnu ugradnju s pomoću mjera energetske učinkovitosti i učinkovitosti resursa </w:t>
      </w:r>
    </w:p>
    <w:p w14:paraId="7A538B77" w14:textId="77777777" w:rsidR="008273B8" w:rsidRDefault="00B93063">
      <w:pPr>
        <w:pStyle w:val="P68B1DB1-Normal3"/>
        <w:jc w:val="both"/>
        <w:rPr>
          <w:rFonts w:cs="Times New Roman"/>
          <w:noProof/>
        </w:rPr>
      </w:pPr>
      <w:r>
        <w:rPr>
          <w:noProof/>
        </w:rPr>
        <w:t>Cilj je ulaganja poboljšati energetsku učinkovitost, smanjiti potražnju za energijom, smanjiti emisije ugljika i ograničiti energetsko rasipanje</w:t>
      </w:r>
      <w:r>
        <w:rPr>
          <w:b/>
          <w:noProof/>
        </w:rPr>
        <w:t xml:space="preserve"> </w:t>
      </w:r>
      <w:r>
        <w:rPr>
          <w:noProof/>
        </w:rPr>
        <w:t>naknadnim opremanjem zgrada javnog i privatnog sektora.</w:t>
      </w:r>
    </w:p>
    <w:p w14:paraId="7A538B78" w14:textId="00178BC3" w:rsidR="008273B8" w:rsidRDefault="00B93063">
      <w:pPr>
        <w:pStyle w:val="P68B1DB1-Normal3"/>
        <w:jc w:val="both"/>
        <w:rPr>
          <w:rFonts w:cs="Times New Roman"/>
          <w:noProof/>
        </w:rPr>
      </w:pPr>
      <w:r>
        <w:rPr>
          <w:noProof/>
        </w:rPr>
        <w:t>Ulaganje se sastoji od obnove, uključujući naknadnu ugradnju, najmanje 9,232 m</w:t>
      </w:r>
      <w:r>
        <w:rPr>
          <w:noProof/>
          <w:vertAlign w:val="superscript"/>
        </w:rPr>
        <w:t>2</w:t>
      </w:r>
      <w:r>
        <w:rPr>
          <w:noProof/>
        </w:rPr>
        <w:t xml:space="preserve"> javnih zgrada i najmanje 40.605</w:t>
      </w:r>
      <w:r>
        <w:rPr>
          <w:noProof/>
          <w:vertAlign w:val="superscript"/>
        </w:rPr>
        <w:t>m²</w:t>
      </w:r>
      <w:r>
        <w:rPr>
          <w:noProof/>
        </w:rPr>
        <w:t xml:space="preserve"> zgrada privatnog sektora, uključujući komercijalne i nestambene zgrade. Konačna obnovljena površina privatnih zgrada ovisi o prihvatljivim troškovima u okviru programa bespovratnih sredstava. Javne zgrade koje će se obnoviti odabiru se na temelju najvećeg potencijala za uštedu energije, uzimajući u obzir dodatne kompromise povezane s logističkim pitanjima koja mogu utjecati na realnu provedbu intervencija.  Obnovom se postiže smanjenje potražnje za primarnom energijom za najmanje 30 %.</w:t>
      </w:r>
    </w:p>
    <w:p w14:paraId="7A538B79" w14:textId="77777777" w:rsidR="008273B8" w:rsidRDefault="00B93063">
      <w:pPr>
        <w:pStyle w:val="P68B1DB1-Normal3"/>
        <w:jc w:val="both"/>
        <w:rPr>
          <w:rFonts w:cs="Times New Roman"/>
          <w:noProof/>
        </w:rPr>
      </w:pPr>
      <w:r>
        <w:rPr>
          <w:noProof/>
        </w:rPr>
        <w:t xml:space="preserve">Očekuje se da se tom mjerom ne nanosi bitna šteta okolišnim ciljevima u smislu članka 17. Uredbe (EU) 2020/852, uzimajući u obzir opis mjere i mjere ublažavanja utvrđene u planu za oporavak i otpornost u skladu s Tehničkim smjernicama o nenanošenju bitne štete (2021/C58/01). Konkretno, tom se mjerom od gospodarskih subjekata koji provode građevinske radove zahtijeva da osiguraju da se najmanje 70 % (masenog udjela) neopasnog građevinskog otpada i otpada od rušenja (osim prirodnog materijala iz kategorije 17 05 04 na Europskom popisu otpada utvrđenom Odlukom 2000/532/EZ od 3. svibnja 2000. koja zamjenjuje Odluku 94/3/EZ o popisu otpada u skladu s člankom 1. točkom (a) Direktive Vijeća 75/442/EEZ o otpadu i Odlukom Vijeća 94/904/EZ o utvrđivanju popisa opasnog otpada u skladu s člankom 1. stavkom 4. Direktive Vijeća 91/689/EEZ o opasnom otpadu (priopćenom pod brojem dokumenta C(2000) 1147)) pripremi za ponovnu uporabu, recikliranje i druga oporaba materijala, uključujući postupke nasipavanja u kojima se otpad upotrebljava kao zamjena za druge materijale, u skladu s hijerarhijom otpada, člankom 11. stavkom 2. točkom (b) Direktive 2008/98/EZ o otpadu i Protokolom EU-a za gospodarenje građevinskim otpadom i otpadom od rušenja. </w:t>
      </w:r>
    </w:p>
    <w:p w14:paraId="7A538B7A" w14:textId="2A31C16B" w:rsidR="008273B8" w:rsidRDefault="00B93063">
      <w:pPr>
        <w:pStyle w:val="P68B1DB1-Normal3"/>
        <w:jc w:val="both"/>
        <w:rPr>
          <w:rFonts w:cs="Times New Roman"/>
          <w:noProof/>
        </w:rPr>
      </w:pPr>
      <w:r>
        <w:rPr>
          <w:noProof/>
        </w:rPr>
        <w:t>Ulaganje se provodi do 30. lipnja 2026.</w:t>
      </w:r>
    </w:p>
    <w:p w14:paraId="7A538B7B" w14:textId="51D5E842" w:rsidR="008273B8" w:rsidRDefault="00B93063">
      <w:pPr>
        <w:pStyle w:val="P68B1DB1-Normal5"/>
        <w:jc w:val="both"/>
        <w:rPr>
          <w:rFonts w:cs="Times New Roman"/>
          <w:noProof/>
        </w:rPr>
      </w:pPr>
      <w:r>
        <w:rPr>
          <w:noProof/>
        </w:rPr>
        <w:t>Ulaganje C1-I2: Ulaganje u obnovu i naknadno opremanje javnih bolnica</w:t>
      </w:r>
    </w:p>
    <w:p w14:paraId="7A538B7C" w14:textId="61D55AB0" w:rsidR="008273B8" w:rsidRDefault="00B93063">
      <w:pPr>
        <w:pStyle w:val="P68B1DB1-Normal3"/>
        <w:jc w:val="both"/>
        <w:rPr>
          <w:rFonts w:cs="Times New Roman"/>
          <w:noProof/>
        </w:rPr>
      </w:pPr>
      <w:r>
        <w:rPr>
          <w:noProof/>
        </w:rPr>
        <w:t>Cilj je ulaganja poboljšati energetsku učinkovitost, smanjiti potražnju za energijom, smanjiti emisije ugljika, ograničiti energetsko rasipanje i osigurati model za druge slične zgrade</w:t>
      </w:r>
      <w:r>
        <w:rPr>
          <w:b/>
          <w:noProof/>
        </w:rPr>
        <w:t xml:space="preserve"> </w:t>
      </w:r>
      <w:r>
        <w:rPr>
          <w:noProof/>
        </w:rPr>
        <w:t>naknadnim opremanjem jedne javne bolnice. Osim toga, cilj je ulaganja poboljšati dobrobit pacijenata i povećati razinu kvalitete usluge.</w:t>
      </w:r>
    </w:p>
    <w:p w14:paraId="7A538B7D" w14:textId="46EF8AC8" w:rsidR="008273B8" w:rsidRDefault="00B93063">
      <w:pPr>
        <w:pStyle w:val="P68B1DB1-Normal3"/>
        <w:jc w:val="both"/>
        <w:rPr>
          <w:rFonts w:cs="Times New Roman"/>
          <w:noProof/>
        </w:rPr>
      </w:pPr>
      <w:r>
        <w:rPr>
          <w:noProof/>
        </w:rPr>
        <w:t>Ulaganje se sastoji od obnove i naknadnog opremanja javne bolnice Mount</w:t>
      </w:r>
      <w:r>
        <w:rPr>
          <w:noProof/>
          <w:vertAlign w:val="superscript"/>
        </w:rPr>
        <w:t>Carmel</w:t>
      </w:r>
      <w:r>
        <w:rPr>
          <w:noProof/>
        </w:rPr>
        <w:t xml:space="preserve"> od najmanje 5,600 m². Obnovom se postiže smanjenje potražnje za primarnom energijom za najmanje 30 %.</w:t>
      </w:r>
    </w:p>
    <w:p w14:paraId="7A538B7E" w14:textId="77777777" w:rsidR="008273B8" w:rsidRDefault="00B93063">
      <w:pPr>
        <w:pStyle w:val="P68B1DB1-Normal3"/>
        <w:jc w:val="both"/>
        <w:rPr>
          <w:rFonts w:cs="Times New Roman"/>
          <w:noProof/>
        </w:rPr>
      </w:pPr>
      <w:r>
        <w:rPr>
          <w:noProof/>
        </w:rPr>
        <w:t xml:space="preserve">Očekuje se da se tom mjerom ne nanosi bitna šteta okolišnim ciljevima u smislu članka 17. Uredbe (EU) 2020/852, uzimajući u obzir opis mjere i mjere ublažavanja utvrđene u planu za oporavak i otpornost u skladu s Tehničkim smjernicama o nenanošenju bitne štete (2021/C58/01). Konkretno, tom se mjerom od gospodarskih subjekata koji provode građevinske radove zahtijeva da osiguraju da se najmanje 70 % (masenog udjela) neopasnog građevinskog otpada i otpada od rušenja (osim prirodnog materijala iz kategorije 17 05 04 na Europskom popisu otpada utvrđenom Odlukom 2000/532/EZ od 3. svibnja 2000. koja zamjenjuje Odluku 94/3/EZ o popisu otpada u skladu s člankom 1. točkom (a) Direktive Vijeća 75/442/EEZ o otpadu i Odlukom Vijeća 94/904/EZ o utvrđivanju popisa opasnog otpada u skladu s člankom 1. stavkom 4. Direktive Vijeća 91/689/EEZ o opasnom otpadu (priopćenom pod brojem dokumenta C(2000) 1147)) pripremi za ponovnu uporabu, recikliranje i druga oporaba materijala, uključujući postupke nasipavanja u kojima se otpad upotrebljava kao zamjena za druge materijale, u skladu s hijerarhijom otpada, člankom 11. stavkom 2. točkom (b) Direktive 2008/98/EZ o otpadu i Protokolom EU-a za gospodarenje građevinskim otpadom i otpadom od rušenja. </w:t>
      </w:r>
    </w:p>
    <w:p w14:paraId="7A538B7F" w14:textId="553CE467" w:rsidR="008273B8" w:rsidRDefault="00B93063">
      <w:pPr>
        <w:pStyle w:val="P68B1DB1-Normal3"/>
        <w:jc w:val="both"/>
        <w:rPr>
          <w:rFonts w:cs="Times New Roman"/>
          <w:noProof/>
        </w:rPr>
      </w:pPr>
      <w:r>
        <w:rPr>
          <w:noProof/>
        </w:rPr>
        <w:t>Ulaganje se provodi do 30. lipnja 2026.</w:t>
      </w:r>
    </w:p>
    <w:p w14:paraId="7A538B80" w14:textId="1C132F3E" w:rsidR="008273B8" w:rsidRDefault="00B93063">
      <w:pPr>
        <w:pStyle w:val="P68B1DB1-Normal5"/>
        <w:jc w:val="both"/>
        <w:rPr>
          <w:rFonts w:cs="Times New Roman"/>
          <w:noProof/>
        </w:rPr>
      </w:pPr>
      <w:r>
        <w:rPr>
          <w:noProof/>
        </w:rPr>
        <w:t>Ulaganje C1-I3: Ulaganje u obnovu, nadogradnju i obnovljivu energiju u javnim školama</w:t>
      </w:r>
    </w:p>
    <w:p w14:paraId="7A538B81" w14:textId="29B093D7" w:rsidR="008273B8" w:rsidRDefault="00B93063">
      <w:pPr>
        <w:pStyle w:val="P68B1DB1-Normal3"/>
        <w:jc w:val="both"/>
        <w:rPr>
          <w:rFonts w:cs="Times New Roman"/>
          <w:noProof/>
        </w:rPr>
      </w:pPr>
      <w:r>
        <w:rPr>
          <w:noProof/>
        </w:rPr>
        <w:t>Cilj je ulaganja poboljšati energetsku učinkovitost, smanjiti potražnju za energijom, smanjiti emisije ugljika i ograničiti energetsko rasipanje u dvjema javnim školama. Ulaganjem će odabrane škole postati gotovo ugljično neutralne, povećati upotrebu obnovljive energije i poboljšati okruženje za učenje u tim školama optimizacijom zdravlja</w:t>
      </w:r>
      <w:r>
        <w:rPr>
          <w:i/>
          <w:noProof/>
        </w:rPr>
        <w:t xml:space="preserve"> </w:t>
      </w:r>
      <w:r>
        <w:rPr>
          <w:noProof/>
        </w:rPr>
        <w:t xml:space="preserve">u zatvorenim prostorima, kvalitete zraka i udobnosti. </w:t>
      </w:r>
    </w:p>
    <w:p w14:paraId="7A538B82" w14:textId="27081F9D" w:rsidR="008273B8" w:rsidRDefault="00B93063">
      <w:pPr>
        <w:pStyle w:val="P68B1DB1-Normal3"/>
        <w:jc w:val="both"/>
        <w:rPr>
          <w:rFonts w:cs="Times New Roman"/>
          <w:noProof/>
        </w:rPr>
      </w:pPr>
      <w:r>
        <w:rPr>
          <w:noProof/>
        </w:rPr>
        <w:t>Ulaganje se sastoji od obnove, uključujući naknadnu ugradnju, dviju javnih škola (Sv. Benedict College G°axaq i osnovna škola Gozo College Nadur), koje pokrivaju ukupnu površinu od najmanje 9,710 m</w:t>
      </w:r>
      <w:r>
        <w:rPr>
          <w:noProof/>
          <w:vertAlign w:val="superscript"/>
        </w:rPr>
        <w:t>2</w:t>
      </w:r>
      <w:r>
        <w:rPr>
          <w:noProof/>
        </w:rPr>
        <w:t>. Obnovom se postiže smanjenje potražnje za primarnom energijom za najmanje 30 %.</w:t>
      </w:r>
    </w:p>
    <w:p w14:paraId="7A538B83" w14:textId="77777777" w:rsidR="008273B8" w:rsidRDefault="00B93063">
      <w:pPr>
        <w:pStyle w:val="P68B1DB1-Normal3"/>
        <w:jc w:val="both"/>
        <w:rPr>
          <w:rFonts w:cs="Times New Roman"/>
          <w:noProof/>
        </w:rPr>
      </w:pPr>
      <w:r>
        <w:rPr>
          <w:noProof/>
        </w:rPr>
        <w:t xml:space="preserve">Očekuje se da se tom mjerom ne nanosi bitna šteta okolišnim ciljevima u smislu članka 17. Uredbe (EU) 2020/852, uzimajući u obzir opis mjere i mjere ublažavanja utvrđene u planu za oporavak i otpornost u skladu s Tehničkim smjernicama o nenanošenju bitne štete (2021/C58/01). Konkretno, tom se mjerom od gospodarskih subjekata koji provode građevinske radove zahtijeva da osiguraju da se najmanje 70 % (masenog udjela) neopasnog građevinskog otpada i otpada od rušenja (osim prirodnog materijala iz kategorije 17 05 04 na Europskom popisu otpada utvrđenom Odlukom 2000/532/EZ od 3. svibnja 2000. koja zamjenjuje Odluku 94/3/EZ o popisu otpada u skladu s člankom 1. točkom (a) Direktive Vijeća 75/442/EEZ o otpadu i Odlukom Vijeća 94/904/EZ o utvrđivanju popisa opasnog otpada u skladu s člankom 1. stavkom 4. Direktive Vijeća 91/689/EEZ o opasnom otpadu (priopćenom pod brojem dokumenta C(2000) 1147)) pripremi za ponovnu uporabu, recikliranje i druga oporaba materijala, uključujući postupke nasipavanja u kojima se otpad upotrebljava kao zamjena za druge materijale, u skladu s hijerarhijom otpada, člankom 11. stavkom 2. točkom (b) Direktive 2008/98/EZ o otpadu i Protokolom EU-a za gospodarenje građevinskim otpadom i otpadom od rušenja. </w:t>
      </w:r>
    </w:p>
    <w:p w14:paraId="7A538B84" w14:textId="77777777" w:rsidR="008273B8" w:rsidRDefault="00B93063">
      <w:pPr>
        <w:pStyle w:val="P68B1DB1-Normal3"/>
        <w:jc w:val="both"/>
        <w:rPr>
          <w:rFonts w:cs="Times New Roman"/>
          <w:noProof/>
        </w:rPr>
      </w:pPr>
      <w:r>
        <w:rPr>
          <w:noProof/>
        </w:rPr>
        <w:t>Ulaganje se provodi do 31. prosinca 2023.</w:t>
      </w:r>
    </w:p>
    <w:p w14:paraId="7A538B85" w14:textId="77777777" w:rsidR="008273B8" w:rsidRDefault="00B93063">
      <w:pPr>
        <w:pStyle w:val="P68B1DB1-Normal5"/>
        <w:jc w:val="both"/>
        <w:rPr>
          <w:rFonts w:cs="Times New Roman"/>
          <w:noProof/>
        </w:rPr>
      </w:pPr>
      <w:r>
        <w:rPr>
          <w:noProof/>
        </w:rPr>
        <w:t>Ulaganje C1-I4: Ulaganje u izgradnju pilot-projekta blizu ugljično neutralne škole koja bi poslužila kao model za budućnost i učenicima pružila iskustvo učenja otporno na promjene u budućnosti</w:t>
      </w:r>
    </w:p>
    <w:p w14:paraId="7A538B86" w14:textId="77777777" w:rsidR="008273B8" w:rsidRDefault="00B93063">
      <w:pPr>
        <w:pStyle w:val="P68B1DB1-Normal3"/>
        <w:jc w:val="both"/>
        <w:rPr>
          <w:rFonts w:cs="Times New Roman"/>
          <w:noProof/>
        </w:rPr>
      </w:pPr>
      <w:r>
        <w:rPr>
          <w:noProof/>
        </w:rPr>
        <w:t>Cilj je ulaganja izgraditi novu osnovnu školu u blizini ugljično neutralne škole St. Theresa College Msida, u skladu sa standardnim zahtjevima za visoku energetsku učinkovitost, uzimajući u obzir učinkovitost resursa, mjere prilagodbe klimatskim promjenama, usvajanje digitalnih tehnologija i cjenovnu pristupačnost. To bi trebalo poslužiti kao pilot-projekt za buduća ulaganja i predstaviti optimizaciju zdravlja u zatvorenim prostorima, kvalitete zraka, visoke energetske učinkovitosti, niskih emisija ugljika i široke uporabe sustava obnovljive energije. Također se osigurava jednak pristup za osobe s invaliditetom.</w:t>
      </w:r>
    </w:p>
    <w:p w14:paraId="7A538B87" w14:textId="77777777" w:rsidR="008273B8" w:rsidRDefault="00B93063">
      <w:pPr>
        <w:pStyle w:val="P68B1DB1-Normal3"/>
        <w:jc w:val="both"/>
        <w:rPr>
          <w:rFonts w:cs="Times New Roman"/>
          <w:noProof/>
        </w:rPr>
      </w:pPr>
      <w:r>
        <w:rPr>
          <w:noProof/>
        </w:rPr>
        <w:t>Ulaganje se sastoji od izgradnje gotovo ugljično neutralne pilot-škole ukupne površine od približno 14,499 m</w:t>
      </w:r>
      <w:r>
        <w:rPr>
          <w:noProof/>
          <w:vertAlign w:val="superscript"/>
        </w:rPr>
        <w:t>2</w:t>
      </w:r>
      <w:r>
        <w:rPr>
          <w:noProof/>
        </w:rPr>
        <w:t xml:space="preserve">, kapaciteta 500 učenika, 40 razreda, centra za skrb o djeci koji može ponijeti oko 120 djece, knjižnice (kapacitet 300 osoba) i dvorane koja će biti dostupna i zajednici. Konstrukcija mora osigurati ispunjavanje potražnje primarne energije koja je najmanje 20 % niža od zahtjeva za zgradu gotovo nulte energije. </w:t>
      </w:r>
    </w:p>
    <w:p w14:paraId="7A538B88" w14:textId="77777777" w:rsidR="008273B8" w:rsidRDefault="00B93063">
      <w:pPr>
        <w:pStyle w:val="P68B1DB1-Normal3"/>
        <w:jc w:val="both"/>
        <w:rPr>
          <w:rFonts w:cs="Times New Roman"/>
          <w:noProof/>
        </w:rPr>
      </w:pPr>
      <w:r>
        <w:rPr>
          <w:noProof/>
        </w:rPr>
        <w:t xml:space="preserve">Očekuje se da se tom mjerom ne nanosi bitna šteta okolišnim ciljevima u smislu članka 17. Uredbe (EU) 2020/852, uzimajući u obzir opis mjere i mjere ublažavanja utvrđene u planu za oporavak i otpornost u skladu s Tehničkim smjernicama o nenanošenju bitne štete (2021/C58/01). Konkretno, tom se mjerom od gospodarskih subjekata koji provode građevinske radove zahtijeva da osiguraju da se najmanje 70 % (masenog udjela) neopasnog građevinskog otpada i otpada od rušenja (osim prirodnog materijala iz kategorije 17 05 04 na Europskom popisu otpada utvrđenom Odlukom 2000/532/EZ od 3. svibnja 2000. koja zamjenjuje Odluku 94/3/EZ o popisu otpada u skladu s člankom 1. točkom (a) Direktive Vijeća 75/442/EEZ o otpadu i Odlukom Vijeća 94/904/EZ o utvrđivanju popisa opasnog otpada u skladu s člankom 1. stavkom 4. Direktive Vijeća 91/689/EEZ o opasnom otpadu (priopćenom pod brojem dokumenta C(2000) 1147)) pripremi za ponovnu uporabu, recikliranje i druga oporaba materijala, uključujući postupke nasipavanja u kojima se otpad upotrebljava kao zamjena za druge materijale, u skladu s hijerarhijom otpada, člankom 11. stavkom 2. točkom (b) Direktive 2008/98/EZ o otpadu i Protokolom EU-a za gospodarenje građevinskim otpadom i otpadom od rušenja. </w:t>
      </w:r>
    </w:p>
    <w:p w14:paraId="7A538B89" w14:textId="77777777" w:rsidR="008273B8" w:rsidRDefault="00B93063">
      <w:pPr>
        <w:pStyle w:val="P68B1DB1-Normal3"/>
        <w:jc w:val="both"/>
        <w:rPr>
          <w:rFonts w:cs="Times New Roman"/>
          <w:noProof/>
        </w:rPr>
      </w:pPr>
      <w:r>
        <w:rPr>
          <w:noProof/>
        </w:rPr>
        <w:t>Ulaganje se provodi do 31. prosinca 2023.</w:t>
      </w:r>
    </w:p>
    <w:p w14:paraId="7A538B8A" w14:textId="77777777" w:rsidR="008273B8" w:rsidRDefault="00B93063">
      <w:pPr>
        <w:pStyle w:val="P68B1DB1-Normal5"/>
        <w:jc w:val="both"/>
        <w:rPr>
          <w:rFonts w:cs="Times New Roman"/>
          <w:noProof/>
        </w:rPr>
      </w:pPr>
      <w:r>
        <w:rPr>
          <w:noProof/>
        </w:rPr>
        <w:t>Ulaganje C1-I5: Ulaganja u energiju iz obnovljivih izvora na cestama i javnim prostorima</w:t>
      </w:r>
    </w:p>
    <w:p w14:paraId="7A538B8B" w14:textId="77777777" w:rsidR="008273B8" w:rsidRDefault="00B93063">
      <w:pPr>
        <w:pStyle w:val="P68B1DB1-Normal3"/>
        <w:jc w:val="both"/>
        <w:rPr>
          <w:rFonts w:cs="Times New Roman"/>
          <w:noProof/>
        </w:rPr>
      </w:pPr>
      <w:r>
        <w:rPr>
          <w:noProof/>
        </w:rPr>
        <w:t>Cilj je tog ulaganja proizvodnja zelene energije iz obnovljivih izvora. Mala veličina Malte ograničava mogućnost proizvodnje energije na kopnu. Međutim, s obzirom na važnost solarne energije na otocima, istražene su različite mogućnosti koje nadilaze tradicionalna ulaganja u krovove.</w:t>
      </w:r>
    </w:p>
    <w:p w14:paraId="7A538B8C" w14:textId="1E598E8E" w:rsidR="008273B8" w:rsidRDefault="00B93063">
      <w:pPr>
        <w:pStyle w:val="P68B1DB1-Normal3"/>
        <w:jc w:val="both"/>
        <w:rPr>
          <w:rFonts w:cs="Times New Roman"/>
          <w:noProof/>
        </w:rPr>
      </w:pPr>
      <w:r>
        <w:rPr>
          <w:noProof/>
        </w:rPr>
        <w:t xml:space="preserve">Ulaganje se sastoji od postavljanja fotonaponske infrastrukture na cestama, pješačkim stazama i drugim javnim otvorenim prostorima instaliranog kapaciteta 143 kW. </w:t>
      </w:r>
    </w:p>
    <w:p w14:paraId="7A538B8D" w14:textId="77777777" w:rsidR="008273B8" w:rsidRDefault="00B93063">
      <w:pPr>
        <w:pStyle w:val="P68B1DB1-Normal3"/>
        <w:jc w:val="both"/>
        <w:rPr>
          <w:rFonts w:cs="Times New Roman"/>
          <w:noProof/>
        </w:rPr>
      </w:pPr>
      <w:r>
        <w:rPr>
          <w:noProof/>
        </w:rPr>
        <w:t xml:space="preserve">Očekuje se da se tom mjerom ne nanosi bitna šteta okolišnim ciljevima u smislu članka 17. Uredbe (EU) 2020/852, uzimajući u obzir opis mjere i mjere ublažavanja utvrđene u planu za oporavak i otpornost u skladu s Tehničkim smjernicama o nenanošenju bitne štete (2021/C58/01). Konkretno, tom se mjerom od gospodarskih subjekata koji provode građevinske radove zahtijeva da osiguraju da se najmanje 70 % (masenog udjela) neopasnog građevinskog otpada i otpada od rušenja (osim prirodnog materijala iz kategorije 17 05 04 na Europskom popisu otpada utvrđenom Odlukom 2000/532/EZ od 3. svibnja 2000. koja zamjenjuje Odluku 94/3/EZ o popisu otpada u skladu s člankom 1. točkom (a) Direktive Vijeća 75/442/EEZ o otpadu i Odlukom Vijeća 94/904/EZ o utvrđivanju popisa opasnog otpada u skladu s člankom 1. stavkom 4. Direktive Vijeća 91/689/EEZ o opasnom otpadu (priopćenom pod brojem dokumenta C(2000) 1147)) pripremi za ponovnu uporabu, recikliranje i druga oporaba materijala, uključujući postupke nasipavanja u kojima se otpad upotrebljava kao zamjena za druge materijale, u skladu s hijerarhijom otpada, člankom 11. stavkom 2. točkom (b) Direktive 2008/98/EZ o otpadu i Protokolom EU-a za gospodarenje građevinskim otpadom i otpadom od rušenja. </w:t>
      </w:r>
    </w:p>
    <w:p w14:paraId="7A538B8E" w14:textId="77777777" w:rsidR="008273B8" w:rsidRDefault="00B93063">
      <w:pPr>
        <w:pStyle w:val="P68B1DB1-Normal3"/>
        <w:jc w:val="both"/>
        <w:rPr>
          <w:rFonts w:cs="Times New Roman"/>
          <w:noProof/>
        </w:rPr>
      </w:pPr>
      <w:r>
        <w:rPr>
          <w:noProof/>
        </w:rPr>
        <w:t>Ulaganje se provodi do 30. lipnja 2024.</w:t>
      </w:r>
    </w:p>
    <w:p w14:paraId="7A538B8F" w14:textId="77777777" w:rsidR="008273B8" w:rsidRDefault="008273B8">
      <w:pPr>
        <w:jc w:val="both"/>
        <w:rPr>
          <w:rFonts w:ascii="Times New Roman" w:hAnsi="Times New Roman" w:cs="Times New Roman"/>
          <w:noProof/>
          <w:sz w:val="24"/>
        </w:rPr>
        <w:sectPr w:rsidR="008273B8" w:rsidSect="00A14ED6">
          <w:headerReference w:type="even" r:id="rId18"/>
          <w:headerReference w:type="default" r:id="rId19"/>
          <w:footerReference w:type="even" r:id="rId20"/>
          <w:footerReference w:type="default" r:id="rId21"/>
          <w:headerReference w:type="first" r:id="rId22"/>
          <w:footerReference w:type="first" r:id="rId23"/>
          <w:pgSz w:w="11907" w:h="16839"/>
          <w:pgMar w:top="1134" w:right="1134" w:bottom="1134" w:left="1134" w:header="567" w:footer="567" w:gutter="0"/>
          <w:cols w:space="720"/>
          <w:docGrid w:linePitch="360"/>
        </w:sectPr>
      </w:pPr>
    </w:p>
    <w:p w14:paraId="7A538B90" w14:textId="77777777" w:rsidR="008273B8" w:rsidRDefault="00B93063">
      <w:pPr>
        <w:pStyle w:val="P68B1DB1-ManualHeading34"/>
        <w:spacing w:before="240" w:after="240"/>
        <w:rPr>
          <w:noProof/>
          <w:u w:val="single"/>
        </w:rPr>
      </w:pPr>
      <w:r>
        <w:rPr>
          <w:noProof/>
        </w:rPr>
        <w:t xml:space="preserve">A.2. </w:t>
      </w:r>
      <w:r>
        <w:rPr>
          <w:noProof/>
        </w:rPr>
        <w:tab/>
      </w:r>
      <w:r>
        <w:rPr>
          <w:noProof/>
          <w:u w:val="single"/>
        </w:rPr>
        <w:t>Ključne etape, ciljne vrijednosti, pokazatelji i rokovi za praćenje i provedbu bespovratne financijske potpore</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7"/>
        <w:gridCol w:w="1085"/>
        <w:gridCol w:w="1014"/>
        <w:gridCol w:w="1401"/>
        <w:gridCol w:w="1869"/>
        <w:gridCol w:w="943"/>
        <w:gridCol w:w="943"/>
        <w:gridCol w:w="849"/>
        <w:gridCol w:w="850"/>
        <w:gridCol w:w="658"/>
        <w:gridCol w:w="4734"/>
      </w:tblGrid>
      <w:tr w:rsidR="008273B8" w14:paraId="7A538B99" w14:textId="77777777">
        <w:trPr>
          <w:cantSplit/>
          <w:trHeight w:val="630"/>
          <w:tblHeader/>
          <w:jc w:val="center"/>
        </w:trPr>
        <w:tc>
          <w:tcPr>
            <w:tcW w:w="1247" w:type="dxa"/>
            <w:vMerge w:val="restart"/>
            <w:shd w:val="clear" w:color="auto" w:fill="BDD7EE"/>
            <w:vAlign w:val="center"/>
            <w:hideMark/>
          </w:tcPr>
          <w:p w14:paraId="7A538B91" w14:textId="77777777" w:rsidR="008273B8" w:rsidRDefault="00B93063">
            <w:pPr>
              <w:pStyle w:val="P68B1DB1-Normal6"/>
              <w:spacing w:after="0" w:line="240" w:lineRule="auto"/>
              <w:jc w:val="center"/>
              <w:rPr>
                <w:rFonts w:eastAsia="Times New Roman" w:cs="Times New Roman"/>
                <w:noProof/>
              </w:rPr>
            </w:pPr>
            <w:r>
              <w:rPr>
                <w:noProof/>
              </w:rPr>
              <w:t>Redni broj</w:t>
            </w:r>
          </w:p>
        </w:tc>
        <w:tc>
          <w:tcPr>
            <w:tcW w:w="1085" w:type="dxa"/>
            <w:vMerge w:val="restart"/>
            <w:shd w:val="clear" w:color="auto" w:fill="BDD7EE"/>
            <w:vAlign w:val="center"/>
            <w:hideMark/>
          </w:tcPr>
          <w:p w14:paraId="7A538B92" w14:textId="77777777" w:rsidR="008273B8" w:rsidRDefault="00B93063">
            <w:pPr>
              <w:pStyle w:val="P68B1DB1-Normal6"/>
              <w:spacing w:after="0" w:line="240" w:lineRule="auto"/>
              <w:jc w:val="center"/>
              <w:rPr>
                <w:rFonts w:eastAsia="Times New Roman" w:cs="Times New Roman"/>
                <w:noProof/>
              </w:rPr>
            </w:pPr>
            <w:r>
              <w:rPr>
                <w:noProof/>
              </w:rPr>
              <w:t>Povezana mjera (reforma ili ulaganje)</w:t>
            </w:r>
          </w:p>
        </w:tc>
        <w:tc>
          <w:tcPr>
            <w:tcW w:w="1014" w:type="dxa"/>
            <w:vMerge w:val="restart"/>
            <w:shd w:val="clear" w:color="auto" w:fill="BDD7EE"/>
            <w:vAlign w:val="center"/>
            <w:hideMark/>
          </w:tcPr>
          <w:p w14:paraId="7A538B93" w14:textId="77777777" w:rsidR="008273B8" w:rsidRDefault="00B93063">
            <w:pPr>
              <w:pStyle w:val="P68B1DB1-Normal6"/>
              <w:spacing w:after="0" w:line="240" w:lineRule="auto"/>
              <w:jc w:val="center"/>
              <w:rPr>
                <w:rFonts w:eastAsia="Times New Roman" w:cs="Times New Roman"/>
                <w:noProof/>
              </w:rPr>
            </w:pPr>
            <w:r>
              <w:rPr>
                <w:noProof/>
              </w:rPr>
              <w:t>Ključna etapa/cilj</w:t>
            </w:r>
          </w:p>
        </w:tc>
        <w:tc>
          <w:tcPr>
            <w:tcW w:w="1401" w:type="dxa"/>
            <w:vMerge w:val="restart"/>
            <w:shd w:val="clear" w:color="auto" w:fill="BDD7EE"/>
            <w:vAlign w:val="center"/>
            <w:hideMark/>
          </w:tcPr>
          <w:p w14:paraId="7A538B94" w14:textId="77777777" w:rsidR="008273B8" w:rsidRDefault="00B93063">
            <w:pPr>
              <w:pStyle w:val="P68B1DB1-Normal6"/>
              <w:spacing w:after="0" w:line="240" w:lineRule="auto"/>
              <w:jc w:val="center"/>
              <w:rPr>
                <w:rFonts w:eastAsia="Times New Roman" w:cs="Times New Roman"/>
                <w:noProof/>
              </w:rPr>
            </w:pPr>
            <w:r>
              <w:rPr>
                <w:noProof/>
              </w:rPr>
              <w:t>Ime</w:t>
            </w:r>
          </w:p>
        </w:tc>
        <w:tc>
          <w:tcPr>
            <w:tcW w:w="1869" w:type="dxa"/>
            <w:vMerge w:val="restart"/>
            <w:shd w:val="clear" w:color="auto" w:fill="BDD7EE"/>
            <w:vAlign w:val="center"/>
            <w:hideMark/>
          </w:tcPr>
          <w:p w14:paraId="7A538B95" w14:textId="77777777" w:rsidR="008273B8" w:rsidRDefault="00B93063">
            <w:pPr>
              <w:spacing w:after="0" w:line="240" w:lineRule="auto"/>
              <w:jc w:val="center"/>
              <w:rPr>
                <w:rFonts w:ascii="Times New Roman" w:eastAsia="Times New Roman" w:hAnsi="Times New Roman" w:cs="Times New Roman"/>
                <w:b/>
                <w:noProof/>
                <w:sz w:val="18"/>
              </w:rPr>
            </w:pPr>
            <w:r>
              <w:rPr>
                <w:rFonts w:ascii="Times New Roman" w:hAnsi="Times New Roman"/>
                <w:b/>
                <w:noProof/>
                <w:sz w:val="18"/>
              </w:rPr>
              <w:t>Kvalitativni pokazatelji</w:t>
            </w:r>
            <w:r>
              <w:rPr>
                <w:noProof/>
              </w:rPr>
              <w:br/>
            </w:r>
            <w:r>
              <w:rPr>
                <w:rFonts w:ascii="Times New Roman" w:hAnsi="Times New Roman"/>
                <w:b/>
                <w:noProof/>
                <w:sz w:val="18"/>
              </w:rPr>
              <w:t>(za ključne etape)</w:t>
            </w:r>
          </w:p>
        </w:tc>
        <w:tc>
          <w:tcPr>
            <w:tcW w:w="2735" w:type="dxa"/>
            <w:gridSpan w:val="3"/>
            <w:shd w:val="clear" w:color="auto" w:fill="BDD7EE"/>
            <w:vAlign w:val="center"/>
            <w:hideMark/>
          </w:tcPr>
          <w:p w14:paraId="7A538B96" w14:textId="77777777" w:rsidR="008273B8" w:rsidRDefault="00B93063">
            <w:pPr>
              <w:spacing w:after="0" w:line="240" w:lineRule="auto"/>
              <w:jc w:val="center"/>
              <w:rPr>
                <w:rFonts w:ascii="Times New Roman" w:eastAsia="Times New Roman" w:hAnsi="Times New Roman" w:cs="Times New Roman"/>
                <w:b/>
                <w:noProof/>
                <w:sz w:val="18"/>
              </w:rPr>
            </w:pPr>
            <w:r>
              <w:rPr>
                <w:rFonts w:ascii="Times New Roman" w:hAnsi="Times New Roman"/>
                <w:b/>
                <w:noProof/>
                <w:sz w:val="18"/>
              </w:rPr>
              <w:t>Kvantitativni pokazatelji</w:t>
            </w:r>
            <w:r>
              <w:rPr>
                <w:noProof/>
              </w:rPr>
              <w:br/>
            </w:r>
            <w:r>
              <w:rPr>
                <w:rFonts w:ascii="Times New Roman" w:hAnsi="Times New Roman"/>
                <w:b/>
                <w:noProof/>
                <w:sz w:val="18"/>
              </w:rPr>
              <w:t>(za ciljne vrijednosti)</w:t>
            </w:r>
          </w:p>
        </w:tc>
        <w:tc>
          <w:tcPr>
            <w:tcW w:w="1508" w:type="dxa"/>
            <w:gridSpan w:val="2"/>
            <w:shd w:val="clear" w:color="auto" w:fill="BDD7EE"/>
            <w:vAlign w:val="center"/>
            <w:hideMark/>
          </w:tcPr>
          <w:p w14:paraId="7A538B97" w14:textId="6CBEA823" w:rsidR="008273B8" w:rsidRDefault="00B93063">
            <w:pPr>
              <w:spacing w:after="0" w:line="240" w:lineRule="auto"/>
              <w:jc w:val="center"/>
              <w:rPr>
                <w:rFonts w:ascii="Times New Roman" w:eastAsia="Times New Roman" w:hAnsi="Times New Roman" w:cs="Times New Roman"/>
                <w:b/>
                <w:noProof/>
                <w:sz w:val="18"/>
              </w:rPr>
            </w:pPr>
            <w:r>
              <w:rPr>
                <w:rFonts w:ascii="Times New Roman" w:hAnsi="Times New Roman"/>
                <w:b/>
                <w:noProof/>
                <w:sz w:val="18"/>
              </w:rPr>
              <w:t>Vremenski okvir za dovršetak</w:t>
            </w:r>
            <w:r>
              <w:rPr>
                <w:noProof/>
              </w:rPr>
              <w:br/>
            </w:r>
          </w:p>
        </w:tc>
        <w:tc>
          <w:tcPr>
            <w:tcW w:w="4734" w:type="dxa"/>
            <w:vMerge w:val="restart"/>
            <w:shd w:val="clear" w:color="auto" w:fill="BDD7EE"/>
            <w:vAlign w:val="center"/>
            <w:hideMark/>
          </w:tcPr>
          <w:p w14:paraId="7A538B98" w14:textId="69453CA6" w:rsidR="008273B8" w:rsidRDefault="00B93063">
            <w:pPr>
              <w:pStyle w:val="P68B1DB1-Normal6"/>
              <w:spacing w:after="0" w:line="240" w:lineRule="auto"/>
              <w:jc w:val="center"/>
              <w:rPr>
                <w:rFonts w:eastAsia="Times New Roman" w:cs="Times New Roman"/>
                <w:noProof/>
              </w:rPr>
            </w:pPr>
            <w:r>
              <w:rPr>
                <w:noProof/>
              </w:rPr>
              <w:t>Opis svake ključne etape i ciljne vrijednosti</w:t>
            </w:r>
          </w:p>
        </w:tc>
      </w:tr>
      <w:tr w:rsidR="008273B8" w14:paraId="7A538BA5" w14:textId="77777777">
        <w:trPr>
          <w:cantSplit/>
          <w:trHeight w:val="258"/>
          <w:tblHeader/>
          <w:jc w:val="center"/>
        </w:trPr>
        <w:tc>
          <w:tcPr>
            <w:tcW w:w="1247" w:type="dxa"/>
            <w:vMerge/>
            <w:vAlign w:val="center"/>
            <w:hideMark/>
          </w:tcPr>
          <w:p w14:paraId="7A538B9A" w14:textId="77777777" w:rsidR="008273B8" w:rsidRDefault="008273B8">
            <w:pPr>
              <w:spacing w:after="0" w:line="240" w:lineRule="auto"/>
              <w:rPr>
                <w:rFonts w:ascii="Times New Roman" w:eastAsia="Times New Roman" w:hAnsi="Times New Roman" w:cs="Times New Roman"/>
                <w:b/>
                <w:noProof/>
                <w:sz w:val="18"/>
              </w:rPr>
            </w:pPr>
          </w:p>
        </w:tc>
        <w:tc>
          <w:tcPr>
            <w:tcW w:w="1085" w:type="dxa"/>
            <w:vMerge/>
            <w:vAlign w:val="center"/>
            <w:hideMark/>
          </w:tcPr>
          <w:p w14:paraId="7A538B9B" w14:textId="77777777" w:rsidR="008273B8" w:rsidRDefault="008273B8">
            <w:pPr>
              <w:spacing w:after="0" w:line="240" w:lineRule="auto"/>
              <w:rPr>
                <w:rFonts w:ascii="Times New Roman" w:eastAsia="Times New Roman" w:hAnsi="Times New Roman" w:cs="Times New Roman"/>
                <w:b/>
                <w:noProof/>
                <w:sz w:val="18"/>
              </w:rPr>
            </w:pPr>
          </w:p>
        </w:tc>
        <w:tc>
          <w:tcPr>
            <w:tcW w:w="1014" w:type="dxa"/>
            <w:vMerge/>
            <w:vAlign w:val="center"/>
            <w:hideMark/>
          </w:tcPr>
          <w:p w14:paraId="7A538B9C" w14:textId="77777777" w:rsidR="008273B8" w:rsidRDefault="008273B8">
            <w:pPr>
              <w:spacing w:after="0" w:line="240" w:lineRule="auto"/>
              <w:rPr>
                <w:rFonts w:ascii="Times New Roman" w:eastAsia="Times New Roman" w:hAnsi="Times New Roman" w:cs="Times New Roman"/>
                <w:b/>
                <w:noProof/>
                <w:sz w:val="18"/>
              </w:rPr>
            </w:pPr>
          </w:p>
        </w:tc>
        <w:tc>
          <w:tcPr>
            <w:tcW w:w="1401" w:type="dxa"/>
            <w:vMerge/>
            <w:vAlign w:val="center"/>
            <w:hideMark/>
          </w:tcPr>
          <w:p w14:paraId="7A538B9D" w14:textId="77777777" w:rsidR="008273B8" w:rsidRDefault="008273B8">
            <w:pPr>
              <w:spacing w:after="0" w:line="240" w:lineRule="auto"/>
              <w:rPr>
                <w:rFonts w:ascii="Times New Roman" w:eastAsia="Times New Roman" w:hAnsi="Times New Roman" w:cs="Times New Roman"/>
                <w:b/>
                <w:noProof/>
                <w:sz w:val="18"/>
              </w:rPr>
            </w:pPr>
          </w:p>
        </w:tc>
        <w:tc>
          <w:tcPr>
            <w:tcW w:w="1869" w:type="dxa"/>
            <w:vMerge/>
            <w:vAlign w:val="center"/>
            <w:hideMark/>
          </w:tcPr>
          <w:p w14:paraId="7A538B9E" w14:textId="77777777" w:rsidR="008273B8" w:rsidRDefault="008273B8">
            <w:pPr>
              <w:spacing w:after="0" w:line="240" w:lineRule="auto"/>
              <w:rPr>
                <w:rFonts w:ascii="Times New Roman" w:eastAsia="Times New Roman" w:hAnsi="Times New Roman" w:cs="Times New Roman"/>
                <w:b/>
                <w:noProof/>
                <w:sz w:val="18"/>
              </w:rPr>
            </w:pPr>
          </w:p>
        </w:tc>
        <w:tc>
          <w:tcPr>
            <w:tcW w:w="943" w:type="dxa"/>
            <w:shd w:val="clear" w:color="auto" w:fill="BDD7EE"/>
            <w:vAlign w:val="center"/>
            <w:hideMark/>
          </w:tcPr>
          <w:p w14:paraId="7A538B9F" w14:textId="77777777" w:rsidR="008273B8" w:rsidRDefault="00B93063">
            <w:pPr>
              <w:pStyle w:val="P68B1DB1-Normal6"/>
              <w:spacing w:after="0" w:line="240" w:lineRule="auto"/>
              <w:jc w:val="center"/>
              <w:rPr>
                <w:rFonts w:eastAsia="Times New Roman" w:cs="Times New Roman"/>
                <w:noProof/>
              </w:rPr>
            </w:pPr>
            <w:r>
              <w:rPr>
                <w:noProof/>
              </w:rPr>
              <w:t>Jedinica mjere</w:t>
            </w:r>
          </w:p>
        </w:tc>
        <w:tc>
          <w:tcPr>
            <w:tcW w:w="943" w:type="dxa"/>
            <w:shd w:val="clear" w:color="auto" w:fill="BDD7EE"/>
            <w:vAlign w:val="center"/>
            <w:hideMark/>
          </w:tcPr>
          <w:p w14:paraId="7A538BA0" w14:textId="77777777" w:rsidR="008273B8" w:rsidRDefault="00B93063">
            <w:pPr>
              <w:pStyle w:val="P68B1DB1-Normal6"/>
              <w:spacing w:after="0" w:line="240" w:lineRule="auto"/>
              <w:jc w:val="center"/>
              <w:rPr>
                <w:rFonts w:eastAsia="Times New Roman" w:cs="Times New Roman"/>
                <w:noProof/>
              </w:rPr>
            </w:pPr>
            <w:r>
              <w:rPr>
                <w:noProof/>
              </w:rPr>
              <w:t>Polazna vrijednost</w:t>
            </w:r>
          </w:p>
        </w:tc>
        <w:tc>
          <w:tcPr>
            <w:tcW w:w="849" w:type="dxa"/>
            <w:shd w:val="clear" w:color="auto" w:fill="BDD7EE"/>
            <w:vAlign w:val="center"/>
            <w:hideMark/>
          </w:tcPr>
          <w:p w14:paraId="7A538BA1" w14:textId="77777777" w:rsidR="008273B8" w:rsidRDefault="00B93063">
            <w:pPr>
              <w:pStyle w:val="P68B1DB1-Normal6"/>
              <w:spacing w:after="0" w:line="240" w:lineRule="auto"/>
              <w:jc w:val="center"/>
              <w:rPr>
                <w:rFonts w:eastAsia="Times New Roman" w:cs="Times New Roman"/>
                <w:noProof/>
              </w:rPr>
            </w:pPr>
            <w:r>
              <w:rPr>
                <w:noProof/>
              </w:rPr>
              <w:t>Cilj</w:t>
            </w:r>
          </w:p>
        </w:tc>
        <w:tc>
          <w:tcPr>
            <w:tcW w:w="850" w:type="dxa"/>
            <w:shd w:val="clear" w:color="auto" w:fill="BDD7EE"/>
            <w:vAlign w:val="center"/>
            <w:hideMark/>
          </w:tcPr>
          <w:p w14:paraId="7A538BA2" w14:textId="77777777" w:rsidR="008273B8" w:rsidRDefault="00B93063">
            <w:pPr>
              <w:pStyle w:val="P68B1DB1-Normal6"/>
              <w:spacing w:after="0" w:line="240" w:lineRule="auto"/>
              <w:jc w:val="center"/>
              <w:rPr>
                <w:rFonts w:eastAsia="Times New Roman" w:cs="Times New Roman"/>
                <w:noProof/>
              </w:rPr>
            </w:pPr>
            <w:r>
              <w:rPr>
                <w:noProof/>
              </w:rPr>
              <w:t>Tromjesečja</w:t>
            </w:r>
          </w:p>
        </w:tc>
        <w:tc>
          <w:tcPr>
            <w:tcW w:w="658" w:type="dxa"/>
            <w:shd w:val="clear" w:color="auto" w:fill="BDD7EE"/>
            <w:vAlign w:val="center"/>
            <w:hideMark/>
          </w:tcPr>
          <w:p w14:paraId="7A538BA3" w14:textId="77777777" w:rsidR="008273B8" w:rsidRDefault="00B93063">
            <w:pPr>
              <w:pStyle w:val="P68B1DB1-Normal6"/>
              <w:spacing w:after="0" w:line="240" w:lineRule="auto"/>
              <w:jc w:val="center"/>
              <w:rPr>
                <w:rFonts w:eastAsia="Times New Roman" w:cs="Times New Roman"/>
                <w:noProof/>
              </w:rPr>
            </w:pPr>
            <w:r>
              <w:rPr>
                <w:noProof/>
              </w:rPr>
              <w:t>Godina</w:t>
            </w:r>
          </w:p>
        </w:tc>
        <w:tc>
          <w:tcPr>
            <w:tcW w:w="4734" w:type="dxa"/>
            <w:vMerge/>
            <w:vAlign w:val="center"/>
            <w:hideMark/>
          </w:tcPr>
          <w:p w14:paraId="7A538BA4" w14:textId="77777777" w:rsidR="008273B8" w:rsidRDefault="008273B8">
            <w:pPr>
              <w:spacing w:after="0" w:line="240" w:lineRule="auto"/>
              <w:rPr>
                <w:rFonts w:ascii="Times New Roman" w:eastAsia="Times New Roman" w:hAnsi="Times New Roman" w:cs="Times New Roman"/>
                <w:b/>
                <w:noProof/>
                <w:sz w:val="18"/>
              </w:rPr>
            </w:pPr>
          </w:p>
        </w:tc>
      </w:tr>
      <w:tr w:rsidR="008273B8" w14:paraId="7A538BB1" w14:textId="77777777">
        <w:trPr>
          <w:cantSplit/>
          <w:jc w:val="center"/>
        </w:trPr>
        <w:tc>
          <w:tcPr>
            <w:tcW w:w="1247" w:type="dxa"/>
            <w:shd w:val="clear" w:color="auto" w:fill="C6EFCE"/>
            <w:vAlign w:val="center"/>
            <w:hideMark/>
          </w:tcPr>
          <w:p w14:paraId="7A538BA6" w14:textId="77777777" w:rsidR="008273B8" w:rsidRDefault="00B93063">
            <w:pPr>
              <w:pStyle w:val="P68B1DB1-Normal7"/>
              <w:spacing w:after="0" w:line="240" w:lineRule="auto"/>
              <w:rPr>
                <w:rFonts w:eastAsia="Times New Roman" w:cs="Calibri"/>
                <w:noProof/>
              </w:rPr>
            </w:pPr>
            <w:r>
              <w:rPr>
                <w:noProof/>
              </w:rPr>
              <w:t>1.1</w:t>
            </w:r>
          </w:p>
        </w:tc>
        <w:tc>
          <w:tcPr>
            <w:tcW w:w="1085" w:type="dxa"/>
            <w:shd w:val="clear" w:color="auto" w:fill="C6EFCE"/>
            <w:vAlign w:val="center"/>
            <w:hideMark/>
          </w:tcPr>
          <w:p w14:paraId="7A538BA7" w14:textId="77777777" w:rsidR="008273B8" w:rsidRDefault="00B93063">
            <w:pPr>
              <w:pStyle w:val="P68B1DB1-Normal7"/>
              <w:spacing w:after="0" w:line="240" w:lineRule="auto"/>
              <w:rPr>
                <w:rFonts w:eastAsia="Times New Roman" w:cs="Calibri"/>
                <w:noProof/>
              </w:rPr>
            </w:pPr>
            <w:r>
              <w:rPr>
                <w:noProof/>
              </w:rPr>
              <w:t xml:space="preserve">C1.R.1 </w:t>
            </w:r>
          </w:p>
        </w:tc>
        <w:tc>
          <w:tcPr>
            <w:tcW w:w="1014" w:type="dxa"/>
            <w:shd w:val="clear" w:color="auto" w:fill="C6EFCE"/>
            <w:vAlign w:val="center"/>
            <w:hideMark/>
          </w:tcPr>
          <w:p w14:paraId="7A538BA8" w14:textId="77777777" w:rsidR="008273B8" w:rsidRDefault="00B93063">
            <w:pPr>
              <w:pStyle w:val="P68B1DB1-Normal7"/>
              <w:spacing w:after="0" w:line="240" w:lineRule="auto"/>
              <w:rPr>
                <w:rFonts w:eastAsia="Times New Roman" w:cs="Calibri"/>
                <w:noProof/>
              </w:rPr>
            </w:pPr>
            <w:r>
              <w:rPr>
                <w:noProof/>
              </w:rPr>
              <w:t>Ključna etapa</w:t>
            </w:r>
          </w:p>
        </w:tc>
        <w:tc>
          <w:tcPr>
            <w:tcW w:w="1401" w:type="dxa"/>
            <w:shd w:val="clear" w:color="auto" w:fill="C6EFCE"/>
            <w:vAlign w:val="center"/>
            <w:hideMark/>
          </w:tcPr>
          <w:p w14:paraId="7A538BA9" w14:textId="77777777" w:rsidR="008273B8" w:rsidRDefault="00B93063">
            <w:pPr>
              <w:pStyle w:val="P68B1DB1-Normal7"/>
              <w:spacing w:after="0" w:line="240" w:lineRule="auto"/>
              <w:rPr>
                <w:rFonts w:eastAsia="Times New Roman" w:cs="Calibri"/>
                <w:noProof/>
              </w:rPr>
            </w:pPr>
            <w:r>
              <w:rPr>
                <w:noProof/>
              </w:rPr>
              <w:t xml:space="preserve">Stupanje na snagu Zakona o nadležnom tijelu za gradnju i gradnju </w:t>
            </w:r>
          </w:p>
        </w:tc>
        <w:tc>
          <w:tcPr>
            <w:tcW w:w="1869" w:type="dxa"/>
            <w:shd w:val="clear" w:color="auto" w:fill="C6EFCE"/>
            <w:vAlign w:val="center"/>
            <w:hideMark/>
          </w:tcPr>
          <w:p w14:paraId="7A538BAA" w14:textId="77777777" w:rsidR="008273B8" w:rsidRDefault="00B93063">
            <w:pPr>
              <w:pStyle w:val="P68B1DB1-Normal7"/>
              <w:spacing w:after="0" w:line="240" w:lineRule="auto"/>
              <w:rPr>
                <w:rFonts w:eastAsia="Times New Roman" w:cs="Calibri"/>
                <w:noProof/>
              </w:rPr>
            </w:pPr>
            <w:r>
              <w:rPr>
                <w:noProof/>
              </w:rPr>
              <w:t>Odredba Zakona o stupanju na snagu Zakona o nadležnom tijelu za gradnju i gradnju br. XIV iz 2021.</w:t>
            </w:r>
          </w:p>
        </w:tc>
        <w:tc>
          <w:tcPr>
            <w:tcW w:w="943" w:type="dxa"/>
            <w:shd w:val="clear" w:color="auto" w:fill="C6EFCE"/>
            <w:vAlign w:val="center"/>
            <w:hideMark/>
          </w:tcPr>
          <w:p w14:paraId="7A538BAB" w14:textId="77777777" w:rsidR="008273B8" w:rsidRDefault="008273B8">
            <w:pPr>
              <w:spacing w:after="0" w:line="240" w:lineRule="auto"/>
              <w:jc w:val="center"/>
              <w:rPr>
                <w:rFonts w:ascii="Calibri" w:eastAsia="Times New Roman" w:hAnsi="Calibri" w:cs="Calibri"/>
                <w:noProof/>
                <w:sz w:val="18"/>
              </w:rPr>
            </w:pPr>
          </w:p>
        </w:tc>
        <w:tc>
          <w:tcPr>
            <w:tcW w:w="943" w:type="dxa"/>
            <w:shd w:val="clear" w:color="auto" w:fill="C6EFCE"/>
            <w:vAlign w:val="center"/>
            <w:hideMark/>
          </w:tcPr>
          <w:p w14:paraId="7A538BAC" w14:textId="77777777" w:rsidR="008273B8" w:rsidRDefault="008273B8">
            <w:pPr>
              <w:spacing w:after="0" w:line="240" w:lineRule="auto"/>
              <w:jc w:val="center"/>
              <w:rPr>
                <w:rFonts w:ascii="Calibri" w:eastAsia="Times New Roman" w:hAnsi="Calibri" w:cs="Calibri"/>
                <w:noProof/>
                <w:sz w:val="18"/>
              </w:rPr>
            </w:pPr>
          </w:p>
        </w:tc>
        <w:tc>
          <w:tcPr>
            <w:tcW w:w="849" w:type="dxa"/>
            <w:shd w:val="clear" w:color="auto" w:fill="C6EFCE"/>
            <w:vAlign w:val="center"/>
            <w:hideMark/>
          </w:tcPr>
          <w:p w14:paraId="7A538BAD" w14:textId="77777777" w:rsidR="008273B8" w:rsidRDefault="008273B8">
            <w:pPr>
              <w:spacing w:after="0" w:line="240" w:lineRule="auto"/>
              <w:jc w:val="center"/>
              <w:rPr>
                <w:rFonts w:ascii="Calibri" w:eastAsia="Times New Roman" w:hAnsi="Calibri" w:cs="Calibri"/>
                <w:noProof/>
                <w:sz w:val="18"/>
              </w:rPr>
            </w:pPr>
          </w:p>
        </w:tc>
        <w:tc>
          <w:tcPr>
            <w:tcW w:w="850" w:type="dxa"/>
            <w:shd w:val="clear" w:color="auto" w:fill="C6EFCE"/>
            <w:vAlign w:val="center"/>
            <w:hideMark/>
          </w:tcPr>
          <w:p w14:paraId="7A538BAE" w14:textId="77777777" w:rsidR="008273B8" w:rsidRDefault="00B93063">
            <w:pPr>
              <w:pStyle w:val="P68B1DB1-Normal7"/>
              <w:spacing w:after="0" w:line="240" w:lineRule="auto"/>
              <w:jc w:val="center"/>
              <w:rPr>
                <w:rFonts w:eastAsia="Times New Roman" w:cs="Calibri"/>
                <w:noProof/>
              </w:rPr>
            </w:pPr>
            <w:r>
              <w:rPr>
                <w:noProof/>
              </w:rPr>
              <w:t>Q2</w:t>
            </w:r>
          </w:p>
        </w:tc>
        <w:tc>
          <w:tcPr>
            <w:tcW w:w="658" w:type="dxa"/>
            <w:shd w:val="clear" w:color="auto" w:fill="C6EFCE"/>
            <w:vAlign w:val="center"/>
            <w:hideMark/>
          </w:tcPr>
          <w:p w14:paraId="7A538BAF" w14:textId="77777777" w:rsidR="008273B8" w:rsidRDefault="00B93063">
            <w:pPr>
              <w:pStyle w:val="P68B1DB1-Normal7"/>
              <w:spacing w:after="0" w:line="240" w:lineRule="auto"/>
              <w:jc w:val="center"/>
              <w:rPr>
                <w:rFonts w:eastAsia="Times New Roman" w:cs="Calibri"/>
                <w:noProof/>
              </w:rPr>
            </w:pPr>
            <w:r>
              <w:rPr>
                <w:noProof/>
              </w:rPr>
              <w:t>2021</w:t>
            </w:r>
          </w:p>
        </w:tc>
        <w:tc>
          <w:tcPr>
            <w:tcW w:w="4734" w:type="dxa"/>
            <w:shd w:val="clear" w:color="auto" w:fill="C6EFCE"/>
            <w:vAlign w:val="center"/>
            <w:hideMark/>
          </w:tcPr>
          <w:p w14:paraId="7A538BB0" w14:textId="77777777" w:rsidR="008273B8" w:rsidRDefault="00B93063">
            <w:pPr>
              <w:pStyle w:val="P68B1DB1-Normal7"/>
              <w:spacing w:after="0" w:line="240" w:lineRule="auto"/>
              <w:rPr>
                <w:rFonts w:eastAsia="Times New Roman" w:cs="Calibri"/>
                <w:noProof/>
              </w:rPr>
            </w:pPr>
            <w:r>
              <w:rPr>
                <w:noProof/>
              </w:rPr>
              <w:t>Stupanje na snagu Zakona o tijelima za gradnju i gradnju s ciljem uspostave regulatornog tijela za zgrade. Nadležno tijelo odgovorno je za reguliranje, poboljšanje i održivo upravljanje građevinskom i građevinskom industrijom na Malti.</w:t>
            </w:r>
          </w:p>
        </w:tc>
      </w:tr>
      <w:tr w:rsidR="008273B8" w14:paraId="7A538BBD" w14:textId="77777777">
        <w:trPr>
          <w:cantSplit/>
          <w:jc w:val="center"/>
        </w:trPr>
        <w:tc>
          <w:tcPr>
            <w:tcW w:w="1247" w:type="dxa"/>
            <w:shd w:val="clear" w:color="auto" w:fill="C6EFCE"/>
            <w:vAlign w:val="center"/>
            <w:hideMark/>
          </w:tcPr>
          <w:p w14:paraId="7A538BB2" w14:textId="77777777" w:rsidR="008273B8" w:rsidRDefault="00B93063">
            <w:pPr>
              <w:pStyle w:val="P68B1DB1-Normal7"/>
              <w:spacing w:after="0" w:line="240" w:lineRule="auto"/>
              <w:rPr>
                <w:rFonts w:eastAsia="Times New Roman" w:cs="Calibri"/>
                <w:noProof/>
              </w:rPr>
            </w:pPr>
            <w:r>
              <w:rPr>
                <w:noProof/>
              </w:rPr>
              <w:t>1.2</w:t>
            </w:r>
          </w:p>
        </w:tc>
        <w:tc>
          <w:tcPr>
            <w:tcW w:w="1085" w:type="dxa"/>
            <w:shd w:val="clear" w:color="auto" w:fill="C6EFCE"/>
            <w:vAlign w:val="center"/>
            <w:hideMark/>
          </w:tcPr>
          <w:p w14:paraId="7A538BB3" w14:textId="77777777" w:rsidR="008273B8" w:rsidRDefault="00B93063">
            <w:pPr>
              <w:pStyle w:val="P68B1DB1-Normal7"/>
              <w:spacing w:after="0" w:line="240" w:lineRule="auto"/>
              <w:rPr>
                <w:rFonts w:eastAsia="Times New Roman" w:cs="Calibri"/>
                <w:noProof/>
              </w:rPr>
            </w:pPr>
            <w:r>
              <w:rPr>
                <w:noProof/>
              </w:rPr>
              <w:t xml:space="preserve">C1.R.1 </w:t>
            </w:r>
          </w:p>
        </w:tc>
        <w:tc>
          <w:tcPr>
            <w:tcW w:w="1014" w:type="dxa"/>
            <w:shd w:val="clear" w:color="auto" w:fill="C6EFCE"/>
            <w:vAlign w:val="center"/>
            <w:hideMark/>
          </w:tcPr>
          <w:p w14:paraId="7A538BB4" w14:textId="77777777" w:rsidR="008273B8" w:rsidRDefault="00B93063">
            <w:pPr>
              <w:pStyle w:val="P68B1DB1-Normal7"/>
              <w:spacing w:after="0" w:line="240" w:lineRule="auto"/>
              <w:rPr>
                <w:rFonts w:eastAsia="Times New Roman" w:cs="Calibri"/>
                <w:noProof/>
              </w:rPr>
            </w:pPr>
            <w:r>
              <w:rPr>
                <w:noProof/>
              </w:rPr>
              <w:t>Ključna etapa</w:t>
            </w:r>
          </w:p>
        </w:tc>
        <w:tc>
          <w:tcPr>
            <w:tcW w:w="1401" w:type="dxa"/>
            <w:shd w:val="clear" w:color="auto" w:fill="C6EFCE"/>
            <w:vAlign w:val="center"/>
            <w:hideMark/>
          </w:tcPr>
          <w:p w14:paraId="7A538BB5" w14:textId="77777777" w:rsidR="008273B8" w:rsidRDefault="00B93063">
            <w:pPr>
              <w:pStyle w:val="P68B1DB1-Normal7"/>
              <w:spacing w:after="0" w:line="240" w:lineRule="auto"/>
              <w:rPr>
                <w:rFonts w:eastAsia="Times New Roman" w:cs="Calibri"/>
                <w:noProof/>
              </w:rPr>
            </w:pPr>
            <w:r>
              <w:rPr>
                <w:noProof/>
              </w:rPr>
              <w:t>Tijelo nadležno za gradnju i gradnju – potpuno operativno</w:t>
            </w:r>
          </w:p>
        </w:tc>
        <w:tc>
          <w:tcPr>
            <w:tcW w:w="1869" w:type="dxa"/>
            <w:shd w:val="clear" w:color="auto" w:fill="C6EFCE"/>
            <w:vAlign w:val="center"/>
            <w:hideMark/>
          </w:tcPr>
          <w:p w14:paraId="7A538BB6" w14:textId="77777777" w:rsidR="008273B8" w:rsidRDefault="00B93063">
            <w:pPr>
              <w:pStyle w:val="P68B1DB1-Normal7"/>
              <w:spacing w:after="0" w:line="240" w:lineRule="auto"/>
              <w:rPr>
                <w:rFonts w:eastAsia="Times New Roman" w:cs="Calibri"/>
                <w:noProof/>
              </w:rPr>
            </w:pPr>
            <w:r>
              <w:rPr>
                <w:noProof/>
              </w:rPr>
              <w:t>Tijelo nadležno za gradnju i gradnju u potpunosti je operativno u skladu s ACT-om br. XIV iz 2021.</w:t>
            </w:r>
          </w:p>
        </w:tc>
        <w:tc>
          <w:tcPr>
            <w:tcW w:w="943" w:type="dxa"/>
            <w:shd w:val="clear" w:color="auto" w:fill="C6EFCE"/>
            <w:vAlign w:val="center"/>
            <w:hideMark/>
          </w:tcPr>
          <w:p w14:paraId="7A538BB7" w14:textId="77777777" w:rsidR="008273B8" w:rsidRDefault="008273B8">
            <w:pPr>
              <w:spacing w:after="0" w:line="240" w:lineRule="auto"/>
              <w:jc w:val="center"/>
              <w:rPr>
                <w:rFonts w:ascii="Calibri" w:eastAsia="Times New Roman" w:hAnsi="Calibri" w:cs="Calibri"/>
                <w:noProof/>
                <w:sz w:val="18"/>
              </w:rPr>
            </w:pPr>
          </w:p>
        </w:tc>
        <w:tc>
          <w:tcPr>
            <w:tcW w:w="943" w:type="dxa"/>
            <w:shd w:val="clear" w:color="auto" w:fill="C6EFCE"/>
            <w:vAlign w:val="center"/>
            <w:hideMark/>
          </w:tcPr>
          <w:p w14:paraId="7A538BB8" w14:textId="77777777" w:rsidR="008273B8" w:rsidRDefault="008273B8">
            <w:pPr>
              <w:spacing w:after="0" w:line="240" w:lineRule="auto"/>
              <w:jc w:val="center"/>
              <w:rPr>
                <w:rFonts w:ascii="Calibri" w:eastAsia="Times New Roman" w:hAnsi="Calibri" w:cs="Calibri"/>
                <w:noProof/>
                <w:sz w:val="18"/>
              </w:rPr>
            </w:pPr>
          </w:p>
        </w:tc>
        <w:tc>
          <w:tcPr>
            <w:tcW w:w="849" w:type="dxa"/>
            <w:shd w:val="clear" w:color="auto" w:fill="C6EFCE"/>
            <w:vAlign w:val="center"/>
            <w:hideMark/>
          </w:tcPr>
          <w:p w14:paraId="7A538BB9" w14:textId="77777777" w:rsidR="008273B8" w:rsidRDefault="008273B8">
            <w:pPr>
              <w:spacing w:after="0" w:line="240" w:lineRule="auto"/>
              <w:jc w:val="center"/>
              <w:rPr>
                <w:rFonts w:ascii="Calibri" w:eastAsia="Times New Roman" w:hAnsi="Calibri" w:cs="Calibri"/>
                <w:noProof/>
                <w:sz w:val="18"/>
              </w:rPr>
            </w:pPr>
          </w:p>
        </w:tc>
        <w:tc>
          <w:tcPr>
            <w:tcW w:w="850" w:type="dxa"/>
            <w:shd w:val="clear" w:color="auto" w:fill="C6EFCE"/>
            <w:vAlign w:val="center"/>
            <w:hideMark/>
          </w:tcPr>
          <w:p w14:paraId="7A538BBA" w14:textId="77777777" w:rsidR="008273B8" w:rsidRDefault="00B93063">
            <w:pPr>
              <w:pStyle w:val="P68B1DB1-Normal7"/>
              <w:spacing w:after="0" w:line="240" w:lineRule="auto"/>
              <w:jc w:val="center"/>
              <w:rPr>
                <w:rFonts w:eastAsia="Times New Roman" w:cs="Calibri"/>
                <w:noProof/>
              </w:rPr>
            </w:pPr>
            <w:r>
              <w:rPr>
                <w:noProof/>
              </w:rPr>
              <w:t>PRVO TROMJESEČJE</w:t>
            </w:r>
          </w:p>
        </w:tc>
        <w:tc>
          <w:tcPr>
            <w:tcW w:w="658" w:type="dxa"/>
            <w:shd w:val="clear" w:color="auto" w:fill="C6EFCE"/>
            <w:vAlign w:val="center"/>
            <w:hideMark/>
          </w:tcPr>
          <w:p w14:paraId="7A538BBB" w14:textId="77777777" w:rsidR="008273B8" w:rsidRDefault="00B93063">
            <w:pPr>
              <w:pStyle w:val="P68B1DB1-Normal7"/>
              <w:spacing w:after="0" w:line="240" w:lineRule="auto"/>
              <w:jc w:val="center"/>
              <w:rPr>
                <w:rFonts w:eastAsia="Times New Roman" w:cs="Calibri"/>
                <w:noProof/>
              </w:rPr>
            </w:pPr>
            <w:r>
              <w:rPr>
                <w:noProof/>
              </w:rPr>
              <w:t>2023</w:t>
            </w:r>
          </w:p>
        </w:tc>
        <w:tc>
          <w:tcPr>
            <w:tcW w:w="4734" w:type="dxa"/>
            <w:shd w:val="clear" w:color="auto" w:fill="C6EFCE"/>
            <w:vAlign w:val="center"/>
            <w:hideMark/>
          </w:tcPr>
          <w:p w14:paraId="7A538BBC" w14:textId="77777777" w:rsidR="008273B8" w:rsidRDefault="00B93063">
            <w:pPr>
              <w:pStyle w:val="P68B1DB1-Normal7"/>
              <w:spacing w:after="0" w:line="240" w:lineRule="auto"/>
              <w:rPr>
                <w:rFonts w:eastAsia="Times New Roman" w:cs="Calibri"/>
                <w:noProof/>
              </w:rPr>
            </w:pPr>
            <w:r>
              <w:rPr>
                <w:noProof/>
              </w:rPr>
              <w:t>Predviđa se da će tijelo za izgradnju i izgradnju biti potpuno operativno u skladu s ACT-om br. XIV iz 2021. U skladu s utvrđenim upravnim postupcima Vlast raspolaže sredstvima kako bi mogla učinkovito izvršavati svoj mandat na temelju Zakona.</w:t>
            </w:r>
          </w:p>
        </w:tc>
      </w:tr>
      <w:tr w:rsidR="008273B8" w14:paraId="7A538BC9" w14:textId="77777777">
        <w:trPr>
          <w:cantSplit/>
          <w:jc w:val="center"/>
        </w:trPr>
        <w:tc>
          <w:tcPr>
            <w:tcW w:w="1247" w:type="dxa"/>
            <w:shd w:val="clear" w:color="auto" w:fill="C6EFCE"/>
            <w:vAlign w:val="center"/>
            <w:hideMark/>
          </w:tcPr>
          <w:p w14:paraId="7A538BBE" w14:textId="77777777" w:rsidR="008273B8" w:rsidRDefault="00B93063">
            <w:pPr>
              <w:pStyle w:val="P68B1DB1-Normal7"/>
              <w:spacing w:after="0" w:line="240" w:lineRule="auto"/>
              <w:rPr>
                <w:rFonts w:eastAsia="Times New Roman" w:cs="Calibri"/>
                <w:noProof/>
              </w:rPr>
            </w:pPr>
            <w:r>
              <w:rPr>
                <w:noProof/>
              </w:rPr>
              <w:t>1.3</w:t>
            </w:r>
          </w:p>
        </w:tc>
        <w:tc>
          <w:tcPr>
            <w:tcW w:w="1085" w:type="dxa"/>
            <w:shd w:val="clear" w:color="auto" w:fill="C6EFCE"/>
            <w:vAlign w:val="center"/>
            <w:hideMark/>
          </w:tcPr>
          <w:p w14:paraId="7A538BBF" w14:textId="77777777" w:rsidR="008273B8" w:rsidRDefault="00B93063">
            <w:pPr>
              <w:pStyle w:val="P68B1DB1-Normal7"/>
              <w:spacing w:after="0" w:line="240" w:lineRule="auto"/>
              <w:rPr>
                <w:rFonts w:eastAsia="Times New Roman" w:cs="Calibri"/>
                <w:noProof/>
              </w:rPr>
            </w:pPr>
            <w:r>
              <w:rPr>
                <w:noProof/>
              </w:rPr>
              <w:t xml:space="preserve">C1.R.1 </w:t>
            </w:r>
          </w:p>
        </w:tc>
        <w:tc>
          <w:tcPr>
            <w:tcW w:w="1014" w:type="dxa"/>
            <w:shd w:val="clear" w:color="auto" w:fill="C6EFCE"/>
            <w:vAlign w:val="center"/>
            <w:hideMark/>
          </w:tcPr>
          <w:p w14:paraId="7A538BC0" w14:textId="77777777" w:rsidR="008273B8" w:rsidRDefault="00B93063">
            <w:pPr>
              <w:pStyle w:val="P68B1DB1-Normal7"/>
              <w:spacing w:after="0" w:line="240" w:lineRule="auto"/>
              <w:rPr>
                <w:rFonts w:eastAsia="Times New Roman" w:cs="Calibri"/>
                <w:noProof/>
              </w:rPr>
            </w:pPr>
            <w:r>
              <w:rPr>
                <w:noProof/>
              </w:rPr>
              <w:t>Ključna etapa</w:t>
            </w:r>
          </w:p>
        </w:tc>
        <w:tc>
          <w:tcPr>
            <w:tcW w:w="1401" w:type="dxa"/>
            <w:shd w:val="clear" w:color="auto" w:fill="C6EFCE"/>
            <w:vAlign w:val="center"/>
            <w:hideMark/>
          </w:tcPr>
          <w:p w14:paraId="7A538BC1" w14:textId="77777777" w:rsidR="008273B8" w:rsidRDefault="00B93063">
            <w:pPr>
              <w:pStyle w:val="P68B1DB1-Normal7"/>
              <w:spacing w:after="0" w:line="240" w:lineRule="auto"/>
              <w:rPr>
                <w:rFonts w:eastAsia="Times New Roman" w:cs="Calibri"/>
                <w:noProof/>
              </w:rPr>
            </w:pPr>
            <w:r>
              <w:rPr>
                <w:noProof/>
              </w:rPr>
              <w:t>Osposobljavanje i certificiranje stručnjaka u građevinskoj industriji</w:t>
            </w:r>
          </w:p>
        </w:tc>
        <w:tc>
          <w:tcPr>
            <w:tcW w:w="1869" w:type="dxa"/>
            <w:shd w:val="clear" w:color="auto" w:fill="C6EFCE"/>
            <w:vAlign w:val="center"/>
            <w:hideMark/>
          </w:tcPr>
          <w:p w14:paraId="7A538BC2" w14:textId="77777777" w:rsidR="008273B8" w:rsidRDefault="00B93063">
            <w:pPr>
              <w:pStyle w:val="P68B1DB1-Normal7"/>
              <w:spacing w:after="0" w:line="240" w:lineRule="auto"/>
              <w:rPr>
                <w:rFonts w:eastAsia="Times New Roman" w:cs="Calibri"/>
                <w:noProof/>
              </w:rPr>
            </w:pPr>
            <w:r>
              <w:rPr>
                <w:noProof/>
              </w:rPr>
              <w:t>Pokretanje osposobljavanja i certificiranja stručnjaka u građevinskoj industriji</w:t>
            </w:r>
          </w:p>
        </w:tc>
        <w:tc>
          <w:tcPr>
            <w:tcW w:w="943" w:type="dxa"/>
            <w:shd w:val="clear" w:color="auto" w:fill="C6EFCE"/>
            <w:vAlign w:val="center"/>
            <w:hideMark/>
          </w:tcPr>
          <w:p w14:paraId="7A538BC3" w14:textId="77777777" w:rsidR="008273B8" w:rsidRDefault="008273B8">
            <w:pPr>
              <w:spacing w:after="0" w:line="240" w:lineRule="auto"/>
              <w:jc w:val="center"/>
              <w:rPr>
                <w:rFonts w:ascii="Calibri" w:eastAsia="Times New Roman" w:hAnsi="Calibri" w:cs="Calibri"/>
                <w:noProof/>
                <w:sz w:val="18"/>
              </w:rPr>
            </w:pPr>
          </w:p>
        </w:tc>
        <w:tc>
          <w:tcPr>
            <w:tcW w:w="943" w:type="dxa"/>
            <w:shd w:val="clear" w:color="auto" w:fill="C6EFCE"/>
            <w:vAlign w:val="center"/>
            <w:hideMark/>
          </w:tcPr>
          <w:p w14:paraId="7A538BC4" w14:textId="77777777" w:rsidR="008273B8" w:rsidRDefault="008273B8">
            <w:pPr>
              <w:spacing w:after="0" w:line="240" w:lineRule="auto"/>
              <w:jc w:val="center"/>
              <w:rPr>
                <w:rFonts w:ascii="Calibri" w:eastAsia="Times New Roman" w:hAnsi="Calibri" w:cs="Calibri"/>
                <w:noProof/>
                <w:sz w:val="18"/>
              </w:rPr>
            </w:pPr>
          </w:p>
        </w:tc>
        <w:tc>
          <w:tcPr>
            <w:tcW w:w="849" w:type="dxa"/>
            <w:shd w:val="clear" w:color="auto" w:fill="C6EFCE"/>
            <w:vAlign w:val="center"/>
            <w:hideMark/>
          </w:tcPr>
          <w:p w14:paraId="7A538BC5" w14:textId="77777777" w:rsidR="008273B8" w:rsidRDefault="008273B8">
            <w:pPr>
              <w:spacing w:after="0" w:line="240" w:lineRule="auto"/>
              <w:jc w:val="center"/>
              <w:rPr>
                <w:rFonts w:ascii="Calibri" w:eastAsia="Times New Roman" w:hAnsi="Calibri" w:cs="Calibri"/>
                <w:noProof/>
                <w:sz w:val="18"/>
              </w:rPr>
            </w:pPr>
          </w:p>
        </w:tc>
        <w:tc>
          <w:tcPr>
            <w:tcW w:w="850" w:type="dxa"/>
            <w:shd w:val="clear" w:color="auto" w:fill="C6EFCE"/>
            <w:vAlign w:val="center"/>
            <w:hideMark/>
          </w:tcPr>
          <w:p w14:paraId="7A538BC6"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58" w:type="dxa"/>
            <w:shd w:val="clear" w:color="auto" w:fill="C6EFCE"/>
            <w:vAlign w:val="center"/>
            <w:hideMark/>
          </w:tcPr>
          <w:p w14:paraId="7A538BC7" w14:textId="77777777" w:rsidR="008273B8" w:rsidRDefault="00B93063">
            <w:pPr>
              <w:pStyle w:val="P68B1DB1-Normal7"/>
              <w:spacing w:after="0" w:line="240" w:lineRule="auto"/>
              <w:jc w:val="center"/>
              <w:rPr>
                <w:rFonts w:eastAsia="Times New Roman" w:cs="Calibri"/>
                <w:noProof/>
              </w:rPr>
            </w:pPr>
            <w:r>
              <w:rPr>
                <w:noProof/>
              </w:rPr>
              <w:t>2022</w:t>
            </w:r>
          </w:p>
        </w:tc>
        <w:tc>
          <w:tcPr>
            <w:tcW w:w="4734" w:type="dxa"/>
            <w:shd w:val="clear" w:color="auto" w:fill="C6EFCE"/>
            <w:vAlign w:val="center"/>
            <w:hideMark/>
          </w:tcPr>
          <w:p w14:paraId="7A538BC8" w14:textId="77777777" w:rsidR="008273B8" w:rsidRDefault="00B93063">
            <w:pPr>
              <w:pStyle w:val="P68B1DB1-Normal7"/>
              <w:spacing w:after="0" w:line="240" w:lineRule="auto"/>
              <w:rPr>
                <w:rFonts w:eastAsia="Times New Roman" w:cs="Calibri"/>
                <w:noProof/>
              </w:rPr>
            </w:pPr>
            <w:r>
              <w:rPr>
                <w:noProof/>
              </w:rPr>
              <w:t>Otvoreni poziv na podnošenje prijava za program osposobljavanja i certifikacije za stručnjake i obrtnike različitih razina u zgradama i građevinskoj industriji kako bi se povećao kapacitet za tečajeve obnove. Usmjeren je na niz stručnjaka i obrtnika na različitim razinama unutar lokalnog građevinskog ekosustava.</w:t>
            </w:r>
          </w:p>
        </w:tc>
      </w:tr>
      <w:tr w:rsidR="008273B8" w14:paraId="7A538BD5" w14:textId="77777777">
        <w:trPr>
          <w:cantSplit/>
          <w:jc w:val="center"/>
        </w:trPr>
        <w:tc>
          <w:tcPr>
            <w:tcW w:w="1247" w:type="dxa"/>
            <w:shd w:val="clear" w:color="auto" w:fill="C6EFCE"/>
            <w:vAlign w:val="center"/>
            <w:hideMark/>
          </w:tcPr>
          <w:p w14:paraId="7A538BCA" w14:textId="77777777" w:rsidR="008273B8" w:rsidRDefault="00B93063">
            <w:pPr>
              <w:pStyle w:val="P68B1DB1-Normal7"/>
              <w:spacing w:after="0" w:line="240" w:lineRule="auto"/>
              <w:rPr>
                <w:rFonts w:eastAsia="Times New Roman" w:cs="Calibri"/>
                <w:noProof/>
              </w:rPr>
            </w:pPr>
            <w:r>
              <w:rPr>
                <w:noProof/>
              </w:rPr>
              <w:t>1.4</w:t>
            </w:r>
          </w:p>
        </w:tc>
        <w:tc>
          <w:tcPr>
            <w:tcW w:w="1085" w:type="dxa"/>
            <w:shd w:val="clear" w:color="auto" w:fill="C6EFCE"/>
            <w:vAlign w:val="center"/>
            <w:hideMark/>
          </w:tcPr>
          <w:p w14:paraId="7A538BCB" w14:textId="77777777" w:rsidR="008273B8" w:rsidRDefault="00B93063">
            <w:pPr>
              <w:pStyle w:val="P68B1DB1-Normal7"/>
              <w:spacing w:after="0" w:line="240" w:lineRule="auto"/>
              <w:rPr>
                <w:rFonts w:eastAsia="Times New Roman" w:cs="Calibri"/>
                <w:noProof/>
              </w:rPr>
            </w:pPr>
            <w:r>
              <w:rPr>
                <w:noProof/>
              </w:rPr>
              <w:t xml:space="preserve">C1.R.1 </w:t>
            </w:r>
          </w:p>
        </w:tc>
        <w:tc>
          <w:tcPr>
            <w:tcW w:w="1014" w:type="dxa"/>
            <w:shd w:val="clear" w:color="auto" w:fill="C6EFCE"/>
            <w:vAlign w:val="center"/>
            <w:hideMark/>
          </w:tcPr>
          <w:p w14:paraId="7A538BCC" w14:textId="77777777" w:rsidR="008273B8" w:rsidRDefault="00B93063">
            <w:pPr>
              <w:pStyle w:val="P68B1DB1-Normal7"/>
              <w:spacing w:after="0" w:line="240" w:lineRule="auto"/>
              <w:rPr>
                <w:rFonts w:eastAsia="Times New Roman" w:cs="Calibri"/>
                <w:noProof/>
              </w:rPr>
            </w:pPr>
            <w:r>
              <w:rPr>
                <w:noProof/>
              </w:rPr>
              <w:t>Ciljna vrijednost</w:t>
            </w:r>
          </w:p>
        </w:tc>
        <w:tc>
          <w:tcPr>
            <w:tcW w:w="1401" w:type="dxa"/>
            <w:shd w:val="clear" w:color="auto" w:fill="C6EFCE"/>
            <w:vAlign w:val="center"/>
            <w:hideMark/>
          </w:tcPr>
          <w:p w14:paraId="7A538BCD" w14:textId="77777777" w:rsidR="008273B8" w:rsidRDefault="00B93063">
            <w:pPr>
              <w:pStyle w:val="P68B1DB1-Normal7"/>
              <w:spacing w:after="0" w:line="240" w:lineRule="auto"/>
              <w:rPr>
                <w:rFonts w:eastAsia="Times New Roman" w:cs="Calibri"/>
                <w:noProof/>
              </w:rPr>
            </w:pPr>
            <w:r>
              <w:rPr>
                <w:noProof/>
              </w:rPr>
              <w:t>Osposobljeni i certificirani stručnjaci u građevinskoj industriji</w:t>
            </w:r>
          </w:p>
        </w:tc>
        <w:tc>
          <w:tcPr>
            <w:tcW w:w="1869" w:type="dxa"/>
            <w:shd w:val="clear" w:color="auto" w:fill="C6EFCE"/>
            <w:vAlign w:val="center"/>
            <w:hideMark/>
          </w:tcPr>
          <w:p w14:paraId="7A538BCE" w14:textId="77777777" w:rsidR="008273B8" w:rsidRDefault="00B93063">
            <w:pPr>
              <w:pStyle w:val="P68B1DB1-Normal7"/>
              <w:spacing w:after="0" w:line="240" w:lineRule="auto"/>
              <w:rPr>
                <w:rFonts w:eastAsia="Times New Roman" w:cs="Calibri"/>
                <w:noProof/>
              </w:rPr>
            </w:pPr>
            <w:r>
              <w:rPr>
                <w:noProof/>
              </w:rPr>
              <w:t> </w:t>
            </w:r>
          </w:p>
        </w:tc>
        <w:tc>
          <w:tcPr>
            <w:tcW w:w="943" w:type="dxa"/>
            <w:shd w:val="clear" w:color="auto" w:fill="C6EFCE"/>
            <w:vAlign w:val="center"/>
            <w:hideMark/>
          </w:tcPr>
          <w:p w14:paraId="7A538BCF" w14:textId="77777777" w:rsidR="008273B8" w:rsidRDefault="00B93063">
            <w:pPr>
              <w:pStyle w:val="P68B1DB1-Normal7"/>
              <w:spacing w:after="0" w:line="240" w:lineRule="auto"/>
              <w:jc w:val="center"/>
              <w:rPr>
                <w:rFonts w:eastAsia="Times New Roman" w:cs="Calibri"/>
                <w:noProof/>
              </w:rPr>
            </w:pPr>
            <w:r>
              <w:rPr>
                <w:noProof/>
              </w:rPr>
              <w:t>Broj</w:t>
            </w:r>
          </w:p>
        </w:tc>
        <w:tc>
          <w:tcPr>
            <w:tcW w:w="943" w:type="dxa"/>
            <w:shd w:val="clear" w:color="auto" w:fill="C6EFCE"/>
            <w:vAlign w:val="center"/>
            <w:hideMark/>
          </w:tcPr>
          <w:p w14:paraId="7A538BD0" w14:textId="77777777" w:rsidR="008273B8" w:rsidRDefault="00B93063">
            <w:pPr>
              <w:pStyle w:val="P68B1DB1-Normal7"/>
              <w:spacing w:after="0" w:line="240" w:lineRule="auto"/>
              <w:jc w:val="center"/>
              <w:rPr>
                <w:rFonts w:eastAsia="Times New Roman" w:cs="Calibri"/>
                <w:noProof/>
              </w:rPr>
            </w:pPr>
            <w:r>
              <w:rPr>
                <w:noProof/>
              </w:rPr>
              <w:t>0</w:t>
            </w:r>
          </w:p>
        </w:tc>
        <w:tc>
          <w:tcPr>
            <w:tcW w:w="849" w:type="dxa"/>
            <w:shd w:val="clear" w:color="auto" w:fill="C6EFCE"/>
            <w:vAlign w:val="center"/>
            <w:hideMark/>
          </w:tcPr>
          <w:p w14:paraId="7A538BD1" w14:textId="77777777" w:rsidR="008273B8" w:rsidRDefault="00B93063">
            <w:pPr>
              <w:pStyle w:val="P68B1DB1-Normal7"/>
              <w:spacing w:after="0" w:line="240" w:lineRule="auto"/>
              <w:jc w:val="center"/>
              <w:rPr>
                <w:rFonts w:eastAsia="Times New Roman" w:cs="Calibri"/>
                <w:noProof/>
              </w:rPr>
            </w:pPr>
            <w:r>
              <w:rPr>
                <w:noProof/>
              </w:rPr>
              <w:t>500</w:t>
            </w:r>
          </w:p>
        </w:tc>
        <w:tc>
          <w:tcPr>
            <w:tcW w:w="850" w:type="dxa"/>
            <w:shd w:val="clear" w:color="auto" w:fill="C6EFCE"/>
            <w:vAlign w:val="center"/>
            <w:hideMark/>
          </w:tcPr>
          <w:p w14:paraId="7A538BD2" w14:textId="77777777" w:rsidR="008273B8" w:rsidRDefault="00B93063">
            <w:pPr>
              <w:pStyle w:val="P68B1DB1-Normal7"/>
              <w:spacing w:after="0" w:line="240" w:lineRule="auto"/>
              <w:jc w:val="center"/>
              <w:rPr>
                <w:rFonts w:eastAsia="Times New Roman" w:cs="Calibri"/>
                <w:noProof/>
              </w:rPr>
            </w:pPr>
            <w:r>
              <w:rPr>
                <w:noProof/>
              </w:rPr>
              <w:t>Q2</w:t>
            </w:r>
          </w:p>
        </w:tc>
        <w:tc>
          <w:tcPr>
            <w:tcW w:w="658" w:type="dxa"/>
            <w:shd w:val="clear" w:color="auto" w:fill="C6EFCE"/>
            <w:vAlign w:val="center"/>
            <w:hideMark/>
          </w:tcPr>
          <w:p w14:paraId="7A538BD3" w14:textId="77777777" w:rsidR="008273B8" w:rsidRDefault="00B93063">
            <w:pPr>
              <w:pStyle w:val="P68B1DB1-Normal7"/>
              <w:spacing w:after="0" w:line="240" w:lineRule="auto"/>
              <w:jc w:val="center"/>
              <w:rPr>
                <w:rFonts w:eastAsia="Times New Roman" w:cs="Calibri"/>
                <w:noProof/>
              </w:rPr>
            </w:pPr>
            <w:r>
              <w:rPr>
                <w:noProof/>
              </w:rPr>
              <w:t>2023</w:t>
            </w:r>
          </w:p>
        </w:tc>
        <w:tc>
          <w:tcPr>
            <w:tcW w:w="4734" w:type="dxa"/>
            <w:shd w:val="clear" w:color="auto" w:fill="C6EFCE"/>
            <w:vAlign w:val="center"/>
            <w:hideMark/>
          </w:tcPr>
          <w:p w14:paraId="7A538BD4" w14:textId="77777777" w:rsidR="008273B8" w:rsidRDefault="00B93063">
            <w:pPr>
              <w:pStyle w:val="P68B1DB1-Normal7"/>
              <w:spacing w:after="0" w:line="240" w:lineRule="auto"/>
              <w:rPr>
                <w:rFonts w:eastAsia="Times New Roman" w:cs="Calibri"/>
                <w:noProof/>
              </w:rPr>
            </w:pPr>
            <w:r>
              <w:rPr>
                <w:noProof/>
              </w:rPr>
              <w:t xml:space="preserve">Broj stručnjaka u građevinskoj industriji koji su osposobljeni i certificirani s iskaznicom vještina. </w:t>
            </w:r>
          </w:p>
        </w:tc>
      </w:tr>
      <w:tr w:rsidR="008273B8" w14:paraId="7A538BE1" w14:textId="77777777">
        <w:trPr>
          <w:cantSplit/>
          <w:jc w:val="center"/>
        </w:trPr>
        <w:tc>
          <w:tcPr>
            <w:tcW w:w="1247" w:type="dxa"/>
            <w:shd w:val="clear" w:color="auto" w:fill="C6EFCE"/>
            <w:vAlign w:val="center"/>
            <w:hideMark/>
          </w:tcPr>
          <w:p w14:paraId="7A538BD6" w14:textId="77777777" w:rsidR="008273B8" w:rsidRDefault="00B93063">
            <w:pPr>
              <w:pStyle w:val="P68B1DB1-Normal7"/>
              <w:spacing w:after="0" w:line="240" w:lineRule="auto"/>
              <w:rPr>
                <w:rFonts w:eastAsia="Times New Roman" w:cs="Calibri"/>
                <w:noProof/>
              </w:rPr>
            </w:pPr>
            <w:r>
              <w:rPr>
                <w:noProof/>
              </w:rPr>
              <w:t>1.5</w:t>
            </w:r>
          </w:p>
        </w:tc>
        <w:tc>
          <w:tcPr>
            <w:tcW w:w="1085" w:type="dxa"/>
            <w:shd w:val="clear" w:color="auto" w:fill="C6EFCE"/>
            <w:vAlign w:val="center"/>
            <w:hideMark/>
          </w:tcPr>
          <w:p w14:paraId="7A538BD7" w14:textId="77777777" w:rsidR="008273B8" w:rsidRDefault="00B93063">
            <w:pPr>
              <w:pStyle w:val="P68B1DB1-Normal7"/>
              <w:spacing w:after="0" w:line="240" w:lineRule="auto"/>
              <w:rPr>
                <w:rFonts w:eastAsia="Times New Roman" w:cs="Calibri"/>
                <w:noProof/>
              </w:rPr>
            </w:pPr>
            <w:r>
              <w:rPr>
                <w:noProof/>
              </w:rPr>
              <w:t xml:space="preserve">C1.R.2 </w:t>
            </w:r>
          </w:p>
        </w:tc>
        <w:tc>
          <w:tcPr>
            <w:tcW w:w="1014" w:type="dxa"/>
            <w:shd w:val="clear" w:color="auto" w:fill="C6EFCE"/>
            <w:vAlign w:val="center"/>
            <w:hideMark/>
          </w:tcPr>
          <w:p w14:paraId="7A538BD8" w14:textId="77777777" w:rsidR="008273B8" w:rsidRDefault="00B93063">
            <w:pPr>
              <w:pStyle w:val="P68B1DB1-Normal7"/>
              <w:spacing w:after="0" w:line="240" w:lineRule="auto"/>
              <w:rPr>
                <w:rFonts w:eastAsia="Times New Roman" w:cs="Calibri"/>
                <w:noProof/>
              </w:rPr>
            </w:pPr>
            <w:r>
              <w:rPr>
                <w:noProof/>
              </w:rPr>
              <w:t>Ključna etapa</w:t>
            </w:r>
          </w:p>
        </w:tc>
        <w:tc>
          <w:tcPr>
            <w:tcW w:w="1401" w:type="dxa"/>
            <w:shd w:val="clear" w:color="auto" w:fill="C6EFCE"/>
            <w:vAlign w:val="center"/>
            <w:hideMark/>
          </w:tcPr>
          <w:p w14:paraId="7A538BD9" w14:textId="77777777" w:rsidR="008273B8" w:rsidRDefault="00B93063">
            <w:pPr>
              <w:pStyle w:val="P68B1DB1-Normal7"/>
              <w:spacing w:after="0" w:line="240" w:lineRule="auto"/>
              <w:rPr>
                <w:rFonts w:eastAsia="Times New Roman" w:cs="Calibri"/>
                <w:noProof/>
              </w:rPr>
            </w:pPr>
            <w:r>
              <w:rPr>
                <w:noProof/>
              </w:rPr>
              <w:t xml:space="preserve">Stupanje na snagu ažuriranog Zakona o zaštiti okoliša </w:t>
            </w:r>
          </w:p>
        </w:tc>
        <w:tc>
          <w:tcPr>
            <w:tcW w:w="1869" w:type="dxa"/>
            <w:shd w:val="clear" w:color="auto" w:fill="C6EFCE"/>
            <w:vAlign w:val="center"/>
            <w:hideMark/>
          </w:tcPr>
          <w:p w14:paraId="7A538BDA" w14:textId="77777777" w:rsidR="008273B8" w:rsidRDefault="00B93063">
            <w:pPr>
              <w:pStyle w:val="P68B1DB1-Normal7"/>
              <w:spacing w:after="0" w:line="240" w:lineRule="auto"/>
              <w:rPr>
                <w:rFonts w:eastAsia="Times New Roman" w:cs="Calibri"/>
                <w:noProof/>
              </w:rPr>
            </w:pPr>
            <w:r>
              <w:rPr>
                <w:noProof/>
              </w:rPr>
              <w:t>Odredba Zakona o stupanju na snagu Zakona</w:t>
            </w:r>
          </w:p>
        </w:tc>
        <w:tc>
          <w:tcPr>
            <w:tcW w:w="943" w:type="dxa"/>
            <w:shd w:val="clear" w:color="auto" w:fill="C6EFCE"/>
            <w:vAlign w:val="center"/>
            <w:hideMark/>
          </w:tcPr>
          <w:p w14:paraId="7A538BDB" w14:textId="77777777" w:rsidR="008273B8" w:rsidRDefault="008273B8">
            <w:pPr>
              <w:spacing w:after="0" w:line="240" w:lineRule="auto"/>
              <w:jc w:val="center"/>
              <w:rPr>
                <w:rFonts w:ascii="Calibri" w:eastAsia="Times New Roman" w:hAnsi="Calibri" w:cs="Calibri"/>
                <w:noProof/>
                <w:sz w:val="18"/>
              </w:rPr>
            </w:pPr>
          </w:p>
        </w:tc>
        <w:tc>
          <w:tcPr>
            <w:tcW w:w="943" w:type="dxa"/>
            <w:shd w:val="clear" w:color="auto" w:fill="C6EFCE"/>
            <w:vAlign w:val="center"/>
            <w:hideMark/>
          </w:tcPr>
          <w:p w14:paraId="7A538BDC" w14:textId="77777777" w:rsidR="008273B8" w:rsidRDefault="008273B8">
            <w:pPr>
              <w:spacing w:after="0" w:line="240" w:lineRule="auto"/>
              <w:jc w:val="center"/>
              <w:rPr>
                <w:rFonts w:ascii="Calibri" w:eastAsia="Times New Roman" w:hAnsi="Calibri" w:cs="Calibri"/>
                <w:noProof/>
                <w:sz w:val="18"/>
              </w:rPr>
            </w:pPr>
          </w:p>
        </w:tc>
        <w:tc>
          <w:tcPr>
            <w:tcW w:w="849" w:type="dxa"/>
            <w:shd w:val="clear" w:color="auto" w:fill="C6EFCE"/>
            <w:vAlign w:val="center"/>
            <w:hideMark/>
          </w:tcPr>
          <w:p w14:paraId="7A538BDD" w14:textId="77777777" w:rsidR="008273B8" w:rsidRDefault="008273B8">
            <w:pPr>
              <w:spacing w:after="0" w:line="240" w:lineRule="auto"/>
              <w:jc w:val="center"/>
              <w:rPr>
                <w:rFonts w:ascii="Calibri" w:eastAsia="Times New Roman" w:hAnsi="Calibri" w:cs="Calibri"/>
                <w:noProof/>
                <w:sz w:val="18"/>
              </w:rPr>
            </w:pPr>
          </w:p>
        </w:tc>
        <w:tc>
          <w:tcPr>
            <w:tcW w:w="850" w:type="dxa"/>
            <w:shd w:val="clear" w:color="auto" w:fill="C6EFCE"/>
            <w:vAlign w:val="center"/>
            <w:hideMark/>
          </w:tcPr>
          <w:p w14:paraId="7A538BDE"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58" w:type="dxa"/>
            <w:shd w:val="clear" w:color="auto" w:fill="C6EFCE"/>
            <w:vAlign w:val="center"/>
            <w:hideMark/>
          </w:tcPr>
          <w:p w14:paraId="7A538BDF" w14:textId="77777777" w:rsidR="008273B8" w:rsidRDefault="00B93063">
            <w:pPr>
              <w:pStyle w:val="P68B1DB1-Normal7"/>
              <w:spacing w:after="0" w:line="240" w:lineRule="auto"/>
              <w:jc w:val="center"/>
              <w:rPr>
                <w:rFonts w:eastAsia="Times New Roman" w:cs="Calibri"/>
                <w:noProof/>
              </w:rPr>
            </w:pPr>
            <w:r>
              <w:rPr>
                <w:noProof/>
              </w:rPr>
              <w:t>2021</w:t>
            </w:r>
          </w:p>
        </w:tc>
        <w:tc>
          <w:tcPr>
            <w:tcW w:w="4734" w:type="dxa"/>
            <w:shd w:val="clear" w:color="auto" w:fill="C6EFCE"/>
            <w:vAlign w:val="center"/>
            <w:hideMark/>
          </w:tcPr>
          <w:p w14:paraId="7A538BE0" w14:textId="77777777" w:rsidR="008273B8" w:rsidRDefault="00B93063">
            <w:pPr>
              <w:pStyle w:val="P68B1DB1-Normal7"/>
              <w:spacing w:after="0" w:line="240" w:lineRule="auto"/>
              <w:rPr>
                <w:rFonts w:eastAsia="Times New Roman" w:cs="Calibri"/>
                <w:noProof/>
              </w:rPr>
            </w:pPr>
            <w:r>
              <w:rPr>
                <w:noProof/>
              </w:rPr>
              <w:t xml:space="preserve">Stupanje na snagu ažuriranog Zakona o zaštiti okoliša kojim se zabranjuje uvoz, proizvodnja, prodaja i distribucija određenih plastičnih predmeta za jednokratnu uporabu, odnosno plastičnih vrećica, pribora za jelo, slamki i tanjura. </w:t>
            </w:r>
          </w:p>
        </w:tc>
      </w:tr>
      <w:tr w:rsidR="008273B8" w14:paraId="7A538BFE" w14:textId="77777777">
        <w:trPr>
          <w:cantSplit/>
          <w:jc w:val="center"/>
        </w:trPr>
        <w:tc>
          <w:tcPr>
            <w:tcW w:w="1247" w:type="dxa"/>
            <w:shd w:val="clear" w:color="auto" w:fill="C6EFCE"/>
            <w:vAlign w:val="center"/>
            <w:hideMark/>
          </w:tcPr>
          <w:p w14:paraId="7A538BE2" w14:textId="77777777" w:rsidR="008273B8" w:rsidRDefault="00B93063">
            <w:pPr>
              <w:pStyle w:val="P68B1DB1-Normal7"/>
              <w:spacing w:after="0" w:line="240" w:lineRule="auto"/>
              <w:rPr>
                <w:rFonts w:eastAsia="Times New Roman" w:cs="Calibri"/>
                <w:noProof/>
              </w:rPr>
            </w:pPr>
            <w:r>
              <w:rPr>
                <w:noProof/>
              </w:rPr>
              <w:t>1.6</w:t>
            </w:r>
          </w:p>
        </w:tc>
        <w:tc>
          <w:tcPr>
            <w:tcW w:w="1085" w:type="dxa"/>
            <w:shd w:val="clear" w:color="auto" w:fill="C6EFCE"/>
            <w:vAlign w:val="center"/>
            <w:hideMark/>
          </w:tcPr>
          <w:p w14:paraId="7A538BE3" w14:textId="77777777" w:rsidR="008273B8" w:rsidRDefault="00B93063">
            <w:pPr>
              <w:pStyle w:val="P68B1DB1-Normal7"/>
              <w:spacing w:after="0" w:line="240" w:lineRule="auto"/>
              <w:rPr>
                <w:rFonts w:eastAsia="Times New Roman" w:cs="Calibri"/>
                <w:noProof/>
              </w:rPr>
            </w:pPr>
            <w:r>
              <w:rPr>
                <w:noProof/>
              </w:rPr>
              <w:t xml:space="preserve">C1.R.2 </w:t>
            </w:r>
          </w:p>
        </w:tc>
        <w:tc>
          <w:tcPr>
            <w:tcW w:w="1014" w:type="dxa"/>
            <w:shd w:val="clear" w:color="auto" w:fill="C6EFCE"/>
            <w:vAlign w:val="center"/>
            <w:hideMark/>
          </w:tcPr>
          <w:p w14:paraId="7A538BE4" w14:textId="77777777" w:rsidR="008273B8" w:rsidRDefault="00B93063">
            <w:pPr>
              <w:pStyle w:val="P68B1DB1-Normal7"/>
              <w:spacing w:after="0" w:line="240" w:lineRule="auto"/>
              <w:rPr>
                <w:rFonts w:eastAsia="Times New Roman" w:cs="Calibri"/>
                <w:noProof/>
              </w:rPr>
            </w:pPr>
            <w:r>
              <w:rPr>
                <w:noProof/>
              </w:rPr>
              <w:t>Ključna etapa</w:t>
            </w:r>
          </w:p>
        </w:tc>
        <w:tc>
          <w:tcPr>
            <w:tcW w:w="1401" w:type="dxa"/>
            <w:shd w:val="clear" w:color="auto" w:fill="C6EFCE"/>
            <w:vAlign w:val="center"/>
            <w:hideMark/>
          </w:tcPr>
          <w:p w14:paraId="7A538BE5" w14:textId="77777777" w:rsidR="008273B8" w:rsidRDefault="00B93063">
            <w:pPr>
              <w:pStyle w:val="P68B1DB1-Normal7"/>
              <w:spacing w:after="0" w:line="240" w:lineRule="auto"/>
              <w:rPr>
                <w:rFonts w:eastAsia="Times New Roman" w:cs="Calibri"/>
                <w:noProof/>
              </w:rPr>
            </w:pPr>
            <w:r>
              <w:rPr>
                <w:noProof/>
              </w:rPr>
              <w:t>Studija izvedivosti proširenja obveza proširene odgovornosti proizvođača na dodatne tokove otpada</w:t>
            </w:r>
          </w:p>
        </w:tc>
        <w:tc>
          <w:tcPr>
            <w:tcW w:w="1869" w:type="dxa"/>
            <w:shd w:val="clear" w:color="auto" w:fill="C6EFCE"/>
            <w:vAlign w:val="center"/>
            <w:hideMark/>
          </w:tcPr>
          <w:p w14:paraId="7A538BE6" w14:textId="77777777" w:rsidR="008273B8" w:rsidRDefault="00B93063">
            <w:pPr>
              <w:pStyle w:val="P68B1DB1-Normal7"/>
              <w:spacing w:after="0" w:line="240" w:lineRule="auto"/>
              <w:rPr>
                <w:rFonts w:eastAsia="Times New Roman" w:cs="Calibri"/>
                <w:noProof/>
              </w:rPr>
            </w:pPr>
            <w:r>
              <w:rPr>
                <w:noProof/>
              </w:rPr>
              <w:t>Objava studije o izvedivosti proširenja obveza proširene odgovornosti proizvođača na dodatne tokove otpada</w:t>
            </w:r>
          </w:p>
        </w:tc>
        <w:tc>
          <w:tcPr>
            <w:tcW w:w="943" w:type="dxa"/>
            <w:shd w:val="clear" w:color="auto" w:fill="C6EFCE"/>
            <w:vAlign w:val="center"/>
            <w:hideMark/>
          </w:tcPr>
          <w:p w14:paraId="7A538BE7" w14:textId="77777777" w:rsidR="008273B8" w:rsidRDefault="008273B8">
            <w:pPr>
              <w:spacing w:after="0" w:line="240" w:lineRule="auto"/>
              <w:jc w:val="center"/>
              <w:rPr>
                <w:rFonts w:ascii="Calibri" w:eastAsia="Times New Roman" w:hAnsi="Calibri" w:cs="Calibri"/>
                <w:noProof/>
                <w:sz w:val="18"/>
              </w:rPr>
            </w:pPr>
          </w:p>
        </w:tc>
        <w:tc>
          <w:tcPr>
            <w:tcW w:w="943" w:type="dxa"/>
            <w:shd w:val="clear" w:color="auto" w:fill="C6EFCE"/>
            <w:vAlign w:val="center"/>
            <w:hideMark/>
          </w:tcPr>
          <w:p w14:paraId="7A538BF9" w14:textId="77777777" w:rsidR="008273B8" w:rsidRDefault="008273B8">
            <w:pPr>
              <w:rPr>
                <w:rFonts w:ascii="Calibri" w:eastAsia="Times New Roman" w:hAnsi="Calibri" w:cs="Calibri"/>
                <w:noProof/>
                <w:sz w:val="18"/>
              </w:rPr>
            </w:pPr>
          </w:p>
        </w:tc>
        <w:tc>
          <w:tcPr>
            <w:tcW w:w="849" w:type="dxa"/>
            <w:shd w:val="clear" w:color="auto" w:fill="C6EFCE"/>
            <w:vAlign w:val="center"/>
            <w:hideMark/>
          </w:tcPr>
          <w:p w14:paraId="7A538BFA" w14:textId="77777777" w:rsidR="008273B8" w:rsidRDefault="008273B8">
            <w:pPr>
              <w:spacing w:after="0" w:line="240" w:lineRule="auto"/>
              <w:jc w:val="center"/>
              <w:rPr>
                <w:rFonts w:ascii="Calibri" w:eastAsia="Times New Roman" w:hAnsi="Calibri" w:cs="Calibri"/>
                <w:noProof/>
                <w:sz w:val="18"/>
              </w:rPr>
            </w:pPr>
          </w:p>
        </w:tc>
        <w:tc>
          <w:tcPr>
            <w:tcW w:w="850" w:type="dxa"/>
            <w:shd w:val="clear" w:color="auto" w:fill="C6EFCE"/>
            <w:vAlign w:val="center"/>
            <w:hideMark/>
          </w:tcPr>
          <w:p w14:paraId="7A538BFB"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58" w:type="dxa"/>
            <w:shd w:val="clear" w:color="auto" w:fill="C6EFCE"/>
            <w:vAlign w:val="center"/>
            <w:hideMark/>
          </w:tcPr>
          <w:p w14:paraId="7A538BFC" w14:textId="77777777" w:rsidR="008273B8" w:rsidRDefault="00B93063">
            <w:pPr>
              <w:pStyle w:val="P68B1DB1-Normal7"/>
              <w:spacing w:after="0" w:line="240" w:lineRule="auto"/>
              <w:jc w:val="center"/>
              <w:rPr>
                <w:rFonts w:eastAsia="Times New Roman" w:cs="Calibri"/>
                <w:noProof/>
              </w:rPr>
            </w:pPr>
            <w:r>
              <w:rPr>
                <w:noProof/>
              </w:rPr>
              <w:t>2024</w:t>
            </w:r>
          </w:p>
        </w:tc>
        <w:tc>
          <w:tcPr>
            <w:tcW w:w="4734" w:type="dxa"/>
            <w:shd w:val="clear" w:color="auto" w:fill="C6EFCE"/>
            <w:vAlign w:val="center"/>
            <w:hideMark/>
          </w:tcPr>
          <w:p w14:paraId="7A538BFD" w14:textId="77777777" w:rsidR="008273B8" w:rsidRDefault="00B93063">
            <w:pPr>
              <w:pStyle w:val="P68B1DB1-Normal7"/>
              <w:spacing w:after="0" w:line="240" w:lineRule="auto"/>
              <w:rPr>
                <w:rFonts w:eastAsia="Times New Roman" w:cs="Calibri"/>
                <w:noProof/>
              </w:rPr>
            </w:pPr>
            <w:r>
              <w:rPr>
                <w:noProof/>
              </w:rPr>
              <w:t xml:space="preserve">Objavljena studija o izvedivosti proširenja obveza proširene odgovornosti proizvođača na dodatne tokove otpada. Cilj je ove studije procijeniti izvedivost proširenja obveza proširene odgovornosti proizvođača, koje su trenutačno na snazi za neke tokove otpada, na dodatne tokove otpada, uključujući gume i tekstil. Studiju provodi neovisni izvođač odabran u okviru javne nabave. </w:t>
            </w:r>
          </w:p>
        </w:tc>
      </w:tr>
      <w:tr w:rsidR="008273B8" w14:paraId="7A538C1B" w14:textId="77777777">
        <w:trPr>
          <w:cantSplit/>
          <w:jc w:val="center"/>
        </w:trPr>
        <w:tc>
          <w:tcPr>
            <w:tcW w:w="1247" w:type="dxa"/>
            <w:shd w:val="clear" w:color="auto" w:fill="C6EFCE"/>
            <w:vAlign w:val="center"/>
            <w:hideMark/>
          </w:tcPr>
          <w:p w14:paraId="7A538BFF" w14:textId="77777777" w:rsidR="008273B8" w:rsidRDefault="00B93063">
            <w:pPr>
              <w:pStyle w:val="P68B1DB1-Normal7"/>
              <w:spacing w:after="0" w:line="240" w:lineRule="auto"/>
              <w:rPr>
                <w:rFonts w:eastAsia="Times New Roman" w:cs="Calibri"/>
                <w:noProof/>
              </w:rPr>
            </w:pPr>
            <w:r>
              <w:rPr>
                <w:noProof/>
              </w:rPr>
              <w:t>1.7</w:t>
            </w:r>
          </w:p>
        </w:tc>
        <w:tc>
          <w:tcPr>
            <w:tcW w:w="1085" w:type="dxa"/>
            <w:shd w:val="clear" w:color="auto" w:fill="C6EFCE"/>
            <w:vAlign w:val="center"/>
            <w:hideMark/>
          </w:tcPr>
          <w:p w14:paraId="7A538C00" w14:textId="77777777" w:rsidR="008273B8" w:rsidRDefault="00B93063">
            <w:pPr>
              <w:pStyle w:val="P68B1DB1-Normal7"/>
              <w:spacing w:after="0" w:line="240" w:lineRule="auto"/>
              <w:rPr>
                <w:rFonts w:eastAsia="Times New Roman" w:cs="Calibri"/>
                <w:noProof/>
              </w:rPr>
            </w:pPr>
            <w:r>
              <w:rPr>
                <w:noProof/>
              </w:rPr>
              <w:t xml:space="preserve">C1.R.2 </w:t>
            </w:r>
          </w:p>
        </w:tc>
        <w:tc>
          <w:tcPr>
            <w:tcW w:w="1014" w:type="dxa"/>
            <w:shd w:val="clear" w:color="auto" w:fill="C6EFCE"/>
            <w:vAlign w:val="center"/>
            <w:hideMark/>
          </w:tcPr>
          <w:p w14:paraId="7A538C01" w14:textId="77777777" w:rsidR="008273B8" w:rsidRDefault="00B93063">
            <w:pPr>
              <w:pStyle w:val="P68B1DB1-Normal7"/>
              <w:spacing w:after="0" w:line="240" w:lineRule="auto"/>
              <w:rPr>
                <w:rFonts w:eastAsia="Times New Roman" w:cs="Calibri"/>
                <w:noProof/>
              </w:rPr>
            </w:pPr>
            <w:r>
              <w:rPr>
                <w:noProof/>
              </w:rPr>
              <w:t>Ključna etapa</w:t>
            </w:r>
          </w:p>
        </w:tc>
        <w:tc>
          <w:tcPr>
            <w:tcW w:w="1401" w:type="dxa"/>
            <w:shd w:val="clear" w:color="auto" w:fill="C6EFCE"/>
            <w:vAlign w:val="center"/>
            <w:hideMark/>
          </w:tcPr>
          <w:p w14:paraId="7A538C02" w14:textId="77777777" w:rsidR="008273B8" w:rsidRDefault="00B93063">
            <w:pPr>
              <w:pStyle w:val="P68B1DB1-Normal7"/>
              <w:spacing w:after="0" w:line="240" w:lineRule="auto"/>
              <w:rPr>
                <w:rFonts w:eastAsia="Times New Roman" w:cs="Calibri"/>
                <w:noProof/>
              </w:rPr>
            </w:pPr>
            <w:r>
              <w:rPr>
                <w:noProof/>
              </w:rPr>
              <w:t xml:space="preserve">Stupanje na snagu zakonodavstva koje se može smatrati primjerenim u okviru studije o izvedivosti usmjeravanja na nove tokove otpada kroz proširenu odgovornost proizvođača </w:t>
            </w:r>
          </w:p>
        </w:tc>
        <w:tc>
          <w:tcPr>
            <w:tcW w:w="1869" w:type="dxa"/>
            <w:shd w:val="clear" w:color="auto" w:fill="C6EFCE"/>
            <w:vAlign w:val="center"/>
            <w:hideMark/>
          </w:tcPr>
          <w:p w14:paraId="7A538C03" w14:textId="77777777" w:rsidR="008273B8" w:rsidRDefault="00B93063">
            <w:pPr>
              <w:pStyle w:val="P68B1DB1-Normal7"/>
              <w:spacing w:after="0" w:line="240" w:lineRule="auto"/>
              <w:rPr>
                <w:rFonts w:eastAsia="Times New Roman" w:cs="Calibri"/>
                <w:noProof/>
              </w:rPr>
            </w:pPr>
            <w:r>
              <w:rPr>
                <w:noProof/>
              </w:rPr>
              <w:t xml:space="preserve">Odredba Zakona o stupanju na snagu Zakona </w:t>
            </w:r>
          </w:p>
        </w:tc>
        <w:tc>
          <w:tcPr>
            <w:tcW w:w="943" w:type="dxa"/>
            <w:shd w:val="clear" w:color="auto" w:fill="C6EFCE"/>
            <w:vAlign w:val="center"/>
            <w:hideMark/>
          </w:tcPr>
          <w:p w14:paraId="7A538C04" w14:textId="77777777" w:rsidR="008273B8" w:rsidRDefault="008273B8">
            <w:pPr>
              <w:spacing w:after="0" w:line="240" w:lineRule="auto"/>
              <w:jc w:val="center"/>
              <w:rPr>
                <w:rFonts w:ascii="Calibri" w:eastAsia="Times New Roman" w:hAnsi="Calibri" w:cs="Calibri"/>
                <w:noProof/>
                <w:sz w:val="18"/>
              </w:rPr>
            </w:pPr>
          </w:p>
        </w:tc>
        <w:tc>
          <w:tcPr>
            <w:tcW w:w="943" w:type="dxa"/>
            <w:shd w:val="clear" w:color="auto" w:fill="C6EFCE"/>
            <w:vAlign w:val="center"/>
            <w:hideMark/>
          </w:tcPr>
          <w:p w14:paraId="7A538C16" w14:textId="77777777" w:rsidR="008273B8" w:rsidRDefault="008273B8">
            <w:pPr>
              <w:rPr>
                <w:rFonts w:ascii="Calibri" w:eastAsia="Times New Roman" w:hAnsi="Calibri" w:cs="Calibri"/>
                <w:noProof/>
                <w:sz w:val="18"/>
              </w:rPr>
            </w:pPr>
          </w:p>
        </w:tc>
        <w:tc>
          <w:tcPr>
            <w:tcW w:w="849" w:type="dxa"/>
            <w:shd w:val="clear" w:color="auto" w:fill="C6EFCE"/>
            <w:vAlign w:val="center"/>
            <w:hideMark/>
          </w:tcPr>
          <w:p w14:paraId="7A538C17" w14:textId="77777777" w:rsidR="008273B8" w:rsidRDefault="008273B8">
            <w:pPr>
              <w:spacing w:after="0" w:line="240" w:lineRule="auto"/>
              <w:jc w:val="center"/>
              <w:rPr>
                <w:rFonts w:ascii="Calibri" w:eastAsia="Times New Roman" w:hAnsi="Calibri" w:cs="Calibri"/>
                <w:noProof/>
                <w:sz w:val="18"/>
              </w:rPr>
            </w:pPr>
          </w:p>
        </w:tc>
        <w:tc>
          <w:tcPr>
            <w:tcW w:w="850" w:type="dxa"/>
            <w:shd w:val="clear" w:color="auto" w:fill="C6EFCE"/>
            <w:vAlign w:val="center"/>
            <w:hideMark/>
          </w:tcPr>
          <w:p w14:paraId="7A538C18"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58" w:type="dxa"/>
            <w:shd w:val="clear" w:color="auto" w:fill="C6EFCE"/>
            <w:vAlign w:val="center"/>
            <w:hideMark/>
          </w:tcPr>
          <w:p w14:paraId="7A538C19" w14:textId="77777777" w:rsidR="008273B8" w:rsidRDefault="00B93063">
            <w:pPr>
              <w:pStyle w:val="P68B1DB1-Normal7"/>
              <w:spacing w:after="0" w:line="240" w:lineRule="auto"/>
              <w:jc w:val="center"/>
              <w:rPr>
                <w:rFonts w:eastAsia="Times New Roman" w:cs="Calibri"/>
                <w:noProof/>
              </w:rPr>
            </w:pPr>
            <w:r>
              <w:rPr>
                <w:noProof/>
              </w:rPr>
              <w:t>2025</w:t>
            </w:r>
          </w:p>
        </w:tc>
        <w:tc>
          <w:tcPr>
            <w:tcW w:w="4734" w:type="dxa"/>
            <w:shd w:val="clear" w:color="auto" w:fill="C6EFCE"/>
            <w:vAlign w:val="center"/>
            <w:hideMark/>
          </w:tcPr>
          <w:p w14:paraId="7A538C1A" w14:textId="77777777" w:rsidR="008273B8" w:rsidRDefault="00B93063">
            <w:pPr>
              <w:pStyle w:val="P68B1DB1-Normal7"/>
              <w:spacing w:after="0" w:line="240" w:lineRule="auto"/>
              <w:rPr>
                <w:rFonts w:eastAsia="Times New Roman" w:cs="Calibri"/>
                <w:noProof/>
              </w:rPr>
            </w:pPr>
            <w:r>
              <w:rPr>
                <w:noProof/>
              </w:rPr>
              <w:t>Stupanje na snagu novog zakonodavstva za tokove otpada koje se u studiji o izvedivosti proširenja obveza proširene odgovornosti proizvođača na dodatne tokove otpada smatra primjerenima.</w:t>
            </w:r>
          </w:p>
        </w:tc>
      </w:tr>
      <w:tr w:rsidR="008273B8" w14:paraId="7A538C28" w14:textId="77777777">
        <w:trPr>
          <w:cantSplit/>
          <w:jc w:val="center"/>
        </w:trPr>
        <w:tc>
          <w:tcPr>
            <w:tcW w:w="1247" w:type="dxa"/>
            <w:shd w:val="clear" w:color="auto" w:fill="C6EFCE"/>
            <w:vAlign w:val="center"/>
            <w:hideMark/>
          </w:tcPr>
          <w:p w14:paraId="7A538C1C" w14:textId="77777777" w:rsidR="008273B8" w:rsidRDefault="00B93063">
            <w:pPr>
              <w:pStyle w:val="P68B1DB1-Normal7"/>
              <w:spacing w:after="0" w:line="240" w:lineRule="auto"/>
              <w:rPr>
                <w:rFonts w:eastAsia="Times New Roman" w:cs="Calibri"/>
                <w:noProof/>
              </w:rPr>
            </w:pPr>
            <w:r>
              <w:rPr>
                <w:noProof/>
              </w:rPr>
              <w:t>1.8</w:t>
            </w:r>
          </w:p>
        </w:tc>
        <w:tc>
          <w:tcPr>
            <w:tcW w:w="1085" w:type="dxa"/>
            <w:shd w:val="clear" w:color="auto" w:fill="C6EFCE"/>
            <w:vAlign w:val="center"/>
            <w:hideMark/>
          </w:tcPr>
          <w:p w14:paraId="7A538C1D" w14:textId="77777777" w:rsidR="008273B8" w:rsidRDefault="00B93063">
            <w:pPr>
              <w:pStyle w:val="P68B1DB1-Normal7"/>
              <w:spacing w:after="0" w:line="240" w:lineRule="auto"/>
              <w:rPr>
                <w:rFonts w:eastAsia="Times New Roman" w:cs="Calibri"/>
                <w:noProof/>
              </w:rPr>
            </w:pPr>
            <w:r>
              <w:rPr>
                <w:noProof/>
              </w:rPr>
              <w:t xml:space="preserve">C1.R.2 </w:t>
            </w:r>
          </w:p>
        </w:tc>
        <w:tc>
          <w:tcPr>
            <w:tcW w:w="1014" w:type="dxa"/>
            <w:shd w:val="clear" w:color="auto" w:fill="C6EFCE"/>
            <w:vAlign w:val="center"/>
            <w:hideMark/>
          </w:tcPr>
          <w:p w14:paraId="7A538C1E" w14:textId="77777777" w:rsidR="008273B8" w:rsidRDefault="00B93063">
            <w:pPr>
              <w:pStyle w:val="P68B1DB1-Normal7"/>
              <w:spacing w:after="0" w:line="240" w:lineRule="auto"/>
              <w:rPr>
                <w:rFonts w:eastAsia="Times New Roman" w:cs="Calibri"/>
                <w:noProof/>
              </w:rPr>
            </w:pPr>
            <w:r>
              <w:rPr>
                <w:noProof/>
              </w:rPr>
              <w:t>Ključna etapa</w:t>
            </w:r>
          </w:p>
        </w:tc>
        <w:tc>
          <w:tcPr>
            <w:tcW w:w="1401" w:type="dxa"/>
            <w:shd w:val="clear" w:color="auto" w:fill="C6EFCE"/>
            <w:vAlign w:val="center"/>
            <w:hideMark/>
          </w:tcPr>
          <w:p w14:paraId="7A538C1F" w14:textId="77777777" w:rsidR="008273B8" w:rsidRDefault="00B93063">
            <w:pPr>
              <w:pStyle w:val="P68B1DB1-Normal7"/>
              <w:spacing w:after="0" w:line="240" w:lineRule="auto"/>
              <w:rPr>
                <w:rFonts w:eastAsia="Times New Roman" w:cs="Calibri"/>
                <w:noProof/>
              </w:rPr>
            </w:pPr>
            <w:r>
              <w:rPr>
                <w:noProof/>
              </w:rPr>
              <w:t>Donošenje strategije Malte za građevinski otpad i otpad od rušenja</w:t>
            </w:r>
          </w:p>
        </w:tc>
        <w:tc>
          <w:tcPr>
            <w:tcW w:w="1869" w:type="dxa"/>
            <w:shd w:val="clear" w:color="auto" w:fill="C6EFCE"/>
            <w:vAlign w:val="center"/>
            <w:hideMark/>
          </w:tcPr>
          <w:p w14:paraId="7A538C20" w14:textId="77777777" w:rsidR="008273B8" w:rsidRDefault="00B93063">
            <w:pPr>
              <w:pStyle w:val="P68B1DB1-Normal7"/>
              <w:spacing w:after="0" w:line="240" w:lineRule="auto"/>
              <w:rPr>
                <w:rFonts w:eastAsia="Times New Roman" w:cs="Calibri"/>
                <w:noProof/>
              </w:rPr>
            </w:pPr>
            <w:r>
              <w:rPr>
                <w:noProof/>
              </w:rPr>
              <w:t>Internetska objava malteške strategije za građevinski otpad i otpad od rušenja</w:t>
            </w:r>
          </w:p>
        </w:tc>
        <w:tc>
          <w:tcPr>
            <w:tcW w:w="943" w:type="dxa"/>
            <w:shd w:val="clear" w:color="auto" w:fill="C6EFCE"/>
            <w:vAlign w:val="center"/>
            <w:hideMark/>
          </w:tcPr>
          <w:p w14:paraId="7A538C21" w14:textId="77777777" w:rsidR="008273B8" w:rsidRDefault="008273B8">
            <w:pPr>
              <w:spacing w:after="0" w:line="240" w:lineRule="auto"/>
              <w:jc w:val="center"/>
              <w:rPr>
                <w:rFonts w:ascii="Calibri" w:eastAsia="Times New Roman" w:hAnsi="Calibri" w:cs="Calibri"/>
                <w:noProof/>
                <w:sz w:val="18"/>
              </w:rPr>
            </w:pPr>
          </w:p>
        </w:tc>
        <w:tc>
          <w:tcPr>
            <w:tcW w:w="943" w:type="dxa"/>
            <w:shd w:val="clear" w:color="auto" w:fill="C6EFCE"/>
            <w:vAlign w:val="center"/>
            <w:hideMark/>
          </w:tcPr>
          <w:p w14:paraId="7A538C22" w14:textId="77777777" w:rsidR="008273B8" w:rsidRDefault="008273B8">
            <w:pPr>
              <w:spacing w:after="0" w:line="240" w:lineRule="auto"/>
              <w:jc w:val="center"/>
              <w:rPr>
                <w:rFonts w:ascii="Calibri" w:eastAsia="Times New Roman" w:hAnsi="Calibri" w:cs="Calibri"/>
                <w:noProof/>
                <w:sz w:val="18"/>
              </w:rPr>
            </w:pPr>
          </w:p>
        </w:tc>
        <w:tc>
          <w:tcPr>
            <w:tcW w:w="849" w:type="dxa"/>
            <w:shd w:val="clear" w:color="auto" w:fill="C6EFCE"/>
            <w:vAlign w:val="center"/>
            <w:hideMark/>
          </w:tcPr>
          <w:p w14:paraId="7A538C23" w14:textId="77777777" w:rsidR="008273B8" w:rsidRDefault="008273B8">
            <w:pPr>
              <w:spacing w:after="0" w:line="240" w:lineRule="auto"/>
              <w:jc w:val="center"/>
              <w:rPr>
                <w:rFonts w:ascii="Calibri" w:eastAsia="Times New Roman" w:hAnsi="Calibri" w:cs="Calibri"/>
                <w:noProof/>
                <w:sz w:val="18"/>
              </w:rPr>
            </w:pPr>
          </w:p>
        </w:tc>
        <w:tc>
          <w:tcPr>
            <w:tcW w:w="850" w:type="dxa"/>
            <w:shd w:val="clear" w:color="auto" w:fill="C6EFCE"/>
            <w:vAlign w:val="center"/>
            <w:hideMark/>
          </w:tcPr>
          <w:p w14:paraId="7A538C24"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58" w:type="dxa"/>
            <w:shd w:val="clear" w:color="auto" w:fill="C6EFCE"/>
            <w:vAlign w:val="center"/>
            <w:hideMark/>
          </w:tcPr>
          <w:p w14:paraId="7A538C25" w14:textId="77777777" w:rsidR="008273B8" w:rsidRDefault="00B93063">
            <w:pPr>
              <w:pStyle w:val="P68B1DB1-Normal7"/>
              <w:spacing w:after="0" w:line="240" w:lineRule="auto"/>
              <w:jc w:val="center"/>
              <w:rPr>
                <w:rFonts w:eastAsia="Times New Roman" w:cs="Calibri"/>
                <w:noProof/>
              </w:rPr>
            </w:pPr>
            <w:r>
              <w:rPr>
                <w:noProof/>
              </w:rPr>
              <w:t>2021</w:t>
            </w:r>
          </w:p>
        </w:tc>
        <w:tc>
          <w:tcPr>
            <w:tcW w:w="4734" w:type="dxa"/>
            <w:shd w:val="clear" w:color="auto" w:fill="C6EFCE"/>
            <w:vAlign w:val="center"/>
            <w:hideMark/>
          </w:tcPr>
          <w:p w14:paraId="7A538C26" w14:textId="77777777" w:rsidR="008273B8" w:rsidRDefault="00B93063">
            <w:pPr>
              <w:spacing w:after="0" w:line="240" w:lineRule="auto"/>
              <w:rPr>
                <w:rFonts w:ascii="Calibri" w:eastAsia="Times New Roman" w:hAnsi="Calibri" w:cs="Calibri"/>
                <w:noProof/>
                <w:sz w:val="18"/>
              </w:rPr>
            </w:pPr>
            <w:r>
              <w:rPr>
                <w:rFonts w:ascii="Calibri" w:hAnsi="Calibri"/>
                <w:noProof/>
                <w:sz w:val="18"/>
              </w:rPr>
              <w:t>Donošenje strategije za gospodarenje građevinskim otpadom i otpadom od rušenja. Strategija mora biti u skladu sa zakonodavstvom EU-a o otpadu i Protokolom EU-a za gospodarenje građevinskim otpadom i otpadom od rušenja. Strategijom se utvrđuju posebne mjere u četiri glavna prioritetna područja:</w:t>
            </w:r>
            <w:r>
              <w:rPr>
                <w:noProof/>
              </w:rPr>
              <w:br/>
            </w:r>
            <w:r>
              <w:rPr>
                <w:rFonts w:ascii="Calibri" w:hAnsi="Calibri"/>
                <w:noProof/>
                <w:sz w:val="18"/>
              </w:rPr>
              <w:t xml:space="preserve">1. Planiranje i osmišljavanje: nastojeći riješiti problem na izvoru uklanjanjem ili izgradnjom na održiv način; </w:t>
            </w:r>
            <w:r>
              <w:rPr>
                <w:noProof/>
              </w:rPr>
              <w:br/>
            </w:r>
            <w:r>
              <w:rPr>
                <w:rFonts w:ascii="Calibri" w:hAnsi="Calibri"/>
                <w:noProof/>
                <w:sz w:val="18"/>
              </w:rPr>
              <w:t xml:space="preserve">2. Gospodarenje otpadom: mjere za poboljšanje logistike otpada i na gradilištu i izvan njega; </w:t>
            </w:r>
            <w:r>
              <w:rPr>
                <w:noProof/>
              </w:rPr>
              <w:br/>
            </w:r>
            <w:r>
              <w:rPr>
                <w:rFonts w:ascii="Calibri" w:hAnsi="Calibri"/>
                <w:noProof/>
                <w:sz w:val="18"/>
              </w:rPr>
              <w:t xml:space="preserve">3. Upravljanje kvalitetom: mjere povezane s povećanjem povjerenja u prakse gospodarenja građevinskim i obdukcijskim otpadom te poboljšanjem kvalitete recikliranih materijala; i </w:t>
            </w:r>
            <w:r>
              <w:rPr>
                <w:noProof/>
              </w:rPr>
              <w:br/>
              <w:t xml:space="preserve"> </w:t>
            </w:r>
            <w:r>
              <w:rPr>
                <w:rFonts w:ascii="Calibri" w:hAnsi="Calibri"/>
                <w:noProof/>
                <w:sz w:val="18"/>
              </w:rPr>
              <w:t>4. Politički i regulatorni okvir: predlaže poboljšanja politika i okvirnih uvjeta kako bi se prekinula veza između razvoja i stvaranja otpada</w:t>
            </w:r>
            <w:r>
              <w:rPr>
                <w:rFonts w:ascii="Calibri" w:hAnsi="Calibri"/>
                <w:noProof/>
                <w:color w:val="000000" w:themeColor="text1"/>
                <w:sz w:val="18"/>
              </w:rPr>
              <w:t xml:space="preserve">. Predloženi regulatorni okvir mora biti u skladu sa zakonodavstvom i smjernicama EU-a o građevinskom otpadu i otpadu od rušenja. </w:t>
            </w:r>
          </w:p>
          <w:p w14:paraId="7A538C27" w14:textId="77777777" w:rsidR="008273B8" w:rsidRDefault="00B93063">
            <w:pPr>
              <w:pStyle w:val="P68B1DB1-Normal8"/>
              <w:spacing w:after="0" w:line="240" w:lineRule="auto"/>
              <w:rPr>
                <w:rFonts w:eastAsia="Times New Roman" w:cs="Calibri"/>
                <w:noProof/>
              </w:rPr>
            </w:pPr>
            <w:r>
              <w:rPr>
                <w:noProof/>
              </w:rPr>
              <w:t xml:space="preserve">Mjera ne smije dovesti do znatnog povećanja odlaganja otpada ili destimulirati pripremu za ponovnu uporabu i recikliranje otpada. </w:t>
            </w:r>
          </w:p>
        </w:tc>
      </w:tr>
      <w:tr w:rsidR="008273B8" w14:paraId="7A538C35" w14:textId="77777777">
        <w:trPr>
          <w:cantSplit/>
          <w:jc w:val="center"/>
        </w:trPr>
        <w:tc>
          <w:tcPr>
            <w:tcW w:w="1247" w:type="dxa"/>
            <w:shd w:val="clear" w:color="auto" w:fill="C6EFCE"/>
            <w:vAlign w:val="center"/>
          </w:tcPr>
          <w:p w14:paraId="7A538C29" w14:textId="77777777" w:rsidR="008273B8" w:rsidRDefault="00B93063">
            <w:pPr>
              <w:pStyle w:val="P68B1DB1-Normal7"/>
              <w:spacing w:after="0" w:line="240" w:lineRule="auto"/>
              <w:rPr>
                <w:rFonts w:eastAsia="Times New Roman" w:cs="Calibri"/>
                <w:noProof/>
              </w:rPr>
            </w:pPr>
            <w:r>
              <w:rPr>
                <w:noProof/>
              </w:rPr>
              <w:t>1.9</w:t>
            </w:r>
          </w:p>
        </w:tc>
        <w:tc>
          <w:tcPr>
            <w:tcW w:w="1085" w:type="dxa"/>
            <w:shd w:val="clear" w:color="auto" w:fill="C6EFCE"/>
            <w:vAlign w:val="center"/>
          </w:tcPr>
          <w:p w14:paraId="7A538C2A" w14:textId="77777777" w:rsidR="008273B8" w:rsidRDefault="00B93063">
            <w:pPr>
              <w:pStyle w:val="P68B1DB1-Normal7"/>
              <w:spacing w:after="0" w:line="240" w:lineRule="auto"/>
              <w:rPr>
                <w:rFonts w:eastAsia="Times New Roman" w:cs="Calibri"/>
                <w:noProof/>
              </w:rPr>
            </w:pPr>
            <w:r>
              <w:rPr>
                <w:noProof/>
              </w:rPr>
              <w:t>C1.R.2</w:t>
            </w:r>
          </w:p>
        </w:tc>
        <w:tc>
          <w:tcPr>
            <w:tcW w:w="1014" w:type="dxa"/>
            <w:shd w:val="clear" w:color="auto" w:fill="C6EFCE"/>
            <w:vAlign w:val="center"/>
          </w:tcPr>
          <w:p w14:paraId="7A538C2B" w14:textId="77777777" w:rsidR="008273B8" w:rsidRDefault="00B93063">
            <w:pPr>
              <w:pStyle w:val="P68B1DB1-Normal7"/>
              <w:spacing w:after="0" w:line="240" w:lineRule="auto"/>
              <w:rPr>
                <w:rFonts w:eastAsia="Times New Roman" w:cs="Calibri"/>
                <w:noProof/>
              </w:rPr>
            </w:pPr>
            <w:r>
              <w:rPr>
                <w:noProof/>
              </w:rPr>
              <w:t>Ključna etapa</w:t>
            </w:r>
          </w:p>
        </w:tc>
        <w:tc>
          <w:tcPr>
            <w:tcW w:w="1401" w:type="dxa"/>
            <w:shd w:val="clear" w:color="auto" w:fill="C6EFCE"/>
            <w:vAlign w:val="center"/>
          </w:tcPr>
          <w:p w14:paraId="7A538C2C" w14:textId="77777777" w:rsidR="008273B8" w:rsidRDefault="00B93063">
            <w:pPr>
              <w:pStyle w:val="P68B1DB1-Normal7"/>
              <w:spacing w:after="0" w:line="240" w:lineRule="auto"/>
              <w:rPr>
                <w:rFonts w:eastAsia="Times New Roman" w:cs="Calibri"/>
                <w:noProof/>
              </w:rPr>
            </w:pPr>
            <w:r>
              <w:rPr>
                <w:noProof/>
              </w:rPr>
              <w:t>Donošenje standarda za građevinsku industriju</w:t>
            </w:r>
          </w:p>
          <w:p w14:paraId="7A538C2D" w14:textId="77777777" w:rsidR="008273B8" w:rsidRDefault="008273B8">
            <w:pPr>
              <w:spacing w:after="0" w:line="240" w:lineRule="auto"/>
              <w:rPr>
                <w:rFonts w:ascii="Calibri" w:eastAsia="Times New Roman" w:hAnsi="Calibri" w:cs="Calibri"/>
                <w:noProof/>
                <w:sz w:val="18"/>
              </w:rPr>
            </w:pPr>
          </w:p>
        </w:tc>
        <w:tc>
          <w:tcPr>
            <w:tcW w:w="1869" w:type="dxa"/>
            <w:shd w:val="clear" w:color="auto" w:fill="C6EFCE"/>
            <w:vAlign w:val="center"/>
          </w:tcPr>
          <w:p w14:paraId="7A538C2E" w14:textId="77777777" w:rsidR="008273B8" w:rsidRDefault="00B93063">
            <w:pPr>
              <w:pStyle w:val="P68B1DB1-Normal7"/>
              <w:spacing w:after="0" w:line="240" w:lineRule="auto"/>
              <w:rPr>
                <w:rFonts w:eastAsia="Times New Roman" w:cs="Calibri"/>
                <w:noProof/>
              </w:rPr>
            </w:pPr>
            <w:r>
              <w:rPr>
                <w:noProof/>
              </w:rPr>
              <w:t>Donošenje normi za građevinsku industriju</w:t>
            </w:r>
          </w:p>
        </w:tc>
        <w:tc>
          <w:tcPr>
            <w:tcW w:w="943" w:type="dxa"/>
            <w:shd w:val="clear" w:color="auto" w:fill="C6EFCE"/>
            <w:vAlign w:val="center"/>
          </w:tcPr>
          <w:p w14:paraId="7A538C2F" w14:textId="77777777" w:rsidR="008273B8" w:rsidRDefault="008273B8">
            <w:pPr>
              <w:spacing w:after="0" w:line="240" w:lineRule="auto"/>
              <w:jc w:val="center"/>
              <w:rPr>
                <w:rFonts w:ascii="Calibri" w:eastAsia="Times New Roman" w:hAnsi="Calibri" w:cs="Calibri"/>
                <w:noProof/>
                <w:sz w:val="18"/>
              </w:rPr>
            </w:pPr>
          </w:p>
        </w:tc>
        <w:tc>
          <w:tcPr>
            <w:tcW w:w="943" w:type="dxa"/>
            <w:shd w:val="clear" w:color="auto" w:fill="C6EFCE"/>
            <w:vAlign w:val="center"/>
          </w:tcPr>
          <w:p w14:paraId="7A538C30" w14:textId="77777777" w:rsidR="008273B8" w:rsidRDefault="008273B8">
            <w:pPr>
              <w:spacing w:after="0" w:line="240" w:lineRule="auto"/>
              <w:jc w:val="center"/>
              <w:rPr>
                <w:rFonts w:ascii="Calibri" w:eastAsia="Times New Roman" w:hAnsi="Calibri" w:cs="Calibri"/>
                <w:noProof/>
                <w:sz w:val="18"/>
              </w:rPr>
            </w:pPr>
          </w:p>
        </w:tc>
        <w:tc>
          <w:tcPr>
            <w:tcW w:w="849" w:type="dxa"/>
            <w:shd w:val="clear" w:color="auto" w:fill="C6EFCE"/>
            <w:vAlign w:val="center"/>
          </w:tcPr>
          <w:p w14:paraId="7A538C31" w14:textId="77777777" w:rsidR="008273B8" w:rsidRDefault="008273B8">
            <w:pPr>
              <w:spacing w:after="0" w:line="240" w:lineRule="auto"/>
              <w:jc w:val="center"/>
              <w:rPr>
                <w:rFonts w:ascii="Calibri" w:eastAsia="Times New Roman" w:hAnsi="Calibri" w:cs="Calibri"/>
                <w:noProof/>
                <w:sz w:val="18"/>
              </w:rPr>
            </w:pPr>
          </w:p>
        </w:tc>
        <w:tc>
          <w:tcPr>
            <w:tcW w:w="850" w:type="dxa"/>
            <w:shd w:val="clear" w:color="auto" w:fill="C6EFCE"/>
            <w:vAlign w:val="center"/>
          </w:tcPr>
          <w:p w14:paraId="7A538C32"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58" w:type="dxa"/>
            <w:shd w:val="clear" w:color="auto" w:fill="C6EFCE"/>
            <w:vAlign w:val="center"/>
          </w:tcPr>
          <w:p w14:paraId="7A538C33" w14:textId="77777777" w:rsidR="008273B8" w:rsidRDefault="00B93063">
            <w:pPr>
              <w:pStyle w:val="P68B1DB1-Normal7"/>
              <w:spacing w:after="0" w:line="240" w:lineRule="auto"/>
              <w:jc w:val="center"/>
              <w:rPr>
                <w:rFonts w:eastAsia="Times New Roman" w:cs="Calibri"/>
                <w:noProof/>
              </w:rPr>
            </w:pPr>
            <w:r>
              <w:rPr>
                <w:noProof/>
              </w:rPr>
              <w:t>2022</w:t>
            </w:r>
          </w:p>
        </w:tc>
        <w:tc>
          <w:tcPr>
            <w:tcW w:w="4734" w:type="dxa"/>
            <w:shd w:val="clear" w:color="auto" w:fill="C6EFCE"/>
            <w:vAlign w:val="center"/>
          </w:tcPr>
          <w:p w14:paraId="7A538C34" w14:textId="77777777" w:rsidR="008273B8" w:rsidRDefault="00B93063">
            <w:pPr>
              <w:pStyle w:val="P68B1DB1-Normal9"/>
              <w:widowControl w:val="0"/>
              <w:autoSpaceDE w:val="0"/>
              <w:autoSpaceDN w:val="0"/>
              <w:spacing w:after="0" w:line="240" w:lineRule="auto"/>
              <w:rPr>
                <w:rFonts w:ascii="Calibri" w:eastAsia="Times New Roman" w:hAnsi="Calibri" w:cs="Calibri"/>
                <w:noProof/>
              </w:rPr>
            </w:pPr>
            <w:r>
              <w:rPr>
                <w:noProof/>
              </w:rPr>
              <w:t>Donošenje normi za građevinsku industriju. Standardi se odnose na: 1) Najbolje prakse za (de)izgradnju, usmjerene na smanjenje nastalog građevinskog otpada i otpada od rušenja te osiguravanje prikladnosti nastalog otpada za obradu u skladu s hijerarhijom otpada iz članka 4. Direktive 2008/98/EZ o otpadu. 2) Klasifikacija građevinskog otpada i otpada od rušenja prema vrsti, materijalu, sastavu i masi s ciljem poticanja odvajanja na licu mjesta i poboljšanja kvalitete tokova otpada za naknadnu ponovnu uporabu ili recikliranje; Odgovarajući radovi iskapanja s ciljem ponovnog korištenja iskopanih stijena u svrhu izgradnje; 4) Dimenzije unutarnjih i vanjskih otvora stambenih objekata usmjerene na poticanje ponovne uporabe priključaka te smanjenje diversifikacije koja dovodi do ekonomije razmjera. Ti se standardi uključuju u regulatorni okvir, a usklađenost s tim standardima bitan je zahtjev prije izdavanja izvršive razvojne dozvole.</w:t>
            </w:r>
          </w:p>
        </w:tc>
      </w:tr>
      <w:tr w:rsidR="008273B8" w14:paraId="7A538C42" w14:textId="77777777">
        <w:trPr>
          <w:cantSplit/>
          <w:jc w:val="center"/>
        </w:trPr>
        <w:tc>
          <w:tcPr>
            <w:tcW w:w="1247" w:type="dxa"/>
            <w:shd w:val="clear" w:color="auto" w:fill="C6EFCE"/>
            <w:vAlign w:val="center"/>
          </w:tcPr>
          <w:p w14:paraId="7A538C36" w14:textId="77777777" w:rsidR="008273B8" w:rsidRDefault="00B93063">
            <w:pPr>
              <w:pStyle w:val="P68B1DB1-Normal7"/>
              <w:spacing w:after="0" w:line="240" w:lineRule="auto"/>
              <w:rPr>
                <w:rFonts w:eastAsia="Times New Roman" w:cs="Calibri"/>
                <w:noProof/>
              </w:rPr>
            </w:pPr>
            <w:r>
              <w:rPr>
                <w:noProof/>
              </w:rPr>
              <w:t>1.10</w:t>
            </w:r>
          </w:p>
        </w:tc>
        <w:tc>
          <w:tcPr>
            <w:tcW w:w="1085" w:type="dxa"/>
            <w:shd w:val="clear" w:color="auto" w:fill="C6EFCE"/>
            <w:vAlign w:val="center"/>
          </w:tcPr>
          <w:p w14:paraId="7A538C37" w14:textId="77777777" w:rsidR="008273B8" w:rsidRDefault="00B93063">
            <w:pPr>
              <w:pStyle w:val="P68B1DB1-Normal7"/>
              <w:spacing w:after="0" w:line="240" w:lineRule="auto"/>
              <w:rPr>
                <w:rFonts w:eastAsia="Times New Roman" w:cs="Calibri"/>
                <w:noProof/>
              </w:rPr>
            </w:pPr>
            <w:r>
              <w:rPr>
                <w:noProof/>
              </w:rPr>
              <w:t>C1.R.2</w:t>
            </w:r>
          </w:p>
        </w:tc>
        <w:tc>
          <w:tcPr>
            <w:tcW w:w="1014" w:type="dxa"/>
            <w:shd w:val="clear" w:color="auto" w:fill="C6EFCE"/>
            <w:vAlign w:val="center"/>
          </w:tcPr>
          <w:p w14:paraId="7A538C38" w14:textId="77777777" w:rsidR="008273B8" w:rsidRDefault="00B93063">
            <w:pPr>
              <w:pStyle w:val="P68B1DB1-Normal7"/>
              <w:spacing w:after="0" w:line="240" w:lineRule="auto"/>
              <w:rPr>
                <w:rFonts w:eastAsia="Times New Roman" w:cs="Calibri"/>
                <w:noProof/>
              </w:rPr>
            </w:pPr>
            <w:r>
              <w:rPr>
                <w:noProof/>
              </w:rPr>
              <w:t>Ključna etapa</w:t>
            </w:r>
          </w:p>
        </w:tc>
        <w:tc>
          <w:tcPr>
            <w:tcW w:w="1401" w:type="dxa"/>
            <w:shd w:val="clear" w:color="auto" w:fill="C6EFCE"/>
            <w:vAlign w:val="center"/>
          </w:tcPr>
          <w:p w14:paraId="7A538C39" w14:textId="77777777" w:rsidR="008273B8" w:rsidRDefault="00B93063">
            <w:pPr>
              <w:pStyle w:val="P68B1DB1-Normal7"/>
              <w:spacing w:after="0" w:line="240" w:lineRule="auto"/>
              <w:rPr>
                <w:rFonts w:eastAsia="Times New Roman" w:cs="Calibri"/>
                <w:noProof/>
              </w:rPr>
            </w:pPr>
            <w:r>
              <w:rPr>
                <w:noProof/>
              </w:rPr>
              <w:t>Stupanje na snagu novog regulatornog okvira za gospodarenje građevinskim otpadom i otpadom od rušenja</w:t>
            </w:r>
          </w:p>
        </w:tc>
        <w:tc>
          <w:tcPr>
            <w:tcW w:w="1869" w:type="dxa"/>
            <w:shd w:val="clear" w:color="auto" w:fill="C6EFCE"/>
            <w:vAlign w:val="center"/>
          </w:tcPr>
          <w:p w14:paraId="7A538C3A" w14:textId="77777777" w:rsidR="008273B8" w:rsidRDefault="00B93063">
            <w:pPr>
              <w:pStyle w:val="P68B1DB1-Normal7"/>
              <w:spacing w:after="0" w:line="240" w:lineRule="auto"/>
              <w:rPr>
                <w:rFonts w:eastAsia="Times New Roman" w:cs="Calibri"/>
                <w:noProof/>
              </w:rPr>
            </w:pPr>
            <w:r>
              <w:rPr>
                <w:noProof/>
              </w:rPr>
              <w:t>Odredba u novom regulatornom okviru o stupanju na snagu novog regulatornog okvira</w:t>
            </w:r>
          </w:p>
        </w:tc>
        <w:tc>
          <w:tcPr>
            <w:tcW w:w="943" w:type="dxa"/>
            <w:shd w:val="clear" w:color="auto" w:fill="C6EFCE"/>
            <w:vAlign w:val="center"/>
          </w:tcPr>
          <w:p w14:paraId="7A538C3B" w14:textId="77777777" w:rsidR="008273B8" w:rsidRDefault="008273B8">
            <w:pPr>
              <w:spacing w:after="0" w:line="240" w:lineRule="auto"/>
              <w:jc w:val="center"/>
              <w:rPr>
                <w:rFonts w:ascii="Calibri" w:eastAsia="Times New Roman" w:hAnsi="Calibri" w:cs="Calibri"/>
                <w:noProof/>
                <w:sz w:val="18"/>
              </w:rPr>
            </w:pPr>
          </w:p>
        </w:tc>
        <w:tc>
          <w:tcPr>
            <w:tcW w:w="943" w:type="dxa"/>
            <w:shd w:val="clear" w:color="auto" w:fill="C6EFCE"/>
            <w:vAlign w:val="center"/>
          </w:tcPr>
          <w:p w14:paraId="7A538C3C" w14:textId="77777777" w:rsidR="008273B8" w:rsidRDefault="008273B8">
            <w:pPr>
              <w:spacing w:after="0" w:line="240" w:lineRule="auto"/>
              <w:jc w:val="center"/>
              <w:rPr>
                <w:rFonts w:ascii="Calibri" w:eastAsia="Times New Roman" w:hAnsi="Calibri" w:cs="Calibri"/>
                <w:noProof/>
                <w:sz w:val="18"/>
              </w:rPr>
            </w:pPr>
          </w:p>
        </w:tc>
        <w:tc>
          <w:tcPr>
            <w:tcW w:w="849" w:type="dxa"/>
            <w:shd w:val="clear" w:color="auto" w:fill="C6EFCE"/>
            <w:vAlign w:val="center"/>
          </w:tcPr>
          <w:p w14:paraId="7A538C3D" w14:textId="77777777" w:rsidR="008273B8" w:rsidRDefault="008273B8">
            <w:pPr>
              <w:spacing w:after="0" w:line="240" w:lineRule="auto"/>
              <w:jc w:val="center"/>
              <w:rPr>
                <w:rFonts w:ascii="Calibri" w:eastAsia="Times New Roman" w:hAnsi="Calibri" w:cs="Calibri"/>
                <w:noProof/>
                <w:sz w:val="18"/>
              </w:rPr>
            </w:pPr>
          </w:p>
        </w:tc>
        <w:tc>
          <w:tcPr>
            <w:tcW w:w="850" w:type="dxa"/>
            <w:shd w:val="clear" w:color="auto" w:fill="C6EFCE"/>
            <w:vAlign w:val="center"/>
          </w:tcPr>
          <w:p w14:paraId="7A538C3E"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58" w:type="dxa"/>
            <w:shd w:val="clear" w:color="auto" w:fill="C6EFCE"/>
            <w:vAlign w:val="center"/>
          </w:tcPr>
          <w:p w14:paraId="7A538C3F" w14:textId="77777777" w:rsidR="008273B8" w:rsidRDefault="00B93063">
            <w:pPr>
              <w:pStyle w:val="P68B1DB1-Normal7"/>
              <w:spacing w:after="0" w:line="240" w:lineRule="auto"/>
              <w:jc w:val="center"/>
              <w:rPr>
                <w:rFonts w:eastAsia="Times New Roman" w:cs="Calibri"/>
                <w:noProof/>
              </w:rPr>
            </w:pPr>
            <w:r>
              <w:rPr>
                <w:noProof/>
              </w:rPr>
              <w:t>2023</w:t>
            </w:r>
          </w:p>
        </w:tc>
        <w:tc>
          <w:tcPr>
            <w:tcW w:w="4734" w:type="dxa"/>
            <w:shd w:val="clear" w:color="auto" w:fill="C6EFCE"/>
            <w:vAlign w:val="center"/>
          </w:tcPr>
          <w:p w14:paraId="75FE0FFD" w14:textId="77777777" w:rsidR="008273B8" w:rsidRDefault="00B93063">
            <w:pPr>
              <w:pStyle w:val="P68B1DB1-Normal7"/>
              <w:spacing w:before="120" w:after="120" w:line="240" w:lineRule="auto"/>
              <w:rPr>
                <w:rFonts w:eastAsia="Calibri" w:cs="Calibri"/>
                <w:noProof/>
              </w:rPr>
            </w:pPr>
            <w:r>
              <w:rPr>
                <w:noProof/>
              </w:rPr>
              <w:t xml:space="preserve">Stupanje na snagu novog regulatornog okvira za gospodarenje građevinskim otpadom i otpadom od rušenja na Malti. Regulatorni okvir razvija se i o njemu se raspravlja sa svim dionicima uključenima u lanac izgradnje i rušenja. Regulatorni okvir mora biti u skladu sa zakonodavstvom EU-a o otpadu te Protokolom i smjernicama EU-a za građevinski otpad i otpad od rušenja. Glavni je cilj regulatornog okvira uspostaviti pravni okvir koji bi bio usmjeren na građevinsku industriju na cjelovit način, od stavljanja na tržište građevnih proizvoda do gospodarenja otpadom nastalim u toj industriji, uzimajući u obzir utjecaj industrije na okoliš u svakoj fazi. </w:t>
            </w:r>
          </w:p>
          <w:p w14:paraId="7A538C40" w14:textId="04957D8C" w:rsidR="008273B8" w:rsidRDefault="00B93063">
            <w:pPr>
              <w:pStyle w:val="P68B1DB1-Normal7"/>
              <w:spacing w:before="120" w:after="120" w:line="240" w:lineRule="auto"/>
              <w:rPr>
                <w:rFonts w:eastAsia="Calibri" w:cs="Calibri"/>
                <w:noProof/>
              </w:rPr>
            </w:pPr>
            <w:r>
              <w:rPr>
                <w:noProof/>
              </w:rPr>
              <w:t>Regulatorni okvir strukturiran je na četiri glavna prioritetna područja navedena u strategiji kako bi se osigurao pomak prema kružnom gospodarstvu:</w:t>
            </w:r>
          </w:p>
          <w:p w14:paraId="71C4D41C" w14:textId="270A2C69" w:rsidR="008273B8" w:rsidRDefault="00B93063">
            <w:pPr>
              <w:pStyle w:val="P68B1DB1-ListParagraph10"/>
              <w:numPr>
                <w:ilvl w:val="0"/>
                <w:numId w:val="48"/>
              </w:numPr>
              <w:spacing w:after="0" w:line="240" w:lineRule="auto"/>
              <w:rPr>
                <w:rFonts w:eastAsia="Calibri" w:cs="Calibri"/>
                <w:noProof/>
              </w:rPr>
            </w:pPr>
            <w:r>
              <w:rPr>
                <w:noProof/>
              </w:rPr>
              <w:t xml:space="preserve">sprečavanje i bolje gospodarenje građevinskim otpadom i otpadom od rušenja u svakoj fazi razvoja, odnosno u fazama rušenja, iskapanja i izgradnje; </w:t>
            </w:r>
          </w:p>
          <w:p w14:paraId="75314A62" w14:textId="77777777" w:rsidR="008273B8" w:rsidRDefault="00B93063">
            <w:pPr>
              <w:pStyle w:val="P68B1DB1-ListParagraph10"/>
              <w:numPr>
                <w:ilvl w:val="0"/>
                <w:numId w:val="48"/>
              </w:numPr>
              <w:spacing w:after="0" w:line="240" w:lineRule="auto"/>
              <w:rPr>
                <w:rFonts w:eastAsia="Times New Roman" w:cs="Calibri"/>
                <w:noProof/>
              </w:rPr>
            </w:pPr>
            <w:r>
              <w:rPr>
                <w:noProof/>
              </w:rPr>
              <w:t xml:space="preserve">odvajanje otpada na izvoru; </w:t>
            </w:r>
          </w:p>
          <w:p w14:paraId="493B9233" w14:textId="77777777" w:rsidR="008273B8" w:rsidRDefault="00B93063">
            <w:pPr>
              <w:pStyle w:val="P68B1DB1-ListParagraph10"/>
              <w:numPr>
                <w:ilvl w:val="0"/>
                <w:numId w:val="48"/>
              </w:numPr>
              <w:spacing w:after="0" w:line="240" w:lineRule="auto"/>
              <w:rPr>
                <w:rFonts w:eastAsia="Times New Roman" w:cs="Calibri"/>
                <w:noProof/>
              </w:rPr>
            </w:pPr>
            <w:r>
              <w:rPr>
                <w:noProof/>
              </w:rPr>
              <w:t xml:space="preserve">promicanje razvoja sekundarnih tržišta za resurse na kraju životnog vijeka, kao i prijelaz s oporabe i odlaganja na ponovnu uporabu i recikliranje. </w:t>
            </w:r>
          </w:p>
          <w:p w14:paraId="7A538C41" w14:textId="269F52E3" w:rsidR="008273B8" w:rsidRDefault="00B93063">
            <w:pPr>
              <w:pStyle w:val="P68B1DB1-Normal7"/>
              <w:spacing w:after="0" w:line="240" w:lineRule="auto"/>
              <w:rPr>
                <w:rFonts w:eastAsia="Times New Roman" w:cs="Calibri"/>
                <w:noProof/>
              </w:rPr>
            </w:pPr>
            <w:r>
              <w:rPr>
                <w:noProof/>
              </w:rPr>
              <w:t>Osim toga, navedenim se propisima jasno utvrđuju i definiraju uloge i odgovornosti sudionika (kao što su investitori, izvođači radova, arhitekti i vlasnici nekretnina) uključenih u sektor.</w:t>
            </w:r>
          </w:p>
        </w:tc>
      </w:tr>
      <w:tr w:rsidR="008273B8" w14:paraId="7A538C4E" w14:textId="77777777">
        <w:trPr>
          <w:cantSplit/>
          <w:jc w:val="center"/>
        </w:trPr>
        <w:tc>
          <w:tcPr>
            <w:tcW w:w="1247" w:type="dxa"/>
            <w:shd w:val="clear" w:color="auto" w:fill="C6EFCE"/>
            <w:vAlign w:val="center"/>
          </w:tcPr>
          <w:p w14:paraId="7A538C43" w14:textId="77777777" w:rsidR="008273B8" w:rsidRDefault="00B93063">
            <w:pPr>
              <w:pStyle w:val="P68B1DB1-Normal7"/>
              <w:spacing w:after="0" w:line="240" w:lineRule="auto"/>
              <w:rPr>
                <w:rFonts w:eastAsia="Times New Roman" w:cs="Calibri"/>
                <w:noProof/>
              </w:rPr>
            </w:pPr>
            <w:r>
              <w:rPr>
                <w:noProof/>
              </w:rPr>
              <w:t>1.11</w:t>
            </w:r>
          </w:p>
        </w:tc>
        <w:tc>
          <w:tcPr>
            <w:tcW w:w="1085" w:type="dxa"/>
            <w:shd w:val="clear" w:color="auto" w:fill="C6EFCE"/>
            <w:vAlign w:val="center"/>
          </w:tcPr>
          <w:p w14:paraId="7A538C44" w14:textId="77777777" w:rsidR="008273B8" w:rsidRDefault="00B93063">
            <w:pPr>
              <w:pStyle w:val="P68B1DB1-Normal7"/>
              <w:spacing w:after="0" w:line="240" w:lineRule="auto"/>
              <w:rPr>
                <w:rFonts w:eastAsia="Times New Roman" w:cs="Calibri"/>
                <w:noProof/>
              </w:rPr>
            </w:pPr>
            <w:r>
              <w:rPr>
                <w:noProof/>
              </w:rPr>
              <w:t>C1.R.2</w:t>
            </w:r>
          </w:p>
        </w:tc>
        <w:tc>
          <w:tcPr>
            <w:tcW w:w="1014" w:type="dxa"/>
            <w:shd w:val="clear" w:color="auto" w:fill="C6EFCE"/>
            <w:vAlign w:val="center"/>
          </w:tcPr>
          <w:p w14:paraId="7A538C45" w14:textId="77777777" w:rsidR="008273B8" w:rsidRDefault="00B93063">
            <w:pPr>
              <w:pStyle w:val="P68B1DB1-Normal7"/>
              <w:spacing w:after="0" w:line="240" w:lineRule="auto"/>
              <w:rPr>
                <w:rFonts w:eastAsia="Times New Roman" w:cs="Calibri"/>
                <w:noProof/>
              </w:rPr>
            </w:pPr>
            <w:r>
              <w:rPr>
                <w:noProof/>
              </w:rPr>
              <w:t>Ključna etapa</w:t>
            </w:r>
          </w:p>
        </w:tc>
        <w:tc>
          <w:tcPr>
            <w:tcW w:w="1401" w:type="dxa"/>
            <w:shd w:val="clear" w:color="auto" w:fill="C6EFCE"/>
            <w:vAlign w:val="center"/>
          </w:tcPr>
          <w:p w14:paraId="7A538C46" w14:textId="77777777" w:rsidR="008273B8" w:rsidRDefault="00B93063">
            <w:pPr>
              <w:pStyle w:val="P68B1DB1-Normal7"/>
              <w:spacing w:after="0" w:line="240" w:lineRule="auto"/>
              <w:rPr>
                <w:rFonts w:eastAsia="Times New Roman" w:cs="Calibri"/>
                <w:noProof/>
              </w:rPr>
            </w:pPr>
            <w:r>
              <w:rPr>
                <w:noProof/>
                <w:color w:val="000000"/>
                <w:bdr w:val="none" w:sz="0" w:space="0" w:color="auto" w:frame="1"/>
              </w:rPr>
              <w:t>Oporaba građevinskog otpada i otpada od rušenja kroz nasipavanje</w:t>
            </w:r>
            <w:r>
              <w:rPr>
                <w:noProof/>
              </w:rPr>
              <w:t xml:space="preserve"> praznih prostora (kvaričara)</w:t>
            </w:r>
          </w:p>
        </w:tc>
        <w:tc>
          <w:tcPr>
            <w:tcW w:w="1869" w:type="dxa"/>
            <w:shd w:val="clear" w:color="auto" w:fill="C6EFCE"/>
            <w:vAlign w:val="center"/>
          </w:tcPr>
          <w:p w14:paraId="7A538C47" w14:textId="77777777" w:rsidR="008273B8" w:rsidRDefault="00B93063">
            <w:pPr>
              <w:pStyle w:val="P68B1DB1-Normal7"/>
              <w:spacing w:after="0" w:line="240" w:lineRule="auto"/>
              <w:rPr>
                <w:rFonts w:eastAsia="Times New Roman" w:cs="Calibri"/>
                <w:noProof/>
              </w:rPr>
            </w:pPr>
            <w:r>
              <w:rPr>
                <w:noProof/>
              </w:rPr>
              <w:t>Postoje uvjeti za oporabu građevinskog otpada i otpada od rušenja u praznim prostorima</w:t>
            </w:r>
          </w:p>
        </w:tc>
        <w:tc>
          <w:tcPr>
            <w:tcW w:w="943" w:type="dxa"/>
            <w:shd w:val="clear" w:color="auto" w:fill="C6EFCE"/>
            <w:vAlign w:val="center"/>
          </w:tcPr>
          <w:p w14:paraId="7A538C48" w14:textId="77777777" w:rsidR="008273B8" w:rsidRDefault="008273B8">
            <w:pPr>
              <w:spacing w:after="0" w:line="240" w:lineRule="auto"/>
              <w:jc w:val="center"/>
              <w:rPr>
                <w:rFonts w:ascii="Calibri" w:eastAsia="Times New Roman" w:hAnsi="Calibri" w:cs="Calibri"/>
                <w:noProof/>
                <w:sz w:val="18"/>
              </w:rPr>
            </w:pPr>
          </w:p>
        </w:tc>
        <w:tc>
          <w:tcPr>
            <w:tcW w:w="943" w:type="dxa"/>
            <w:shd w:val="clear" w:color="auto" w:fill="C6EFCE"/>
            <w:vAlign w:val="center"/>
          </w:tcPr>
          <w:p w14:paraId="7A538C49" w14:textId="77777777" w:rsidR="008273B8" w:rsidRDefault="008273B8">
            <w:pPr>
              <w:spacing w:after="0" w:line="240" w:lineRule="auto"/>
              <w:jc w:val="center"/>
              <w:rPr>
                <w:rFonts w:ascii="Calibri" w:eastAsia="Times New Roman" w:hAnsi="Calibri" w:cs="Calibri"/>
                <w:noProof/>
                <w:sz w:val="18"/>
              </w:rPr>
            </w:pPr>
          </w:p>
        </w:tc>
        <w:tc>
          <w:tcPr>
            <w:tcW w:w="849" w:type="dxa"/>
            <w:shd w:val="clear" w:color="auto" w:fill="C6EFCE"/>
            <w:vAlign w:val="center"/>
          </w:tcPr>
          <w:p w14:paraId="7A538C4A" w14:textId="77777777" w:rsidR="008273B8" w:rsidRDefault="008273B8">
            <w:pPr>
              <w:spacing w:after="0" w:line="240" w:lineRule="auto"/>
              <w:jc w:val="center"/>
              <w:rPr>
                <w:rFonts w:ascii="Calibri" w:eastAsia="Times New Roman" w:hAnsi="Calibri" w:cs="Calibri"/>
                <w:noProof/>
                <w:sz w:val="18"/>
              </w:rPr>
            </w:pPr>
          </w:p>
        </w:tc>
        <w:tc>
          <w:tcPr>
            <w:tcW w:w="850" w:type="dxa"/>
            <w:shd w:val="clear" w:color="auto" w:fill="C6EFCE"/>
            <w:vAlign w:val="center"/>
          </w:tcPr>
          <w:p w14:paraId="7A538C4B"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58" w:type="dxa"/>
            <w:shd w:val="clear" w:color="auto" w:fill="C6EFCE"/>
            <w:vAlign w:val="center"/>
          </w:tcPr>
          <w:p w14:paraId="7A538C4C" w14:textId="77777777" w:rsidR="008273B8" w:rsidRDefault="00B93063">
            <w:pPr>
              <w:pStyle w:val="P68B1DB1-Normal7"/>
              <w:spacing w:after="0" w:line="240" w:lineRule="auto"/>
              <w:jc w:val="center"/>
              <w:rPr>
                <w:rFonts w:eastAsia="Times New Roman" w:cs="Calibri"/>
                <w:noProof/>
              </w:rPr>
            </w:pPr>
            <w:r>
              <w:rPr>
                <w:noProof/>
              </w:rPr>
              <w:t>2022</w:t>
            </w:r>
          </w:p>
        </w:tc>
        <w:tc>
          <w:tcPr>
            <w:tcW w:w="4734" w:type="dxa"/>
            <w:shd w:val="clear" w:color="auto" w:fill="C6EFCE"/>
            <w:vAlign w:val="center"/>
          </w:tcPr>
          <w:p w14:paraId="7A538C4D" w14:textId="77777777" w:rsidR="008273B8" w:rsidRDefault="00B93063">
            <w:pPr>
              <w:pStyle w:val="P68B1DB1-Normal7"/>
              <w:spacing w:after="0" w:line="240" w:lineRule="auto"/>
              <w:rPr>
                <w:rFonts w:eastAsia="Calibri" w:cs="Calibri"/>
                <w:noProof/>
                <w:color w:val="000000" w:themeColor="text1"/>
              </w:rPr>
            </w:pPr>
            <w:r>
              <w:rPr>
                <w:noProof/>
              </w:rPr>
              <w:t xml:space="preserve">Postoje sljedeći uvjeti za oporabu građevinskog otpada i otpada od rušenja u praznim prostorima kako bi se obnovio otpad u izvornom stanju s visokim ekološkim standardima: (i) tijelo za okoliš i resurse, u suradnji s tijelom za planiranje, utvrdilo je kamenolome koji su proglašeni djelomično iscrpljenima, iscrpljenima ili neaktivnima te utvrdilo količinu koja se u njima nalazi; ii. skup opisa poslova za vraćanje praznih prostora u njihovo izvorno stanje; i iii. mehanizme za poticanje drobljenja materijala prije nasipavanja, kao što je uključivanje drobljenja materijala prije nasipavanja kao zahtjeva pri objavi poziva na podnošenje ponuda koji uključuju građevinske radove koje provode državna tijela. Definicija takvih mehanizama utvrđuje se nakon savjetovanja s dionicima, uključujući potencijalne korisnike, relevantna tijela i druge primarne dionike. </w:t>
            </w:r>
            <w:r>
              <w:rPr>
                <w:noProof/>
                <w:color w:val="000000" w:themeColor="text1"/>
              </w:rPr>
              <w:t xml:space="preserve">Mjera ne smije dovesti do znatnog povećanja odlaganja otpada ili destimulirati pripremu za ponovnu uporabu i recikliranje otpada. </w:t>
            </w:r>
            <w:r>
              <w:rPr>
                <w:noProof/>
              </w:rPr>
              <w:t xml:space="preserve">Otpad koji se upotrebljava za nasipavanje mora biti odgovarajući neopasni otpad koji zamjenjuje neotpadne materijale i ograničen je na strogo potrebnu količinu, u skladu s člankom 3. stavkom 17.a Direktive 2008/98/EZ o otpadu. </w:t>
            </w:r>
          </w:p>
        </w:tc>
      </w:tr>
      <w:tr w:rsidR="008273B8" w14:paraId="7A538C5F" w14:textId="77777777">
        <w:trPr>
          <w:cantSplit/>
          <w:jc w:val="center"/>
        </w:trPr>
        <w:tc>
          <w:tcPr>
            <w:tcW w:w="1247" w:type="dxa"/>
            <w:shd w:val="clear" w:color="auto" w:fill="C6EFCE"/>
            <w:vAlign w:val="center"/>
            <w:hideMark/>
          </w:tcPr>
          <w:p w14:paraId="7A538C4F" w14:textId="09E2946F" w:rsidR="008273B8" w:rsidRDefault="00B93063">
            <w:pPr>
              <w:pStyle w:val="P68B1DB1-Normal7"/>
              <w:spacing w:after="0" w:line="240" w:lineRule="auto"/>
              <w:rPr>
                <w:rFonts w:eastAsia="Times New Roman" w:cs="Calibri"/>
                <w:noProof/>
              </w:rPr>
            </w:pPr>
            <w:r>
              <w:rPr>
                <w:noProof/>
              </w:rPr>
              <w:t>1.12</w:t>
            </w:r>
          </w:p>
        </w:tc>
        <w:tc>
          <w:tcPr>
            <w:tcW w:w="1085" w:type="dxa"/>
            <w:shd w:val="clear" w:color="auto" w:fill="C6EFCE"/>
            <w:vAlign w:val="center"/>
            <w:hideMark/>
          </w:tcPr>
          <w:p w14:paraId="7A538C50" w14:textId="77777777" w:rsidR="008273B8" w:rsidRDefault="00B93063">
            <w:pPr>
              <w:pStyle w:val="P68B1DB1-Normal7"/>
              <w:spacing w:after="0" w:line="240" w:lineRule="auto"/>
              <w:rPr>
                <w:rFonts w:eastAsia="Times New Roman" w:cs="Calibri"/>
                <w:noProof/>
              </w:rPr>
            </w:pPr>
            <w:r>
              <w:rPr>
                <w:noProof/>
              </w:rPr>
              <w:t xml:space="preserve">C1.R.2 </w:t>
            </w:r>
          </w:p>
        </w:tc>
        <w:tc>
          <w:tcPr>
            <w:tcW w:w="1014" w:type="dxa"/>
            <w:shd w:val="clear" w:color="auto" w:fill="C6EFCE"/>
            <w:vAlign w:val="center"/>
            <w:hideMark/>
          </w:tcPr>
          <w:p w14:paraId="7A538C51" w14:textId="77777777" w:rsidR="008273B8" w:rsidRDefault="00B93063">
            <w:pPr>
              <w:pStyle w:val="P68B1DB1-Normal7"/>
              <w:spacing w:after="0" w:line="240" w:lineRule="auto"/>
              <w:rPr>
                <w:rFonts w:eastAsia="Times New Roman" w:cs="Calibri"/>
                <w:noProof/>
              </w:rPr>
            </w:pPr>
            <w:r>
              <w:rPr>
                <w:noProof/>
              </w:rPr>
              <w:t>Ključna etapa</w:t>
            </w:r>
          </w:p>
        </w:tc>
        <w:tc>
          <w:tcPr>
            <w:tcW w:w="1401" w:type="dxa"/>
            <w:shd w:val="clear" w:color="auto" w:fill="C6EFCE"/>
            <w:vAlign w:val="center"/>
            <w:hideMark/>
          </w:tcPr>
          <w:p w14:paraId="7A538C52" w14:textId="2034A8EA" w:rsidR="008273B8" w:rsidRDefault="00B93063">
            <w:pPr>
              <w:pStyle w:val="P68B1DB1-Normal7"/>
              <w:spacing w:after="0" w:line="240" w:lineRule="auto"/>
              <w:rPr>
                <w:rFonts w:eastAsia="Times New Roman" w:cs="Calibri"/>
                <w:noProof/>
              </w:rPr>
            </w:pPr>
            <w:r>
              <w:rPr>
                <w:noProof/>
              </w:rPr>
              <w:t>Osnivanje šest općinskih regionalnih tijela nadležnih za prikupljanje otpada diljem Malte i Goza</w:t>
            </w:r>
          </w:p>
        </w:tc>
        <w:tc>
          <w:tcPr>
            <w:tcW w:w="1869" w:type="dxa"/>
            <w:shd w:val="clear" w:color="auto" w:fill="C6EFCE"/>
            <w:vAlign w:val="center"/>
            <w:hideMark/>
          </w:tcPr>
          <w:p w14:paraId="7A538C53" w14:textId="77777777" w:rsidR="008273B8" w:rsidRDefault="00B93063">
            <w:pPr>
              <w:pStyle w:val="P68B1DB1-Normal7"/>
              <w:spacing w:after="0" w:line="240" w:lineRule="auto"/>
              <w:rPr>
                <w:rFonts w:eastAsia="Times New Roman" w:cs="Calibri"/>
                <w:noProof/>
              </w:rPr>
            </w:pPr>
            <w:r>
              <w:rPr>
                <w:noProof/>
              </w:rPr>
              <w:t>Odgovornost za prikupljanje prebačeno na regije, uključujući prikupljanje sredstava koja se mogu reciklirati i sve centre za prikupljanje otpada u potpunosti su operativni.</w:t>
            </w:r>
          </w:p>
        </w:tc>
        <w:tc>
          <w:tcPr>
            <w:tcW w:w="943" w:type="dxa"/>
            <w:shd w:val="clear" w:color="auto" w:fill="C6EFCE"/>
            <w:vAlign w:val="center"/>
            <w:hideMark/>
          </w:tcPr>
          <w:p w14:paraId="7A538C54" w14:textId="77777777" w:rsidR="008273B8" w:rsidRDefault="008273B8">
            <w:pPr>
              <w:spacing w:after="0" w:line="240" w:lineRule="auto"/>
              <w:jc w:val="center"/>
              <w:rPr>
                <w:rFonts w:ascii="Calibri" w:eastAsia="Times New Roman" w:hAnsi="Calibri" w:cs="Calibri"/>
                <w:noProof/>
                <w:sz w:val="18"/>
              </w:rPr>
            </w:pPr>
          </w:p>
        </w:tc>
        <w:tc>
          <w:tcPr>
            <w:tcW w:w="943" w:type="dxa"/>
            <w:shd w:val="clear" w:color="auto" w:fill="C6EFCE"/>
            <w:vAlign w:val="center"/>
            <w:hideMark/>
          </w:tcPr>
          <w:p w14:paraId="7A538C55" w14:textId="77777777" w:rsidR="008273B8" w:rsidRDefault="008273B8">
            <w:pPr>
              <w:spacing w:after="0" w:line="240" w:lineRule="auto"/>
              <w:jc w:val="center"/>
              <w:rPr>
                <w:rFonts w:ascii="Calibri" w:eastAsia="Times New Roman" w:hAnsi="Calibri" w:cs="Calibri"/>
                <w:noProof/>
                <w:sz w:val="18"/>
              </w:rPr>
            </w:pPr>
          </w:p>
        </w:tc>
        <w:tc>
          <w:tcPr>
            <w:tcW w:w="849" w:type="dxa"/>
            <w:shd w:val="clear" w:color="auto" w:fill="C6EFCE"/>
            <w:vAlign w:val="center"/>
            <w:hideMark/>
          </w:tcPr>
          <w:p w14:paraId="7A538C56" w14:textId="77777777" w:rsidR="008273B8" w:rsidRDefault="008273B8">
            <w:pPr>
              <w:spacing w:after="0" w:line="240" w:lineRule="auto"/>
              <w:jc w:val="center"/>
              <w:rPr>
                <w:rFonts w:ascii="Calibri" w:eastAsia="Times New Roman" w:hAnsi="Calibri" w:cs="Calibri"/>
                <w:noProof/>
                <w:sz w:val="18"/>
              </w:rPr>
            </w:pPr>
          </w:p>
        </w:tc>
        <w:tc>
          <w:tcPr>
            <w:tcW w:w="850" w:type="dxa"/>
            <w:shd w:val="clear" w:color="auto" w:fill="C6EFCE"/>
            <w:vAlign w:val="center"/>
            <w:hideMark/>
          </w:tcPr>
          <w:p w14:paraId="7A538C57"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58" w:type="dxa"/>
            <w:shd w:val="clear" w:color="auto" w:fill="C6EFCE"/>
            <w:vAlign w:val="center"/>
            <w:hideMark/>
          </w:tcPr>
          <w:p w14:paraId="7A538C58" w14:textId="77777777" w:rsidR="008273B8" w:rsidRDefault="00B93063">
            <w:pPr>
              <w:pStyle w:val="P68B1DB1-Normal7"/>
              <w:spacing w:after="0" w:line="240" w:lineRule="auto"/>
              <w:jc w:val="center"/>
              <w:rPr>
                <w:rFonts w:eastAsia="Times New Roman" w:cs="Calibri"/>
                <w:noProof/>
              </w:rPr>
            </w:pPr>
            <w:r>
              <w:rPr>
                <w:noProof/>
              </w:rPr>
              <w:t>2022</w:t>
            </w:r>
          </w:p>
        </w:tc>
        <w:tc>
          <w:tcPr>
            <w:tcW w:w="4734" w:type="dxa"/>
            <w:shd w:val="clear" w:color="auto" w:fill="C6EFCE"/>
            <w:vAlign w:val="center"/>
            <w:hideMark/>
          </w:tcPr>
          <w:p w14:paraId="7A538C59" w14:textId="46D12068" w:rsidR="008273B8" w:rsidRDefault="00B93063">
            <w:pPr>
              <w:spacing w:after="0" w:line="240" w:lineRule="auto"/>
              <w:rPr>
                <w:rFonts w:ascii="Times New Roman" w:hAnsi="Times New Roman" w:cs="Times New Roman"/>
                <w:noProof/>
                <w:sz w:val="24"/>
              </w:rPr>
            </w:pPr>
            <w:r>
              <w:rPr>
                <w:rFonts w:ascii="Calibri" w:hAnsi="Calibri"/>
                <w:noProof/>
                <w:sz w:val="18"/>
              </w:rPr>
              <w:t xml:space="preserve">Odgovornost za skupljanje otpada prebacuje se sa 68 lokalnih vijeća na šest regija: </w:t>
            </w:r>
            <w:r>
              <w:rPr>
                <w:noProof/>
              </w:rPr>
              <w:br/>
            </w:r>
            <w:r>
              <w:rPr>
                <w:rFonts w:ascii="Calibri" w:hAnsi="Calibri"/>
                <w:noProof/>
                <w:sz w:val="18"/>
              </w:rPr>
              <w:t xml:space="preserve">a) luke (uključujući 11 lokalnih vijeća), </w:t>
            </w:r>
          </w:p>
          <w:p w14:paraId="7A538C5A" w14:textId="0BFE95DA" w:rsidR="008273B8" w:rsidRDefault="00B93063">
            <w:pPr>
              <w:pStyle w:val="P68B1DB1-Normal7"/>
              <w:spacing w:after="0" w:line="240" w:lineRule="auto"/>
              <w:rPr>
                <w:rFonts w:eastAsia="Times New Roman" w:cs="Calibri"/>
                <w:noProof/>
              </w:rPr>
            </w:pPr>
            <w:r>
              <w:rPr>
                <w:noProof/>
              </w:rPr>
              <w:t>južne (12 lokalnih vijeća),</w:t>
            </w:r>
          </w:p>
          <w:p w14:paraId="7A538C5B" w14:textId="3F8E05C3" w:rsidR="008273B8" w:rsidRDefault="00B93063">
            <w:pPr>
              <w:pStyle w:val="P68B1DB1-Normal7"/>
              <w:spacing w:after="0" w:line="240" w:lineRule="auto"/>
              <w:rPr>
                <w:rFonts w:ascii="Times New Roman" w:hAnsi="Times New Roman" w:cs="Times New Roman"/>
                <w:noProof/>
                <w:sz w:val="24"/>
              </w:rPr>
            </w:pPr>
            <w:r>
              <w:rPr>
                <w:noProof/>
              </w:rPr>
              <w:t>istočnih (12 lokalnih vijeća),</w:t>
            </w:r>
          </w:p>
          <w:p w14:paraId="7A538C5C" w14:textId="3656BE37" w:rsidR="008273B8" w:rsidRDefault="00B93063">
            <w:pPr>
              <w:pStyle w:val="P68B1DB1-Normal7"/>
              <w:spacing w:after="0" w:line="240" w:lineRule="auto"/>
              <w:rPr>
                <w:rFonts w:eastAsia="Times New Roman" w:cs="Calibri"/>
                <w:noProof/>
              </w:rPr>
            </w:pPr>
            <w:r>
              <w:rPr>
                <w:noProof/>
              </w:rPr>
              <w:t>d) zapadna (10 lokalnih vijeća)</w:t>
            </w:r>
          </w:p>
          <w:p w14:paraId="7A538C5D" w14:textId="32236955" w:rsidR="008273B8" w:rsidRDefault="00B93063">
            <w:pPr>
              <w:pStyle w:val="P68B1DB1-Normal7"/>
              <w:spacing w:after="0" w:line="240" w:lineRule="auto"/>
              <w:rPr>
                <w:rFonts w:eastAsia="Times New Roman" w:cs="Calibri"/>
                <w:noProof/>
              </w:rPr>
            </w:pPr>
            <w:r>
              <w:rPr>
                <w:noProof/>
              </w:rPr>
              <w:t>e) sjeverna (9 lokalnih vijeća),</w:t>
            </w:r>
          </w:p>
          <w:p w14:paraId="7A538C5E" w14:textId="0EC0B361" w:rsidR="008273B8" w:rsidRDefault="00B93063">
            <w:pPr>
              <w:pStyle w:val="P68B1DB1-Normal7"/>
              <w:spacing w:after="0" w:line="240" w:lineRule="auto"/>
              <w:rPr>
                <w:rFonts w:eastAsia="Times New Roman" w:cs="Calibri"/>
                <w:noProof/>
              </w:rPr>
            </w:pPr>
            <w:r>
              <w:rPr>
                <w:noProof/>
              </w:rPr>
              <w:t>f) Gozo (14 lokalnih vijeća). Prijelaz prikupljanja otpada na šest centara završen je. Tih šest centara potpuno je operativno i zaduženo za prikupljanje otpada.</w:t>
            </w:r>
          </w:p>
        </w:tc>
      </w:tr>
      <w:tr w:rsidR="008273B8" w14:paraId="7A538C6B" w14:textId="77777777">
        <w:trPr>
          <w:cantSplit/>
          <w:jc w:val="center"/>
        </w:trPr>
        <w:tc>
          <w:tcPr>
            <w:tcW w:w="1247" w:type="dxa"/>
            <w:shd w:val="clear" w:color="auto" w:fill="C6EFCE"/>
            <w:vAlign w:val="center"/>
            <w:hideMark/>
          </w:tcPr>
          <w:p w14:paraId="7A538C60" w14:textId="77777777" w:rsidR="008273B8" w:rsidRDefault="00B93063">
            <w:pPr>
              <w:pStyle w:val="P68B1DB1-Normal7"/>
              <w:spacing w:after="0" w:line="240" w:lineRule="auto"/>
              <w:rPr>
                <w:rFonts w:eastAsia="Times New Roman" w:cs="Calibri"/>
                <w:noProof/>
              </w:rPr>
            </w:pPr>
            <w:r>
              <w:rPr>
                <w:noProof/>
              </w:rPr>
              <w:t>1.13</w:t>
            </w:r>
          </w:p>
        </w:tc>
        <w:tc>
          <w:tcPr>
            <w:tcW w:w="1085" w:type="dxa"/>
            <w:shd w:val="clear" w:color="auto" w:fill="C6EFCE"/>
            <w:vAlign w:val="center"/>
            <w:hideMark/>
          </w:tcPr>
          <w:p w14:paraId="7A538C61" w14:textId="77777777" w:rsidR="008273B8" w:rsidRDefault="00B93063">
            <w:pPr>
              <w:pStyle w:val="P68B1DB1-Normal7"/>
              <w:spacing w:after="0" w:line="240" w:lineRule="auto"/>
              <w:rPr>
                <w:rFonts w:eastAsia="Times New Roman" w:cs="Calibri"/>
                <w:noProof/>
              </w:rPr>
            </w:pPr>
            <w:r>
              <w:rPr>
                <w:noProof/>
              </w:rPr>
              <w:t xml:space="preserve">C1.R.2 </w:t>
            </w:r>
          </w:p>
        </w:tc>
        <w:tc>
          <w:tcPr>
            <w:tcW w:w="1014" w:type="dxa"/>
            <w:shd w:val="clear" w:color="auto" w:fill="C6EFCE"/>
            <w:vAlign w:val="center"/>
            <w:hideMark/>
          </w:tcPr>
          <w:p w14:paraId="7A538C62" w14:textId="77777777" w:rsidR="008273B8" w:rsidRDefault="00B93063">
            <w:pPr>
              <w:pStyle w:val="P68B1DB1-Normal7"/>
              <w:spacing w:after="0" w:line="240" w:lineRule="auto"/>
              <w:rPr>
                <w:rFonts w:eastAsia="Times New Roman" w:cs="Calibri"/>
                <w:noProof/>
              </w:rPr>
            </w:pPr>
            <w:r>
              <w:rPr>
                <w:noProof/>
              </w:rPr>
              <w:t>Ključna etapa</w:t>
            </w:r>
          </w:p>
        </w:tc>
        <w:tc>
          <w:tcPr>
            <w:tcW w:w="1401" w:type="dxa"/>
            <w:shd w:val="clear" w:color="auto" w:fill="C6EFCE"/>
            <w:vAlign w:val="center"/>
            <w:hideMark/>
          </w:tcPr>
          <w:p w14:paraId="7A538C63" w14:textId="77777777" w:rsidR="008273B8" w:rsidRDefault="00B93063">
            <w:pPr>
              <w:pStyle w:val="P68B1DB1-Normal7"/>
              <w:spacing w:after="0" w:line="240" w:lineRule="auto"/>
              <w:rPr>
                <w:rFonts w:eastAsia="Times New Roman" w:cs="Calibri"/>
                <w:noProof/>
              </w:rPr>
            </w:pPr>
            <w:r>
              <w:rPr>
                <w:noProof/>
              </w:rPr>
              <w:t>Stupanje na snagu revidiranog zakonodavstva o ambalažnom materijalu kako bi se omogućilo regionalno prikupljanje ambalažnog otpada</w:t>
            </w:r>
          </w:p>
        </w:tc>
        <w:tc>
          <w:tcPr>
            <w:tcW w:w="1869" w:type="dxa"/>
            <w:shd w:val="clear" w:color="auto" w:fill="C6EFCE"/>
            <w:vAlign w:val="center"/>
            <w:hideMark/>
          </w:tcPr>
          <w:p w14:paraId="7A538C64" w14:textId="77777777" w:rsidR="008273B8" w:rsidRDefault="00B93063">
            <w:pPr>
              <w:pStyle w:val="P68B1DB1-Normal7"/>
              <w:spacing w:after="0" w:line="240" w:lineRule="auto"/>
              <w:rPr>
                <w:rFonts w:eastAsia="Times New Roman" w:cs="Calibri"/>
                <w:noProof/>
              </w:rPr>
            </w:pPr>
            <w:r>
              <w:rPr>
                <w:noProof/>
              </w:rPr>
              <w:t>Odredba u revidiranom zakonodavstvu o stupanju na snagu revidiranog zakonodavstva</w:t>
            </w:r>
          </w:p>
        </w:tc>
        <w:tc>
          <w:tcPr>
            <w:tcW w:w="943" w:type="dxa"/>
            <w:shd w:val="clear" w:color="auto" w:fill="C6EFCE"/>
            <w:vAlign w:val="center"/>
            <w:hideMark/>
          </w:tcPr>
          <w:p w14:paraId="7A538C65" w14:textId="77777777" w:rsidR="008273B8" w:rsidRDefault="008273B8">
            <w:pPr>
              <w:spacing w:after="0" w:line="240" w:lineRule="auto"/>
              <w:jc w:val="center"/>
              <w:rPr>
                <w:rFonts w:ascii="Calibri" w:eastAsia="Times New Roman" w:hAnsi="Calibri" w:cs="Calibri"/>
                <w:noProof/>
                <w:sz w:val="18"/>
              </w:rPr>
            </w:pPr>
          </w:p>
        </w:tc>
        <w:tc>
          <w:tcPr>
            <w:tcW w:w="943" w:type="dxa"/>
            <w:shd w:val="clear" w:color="auto" w:fill="C6EFCE"/>
            <w:vAlign w:val="center"/>
            <w:hideMark/>
          </w:tcPr>
          <w:p w14:paraId="7A538C66" w14:textId="77777777" w:rsidR="008273B8" w:rsidRDefault="008273B8">
            <w:pPr>
              <w:spacing w:after="0" w:line="240" w:lineRule="auto"/>
              <w:jc w:val="center"/>
              <w:rPr>
                <w:rFonts w:ascii="Calibri" w:eastAsia="Times New Roman" w:hAnsi="Calibri" w:cs="Calibri"/>
                <w:noProof/>
                <w:sz w:val="18"/>
              </w:rPr>
            </w:pPr>
          </w:p>
        </w:tc>
        <w:tc>
          <w:tcPr>
            <w:tcW w:w="849" w:type="dxa"/>
            <w:shd w:val="clear" w:color="auto" w:fill="C6EFCE"/>
            <w:vAlign w:val="center"/>
            <w:hideMark/>
          </w:tcPr>
          <w:p w14:paraId="7A538C67" w14:textId="77777777" w:rsidR="008273B8" w:rsidRDefault="008273B8">
            <w:pPr>
              <w:spacing w:after="0" w:line="240" w:lineRule="auto"/>
              <w:jc w:val="center"/>
              <w:rPr>
                <w:rFonts w:ascii="Calibri" w:eastAsia="Times New Roman" w:hAnsi="Calibri" w:cs="Calibri"/>
                <w:noProof/>
                <w:sz w:val="18"/>
              </w:rPr>
            </w:pPr>
          </w:p>
        </w:tc>
        <w:tc>
          <w:tcPr>
            <w:tcW w:w="850" w:type="dxa"/>
            <w:shd w:val="clear" w:color="auto" w:fill="C6EFCE"/>
            <w:vAlign w:val="center"/>
            <w:hideMark/>
          </w:tcPr>
          <w:p w14:paraId="7A538C68"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58" w:type="dxa"/>
            <w:shd w:val="clear" w:color="auto" w:fill="C6EFCE"/>
            <w:vAlign w:val="center"/>
            <w:hideMark/>
          </w:tcPr>
          <w:p w14:paraId="7A538C69" w14:textId="77777777" w:rsidR="008273B8" w:rsidRDefault="00B93063">
            <w:pPr>
              <w:pStyle w:val="P68B1DB1-Normal7"/>
              <w:spacing w:after="0" w:line="240" w:lineRule="auto"/>
              <w:jc w:val="center"/>
              <w:rPr>
                <w:rFonts w:eastAsia="Times New Roman" w:cs="Calibri"/>
                <w:noProof/>
              </w:rPr>
            </w:pPr>
            <w:r>
              <w:rPr>
                <w:noProof/>
              </w:rPr>
              <w:t>2022</w:t>
            </w:r>
          </w:p>
        </w:tc>
        <w:tc>
          <w:tcPr>
            <w:tcW w:w="4734" w:type="dxa"/>
            <w:shd w:val="clear" w:color="auto" w:fill="C6EFCE"/>
            <w:vAlign w:val="center"/>
            <w:hideMark/>
          </w:tcPr>
          <w:p w14:paraId="7A538C6A" w14:textId="77777777" w:rsidR="008273B8" w:rsidRDefault="00B93063">
            <w:pPr>
              <w:spacing w:after="0" w:line="240" w:lineRule="auto"/>
              <w:rPr>
                <w:rFonts w:ascii="Calibri" w:eastAsia="Times New Roman" w:hAnsi="Calibri" w:cs="Calibri"/>
                <w:noProof/>
                <w:sz w:val="18"/>
              </w:rPr>
            </w:pPr>
            <w:r>
              <w:rPr>
                <w:rFonts w:ascii="Calibri" w:hAnsi="Calibri"/>
                <w:noProof/>
                <w:sz w:val="18"/>
              </w:rPr>
              <w:t xml:space="preserve">Stupanje na snagu revidiranog zakonodavstva o ambalažnom materijalu kojim se omogućuje regionalno prikupljanje ambalažnog otpada. To će se temeljiti na zakonodavstvu za regionalno prikupljanje otpada koje je utvrđeno Zakonom o lokalnoj upravi. </w:t>
            </w:r>
            <w:r>
              <w:rPr>
                <w:noProof/>
              </w:rPr>
              <w:br/>
            </w:r>
            <w:r>
              <w:rPr>
                <w:rFonts w:ascii="Calibri" w:hAnsi="Calibri"/>
                <w:noProof/>
                <w:sz w:val="18"/>
              </w:rPr>
              <w:t xml:space="preserve">Regionalna vijeća odgovorna su za logistiku kako bi se omogućila ekonomija razmjera, dok su proizvođači odgovorni za financiranje. </w:t>
            </w:r>
          </w:p>
        </w:tc>
      </w:tr>
      <w:tr w:rsidR="008273B8" w14:paraId="7A538C84" w14:textId="77777777">
        <w:trPr>
          <w:cantSplit/>
          <w:jc w:val="center"/>
        </w:trPr>
        <w:tc>
          <w:tcPr>
            <w:tcW w:w="1247" w:type="dxa"/>
            <w:shd w:val="clear" w:color="auto" w:fill="C6EFCE"/>
            <w:vAlign w:val="center"/>
            <w:hideMark/>
          </w:tcPr>
          <w:p w14:paraId="7A538C78" w14:textId="54651DFF" w:rsidR="008273B8" w:rsidRDefault="00B93063">
            <w:pPr>
              <w:pStyle w:val="P68B1DB1-Normal7"/>
              <w:spacing w:after="0" w:line="240" w:lineRule="auto"/>
              <w:rPr>
                <w:rFonts w:eastAsia="Times New Roman" w:cs="Calibri"/>
                <w:noProof/>
              </w:rPr>
            </w:pPr>
            <w:r>
              <w:rPr>
                <w:noProof/>
              </w:rPr>
              <w:t>1.15</w:t>
            </w:r>
          </w:p>
        </w:tc>
        <w:tc>
          <w:tcPr>
            <w:tcW w:w="1085" w:type="dxa"/>
            <w:shd w:val="clear" w:color="auto" w:fill="C6EFCE"/>
            <w:vAlign w:val="center"/>
            <w:hideMark/>
          </w:tcPr>
          <w:p w14:paraId="7A538C79" w14:textId="77777777" w:rsidR="008273B8" w:rsidRDefault="00B93063">
            <w:pPr>
              <w:pStyle w:val="P68B1DB1-Normal7"/>
              <w:spacing w:after="0" w:line="240" w:lineRule="auto"/>
              <w:rPr>
                <w:rFonts w:eastAsia="Times New Roman" w:cs="Calibri"/>
                <w:noProof/>
              </w:rPr>
            </w:pPr>
            <w:r>
              <w:rPr>
                <w:noProof/>
              </w:rPr>
              <w:t xml:space="preserve">C1.I.1 </w:t>
            </w:r>
          </w:p>
        </w:tc>
        <w:tc>
          <w:tcPr>
            <w:tcW w:w="1014" w:type="dxa"/>
            <w:shd w:val="clear" w:color="auto" w:fill="C6EFCE"/>
            <w:vAlign w:val="center"/>
            <w:hideMark/>
          </w:tcPr>
          <w:p w14:paraId="7A538C7A" w14:textId="77777777" w:rsidR="008273B8" w:rsidRDefault="00B93063">
            <w:pPr>
              <w:pStyle w:val="P68B1DB1-Normal7"/>
              <w:spacing w:after="0" w:line="240" w:lineRule="auto"/>
              <w:rPr>
                <w:rFonts w:eastAsia="Times New Roman" w:cs="Calibri"/>
                <w:noProof/>
              </w:rPr>
            </w:pPr>
            <w:r>
              <w:rPr>
                <w:noProof/>
              </w:rPr>
              <w:t>Ključna etapa</w:t>
            </w:r>
          </w:p>
        </w:tc>
        <w:tc>
          <w:tcPr>
            <w:tcW w:w="1401" w:type="dxa"/>
            <w:shd w:val="clear" w:color="auto" w:fill="C6EFCE"/>
            <w:vAlign w:val="center"/>
            <w:hideMark/>
          </w:tcPr>
          <w:p w14:paraId="7A538C7B" w14:textId="77777777" w:rsidR="008273B8" w:rsidRDefault="00B93063">
            <w:pPr>
              <w:pStyle w:val="P68B1DB1-Normal7"/>
              <w:spacing w:after="0" w:line="240" w:lineRule="auto"/>
              <w:rPr>
                <w:rFonts w:eastAsia="Times New Roman" w:cs="Calibri"/>
                <w:noProof/>
              </w:rPr>
            </w:pPr>
            <w:r>
              <w:rPr>
                <w:noProof/>
              </w:rPr>
              <w:t>Ugovorene usluge obnove javnih zgrada</w:t>
            </w:r>
          </w:p>
        </w:tc>
        <w:tc>
          <w:tcPr>
            <w:tcW w:w="1869" w:type="dxa"/>
            <w:shd w:val="clear" w:color="auto" w:fill="C6EFCE"/>
            <w:vAlign w:val="center"/>
            <w:hideMark/>
          </w:tcPr>
          <w:p w14:paraId="7A538C7C" w14:textId="77777777" w:rsidR="008273B8" w:rsidRDefault="00B93063">
            <w:pPr>
              <w:pStyle w:val="P68B1DB1-Normal7"/>
              <w:spacing w:after="0" w:line="240" w:lineRule="auto"/>
              <w:rPr>
                <w:rFonts w:eastAsia="Times New Roman" w:cs="Calibri"/>
                <w:noProof/>
              </w:rPr>
            </w:pPr>
            <w:r>
              <w:rPr>
                <w:noProof/>
              </w:rPr>
              <w:t>Potpisani ugovori za nabavu usluga obnove za odabrane javne zgrade obuhvaćene ovim ulaganjem</w:t>
            </w:r>
          </w:p>
        </w:tc>
        <w:tc>
          <w:tcPr>
            <w:tcW w:w="943" w:type="dxa"/>
            <w:shd w:val="clear" w:color="auto" w:fill="C6EFCE"/>
            <w:vAlign w:val="center"/>
            <w:hideMark/>
          </w:tcPr>
          <w:p w14:paraId="7A538C7D" w14:textId="77777777" w:rsidR="008273B8" w:rsidRDefault="008273B8">
            <w:pPr>
              <w:spacing w:after="0" w:line="240" w:lineRule="auto"/>
              <w:jc w:val="center"/>
              <w:rPr>
                <w:rFonts w:ascii="Calibri" w:eastAsia="Times New Roman" w:hAnsi="Calibri" w:cs="Calibri"/>
                <w:noProof/>
                <w:sz w:val="18"/>
              </w:rPr>
            </w:pPr>
          </w:p>
        </w:tc>
        <w:tc>
          <w:tcPr>
            <w:tcW w:w="943" w:type="dxa"/>
            <w:shd w:val="clear" w:color="auto" w:fill="C6EFCE"/>
            <w:vAlign w:val="center"/>
            <w:hideMark/>
          </w:tcPr>
          <w:p w14:paraId="7A538C7E" w14:textId="77777777" w:rsidR="008273B8" w:rsidRDefault="008273B8">
            <w:pPr>
              <w:spacing w:after="0" w:line="240" w:lineRule="auto"/>
              <w:jc w:val="center"/>
              <w:rPr>
                <w:rFonts w:ascii="Calibri" w:eastAsia="Times New Roman" w:hAnsi="Calibri" w:cs="Calibri"/>
                <w:noProof/>
                <w:sz w:val="18"/>
              </w:rPr>
            </w:pPr>
          </w:p>
        </w:tc>
        <w:tc>
          <w:tcPr>
            <w:tcW w:w="849" w:type="dxa"/>
            <w:shd w:val="clear" w:color="auto" w:fill="C6EFCE"/>
            <w:vAlign w:val="center"/>
            <w:hideMark/>
          </w:tcPr>
          <w:p w14:paraId="7A538C7F" w14:textId="77777777" w:rsidR="008273B8" w:rsidRDefault="008273B8">
            <w:pPr>
              <w:spacing w:after="0" w:line="240" w:lineRule="auto"/>
              <w:jc w:val="center"/>
              <w:rPr>
                <w:rFonts w:ascii="Calibri" w:eastAsia="Times New Roman" w:hAnsi="Calibri" w:cs="Calibri"/>
                <w:noProof/>
                <w:sz w:val="18"/>
              </w:rPr>
            </w:pPr>
          </w:p>
        </w:tc>
        <w:tc>
          <w:tcPr>
            <w:tcW w:w="850" w:type="dxa"/>
            <w:shd w:val="clear" w:color="auto" w:fill="C6EFCE"/>
            <w:vAlign w:val="center"/>
            <w:hideMark/>
          </w:tcPr>
          <w:p w14:paraId="7A538C80" w14:textId="77777777" w:rsidR="008273B8" w:rsidRDefault="00B93063">
            <w:pPr>
              <w:pStyle w:val="P68B1DB1-Normal7"/>
              <w:spacing w:after="0" w:line="240" w:lineRule="auto"/>
              <w:jc w:val="center"/>
              <w:rPr>
                <w:rFonts w:eastAsia="Times New Roman" w:cs="Calibri"/>
                <w:noProof/>
              </w:rPr>
            </w:pPr>
            <w:r>
              <w:rPr>
                <w:noProof/>
              </w:rPr>
              <w:t>Q2</w:t>
            </w:r>
          </w:p>
        </w:tc>
        <w:tc>
          <w:tcPr>
            <w:tcW w:w="658" w:type="dxa"/>
            <w:shd w:val="clear" w:color="auto" w:fill="C6EFCE"/>
            <w:vAlign w:val="center"/>
            <w:hideMark/>
          </w:tcPr>
          <w:p w14:paraId="7A538C81" w14:textId="77777777" w:rsidR="008273B8" w:rsidRDefault="00B93063">
            <w:pPr>
              <w:pStyle w:val="P68B1DB1-Normal7"/>
              <w:spacing w:after="0" w:line="240" w:lineRule="auto"/>
              <w:jc w:val="center"/>
              <w:rPr>
                <w:rFonts w:eastAsia="Times New Roman" w:cs="Calibri"/>
                <w:noProof/>
              </w:rPr>
            </w:pPr>
            <w:r>
              <w:rPr>
                <w:noProof/>
              </w:rPr>
              <w:t>2023</w:t>
            </w:r>
          </w:p>
        </w:tc>
        <w:tc>
          <w:tcPr>
            <w:tcW w:w="4734" w:type="dxa"/>
            <w:shd w:val="clear" w:color="auto" w:fill="C6EFCE"/>
            <w:vAlign w:val="center"/>
            <w:hideMark/>
          </w:tcPr>
          <w:p w14:paraId="7A538C82" w14:textId="77777777" w:rsidR="008273B8" w:rsidRDefault="00B93063">
            <w:pPr>
              <w:pStyle w:val="P68B1DB1-Normal9"/>
              <w:spacing w:after="0" w:line="240" w:lineRule="auto"/>
              <w:rPr>
                <w:rFonts w:ascii="Calibri" w:eastAsia="Times New Roman" w:hAnsi="Calibri" w:cs="Calibri"/>
                <w:noProof/>
              </w:rPr>
            </w:pPr>
            <w:r>
              <w:rPr>
                <w:rFonts w:ascii="Calibri" w:hAnsi="Calibri"/>
                <w:noProof/>
              </w:rPr>
              <w:t>Svi potpisani ugovori za nabavu usluga obnove javnih zgrada površine najmanje 9 232 m²</w:t>
            </w:r>
            <w:r>
              <w:rPr>
                <w:noProof/>
                <w:vertAlign w:val="superscript"/>
              </w:rPr>
              <w:t>.</w:t>
            </w:r>
            <w:r>
              <w:rPr>
                <w:rFonts w:ascii="Calibri" w:hAnsi="Calibri"/>
                <w:noProof/>
              </w:rPr>
              <w:t xml:space="preserve"> </w:t>
            </w:r>
          </w:p>
          <w:p w14:paraId="7A538C83" w14:textId="77777777" w:rsidR="008273B8" w:rsidRDefault="00B93063">
            <w:pPr>
              <w:pStyle w:val="P68B1DB1-Normal7"/>
              <w:spacing w:after="0" w:line="240" w:lineRule="auto"/>
              <w:rPr>
                <w:rFonts w:eastAsia="Times New Roman" w:cs="Calibri"/>
                <w:noProof/>
              </w:rPr>
            </w:pPr>
            <w:r>
              <w:rPr>
                <w:noProof/>
              </w:rPr>
              <w:t>Obnovom se postiže smanjenje potražnje za primarnom energijom za najmanje 30 %.</w:t>
            </w:r>
          </w:p>
        </w:tc>
      </w:tr>
      <w:tr w:rsidR="008273B8" w14:paraId="7A538C91" w14:textId="77777777">
        <w:trPr>
          <w:cantSplit/>
          <w:jc w:val="center"/>
        </w:trPr>
        <w:tc>
          <w:tcPr>
            <w:tcW w:w="1247" w:type="dxa"/>
            <w:shd w:val="clear" w:color="auto" w:fill="C6EFCE"/>
            <w:vAlign w:val="center"/>
            <w:hideMark/>
          </w:tcPr>
          <w:p w14:paraId="7A538C85" w14:textId="77777777" w:rsidR="008273B8" w:rsidRDefault="00B93063">
            <w:pPr>
              <w:pStyle w:val="P68B1DB1-Normal7"/>
              <w:spacing w:after="0" w:line="240" w:lineRule="auto"/>
              <w:rPr>
                <w:rFonts w:eastAsia="Times New Roman" w:cs="Calibri"/>
                <w:noProof/>
              </w:rPr>
            </w:pPr>
            <w:r>
              <w:rPr>
                <w:noProof/>
              </w:rPr>
              <w:t>1.16</w:t>
            </w:r>
          </w:p>
        </w:tc>
        <w:tc>
          <w:tcPr>
            <w:tcW w:w="1085" w:type="dxa"/>
            <w:shd w:val="clear" w:color="auto" w:fill="C6EFCE"/>
            <w:vAlign w:val="center"/>
            <w:hideMark/>
          </w:tcPr>
          <w:p w14:paraId="7A538C86" w14:textId="77777777" w:rsidR="008273B8" w:rsidRDefault="00B93063">
            <w:pPr>
              <w:pStyle w:val="P68B1DB1-Normal7"/>
              <w:spacing w:after="0" w:line="240" w:lineRule="auto"/>
              <w:rPr>
                <w:rFonts w:eastAsia="Times New Roman" w:cs="Calibri"/>
                <w:noProof/>
              </w:rPr>
            </w:pPr>
            <w:r>
              <w:rPr>
                <w:noProof/>
              </w:rPr>
              <w:t xml:space="preserve">C1.I.1 </w:t>
            </w:r>
          </w:p>
        </w:tc>
        <w:tc>
          <w:tcPr>
            <w:tcW w:w="1014" w:type="dxa"/>
            <w:shd w:val="clear" w:color="auto" w:fill="C6EFCE"/>
            <w:vAlign w:val="center"/>
            <w:hideMark/>
          </w:tcPr>
          <w:p w14:paraId="7A538C87" w14:textId="77777777" w:rsidR="008273B8" w:rsidRDefault="00B93063">
            <w:pPr>
              <w:pStyle w:val="P68B1DB1-Normal7"/>
              <w:spacing w:after="0" w:line="240" w:lineRule="auto"/>
              <w:rPr>
                <w:rFonts w:eastAsia="Times New Roman" w:cs="Calibri"/>
                <w:noProof/>
              </w:rPr>
            </w:pPr>
            <w:r>
              <w:rPr>
                <w:noProof/>
              </w:rPr>
              <w:t xml:space="preserve">Ciljna vrijednost </w:t>
            </w:r>
          </w:p>
        </w:tc>
        <w:tc>
          <w:tcPr>
            <w:tcW w:w="1401" w:type="dxa"/>
            <w:shd w:val="clear" w:color="auto" w:fill="C6EFCE"/>
            <w:vAlign w:val="center"/>
            <w:hideMark/>
          </w:tcPr>
          <w:p w14:paraId="7A538C88" w14:textId="77777777" w:rsidR="008273B8" w:rsidRDefault="00B93063">
            <w:pPr>
              <w:pStyle w:val="P68B1DB1-Normal7"/>
              <w:spacing w:after="0" w:line="240" w:lineRule="auto"/>
              <w:rPr>
                <w:rFonts w:eastAsia="Times New Roman" w:cs="Calibri"/>
                <w:noProof/>
              </w:rPr>
            </w:pPr>
            <w:r>
              <w:rPr>
                <w:noProof/>
              </w:rPr>
              <w:t>Obnovljene javne zgrade</w:t>
            </w:r>
          </w:p>
        </w:tc>
        <w:tc>
          <w:tcPr>
            <w:tcW w:w="1869" w:type="dxa"/>
            <w:shd w:val="clear" w:color="auto" w:fill="C6EFCE"/>
            <w:vAlign w:val="center"/>
            <w:hideMark/>
          </w:tcPr>
          <w:p w14:paraId="7A538C89" w14:textId="77777777" w:rsidR="008273B8" w:rsidRDefault="008273B8">
            <w:pPr>
              <w:spacing w:after="0" w:line="240" w:lineRule="auto"/>
              <w:rPr>
                <w:rFonts w:ascii="Calibri" w:eastAsia="Times New Roman" w:hAnsi="Calibri" w:cs="Calibri"/>
                <w:noProof/>
                <w:sz w:val="18"/>
              </w:rPr>
            </w:pPr>
          </w:p>
        </w:tc>
        <w:tc>
          <w:tcPr>
            <w:tcW w:w="943" w:type="dxa"/>
            <w:shd w:val="clear" w:color="auto" w:fill="C6EFCE"/>
            <w:vAlign w:val="center"/>
            <w:hideMark/>
          </w:tcPr>
          <w:p w14:paraId="7A538C8A" w14:textId="77777777" w:rsidR="008273B8" w:rsidRDefault="00B93063">
            <w:pPr>
              <w:pStyle w:val="P68B1DB1-Normal9"/>
              <w:spacing w:after="0" w:line="240" w:lineRule="auto"/>
              <w:jc w:val="center"/>
              <w:rPr>
                <w:rFonts w:eastAsia="Times New Roman"/>
                <w:noProof/>
              </w:rPr>
            </w:pPr>
            <w:r>
              <w:rPr>
                <w:noProof/>
              </w:rPr>
              <w:t>m</w:t>
            </w:r>
            <w:r>
              <w:rPr>
                <w:noProof/>
                <w:vertAlign w:val="superscript"/>
              </w:rPr>
              <w:t>2</w:t>
            </w:r>
          </w:p>
        </w:tc>
        <w:tc>
          <w:tcPr>
            <w:tcW w:w="943" w:type="dxa"/>
            <w:shd w:val="clear" w:color="auto" w:fill="C6EFCE"/>
            <w:vAlign w:val="center"/>
            <w:hideMark/>
          </w:tcPr>
          <w:p w14:paraId="7A538C8B" w14:textId="77777777" w:rsidR="008273B8" w:rsidRDefault="00B93063">
            <w:pPr>
              <w:pStyle w:val="P68B1DB1-Normal7"/>
              <w:spacing w:after="0" w:line="240" w:lineRule="auto"/>
              <w:jc w:val="center"/>
              <w:rPr>
                <w:rFonts w:eastAsia="Times New Roman" w:cs="Calibri"/>
                <w:noProof/>
              </w:rPr>
            </w:pPr>
            <w:r>
              <w:rPr>
                <w:noProof/>
              </w:rPr>
              <w:t>0</w:t>
            </w:r>
          </w:p>
        </w:tc>
        <w:tc>
          <w:tcPr>
            <w:tcW w:w="849" w:type="dxa"/>
            <w:shd w:val="clear" w:color="auto" w:fill="C6EFCE"/>
            <w:vAlign w:val="center"/>
            <w:hideMark/>
          </w:tcPr>
          <w:p w14:paraId="7A538C8C" w14:textId="77777777" w:rsidR="008273B8" w:rsidRDefault="00B93063">
            <w:pPr>
              <w:pStyle w:val="P68B1DB1-Normal7"/>
              <w:spacing w:after="0" w:line="240" w:lineRule="auto"/>
              <w:jc w:val="center"/>
              <w:rPr>
                <w:rFonts w:eastAsia="Times New Roman" w:cs="Calibri"/>
                <w:noProof/>
              </w:rPr>
            </w:pPr>
            <w:r>
              <w:rPr>
                <w:noProof/>
              </w:rPr>
              <w:t xml:space="preserve">9 232 </w:t>
            </w:r>
          </w:p>
        </w:tc>
        <w:tc>
          <w:tcPr>
            <w:tcW w:w="850" w:type="dxa"/>
            <w:shd w:val="clear" w:color="auto" w:fill="C6EFCE"/>
            <w:vAlign w:val="center"/>
            <w:hideMark/>
          </w:tcPr>
          <w:p w14:paraId="7A538C8D"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58" w:type="dxa"/>
            <w:shd w:val="clear" w:color="auto" w:fill="C6EFCE"/>
            <w:vAlign w:val="center"/>
            <w:hideMark/>
          </w:tcPr>
          <w:p w14:paraId="7A538C8E" w14:textId="77777777" w:rsidR="008273B8" w:rsidRDefault="00B93063">
            <w:pPr>
              <w:pStyle w:val="P68B1DB1-Normal7"/>
              <w:spacing w:after="0" w:line="240" w:lineRule="auto"/>
              <w:jc w:val="center"/>
              <w:rPr>
                <w:rFonts w:eastAsia="Times New Roman" w:cs="Calibri"/>
                <w:noProof/>
              </w:rPr>
            </w:pPr>
            <w:r>
              <w:rPr>
                <w:noProof/>
              </w:rPr>
              <w:t>2025</w:t>
            </w:r>
          </w:p>
        </w:tc>
        <w:tc>
          <w:tcPr>
            <w:tcW w:w="4734" w:type="dxa"/>
            <w:shd w:val="clear" w:color="auto" w:fill="C6EFCE"/>
            <w:vAlign w:val="center"/>
            <w:hideMark/>
          </w:tcPr>
          <w:p w14:paraId="7A538C8F" w14:textId="77777777" w:rsidR="008273B8" w:rsidRDefault="00B93063">
            <w:pPr>
              <w:pStyle w:val="P68B1DB1-Normal9"/>
              <w:spacing w:after="0" w:line="240" w:lineRule="auto"/>
              <w:rPr>
                <w:rFonts w:ascii="Calibri" w:eastAsia="Times New Roman" w:hAnsi="Calibri" w:cs="Calibri"/>
                <w:noProof/>
              </w:rPr>
            </w:pPr>
            <w:r>
              <w:rPr>
                <w:rFonts w:ascii="Calibri" w:hAnsi="Calibri"/>
                <w:noProof/>
              </w:rPr>
              <w:t>Dovršena je obnova javnih zgrada kojima je dodijeljena potpora i koja obuhvaća najmanje 9 232 m²</w:t>
            </w:r>
            <w:r>
              <w:rPr>
                <w:noProof/>
              </w:rPr>
              <w:t xml:space="preserve"> 2</w:t>
            </w:r>
            <w:r>
              <w:rPr>
                <w:noProof/>
                <w:vertAlign w:val="superscript"/>
              </w:rPr>
              <w:t>.</w:t>
            </w:r>
            <w:r>
              <w:rPr>
                <w:rFonts w:ascii="Calibri" w:hAnsi="Calibri"/>
                <w:noProof/>
              </w:rPr>
              <w:t xml:space="preserve"> </w:t>
            </w:r>
          </w:p>
          <w:p w14:paraId="7A538C90" w14:textId="77777777" w:rsidR="008273B8" w:rsidRDefault="00B93063">
            <w:pPr>
              <w:pStyle w:val="P68B1DB1-Normal7"/>
              <w:spacing w:after="0" w:line="240" w:lineRule="auto"/>
              <w:rPr>
                <w:rFonts w:eastAsia="Times New Roman" w:cs="Calibri"/>
                <w:noProof/>
              </w:rPr>
            </w:pPr>
            <w:r>
              <w:rPr>
                <w:noProof/>
              </w:rPr>
              <w:t>Obnovom se postiže smanjenje potražnje za primarnom energijom za najmanje 30 %.</w:t>
            </w:r>
          </w:p>
        </w:tc>
      </w:tr>
      <w:tr w:rsidR="008273B8" w14:paraId="7A538C9D" w14:textId="77777777">
        <w:trPr>
          <w:cantSplit/>
          <w:jc w:val="center"/>
        </w:trPr>
        <w:tc>
          <w:tcPr>
            <w:tcW w:w="1247" w:type="dxa"/>
            <w:shd w:val="clear" w:color="auto" w:fill="C6EFCE"/>
            <w:vAlign w:val="center"/>
            <w:hideMark/>
          </w:tcPr>
          <w:p w14:paraId="7A538C92" w14:textId="77777777" w:rsidR="008273B8" w:rsidRDefault="00B93063">
            <w:pPr>
              <w:pStyle w:val="P68B1DB1-Normal7"/>
              <w:spacing w:after="0" w:line="240" w:lineRule="auto"/>
              <w:rPr>
                <w:rFonts w:eastAsia="Times New Roman" w:cs="Calibri"/>
                <w:noProof/>
              </w:rPr>
            </w:pPr>
            <w:r>
              <w:rPr>
                <w:noProof/>
              </w:rPr>
              <w:t>1.17</w:t>
            </w:r>
          </w:p>
        </w:tc>
        <w:tc>
          <w:tcPr>
            <w:tcW w:w="1085" w:type="dxa"/>
            <w:shd w:val="clear" w:color="auto" w:fill="C6EFCE"/>
            <w:vAlign w:val="center"/>
            <w:hideMark/>
          </w:tcPr>
          <w:p w14:paraId="7A538C93" w14:textId="77777777" w:rsidR="008273B8" w:rsidRDefault="00B93063">
            <w:pPr>
              <w:pStyle w:val="P68B1DB1-Normal7"/>
              <w:spacing w:after="0" w:line="240" w:lineRule="auto"/>
              <w:rPr>
                <w:rFonts w:eastAsia="Times New Roman" w:cs="Calibri"/>
                <w:noProof/>
              </w:rPr>
            </w:pPr>
            <w:r>
              <w:rPr>
                <w:noProof/>
              </w:rPr>
              <w:t xml:space="preserve">C1.I.1 </w:t>
            </w:r>
          </w:p>
        </w:tc>
        <w:tc>
          <w:tcPr>
            <w:tcW w:w="1014" w:type="dxa"/>
            <w:shd w:val="clear" w:color="auto" w:fill="C6EFCE"/>
            <w:vAlign w:val="center"/>
            <w:hideMark/>
          </w:tcPr>
          <w:p w14:paraId="7A538C94" w14:textId="77777777" w:rsidR="008273B8" w:rsidRDefault="00B93063">
            <w:pPr>
              <w:pStyle w:val="P68B1DB1-Normal7"/>
              <w:spacing w:after="0" w:line="240" w:lineRule="auto"/>
              <w:rPr>
                <w:rFonts w:eastAsia="Times New Roman" w:cs="Calibri"/>
                <w:noProof/>
              </w:rPr>
            </w:pPr>
            <w:r>
              <w:rPr>
                <w:noProof/>
              </w:rPr>
              <w:t>Ključna etapa</w:t>
            </w:r>
          </w:p>
        </w:tc>
        <w:tc>
          <w:tcPr>
            <w:tcW w:w="1401" w:type="dxa"/>
            <w:shd w:val="clear" w:color="auto" w:fill="C6EFCE"/>
            <w:vAlign w:val="center"/>
            <w:hideMark/>
          </w:tcPr>
          <w:p w14:paraId="7A538C95" w14:textId="77777777" w:rsidR="008273B8" w:rsidRDefault="00B93063">
            <w:pPr>
              <w:pStyle w:val="P68B1DB1-Normal7"/>
              <w:spacing w:after="0" w:line="240" w:lineRule="auto"/>
              <w:rPr>
                <w:rFonts w:eastAsia="Times New Roman" w:cs="Calibri"/>
                <w:noProof/>
              </w:rPr>
            </w:pPr>
            <w:r>
              <w:rPr>
                <w:noProof/>
              </w:rPr>
              <w:t>Objava poziva na podnošenje prijava za bespovratna sredstva za obnovu zgrada privatnog sektora</w:t>
            </w:r>
          </w:p>
        </w:tc>
        <w:tc>
          <w:tcPr>
            <w:tcW w:w="1869" w:type="dxa"/>
            <w:shd w:val="clear" w:color="auto" w:fill="C6EFCE"/>
            <w:vAlign w:val="center"/>
            <w:hideMark/>
          </w:tcPr>
          <w:p w14:paraId="7A538C96" w14:textId="77777777" w:rsidR="008273B8" w:rsidRDefault="00B93063">
            <w:pPr>
              <w:pStyle w:val="P68B1DB1-Normal7"/>
              <w:spacing w:after="0" w:line="240" w:lineRule="auto"/>
              <w:rPr>
                <w:rFonts w:eastAsia="Times New Roman" w:cs="Calibri"/>
                <w:noProof/>
              </w:rPr>
            </w:pPr>
            <w:r>
              <w:rPr>
                <w:noProof/>
              </w:rPr>
              <w:t>Pokrenuta bespovratna sredstva za obnovu zgrada privatnog sektora, uključujući komercijalne i druge nestambene zgrade</w:t>
            </w:r>
          </w:p>
        </w:tc>
        <w:tc>
          <w:tcPr>
            <w:tcW w:w="943" w:type="dxa"/>
            <w:shd w:val="clear" w:color="auto" w:fill="C6EFCE"/>
            <w:vAlign w:val="center"/>
            <w:hideMark/>
          </w:tcPr>
          <w:p w14:paraId="7A538C97" w14:textId="77777777" w:rsidR="008273B8" w:rsidRDefault="008273B8">
            <w:pPr>
              <w:spacing w:after="0" w:line="240" w:lineRule="auto"/>
              <w:jc w:val="center"/>
              <w:rPr>
                <w:rFonts w:ascii="Calibri" w:eastAsia="Times New Roman" w:hAnsi="Calibri" w:cs="Calibri"/>
                <w:noProof/>
                <w:sz w:val="18"/>
              </w:rPr>
            </w:pPr>
          </w:p>
        </w:tc>
        <w:tc>
          <w:tcPr>
            <w:tcW w:w="943" w:type="dxa"/>
            <w:shd w:val="clear" w:color="auto" w:fill="C6EFCE"/>
            <w:vAlign w:val="center"/>
            <w:hideMark/>
          </w:tcPr>
          <w:p w14:paraId="7A538C98" w14:textId="77777777" w:rsidR="008273B8" w:rsidRDefault="008273B8">
            <w:pPr>
              <w:spacing w:after="0" w:line="240" w:lineRule="auto"/>
              <w:jc w:val="center"/>
              <w:rPr>
                <w:rFonts w:ascii="Calibri" w:eastAsia="Times New Roman" w:hAnsi="Calibri" w:cs="Calibri"/>
                <w:noProof/>
                <w:sz w:val="18"/>
              </w:rPr>
            </w:pPr>
          </w:p>
        </w:tc>
        <w:tc>
          <w:tcPr>
            <w:tcW w:w="849" w:type="dxa"/>
            <w:shd w:val="clear" w:color="auto" w:fill="C6EFCE"/>
            <w:vAlign w:val="center"/>
            <w:hideMark/>
          </w:tcPr>
          <w:p w14:paraId="7A538C99" w14:textId="77777777" w:rsidR="008273B8" w:rsidRDefault="008273B8">
            <w:pPr>
              <w:spacing w:after="0" w:line="240" w:lineRule="auto"/>
              <w:jc w:val="center"/>
              <w:rPr>
                <w:rFonts w:ascii="Calibri" w:eastAsia="Times New Roman" w:hAnsi="Calibri" w:cs="Calibri"/>
                <w:noProof/>
                <w:sz w:val="18"/>
              </w:rPr>
            </w:pPr>
          </w:p>
        </w:tc>
        <w:tc>
          <w:tcPr>
            <w:tcW w:w="850" w:type="dxa"/>
            <w:shd w:val="clear" w:color="auto" w:fill="C6EFCE"/>
            <w:vAlign w:val="center"/>
            <w:hideMark/>
          </w:tcPr>
          <w:p w14:paraId="7A538C9A" w14:textId="77777777" w:rsidR="008273B8" w:rsidRDefault="00B93063">
            <w:pPr>
              <w:pStyle w:val="P68B1DB1-Normal7"/>
              <w:spacing w:after="0" w:line="240" w:lineRule="auto"/>
              <w:jc w:val="center"/>
              <w:rPr>
                <w:rFonts w:eastAsia="Times New Roman" w:cs="Calibri"/>
                <w:noProof/>
              </w:rPr>
            </w:pPr>
            <w:r>
              <w:rPr>
                <w:noProof/>
              </w:rPr>
              <w:t>PRVO TROMJESEČJE</w:t>
            </w:r>
          </w:p>
        </w:tc>
        <w:tc>
          <w:tcPr>
            <w:tcW w:w="658" w:type="dxa"/>
            <w:shd w:val="clear" w:color="auto" w:fill="C6EFCE"/>
            <w:vAlign w:val="center"/>
            <w:hideMark/>
          </w:tcPr>
          <w:p w14:paraId="7A538C9B" w14:textId="77777777" w:rsidR="008273B8" w:rsidRDefault="00B93063">
            <w:pPr>
              <w:pStyle w:val="P68B1DB1-Normal7"/>
              <w:spacing w:after="0" w:line="240" w:lineRule="auto"/>
              <w:jc w:val="center"/>
              <w:rPr>
                <w:rFonts w:eastAsia="Times New Roman" w:cs="Calibri"/>
                <w:noProof/>
              </w:rPr>
            </w:pPr>
            <w:r>
              <w:rPr>
                <w:noProof/>
              </w:rPr>
              <w:t>2022</w:t>
            </w:r>
          </w:p>
        </w:tc>
        <w:tc>
          <w:tcPr>
            <w:tcW w:w="4734" w:type="dxa"/>
            <w:shd w:val="clear" w:color="auto" w:fill="C6EFCE"/>
            <w:vAlign w:val="center"/>
            <w:hideMark/>
          </w:tcPr>
          <w:p w14:paraId="7A538C9C" w14:textId="77777777" w:rsidR="008273B8" w:rsidRDefault="00B93063">
            <w:pPr>
              <w:pStyle w:val="P68B1DB1-Normal9"/>
              <w:spacing w:after="0" w:line="240" w:lineRule="auto"/>
              <w:rPr>
                <w:rFonts w:ascii="Calibri" w:eastAsia="Times New Roman" w:hAnsi="Calibri" w:cs="Calibri"/>
                <w:noProof/>
              </w:rPr>
            </w:pPr>
            <w:r>
              <w:rPr>
                <w:rFonts w:ascii="Calibri" w:hAnsi="Calibri"/>
                <w:noProof/>
              </w:rPr>
              <w:t>Objava poziva na podnošenje prijava za odabir podnositelja zahtjeva za bespovratna sredstva za obnovu zgrada privatnog sektora radi naknadne ugradnje i energetske učinkovitosti (uključujući komercijalne/nestambene zgrade). Područje financirano u okviru ovog ulaganja iznosi najmanje 40,605</w:t>
            </w:r>
            <w:r>
              <w:rPr>
                <w:noProof/>
              </w:rPr>
              <w:t>m</w:t>
            </w:r>
            <w:r>
              <w:rPr>
                <w:noProof/>
                <w:vertAlign w:val="superscript"/>
              </w:rPr>
              <w:t>2</w:t>
            </w:r>
            <w:r>
              <w:rPr>
                <w:rFonts w:ascii="Calibri" w:hAnsi="Calibri"/>
                <w:noProof/>
              </w:rPr>
              <w:t xml:space="preserve">. </w:t>
            </w:r>
          </w:p>
        </w:tc>
      </w:tr>
      <w:tr w:rsidR="008273B8" w14:paraId="7A538CAA" w14:textId="77777777">
        <w:trPr>
          <w:cantSplit/>
          <w:jc w:val="center"/>
        </w:trPr>
        <w:tc>
          <w:tcPr>
            <w:tcW w:w="1247" w:type="dxa"/>
            <w:shd w:val="clear" w:color="auto" w:fill="C6EFCE"/>
            <w:vAlign w:val="center"/>
            <w:hideMark/>
          </w:tcPr>
          <w:p w14:paraId="7A538C9E" w14:textId="463C97E7" w:rsidR="008273B8" w:rsidRDefault="00B93063">
            <w:pPr>
              <w:pStyle w:val="P68B1DB1-Normal7"/>
              <w:spacing w:after="0" w:line="240" w:lineRule="auto"/>
              <w:rPr>
                <w:rFonts w:eastAsia="Times New Roman" w:cs="Calibri"/>
                <w:noProof/>
              </w:rPr>
            </w:pPr>
            <w:r>
              <w:rPr>
                <w:noProof/>
              </w:rPr>
              <w:t>1.18</w:t>
            </w:r>
          </w:p>
        </w:tc>
        <w:tc>
          <w:tcPr>
            <w:tcW w:w="1085" w:type="dxa"/>
            <w:shd w:val="clear" w:color="auto" w:fill="C6EFCE"/>
            <w:vAlign w:val="center"/>
            <w:hideMark/>
          </w:tcPr>
          <w:p w14:paraId="7A538C9F" w14:textId="77777777" w:rsidR="008273B8" w:rsidRDefault="00B93063">
            <w:pPr>
              <w:pStyle w:val="P68B1DB1-Normal7"/>
              <w:spacing w:after="0" w:line="240" w:lineRule="auto"/>
              <w:rPr>
                <w:rFonts w:eastAsia="Times New Roman" w:cs="Calibri"/>
                <w:noProof/>
              </w:rPr>
            </w:pPr>
            <w:r>
              <w:rPr>
                <w:noProof/>
              </w:rPr>
              <w:t xml:space="preserve">C1.I.1 </w:t>
            </w:r>
          </w:p>
        </w:tc>
        <w:tc>
          <w:tcPr>
            <w:tcW w:w="1014" w:type="dxa"/>
            <w:shd w:val="clear" w:color="auto" w:fill="C6EFCE"/>
            <w:vAlign w:val="center"/>
            <w:hideMark/>
          </w:tcPr>
          <w:p w14:paraId="7A538CA0" w14:textId="77777777" w:rsidR="008273B8" w:rsidRDefault="00B93063">
            <w:pPr>
              <w:pStyle w:val="P68B1DB1-Normal7"/>
              <w:spacing w:after="0" w:line="240" w:lineRule="auto"/>
              <w:rPr>
                <w:rFonts w:eastAsia="Times New Roman" w:cs="Calibri"/>
                <w:noProof/>
              </w:rPr>
            </w:pPr>
            <w:r>
              <w:rPr>
                <w:noProof/>
              </w:rPr>
              <w:t>Ciljna vrijednost</w:t>
            </w:r>
          </w:p>
        </w:tc>
        <w:tc>
          <w:tcPr>
            <w:tcW w:w="1401" w:type="dxa"/>
            <w:shd w:val="clear" w:color="auto" w:fill="C6EFCE"/>
            <w:vAlign w:val="center"/>
            <w:hideMark/>
          </w:tcPr>
          <w:p w14:paraId="7A538CA1" w14:textId="77777777" w:rsidR="008273B8" w:rsidRDefault="00B93063">
            <w:pPr>
              <w:pStyle w:val="P68B1DB1-Normal7"/>
              <w:spacing w:after="0" w:line="240" w:lineRule="auto"/>
              <w:rPr>
                <w:rFonts w:eastAsia="Times New Roman" w:cs="Calibri"/>
                <w:noProof/>
              </w:rPr>
            </w:pPr>
            <w:r>
              <w:rPr>
                <w:noProof/>
              </w:rPr>
              <w:t>Obnovljene zgrade privatnog sektora</w:t>
            </w:r>
          </w:p>
        </w:tc>
        <w:tc>
          <w:tcPr>
            <w:tcW w:w="1869" w:type="dxa"/>
            <w:shd w:val="clear" w:color="auto" w:fill="C6EFCE"/>
            <w:vAlign w:val="center"/>
            <w:hideMark/>
          </w:tcPr>
          <w:p w14:paraId="7A538CA2" w14:textId="77777777" w:rsidR="008273B8" w:rsidRDefault="008273B8">
            <w:pPr>
              <w:spacing w:after="0" w:line="240" w:lineRule="auto"/>
              <w:rPr>
                <w:rFonts w:ascii="Calibri" w:eastAsia="Times New Roman" w:hAnsi="Calibri" w:cs="Calibri"/>
                <w:noProof/>
                <w:sz w:val="18"/>
              </w:rPr>
            </w:pPr>
          </w:p>
        </w:tc>
        <w:tc>
          <w:tcPr>
            <w:tcW w:w="943" w:type="dxa"/>
            <w:shd w:val="clear" w:color="auto" w:fill="C6EFCE"/>
            <w:vAlign w:val="center"/>
            <w:hideMark/>
          </w:tcPr>
          <w:p w14:paraId="7A538CA3" w14:textId="77777777" w:rsidR="008273B8" w:rsidRDefault="00B93063">
            <w:pPr>
              <w:pStyle w:val="P68B1DB1-Normal9"/>
              <w:spacing w:after="0" w:line="240" w:lineRule="auto"/>
              <w:jc w:val="center"/>
              <w:rPr>
                <w:rFonts w:ascii="Calibri" w:eastAsia="Times New Roman" w:hAnsi="Calibri" w:cs="Calibri"/>
                <w:noProof/>
              </w:rPr>
            </w:pPr>
            <w:r>
              <w:rPr>
                <w:noProof/>
              </w:rPr>
              <w:t>m</w:t>
            </w:r>
            <w:r>
              <w:rPr>
                <w:noProof/>
                <w:vertAlign w:val="superscript"/>
              </w:rPr>
              <w:t>2</w:t>
            </w:r>
          </w:p>
        </w:tc>
        <w:tc>
          <w:tcPr>
            <w:tcW w:w="943" w:type="dxa"/>
            <w:shd w:val="clear" w:color="auto" w:fill="C6EFCE"/>
            <w:vAlign w:val="center"/>
            <w:hideMark/>
          </w:tcPr>
          <w:p w14:paraId="7A538CA4" w14:textId="77777777" w:rsidR="008273B8" w:rsidRDefault="00B93063">
            <w:pPr>
              <w:pStyle w:val="P68B1DB1-Normal7"/>
              <w:spacing w:after="0" w:line="240" w:lineRule="auto"/>
              <w:jc w:val="center"/>
              <w:rPr>
                <w:rFonts w:eastAsia="Times New Roman" w:cs="Calibri"/>
                <w:noProof/>
              </w:rPr>
            </w:pPr>
            <w:r>
              <w:rPr>
                <w:noProof/>
              </w:rPr>
              <w:t>0</w:t>
            </w:r>
          </w:p>
        </w:tc>
        <w:tc>
          <w:tcPr>
            <w:tcW w:w="849" w:type="dxa"/>
            <w:shd w:val="clear" w:color="auto" w:fill="C6EFCE"/>
            <w:vAlign w:val="center"/>
            <w:hideMark/>
          </w:tcPr>
          <w:p w14:paraId="7A538CA5" w14:textId="77777777" w:rsidR="008273B8" w:rsidRDefault="00B93063">
            <w:pPr>
              <w:pStyle w:val="P68B1DB1-Normal7"/>
              <w:spacing w:after="0" w:line="240" w:lineRule="auto"/>
              <w:jc w:val="center"/>
              <w:rPr>
                <w:rFonts w:eastAsia="Times New Roman" w:cs="Calibri"/>
                <w:noProof/>
              </w:rPr>
            </w:pPr>
            <w:r>
              <w:rPr>
                <w:noProof/>
              </w:rPr>
              <w:t>40 605</w:t>
            </w:r>
          </w:p>
        </w:tc>
        <w:tc>
          <w:tcPr>
            <w:tcW w:w="850" w:type="dxa"/>
            <w:shd w:val="clear" w:color="auto" w:fill="C6EFCE"/>
            <w:vAlign w:val="center"/>
            <w:hideMark/>
          </w:tcPr>
          <w:p w14:paraId="7A538CA6" w14:textId="11AE56D3" w:rsidR="008273B8" w:rsidRDefault="00B93063">
            <w:pPr>
              <w:pStyle w:val="P68B1DB1-Normal7"/>
              <w:spacing w:after="0" w:line="240" w:lineRule="auto"/>
              <w:jc w:val="center"/>
              <w:rPr>
                <w:rFonts w:eastAsia="Times New Roman" w:cs="Calibri"/>
                <w:noProof/>
              </w:rPr>
            </w:pPr>
            <w:r>
              <w:rPr>
                <w:noProof/>
              </w:rPr>
              <w:t>Q2</w:t>
            </w:r>
          </w:p>
        </w:tc>
        <w:tc>
          <w:tcPr>
            <w:tcW w:w="658" w:type="dxa"/>
            <w:shd w:val="clear" w:color="auto" w:fill="C6EFCE"/>
            <w:vAlign w:val="center"/>
            <w:hideMark/>
          </w:tcPr>
          <w:p w14:paraId="7A538CA7" w14:textId="6845942C" w:rsidR="008273B8" w:rsidRDefault="00B93063">
            <w:pPr>
              <w:pStyle w:val="P68B1DB1-Normal7"/>
              <w:spacing w:after="0" w:line="240" w:lineRule="auto"/>
              <w:jc w:val="center"/>
              <w:rPr>
                <w:rFonts w:eastAsia="Times New Roman" w:cs="Calibri"/>
                <w:noProof/>
              </w:rPr>
            </w:pPr>
            <w:r>
              <w:rPr>
                <w:noProof/>
              </w:rPr>
              <w:t>2026</w:t>
            </w:r>
          </w:p>
        </w:tc>
        <w:tc>
          <w:tcPr>
            <w:tcW w:w="4734" w:type="dxa"/>
            <w:shd w:val="clear" w:color="auto" w:fill="C6EFCE"/>
            <w:vAlign w:val="center"/>
            <w:hideMark/>
          </w:tcPr>
          <w:p w14:paraId="7A538CA8" w14:textId="77777777" w:rsidR="008273B8" w:rsidRDefault="00B93063">
            <w:pPr>
              <w:pStyle w:val="P68B1DB1-Normal9"/>
              <w:spacing w:after="0" w:line="240" w:lineRule="auto"/>
              <w:rPr>
                <w:rFonts w:ascii="Calibri" w:eastAsia="Times New Roman" w:hAnsi="Calibri" w:cs="Calibri"/>
                <w:noProof/>
              </w:rPr>
            </w:pPr>
            <w:r>
              <w:rPr>
                <w:rFonts w:ascii="Calibri" w:hAnsi="Calibri"/>
                <w:noProof/>
              </w:rPr>
              <w:t>Dovršetak obnove najmanje 40 605 m</w:t>
            </w:r>
            <w:r>
              <w:rPr>
                <w:noProof/>
              </w:rPr>
              <w:t xml:space="preserve"> 2 zgrada</w:t>
            </w:r>
            <w:r>
              <w:rPr>
                <w:noProof/>
                <w:vertAlign w:val="superscript"/>
              </w:rPr>
              <w:t>privatnog</w:t>
            </w:r>
            <w:r>
              <w:rPr>
                <w:noProof/>
              </w:rPr>
              <w:t>sektora uz potporu bespovratnih sredstava namijenjenih obnovi zgrada privatnog sektora.</w:t>
            </w:r>
            <w:r>
              <w:rPr>
                <w:rFonts w:ascii="Calibri" w:hAnsi="Calibri"/>
                <w:noProof/>
              </w:rPr>
              <w:t xml:space="preserve"> </w:t>
            </w:r>
          </w:p>
          <w:p w14:paraId="7A538CA9" w14:textId="77777777" w:rsidR="008273B8" w:rsidRDefault="00B93063">
            <w:pPr>
              <w:pStyle w:val="P68B1DB1-Normal7"/>
              <w:spacing w:after="0" w:line="240" w:lineRule="auto"/>
              <w:rPr>
                <w:rFonts w:eastAsia="Times New Roman" w:cs="Calibri"/>
                <w:noProof/>
              </w:rPr>
            </w:pPr>
            <w:r>
              <w:rPr>
                <w:noProof/>
              </w:rPr>
              <w:t>Obnovom se postiže smanjenje potražnje za primarnom energijom za najmanje 30 %.</w:t>
            </w:r>
          </w:p>
        </w:tc>
      </w:tr>
      <w:tr w:rsidR="008273B8" w14:paraId="7A538CB6" w14:textId="77777777">
        <w:trPr>
          <w:cantSplit/>
          <w:jc w:val="center"/>
        </w:trPr>
        <w:tc>
          <w:tcPr>
            <w:tcW w:w="1247" w:type="dxa"/>
            <w:shd w:val="clear" w:color="auto" w:fill="C6EFCE"/>
            <w:vAlign w:val="center"/>
            <w:hideMark/>
          </w:tcPr>
          <w:p w14:paraId="7A538CAB" w14:textId="77777777" w:rsidR="008273B8" w:rsidRDefault="00B93063">
            <w:pPr>
              <w:pStyle w:val="P68B1DB1-Normal7"/>
              <w:spacing w:after="0" w:line="240" w:lineRule="auto"/>
              <w:rPr>
                <w:rFonts w:eastAsia="Times New Roman" w:cs="Calibri"/>
                <w:noProof/>
              </w:rPr>
            </w:pPr>
            <w:r>
              <w:rPr>
                <w:noProof/>
              </w:rPr>
              <w:t>1.19</w:t>
            </w:r>
          </w:p>
        </w:tc>
        <w:tc>
          <w:tcPr>
            <w:tcW w:w="1085" w:type="dxa"/>
            <w:shd w:val="clear" w:color="auto" w:fill="C6EFCE"/>
            <w:vAlign w:val="center"/>
            <w:hideMark/>
          </w:tcPr>
          <w:p w14:paraId="7A538CAC" w14:textId="77777777" w:rsidR="008273B8" w:rsidRDefault="00B93063">
            <w:pPr>
              <w:pStyle w:val="P68B1DB1-Normal7"/>
              <w:spacing w:after="0" w:line="240" w:lineRule="auto"/>
              <w:rPr>
                <w:rFonts w:eastAsia="Times New Roman" w:cs="Calibri"/>
                <w:noProof/>
              </w:rPr>
            </w:pPr>
            <w:r>
              <w:rPr>
                <w:noProof/>
              </w:rPr>
              <w:t xml:space="preserve">C1.I.2. </w:t>
            </w:r>
          </w:p>
        </w:tc>
        <w:tc>
          <w:tcPr>
            <w:tcW w:w="1014" w:type="dxa"/>
            <w:shd w:val="clear" w:color="auto" w:fill="C6EFCE"/>
            <w:vAlign w:val="center"/>
            <w:hideMark/>
          </w:tcPr>
          <w:p w14:paraId="7A538CAD" w14:textId="77777777" w:rsidR="008273B8" w:rsidRDefault="00B93063">
            <w:pPr>
              <w:pStyle w:val="P68B1DB1-Normal7"/>
              <w:spacing w:after="0" w:line="240" w:lineRule="auto"/>
              <w:rPr>
                <w:rFonts w:eastAsia="Times New Roman" w:cs="Calibri"/>
                <w:noProof/>
              </w:rPr>
            </w:pPr>
            <w:r>
              <w:rPr>
                <w:noProof/>
              </w:rPr>
              <w:t>Ključna etapa</w:t>
            </w:r>
          </w:p>
        </w:tc>
        <w:tc>
          <w:tcPr>
            <w:tcW w:w="1401" w:type="dxa"/>
            <w:shd w:val="clear" w:color="auto" w:fill="C6EFCE"/>
            <w:vAlign w:val="center"/>
            <w:hideMark/>
          </w:tcPr>
          <w:p w14:paraId="7A538CAE" w14:textId="77777777" w:rsidR="008273B8" w:rsidRDefault="00B93063">
            <w:pPr>
              <w:pStyle w:val="P68B1DB1-Normal7"/>
              <w:spacing w:after="0" w:line="240" w:lineRule="auto"/>
              <w:rPr>
                <w:rFonts w:eastAsia="Times New Roman" w:cs="Calibri"/>
                <w:noProof/>
              </w:rPr>
            </w:pPr>
            <w:r>
              <w:rPr>
                <w:noProof/>
              </w:rPr>
              <w:t>Revizija energetske učinkovitosti javne bolnice Carmel</w:t>
            </w:r>
          </w:p>
        </w:tc>
        <w:tc>
          <w:tcPr>
            <w:tcW w:w="1869" w:type="dxa"/>
            <w:shd w:val="clear" w:color="auto" w:fill="C6EFCE"/>
            <w:vAlign w:val="center"/>
            <w:hideMark/>
          </w:tcPr>
          <w:p w14:paraId="7A538CAF" w14:textId="77777777" w:rsidR="008273B8" w:rsidRDefault="00B93063">
            <w:pPr>
              <w:pStyle w:val="P68B1DB1-Normal7"/>
              <w:spacing w:after="0" w:line="240" w:lineRule="auto"/>
              <w:rPr>
                <w:rFonts w:eastAsia="Times New Roman" w:cs="Calibri"/>
                <w:noProof/>
              </w:rPr>
            </w:pPr>
            <w:r>
              <w:rPr>
                <w:noProof/>
              </w:rPr>
              <w:t>Završetak revizije energetske učinkovitosti i energetske revizije javne bolnice Carmel.</w:t>
            </w:r>
          </w:p>
        </w:tc>
        <w:tc>
          <w:tcPr>
            <w:tcW w:w="943" w:type="dxa"/>
            <w:shd w:val="clear" w:color="auto" w:fill="C6EFCE"/>
            <w:vAlign w:val="center"/>
            <w:hideMark/>
          </w:tcPr>
          <w:p w14:paraId="7A538CB0" w14:textId="77777777" w:rsidR="008273B8" w:rsidRDefault="008273B8">
            <w:pPr>
              <w:spacing w:after="0" w:line="240" w:lineRule="auto"/>
              <w:jc w:val="center"/>
              <w:rPr>
                <w:rFonts w:ascii="Calibri" w:eastAsia="Times New Roman" w:hAnsi="Calibri" w:cs="Calibri"/>
                <w:noProof/>
                <w:sz w:val="18"/>
              </w:rPr>
            </w:pPr>
          </w:p>
        </w:tc>
        <w:tc>
          <w:tcPr>
            <w:tcW w:w="943" w:type="dxa"/>
            <w:shd w:val="clear" w:color="auto" w:fill="C6EFCE"/>
            <w:vAlign w:val="center"/>
            <w:hideMark/>
          </w:tcPr>
          <w:p w14:paraId="7A538CB1" w14:textId="77777777" w:rsidR="008273B8" w:rsidRDefault="008273B8">
            <w:pPr>
              <w:spacing w:after="0" w:line="240" w:lineRule="auto"/>
              <w:jc w:val="center"/>
              <w:rPr>
                <w:rFonts w:ascii="Calibri" w:eastAsia="Times New Roman" w:hAnsi="Calibri" w:cs="Calibri"/>
                <w:noProof/>
                <w:sz w:val="18"/>
              </w:rPr>
            </w:pPr>
          </w:p>
        </w:tc>
        <w:tc>
          <w:tcPr>
            <w:tcW w:w="849" w:type="dxa"/>
            <w:shd w:val="clear" w:color="auto" w:fill="C6EFCE"/>
            <w:vAlign w:val="center"/>
            <w:hideMark/>
          </w:tcPr>
          <w:p w14:paraId="7A538CB2" w14:textId="77777777" w:rsidR="008273B8" w:rsidRDefault="008273B8">
            <w:pPr>
              <w:spacing w:after="0" w:line="240" w:lineRule="auto"/>
              <w:jc w:val="center"/>
              <w:rPr>
                <w:rFonts w:ascii="Calibri" w:eastAsia="Times New Roman" w:hAnsi="Calibri" w:cs="Calibri"/>
                <w:noProof/>
                <w:sz w:val="18"/>
              </w:rPr>
            </w:pPr>
          </w:p>
        </w:tc>
        <w:tc>
          <w:tcPr>
            <w:tcW w:w="850" w:type="dxa"/>
            <w:shd w:val="clear" w:color="auto" w:fill="C6EFCE"/>
            <w:vAlign w:val="center"/>
            <w:hideMark/>
          </w:tcPr>
          <w:p w14:paraId="7A538CB3" w14:textId="77777777" w:rsidR="008273B8" w:rsidRDefault="00B93063">
            <w:pPr>
              <w:pStyle w:val="P68B1DB1-Normal7"/>
              <w:spacing w:after="0" w:line="240" w:lineRule="auto"/>
              <w:jc w:val="center"/>
              <w:rPr>
                <w:rFonts w:eastAsia="Times New Roman" w:cs="Calibri"/>
                <w:noProof/>
              </w:rPr>
            </w:pPr>
            <w:r>
              <w:rPr>
                <w:noProof/>
              </w:rPr>
              <w:t>Q2</w:t>
            </w:r>
          </w:p>
        </w:tc>
        <w:tc>
          <w:tcPr>
            <w:tcW w:w="658" w:type="dxa"/>
            <w:shd w:val="clear" w:color="auto" w:fill="C6EFCE"/>
            <w:vAlign w:val="center"/>
            <w:hideMark/>
          </w:tcPr>
          <w:p w14:paraId="7A538CB4" w14:textId="77777777" w:rsidR="008273B8" w:rsidRDefault="00B93063">
            <w:pPr>
              <w:pStyle w:val="P68B1DB1-Normal7"/>
              <w:spacing w:after="0" w:line="240" w:lineRule="auto"/>
              <w:jc w:val="center"/>
              <w:rPr>
                <w:rFonts w:eastAsia="Times New Roman" w:cs="Calibri"/>
                <w:noProof/>
              </w:rPr>
            </w:pPr>
            <w:r>
              <w:rPr>
                <w:noProof/>
              </w:rPr>
              <w:t>2022</w:t>
            </w:r>
          </w:p>
        </w:tc>
        <w:tc>
          <w:tcPr>
            <w:tcW w:w="4734" w:type="dxa"/>
            <w:shd w:val="clear" w:color="auto" w:fill="C6EFCE"/>
            <w:vAlign w:val="center"/>
            <w:hideMark/>
          </w:tcPr>
          <w:p w14:paraId="7A538CB5" w14:textId="77777777" w:rsidR="008273B8" w:rsidRDefault="00B93063">
            <w:pPr>
              <w:pStyle w:val="P68B1DB1-Normal7"/>
              <w:spacing w:after="0" w:line="240" w:lineRule="auto"/>
              <w:rPr>
                <w:rFonts w:eastAsia="Times New Roman" w:cs="Calibri"/>
                <w:noProof/>
              </w:rPr>
            </w:pPr>
            <w:r>
              <w:rPr>
                <w:noProof/>
              </w:rPr>
              <w:t xml:space="preserve">Dovršetak revizije energetske učinkovitosti u bolnici Carmel u skladu s Direktivom 2010/31/EU kako bi se utvrdio razred energetskog certifikata odgovarajućih blokova i utvrdile primjenjive mjere obnove energetske učinkovitosti. </w:t>
            </w:r>
          </w:p>
        </w:tc>
      </w:tr>
      <w:tr w:rsidR="008273B8" w14:paraId="7A538CC3" w14:textId="77777777">
        <w:trPr>
          <w:cantSplit/>
          <w:jc w:val="center"/>
        </w:trPr>
        <w:tc>
          <w:tcPr>
            <w:tcW w:w="1247" w:type="dxa"/>
            <w:shd w:val="clear" w:color="auto" w:fill="C6EFCE"/>
            <w:vAlign w:val="center"/>
            <w:hideMark/>
          </w:tcPr>
          <w:p w14:paraId="7A538CB7" w14:textId="1D9C51B6" w:rsidR="008273B8" w:rsidRDefault="00B93063">
            <w:pPr>
              <w:pStyle w:val="P68B1DB1-Normal7"/>
              <w:spacing w:after="0" w:line="240" w:lineRule="auto"/>
              <w:rPr>
                <w:rFonts w:eastAsia="Times New Roman" w:cs="Calibri"/>
                <w:noProof/>
              </w:rPr>
            </w:pPr>
            <w:r>
              <w:rPr>
                <w:noProof/>
              </w:rPr>
              <w:t>1.20</w:t>
            </w:r>
          </w:p>
        </w:tc>
        <w:tc>
          <w:tcPr>
            <w:tcW w:w="1085" w:type="dxa"/>
            <w:shd w:val="clear" w:color="auto" w:fill="C6EFCE"/>
            <w:vAlign w:val="center"/>
            <w:hideMark/>
          </w:tcPr>
          <w:p w14:paraId="7A538CB8" w14:textId="77777777" w:rsidR="008273B8" w:rsidRDefault="00B93063">
            <w:pPr>
              <w:pStyle w:val="P68B1DB1-Normal7"/>
              <w:spacing w:after="0" w:line="240" w:lineRule="auto"/>
              <w:rPr>
                <w:rFonts w:eastAsia="Times New Roman" w:cs="Calibri"/>
                <w:noProof/>
              </w:rPr>
            </w:pPr>
            <w:r>
              <w:rPr>
                <w:noProof/>
              </w:rPr>
              <w:t xml:space="preserve">C1.I.2. </w:t>
            </w:r>
          </w:p>
        </w:tc>
        <w:tc>
          <w:tcPr>
            <w:tcW w:w="1014" w:type="dxa"/>
            <w:shd w:val="clear" w:color="auto" w:fill="C6EFCE"/>
            <w:vAlign w:val="center"/>
            <w:hideMark/>
          </w:tcPr>
          <w:p w14:paraId="7A538CB9" w14:textId="77777777" w:rsidR="008273B8" w:rsidRDefault="00B93063">
            <w:pPr>
              <w:pStyle w:val="P68B1DB1-Normal7"/>
              <w:spacing w:after="0" w:line="240" w:lineRule="auto"/>
              <w:rPr>
                <w:rFonts w:eastAsia="Times New Roman" w:cs="Calibri"/>
                <w:noProof/>
              </w:rPr>
            </w:pPr>
            <w:r>
              <w:rPr>
                <w:noProof/>
              </w:rPr>
              <w:t>Ključna etapa</w:t>
            </w:r>
          </w:p>
        </w:tc>
        <w:tc>
          <w:tcPr>
            <w:tcW w:w="1401" w:type="dxa"/>
            <w:shd w:val="clear" w:color="auto" w:fill="C6EFCE"/>
            <w:vAlign w:val="center"/>
            <w:hideMark/>
          </w:tcPr>
          <w:p w14:paraId="7A538CBA" w14:textId="50524CAD" w:rsidR="008273B8" w:rsidRDefault="00B93063">
            <w:pPr>
              <w:pStyle w:val="P68B1DB1-Normal7"/>
              <w:spacing w:after="0" w:line="240" w:lineRule="auto"/>
              <w:rPr>
                <w:rFonts w:eastAsia="Times New Roman" w:cs="Calibri"/>
                <w:noProof/>
              </w:rPr>
            </w:pPr>
            <w:r>
              <w:rPr>
                <w:noProof/>
              </w:rPr>
              <w:t>Ugovorene usluge za obnovu i naknadno opremanje javne bolnice Mount Carmel</w:t>
            </w:r>
          </w:p>
        </w:tc>
        <w:tc>
          <w:tcPr>
            <w:tcW w:w="1869" w:type="dxa"/>
            <w:shd w:val="clear" w:color="auto" w:fill="C6EFCE"/>
            <w:vAlign w:val="center"/>
            <w:hideMark/>
          </w:tcPr>
          <w:p w14:paraId="7A538CBB" w14:textId="77777777" w:rsidR="008273B8" w:rsidRDefault="00B93063">
            <w:pPr>
              <w:pStyle w:val="P68B1DB1-Normal7"/>
              <w:spacing w:after="0" w:line="240" w:lineRule="auto"/>
              <w:rPr>
                <w:rFonts w:eastAsia="Times New Roman" w:cs="Calibri"/>
                <w:noProof/>
              </w:rPr>
            </w:pPr>
            <w:r>
              <w:rPr>
                <w:noProof/>
              </w:rPr>
              <w:t>Svi potpisani ugovori za obnovu javne bolnice Mount Carmel.</w:t>
            </w:r>
          </w:p>
        </w:tc>
        <w:tc>
          <w:tcPr>
            <w:tcW w:w="943" w:type="dxa"/>
            <w:shd w:val="clear" w:color="auto" w:fill="C6EFCE"/>
            <w:vAlign w:val="center"/>
            <w:hideMark/>
          </w:tcPr>
          <w:p w14:paraId="7A538CBC" w14:textId="77777777" w:rsidR="008273B8" w:rsidRDefault="008273B8">
            <w:pPr>
              <w:spacing w:after="0" w:line="240" w:lineRule="auto"/>
              <w:jc w:val="center"/>
              <w:rPr>
                <w:rFonts w:ascii="Calibri" w:eastAsia="Times New Roman" w:hAnsi="Calibri" w:cs="Calibri"/>
                <w:noProof/>
                <w:sz w:val="18"/>
              </w:rPr>
            </w:pPr>
          </w:p>
        </w:tc>
        <w:tc>
          <w:tcPr>
            <w:tcW w:w="943" w:type="dxa"/>
            <w:shd w:val="clear" w:color="auto" w:fill="C6EFCE"/>
            <w:vAlign w:val="center"/>
            <w:hideMark/>
          </w:tcPr>
          <w:p w14:paraId="7A538CBD" w14:textId="77777777" w:rsidR="008273B8" w:rsidRDefault="008273B8">
            <w:pPr>
              <w:spacing w:after="0" w:line="240" w:lineRule="auto"/>
              <w:jc w:val="center"/>
              <w:rPr>
                <w:rFonts w:ascii="Calibri" w:eastAsia="Times New Roman" w:hAnsi="Calibri" w:cs="Calibri"/>
                <w:noProof/>
                <w:sz w:val="18"/>
              </w:rPr>
            </w:pPr>
          </w:p>
        </w:tc>
        <w:tc>
          <w:tcPr>
            <w:tcW w:w="849" w:type="dxa"/>
            <w:shd w:val="clear" w:color="auto" w:fill="C6EFCE"/>
            <w:vAlign w:val="center"/>
            <w:hideMark/>
          </w:tcPr>
          <w:p w14:paraId="7A538CBE" w14:textId="77777777" w:rsidR="008273B8" w:rsidRDefault="008273B8">
            <w:pPr>
              <w:spacing w:after="0" w:line="240" w:lineRule="auto"/>
              <w:jc w:val="center"/>
              <w:rPr>
                <w:rFonts w:ascii="Calibri" w:eastAsia="Times New Roman" w:hAnsi="Calibri" w:cs="Calibri"/>
                <w:noProof/>
                <w:sz w:val="18"/>
              </w:rPr>
            </w:pPr>
          </w:p>
        </w:tc>
        <w:tc>
          <w:tcPr>
            <w:tcW w:w="850" w:type="dxa"/>
            <w:shd w:val="clear" w:color="auto" w:fill="C6EFCE"/>
            <w:vAlign w:val="center"/>
            <w:hideMark/>
          </w:tcPr>
          <w:p w14:paraId="7A538CBF"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58" w:type="dxa"/>
            <w:shd w:val="clear" w:color="auto" w:fill="C6EFCE"/>
            <w:vAlign w:val="center"/>
            <w:hideMark/>
          </w:tcPr>
          <w:p w14:paraId="7A538CC0" w14:textId="005469E2" w:rsidR="008273B8" w:rsidRDefault="00B93063">
            <w:pPr>
              <w:pStyle w:val="P68B1DB1-Normal7"/>
              <w:spacing w:after="0" w:line="240" w:lineRule="auto"/>
              <w:jc w:val="center"/>
              <w:rPr>
                <w:rFonts w:eastAsia="Times New Roman" w:cs="Calibri"/>
                <w:noProof/>
              </w:rPr>
            </w:pPr>
            <w:r>
              <w:rPr>
                <w:noProof/>
              </w:rPr>
              <w:t>2024</w:t>
            </w:r>
          </w:p>
        </w:tc>
        <w:tc>
          <w:tcPr>
            <w:tcW w:w="4734" w:type="dxa"/>
            <w:shd w:val="clear" w:color="auto" w:fill="C6EFCE"/>
            <w:vAlign w:val="center"/>
            <w:hideMark/>
          </w:tcPr>
          <w:p w14:paraId="7A538CC1" w14:textId="50A9AE91" w:rsidR="008273B8" w:rsidRDefault="00B93063">
            <w:pPr>
              <w:pStyle w:val="P68B1DB1-Normal9"/>
              <w:spacing w:after="0" w:line="240" w:lineRule="auto"/>
              <w:rPr>
                <w:rFonts w:ascii="Calibri" w:eastAsia="Times New Roman" w:hAnsi="Calibri" w:cs="Calibri"/>
                <w:noProof/>
              </w:rPr>
            </w:pPr>
            <w:r>
              <w:rPr>
                <w:rFonts w:ascii="Calibri" w:hAnsi="Calibri"/>
                <w:noProof/>
              </w:rPr>
              <w:t>Svi potpisani ugovori za nabavu usluga obnove za javnu bolnicu Mount Carmel od najmanje 5600</w:t>
            </w:r>
            <w:r>
              <w:rPr>
                <w:noProof/>
                <w:vertAlign w:val="superscript"/>
              </w:rPr>
              <w:t>m²</w:t>
            </w:r>
            <w:r>
              <w:rPr>
                <w:rFonts w:ascii="Calibri" w:hAnsi="Calibri"/>
                <w:noProof/>
              </w:rPr>
              <w:t xml:space="preserve">. </w:t>
            </w:r>
          </w:p>
          <w:p w14:paraId="7A538CC2" w14:textId="77777777" w:rsidR="008273B8" w:rsidRDefault="00B93063">
            <w:pPr>
              <w:pStyle w:val="P68B1DB1-Normal7"/>
              <w:spacing w:after="0" w:line="240" w:lineRule="auto"/>
              <w:rPr>
                <w:rFonts w:eastAsia="Times New Roman" w:cs="Calibri"/>
                <w:noProof/>
              </w:rPr>
            </w:pPr>
            <w:r>
              <w:rPr>
                <w:noProof/>
              </w:rPr>
              <w:t>Obnovom se postiže smanjenje potražnje za primarnom energijom za najmanje 30 %.</w:t>
            </w:r>
          </w:p>
        </w:tc>
      </w:tr>
      <w:tr w:rsidR="008273B8" w14:paraId="7A538CD0" w14:textId="77777777">
        <w:trPr>
          <w:cantSplit/>
          <w:jc w:val="center"/>
        </w:trPr>
        <w:tc>
          <w:tcPr>
            <w:tcW w:w="1247" w:type="dxa"/>
            <w:shd w:val="clear" w:color="auto" w:fill="C6EFCE"/>
            <w:vAlign w:val="center"/>
            <w:hideMark/>
          </w:tcPr>
          <w:p w14:paraId="7A538CC4" w14:textId="10F76FF6" w:rsidR="008273B8" w:rsidRDefault="00B93063">
            <w:pPr>
              <w:pStyle w:val="P68B1DB1-Normal7"/>
              <w:spacing w:after="0" w:line="240" w:lineRule="auto"/>
              <w:rPr>
                <w:rFonts w:eastAsia="Times New Roman" w:cs="Calibri"/>
                <w:noProof/>
              </w:rPr>
            </w:pPr>
            <w:r>
              <w:rPr>
                <w:noProof/>
              </w:rPr>
              <w:t>1.21</w:t>
            </w:r>
          </w:p>
        </w:tc>
        <w:tc>
          <w:tcPr>
            <w:tcW w:w="1085" w:type="dxa"/>
            <w:shd w:val="clear" w:color="auto" w:fill="C6EFCE"/>
            <w:vAlign w:val="center"/>
            <w:hideMark/>
          </w:tcPr>
          <w:p w14:paraId="7A538CC5" w14:textId="77777777" w:rsidR="008273B8" w:rsidRDefault="00B93063">
            <w:pPr>
              <w:pStyle w:val="P68B1DB1-Normal7"/>
              <w:spacing w:after="0" w:line="240" w:lineRule="auto"/>
              <w:rPr>
                <w:rFonts w:eastAsia="Times New Roman" w:cs="Calibri"/>
                <w:noProof/>
              </w:rPr>
            </w:pPr>
            <w:r>
              <w:rPr>
                <w:noProof/>
              </w:rPr>
              <w:t xml:space="preserve">C1.I.2. </w:t>
            </w:r>
          </w:p>
        </w:tc>
        <w:tc>
          <w:tcPr>
            <w:tcW w:w="1014" w:type="dxa"/>
            <w:shd w:val="clear" w:color="auto" w:fill="C6EFCE"/>
            <w:vAlign w:val="center"/>
            <w:hideMark/>
          </w:tcPr>
          <w:p w14:paraId="7A538CC6" w14:textId="77777777" w:rsidR="008273B8" w:rsidRDefault="00B93063">
            <w:pPr>
              <w:pStyle w:val="P68B1DB1-Normal7"/>
              <w:spacing w:after="0" w:line="240" w:lineRule="auto"/>
              <w:rPr>
                <w:rFonts w:eastAsia="Times New Roman" w:cs="Calibri"/>
                <w:noProof/>
              </w:rPr>
            </w:pPr>
            <w:r>
              <w:rPr>
                <w:noProof/>
              </w:rPr>
              <w:t>Ciljna vrijednost</w:t>
            </w:r>
          </w:p>
        </w:tc>
        <w:tc>
          <w:tcPr>
            <w:tcW w:w="1401" w:type="dxa"/>
            <w:shd w:val="clear" w:color="auto" w:fill="C6EFCE"/>
            <w:vAlign w:val="center"/>
            <w:hideMark/>
          </w:tcPr>
          <w:p w14:paraId="7A538CC7" w14:textId="77777777" w:rsidR="008273B8" w:rsidRDefault="00B93063">
            <w:pPr>
              <w:pStyle w:val="P68B1DB1-Normal7"/>
              <w:spacing w:after="0" w:line="240" w:lineRule="auto"/>
              <w:rPr>
                <w:rFonts w:eastAsia="Times New Roman" w:cs="Calibri"/>
                <w:noProof/>
              </w:rPr>
            </w:pPr>
            <w:r>
              <w:rPr>
                <w:noProof/>
              </w:rPr>
              <w:t>Obnovljeni blokovi bolnice planine Carmel</w:t>
            </w:r>
          </w:p>
        </w:tc>
        <w:tc>
          <w:tcPr>
            <w:tcW w:w="1869" w:type="dxa"/>
            <w:shd w:val="clear" w:color="auto" w:fill="C6EFCE"/>
            <w:vAlign w:val="center"/>
            <w:hideMark/>
          </w:tcPr>
          <w:p w14:paraId="7A538CC8" w14:textId="77777777" w:rsidR="008273B8" w:rsidRDefault="008273B8">
            <w:pPr>
              <w:spacing w:after="0" w:line="240" w:lineRule="auto"/>
              <w:rPr>
                <w:rFonts w:ascii="Calibri" w:eastAsia="Times New Roman" w:hAnsi="Calibri" w:cs="Calibri"/>
                <w:noProof/>
                <w:sz w:val="18"/>
              </w:rPr>
            </w:pPr>
          </w:p>
        </w:tc>
        <w:tc>
          <w:tcPr>
            <w:tcW w:w="943" w:type="dxa"/>
            <w:shd w:val="clear" w:color="auto" w:fill="C6EFCE"/>
            <w:vAlign w:val="center"/>
            <w:hideMark/>
          </w:tcPr>
          <w:p w14:paraId="7A538CC9" w14:textId="77777777" w:rsidR="008273B8" w:rsidRDefault="00B93063">
            <w:pPr>
              <w:pStyle w:val="P68B1DB1-Normal9"/>
              <w:spacing w:after="0" w:line="240" w:lineRule="auto"/>
              <w:jc w:val="center"/>
              <w:rPr>
                <w:rFonts w:ascii="Calibri" w:eastAsia="Times New Roman" w:hAnsi="Calibri" w:cs="Calibri"/>
                <w:noProof/>
              </w:rPr>
            </w:pPr>
            <w:r>
              <w:rPr>
                <w:noProof/>
              </w:rPr>
              <w:t>m</w:t>
            </w:r>
            <w:r>
              <w:rPr>
                <w:noProof/>
                <w:vertAlign w:val="superscript"/>
              </w:rPr>
              <w:t>2</w:t>
            </w:r>
          </w:p>
        </w:tc>
        <w:tc>
          <w:tcPr>
            <w:tcW w:w="943" w:type="dxa"/>
            <w:shd w:val="clear" w:color="auto" w:fill="C6EFCE"/>
            <w:vAlign w:val="center"/>
            <w:hideMark/>
          </w:tcPr>
          <w:p w14:paraId="7A538CCA" w14:textId="77777777" w:rsidR="008273B8" w:rsidRDefault="00B93063">
            <w:pPr>
              <w:pStyle w:val="P68B1DB1-Normal7"/>
              <w:spacing w:after="0" w:line="240" w:lineRule="auto"/>
              <w:jc w:val="center"/>
              <w:rPr>
                <w:rFonts w:eastAsia="Times New Roman" w:cs="Calibri"/>
                <w:noProof/>
              </w:rPr>
            </w:pPr>
            <w:r>
              <w:rPr>
                <w:noProof/>
              </w:rPr>
              <w:t>0</w:t>
            </w:r>
          </w:p>
        </w:tc>
        <w:tc>
          <w:tcPr>
            <w:tcW w:w="849" w:type="dxa"/>
            <w:shd w:val="clear" w:color="auto" w:fill="C6EFCE"/>
            <w:vAlign w:val="center"/>
            <w:hideMark/>
          </w:tcPr>
          <w:p w14:paraId="7A538CCB" w14:textId="189ACAE4" w:rsidR="008273B8" w:rsidRDefault="00B93063">
            <w:pPr>
              <w:pStyle w:val="P68B1DB1-Normal7"/>
              <w:spacing w:after="0" w:line="240" w:lineRule="auto"/>
              <w:jc w:val="center"/>
              <w:rPr>
                <w:rFonts w:eastAsia="Times New Roman" w:cs="Calibri"/>
                <w:noProof/>
              </w:rPr>
            </w:pPr>
            <w:r>
              <w:rPr>
                <w:noProof/>
              </w:rPr>
              <w:t xml:space="preserve"> 5 600</w:t>
            </w:r>
          </w:p>
        </w:tc>
        <w:tc>
          <w:tcPr>
            <w:tcW w:w="850" w:type="dxa"/>
            <w:shd w:val="clear" w:color="auto" w:fill="C6EFCE"/>
            <w:vAlign w:val="center"/>
            <w:hideMark/>
          </w:tcPr>
          <w:p w14:paraId="7A538CCC" w14:textId="05665AFB" w:rsidR="008273B8" w:rsidRDefault="00B93063">
            <w:pPr>
              <w:pStyle w:val="P68B1DB1-Normal7"/>
              <w:spacing w:after="0" w:line="240" w:lineRule="auto"/>
              <w:jc w:val="center"/>
              <w:rPr>
                <w:rFonts w:eastAsia="Times New Roman" w:cs="Calibri"/>
                <w:noProof/>
              </w:rPr>
            </w:pPr>
            <w:r>
              <w:rPr>
                <w:noProof/>
              </w:rPr>
              <w:t>Q2</w:t>
            </w:r>
          </w:p>
        </w:tc>
        <w:tc>
          <w:tcPr>
            <w:tcW w:w="658" w:type="dxa"/>
            <w:shd w:val="clear" w:color="auto" w:fill="C6EFCE"/>
            <w:vAlign w:val="center"/>
            <w:hideMark/>
          </w:tcPr>
          <w:p w14:paraId="7A538CCD" w14:textId="77777777" w:rsidR="008273B8" w:rsidRDefault="00B93063">
            <w:pPr>
              <w:pStyle w:val="P68B1DB1-Normal7"/>
              <w:spacing w:after="0" w:line="240" w:lineRule="auto"/>
              <w:jc w:val="center"/>
              <w:rPr>
                <w:rFonts w:eastAsia="Times New Roman" w:cs="Calibri"/>
                <w:noProof/>
              </w:rPr>
            </w:pPr>
            <w:r>
              <w:rPr>
                <w:noProof/>
              </w:rPr>
              <w:t>2026</w:t>
            </w:r>
          </w:p>
        </w:tc>
        <w:tc>
          <w:tcPr>
            <w:tcW w:w="4734" w:type="dxa"/>
            <w:shd w:val="clear" w:color="auto" w:fill="C6EFCE"/>
            <w:vAlign w:val="center"/>
            <w:hideMark/>
          </w:tcPr>
          <w:p w14:paraId="7A538CCE" w14:textId="42BD13F8" w:rsidR="008273B8" w:rsidRDefault="00B93063">
            <w:pPr>
              <w:pStyle w:val="P68B1DB1-Normal9"/>
              <w:spacing w:after="0" w:line="240" w:lineRule="auto"/>
              <w:rPr>
                <w:rFonts w:ascii="Calibri" w:eastAsia="Times New Roman" w:hAnsi="Calibri" w:cs="Calibri"/>
                <w:noProof/>
              </w:rPr>
            </w:pPr>
            <w:r>
              <w:rPr>
                <w:rFonts w:ascii="Calibri" w:hAnsi="Calibri"/>
                <w:noProof/>
              </w:rPr>
              <w:t>Obnova blokova u bolnici Mount Carmel koja pokriva područje od najmanje 5,00 m</w:t>
            </w:r>
            <w:r>
              <w:rPr>
                <w:noProof/>
                <w:vertAlign w:val="superscript"/>
              </w:rPr>
              <w:t>2</w:t>
            </w:r>
            <w:r>
              <w:rPr>
                <w:rFonts w:ascii="Calibri" w:hAnsi="Calibri"/>
                <w:noProof/>
              </w:rPr>
              <w:t xml:space="preserve">. </w:t>
            </w:r>
          </w:p>
          <w:p w14:paraId="7A538CCF" w14:textId="77777777" w:rsidR="008273B8" w:rsidRDefault="00B93063">
            <w:pPr>
              <w:pStyle w:val="P68B1DB1-Normal7"/>
              <w:spacing w:after="0" w:line="240" w:lineRule="auto"/>
              <w:rPr>
                <w:rFonts w:eastAsia="Times New Roman" w:cs="Calibri"/>
                <w:noProof/>
              </w:rPr>
            </w:pPr>
            <w:r>
              <w:rPr>
                <w:noProof/>
              </w:rPr>
              <w:t>Obnovom se postiže smanjenje potražnje za primarnom energijom za najmanje 30 %.</w:t>
            </w:r>
          </w:p>
        </w:tc>
      </w:tr>
      <w:tr w:rsidR="008273B8" w14:paraId="7A538CDC" w14:textId="77777777">
        <w:trPr>
          <w:cantSplit/>
          <w:jc w:val="center"/>
        </w:trPr>
        <w:tc>
          <w:tcPr>
            <w:tcW w:w="1247" w:type="dxa"/>
            <w:shd w:val="clear" w:color="auto" w:fill="C6EFCE"/>
            <w:vAlign w:val="center"/>
            <w:hideMark/>
          </w:tcPr>
          <w:p w14:paraId="7A538CD1" w14:textId="77777777" w:rsidR="008273B8" w:rsidRDefault="00B93063">
            <w:pPr>
              <w:pStyle w:val="P68B1DB1-Normal7"/>
              <w:spacing w:after="0" w:line="240" w:lineRule="auto"/>
              <w:rPr>
                <w:rFonts w:eastAsia="Times New Roman" w:cs="Calibri"/>
                <w:noProof/>
              </w:rPr>
            </w:pPr>
            <w:r>
              <w:rPr>
                <w:noProof/>
              </w:rPr>
              <w:t>1.22</w:t>
            </w:r>
          </w:p>
        </w:tc>
        <w:tc>
          <w:tcPr>
            <w:tcW w:w="1085" w:type="dxa"/>
            <w:shd w:val="clear" w:color="auto" w:fill="C6EFCE"/>
            <w:vAlign w:val="center"/>
            <w:hideMark/>
          </w:tcPr>
          <w:p w14:paraId="7A538CD2" w14:textId="77777777" w:rsidR="008273B8" w:rsidRDefault="00B93063">
            <w:pPr>
              <w:pStyle w:val="P68B1DB1-Normal7"/>
              <w:spacing w:after="0" w:line="240" w:lineRule="auto"/>
              <w:rPr>
                <w:rFonts w:eastAsia="Times New Roman" w:cs="Calibri"/>
                <w:noProof/>
              </w:rPr>
            </w:pPr>
            <w:r>
              <w:rPr>
                <w:noProof/>
              </w:rPr>
              <w:t xml:space="preserve">C1.I.3. </w:t>
            </w:r>
          </w:p>
        </w:tc>
        <w:tc>
          <w:tcPr>
            <w:tcW w:w="1014" w:type="dxa"/>
            <w:shd w:val="clear" w:color="auto" w:fill="C6EFCE"/>
            <w:vAlign w:val="center"/>
            <w:hideMark/>
          </w:tcPr>
          <w:p w14:paraId="7A538CD3" w14:textId="77777777" w:rsidR="008273B8" w:rsidRDefault="00B93063">
            <w:pPr>
              <w:pStyle w:val="P68B1DB1-Normal7"/>
              <w:spacing w:after="0" w:line="240" w:lineRule="auto"/>
              <w:rPr>
                <w:rFonts w:eastAsia="Times New Roman" w:cs="Calibri"/>
                <w:noProof/>
              </w:rPr>
            </w:pPr>
            <w:r>
              <w:rPr>
                <w:noProof/>
              </w:rPr>
              <w:t>Ključna etapa</w:t>
            </w:r>
          </w:p>
        </w:tc>
        <w:tc>
          <w:tcPr>
            <w:tcW w:w="1401" w:type="dxa"/>
            <w:shd w:val="clear" w:color="auto" w:fill="C6EFCE"/>
            <w:vAlign w:val="center"/>
            <w:hideMark/>
          </w:tcPr>
          <w:p w14:paraId="7A538CD4" w14:textId="77777777" w:rsidR="008273B8" w:rsidRDefault="00B93063">
            <w:pPr>
              <w:pStyle w:val="P68B1DB1-Normal7"/>
              <w:spacing w:after="0" w:line="240" w:lineRule="auto"/>
              <w:rPr>
                <w:rFonts w:eastAsia="Times New Roman" w:cs="Calibri"/>
                <w:noProof/>
              </w:rPr>
            </w:pPr>
            <w:r>
              <w:rPr>
                <w:noProof/>
              </w:rPr>
              <w:t>Revizija energetske učinkovitosti dviju javnih škola</w:t>
            </w:r>
          </w:p>
        </w:tc>
        <w:tc>
          <w:tcPr>
            <w:tcW w:w="1869" w:type="dxa"/>
            <w:shd w:val="clear" w:color="auto" w:fill="C6EFCE"/>
            <w:vAlign w:val="center"/>
            <w:hideMark/>
          </w:tcPr>
          <w:p w14:paraId="7A538CD5" w14:textId="77777777" w:rsidR="008273B8" w:rsidRDefault="00B93063">
            <w:pPr>
              <w:pStyle w:val="P68B1DB1-Normal7"/>
              <w:spacing w:after="0" w:line="240" w:lineRule="auto"/>
              <w:rPr>
                <w:rFonts w:eastAsia="Times New Roman" w:cs="Calibri"/>
                <w:noProof/>
              </w:rPr>
            </w:pPr>
            <w:r>
              <w:rPr>
                <w:noProof/>
              </w:rPr>
              <w:t>Završetak procjene ukupne energetske učinkovitosti i energetskog pregleda dviju javnih škola</w:t>
            </w:r>
          </w:p>
        </w:tc>
        <w:tc>
          <w:tcPr>
            <w:tcW w:w="943" w:type="dxa"/>
            <w:shd w:val="clear" w:color="auto" w:fill="C6EFCE"/>
            <w:vAlign w:val="center"/>
            <w:hideMark/>
          </w:tcPr>
          <w:p w14:paraId="7A538CD6" w14:textId="77777777" w:rsidR="008273B8" w:rsidRDefault="008273B8">
            <w:pPr>
              <w:spacing w:after="0" w:line="240" w:lineRule="auto"/>
              <w:jc w:val="center"/>
              <w:rPr>
                <w:rFonts w:ascii="Calibri" w:eastAsia="Times New Roman" w:hAnsi="Calibri" w:cs="Calibri"/>
                <w:noProof/>
                <w:sz w:val="18"/>
              </w:rPr>
            </w:pPr>
          </w:p>
        </w:tc>
        <w:tc>
          <w:tcPr>
            <w:tcW w:w="943" w:type="dxa"/>
            <w:shd w:val="clear" w:color="auto" w:fill="C6EFCE"/>
            <w:vAlign w:val="center"/>
            <w:hideMark/>
          </w:tcPr>
          <w:p w14:paraId="7A538CD7" w14:textId="77777777" w:rsidR="008273B8" w:rsidRDefault="008273B8">
            <w:pPr>
              <w:spacing w:after="0" w:line="240" w:lineRule="auto"/>
              <w:jc w:val="center"/>
              <w:rPr>
                <w:rFonts w:ascii="Calibri" w:eastAsia="Times New Roman" w:hAnsi="Calibri" w:cs="Calibri"/>
                <w:noProof/>
                <w:sz w:val="18"/>
              </w:rPr>
            </w:pPr>
          </w:p>
        </w:tc>
        <w:tc>
          <w:tcPr>
            <w:tcW w:w="849" w:type="dxa"/>
            <w:shd w:val="clear" w:color="auto" w:fill="C6EFCE"/>
            <w:vAlign w:val="center"/>
            <w:hideMark/>
          </w:tcPr>
          <w:p w14:paraId="7A538CD8" w14:textId="77777777" w:rsidR="008273B8" w:rsidRDefault="008273B8">
            <w:pPr>
              <w:spacing w:after="0" w:line="240" w:lineRule="auto"/>
              <w:jc w:val="center"/>
              <w:rPr>
                <w:rFonts w:ascii="Calibri" w:eastAsia="Times New Roman" w:hAnsi="Calibri" w:cs="Calibri"/>
                <w:noProof/>
                <w:sz w:val="18"/>
              </w:rPr>
            </w:pPr>
          </w:p>
        </w:tc>
        <w:tc>
          <w:tcPr>
            <w:tcW w:w="850" w:type="dxa"/>
            <w:shd w:val="clear" w:color="auto" w:fill="C6EFCE"/>
            <w:vAlign w:val="center"/>
            <w:hideMark/>
          </w:tcPr>
          <w:p w14:paraId="7A538CD9"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58" w:type="dxa"/>
            <w:shd w:val="clear" w:color="auto" w:fill="C6EFCE"/>
            <w:vAlign w:val="center"/>
            <w:hideMark/>
          </w:tcPr>
          <w:p w14:paraId="7A538CDA" w14:textId="77777777" w:rsidR="008273B8" w:rsidRDefault="00B93063">
            <w:pPr>
              <w:pStyle w:val="P68B1DB1-Normal7"/>
              <w:spacing w:after="0" w:line="240" w:lineRule="auto"/>
              <w:jc w:val="center"/>
              <w:rPr>
                <w:rFonts w:eastAsia="Times New Roman" w:cs="Calibri"/>
                <w:noProof/>
              </w:rPr>
            </w:pPr>
            <w:r>
              <w:rPr>
                <w:noProof/>
              </w:rPr>
              <w:t>2021</w:t>
            </w:r>
          </w:p>
        </w:tc>
        <w:tc>
          <w:tcPr>
            <w:tcW w:w="4734" w:type="dxa"/>
            <w:shd w:val="clear" w:color="auto" w:fill="C6EFCE"/>
            <w:vAlign w:val="center"/>
            <w:hideMark/>
          </w:tcPr>
          <w:p w14:paraId="7A538CDB" w14:textId="77777777" w:rsidR="008273B8" w:rsidRDefault="00B93063">
            <w:pPr>
              <w:pStyle w:val="P68B1DB1-Normal7"/>
              <w:spacing w:after="0" w:line="240" w:lineRule="auto"/>
              <w:rPr>
                <w:rFonts w:eastAsia="Times New Roman" w:cs="Calibri"/>
                <w:noProof/>
              </w:rPr>
            </w:pPr>
            <w:r>
              <w:rPr>
                <w:noProof/>
              </w:rPr>
              <w:t>Završetak pregleda energetske učinkovitosti dviju javnih školskih zgrada (Sv. Benedict College G°axaq i osnovna škola Gozo College Nadur) u skladu s Direktivom 2010/31/EU radi utvrđivanja razreda energetskog certifikata i utvrđivanja primjenjivih mjera obnove energetske učinkovitosti. Završetak znači dostavljanje izvješća o reviziji.</w:t>
            </w:r>
          </w:p>
        </w:tc>
      </w:tr>
      <w:tr w:rsidR="008273B8" w14:paraId="7A538CE9" w14:textId="77777777">
        <w:trPr>
          <w:cantSplit/>
          <w:trHeight w:val="1875"/>
          <w:jc w:val="center"/>
        </w:trPr>
        <w:tc>
          <w:tcPr>
            <w:tcW w:w="1247" w:type="dxa"/>
            <w:shd w:val="clear" w:color="auto" w:fill="C6EFCE"/>
            <w:vAlign w:val="center"/>
            <w:hideMark/>
          </w:tcPr>
          <w:p w14:paraId="7A538CDD" w14:textId="77777777" w:rsidR="008273B8" w:rsidRDefault="00B93063">
            <w:pPr>
              <w:pStyle w:val="P68B1DB1-Normal7"/>
              <w:spacing w:after="0" w:line="240" w:lineRule="auto"/>
              <w:rPr>
                <w:rFonts w:eastAsia="Times New Roman" w:cs="Calibri"/>
                <w:noProof/>
              </w:rPr>
            </w:pPr>
            <w:r>
              <w:rPr>
                <w:noProof/>
              </w:rPr>
              <w:t>1.23</w:t>
            </w:r>
          </w:p>
        </w:tc>
        <w:tc>
          <w:tcPr>
            <w:tcW w:w="1085" w:type="dxa"/>
            <w:shd w:val="clear" w:color="auto" w:fill="C6EFCE"/>
            <w:vAlign w:val="center"/>
            <w:hideMark/>
          </w:tcPr>
          <w:p w14:paraId="7A538CDE" w14:textId="77777777" w:rsidR="008273B8" w:rsidRDefault="00B93063">
            <w:pPr>
              <w:pStyle w:val="P68B1DB1-Normal7"/>
              <w:spacing w:after="0" w:line="240" w:lineRule="auto"/>
              <w:rPr>
                <w:rFonts w:eastAsia="Times New Roman" w:cs="Calibri"/>
                <w:noProof/>
              </w:rPr>
            </w:pPr>
            <w:r>
              <w:rPr>
                <w:noProof/>
              </w:rPr>
              <w:t xml:space="preserve">C1.I.3. </w:t>
            </w:r>
          </w:p>
        </w:tc>
        <w:tc>
          <w:tcPr>
            <w:tcW w:w="1014" w:type="dxa"/>
            <w:shd w:val="clear" w:color="auto" w:fill="C6EFCE"/>
            <w:vAlign w:val="center"/>
            <w:hideMark/>
          </w:tcPr>
          <w:p w14:paraId="7A538CDF" w14:textId="77777777" w:rsidR="008273B8" w:rsidRDefault="00B93063">
            <w:pPr>
              <w:pStyle w:val="P68B1DB1-Normal7"/>
              <w:spacing w:after="0" w:line="240" w:lineRule="auto"/>
              <w:rPr>
                <w:rFonts w:eastAsia="Times New Roman" w:cs="Calibri"/>
                <w:noProof/>
              </w:rPr>
            </w:pPr>
            <w:r>
              <w:rPr>
                <w:noProof/>
              </w:rPr>
              <w:t>Ključna etapa</w:t>
            </w:r>
          </w:p>
        </w:tc>
        <w:tc>
          <w:tcPr>
            <w:tcW w:w="1401" w:type="dxa"/>
            <w:shd w:val="clear" w:color="auto" w:fill="C6EFCE"/>
            <w:vAlign w:val="center"/>
            <w:hideMark/>
          </w:tcPr>
          <w:p w14:paraId="7A538CE0" w14:textId="77777777" w:rsidR="008273B8" w:rsidRDefault="00B93063">
            <w:pPr>
              <w:pStyle w:val="P68B1DB1-Normal7"/>
              <w:spacing w:after="0" w:line="240" w:lineRule="auto"/>
              <w:rPr>
                <w:rFonts w:eastAsia="Times New Roman" w:cs="Calibri"/>
                <w:noProof/>
              </w:rPr>
            </w:pPr>
            <w:r>
              <w:rPr>
                <w:noProof/>
              </w:rPr>
              <w:t>Ugovorene usluge obnove dviju javnih škola</w:t>
            </w:r>
          </w:p>
        </w:tc>
        <w:tc>
          <w:tcPr>
            <w:tcW w:w="1869" w:type="dxa"/>
            <w:shd w:val="clear" w:color="auto" w:fill="C6EFCE"/>
            <w:vAlign w:val="center"/>
            <w:hideMark/>
          </w:tcPr>
          <w:p w14:paraId="7A538CE1" w14:textId="77777777" w:rsidR="008273B8" w:rsidRDefault="00B93063">
            <w:pPr>
              <w:pStyle w:val="P68B1DB1-Normal7"/>
              <w:spacing w:after="0" w:line="240" w:lineRule="auto"/>
              <w:rPr>
                <w:rFonts w:eastAsia="Times New Roman" w:cs="Calibri"/>
                <w:noProof/>
              </w:rPr>
            </w:pPr>
            <w:r>
              <w:rPr>
                <w:noProof/>
              </w:rPr>
              <w:t>Potpisani ugovori za obnovu dviju javnih škola.</w:t>
            </w:r>
          </w:p>
        </w:tc>
        <w:tc>
          <w:tcPr>
            <w:tcW w:w="943" w:type="dxa"/>
            <w:shd w:val="clear" w:color="auto" w:fill="C6EFCE"/>
            <w:vAlign w:val="center"/>
            <w:hideMark/>
          </w:tcPr>
          <w:p w14:paraId="7A538CE2" w14:textId="77777777" w:rsidR="008273B8" w:rsidRDefault="008273B8">
            <w:pPr>
              <w:spacing w:after="0" w:line="240" w:lineRule="auto"/>
              <w:jc w:val="center"/>
              <w:rPr>
                <w:rFonts w:ascii="Calibri" w:eastAsia="Times New Roman" w:hAnsi="Calibri" w:cs="Calibri"/>
                <w:noProof/>
                <w:sz w:val="18"/>
              </w:rPr>
            </w:pPr>
          </w:p>
        </w:tc>
        <w:tc>
          <w:tcPr>
            <w:tcW w:w="943" w:type="dxa"/>
            <w:shd w:val="clear" w:color="auto" w:fill="C6EFCE"/>
            <w:vAlign w:val="center"/>
            <w:hideMark/>
          </w:tcPr>
          <w:p w14:paraId="7A538CE3" w14:textId="77777777" w:rsidR="008273B8" w:rsidRDefault="008273B8">
            <w:pPr>
              <w:spacing w:after="0" w:line="240" w:lineRule="auto"/>
              <w:jc w:val="center"/>
              <w:rPr>
                <w:rFonts w:ascii="Calibri" w:eastAsia="Times New Roman" w:hAnsi="Calibri" w:cs="Calibri"/>
                <w:noProof/>
                <w:sz w:val="18"/>
              </w:rPr>
            </w:pPr>
          </w:p>
        </w:tc>
        <w:tc>
          <w:tcPr>
            <w:tcW w:w="849" w:type="dxa"/>
            <w:shd w:val="clear" w:color="auto" w:fill="C6EFCE"/>
            <w:vAlign w:val="center"/>
            <w:hideMark/>
          </w:tcPr>
          <w:p w14:paraId="7A538CE4" w14:textId="77777777" w:rsidR="008273B8" w:rsidRDefault="008273B8">
            <w:pPr>
              <w:spacing w:after="0" w:line="240" w:lineRule="auto"/>
              <w:jc w:val="center"/>
              <w:rPr>
                <w:rFonts w:ascii="Calibri" w:eastAsia="Times New Roman" w:hAnsi="Calibri" w:cs="Calibri"/>
                <w:noProof/>
                <w:sz w:val="18"/>
              </w:rPr>
            </w:pPr>
          </w:p>
        </w:tc>
        <w:tc>
          <w:tcPr>
            <w:tcW w:w="850" w:type="dxa"/>
            <w:shd w:val="clear" w:color="auto" w:fill="C6EFCE"/>
            <w:vAlign w:val="center"/>
            <w:hideMark/>
          </w:tcPr>
          <w:p w14:paraId="7A538CE5" w14:textId="77777777" w:rsidR="008273B8" w:rsidRDefault="00B93063">
            <w:pPr>
              <w:pStyle w:val="P68B1DB1-Normal7"/>
              <w:spacing w:after="0" w:line="240" w:lineRule="auto"/>
              <w:jc w:val="center"/>
              <w:rPr>
                <w:rFonts w:eastAsia="Times New Roman" w:cs="Calibri"/>
                <w:noProof/>
              </w:rPr>
            </w:pPr>
            <w:r>
              <w:rPr>
                <w:noProof/>
              </w:rPr>
              <w:t>PRVO TROMJESEČJE</w:t>
            </w:r>
          </w:p>
        </w:tc>
        <w:tc>
          <w:tcPr>
            <w:tcW w:w="658" w:type="dxa"/>
            <w:shd w:val="clear" w:color="auto" w:fill="C6EFCE"/>
            <w:vAlign w:val="center"/>
            <w:hideMark/>
          </w:tcPr>
          <w:p w14:paraId="7A538CE6" w14:textId="77777777" w:rsidR="008273B8" w:rsidRDefault="00B93063">
            <w:pPr>
              <w:pStyle w:val="P68B1DB1-Normal7"/>
              <w:spacing w:after="0" w:line="240" w:lineRule="auto"/>
              <w:jc w:val="center"/>
              <w:rPr>
                <w:rFonts w:eastAsia="Times New Roman" w:cs="Calibri"/>
                <w:noProof/>
              </w:rPr>
            </w:pPr>
            <w:r>
              <w:rPr>
                <w:noProof/>
              </w:rPr>
              <w:t>2022</w:t>
            </w:r>
          </w:p>
        </w:tc>
        <w:tc>
          <w:tcPr>
            <w:tcW w:w="4734" w:type="dxa"/>
            <w:shd w:val="clear" w:color="auto" w:fill="C6EFCE"/>
            <w:vAlign w:val="center"/>
            <w:hideMark/>
          </w:tcPr>
          <w:p w14:paraId="7A538CE7" w14:textId="77777777" w:rsidR="008273B8" w:rsidRDefault="00B93063">
            <w:pPr>
              <w:pStyle w:val="P68B1DB1-Normal9"/>
              <w:spacing w:after="0" w:line="240" w:lineRule="auto"/>
              <w:rPr>
                <w:rFonts w:ascii="Calibri" w:eastAsia="Times New Roman" w:hAnsi="Calibri" w:cs="Calibri"/>
                <w:noProof/>
              </w:rPr>
            </w:pPr>
            <w:r>
              <w:rPr>
                <w:rFonts w:ascii="Calibri" w:hAnsi="Calibri"/>
                <w:noProof/>
              </w:rPr>
              <w:t>Svi potpisani ugovori o javnoj nabavi za obnovu dviju javnih školskih zgrada (Sv. Benedict College G°axaq i osnovna škola Gozo College Nadur) koje obuhvaćaju ukupnu površinu veću od 9710</w:t>
            </w:r>
            <w:r>
              <w:rPr>
                <w:noProof/>
              </w:rPr>
              <w:t xml:space="preserve"> m²</w:t>
            </w:r>
            <w:r>
              <w:rPr>
                <w:noProof/>
                <w:vertAlign w:val="superscript"/>
              </w:rPr>
              <w:t>.</w:t>
            </w:r>
            <w:r>
              <w:rPr>
                <w:rFonts w:ascii="Calibri" w:hAnsi="Calibri"/>
                <w:noProof/>
              </w:rPr>
              <w:t xml:space="preserve"> </w:t>
            </w:r>
          </w:p>
          <w:p w14:paraId="7A538CE8" w14:textId="77777777" w:rsidR="008273B8" w:rsidRDefault="00B93063">
            <w:pPr>
              <w:pStyle w:val="P68B1DB1-Normal7"/>
              <w:spacing w:after="0" w:line="240" w:lineRule="auto"/>
              <w:rPr>
                <w:rFonts w:eastAsia="Times New Roman" w:cs="Calibri"/>
                <w:noProof/>
              </w:rPr>
            </w:pPr>
            <w:r>
              <w:rPr>
                <w:noProof/>
              </w:rPr>
              <w:t>Obnovom se postiže smanjenje potražnje za primarnom energijom za najmanje 30 %.</w:t>
            </w:r>
          </w:p>
        </w:tc>
      </w:tr>
      <w:tr w:rsidR="008273B8" w14:paraId="7A538CF6" w14:textId="77777777">
        <w:trPr>
          <w:cantSplit/>
          <w:jc w:val="center"/>
        </w:trPr>
        <w:tc>
          <w:tcPr>
            <w:tcW w:w="1247" w:type="dxa"/>
            <w:shd w:val="clear" w:color="auto" w:fill="C6EFCE"/>
            <w:vAlign w:val="center"/>
            <w:hideMark/>
          </w:tcPr>
          <w:p w14:paraId="7A538CEA" w14:textId="77777777" w:rsidR="008273B8" w:rsidRDefault="00B93063">
            <w:pPr>
              <w:pStyle w:val="P68B1DB1-Normal7"/>
              <w:spacing w:after="0" w:line="240" w:lineRule="auto"/>
              <w:rPr>
                <w:rFonts w:eastAsia="Times New Roman" w:cs="Calibri"/>
                <w:noProof/>
              </w:rPr>
            </w:pPr>
            <w:r>
              <w:rPr>
                <w:noProof/>
              </w:rPr>
              <w:t>1.24</w:t>
            </w:r>
          </w:p>
        </w:tc>
        <w:tc>
          <w:tcPr>
            <w:tcW w:w="1085" w:type="dxa"/>
            <w:shd w:val="clear" w:color="auto" w:fill="C6EFCE"/>
            <w:vAlign w:val="center"/>
            <w:hideMark/>
          </w:tcPr>
          <w:p w14:paraId="7A538CEB" w14:textId="77777777" w:rsidR="008273B8" w:rsidRDefault="00B93063">
            <w:pPr>
              <w:pStyle w:val="P68B1DB1-Normal7"/>
              <w:spacing w:after="0" w:line="240" w:lineRule="auto"/>
              <w:rPr>
                <w:rFonts w:eastAsia="Times New Roman" w:cs="Calibri"/>
                <w:noProof/>
              </w:rPr>
            </w:pPr>
            <w:r>
              <w:rPr>
                <w:noProof/>
              </w:rPr>
              <w:t xml:space="preserve">C1.I.3. </w:t>
            </w:r>
          </w:p>
        </w:tc>
        <w:tc>
          <w:tcPr>
            <w:tcW w:w="1014" w:type="dxa"/>
            <w:shd w:val="clear" w:color="auto" w:fill="C6EFCE"/>
            <w:vAlign w:val="center"/>
            <w:hideMark/>
          </w:tcPr>
          <w:p w14:paraId="7A538CEC" w14:textId="77777777" w:rsidR="008273B8" w:rsidRDefault="00B93063">
            <w:pPr>
              <w:pStyle w:val="P68B1DB1-Normal7"/>
              <w:spacing w:after="0" w:line="240" w:lineRule="auto"/>
              <w:rPr>
                <w:rFonts w:eastAsia="Times New Roman" w:cs="Calibri"/>
                <w:noProof/>
              </w:rPr>
            </w:pPr>
            <w:r>
              <w:rPr>
                <w:noProof/>
              </w:rPr>
              <w:t xml:space="preserve">Ciljna vrijednost </w:t>
            </w:r>
          </w:p>
        </w:tc>
        <w:tc>
          <w:tcPr>
            <w:tcW w:w="1401" w:type="dxa"/>
            <w:shd w:val="clear" w:color="auto" w:fill="C6EFCE"/>
            <w:vAlign w:val="center"/>
            <w:hideMark/>
          </w:tcPr>
          <w:p w14:paraId="7A538CED" w14:textId="77777777" w:rsidR="008273B8" w:rsidRDefault="00B93063">
            <w:pPr>
              <w:pStyle w:val="P68B1DB1-Normal7"/>
              <w:spacing w:after="0" w:line="240" w:lineRule="auto"/>
              <w:rPr>
                <w:rFonts w:eastAsia="Times New Roman" w:cs="Calibri"/>
                <w:noProof/>
              </w:rPr>
            </w:pPr>
            <w:r>
              <w:rPr>
                <w:noProof/>
              </w:rPr>
              <w:t xml:space="preserve">Dvije javne škole obnovljene </w:t>
            </w:r>
          </w:p>
        </w:tc>
        <w:tc>
          <w:tcPr>
            <w:tcW w:w="1869" w:type="dxa"/>
            <w:shd w:val="clear" w:color="auto" w:fill="C6EFCE"/>
            <w:vAlign w:val="center"/>
            <w:hideMark/>
          </w:tcPr>
          <w:p w14:paraId="7A538CEE" w14:textId="77777777" w:rsidR="008273B8" w:rsidRDefault="00B93063">
            <w:pPr>
              <w:pStyle w:val="P68B1DB1-Normal7"/>
              <w:spacing w:after="0" w:line="240" w:lineRule="auto"/>
              <w:rPr>
                <w:rFonts w:eastAsia="Times New Roman" w:cs="Calibri"/>
                <w:noProof/>
              </w:rPr>
            </w:pPr>
            <w:r>
              <w:rPr>
                <w:noProof/>
              </w:rPr>
              <w:t xml:space="preserve"> </w:t>
            </w:r>
          </w:p>
        </w:tc>
        <w:tc>
          <w:tcPr>
            <w:tcW w:w="943" w:type="dxa"/>
            <w:shd w:val="clear" w:color="auto" w:fill="C6EFCE"/>
            <w:vAlign w:val="center"/>
            <w:hideMark/>
          </w:tcPr>
          <w:p w14:paraId="7A538CEF" w14:textId="77777777" w:rsidR="008273B8" w:rsidRDefault="00B93063">
            <w:pPr>
              <w:pStyle w:val="P68B1DB1-Normal9"/>
              <w:spacing w:after="0" w:line="240" w:lineRule="auto"/>
              <w:jc w:val="center"/>
              <w:rPr>
                <w:rFonts w:ascii="Calibri" w:eastAsia="Times New Roman" w:hAnsi="Calibri" w:cs="Calibri"/>
                <w:noProof/>
              </w:rPr>
            </w:pPr>
            <w:r>
              <w:rPr>
                <w:noProof/>
              </w:rPr>
              <w:t>m</w:t>
            </w:r>
            <w:r>
              <w:rPr>
                <w:noProof/>
                <w:vertAlign w:val="superscript"/>
              </w:rPr>
              <w:t>2</w:t>
            </w:r>
          </w:p>
        </w:tc>
        <w:tc>
          <w:tcPr>
            <w:tcW w:w="943" w:type="dxa"/>
            <w:shd w:val="clear" w:color="auto" w:fill="C6EFCE"/>
            <w:vAlign w:val="center"/>
            <w:hideMark/>
          </w:tcPr>
          <w:p w14:paraId="7A538CF0" w14:textId="77777777" w:rsidR="008273B8" w:rsidRDefault="00B93063">
            <w:pPr>
              <w:pStyle w:val="P68B1DB1-Normal7"/>
              <w:spacing w:after="0" w:line="240" w:lineRule="auto"/>
              <w:jc w:val="center"/>
              <w:rPr>
                <w:rFonts w:eastAsia="Times New Roman" w:cs="Calibri"/>
                <w:noProof/>
              </w:rPr>
            </w:pPr>
            <w:r>
              <w:rPr>
                <w:noProof/>
              </w:rPr>
              <w:t>0</w:t>
            </w:r>
          </w:p>
        </w:tc>
        <w:tc>
          <w:tcPr>
            <w:tcW w:w="849" w:type="dxa"/>
            <w:shd w:val="clear" w:color="auto" w:fill="C6EFCE"/>
            <w:vAlign w:val="center"/>
            <w:hideMark/>
          </w:tcPr>
          <w:p w14:paraId="7A538CF1" w14:textId="77777777" w:rsidR="008273B8" w:rsidRDefault="00B93063">
            <w:pPr>
              <w:pStyle w:val="P68B1DB1-Normal7"/>
              <w:spacing w:after="0" w:line="240" w:lineRule="auto"/>
              <w:jc w:val="center"/>
              <w:rPr>
                <w:rFonts w:eastAsia="Times New Roman" w:cs="Calibri"/>
                <w:noProof/>
              </w:rPr>
            </w:pPr>
            <w:r>
              <w:rPr>
                <w:noProof/>
              </w:rPr>
              <w:t>9 710</w:t>
            </w:r>
          </w:p>
        </w:tc>
        <w:tc>
          <w:tcPr>
            <w:tcW w:w="850" w:type="dxa"/>
            <w:shd w:val="clear" w:color="auto" w:fill="C6EFCE"/>
            <w:vAlign w:val="center"/>
            <w:hideMark/>
          </w:tcPr>
          <w:p w14:paraId="7A538CF2"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58" w:type="dxa"/>
            <w:shd w:val="clear" w:color="auto" w:fill="C6EFCE"/>
            <w:vAlign w:val="center"/>
            <w:hideMark/>
          </w:tcPr>
          <w:p w14:paraId="7A538CF3" w14:textId="77777777" w:rsidR="008273B8" w:rsidRDefault="00B93063">
            <w:pPr>
              <w:pStyle w:val="P68B1DB1-Normal7"/>
              <w:spacing w:after="0" w:line="240" w:lineRule="auto"/>
              <w:jc w:val="center"/>
              <w:rPr>
                <w:rFonts w:eastAsia="Times New Roman" w:cs="Calibri"/>
                <w:noProof/>
              </w:rPr>
            </w:pPr>
            <w:r>
              <w:rPr>
                <w:noProof/>
              </w:rPr>
              <w:t>2023</w:t>
            </w:r>
          </w:p>
        </w:tc>
        <w:tc>
          <w:tcPr>
            <w:tcW w:w="4734" w:type="dxa"/>
            <w:shd w:val="clear" w:color="auto" w:fill="C6EFCE"/>
            <w:vAlign w:val="center"/>
            <w:hideMark/>
          </w:tcPr>
          <w:p w14:paraId="7A538CF4" w14:textId="77777777" w:rsidR="008273B8" w:rsidRDefault="00B93063">
            <w:pPr>
              <w:pStyle w:val="P68B1DB1-Normal7"/>
              <w:spacing w:after="0" w:line="240" w:lineRule="auto"/>
              <w:rPr>
                <w:rFonts w:eastAsia="Times New Roman" w:cs="Calibri"/>
                <w:noProof/>
              </w:rPr>
            </w:pPr>
            <w:r>
              <w:rPr>
                <w:noProof/>
              </w:rPr>
              <w:t xml:space="preserve">Bit će dovršeni radovi na obnovi dviju javnih škola (Sv. Benedict College G°axaq i osnovna škola Gozo College Nadur), koje zajedno okupljaju oko 500 učenika. </w:t>
            </w:r>
          </w:p>
          <w:p w14:paraId="7A538CF5" w14:textId="77777777" w:rsidR="008273B8" w:rsidRDefault="00B93063">
            <w:pPr>
              <w:pStyle w:val="P68B1DB1-Normal7"/>
              <w:spacing w:after="0" w:line="240" w:lineRule="auto"/>
              <w:rPr>
                <w:rFonts w:eastAsia="Times New Roman" w:cs="Calibri"/>
                <w:noProof/>
              </w:rPr>
            </w:pPr>
            <w:r>
              <w:rPr>
                <w:noProof/>
              </w:rPr>
              <w:t>Obnovom se postiže smanjenje potražnje za primarnom energijom za najmanje 30 %.</w:t>
            </w:r>
          </w:p>
        </w:tc>
      </w:tr>
      <w:tr w:rsidR="008273B8" w14:paraId="7A538D02" w14:textId="77777777">
        <w:trPr>
          <w:cantSplit/>
          <w:jc w:val="center"/>
        </w:trPr>
        <w:tc>
          <w:tcPr>
            <w:tcW w:w="1247" w:type="dxa"/>
            <w:shd w:val="clear" w:color="auto" w:fill="C6EFCE"/>
            <w:vAlign w:val="center"/>
            <w:hideMark/>
          </w:tcPr>
          <w:p w14:paraId="7A538CF7" w14:textId="77777777" w:rsidR="008273B8" w:rsidRDefault="00B93063">
            <w:pPr>
              <w:pStyle w:val="P68B1DB1-Normal7"/>
              <w:spacing w:after="0" w:line="240" w:lineRule="auto"/>
              <w:rPr>
                <w:rFonts w:eastAsia="Times New Roman" w:cs="Calibri"/>
                <w:noProof/>
              </w:rPr>
            </w:pPr>
            <w:r>
              <w:rPr>
                <w:noProof/>
              </w:rPr>
              <w:t>1.25</w:t>
            </w:r>
          </w:p>
        </w:tc>
        <w:tc>
          <w:tcPr>
            <w:tcW w:w="1085" w:type="dxa"/>
            <w:shd w:val="clear" w:color="auto" w:fill="C6EFCE"/>
            <w:vAlign w:val="center"/>
            <w:hideMark/>
          </w:tcPr>
          <w:p w14:paraId="7A538CF8" w14:textId="77777777" w:rsidR="008273B8" w:rsidRDefault="00B93063">
            <w:pPr>
              <w:pStyle w:val="P68B1DB1-Normal7"/>
              <w:spacing w:after="0" w:line="240" w:lineRule="auto"/>
              <w:rPr>
                <w:rFonts w:eastAsia="Times New Roman" w:cs="Calibri"/>
                <w:noProof/>
              </w:rPr>
            </w:pPr>
            <w:r>
              <w:rPr>
                <w:noProof/>
              </w:rPr>
              <w:t xml:space="preserve">C1.I.4 </w:t>
            </w:r>
          </w:p>
        </w:tc>
        <w:tc>
          <w:tcPr>
            <w:tcW w:w="1014" w:type="dxa"/>
            <w:shd w:val="clear" w:color="auto" w:fill="C6EFCE"/>
            <w:vAlign w:val="center"/>
            <w:hideMark/>
          </w:tcPr>
          <w:p w14:paraId="7A538CF9" w14:textId="77777777" w:rsidR="008273B8" w:rsidRDefault="00B93063">
            <w:pPr>
              <w:pStyle w:val="P68B1DB1-Normal7"/>
              <w:spacing w:after="0" w:line="240" w:lineRule="auto"/>
              <w:rPr>
                <w:rFonts w:eastAsia="Times New Roman" w:cs="Calibri"/>
                <w:noProof/>
              </w:rPr>
            </w:pPr>
            <w:r>
              <w:rPr>
                <w:noProof/>
              </w:rPr>
              <w:t>Ključna etapa</w:t>
            </w:r>
          </w:p>
        </w:tc>
        <w:tc>
          <w:tcPr>
            <w:tcW w:w="1401" w:type="dxa"/>
            <w:shd w:val="clear" w:color="auto" w:fill="C6EFCE"/>
            <w:vAlign w:val="center"/>
            <w:hideMark/>
          </w:tcPr>
          <w:p w14:paraId="7A538CFA" w14:textId="77777777" w:rsidR="008273B8" w:rsidRDefault="00B93063">
            <w:pPr>
              <w:pStyle w:val="P68B1DB1-Normal7"/>
              <w:spacing w:after="0" w:line="240" w:lineRule="auto"/>
              <w:rPr>
                <w:rFonts w:eastAsia="Times New Roman" w:cs="Calibri"/>
                <w:noProof/>
              </w:rPr>
            </w:pPr>
            <w:r>
              <w:rPr>
                <w:noProof/>
              </w:rPr>
              <w:t>Ugovorene usluge za građevinske radove blizu ugljično neutralne škole</w:t>
            </w:r>
          </w:p>
        </w:tc>
        <w:tc>
          <w:tcPr>
            <w:tcW w:w="1869" w:type="dxa"/>
            <w:shd w:val="clear" w:color="auto" w:fill="C6EFCE"/>
            <w:vAlign w:val="center"/>
            <w:hideMark/>
          </w:tcPr>
          <w:p w14:paraId="7A538CFB" w14:textId="77777777" w:rsidR="008273B8" w:rsidRDefault="00B93063">
            <w:pPr>
              <w:pStyle w:val="P68B1DB1-Normal7"/>
              <w:spacing w:after="0" w:line="240" w:lineRule="auto"/>
              <w:rPr>
                <w:rFonts w:eastAsia="Times New Roman" w:cs="Calibri"/>
                <w:noProof/>
              </w:rPr>
            </w:pPr>
            <w:r>
              <w:rPr>
                <w:noProof/>
              </w:rPr>
              <w:t xml:space="preserve">Potpisani ugovori za izgradnju škole koja je blizu ugljično neutralnom položaju. </w:t>
            </w:r>
          </w:p>
        </w:tc>
        <w:tc>
          <w:tcPr>
            <w:tcW w:w="943" w:type="dxa"/>
            <w:shd w:val="clear" w:color="auto" w:fill="C6EFCE"/>
            <w:vAlign w:val="center"/>
            <w:hideMark/>
          </w:tcPr>
          <w:p w14:paraId="7A538CFC" w14:textId="77777777" w:rsidR="008273B8" w:rsidRDefault="008273B8">
            <w:pPr>
              <w:spacing w:after="0" w:line="240" w:lineRule="auto"/>
              <w:jc w:val="center"/>
              <w:rPr>
                <w:rFonts w:ascii="Calibri" w:eastAsia="Times New Roman" w:hAnsi="Calibri" w:cs="Calibri"/>
                <w:noProof/>
                <w:sz w:val="18"/>
              </w:rPr>
            </w:pPr>
          </w:p>
        </w:tc>
        <w:tc>
          <w:tcPr>
            <w:tcW w:w="943" w:type="dxa"/>
            <w:shd w:val="clear" w:color="auto" w:fill="C6EFCE"/>
            <w:vAlign w:val="center"/>
            <w:hideMark/>
          </w:tcPr>
          <w:p w14:paraId="7A538CFD" w14:textId="77777777" w:rsidR="008273B8" w:rsidRDefault="008273B8">
            <w:pPr>
              <w:spacing w:after="0" w:line="240" w:lineRule="auto"/>
              <w:jc w:val="center"/>
              <w:rPr>
                <w:rFonts w:ascii="Calibri" w:eastAsia="Times New Roman" w:hAnsi="Calibri" w:cs="Calibri"/>
                <w:noProof/>
                <w:sz w:val="18"/>
              </w:rPr>
            </w:pPr>
          </w:p>
        </w:tc>
        <w:tc>
          <w:tcPr>
            <w:tcW w:w="849" w:type="dxa"/>
            <w:shd w:val="clear" w:color="auto" w:fill="C6EFCE"/>
            <w:vAlign w:val="center"/>
            <w:hideMark/>
          </w:tcPr>
          <w:p w14:paraId="7A538CFE" w14:textId="77777777" w:rsidR="008273B8" w:rsidRDefault="008273B8">
            <w:pPr>
              <w:spacing w:after="0" w:line="240" w:lineRule="auto"/>
              <w:jc w:val="center"/>
              <w:rPr>
                <w:rFonts w:ascii="Calibri" w:eastAsia="Times New Roman" w:hAnsi="Calibri" w:cs="Calibri"/>
                <w:noProof/>
                <w:sz w:val="18"/>
              </w:rPr>
            </w:pPr>
          </w:p>
        </w:tc>
        <w:tc>
          <w:tcPr>
            <w:tcW w:w="850" w:type="dxa"/>
            <w:shd w:val="clear" w:color="auto" w:fill="C6EFCE"/>
            <w:vAlign w:val="center"/>
            <w:hideMark/>
          </w:tcPr>
          <w:p w14:paraId="7A538CFF" w14:textId="77777777" w:rsidR="008273B8" w:rsidRDefault="00B93063">
            <w:pPr>
              <w:pStyle w:val="P68B1DB1-Normal7"/>
              <w:spacing w:after="0" w:line="240" w:lineRule="auto"/>
              <w:jc w:val="center"/>
              <w:rPr>
                <w:rFonts w:eastAsia="Times New Roman" w:cs="Calibri"/>
                <w:noProof/>
              </w:rPr>
            </w:pPr>
            <w:r>
              <w:rPr>
                <w:noProof/>
              </w:rPr>
              <w:t>PRVO TROMJESEČJE</w:t>
            </w:r>
          </w:p>
        </w:tc>
        <w:tc>
          <w:tcPr>
            <w:tcW w:w="658" w:type="dxa"/>
            <w:shd w:val="clear" w:color="auto" w:fill="C6EFCE"/>
            <w:vAlign w:val="center"/>
            <w:hideMark/>
          </w:tcPr>
          <w:p w14:paraId="7A538D00" w14:textId="77777777" w:rsidR="008273B8" w:rsidRDefault="00B93063">
            <w:pPr>
              <w:pStyle w:val="P68B1DB1-Normal7"/>
              <w:spacing w:after="0" w:line="240" w:lineRule="auto"/>
              <w:jc w:val="center"/>
              <w:rPr>
                <w:rFonts w:eastAsia="Times New Roman" w:cs="Calibri"/>
                <w:noProof/>
              </w:rPr>
            </w:pPr>
            <w:r>
              <w:rPr>
                <w:noProof/>
              </w:rPr>
              <w:t>2022</w:t>
            </w:r>
          </w:p>
        </w:tc>
        <w:tc>
          <w:tcPr>
            <w:tcW w:w="4734" w:type="dxa"/>
            <w:shd w:val="clear" w:color="auto" w:fill="C6EFCE"/>
            <w:vAlign w:val="center"/>
            <w:hideMark/>
          </w:tcPr>
          <w:p w14:paraId="7A538D01" w14:textId="77777777" w:rsidR="008273B8" w:rsidRDefault="00B93063">
            <w:pPr>
              <w:spacing w:after="0" w:line="240" w:lineRule="auto"/>
              <w:rPr>
                <w:rFonts w:ascii="Calibri" w:eastAsia="Times New Roman" w:hAnsi="Calibri" w:cs="Calibri"/>
                <w:noProof/>
                <w:sz w:val="18"/>
              </w:rPr>
            </w:pPr>
            <w:r>
              <w:rPr>
                <w:rFonts w:ascii="Calibri" w:hAnsi="Calibri"/>
                <w:noProof/>
                <w:sz w:val="18"/>
              </w:rPr>
              <w:t xml:space="preserve">Potpisani ugovori za nabavu građevinskih radova za školu koja je gotovo ugljično neutralna. </w:t>
            </w:r>
            <w:r>
              <w:rPr>
                <w:noProof/>
              </w:rPr>
              <w:br/>
            </w:r>
            <w:r>
              <w:rPr>
                <w:rFonts w:ascii="Calibri" w:hAnsi="Calibri"/>
                <w:noProof/>
                <w:sz w:val="18"/>
              </w:rPr>
              <w:t xml:space="preserve">Konstrukcija mora osigurati da je zadovoljena potrošnja primarne energije (PED) koja je najmanje 20 % niža od zahtjeva za zgrade gotovo nulte energije. </w:t>
            </w:r>
          </w:p>
        </w:tc>
      </w:tr>
      <w:tr w:rsidR="008273B8" w14:paraId="7A538D0E" w14:textId="77777777">
        <w:trPr>
          <w:cantSplit/>
          <w:jc w:val="center"/>
        </w:trPr>
        <w:tc>
          <w:tcPr>
            <w:tcW w:w="1247" w:type="dxa"/>
            <w:shd w:val="clear" w:color="auto" w:fill="C6EFCE"/>
            <w:vAlign w:val="center"/>
            <w:hideMark/>
          </w:tcPr>
          <w:p w14:paraId="7A538D03" w14:textId="77777777" w:rsidR="008273B8" w:rsidRDefault="00B93063">
            <w:pPr>
              <w:pStyle w:val="P68B1DB1-Normal7"/>
              <w:spacing w:after="0" w:line="240" w:lineRule="auto"/>
              <w:rPr>
                <w:rFonts w:eastAsia="Times New Roman" w:cs="Calibri"/>
                <w:noProof/>
              </w:rPr>
            </w:pPr>
            <w:r>
              <w:rPr>
                <w:noProof/>
              </w:rPr>
              <w:t>1.26</w:t>
            </w:r>
          </w:p>
        </w:tc>
        <w:tc>
          <w:tcPr>
            <w:tcW w:w="1085" w:type="dxa"/>
            <w:shd w:val="clear" w:color="auto" w:fill="C6EFCE"/>
            <w:vAlign w:val="center"/>
            <w:hideMark/>
          </w:tcPr>
          <w:p w14:paraId="7A538D04" w14:textId="77777777" w:rsidR="008273B8" w:rsidRDefault="00B93063">
            <w:pPr>
              <w:pStyle w:val="P68B1DB1-Normal7"/>
              <w:spacing w:after="0" w:line="240" w:lineRule="auto"/>
              <w:rPr>
                <w:rFonts w:eastAsia="Times New Roman" w:cs="Calibri"/>
                <w:noProof/>
              </w:rPr>
            </w:pPr>
            <w:r>
              <w:rPr>
                <w:noProof/>
              </w:rPr>
              <w:t xml:space="preserve">C1.I.4 </w:t>
            </w:r>
          </w:p>
        </w:tc>
        <w:tc>
          <w:tcPr>
            <w:tcW w:w="1014" w:type="dxa"/>
            <w:shd w:val="clear" w:color="auto" w:fill="C6EFCE"/>
            <w:vAlign w:val="center"/>
            <w:hideMark/>
          </w:tcPr>
          <w:p w14:paraId="7A538D05" w14:textId="77777777" w:rsidR="008273B8" w:rsidRDefault="00B93063">
            <w:pPr>
              <w:pStyle w:val="P68B1DB1-Normal7"/>
              <w:spacing w:after="0" w:line="240" w:lineRule="auto"/>
              <w:rPr>
                <w:rFonts w:eastAsia="Calibri" w:cs="Calibri"/>
                <w:noProof/>
                <w:vertAlign w:val="superscript"/>
              </w:rPr>
            </w:pPr>
            <w:r>
              <w:rPr>
                <w:noProof/>
              </w:rPr>
              <w:t xml:space="preserve">Ciljna vrijednost </w:t>
            </w:r>
          </w:p>
        </w:tc>
        <w:tc>
          <w:tcPr>
            <w:tcW w:w="1401" w:type="dxa"/>
            <w:shd w:val="clear" w:color="auto" w:fill="C6EFCE"/>
            <w:vAlign w:val="center"/>
            <w:hideMark/>
          </w:tcPr>
          <w:p w14:paraId="7A538D06" w14:textId="77777777" w:rsidR="008273B8" w:rsidRDefault="00B93063">
            <w:pPr>
              <w:pStyle w:val="P68B1DB1-Normal7"/>
              <w:spacing w:after="0" w:line="240" w:lineRule="auto"/>
              <w:rPr>
                <w:rFonts w:eastAsia="Times New Roman" w:cs="Calibri"/>
                <w:noProof/>
              </w:rPr>
            </w:pPr>
            <w:r>
              <w:rPr>
                <w:noProof/>
              </w:rPr>
              <w:t>Završena izgradnja gotovo ugljično neutralne škole</w:t>
            </w:r>
          </w:p>
        </w:tc>
        <w:tc>
          <w:tcPr>
            <w:tcW w:w="1869" w:type="dxa"/>
            <w:shd w:val="clear" w:color="auto" w:fill="C6EFCE"/>
            <w:vAlign w:val="center"/>
            <w:hideMark/>
          </w:tcPr>
          <w:p w14:paraId="7A538D07" w14:textId="77777777" w:rsidR="008273B8" w:rsidRDefault="008273B8">
            <w:pPr>
              <w:spacing w:after="0" w:line="240" w:lineRule="auto"/>
              <w:rPr>
                <w:rFonts w:ascii="Calibri" w:eastAsia="Times New Roman" w:hAnsi="Calibri" w:cs="Calibri"/>
                <w:noProof/>
                <w:sz w:val="18"/>
              </w:rPr>
            </w:pPr>
          </w:p>
        </w:tc>
        <w:tc>
          <w:tcPr>
            <w:tcW w:w="943" w:type="dxa"/>
            <w:shd w:val="clear" w:color="auto" w:fill="C6EFCE"/>
            <w:vAlign w:val="center"/>
            <w:hideMark/>
          </w:tcPr>
          <w:p w14:paraId="7A538D08" w14:textId="77777777" w:rsidR="008273B8" w:rsidRDefault="00B93063">
            <w:pPr>
              <w:pStyle w:val="P68B1DB1-Normal9"/>
              <w:spacing w:after="0" w:line="240" w:lineRule="auto"/>
              <w:jc w:val="center"/>
              <w:rPr>
                <w:rFonts w:ascii="Calibri" w:eastAsia="Times New Roman" w:hAnsi="Calibri" w:cs="Calibri"/>
                <w:noProof/>
              </w:rPr>
            </w:pPr>
            <w:r>
              <w:rPr>
                <w:noProof/>
              </w:rPr>
              <w:t>m</w:t>
            </w:r>
            <w:r>
              <w:rPr>
                <w:noProof/>
                <w:vertAlign w:val="superscript"/>
              </w:rPr>
              <w:t>2</w:t>
            </w:r>
          </w:p>
        </w:tc>
        <w:tc>
          <w:tcPr>
            <w:tcW w:w="943" w:type="dxa"/>
            <w:shd w:val="clear" w:color="auto" w:fill="C6EFCE"/>
            <w:vAlign w:val="center"/>
            <w:hideMark/>
          </w:tcPr>
          <w:p w14:paraId="7A538D09" w14:textId="77777777" w:rsidR="008273B8" w:rsidRDefault="00B93063">
            <w:pPr>
              <w:pStyle w:val="P68B1DB1-Normal7"/>
              <w:spacing w:after="0" w:line="240" w:lineRule="auto"/>
              <w:jc w:val="center"/>
              <w:rPr>
                <w:rFonts w:eastAsia="Times New Roman" w:cs="Calibri"/>
                <w:noProof/>
              </w:rPr>
            </w:pPr>
            <w:r>
              <w:rPr>
                <w:noProof/>
              </w:rPr>
              <w:t>0</w:t>
            </w:r>
          </w:p>
        </w:tc>
        <w:tc>
          <w:tcPr>
            <w:tcW w:w="849" w:type="dxa"/>
            <w:shd w:val="clear" w:color="auto" w:fill="C6EFCE"/>
            <w:vAlign w:val="center"/>
            <w:hideMark/>
          </w:tcPr>
          <w:p w14:paraId="7A538D0A" w14:textId="77777777" w:rsidR="008273B8" w:rsidRDefault="00B93063">
            <w:pPr>
              <w:pStyle w:val="P68B1DB1-Normal7"/>
              <w:spacing w:after="0" w:line="240" w:lineRule="auto"/>
              <w:jc w:val="center"/>
              <w:rPr>
                <w:rFonts w:eastAsia="Times New Roman" w:cs="Calibri"/>
                <w:noProof/>
              </w:rPr>
            </w:pPr>
            <w:r>
              <w:rPr>
                <w:noProof/>
              </w:rPr>
              <w:t>14 499</w:t>
            </w:r>
          </w:p>
        </w:tc>
        <w:tc>
          <w:tcPr>
            <w:tcW w:w="850" w:type="dxa"/>
            <w:shd w:val="clear" w:color="auto" w:fill="C6EFCE"/>
            <w:vAlign w:val="center"/>
            <w:hideMark/>
          </w:tcPr>
          <w:p w14:paraId="7A538D0B"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58" w:type="dxa"/>
            <w:shd w:val="clear" w:color="auto" w:fill="C6EFCE"/>
            <w:vAlign w:val="center"/>
            <w:hideMark/>
          </w:tcPr>
          <w:p w14:paraId="7A538D0C" w14:textId="77777777" w:rsidR="008273B8" w:rsidRDefault="00B93063">
            <w:pPr>
              <w:pStyle w:val="P68B1DB1-Normal7"/>
              <w:spacing w:after="0" w:line="240" w:lineRule="auto"/>
              <w:jc w:val="center"/>
              <w:rPr>
                <w:rFonts w:eastAsia="Times New Roman" w:cs="Calibri"/>
                <w:noProof/>
              </w:rPr>
            </w:pPr>
            <w:r>
              <w:rPr>
                <w:noProof/>
              </w:rPr>
              <w:t>2023</w:t>
            </w:r>
          </w:p>
        </w:tc>
        <w:tc>
          <w:tcPr>
            <w:tcW w:w="4734" w:type="dxa"/>
            <w:shd w:val="clear" w:color="auto" w:fill="C6EFCE"/>
            <w:vAlign w:val="center"/>
            <w:hideMark/>
          </w:tcPr>
          <w:p w14:paraId="7A538D0D" w14:textId="77777777" w:rsidR="008273B8" w:rsidRDefault="00B93063">
            <w:pPr>
              <w:pStyle w:val="P68B1DB1-Normal9"/>
              <w:spacing w:after="0" w:line="240" w:lineRule="auto"/>
              <w:rPr>
                <w:rFonts w:ascii="Calibri" w:eastAsia="Times New Roman" w:hAnsi="Calibri" w:cs="Calibri"/>
                <w:noProof/>
              </w:rPr>
            </w:pPr>
            <w:r>
              <w:rPr>
                <w:rFonts w:ascii="Calibri" w:hAnsi="Calibri"/>
                <w:noProof/>
              </w:rPr>
              <w:t>Završeni su građevinski radovi na gotovo ugljično neutralnoj školi. Procjenjuje se da će škola primiti oko 500 učenika i imati površinu kopna od najmanje 14 499 m</w:t>
            </w:r>
            <w:r>
              <w:rPr>
                <w:noProof/>
              </w:rPr>
              <w:t xml:space="preserve"> 2</w:t>
            </w:r>
            <w:r>
              <w:rPr>
                <w:noProof/>
                <w:vertAlign w:val="superscript"/>
              </w:rPr>
              <w:t>.</w:t>
            </w:r>
            <w:r>
              <w:rPr>
                <w:rFonts w:ascii="Calibri" w:hAnsi="Calibri"/>
                <w:noProof/>
              </w:rPr>
              <w:t xml:space="preserve"> Konstrukcija mora osigurati da je zadovoljena potrošnja primarne energije (PED) koja je najmanje 20 % niža od zahtjeva za zgrade gotovo nulte energije. </w:t>
            </w:r>
          </w:p>
        </w:tc>
      </w:tr>
      <w:tr w:rsidR="008273B8" w14:paraId="7A538D1A" w14:textId="77777777">
        <w:trPr>
          <w:cantSplit/>
          <w:jc w:val="center"/>
        </w:trPr>
        <w:tc>
          <w:tcPr>
            <w:tcW w:w="1247" w:type="dxa"/>
            <w:shd w:val="clear" w:color="auto" w:fill="C6EFCE"/>
            <w:vAlign w:val="center"/>
            <w:hideMark/>
          </w:tcPr>
          <w:p w14:paraId="7A538D0F" w14:textId="77777777" w:rsidR="008273B8" w:rsidRDefault="00B93063">
            <w:pPr>
              <w:pStyle w:val="P68B1DB1-Normal7"/>
              <w:spacing w:after="0" w:line="240" w:lineRule="auto"/>
              <w:rPr>
                <w:rFonts w:eastAsia="Times New Roman" w:cs="Calibri"/>
                <w:noProof/>
              </w:rPr>
            </w:pPr>
            <w:r>
              <w:rPr>
                <w:noProof/>
              </w:rPr>
              <w:t>1.27</w:t>
            </w:r>
          </w:p>
        </w:tc>
        <w:tc>
          <w:tcPr>
            <w:tcW w:w="1085" w:type="dxa"/>
            <w:shd w:val="clear" w:color="auto" w:fill="C6EFCE"/>
            <w:vAlign w:val="center"/>
            <w:hideMark/>
          </w:tcPr>
          <w:p w14:paraId="7A538D10" w14:textId="77777777" w:rsidR="008273B8" w:rsidRDefault="00B93063">
            <w:pPr>
              <w:pStyle w:val="P68B1DB1-Normal7"/>
              <w:spacing w:after="0" w:line="240" w:lineRule="auto"/>
              <w:rPr>
                <w:rFonts w:eastAsia="Times New Roman" w:cs="Calibri"/>
                <w:noProof/>
              </w:rPr>
            </w:pPr>
            <w:r>
              <w:rPr>
                <w:noProof/>
              </w:rPr>
              <w:t xml:space="preserve">C1.I.5 </w:t>
            </w:r>
          </w:p>
        </w:tc>
        <w:tc>
          <w:tcPr>
            <w:tcW w:w="1014" w:type="dxa"/>
            <w:shd w:val="clear" w:color="auto" w:fill="C6EFCE"/>
            <w:vAlign w:val="center"/>
            <w:hideMark/>
          </w:tcPr>
          <w:p w14:paraId="7A538D11" w14:textId="77777777" w:rsidR="008273B8" w:rsidRDefault="00B93063">
            <w:pPr>
              <w:pStyle w:val="P68B1DB1-Normal7"/>
              <w:spacing w:after="0" w:line="240" w:lineRule="auto"/>
              <w:rPr>
                <w:rFonts w:eastAsia="Times New Roman" w:cs="Calibri"/>
                <w:noProof/>
              </w:rPr>
            </w:pPr>
            <w:r>
              <w:rPr>
                <w:noProof/>
              </w:rPr>
              <w:t xml:space="preserve">Ciljna vrijednost </w:t>
            </w:r>
          </w:p>
        </w:tc>
        <w:tc>
          <w:tcPr>
            <w:tcW w:w="1401" w:type="dxa"/>
            <w:shd w:val="clear" w:color="auto" w:fill="C6EFCE"/>
            <w:vAlign w:val="center"/>
            <w:hideMark/>
          </w:tcPr>
          <w:p w14:paraId="7A538D12" w14:textId="77777777" w:rsidR="008273B8" w:rsidRDefault="00B93063">
            <w:pPr>
              <w:pStyle w:val="P68B1DB1-Normal7"/>
              <w:spacing w:after="0" w:line="240" w:lineRule="auto"/>
              <w:rPr>
                <w:rFonts w:eastAsia="Times New Roman" w:cs="Calibri"/>
                <w:noProof/>
              </w:rPr>
            </w:pPr>
            <w:r>
              <w:rPr>
                <w:noProof/>
              </w:rPr>
              <w:t xml:space="preserve">Postavljanje fotonaponske infrastrukture u javnim otvorenim prostorima </w:t>
            </w:r>
          </w:p>
        </w:tc>
        <w:tc>
          <w:tcPr>
            <w:tcW w:w="1869" w:type="dxa"/>
            <w:shd w:val="clear" w:color="auto" w:fill="C6EFCE"/>
            <w:vAlign w:val="center"/>
            <w:hideMark/>
          </w:tcPr>
          <w:p w14:paraId="7A538D13" w14:textId="77777777" w:rsidR="008273B8" w:rsidRDefault="008273B8">
            <w:pPr>
              <w:spacing w:after="0" w:line="240" w:lineRule="auto"/>
              <w:rPr>
                <w:rFonts w:ascii="Calibri" w:eastAsia="Times New Roman" w:hAnsi="Calibri" w:cs="Calibri"/>
                <w:noProof/>
                <w:sz w:val="18"/>
              </w:rPr>
            </w:pPr>
          </w:p>
        </w:tc>
        <w:tc>
          <w:tcPr>
            <w:tcW w:w="943" w:type="dxa"/>
            <w:shd w:val="clear" w:color="auto" w:fill="C6EFCE"/>
            <w:vAlign w:val="center"/>
            <w:hideMark/>
          </w:tcPr>
          <w:p w14:paraId="7A538D14" w14:textId="77777777" w:rsidR="008273B8" w:rsidRDefault="00B93063">
            <w:pPr>
              <w:pStyle w:val="P68B1DB1-Normal7"/>
              <w:spacing w:after="0" w:line="240" w:lineRule="auto"/>
              <w:jc w:val="center"/>
              <w:rPr>
                <w:rFonts w:eastAsia="Times New Roman" w:cs="Calibri"/>
                <w:noProof/>
              </w:rPr>
            </w:pPr>
            <w:r>
              <w:rPr>
                <w:noProof/>
              </w:rPr>
              <w:t>kW</w:t>
            </w:r>
          </w:p>
        </w:tc>
        <w:tc>
          <w:tcPr>
            <w:tcW w:w="943" w:type="dxa"/>
            <w:shd w:val="clear" w:color="auto" w:fill="C6EFCE"/>
            <w:vAlign w:val="center"/>
            <w:hideMark/>
          </w:tcPr>
          <w:p w14:paraId="7A538D15" w14:textId="77777777" w:rsidR="008273B8" w:rsidRDefault="00B93063">
            <w:pPr>
              <w:pStyle w:val="P68B1DB1-Normal7"/>
              <w:spacing w:after="0" w:line="240" w:lineRule="auto"/>
              <w:jc w:val="center"/>
              <w:rPr>
                <w:rFonts w:eastAsia="Times New Roman" w:cs="Calibri"/>
                <w:noProof/>
              </w:rPr>
            </w:pPr>
            <w:r>
              <w:rPr>
                <w:noProof/>
              </w:rPr>
              <w:t>0</w:t>
            </w:r>
          </w:p>
        </w:tc>
        <w:tc>
          <w:tcPr>
            <w:tcW w:w="849" w:type="dxa"/>
            <w:shd w:val="clear" w:color="auto" w:fill="C6EFCE"/>
            <w:vAlign w:val="center"/>
            <w:hideMark/>
          </w:tcPr>
          <w:p w14:paraId="7A538D16" w14:textId="77777777" w:rsidR="008273B8" w:rsidRDefault="00B93063">
            <w:pPr>
              <w:pStyle w:val="P68B1DB1-Normal7"/>
              <w:spacing w:after="0" w:line="240" w:lineRule="auto"/>
              <w:jc w:val="center"/>
              <w:rPr>
                <w:rFonts w:eastAsia="Times New Roman" w:cs="Calibri"/>
                <w:noProof/>
              </w:rPr>
            </w:pPr>
            <w:r>
              <w:rPr>
                <w:noProof/>
              </w:rPr>
              <w:t>143</w:t>
            </w:r>
          </w:p>
        </w:tc>
        <w:tc>
          <w:tcPr>
            <w:tcW w:w="850" w:type="dxa"/>
            <w:shd w:val="clear" w:color="auto" w:fill="C6EFCE"/>
            <w:vAlign w:val="center"/>
            <w:hideMark/>
          </w:tcPr>
          <w:p w14:paraId="7A538D17" w14:textId="77777777" w:rsidR="008273B8" w:rsidRDefault="00B93063">
            <w:pPr>
              <w:pStyle w:val="P68B1DB1-Normal7"/>
              <w:spacing w:after="0" w:line="240" w:lineRule="auto"/>
              <w:jc w:val="center"/>
              <w:rPr>
                <w:rFonts w:eastAsia="Times New Roman" w:cs="Calibri"/>
                <w:noProof/>
              </w:rPr>
            </w:pPr>
            <w:r>
              <w:rPr>
                <w:noProof/>
              </w:rPr>
              <w:t>Q2</w:t>
            </w:r>
          </w:p>
        </w:tc>
        <w:tc>
          <w:tcPr>
            <w:tcW w:w="658" w:type="dxa"/>
            <w:shd w:val="clear" w:color="auto" w:fill="C6EFCE"/>
            <w:vAlign w:val="center"/>
            <w:hideMark/>
          </w:tcPr>
          <w:p w14:paraId="7A538D18" w14:textId="77777777" w:rsidR="008273B8" w:rsidRDefault="00B93063">
            <w:pPr>
              <w:pStyle w:val="P68B1DB1-Normal7"/>
              <w:spacing w:after="0" w:line="240" w:lineRule="auto"/>
              <w:jc w:val="center"/>
              <w:rPr>
                <w:rFonts w:eastAsia="Times New Roman" w:cs="Calibri"/>
                <w:noProof/>
              </w:rPr>
            </w:pPr>
            <w:r>
              <w:rPr>
                <w:noProof/>
              </w:rPr>
              <w:t>2024</w:t>
            </w:r>
          </w:p>
        </w:tc>
        <w:tc>
          <w:tcPr>
            <w:tcW w:w="4734" w:type="dxa"/>
            <w:shd w:val="clear" w:color="auto" w:fill="C6EFCE"/>
            <w:vAlign w:val="center"/>
            <w:hideMark/>
          </w:tcPr>
          <w:p w14:paraId="7A538D19" w14:textId="77777777" w:rsidR="008273B8" w:rsidRDefault="00B93063">
            <w:pPr>
              <w:pStyle w:val="P68B1DB1-Normal7"/>
              <w:spacing w:after="0" w:line="240" w:lineRule="auto"/>
              <w:rPr>
                <w:rFonts w:eastAsia="Times New Roman" w:cs="Calibri"/>
                <w:noProof/>
              </w:rPr>
            </w:pPr>
            <w:r>
              <w:rPr>
                <w:noProof/>
              </w:rPr>
              <w:t>Instalirani proizvodni kapacitet fotonaponske infrastrukture na cestama, pješačkim stazama i drugim javnim otvorenim prostorima na Malti i na Gozu.</w:t>
            </w:r>
          </w:p>
        </w:tc>
      </w:tr>
    </w:tbl>
    <w:p w14:paraId="7A538D1B" w14:textId="77777777" w:rsidR="008273B8" w:rsidRDefault="008273B8">
      <w:pPr>
        <w:pStyle w:val="Text1"/>
        <w:rPr>
          <w:noProof/>
        </w:rPr>
        <w:sectPr w:rsidR="008273B8">
          <w:headerReference w:type="even" r:id="rId24"/>
          <w:headerReference w:type="default" r:id="rId25"/>
          <w:footerReference w:type="even" r:id="rId26"/>
          <w:footerReference w:type="default" r:id="rId27"/>
          <w:headerReference w:type="first" r:id="rId28"/>
          <w:footerReference w:type="first" r:id="rId29"/>
          <w:pgSz w:w="16839" w:h="11907" w:orient="landscape"/>
          <w:pgMar w:top="1134" w:right="1134" w:bottom="1134" w:left="1134" w:header="567" w:footer="567" w:gutter="0"/>
          <w:cols w:space="720"/>
          <w:docGrid w:linePitch="360"/>
        </w:sectPr>
      </w:pPr>
    </w:p>
    <w:p w14:paraId="7A538D1C" w14:textId="77777777" w:rsidR="008273B8" w:rsidRDefault="00B93063">
      <w:pPr>
        <w:pStyle w:val="ManualHeading2"/>
        <w:spacing w:before="360" w:after="360"/>
        <w:rPr>
          <w:noProof/>
        </w:rPr>
      </w:pPr>
      <w:r>
        <w:rPr>
          <w:noProof/>
        </w:rPr>
        <w:t xml:space="preserve">B. SASTAVNI DIO: </w:t>
      </w:r>
      <w:r>
        <w:rPr>
          <w:rFonts w:ascii="Times New Roman Bold" w:hAnsi="Times New Roman Bold"/>
          <w:smallCaps/>
          <w:noProof/>
        </w:rPr>
        <w:t>Dekarbonizacija prometa</w:t>
      </w:r>
    </w:p>
    <w:p w14:paraId="7A538D1D" w14:textId="77777777" w:rsidR="008273B8" w:rsidRDefault="00B93063">
      <w:pPr>
        <w:pStyle w:val="P68B1DB1-Normal11"/>
        <w:spacing w:line="240" w:lineRule="auto"/>
        <w:jc w:val="both"/>
        <w:rPr>
          <w:rFonts w:cs="Times New Roman"/>
          <w:noProof/>
        </w:rPr>
      </w:pPr>
      <w:r>
        <w:rPr>
          <w:noProof/>
        </w:rPr>
        <w:t>Ta sastavnica malteškog plana za oporavak i otpornost pridonosi rješavanju izazova zagušenja cestovnog prometa, emisija stakleničkih plinova i onečišćujućih tvari te potrebi da prometni sektor postane održiviji.</w:t>
      </w:r>
    </w:p>
    <w:p w14:paraId="7A538D1E" w14:textId="77777777" w:rsidR="008273B8" w:rsidRDefault="00B93063">
      <w:pPr>
        <w:pStyle w:val="P68B1DB1-Normal11"/>
        <w:spacing w:line="240" w:lineRule="auto"/>
        <w:jc w:val="both"/>
        <w:rPr>
          <w:rFonts w:cs="Times New Roman"/>
          <w:noProof/>
        </w:rPr>
      </w:pPr>
      <w:r>
        <w:rPr>
          <w:noProof/>
        </w:rPr>
        <w:t xml:space="preserve">Cilj je komponente preusmjeriti promet s cestovnog na održivije načine prijevoza i dekarbonizirati cestovni promet elektrifikacijom, u skladu s malteškim nacionalnim energetskim i klimatskim planom za 2030., Strategijom za razvoj s niskom razinom emisija ugljika do 2050., Nacionalnim programom reformi Malte (2020.) i malteškom nacionalnom prometnom strategijom. </w:t>
      </w:r>
    </w:p>
    <w:p w14:paraId="7A538D1F" w14:textId="6AB3E131" w:rsidR="008273B8" w:rsidRDefault="00B93063">
      <w:pPr>
        <w:pStyle w:val="P68B1DB1-Normal11"/>
        <w:spacing w:line="240" w:lineRule="auto"/>
        <w:jc w:val="both"/>
        <w:rPr>
          <w:rFonts w:cs="Times New Roman"/>
          <w:noProof/>
        </w:rPr>
      </w:pPr>
      <w:r>
        <w:rPr>
          <w:noProof/>
        </w:rPr>
        <w:t xml:space="preserve">Reformama u ovoj komponenti poboljšava se planiranje prometa, proširuje upotreba javnog prijevoza i provode mjere iz Plana održive gradske mobilnosti za regiju Valletta. Također određuju područja obnove, promiču rad na daljinu u javnom sektoru i povećavaju učinkovitost voznog parka javnog sektora. Ulaganja obuhvaćaju program uklanjanja otpada kojim se podupire kupnja električnih vozila s nultim emisijama u privatnom sektoru, obnova voznog parka u javnom sektoru električnim vozilima s nultim emisijama i kupnja električnih autobusa s nultim emisijama za javni prijevoz. </w:t>
      </w:r>
    </w:p>
    <w:p w14:paraId="7A538D20" w14:textId="6EDA4F35" w:rsidR="008273B8" w:rsidRDefault="00B93063">
      <w:pPr>
        <w:pStyle w:val="P68B1DB1-Normal11"/>
        <w:spacing w:line="240" w:lineRule="auto"/>
        <w:jc w:val="both"/>
        <w:rPr>
          <w:rFonts w:cs="Times New Roman"/>
          <w:noProof/>
        </w:rPr>
      </w:pPr>
      <w:r>
        <w:rPr>
          <w:noProof/>
        </w:rPr>
        <w:t>Tom se komponentom pridonosi provedbi preporuka za pojedinu zemlju da se ulaganja usmjere na zelenu tranziciju (3. preporuka po državama članicama iz 2020.), održivi promet (preporuke za pojedinu zemlju 3. 2019. i 3. 2020.) i smanjenje zagušenja prometa (3. preporuka za pojedinu zemlju, 3. 2019.), kao i na preporuke za pojedinu zemlju 1. i 4. iz 2022. s naglaskom na zelenoj tranziciji, održivom prometu i smanjenju zagušenja prometa.</w:t>
      </w:r>
    </w:p>
    <w:p w14:paraId="7A538D21" w14:textId="77777777" w:rsidR="008273B8" w:rsidRDefault="00B93063">
      <w:pPr>
        <w:pStyle w:val="P68B1DB1-Normal11"/>
        <w:spacing w:line="240" w:lineRule="auto"/>
        <w:jc w:val="both"/>
        <w:rPr>
          <w:rFonts w:cs="Times New Roman"/>
          <w:noProof/>
        </w:rPr>
      </w:pPr>
      <w:r>
        <w:rPr>
          <w:noProof/>
        </w:rPr>
        <w:t>Očekuje se da se nijednom mjerom u ovoj komponenti ne nanosi bitna šteta okolišnim ciljevima u smislu članka 17. Uredbe (EU) 2020/852, uzimajući u obzir opis mjera i koraka ublažavanja utvrđenih u planu za oporavak i otpornost u skladu s Tehničkim smjernicama o nenanošenju bitne štete (2021/C58/01).</w:t>
      </w:r>
    </w:p>
    <w:p w14:paraId="7A538D22" w14:textId="77777777" w:rsidR="008273B8" w:rsidRDefault="00B93063">
      <w:pPr>
        <w:pStyle w:val="P68B1DB1-ManualHeading34"/>
        <w:spacing w:before="240" w:after="240"/>
        <w:rPr>
          <w:noProof/>
          <w:u w:val="single"/>
        </w:rPr>
      </w:pPr>
      <w:r>
        <w:rPr>
          <w:noProof/>
        </w:rPr>
        <w:t xml:space="preserve">B.1. </w:t>
      </w:r>
      <w:r>
        <w:rPr>
          <w:noProof/>
        </w:rPr>
        <w:tab/>
      </w:r>
      <w:r>
        <w:rPr>
          <w:noProof/>
          <w:u w:val="single"/>
        </w:rPr>
        <w:t>Opis reformi i ulaganja za bespovratnu financijsku potporu</w:t>
      </w:r>
    </w:p>
    <w:p w14:paraId="7A538D23" w14:textId="77777777" w:rsidR="008273B8" w:rsidRDefault="00B93063">
      <w:pPr>
        <w:pStyle w:val="P68B1DB1-Normal12"/>
        <w:spacing w:line="240" w:lineRule="auto"/>
        <w:jc w:val="both"/>
        <w:rPr>
          <w:rFonts w:cs="Times New Roman"/>
          <w:noProof/>
        </w:rPr>
      </w:pPr>
      <w:r>
        <w:rPr>
          <w:noProof/>
        </w:rPr>
        <w:t>Reforma C2-R1: Poticanje donošenja i provedbe politika kojima se promiče održivost prometnog sektora, među ostalim poticanjem korištenja kolektivnog i multimodalnog prijevoza</w:t>
      </w:r>
    </w:p>
    <w:p w14:paraId="7A538D24" w14:textId="77777777" w:rsidR="008273B8" w:rsidRDefault="00B93063">
      <w:pPr>
        <w:pStyle w:val="P68B1DB1-Normal11"/>
        <w:spacing w:line="240" w:lineRule="auto"/>
        <w:jc w:val="both"/>
        <w:rPr>
          <w:rFonts w:cs="Times New Roman"/>
          <w:noProof/>
        </w:rPr>
      </w:pPr>
      <w:r>
        <w:rPr>
          <w:noProof/>
        </w:rPr>
        <w:t>Cilj je reforme poduprijeti dekarbonizaciju prometnog sektora promicanjem boljeg planiranja prometa. Njime se pridonosi ubrzanju tranzicije prometnog sektora prema nultoj stopi emisija ugljika, smanjenju zagušenja i postizanju klimatske neutralnosti do 2050.</w:t>
      </w:r>
    </w:p>
    <w:p w14:paraId="7A538D25" w14:textId="77777777" w:rsidR="008273B8" w:rsidRDefault="00B93063">
      <w:pPr>
        <w:pStyle w:val="P68B1DB1-Normal11"/>
        <w:spacing w:line="240" w:lineRule="auto"/>
        <w:jc w:val="both"/>
        <w:rPr>
          <w:rFonts w:cs="Times New Roman"/>
          <w:noProof/>
        </w:rPr>
      </w:pPr>
      <w:r>
        <w:rPr>
          <w:noProof/>
        </w:rPr>
        <w:t xml:space="preserve">Reforma se sastoji od: i. dovršetak studije, malteško nacionalno istraživanje o putovanjima kućanstava i ii. kampanja za podizanje svijesti radi promicanja održivog prijevoza. </w:t>
      </w:r>
    </w:p>
    <w:p w14:paraId="7A538D26" w14:textId="77777777" w:rsidR="008273B8" w:rsidRDefault="00B93063">
      <w:pPr>
        <w:pStyle w:val="P68B1DB1-Normal11"/>
        <w:spacing w:line="240" w:lineRule="auto"/>
        <w:jc w:val="both"/>
        <w:rPr>
          <w:rFonts w:cs="Times New Roman"/>
          <w:noProof/>
        </w:rPr>
      </w:pPr>
      <w:r>
        <w:rPr>
          <w:noProof/>
        </w:rPr>
        <w:t>U studiji se kvantificiraju trenutačni obrasci putovanja, ponašanje i ocjenjuje javno mnijenje o novim mogućim mjerama koje treba uključiti u ažurirani glavni plan prijevoza. Završetak ankete odnosi se na trenutak u kojem su podaci prikupljeni i analizirani za istraživanje, a nalazi su utvrđeni u pisanom obliku.</w:t>
      </w:r>
    </w:p>
    <w:p w14:paraId="7A538D27" w14:textId="77777777" w:rsidR="008273B8" w:rsidRDefault="00B93063">
      <w:pPr>
        <w:pStyle w:val="P68B1DB1-Normal11"/>
        <w:spacing w:line="240" w:lineRule="auto"/>
        <w:jc w:val="both"/>
        <w:rPr>
          <w:rFonts w:cs="Times New Roman"/>
          <w:noProof/>
        </w:rPr>
      </w:pPr>
      <w:r>
        <w:rPr>
          <w:noProof/>
        </w:rPr>
        <w:t>Kampanja za podizanje svijesti kampanja je na nacionalnoj razini usmjerena na sve sektore društva. Promiče zelenije načine prijevoza, uključujući multimodalnost za nužna putovanja, i održiviji sustav mobilnosti diljem Goza i Malte. Koristi se različitim medijima, uključujući tisak, televiziju i društvene medije.</w:t>
      </w:r>
    </w:p>
    <w:p w14:paraId="7A538D28" w14:textId="77777777" w:rsidR="008273B8" w:rsidRDefault="00B93063">
      <w:pPr>
        <w:pStyle w:val="P68B1DB1-Normal11"/>
        <w:spacing w:line="240" w:lineRule="auto"/>
        <w:jc w:val="both"/>
        <w:rPr>
          <w:rFonts w:cs="Times New Roman"/>
          <w:noProof/>
        </w:rPr>
      </w:pPr>
      <w:r>
        <w:rPr>
          <w:noProof/>
        </w:rPr>
        <w:t>Reforma se provodi do 31. prosinca 2025.</w:t>
      </w:r>
    </w:p>
    <w:p w14:paraId="7A538D29" w14:textId="77777777" w:rsidR="008273B8" w:rsidRDefault="00B93063">
      <w:pPr>
        <w:pStyle w:val="P68B1DB1-Normal12"/>
        <w:spacing w:line="240" w:lineRule="auto"/>
        <w:jc w:val="both"/>
        <w:rPr>
          <w:rFonts w:cs="Times New Roman"/>
          <w:noProof/>
        </w:rPr>
      </w:pPr>
      <w:r>
        <w:rPr>
          <w:noProof/>
        </w:rPr>
        <w:t xml:space="preserve">Reforma C2-R2: Promicanje daljnje uporabe kolektivnog javnog cestovnog prijevoza </w:t>
      </w:r>
    </w:p>
    <w:p w14:paraId="7A538D2A" w14:textId="77777777" w:rsidR="008273B8" w:rsidRDefault="00B93063">
      <w:pPr>
        <w:pStyle w:val="P68B1DB1-Normal11"/>
        <w:spacing w:line="240" w:lineRule="auto"/>
        <w:jc w:val="both"/>
        <w:rPr>
          <w:rFonts w:cs="Times New Roman"/>
          <w:noProof/>
        </w:rPr>
      </w:pPr>
      <w:r>
        <w:rPr>
          <w:noProof/>
        </w:rPr>
        <w:t xml:space="preserve">Cilj je te reforme promicati upotrebu javnog prijevoza kao sredstva za smanjenje emisija i rješavanje problema zagušenja. </w:t>
      </w:r>
    </w:p>
    <w:p w14:paraId="7A538D2B" w14:textId="2A9C068D" w:rsidR="008273B8" w:rsidRDefault="00B93063">
      <w:pPr>
        <w:pStyle w:val="P68B1DB1-Normal11"/>
        <w:spacing w:line="240" w:lineRule="auto"/>
        <w:jc w:val="both"/>
        <w:rPr>
          <w:rFonts w:cs="Times New Roman"/>
          <w:noProof/>
        </w:rPr>
      </w:pPr>
      <w:r>
        <w:rPr>
          <w:noProof/>
        </w:rPr>
        <w:t xml:space="preserve">Tom će se reformom omogućiti besplatan pristup uslugama javnog linijskog cestovnog prijevoza novim skupinama koje obuhvaćaju najmanje 103,000 osoba. </w:t>
      </w:r>
    </w:p>
    <w:p w14:paraId="7A538D2C" w14:textId="2577CFE9" w:rsidR="008273B8" w:rsidRDefault="008273B8">
      <w:pPr>
        <w:spacing w:line="240" w:lineRule="auto"/>
        <w:jc w:val="both"/>
        <w:rPr>
          <w:rFonts w:ascii="Times New Roman" w:hAnsi="Times New Roman" w:cs="Times New Roman"/>
          <w:noProof/>
          <w:color w:val="000000" w:themeColor="text1"/>
          <w:sz w:val="24"/>
        </w:rPr>
      </w:pPr>
    </w:p>
    <w:p w14:paraId="7A538D2D" w14:textId="77777777" w:rsidR="008273B8" w:rsidRDefault="00B93063">
      <w:pPr>
        <w:pStyle w:val="P68B1DB1-Normal11"/>
        <w:spacing w:line="240" w:lineRule="auto"/>
        <w:jc w:val="both"/>
        <w:rPr>
          <w:rFonts w:cs="Times New Roman"/>
          <w:noProof/>
        </w:rPr>
      </w:pPr>
      <w:r>
        <w:rPr>
          <w:noProof/>
        </w:rPr>
        <w:t>Reforma se provodi do 31. prosinca 2023.</w:t>
      </w:r>
    </w:p>
    <w:p w14:paraId="7A538D2E" w14:textId="77777777" w:rsidR="008273B8" w:rsidRDefault="00B93063">
      <w:pPr>
        <w:pStyle w:val="P68B1DB1-Normal12"/>
        <w:spacing w:line="240" w:lineRule="auto"/>
        <w:jc w:val="both"/>
        <w:rPr>
          <w:rFonts w:cs="Times New Roman"/>
          <w:noProof/>
        </w:rPr>
      </w:pPr>
      <w:r>
        <w:rPr>
          <w:noProof/>
        </w:rPr>
        <w:t xml:space="preserve">Reforma C2-R3: Ubrzavanje dovršetka i provedbe plana održive gradske mobilnosti za regiju Valletta </w:t>
      </w:r>
    </w:p>
    <w:p w14:paraId="7A538D2F" w14:textId="77777777" w:rsidR="008273B8" w:rsidRDefault="00B93063">
      <w:pPr>
        <w:pStyle w:val="P68B1DB1-Normal11"/>
        <w:spacing w:line="240" w:lineRule="auto"/>
        <w:jc w:val="both"/>
        <w:rPr>
          <w:rFonts w:cs="Times New Roman"/>
          <w:noProof/>
        </w:rPr>
      </w:pPr>
      <w:r>
        <w:rPr>
          <w:noProof/>
        </w:rPr>
        <w:t xml:space="preserve">Cilj je te reforme potaknuti održivu mobilnost na Malti boljim planiranjem prometa i provedbom rješenja za održivu mobilnost. </w:t>
      </w:r>
    </w:p>
    <w:p w14:paraId="7A538D30" w14:textId="77777777" w:rsidR="008273B8" w:rsidRDefault="00B93063">
      <w:pPr>
        <w:pStyle w:val="P68B1DB1-Normal11"/>
        <w:spacing w:line="240" w:lineRule="auto"/>
        <w:jc w:val="both"/>
        <w:rPr>
          <w:rFonts w:cs="Times New Roman"/>
          <w:noProof/>
        </w:rPr>
      </w:pPr>
      <w:r>
        <w:rPr>
          <w:noProof/>
        </w:rPr>
        <w:t xml:space="preserve">Reforma se sastoji od objave na internetu plana održive gradske mobilnosti (SUMP) za regiju Valletta i njegove provedbe. Plan je usmjeren na sjeverne i južne lučke regije koje obuhvaćaju više od 40 % ukupnog stanovništva malteških otoka. Planom održive gradske mobilnosti nastoji se poboljšati kvaliteta života i mobilnost na Malti olakšavanjem troškovno učinkovite, energetski učinkovite i neometane mobilnosti. Objava se sastoji od objavljivanja SUMP-a na internetskim stranicama Ministarstva prometa. </w:t>
      </w:r>
    </w:p>
    <w:p w14:paraId="7A538D31" w14:textId="77777777" w:rsidR="008273B8" w:rsidRDefault="00B93063">
      <w:pPr>
        <w:pStyle w:val="P68B1DB1-Normal11"/>
        <w:spacing w:line="240" w:lineRule="auto"/>
        <w:jc w:val="both"/>
        <w:rPr>
          <w:rFonts w:cs="Times New Roman"/>
          <w:noProof/>
        </w:rPr>
      </w:pPr>
      <w:r>
        <w:rPr>
          <w:noProof/>
        </w:rPr>
        <w:t>Kako bi se proveo SUMP, reformom se provode mjere iz SUMP-a u najmanje devet lokalnih upravnih jedinica u regiji Valletta, uz najmanje jednu mjeru po lokalnoj upravnoj jedinici. Prihvatljive vrste intervencija su: periferni programi parkiranja kojima se potiču održivije vrste prijevoza, uključujući vožnju biciklom i pješačenje u središtu grada, lokalizacija i provedba lokalnih prometnih čvorišta, biciklistička infrastruktura, zajedničko korištenje automobila među nekoliko ljudi i na zahtjev, uvođenje i upotreba električnih vozila i infrastrukture za punjenje u gusto naseljenim gradskim područjima te urbana logistika, primjerice provedbom rješenja za posljednji kilometar, među ostalim u komercijalne svrhe i podupiranjem alternativnih rješenja za mobilnost.</w:t>
      </w:r>
    </w:p>
    <w:p w14:paraId="7A538D32" w14:textId="77777777" w:rsidR="008273B8" w:rsidRDefault="00B93063">
      <w:pPr>
        <w:pStyle w:val="P68B1DB1-Normal11"/>
        <w:spacing w:line="240" w:lineRule="auto"/>
        <w:jc w:val="both"/>
        <w:rPr>
          <w:rFonts w:cs="Times New Roman"/>
          <w:noProof/>
        </w:rPr>
      </w:pPr>
      <w:r>
        <w:rPr>
          <w:noProof/>
        </w:rPr>
        <w:t>Reforma se provodi do 30. lipnja 2025.</w:t>
      </w:r>
    </w:p>
    <w:p w14:paraId="7A538D33" w14:textId="77777777" w:rsidR="008273B8" w:rsidRDefault="00B93063">
      <w:pPr>
        <w:pStyle w:val="P68B1DB1-Normal12"/>
        <w:spacing w:line="240" w:lineRule="auto"/>
        <w:jc w:val="both"/>
        <w:rPr>
          <w:rFonts w:cs="Times New Roman"/>
          <w:noProof/>
        </w:rPr>
      </w:pPr>
      <w:r>
        <w:rPr>
          <w:noProof/>
        </w:rPr>
        <w:t>Reforma C2-R4: Smanjenje društveno-gospodarskog i ekološkog učinka vozila u gradskim područjima</w:t>
      </w:r>
    </w:p>
    <w:p w14:paraId="7A538D34" w14:textId="77777777" w:rsidR="008273B8" w:rsidRDefault="00B93063">
      <w:pPr>
        <w:pStyle w:val="P68B1DB1-Normal11"/>
        <w:spacing w:line="240" w:lineRule="auto"/>
        <w:jc w:val="both"/>
        <w:rPr>
          <w:rFonts w:cs="Times New Roman"/>
          <w:noProof/>
        </w:rPr>
      </w:pPr>
      <w:r>
        <w:rPr>
          <w:noProof/>
        </w:rPr>
        <w:t>Cilj je te reforme uspostaviti prostore bez automobila diljem Malte i Goza koji su otvoreni za javnost. Cilj je te reforme promicati obnovu javnih trgova i zajedničkih prostora sela i gradova te smanjiti ovisnost o privatnim vozilima. Dovršetkom područja obnove tom će se reformom, među ostalim, poticati siguran i tih prostor za stanovnike, starije osobe, djecu i obitelji da provedu slobodno vrijeme na otvorenom. Njime će se stvoriti više prilika za lokalna poduzeća, trgovce i prostore za organiziranje aktivnosti umjetnika i lokalnih organizacija.</w:t>
      </w:r>
    </w:p>
    <w:p w14:paraId="7A538D35" w14:textId="77777777" w:rsidR="008273B8" w:rsidRDefault="00B93063">
      <w:pPr>
        <w:pStyle w:val="P68B1DB1-Normal11"/>
        <w:spacing w:line="240" w:lineRule="auto"/>
        <w:jc w:val="both"/>
        <w:rPr>
          <w:rFonts w:cs="Times New Roman"/>
          <w:noProof/>
        </w:rPr>
      </w:pPr>
      <w:r>
        <w:rPr>
          <w:noProof/>
        </w:rPr>
        <w:t xml:space="preserve">Mjere su trajne, ali njihova dostupnost može biti ograničena na odabrana razdoblja. Odabrana razdoblja mogu biti određena razdoblja u godini, određeni dani u tjednu ili određeni sati dana. </w:t>
      </w:r>
    </w:p>
    <w:p w14:paraId="7A538D36" w14:textId="77777777" w:rsidR="008273B8" w:rsidRDefault="00B93063">
      <w:pPr>
        <w:pStyle w:val="P68B1DB1-Normal11"/>
        <w:spacing w:line="240" w:lineRule="auto"/>
        <w:jc w:val="both"/>
        <w:rPr>
          <w:rFonts w:cs="Times New Roman"/>
          <w:noProof/>
        </w:rPr>
      </w:pPr>
      <w:r>
        <w:rPr>
          <w:noProof/>
        </w:rPr>
        <w:t>Reforma se sastoji od dovršetka najmanje tri regeneracijska područja u urbanim područjima u razdoblju od tri godine, s najmanje jednim područjem godišnje. Područje obnove područje je bez automobila u kojem lokalna vijeća promiču pješačenje, vožnju biciklom i javni prijevoz, usporedno s drugim obrazovnim kampanjama kako bi se izbjegla nepotrebna putovanja, što će rezultirati dodatnim slobodnim i neopterećenim javnim prostorom. U tim područjima prednost se daje pješacima i biciklima za nužna putovanja koja potiču prijelaz na čišće i održive načine prijevoza. Odabir regeneracijskih područja mora biti u skladu s mjerama navedenima u malteškom glavnom prometnom planu.</w:t>
      </w:r>
    </w:p>
    <w:p w14:paraId="7A538D37" w14:textId="77777777" w:rsidR="008273B8" w:rsidRDefault="00B93063">
      <w:pPr>
        <w:pStyle w:val="P68B1DB1-Normal11"/>
        <w:spacing w:line="240" w:lineRule="auto"/>
        <w:jc w:val="both"/>
        <w:rPr>
          <w:rFonts w:cs="Times New Roman"/>
          <w:noProof/>
        </w:rPr>
      </w:pPr>
      <w:r>
        <w:rPr>
          <w:noProof/>
        </w:rPr>
        <w:t>Reforma se provodi do 30. lipnja 2025.</w:t>
      </w:r>
    </w:p>
    <w:p w14:paraId="7A538D38" w14:textId="77777777" w:rsidR="008273B8" w:rsidRDefault="00B93063">
      <w:pPr>
        <w:pStyle w:val="P68B1DB1-Normal12"/>
        <w:spacing w:line="240" w:lineRule="auto"/>
        <w:jc w:val="both"/>
        <w:rPr>
          <w:rFonts w:cs="Times New Roman"/>
          <w:noProof/>
        </w:rPr>
      </w:pPr>
      <w:r>
        <w:rPr>
          <w:noProof/>
        </w:rPr>
        <w:t xml:space="preserve">Reforma C2-R5: Promicanje rada na daljinu u javnoj službi </w:t>
      </w:r>
    </w:p>
    <w:p w14:paraId="7A538D39" w14:textId="77777777" w:rsidR="008273B8" w:rsidRDefault="00B93063">
      <w:pPr>
        <w:pStyle w:val="P68B1DB1-Normal11"/>
        <w:spacing w:line="240" w:lineRule="auto"/>
        <w:jc w:val="both"/>
        <w:rPr>
          <w:rFonts w:cs="Times New Roman"/>
          <w:noProof/>
        </w:rPr>
      </w:pPr>
      <w:r>
        <w:rPr>
          <w:noProof/>
        </w:rPr>
        <w:t xml:space="preserve">Cilj je te reforme poboljšati rad na daljinu u javnom sektoru. Očekuje se da će se mogućnošću rada od kuće ili preko regionalnih središta smanjiti putovanja na posao i s posla, a time i zagušenje prometa. </w:t>
      </w:r>
    </w:p>
    <w:p w14:paraId="7A538D3A" w14:textId="006FE6DB" w:rsidR="008273B8" w:rsidRDefault="00B93063">
      <w:pPr>
        <w:pStyle w:val="P68B1DB1-Normal11"/>
        <w:spacing w:line="240" w:lineRule="auto"/>
        <w:jc w:val="both"/>
        <w:rPr>
          <w:rFonts w:cs="Times New Roman"/>
          <w:noProof/>
        </w:rPr>
      </w:pPr>
      <w:r>
        <w:rPr>
          <w:noProof/>
        </w:rPr>
        <w:t xml:space="preserve">Prvo, ta se reforma sastoji od uspostave 15 uredskih objekata koji omogućuju rad na daljinu za službenike u javnim službama na svim malteškim otocima. Očekuje se da će takvi uredski prostori biti operativni za rad na daljinu i moraju imati ukupno najmanje 140 radnih mjesta u 15 uredskih objekata. </w:t>
      </w:r>
    </w:p>
    <w:p w14:paraId="7A538D3B" w14:textId="77777777" w:rsidR="008273B8" w:rsidRDefault="00B93063">
      <w:pPr>
        <w:pStyle w:val="P68B1DB1-Normal11"/>
        <w:spacing w:line="240" w:lineRule="auto"/>
        <w:jc w:val="both"/>
        <w:rPr>
          <w:rFonts w:cs="Times New Roman"/>
          <w:noProof/>
        </w:rPr>
      </w:pPr>
      <w:r>
        <w:rPr>
          <w:noProof/>
        </w:rPr>
        <w:t>Drugo, ta se reforma sastoji od objave politike rada na daljinu za vladine zaposlenike. U politici se navode kriteriji prihvatljivosti, uvjeti, zahtjevi za odobrenje i smjernice za prijavu kojima se uređuje ova inicijativa, a kojima se promiče ravnoteža između poslovnog i privatnog života i doprinosi održivosti.</w:t>
      </w:r>
    </w:p>
    <w:p w14:paraId="7A538D3C" w14:textId="77777777" w:rsidR="008273B8" w:rsidRDefault="00B93063">
      <w:pPr>
        <w:pStyle w:val="P68B1DB1-Normal11"/>
        <w:spacing w:line="240" w:lineRule="auto"/>
        <w:jc w:val="both"/>
        <w:rPr>
          <w:rFonts w:cs="Times New Roman"/>
          <w:noProof/>
        </w:rPr>
      </w:pPr>
      <w:r>
        <w:rPr>
          <w:noProof/>
        </w:rPr>
        <w:t>Reforma se provodi do 31. ožujka 2022.</w:t>
      </w:r>
    </w:p>
    <w:p w14:paraId="7A538D3D" w14:textId="77777777" w:rsidR="008273B8" w:rsidRDefault="00B93063">
      <w:pPr>
        <w:pStyle w:val="P68B1DB1-Normal12"/>
        <w:spacing w:line="240" w:lineRule="auto"/>
        <w:jc w:val="both"/>
        <w:rPr>
          <w:rFonts w:cs="Times New Roman"/>
          <w:noProof/>
        </w:rPr>
      </w:pPr>
      <w:r>
        <w:rPr>
          <w:noProof/>
        </w:rPr>
        <w:t>Reforma C2-R6: Poboljšano upravljanje mobilnošću u javnoj službi</w:t>
      </w:r>
    </w:p>
    <w:p w14:paraId="7A538D3E" w14:textId="77777777" w:rsidR="008273B8" w:rsidRDefault="00B93063">
      <w:pPr>
        <w:pStyle w:val="P68B1DB1-Normal11"/>
        <w:spacing w:line="240" w:lineRule="auto"/>
        <w:jc w:val="both"/>
        <w:rPr>
          <w:rFonts w:cs="Times New Roman"/>
          <w:noProof/>
        </w:rPr>
      </w:pPr>
      <w:r>
        <w:rPr>
          <w:noProof/>
        </w:rPr>
        <w:t xml:space="preserve">Cilj je te reforme poboljšati upravljanje mobilnošću u malteškoj javnoj službi, što će dovesti do učinkovitije i zelenije javne usluge mobilnosti. </w:t>
      </w:r>
    </w:p>
    <w:p w14:paraId="7A538D3F" w14:textId="5FF7FE6D" w:rsidR="008273B8" w:rsidRDefault="00B93063">
      <w:pPr>
        <w:pStyle w:val="P68B1DB1-Normal11"/>
        <w:spacing w:line="240" w:lineRule="auto"/>
        <w:jc w:val="both"/>
        <w:rPr>
          <w:rFonts w:cs="Times New Roman"/>
          <w:noProof/>
        </w:rPr>
      </w:pPr>
      <w:r>
        <w:rPr>
          <w:noProof/>
        </w:rPr>
        <w:t xml:space="preserve">Vozni park javnih službi kojim se koriste ministarstva na Malti trenutačno se sastoji od oko 466 vozila. Njima se upravlja decentralizirano jer svako ministarstvo ili odjel ima vlastite zalihe automobila. Ograničena koordinacija prepreka je učinkovitim i djelotvornim uslugama prijevoza. </w:t>
      </w:r>
    </w:p>
    <w:p w14:paraId="7A538D40" w14:textId="77777777" w:rsidR="008273B8" w:rsidRDefault="00B93063">
      <w:pPr>
        <w:pStyle w:val="P68B1DB1-Normal11"/>
        <w:spacing w:line="240" w:lineRule="auto"/>
        <w:jc w:val="both"/>
        <w:rPr>
          <w:rFonts w:cs="Times New Roman"/>
          <w:noProof/>
        </w:rPr>
      </w:pPr>
      <w:r>
        <w:rPr>
          <w:noProof/>
        </w:rPr>
        <w:t xml:space="preserve">Prva mjera te reforme podrazumijeva studiju za procjenu infrastrukture javnih usluga koja je trenutačno na snazi diljem malteških otoka općenito, a posebno u odgovarajućim ministarstvima i odjelima. U studiji se ispituje trenutačno stanje i utvrđuje polazna vrijednost postojeće zajedničke mobilnosti u javnoj službi. Daje preporuke za restrukturiranje postupka zajedničkog korištenja automobila, što dovodi do veće učinkovitosti i u pogledu broja i vrste utvrđuje čišći vozni park vozila opće uporabe. Studiju provodi neovisni izvođač nakon postupka javne nabave. </w:t>
      </w:r>
    </w:p>
    <w:p w14:paraId="7A538D41" w14:textId="77777777" w:rsidR="008273B8" w:rsidRDefault="00B93063">
      <w:pPr>
        <w:pStyle w:val="P68B1DB1-Normal11"/>
        <w:spacing w:line="240" w:lineRule="auto"/>
        <w:jc w:val="both"/>
        <w:rPr>
          <w:rFonts w:cs="Times New Roman"/>
          <w:noProof/>
        </w:rPr>
      </w:pPr>
      <w:r>
        <w:rPr>
          <w:noProof/>
        </w:rPr>
        <w:t>Drugo djelovanje ove reforme sastoji se od mjera za povećanje zajedničke mobilnosti u javnim službama, kao što su razvoj i promicanje mehanizama za dijeljenje prijevoza. Cilj je povećanje zajedničke mobilnosti u javnoj službi za 10 % u odnosu na polaznu vrijednost utvrđenu u neovisnoj studiji o poboljšanom upravljanju mobilnošću u malteškoj javnoj službi. Zajednička mobilnost mjeri se koordiniranim putovanjima između najmanje dvaju ministarstava.</w:t>
      </w:r>
    </w:p>
    <w:p w14:paraId="7A538D42" w14:textId="3599C834" w:rsidR="008273B8" w:rsidRDefault="00B93063">
      <w:pPr>
        <w:pStyle w:val="P68B1DB1-Normal11"/>
        <w:spacing w:line="240" w:lineRule="auto"/>
        <w:jc w:val="both"/>
        <w:rPr>
          <w:rFonts w:cs="Times New Roman"/>
          <w:noProof/>
        </w:rPr>
      </w:pPr>
      <w:r>
        <w:rPr>
          <w:noProof/>
        </w:rPr>
        <w:t>Reforma se provodi do 30. lipnja 2025.</w:t>
      </w:r>
    </w:p>
    <w:p w14:paraId="7A538D4C" w14:textId="77777777" w:rsidR="008273B8" w:rsidRDefault="00B93063">
      <w:pPr>
        <w:pStyle w:val="P68B1DB1-Normal12"/>
        <w:spacing w:line="240" w:lineRule="auto"/>
        <w:jc w:val="both"/>
        <w:rPr>
          <w:rFonts w:cs="Times New Roman"/>
          <w:noProof/>
        </w:rPr>
      </w:pPr>
      <w:r>
        <w:rPr>
          <w:noProof/>
        </w:rPr>
        <w:t>Ulaganje C2-I2: Povećanje uporabe električnih vozila u privatnom sektoru</w:t>
      </w:r>
    </w:p>
    <w:p w14:paraId="7A538D4D" w14:textId="77777777" w:rsidR="008273B8" w:rsidRDefault="00B93063">
      <w:pPr>
        <w:pStyle w:val="P68B1DB1-Normal11"/>
        <w:spacing w:line="240" w:lineRule="auto"/>
        <w:jc w:val="both"/>
        <w:rPr>
          <w:rFonts w:cs="Times New Roman"/>
          <w:noProof/>
        </w:rPr>
      </w:pPr>
      <w:r>
        <w:rPr>
          <w:noProof/>
        </w:rPr>
        <w:t xml:space="preserve">Cilj je tog ulaganja potaknuti širi prelazak na električnu mobilnost i smanjiti emisije koje proizlaze iz sektora cestovnog prometa na Malti promicanjem uvođenja električnih vozila u privatni sektor, uključujući komercijalni sektor. </w:t>
      </w:r>
    </w:p>
    <w:p w14:paraId="7A538D4E" w14:textId="77777777" w:rsidR="008273B8" w:rsidRDefault="00B93063">
      <w:pPr>
        <w:pStyle w:val="P68B1DB1-Normal11"/>
        <w:spacing w:line="240" w:lineRule="auto"/>
        <w:jc w:val="both"/>
        <w:rPr>
          <w:rFonts w:cs="Times New Roman"/>
          <w:noProof/>
        </w:rPr>
      </w:pPr>
      <w:r>
        <w:rPr>
          <w:noProof/>
        </w:rPr>
        <w:t xml:space="preserve">Ulaganja se sastoje od programa bespovratnih sredstava za kupnju električnih vozila pružanjem 5600 bespovratnih sredstava. Programom se podupire kupnja novih putničkih vozila, vozila za skrb o putnicima i vozila za prijevoz robe, minibusa/autobusa, četverocikala/motocikala i pedelea. </w:t>
      </w:r>
    </w:p>
    <w:p w14:paraId="7A538D4F" w14:textId="77777777" w:rsidR="008273B8" w:rsidRDefault="00B93063">
      <w:pPr>
        <w:pStyle w:val="P68B1DB1-Normal11"/>
        <w:spacing w:line="240" w:lineRule="auto"/>
        <w:jc w:val="both"/>
        <w:rPr>
          <w:rFonts w:cs="Times New Roman"/>
          <w:noProof/>
        </w:rPr>
      </w:pPr>
      <w:r>
        <w:rPr>
          <w:noProof/>
        </w:rPr>
        <w:t>Struktura programa bespovratnih sredstava osmišljena je tako da poveća udio električnih vozila u ukupnom voznom parku. Sustav uzima u obzir sljedeće čimbenike:</w:t>
      </w:r>
    </w:p>
    <w:p w14:paraId="7A538D50" w14:textId="77777777" w:rsidR="008273B8" w:rsidRDefault="00B93063">
      <w:pPr>
        <w:pStyle w:val="P68B1DB1-Normal3"/>
        <w:numPr>
          <w:ilvl w:val="0"/>
          <w:numId w:val="40"/>
        </w:numPr>
        <w:spacing w:before="120" w:after="120" w:line="240" w:lineRule="auto"/>
        <w:jc w:val="both"/>
        <w:rPr>
          <w:rFonts w:cs="Times New Roman"/>
          <w:noProof/>
        </w:rPr>
      </w:pPr>
      <w:r>
        <w:rPr>
          <w:noProof/>
        </w:rPr>
        <w:t>Trenutačne tržišne cijene novih i rabljenih električnih lakih vozila;</w:t>
      </w:r>
    </w:p>
    <w:p w14:paraId="7A538D51" w14:textId="77777777" w:rsidR="008273B8" w:rsidRDefault="00B93063">
      <w:pPr>
        <w:pStyle w:val="P68B1DB1-Normal3"/>
        <w:numPr>
          <w:ilvl w:val="0"/>
          <w:numId w:val="40"/>
        </w:numPr>
        <w:spacing w:before="120" w:after="120" w:line="240" w:lineRule="auto"/>
        <w:jc w:val="both"/>
        <w:rPr>
          <w:rFonts w:cs="Times New Roman"/>
          <w:noProof/>
        </w:rPr>
      </w:pPr>
      <w:r>
        <w:rPr>
          <w:noProof/>
        </w:rPr>
        <w:t>Razlika u cijeni između rabljenih električnih lakih vozila i novih električnih lakih vozila;</w:t>
      </w:r>
    </w:p>
    <w:p w14:paraId="7A538D52" w14:textId="77777777" w:rsidR="008273B8" w:rsidRDefault="00B93063">
      <w:pPr>
        <w:pStyle w:val="P68B1DB1-Normal3"/>
        <w:numPr>
          <w:ilvl w:val="0"/>
          <w:numId w:val="40"/>
        </w:numPr>
        <w:spacing w:line="240" w:lineRule="auto"/>
        <w:jc w:val="both"/>
        <w:rPr>
          <w:rFonts w:cs="Times New Roman"/>
          <w:noProof/>
        </w:rPr>
      </w:pPr>
      <w:r>
        <w:rPr>
          <w:noProof/>
        </w:rPr>
        <w:t>Razlika u cijeni između usporedivih modela vozila za laka električna vozila i vozila s motorom s unutarnjim izgaranjem;</w:t>
      </w:r>
    </w:p>
    <w:p w14:paraId="7A538D53" w14:textId="77777777" w:rsidR="008273B8" w:rsidRDefault="00B93063">
      <w:pPr>
        <w:pStyle w:val="P68B1DB1-Normal3"/>
        <w:numPr>
          <w:ilvl w:val="0"/>
          <w:numId w:val="40"/>
        </w:numPr>
        <w:spacing w:before="120" w:after="120" w:line="240" w:lineRule="auto"/>
        <w:jc w:val="both"/>
        <w:rPr>
          <w:rFonts w:cs="Times New Roman"/>
          <w:noProof/>
        </w:rPr>
      </w:pPr>
      <w:r>
        <w:rPr>
          <w:noProof/>
        </w:rPr>
        <w:t>Dostupnost tržišta/modela novih električnih lakih vozila koja su dostupna kao vozila na desnoj strani;</w:t>
      </w:r>
    </w:p>
    <w:p w14:paraId="7A538D54" w14:textId="77777777" w:rsidR="008273B8" w:rsidRDefault="00B93063">
      <w:pPr>
        <w:pStyle w:val="P68B1DB1-Normal3"/>
        <w:numPr>
          <w:ilvl w:val="0"/>
          <w:numId w:val="40"/>
        </w:numPr>
        <w:spacing w:after="120" w:line="240" w:lineRule="auto"/>
        <w:jc w:val="both"/>
        <w:rPr>
          <w:rFonts w:cs="Times New Roman"/>
          <w:noProof/>
        </w:rPr>
      </w:pPr>
      <w:r>
        <w:rPr>
          <w:noProof/>
        </w:rPr>
        <w:t xml:space="preserve">Na tržišnu potražnju ukazuje godišnja iskorištenost bespovratnih sredstava stavljenih na raspolaganje od 2016. </w:t>
      </w:r>
    </w:p>
    <w:p w14:paraId="7A538D55" w14:textId="77777777" w:rsidR="008273B8" w:rsidRDefault="00B93063">
      <w:pPr>
        <w:pStyle w:val="P68B1DB1-Normal3"/>
        <w:spacing w:line="240" w:lineRule="auto"/>
        <w:jc w:val="both"/>
        <w:rPr>
          <w:rFonts w:cs="Times New Roman"/>
          <w:noProof/>
        </w:rPr>
      </w:pPr>
      <w:r>
        <w:rPr>
          <w:noProof/>
        </w:rPr>
        <w:t>Pri osmišljavanju i provedbi programa posebna pozornost posvećuje se povećanju upotrebe električnih vozila na Gozu, u skladu s ciljem ubrzavanja prelaska Goza na klimatsku neutralnost.</w:t>
      </w:r>
    </w:p>
    <w:p w14:paraId="7A538D56" w14:textId="77777777" w:rsidR="008273B8" w:rsidRDefault="00B93063">
      <w:pPr>
        <w:pStyle w:val="P68B1DB1-Normal3"/>
        <w:spacing w:line="240" w:lineRule="auto"/>
        <w:jc w:val="both"/>
        <w:rPr>
          <w:rFonts w:cs="Times New Roman"/>
          <w:noProof/>
        </w:rPr>
      </w:pPr>
      <w:r>
        <w:rPr>
          <w:noProof/>
          <w:color w:val="000000" w:themeColor="text1"/>
        </w:rPr>
        <w:t xml:space="preserve">Očekuje se da se tom mjerom ne nanosi bitna šteta okolišnim ciljevima u smislu članka 17. Uredbe (EU) 2020/852, uzimajući u obzir opis mjere i korake ublažavanja utvrđene u planu za oporavak i otpornost u skladu s Tehničkim smjernicama o nenanošenju bitne štete (2021/C58/01). </w:t>
      </w:r>
      <w:r>
        <w:rPr>
          <w:noProof/>
        </w:rPr>
        <w:t xml:space="preserve">Financijsku potporu posebno primaju samo vozila s nultim emisijama. </w:t>
      </w:r>
    </w:p>
    <w:p w14:paraId="7A538D57" w14:textId="46427791" w:rsidR="008273B8" w:rsidRDefault="00B93063">
      <w:pPr>
        <w:pStyle w:val="P68B1DB1-Normal3"/>
        <w:spacing w:line="240" w:lineRule="auto"/>
        <w:jc w:val="both"/>
        <w:rPr>
          <w:rFonts w:cs="Times New Roman"/>
          <w:noProof/>
        </w:rPr>
      </w:pPr>
      <w:r>
        <w:rPr>
          <w:noProof/>
        </w:rPr>
        <w:t>Ulaganje se provodi do 31. prosinca 2025.</w:t>
      </w:r>
    </w:p>
    <w:p w14:paraId="7A538D58" w14:textId="77777777" w:rsidR="008273B8" w:rsidRDefault="00B93063">
      <w:pPr>
        <w:pStyle w:val="P68B1DB1-Normal5"/>
        <w:spacing w:line="240" w:lineRule="auto"/>
        <w:jc w:val="both"/>
        <w:rPr>
          <w:rFonts w:cs="Times New Roman"/>
          <w:noProof/>
        </w:rPr>
      </w:pPr>
      <w:r>
        <w:rPr>
          <w:noProof/>
        </w:rPr>
        <w:t>Ulaganje C2-I3: Dekarbonizacija voznog parka javnih službi</w:t>
      </w:r>
    </w:p>
    <w:p w14:paraId="7A538D59" w14:textId="77777777" w:rsidR="008273B8" w:rsidRDefault="00B93063">
      <w:pPr>
        <w:pStyle w:val="P68B1DB1-Normal3"/>
        <w:spacing w:line="240" w:lineRule="auto"/>
        <w:jc w:val="both"/>
        <w:rPr>
          <w:rFonts w:cs="Times New Roman"/>
          <w:noProof/>
        </w:rPr>
      </w:pPr>
      <w:r>
        <w:rPr>
          <w:noProof/>
        </w:rPr>
        <w:t xml:space="preserve">Cilj je tog ulaganja dekarbonizacija prometnog sektora na Malti promicanjem uvođenja električnih vozila u javnu uslugu. </w:t>
      </w:r>
    </w:p>
    <w:p w14:paraId="7A538D5A" w14:textId="0C684BD2" w:rsidR="008273B8" w:rsidRDefault="00B93063">
      <w:pPr>
        <w:pStyle w:val="P68B1DB1-Normal3"/>
        <w:spacing w:line="240" w:lineRule="auto"/>
        <w:jc w:val="both"/>
        <w:rPr>
          <w:rFonts w:cs="Times New Roman"/>
          <w:noProof/>
        </w:rPr>
      </w:pPr>
      <w:r>
        <w:rPr>
          <w:noProof/>
        </w:rPr>
        <w:t xml:space="preserve">Ulaganje se sastoji od kupnje električnih vozila radi zamjene vozila s motorom s unutarnjim izgaranjem i povećanja broja električnih vozila u voznom parku javnih službi kojima se koriste vladine službe s 12 na 262. Ulaganje rezultira čišćim voznim parkom javnih službi na cestovnoj mreži, čime se smanjuju emisije. </w:t>
      </w:r>
    </w:p>
    <w:p w14:paraId="7A538D5B" w14:textId="77777777" w:rsidR="008273B8" w:rsidRDefault="00B93063">
      <w:pPr>
        <w:pStyle w:val="P68B1DB1-Normal3"/>
        <w:spacing w:line="240" w:lineRule="auto"/>
        <w:jc w:val="both"/>
        <w:rPr>
          <w:rFonts w:cs="Times New Roman"/>
          <w:noProof/>
        </w:rPr>
      </w:pPr>
      <w:r>
        <w:rPr>
          <w:noProof/>
          <w:color w:val="000000" w:themeColor="text1"/>
        </w:rPr>
        <w:t xml:space="preserve">Očekuje se da se tom mjerom ne nanosi bitna šteta okolišnim ciljevima u smislu članka 17. Uredbe (EU) 2020/852, uzimajući u obzir opis mjere i korake ublažavanja utvrđene u planu za oporavak i otpornost u skladu s Tehničkim smjernicama o nenanošenju bitne štete (2021/C58/01). </w:t>
      </w:r>
      <w:r>
        <w:rPr>
          <w:noProof/>
        </w:rPr>
        <w:t xml:space="preserve">Financijsku potporu posebno primaju samo vozila s nultim emisijama. </w:t>
      </w:r>
    </w:p>
    <w:p w14:paraId="7A538D5C" w14:textId="3DE4AFD4" w:rsidR="008273B8" w:rsidRDefault="00B93063">
      <w:pPr>
        <w:pStyle w:val="P68B1DB1-Normal3"/>
        <w:spacing w:line="240" w:lineRule="auto"/>
        <w:jc w:val="both"/>
        <w:rPr>
          <w:rFonts w:cs="Times New Roman"/>
          <w:noProof/>
        </w:rPr>
      </w:pPr>
      <w:r>
        <w:rPr>
          <w:noProof/>
        </w:rPr>
        <w:t>Ulaganje se provodi do 30. rujna 2025.</w:t>
      </w:r>
    </w:p>
    <w:p w14:paraId="7A538D5D" w14:textId="77777777" w:rsidR="008273B8" w:rsidRDefault="00B93063">
      <w:pPr>
        <w:pStyle w:val="P68B1DB1-Normal5"/>
        <w:spacing w:line="240" w:lineRule="auto"/>
        <w:jc w:val="both"/>
        <w:rPr>
          <w:rFonts w:cs="Times New Roman"/>
          <w:noProof/>
        </w:rPr>
      </w:pPr>
      <w:r>
        <w:rPr>
          <w:noProof/>
        </w:rPr>
        <w:t>Ulaganje C2-I4: Zamjena dijela voznog parka javnog prijevoza</w:t>
      </w:r>
    </w:p>
    <w:p w14:paraId="7A538D5E" w14:textId="77777777" w:rsidR="008273B8" w:rsidRDefault="00B93063">
      <w:pPr>
        <w:pStyle w:val="P68B1DB1-Normal11"/>
        <w:spacing w:line="240" w:lineRule="auto"/>
        <w:jc w:val="both"/>
        <w:rPr>
          <w:rFonts w:cs="Times New Roman"/>
          <w:noProof/>
        </w:rPr>
      </w:pPr>
      <w:r>
        <w:rPr>
          <w:noProof/>
        </w:rPr>
        <w:t xml:space="preserve">Cilj je tog ulaganja dekarbonizirati dio sektora javnog cestovnog prijevoza na Malti. </w:t>
      </w:r>
    </w:p>
    <w:p w14:paraId="7A538D5F" w14:textId="77777777" w:rsidR="008273B8" w:rsidRDefault="00B93063">
      <w:pPr>
        <w:pStyle w:val="P68B1DB1-Normal11"/>
        <w:spacing w:line="240" w:lineRule="auto"/>
        <w:jc w:val="both"/>
        <w:rPr>
          <w:rFonts w:cs="Times New Roman"/>
          <w:noProof/>
        </w:rPr>
      </w:pPr>
      <w:r>
        <w:rPr>
          <w:noProof/>
        </w:rPr>
        <w:t>Ulaganje se sastoji od kupnje 102 električna autobusa (12 m) za vozni park javnog cestovnog prijevoza. Financiranjem se pokriva razlika u kupovnoj cijeni autobusa s motorom s unutarnjim izgaranjem (12 m) i električnih autobusa (12 m). Ti autobusi s nultim emisijama zamjenjuju autobuse s dizelskim motorom u trenutačnom javnom prijevozu (autobusi Euro 5). To je ulaganje dopunjeno pružanjem besplatnog javnog prijevoza osobama u različitim dobnim skupinama kako bi se dodatno poboljšala upotreba kolektivnog prijevoza (reforma C2.R2).</w:t>
      </w:r>
    </w:p>
    <w:p w14:paraId="7A538D60" w14:textId="77777777" w:rsidR="008273B8" w:rsidRDefault="00B93063">
      <w:pPr>
        <w:pStyle w:val="P68B1DB1-Normal11"/>
        <w:spacing w:line="240" w:lineRule="auto"/>
        <w:jc w:val="both"/>
        <w:rPr>
          <w:rFonts w:cs="Times New Roman"/>
          <w:noProof/>
        </w:rPr>
      </w:pPr>
      <w:r>
        <w:rPr>
          <w:noProof/>
        </w:rPr>
        <w:t xml:space="preserve">Očekuje se da se tom mjerom ne nanosi bitna šteta okolišnim ciljevima u smislu članka 17. Uredbe (EU) 2020/852, uzimajući u obzir opis mjere i korake ublažavanja utvrđene u planu za oporavak i otpornost u skladu s Tehničkim smjernicama o nenanošenju bitne štete (2021/C58/01). Financijsku potporu posebno primaju samo autobusi s nultim emisijama. </w:t>
      </w:r>
    </w:p>
    <w:p w14:paraId="7A538D61" w14:textId="77777777" w:rsidR="008273B8" w:rsidRDefault="00B93063">
      <w:pPr>
        <w:pStyle w:val="P68B1DB1-Normal3"/>
        <w:spacing w:line="240" w:lineRule="auto"/>
        <w:jc w:val="both"/>
        <w:rPr>
          <w:rFonts w:cs="Times New Roman"/>
          <w:noProof/>
        </w:rPr>
      </w:pPr>
      <w:r>
        <w:rPr>
          <w:noProof/>
        </w:rPr>
        <w:t>Ulaganje se provodi do 30. lipnja 2025.</w:t>
      </w:r>
    </w:p>
    <w:p w14:paraId="7A538D62" w14:textId="77777777" w:rsidR="008273B8" w:rsidRDefault="008273B8">
      <w:pPr>
        <w:pStyle w:val="Text1"/>
        <w:rPr>
          <w:noProof/>
        </w:rPr>
        <w:sectPr w:rsidR="008273B8">
          <w:headerReference w:type="even" r:id="rId30"/>
          <w:headerReference w:type="default" r:id="rId31"/>
          <w:footerReference w:type="even" r:id="rId32"/>
          <w:footerReference w:type="default" r:id="rId33"/>
          <w:headerReference w:type="first" r:id="rId34"/>
          <w:footerReference w:type="first" r:id="rId35"/>
          <w:pgSz w:w="11907" w:h="16839"/>
          <w:pgMar w:top="1134" w:right="1134" w:bottom="1134" w:left="1134" w:header="567" w:footer="567" w:gutter="0"/>
          <w:cols w:space="720"/>
          <w:docGrid w:linePitch="360"/>
        </w:sectPr>
      </w:pPr>
    </w:p>
    <w:p w14:paraId="7A538D63" w14:textId="77777777" w:rsidR="008273B8" w:rsidRDefault="00B93063">
      <w:pPr>
        <w:pStyle w:val="P68B1DB1-ManualHeading34"/>
        <w:rPr>
          <w:noProof/>
          <w:u w:val="single"/>
        </w:rPr>
      </w:pPr>
      <w:r>
        <w:rPr>
          <w:noProof/>
        </w:rPr>
        <w:t xml:space="preserve">B.2. </w:t>
      </w:r>
      <w:r>
        <w:rPr>
          <w:noProof/>
        </w:rPr>
        <w:tab/>
      </w:r>
      <w:r>
        <w:rPr>
          <w:noProof/>
          <w:u w:val="single"/>
        </w:rPr>
        <w:t>Ključne etape, ciljne vrijednosti, pokazatelji i rokovi za praćenje i provedbu bespovratne financijske potpore</w:t>
      </w:r>
    </w:p>
    <w:tbl>
      <w:tblPr>
        <w:tblW w:w="15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1107"/>
        <w:gridCol w:w="976"/>
        <w:gridCol w:w="1442"/>
        <w:gridCol w:w="1738"/>
        <w:gridCol w:w="1611"/>
        <w:gridCol w:w="996"/>
        <w:gridCol w:w="902"/>
        <w:gridCol w:w="1232"/>
        <w:gridCol w:w="787"/>
        <w:gridCol w:w="3788"/>
      </w:tblGrid>
      <w:tr w:rsidR="008273B8" w14:paraId="7A538D6C" w14:textId="77777777">
        <w:trPr>
          <w:cantSplit/>
          <w:trHeight w:val="300"/>
          <w:tblHeader/>
          <w:jc w:val="center"/>
        </w:trPr>
        <w:tc>
          <w:tcPr>
            <w:tcW w:w="1089" w:type="dxa"/>
            <w:vMerge w:val="restart"/>
            <w:shd w:val="clear" w:color="auto" w:fill="BDD7EE"/>
            <w:vAlign w:val="center"/>
            <w:hideMark/>
          </w:tcPr>
          <w:p w14:paraId="7A538D64" w14:textId="77777777" w:rsidR="008273B8" w:rsidRDefault="00B93063">
            <w:pPr>
              <w:pStyle w:val="P68B1DB1-Normal6"/>
              <w:spacing w:after="0" w:line="240" w:lineRule="auto"/>
              <w:jc w:val="center"/>
              <w:rPr>
                <w:rFonts w:eastAsia="Times New Roman" w:cs="Times New Roman"/>
                <w:noProof/>
              </w:rPr>
            </w:pPr>
            <w:r>
              <w:rPr>
                <w:noProof/>
              </w:rPr>
              <w:t>Redni broj</w:t>
            </w:r>
          </w:p>
        </w:tc>
        <w:tc>
          <w:tcPr>
            <w:tcW w:w="1142" w:type="dxa"/>
            <w:vMerge w:val="restart"/>
            <w:shd w:val="clear" w:color="auto" w:fill="BDD7EE"/>
            <w:vAlign w:val="center"/>
            <w:hideMark/>
          </w:tcPr>
          <w:p w14:paraId="7A538D65" w14:textId="77777777" w:rsidR="008273B8" w:rsidRDefault="00B93063">
            <w:pPr>
              <w:pStyle w:val="P68B1DB1-Normal6"/>
              <w:spacing w:after="0" w:line="240" w:lineRule="auto"/>
              <w:jc w:val="center"/>
              <w:rPr>
                <w:rFonts w:eastAsia="Times New Roman" w:cs="Times New Roman"/>
                <w:noProof/>
              </w:rPr>
            </w:pPr>
            <w:r>
              <w:rPr>
                <w:noProof/>
              </w:rPr>
              <w:t>Povezana mjera (reforma ili ulaganje)</w:t>
            </w:r>
          </w:p>
        </w:tc>
        <w:tc>
          <w:tcPr>
            <w:tcW w:w="982" w:type="dxa"/>
            <w:vMerge w:val="restart"/>
            <w:shd w:val="clear" w:color="auto" w:fill="BDD7EE"/>
            <w:vAlign w:val="center"/>
            <w:hideMark/>
          </w:tcPr>
          <w:p w14:paraId="7A538D66" w14:textId="77777777" w:rsidR="008273B8" w:rsidRDefault="00B93063">
            <w:pPr>
              <w:pStyle w:val="P68B1DB1-Normal6"/>
              <w:spacing w:after="0" w:line="240" w:lineRule="auto"/>
              <w:jc w:val="center"/>
              <w:rPr>
                <w:rFonts w:eastAsia="Times New Roman" w:cs="Times New Roman"/>
                <w:noProof/>
              </w:rPr>
            </w:pPr>
            <w:r>
              <w:rPr>
                <w:noProof/>
              </w:rPr>
              <w:t>Ključna etapa/cilj</w:t>
            </w:r>
          </w:p>
        </w:tc>
        <w:tc>
          <w:tcPr>
            <w:tcW w:w="1471" w:type="dxa"/>
            <w:vMerge w:val="restart"/>
            <w:shd w:val="clear" w:color="auto" w:fill="BDD7EE"/>
            <w:vAlign w:val="center"/>
            <w:hideMark/>
          </w:tcPr>
          <w:p w14:paraId="7A538D67" w14:textId="77777777" w:rsidR="008273B8" w:rsidRDefault="00B93063">
            <w:pPr>
              <w:pStyle w:val="P68B1DB1-Normal6"/>
              <w:spacing w:after="0" w:line="240" w:lineRule="auto"/>
              <w:jc w:val="center"/>
              <w:rPr>
                <w:rFonts w:eastAsia="Times New Roman" w:cs="Times New Roman"/>
                <w:noProof/>
              </w:rPr>
            </w:pPr>
            <w:r>
              <w:rPr>
                <w:noProof/>
              </w:rPr>
              <w:t>Ime</w:t>
            </w:r>
          </w:p>
        </w:tc>
        <w:tc>
          <w:tcPr>
            <w:tcW w:w="1843" w:type="dxa"/>
            <w:vMerge w:val="restart"/>
            <w:shd w:val="clear" w:color="auto" w:fill="BDD7EE"/>
            <w:vAlign w:val="center"/>
            <w:hideMark/>
          </w:tcPr>
          <w:p w14:paraId="7A538D68" w14:textId="77777777" w:rsidR="008273B8" w:rsidRDefault="00B93063">
            <w:pPr>
              <w:pStyle w:val="P68B1DB1-Normal13"/>
              <w:spacing w:after="0" w:line="240" w:lineRule="auto"/>
              <w:jc w:val="center"/>
              <w:rPr>
                <w:rFonts w:eastAsia="Times New Roman" w:cs="Times New Roman"/>
                <w:b/>
                <w:noProof/>
                <w:sz w:val="18"/>
              </w:rPr>
            </w:pPr>
            <w:r>
              <w:rPr>
                <w:b/>
                <w:noProof/>
                <w:sz w:val="18"/>
              </w:rPr>
              <w:t>Kvalitativni pokazatelji</w:t>
            </w:r>
            <w:r>
              <w:rPr>
                <w:noProof/>
                <w:sz w:val="24"/>
              </w:rPr>
              <w:br/>
            </w:r>
            <w:r>
              <w:rPr>
                <w:b/>
                <w:noProof/>
                <w:sz w:val="18"/>
              </w:rPr>
              <w:t>(za ključne etape)</w:t>
            </w:r>
          </w:p>
        </w:tc>
        <w:tc>
          <w:tcPr>
            <w:tcW w:w="3533" w:type="dxa"/>
            <w:gridSpan w:val="3"/>
            <w:shd w:val="clear" w:color="auto" w:fill="BDD7EE"/>
            <w:vAlign w:val="center"/>
            <w:hideMark/>
          </w:tcPr>
          <w:p w14:paraId="7A538D69" w14:textId="77777777" w:rsidR="008273B8" w:rsidRDefault="00B93063">
            <w:pPr>
              <w:pStyle w:val="P68B1DB1-Normal13"/>
              <w:spacing w:after="0" w:line="240" w:lineRule="auto"/>
              <w:jc w:val="center"/>
              <w:rPr>
                <w:rFonts w:eastAsia="Times New Roman" w:cs="Times New Roman"/>
                <w:b/>
                <w:noProof/>
                <w:sz w:val="18"/>
              </w:rPr>
            </w:pPr>
            <w:r>
              <w:rPr>
                <w:b/>
                <w:noProof/>
                <w:sz w:val="18"/>
              </w:rPr>
              <w:t>Kvantitativni pokazatelji</w:t>
            </w:r>
            <w:r>
              <w:rPr>
                <w:noProof/>
                <w:sz w:val="24"/>
              </w:rPr>
              <w:br/>
            </w:r>
            <w:r>
              <w:rPr>
                <w:b/>
                <w:noProof/>
                <w:sz w:val="18"/>
              </w:rPr>
              <w:t>(za ciljne vrijednosti)</w:t>
            </w:r>
          </w:p>
        </w:tc>
        <w:tc>
          <w:tcPr>
            <w:tcW w:w="1363" w:type="dxa"/>
            <w:gridSpan w:val="2"/>
            <w:shd w:val="clear" w:color="auto" w:fill="BDD7EE"/>
            <w:vAlign w:val="center"/>
            <w:hideMark/>
          </w:tcPr>
          <w:p w14:paraId="7A538D6A" w14:textId="093A2D23" w:rsidR="008273B8" w:rsidRDefault="00B93063">
            <w:pPr>
              <w:spacing w:after="0" w:line="240" w:lineRule="auto"/>
              <w:jc w:val="center"/>
              <w:rPr>
                <w:rFonts w:ascii="Times New Roman" w:eastAsia="Times New Roman" w:hAnsi="Times New Roman" w:cs="Times New Roman"/>
                <w:b/>
                <w:noProof/>
                <w:sz w:val="18"/>
              </w:rPr>
            </w:pPr>
            <w:r>
              <w:rPr>
                <w:rFonts w:ascii="Times New Roman" w:hAnsi="Times New Roman"/>
                <w:b/>
                <w:noProof/>
                <w:sz w:val="18"/>
              </w:rPr>
              <w:t>Vremenski okvir za dovršetak</w:t>
            </w:r>
            <w:r>
              <w:rPr>
                <w:noProof/>
              </w:rPr>
              <w:br/>
            </w:r>
          </w:p>
        </w:tc>
        <w:tc>
          <w:tcPr>
            <w:tcW w:w="4170" w:type="dxa"/>
            <w:vMerge w:val="restart"/>
            <w:shd w:val="clear" w:color="auto" w:fill="BDD7EE"/>
            <w:vAlign w:val="center"/>
            <w:hideMark/>
          </w:tcPr>
          <w:p w14:paraId="7A538D6B" w14:textId="17E25861" w:rsidR="008273B8" w:rsidRDefault="00B93063">
            <w:pPr>
              <w:pStyle w:val="P68B1DB1-Normal6"/>
              <w:spacing w:after="0" w:line="240" w:lineRule="auto"/>
              <w:jc w:val="center"/>
              <w:rPr>
                <w:rFonts w:eastAsia="Times New Roman" w:cs="Times New Roman"/>
                <w:noProof/>
              </w:rPr>
            </w:pPr>
            <w:r>
              <w:rPr>
                <w:noProof/>
              </w:rPr>
              <w:t>Opis svake ključne etape i ciljne vrijednosti</w:t>
            </w:r>
          </w:p>
        </w:tc>
      </w:tr>
      <w:tr w:rsidR="008273B8" w14:paraId="7A538D78" w14:textId="77777777">
        <w:trPr>
          <w:cantSplit/>
          <w:trHeight w:val="300"/>
          <w:tblHeader/>
          <w:jc w:val="center"/>
        </w:trPr>
        <w:tc>
          <w:tcPr>
            <w:tcW w:w="1089" w:type="dxa"/>
            <w:vMerge/>
            <w:vAlign w:val="center"/>
            <w:hideMark/>
          </w:tcPr>
          <w:p w14:paraId="7A538D6D" w14:textId="77777777" w:rsidR="008273B8" w:rsidRDefault="008273B8">
            <w:pPr>
              <w:spacing w:after="0" w:line="240" w:lineRule="auto"/>
              <w:rPr>
                <w:rFonts w:ascii="Times New Roman" w:eastAsia="Times New Roman" w:hAnsi="Times New Roman" w:cs="Times New Roman"/>
                <w:b/>
                <w:noProof/>
                <w:sz w:val="18"/>
              </w:rPr>
            </w:pPr>
          </w:p>
        </w:tc>
        <w:tc>
          <w:tcPr>
            <w:tcW w:w="1142" w:type="dxa"/>
            <w:vMerge/>
            <w:vAlign w:val="center"/>
            <w:hideMark/>
          </w:tcPr>
          <w:p w14:paraId="7A538D6E" w14:textId="77777777" w:rsidR="008273B8" w:rsidRDefault="008273B8">
            <w:pPr>
              <w:spacing w:after="0" w:line="240" w:lineRule="auto"/>
              <w:rPr>
                <w:rFonts w:ascii="Times New Roman" w:eastAsia="Times New Roman" w:hAnsi="Times New Roman" w:cs="Times New Roman"/>
                <w:b/>
                <w:noProof/>
                <w:sz w:val="18"/>
              </w:rPr>
            </w:pPr>
          </w:p>
        </w:tc>
        <w:tc>
          <w:tcPr>
            <w:tcW w:w="982" w:type="dxa"/>
            <w:vMerge/>
            <w:vAlign w:val="center"/>
            <w:hideMark/>
          </w:tcPr>
          <w:p w14:paraId="7A538D6F" w14:textId="77777777" w:rsidR="008273B8" w:rsidRDefault="008273B8">
            <w:pPr>
              <w:spacing w:after="0" w:line="240" w:lineRule="auto"/>
              <w:rPr>
                <w:rFonts w:ascii="Times New Roman" w:eastAsia="Times New Roman" w:hAnsi="Times New Roman" w:cs="Times New Roman"/>
                <w:b/>
                <w:noProof/>
                <w:sz w:val="18"/>
              </w:rPr>
            </w:pPr>
          </w:p>
        </w:tc>
        <w:tc>
          <w:tcPr>
            <w:tcW w:w="1471" w:type="dxa"/>
            <w:vMerge/>
            <w:vAlign w:val="center"/>
            <w:hideMark/>
          </w:tcPr>
          <w:p w14:paraId="7A538D70" w14:textId="77777777" w:rsidR="008273B8" w:rsidRDefault="008273B8">
            <w:pPr>
              <w:spacing w:after="0" w:line="240" w:lineRule="auto"/>
              <w:rPr>
                <w:rFonts w:ascii="Times New Roman" w:eastAsia="Times New Roman" w:hAnsi="Times New Roman" w:cs="Times New Roman"/>
                <w:b/>
                <w:noProof/>
                <w:sz w:val="18"/>
              </w:rPr>
            </w:pPr>
          </w:p>
        </w:tc>
        <w:tc>
          <w:tcPr>
            <w:tcW w:w="1843" w:type="dxa"/>
            <w:vMerge/>
            <w:vAlign w:val="center"/>
            <w:hideMark/>
          </w:tcPr>
          <w:p w14:paraId="7A538D71" w14:textId="77777777" w:rsidR="008273B8" w:rsidRDefault="008273B8">
            <w:pPr>
              <w:spacing w:after="0" w:line="240" w:lineRule="auto"/>
              <w:rPr>
                <w:rFonts w:ascii="Times New Roman" w:eastAsia="Times New Roman" w:hAnsi="Times New Roman" w:cs="Times New Roman"/>
                <w:b/>
                <w:noProof/>
                <w:sz w:val="18"/>
              </w:rPr>
            </w:pPr>
          </w:p>
        </w:tc>
        <w:tc>
          <w:tcPr>
            <w:tcW w:w="1753" w:type="dxa"/>
            <w:shd w:val="clear" w:color="auto" w:fill="BDD7EE"/>
            <w:vAlign w:val="center"/>
            <w:hideMark/>
          </w:tcPr>
          <w:p w14:paraId="7A538D72" w14:textId="77777777" w:rsidR="008273B8" w:rsidRDefault="00B93063">
            <w:pPr>
              <w:pStyle w:val="P68B1DB1-Normal6"/>
              <w:spacing w:after="0" w:line="240" w:lineRule="auto"/>
              <w:jc w:val="center"/>
              <w:rPr>
                <w:rFonts w:eastAsia="Times New Roman" w:cs="Times New Roman"/>
                <w:noProof/>
              </w:rPr>
            </w:pPr>
            <w:r>
              <w:rPr>
                <w:noProof/>
              </w:rPr>
              <w:t>Jedinica mjere</w:t>
            </w:r>
          </w:p>
        </w:tc>
        <w:tc>
          <w:tcPr>
            <w:tcW w:w="857" w:type="dxa"/>
            <w:shd w:val="clear" w:color="auto" w:fill="BDD7EE"/>
            <w:vAlign w:val="center"/>
            <w:hideMark/>
          </w:tcPr>
          <w:p w14:paraId="7A538D73" w14:textId="77777777" w:rsidR="008273B8" w:rsidRDefault="00B93063">
            <w:pPr>
              <w:pStyle w:val="P68B1DB1-Normal6"/>
              <w:spacing w:after="0" w:line="240" w:lineRule="auto"/>
              <w:jc w:val="center"/>
              <w:rPr>
                <w:rFonts w:eastAsia="Times New Roman" w:cs="Times New Roman"/>
                <w:noProof/>
              </w:rPr>
            </w:pPr>
            <w:r>
              <w:rPr>
                <w:noProof/>
              </w:rPr>
              <w:t>Polazna vrijednost</w:t>
            </w:r>
          </w:p>
        </w:tc>
        <w:tc>
          <w:tcPr>
            <w:tcW w:w="923" w:type="dxa"/>
            <w:shd w:val="clear" w:color="auto" w:fill="BDD7EE"/>
            <w:vAlign w:val="center"/>
            <w:hideMark/>
          </w:tcPr>
          <w:p w14:paraId="7A538D74" w14:textId="77777777" w:rsidR="008273B8" w:rsidRDefault="00B93063">
            <w:pPr>
              <w:pStyle w:val="P68B1DB1-Normal6"/>
              <w:spacing w:after="0" w:line="240" w:lineRule="auto"/>
              <w:jc w:val="center"/>
              <w:rPr>
                <w:rFonts w:eastAsia="Times New Roman" w:cs="Times New Roman"/>
                <w:noProof/>
              </w:rPr>
            </w:pPr>
            <w:r>
              <w:rPr>
                <w:noProof/>
              </w:rPr>
              <w:t>Cilj</w:t>
            </w:r>
          </w:p>
        </w:tc>
        <w:tc>
          <w:tcPr>
            <w:tcW w:w="690" w:type="dxa"/>
            <w:shd w:val="clear" w:color="auto" w:fill="BDD7EE"/>
            <w:vAlign w:val="center"/>
            <w:hideMark/>
          </w:tcPr>
          <w:p w14:paraId="7A538D75" w14:textId="77777777" w:rsidR="008273B8" w:rsidRDefault="00B93063">
            <w:pPr>
              <w:pStyle w:val="P68B1DB1-Normal6"/>
              <w:spacing w:after="0" w:line="240" w:lineRule="auto"/>
              <w:jc w:val="center"/>
              <w:rPr>
                <w:rFonts w:eastAsia="Times New Roman" w:cs="Times New Roman"/>
                <w:noProof/>
              </w:rPr>
            </w:pPr>
            <w:r>
              <w:rPr>
                <w:noProof/>
              </w:rPr>
              <w:t>Tromjesečja</w:t>
            </w:r>
          </w:p>
        </w:tc>
        <w:tc>
          <w:tcPr>
            <w:tcW w:w="673" w:type="dxa"/>
            <w:shd w:val="clear" w:color="auto" w:fill="BDD7EE"/>
            <w:vAlign w:val="center"/>
            <w:hideMark/>
          </w:tcPr>
          <w:p w14:paraId="7A538D76" w14:textId="77777777" w:rsidR="008273B8" w:rsidRDefault="00B93063">
            <w:pPr>
              <w:pStyle w:val="P68B1DB1-Normal6"/>
              <w:spacing w:after="0" w:line="240" w:lineRule="auto"/>
              <w:jc w:val="center"/>
              <w:rPr>
                <w:rFonts w:eastAsia="Times New Roman" w:cs="Times New Roman"/>
                <w:noProof/>
              </w:rPr>
            </w:pPr>
            <w:r>
              <w:rPr>
                <w:noProof/>
              </w:rPr>
              <w:t>Godina</w:t>
            </w:r>
          </w:p>
        </w:tc>
        <w:tc>
          <w:tcPr>
            <w:tcW w:w="4170" w:type="dxa"/>
            <w:vMerge/>
            <w:vAlign w:val="center"/>
            <w:hideMark/>
          </w:tcPr>
          <w:p w14:paraId="7A538D77" w14:textId="77777777" w:rsidR="008273B8" w:rsidRDefault="008273B8">
            <w:pPr>
              <w:spacing w:after="0" w:line="240" w:lineRule="auto"/>
              <w:rPr>
                <w:rFonts w:ascii="Times New Roman" w:eastAsia="Times New Roman" w:hAnsi="Times New Roman" w:cs="Times New Roman"/>
                <w:b/>
                <w:noProof/>
                <w:sz w:val="18"/>
              </w:rPr>
            </w:pPr>
          </w:p>
        </w:tc>
      </w:tr>
      <w:tr w:rsidR="008273B8" w14:paraId="7A538D84" w14:textId="77777777">
        <w:trPr>
          <w:cantSplit/>
          <w:trHeight w:val="300"/>
          <w:jc w:val="center"/>
        </w:trPr>
        <w:tc>
          <w:tcPr>
            <w:tcW w:w="1089" w:type="dxa"/>
            <w:shd w:val="clear" w:color="auto" w:fill="C6EFCE"/>
            <w:vAlign w:val="center"/>
            <w:hideMark/>
          </w:tcPr>
          <w:p w14:paraId="7A538D79" w14:textId="77777777" w:rsidR="008273B8" w:rsidRDefault="00B93063">
            <w:pPr>
              <w:pStyle w:val="P68B1DB1-Normal7"/>
              <w:spacing w:after="0" w:line="240" w:lineRule="auto"/>
              <w:jc w:val="center"/>
              <w:rPr>
                <w:rFonts w:eastAsia="Times New Roman" w:cs="Calibri"/>
                <w:noProof/>
              </w:rPr>
            </w:pPr>
            <w:r>
              <w:rPr>
                <w:noProof/>
              </w:rPr>
              <w:t>2.1</w:t>
            </w:r>
          </w:p>
        </w:tc>
        <w:tc>
          <w:tcPr>
            <w:tcW w:w="1142" w:type="dxa"/>
            <w:shd w:val="clear" w:color="auto" w:fill="C6EFCE"/>
            <w:vAlign w:val="center"/>
            <w:hideMark/>
          </w:tcPr>
          <w:p w14:paraId="7A538D7A" w14:textId="77777777" w:rsidR="008273B8" w:rsidRDefault="00B93063">
            <w:pPr>
              <w:pStyle w:val="P68B1DB1-Normal7"/>
              <w:spacing w:after="0" w:line="240" w:lineRule="auto"/>
              <w:rPr>
                <w:rFonts w:eastAsia="Times New Roman" w:cs="Calibri"/>
                <w:noProof/>
              </w:rPr>
            </w:pPr>
            <w:r>
              <w:rPr>
                <w:noProof/>
              </w:rPr>
              <w:t xml:space="preserve">C2.R.1 </w:t>
            </w:r>
          </w:p>
        </w:tc>
        <w:tc>
          <w:tcPr>
            <w:tcW w:w="982" w:type="dxa"/>
            <w:shd w:val="clear" w:color="auto" w:fill="C6EFCE"/>
            <w:vAlign w:val="center"/>
            <w:hideMark/>
          </w:tcPr>
          <w:p w14:paraId="7A538D7B" w14:textId="77777777" w:rsidR="008273B8" w:rsidRDefault="00B93063">
            <w:pPr>
              <w:pStyle w:val="P68B1DB1-Normal7"/>
              <w:spacing w:after="0" w:line="240" w:lineRule="auto"/>
              <w:rPr>
                <w:rFonts w:eastAsia="Times New Roman" w:cs="Calibri"/>
                <w:noProof/>
              </w:rPr>
            </w:pPr>
            <w:r>
              <w:rPr>
                <w:noProof/>
              </w:rPr>
              <w:t>Ključna etapa</w:t>
            </w:r>
          </w:p>
        </w:tc>
        <w:tc>
          <w:tcPr>
            <w:tcW w:w="1471" w:type="dxa"/>
            <w:shd w:val="clear" w:color="auto" w:fill="C6EFCE"/>
            <w:vAlign w:val="center"/>
            <w:hideMark/>
          </w:tcPr>
          <w:p w14:paraId="7A538D7C" w14:textId="77777777" w:rsidR="008273B8" w:rsidRDefault="00B93063">
            <w:pPr>
              <w:pStyle w:val="P68B1DB1-Normal7"/>
              <w:spacing w:after="0" w:line="240" w:lineRule="auto"/>
              <w:rPr>
                <w:rFonts w:eastAsia="Times New Roman" w:cs="Calibri"/>
                <w:noProof/>
              </w:rPr>
            </w:pPr>
            <w:r>
              <w:rPr>
                <w:noProof/>
              </w:rPr>
              <w:t>Nacionalno istraživanje o putovanjima kućanstava</w:t>
            </w:r>
          </w:p>
        </w:tc>
        <w:tc>
          <w:tcPr>
            <w:tcW w:w="1843" w:type="dxa"/>
            <w:shd w:val="clear" w:color="auto" w:fill="C6EFCE"/>
            <w:vAlign w:val="center"/>
            <w:hideMark/>
          </w:tcPr>
          <w:p w14:paraId="7A538D7D" w14:textId="77777777" w:rsidR="008273B8" w:rsidRDefault="00B93063">
            <w:pPr>
              <w:pStyle w:val="P68B1DB1-Normal7"/>
              <w:spacing w:after="0" w:line="240" w:lineRule="auto"/>
              <w:rPr>
                <w:rFonts w:eastAsia="Times New Roman" w:cs="Calibri"/>
                <w:noProof/>
              </w:rPr>
            </w:pPr>
            <w:r>
              <w:rPr>
                <w:noProof/>
              </w:rPr>
              <w:t xml:space="preserve">Završetak nacionalnog istraživanja o putovanjima kućanstava </w:t>
            </w:r>
          </w:p>
        </w:tc>
        <w:tc>
          <w:tcPr>
            <w:tcW w:w="1753" w:type="dxa"/>
            <w:shd w:val="clear" w:color="auto" w:fill="C6EFCE"/>
            <w:vAlign w:val="center"/>
            <w:hideMark/>
          </w:tcPr>
          <w:p w14:paraId="7A538D7E"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8D7F" w14:textId="77777777" w:rsidR="008273B8" w:rsidRDefault="008273B8">
            <w:pPr>
              <w:spacing w:after="0" w:line="240" w:lineRule="auto"/>
              <w:jc w:val="center"/>
              <w:rPr>
                <w:rFonts w:ascii="Calibri" w:eastAsia="Times New Roman" w:hAnsi="Calibri" w:cs="Calibri"/>
                <w:noProof/>
                <w:sz w:val="18"/>
              </w:rPr>
            </w:pPr>
          </w:p>
        </w:tc>
        <w:tc>
          <w:tcPr>
            <w:tcW w:w="923" w:type="dxa"/>
            <w:shd w:val="clear" w:color="auto" w:fill="C6EFCE"/>
            <w:vAlign w:val="center"/>
            <w:hideMark/>
          </w:tcPr>
          <w:p w14:paraId="7A538D80" w14:textId="77777777" w:rsidR="008273B8" w:rsidRDefault="008273B8">
            <w:pPr>
              <w:spacing w:after="0" w:line="240" w:lineRule="auto"/>
              <w:jc w:val="center"/>
              <w:rPr>
                <w:rFonts w:ascii="Calibri" w:eastAsia="Times New Roman" w:hAnsi="Calibri" w:cs="Calibri"/>
                <w:noProof/>
                <w:sz w:val="18"/>
              </w:rPr>
            </w:pPr>
          </w:p>
        </w:tc>
        <w:tc>
          <w:tcPr>
            <w:tcW w:w="690" w:type="dxa"/>
            <w:shd w:val="clear" w:color="auto" w:fill="C6EFCE"/>
            <w:vAlign w:val="center"/>
            <w:hideMark/>
          </w:tcPr>
          <w:p w14:paraId="7A538D81"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73" w:type="dxa"/>
            <w:shd w:val="clear" w:color="auto" w:fill="C6EFCE"/>
            <w:vAlign w:val="center"/>
            <w:hideMark/>
          </w:tcPr>
          <w:p w14:paraId="7A538D82" w14:textId="77777777" w:rsidR="008273B8" w:rsidRDefault="00B93063">
            <w:pPr>
              <w:pStyle w:val="P68B1DB1-Normal7"/>
              <w:spacing w:after="0" w:line="240" w:lineRule="auto"/>
              <w:jc w:val="center"/>
              <w:rPr>
                <w:rFonts w:eastAsia="Times New Roman" w:cs="Calibri"/>
                <w:noProof/>
              </w:rPr>
            </w:pPr>
            <w:r>
              <w:rPr>
                <w:noProof/>
              </w:rPr>
              <w:t>2021</w:t>
            </w:r>
          </w:p>
        </w:tc>
        <w:tc>
          <w:tcPr>
            <w:tcW w:w="4170" w:type="dxa"/>
            <w:shd w:val="clear" w:color="auto" w:fill="C6EFCE"/>
            <w:vAlign w:val="center"/>
            <w:hideMark/>
          </w:tcPr>
          <w:p w14:paraId="7A538D83" w14:textId="77777777" w:rsidR="008273B8" w:rsidRDefault="00B93063">
            <w:pPr>
              <w:pStyle w:val="P68B1DB1-Normal7"/>
              <w:spacing w:after="0" w:line="240" w:lineRule="auto"/>
              <w:rPr>
                <w:rFonts w:eastAsia="Times New Roman" w:cs="Calibri"/>
                <w:noProof/>
              </w:rPr>
            </w:pPr>
            <w:r>
              <w:rPr>
                <w:noProof/>
              </w:rPr>
              <w:t xml:space="preserve">Dovršeno je nacionalno istraživanje o putovanjima kućanstava. Cilj je ove ankete kvantificirati postojeće obrasce putovanja, ponašanje i ocijeniti javno mnijenje o novim potencijalnim mjerama koje će se uključiti u ažurirani glavni plan prijevoza. Završetak ankete odnosi se na trenutak u kojem su podaci prikupljeni i analizirani za istraživanje, a nalazi su utvrđeni u pisanom izvješću. </w:t>
            </w:r>
          </w:p>
        </w:tc>
      </w:tr>
      <w:tr w:rsidR="008273B8" w14:paraId="7A538D90" w14:textId="77777777">
        <w:trPr>
          <w:cantSplit/>
          <w:trHeight w:val="300"/>
          <w:jc w:val="center"/>
        </w:trPr>
        <w:tc>
          <w:tcPr>
            <w:tcW w:w="1089" w:type="dxa"/>
            <w:shd w:val="clear" w:color="auto" w:fill="C6EFCE"/>
            <w:vAlign w:val="center"/>
            <w:hideMark/>
          </w:tcPr>
          <w:p w14:paraId="7A538D85" w14:textId="77777777" w:rsidR="008273B8" w:rsidRDefault="00B93063">
            <w:pPr>
              <w:pStyle w:val="P68B1DB1-Normal7"/>
              <w:spacing w:after="0" w:line="240" w:lineRule="auto"/>
              <w:jc w:val="center"/>
              <w:rPr>
                <w:rFonts w:eastAsia="Times New Roman" w:cs="Calibri"/>
                <w:noProof/>
              </w:rPr>
            </w:pPr>
            <w:r>
              <w:rPr>
                <w:noProof/>
              </w:rPr>
              <w:t>2.2</w:t>
            </w:r>
          </w:p>
        </w:tc>
        <w:tc>
          <w:tcPr>
            <w:tcW w:w="1142" w:type="dxa"/>
            <w:shd w:val="clear" w:color="auto" w:fill="C6EFCE"/>
            <w:vAlign w:val="center"/>
            <w:hideMark/>
          </w:tcPr>
          <w:p w14:paraId="7A538D86" w14:textId="77777777" w:rsidR="008273B8" w:rsidRDefault="00B93063">
            <w:pPr>
              <w:pStyle w:val="P68B1DB1-Normal7"/>
              <w:spacing w:after="0" w:line="240" w:lineRule="auto"/>
              <w:rPr>
                <w:rFonts w:eastAsia="Times New Roman" w:cs="Calibri"/>
                <w:noProof/>
              </w:rPr>
            </w:pPr>
            <w:r>
              <w:rPr>
                <w:noProof/>
              </w:rPr>
              <w:t xml:space="preserve">C2.R.1 </w:t>
            </w:r>
          </w:p>
        </w:tc>
        <w:tc>
          <w:tcPr>
            <w:tcW w:w="982" w:type="dxa"/>
            <w:shd w:val="clear" w:color="auto" w:fill="C6EFCE"/>
            <w:vAlign w:val="center"/>
            <w:hideMark/>
          </w:tcPr>
          <w:p w14:paraId="7A538D87" w14:textId="77777777" w:rsidR="008273B8" w:rsidRDefault="00B93063">
            <w:pPr>
              <w:pStyle w:val="P68B1DB1-Normal7"/>
              <w:spacing w:after="0" w:line="240" w:lineRule="auto"/>
              <w:rPr>
                <w:rFonts w:eastAsia="Times New Roman" w:cs="Calibri"/>
                <w:noProof/>
              </w:rPr>
            </w:pPr>
            <w:r>
              <w:rPr>
                <w:noProof/>
              </w:rPr>
              <w:t>Ključna etapa</w:t>
            </w:r>
          </w:p>
        </w:tc>
        <w:tc>
          <w:tcPr>
            <w:tcW w:w="1471" w:type="dxa"/>
            <w:shd w:val="clear" w:color="auto" w:fill="C6EFCE"/>
            <w:vAlign w:val="center"/>
            <w:hideMark/>
          </w:tcPr>
          <w:p w14:paraId="7A538D88" w14:textId="77777777" w:rsidR="008273B8" w:rsidRDefault="00B93063">
            <w:pPr>
              <w:pStyle w:val="P68B1DB1-Normal7"/>
              <w:spacing w:after="0" w:line="240" w:lineRule="auto"/>
              <w:rPr>
                <w:rFonts w:eastAsia="Times New Roman" w:cs="Calibri"/>
                <w:noProof/>
              </w:rPr>
            </w:pPr>
            <w:r>
              <w:rPr>
                <w:noProof/>
              </w:rPr>
              <w:t xml:space="preserve">Završetak kampanje za podizanje svijesti o održivom prijevozu s nultim i niskim emisijama ugljika </w:t>
            </w:r>
          </w:p>
        </w:tc>
        <w:tc>
          <w:tcPr>
            <w:tcW w:w="1843" w:type="dxa"/>
            <w:shd w:val="clear" w:color="auto" w:fill="C6EFCE"/>
            <w:vAlign w:val="center"/>
            <w:hideMark/>
          </w:tcPr>
          <w:p w14:paraId="7A538D89" w14:textId="77777777" w:rsidR="008273B8" w:rsidRDefault="00B93063">
            <w:pPr>
              <w:pStyle w:val="P68B1DB1-Normal7"/>
              <w:spacing w:after="0" w:line="240" w:lineRule="auto"/>
              <w:rPr>
                <w:rFonts w:eastAsia="Times New Roman" w:cs="Calibri"/>
                <w:noProof/>
              </w:rPr>
            </w:pPr>
            <w:r>
              <w:rPr>
                <w:noProof/>
              </w:rPr>
              <w:t xml:space="preserve">Završetak kampanje podizanja svijesti </w:t>
            </w:r>
          </w:p>
        </w:tc>
        <w:tc>
          <w:tcPr>
            <w:tcW w:w="1753" w:type="dxa"/>
            <w:shd w:val="clear" w:color="auto" w:fill="C6EFCE"/>
            <w:vAlign w:val="center"/>
            <w:hideMark/>
          </w:tcPr>
          <w:p w14:paraId="7A538D8A"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8D8B" w14:textId="77777777" w:rsidR="008273B8" w:rsidRDefault="008273B8">
            <w:pPr>
              <w:spacing w:after="0" w:line="240" w:lineRule="auto"/>
              <w:jc w:val="center"/>
              <w:rPr>
                <w:rFonts w:ascii="Calibri" w:eastAsia="Times New Roman" w:hAnsi="Calibri" w:cs="Calibri"/>
                <w:noProof/>
                <w:sz w:val="18"/>
              </w:rPr>
            </w:pPr>
          </w:p>
        </w:tc>
        <w:tc>
          <w:tcPr>
            <w:tcW w:w="923" w:type="dxa"/>
            <w:shd w:val="clear" w:color="auto" w:fill="C6EFCE"/>
            <w:vAlign w:val="center"/>
            <w:hideMark/>
          </w:tcPr>
          <w:p w14:paraId="7A538D8C" w14:textId="77777777" w:rsidR="008273B8" w:rsidRDefault="008273B8">
            <w:pPr>
              <w:spacing w:after="0" w:line="240" w:lineRule="auto"/>
              <w:jc w:val="center"/>
              <w:rPr>
                <w:rFonts w:ascii="Calibri" w:eastAsia="Times New Roman" w:hAnsi="Calibri" w:cs="Calibri"/>
                <w:noProof/>
                <w:sz w:val="18"/>
              </w:rPr>
            </w:pPr>
          </w:p>
        </w:tc>
        <w:tc>
          <w:tcPr>
            <w:tcW w:w="690" w:type="dxa"/>
            <w:shd w:val="clear" w:color="auto" w:fill="C6EFCE"/>
            <w:vAlign w:val="center"/>
            <w:hideMark/>
          </w:tcPr>
          <w:p w14:paraId="7A538D8D"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73" w:type="dxa"/>
            <w:shd w:val="clear" w:color="auto" w:fill="C6EFCE"/>
            <w:vAlign w:val="center"/>
            <w:hideMark/>
          </w:tcPr>
          <w:p w14:paraId="7A538D8E" w14:textId="77777777" w:rsidR="008273B8" w:rsidRDefault="00B93063">
            <w:pPr>
              <w:pStyle w:val="P68B1DB1-Normal7"/>
              <w:spacing w:after="0" w:line="240" w:lineRule="auto"/>
              <w:jc w:val="center"/>
              <w:rPr>
                <w:rFonts w:eastAsia="Times New Roman" w:cs="Calibri"/>
                <w:noProof/>
              </w:rPr>
            </w:pPr>
            <w:r>
              <w:rPr>
                <w:noProof/>
              </w:rPr>
              <w:t>2025</w:t>
            </w:r>
          </w:p>
        </w:tc>
        <w:tc>
          <w:tcPr>
            <w:tcW w:w="4170" w:type="dxa"/>
            <w:shd w:val="clear" w:color="auto" w:fill="C6EFCE"/>
            <w:vAlign w:val="center"/>
            <w:hideMark/>
          </w:tcPr>
          <w:p w14:paraId="7A538D8F" w14:textId="77777777" w:rsidR="008273B8" w:rsidRDefault="00B93063">
            <w:pPr>
              <w:pStyle w:val="P68B1DB1-Normal7"/>
              <w:spacing w:after="0" w:line="240" w:lineRule="auto"/>
              <w:rPr>
                <w:rFonts w:eastAsia="Times New Roman" w:cs="Calibri"/>
                <w:noProof/>
              </w:rPr>
            </w:pPr>
            <w:r>
              <w:rPr>
                <w:noProof/>
              </w:rPr>
              <w:t>Završena je kampanja za podizanje svijesti šire javnosti. Kampanja je nacionalna inicijativa usmjerena na sve sektore društva. Upotrebljavaju se različiti mediji, uključujući tisak, televiziju i društvene medije. Cilj kampanje je promicanje promjene ponašanja u korištenju načina prijevoza. Kampanjom se promiču zeleniji načini prijevoza kako bi se promicala multimodalnost nužnih putovanja i održiviji sustav mobilnosti diljem otoka.</w:t>
            </w:r>
          </w:p>
        </w:tc>
      </w:tr>
      <w:tr w:rsidR="008273B8" w14:paraId="7A538D9C" w14:textId="77777777">
        <w:trPr>
          <w:cantSplit/>
          <w:trHeight w:val="300"/>
          <w:jc w:val="center"/>
        </w:trPr>
        <w:tc>
          <w:tcPr>
            <w:tcW w:w="1089" w:type="dxa"/>
            <w:shd w:val="clear" w:color="auto" w:fill="C6EFCE"/>
            <w:vAlign w:val="center"/>
            <w:hideMark/>
          </w:tcPr>
          <w:p w14:paraId="7A538D91" w14:textId="77777777" w:rsidR="008273B8" w:rsidRDefault="00B93063">
            <w:pPr>
              <w:pStyle w:val="P68B1DB1-Normal7"/>
              <w:spacing w:after="0" w:line="240" w:lineRule="auto"/>
              <w:jc w:val="center"/>
              <w:rPr>
                <w:rFonts w:eastAsia="Times New Roman" w:cs="Calibri"/>
                <w:noProof/>
              </w:rPr>
            </w:pPr>
            <w:r>
              <w:rPr>
                <w:noProof/>
              </w:rPr>
              <w:t>2.3</w:t>
            </w:r>
          </w:p>
        </w:tc>
        <w:tc>
          <w:tcPr>
            <w:tcW w:w="1142" w:type="dxa"/>
            <w:shd w:val="clear" w:color="auto" w:fill="C6EFCE"/>
            <w:vAlign w:val="center"/>
            <w:hideMark/>
          </w:tcPr>
          <w:p w14:paraId="7A538D92" w14:textId="77777777" w:rsidR="008273B8" w:rsidRDefault="00B93063">
            <w:pPr>
              <w:pStyle w:val="P68B1DB1-Normal7"/>
              <w:spacing w:after="0" w:line="240" w:lineRule="auto"/>
              <w:rPr>
                <w:rFonts w:eastAsia="Times New Roman" w:cs="Calibri"/>
                <w:noProof/>
              </w:rPr>
            </w:pPr>
            <w:r>
              <w:rPr>
                <w:noProof/>
              </w:rPr>
              <w:t xml:space="preserve">C2.R.2 </w:t>
            </w:r>
          </w:p>
        </w:tc>
        <w:tc>
          <w:tcPr>
            <w:tcW w:w="982" w:type="dxa"/>
            <w:shd w:val="clear" w:color="auto" w:fill="C6EFCE"/>
            <w:vAlign w:val="center"/>
            <w:hideMark/>
          </w:tcPr>
          <w:p w14:paraId="7A538D93" w14:textId="77777777" w:rsidR="008273B8" w:rsidRDefault="00B93063">
            <w:pPr>
              <w:pStyle w:val="P68B1DB1-Normal7"/>
              <w:spacing w:after="0" w:line="240" w:lineRule="auto"/>
              <w:rPr>
                <w:rFonts w:eastAsia="Times New Roman" w:cs="Calibri"/>
                <w:noProof/>
              </w:rPr>
            </w:pPr>
            <w:r>
              <w:rPr>
                <w:noProof/>
              </w:rPr>
              <w:t>Ciljna vrijednost</w:t>
            </w:r>
          </w:p>
        </w:tc>
        <w:tc>
          <w:tcPr>
            <w:tcW w:w="1471" w:type="dxa"/>
            <w:shd w:val="clear" w:color="auto" w:fill="C6EFCE"/>
            <w:vAlign w:val="center"/>
            <w:hideMark/>
          </w:tcPr>
          <w:p w14:paraId="7A538D94" w14:textId="77777777" w:rsidR="008273B8" w:rsidRDefault="00B93063">
            <w:pPr>
              <w:pStyle w:val="P68B1DB1-Normal7"/>
              <w:spacing w:after="0" w:line="240" w:lineRule="auto"/>
              <w:rPr>
                <w:rFonts w:eastAsia="Times New Roman" w:cs="Calibri"/>
                <w:noProof/>
              </w:rPr>
            </w:pPr>
            <w:r>
              <w:rPr>
                <w:noProof/>
              </w:rPr>
              <w:t>Broj osoba u novim skupinama s pristupom besplatnom javnom prijevozu</w:t>
            </w:r>
          </w:p>
        </w:tc>
        <w:tc>
          <w:tcPr>
            <w:tcW w:w="1843" w:type="dxa"/>
            <w:shd w:val="clear" w:color="auto" w:fill="C6EFCE"/>
            <w:vAlign w:val="center"/>
            <w:hideMark/>
          </w:tcPr>
          <w:p w14:paraId="7A538D95" w14:textId="77777777" w:rsidR="008273B8" w:rsidRDefault="00B93063">
            <w:pPr>
              <w:pStyle w:val="P68B1DB1-Normal7"/>
              <w:spacing w:after="0" w:line="240" w:lineRule="auto"/>
              <w:rPr>
                <w:rFonts w:eastAsia="Times New Roman" w:cs="Calibri"/>
                <w:noProof/>
              </w:rPr>
            </w:pPr>
            <w:r>
              <w:rPr>
                <w:noProof/>
              </w:rPr>
              <w:t> </w:t>
            </w:r>
          </w:p>
        </w:tc>
        <w:tc>
          <w:tcPr>
            <w:tcW w:w="1753" w:type="dxa"/>
            <w:shd w:val="clear" w:color="auto" w:fill="C6EFCE"/>
            <w:vAlign w:val="center"/>
            <w:hideMark/>
          </w:tcPr>
          <w:p w14:paraId="7A538D96" w14:textId="77777777" w:rsidR="008273B8" w:rsidRDefault="00B93063">
            <w:pPr>
              <w:pStyle w:val="P68B1DB1-Normal7"/>
              <w:spacing w:after="0" w:line="240" w:lineRule="auto"/>
              <w:jc w:val="center"/>
              <w:rPr>
                <w:rFonts w:eastAsia="Times New Roman" w:cs="Calibri"/>
                <w:noProof/>
              </w:rPr>
            </w:pPr>
            <w:r>
              <w:rPr>
                <w:noProof/>
              </w:rPr>
              <w:t>Broj</w:t>
            </w:r>
          </w:p>
        </w:tc>
        <w:tc>
          <w:tcPr>
            <w:tcW w:w="857" w:type="dxa"/>
            <w:shd w:val="clear" w:color="auto" w:fill="C6EFCE"/>
            <w:vAlign w:val="center"/>
            <w:hideMark/>
          </w:tcPr>
          <w:p w14:paraId="7A538D97" w14:textId="77777777" w:rsidR="008273B8" w:rsidRDefault="00B93063">
            <w:pPr>
              <w:pStyle w:val="P68B1DB1-Normal7"/>
              <w:spacing w:after="0" w:line="240" w:lineRule="auto"/>
              <w:jc w:val="center"/>
              <w:rPr>
                <w:rFonts w:eastAsia="Times New Roman" w:cs="Calibri"/>
                <w:noProof/>
              </w:rPr>
            </w:pPr>
            <w:r>
              <w:rPr>
                <w:noProof/>
              </w:rPr>
              <w:t>0</w:t>
            </w:r>
          </w:p>
        </w:tc>
        <w:tc>
          <w:tcPr>
            <w:tcW w:w="923" w:type="dxa"/>
            <w:shd w:val="clear" w:color="auto" w:fill="C6EFCE"/>
            <w:vAlign w:val="center"/>
            <w:hideMark/>
          </w:tcPr>
          <w:p w14:paraId="7A538D98" w14:textId="77777777" w:rsidR="008273B8" w:rsidRDefault="00B93063">
            <w:pPr>
              <w:pStyle w:val="P68B1DB1-Normal7"/>
              <w:spacing w:after="0" w:line="240" w:lineRule="auto"/>
              <w:jc w:val="center"/>
              <w:rPr>
                <w:rFonts w:eastAsia="Times New Roman" w:cs="Calibri"/>
                <w:noProof/>
              </w:rPr>
            </w:pPr>
            <w:r>
              <w:rPr>
                <w:noProof/>
              </w:rPr>
              <w:t>103 000</w:t>
            </w:r>
          </w:p>
        </w:tc>
        <w:tc>
          <w:tcPr>
            <w:tcW w:w="690" w:type="dxa"/>
            <w:shd w:val="clear" w:color="auto" w:fill="C6EFCE"/>
            <w:vAlign w:val="center"/>
            <w:hideMark/>
          </w:tcPr>
          <w:p w14:paraId="7A538D99"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73" w:type="dxa"/>
            <w:shd w:val="clear" w:color="auto" w:fill="C6EFCE"/>
            <w:vAlign w:val="center"/>
            <w:hideMark/>
          </w:tcPr>
          <w:p w14:paraId="7A538D9A" w14:textId="77777777" w:rsidR="008273B8" w:rsidRDefault="00B93063">
            <w:pPr>
              <w:pStyle w:val="P68B1DB1-Normal7"/>
              <w:spacing w:after="0" w:line="240" w:lineRule="auto"/>
              <w:jc w:val="center"/>
              <w:rPr>
                <w:rFonts w:eastAsia="Times New Roman" w:cs="Calibri"/>
                <w:noProof/>
              </w:rPr>
            </w:pPr>
            <w:r>
              <w:rPr>
                <w:noProof/>
              </w:rPr>
              <w:t>2023</w:t>
            </w:r>
          </w:p>
        </w:tc>
        <w:tc>
          <w:tcPr>
            <w:tcW w:w="4170" w:type="dxa"/>
            <w:shd w:val="clear" w:color="auto" w:fill="C6EFCE"/>
            <w:vAlign w:val="center"/>
            <w:hideMark/>
          </w:tcPr>
          <w:p w14:paraId="7A538D9B" w14:textId="77777777" w:rsidR="008273B8" w:rsidRDefault="00B93063">
            <w:pPr>
              <w:pStyle w:val="P68B1DB1-Normal7"/>
              <w:spacing w:after="0" w:line="240" w:lineRule="auto"/>
              <w:rPr>
                <w:rFonts w:eastAsia="Times New Roman" w:cs="Calibri"/>
                <w:noProof/>
              </w:rPr>
            </w:pPr>
            <w:r>
              <w:rPr>
                <w:noProof/>
              </w:rPr>
              <w:t xml:space="preserve">Broj osoba koje pripadaju novoutvrđenim skupinama koje mogu imati koristi od besplatnog javnog prijevoza. </w:t>
            </w:r>
          </w:p>
        </w:tc>
      </w:tr>
      <w:tr w:rsidR="008273B8" w14:paraId="7A538DA8" w14:textId="77777777">
        <w:trPr>
          <w:cantSplit/>
          <w:trHeight w:val="300"/>
          <w:jc w:val="center"/>
        </w:trPr>
        <w:tc>
          <w:tcPr>
            <w:tcW w:w="1089" w:type="dxa"/>
            <w:shd w:val="clear" w:color="auto" w:fill="C6EFCE"/>
            <w:vAlign w:val="center"/>
            <w:hideMark/>
          </w:tcPr>
          <w:p w14:paraId="7A538D9D" w14:textId="77777777" w:rsidR="008273B8" w:rsidRDefault="00B93063">
            <w:pPr>
              <w:pStyle w:val="P68B1DB1-Normal7"/>
              <w:spacing w:after="0" w:line="240" w:lineRule="auto"/>
              <w:jc w:val="center"/>
              <w:rPr>
                <w:rFonts w:eastAsia="Times New Roman" w:cs="Calibri"/>
                <w:noProof/>
              </w:rPr>
            </w:pPr>
            <w:r>
              <w:rPr>
                <w:noProof/>
              </w:rPr>
              <w:t>2.4</w:t>
            </w:r>
          </w:p>
        </w:tc>
        <w:tc>
          <w:tcPr>
            <w:tcW w:w="1142" w:type="dxa"/>
            <w:shd w:val="clear" w:color="auto" w:fill="C6EFCE"/>
            <w:vAlign w:val="center"/>
            <w:hideMark/>
          </w:tcPr>
          <w:p w14:paraId="7A538D9E" w14:textId="77777777" w:rsidR="008273B8" w:rsidRDefault="00B93063">
            <w:pPr>
              <w:pStyle w:val="P68B1DB1-Normal7"/>
              <w:spacing w:after="0" w:line="240" w:lineRule="auto"/>
              <w:rPr>
                <w:rFonts w:eastAsia="Times New Roman" w:cs="Calibri"/>
                <w:noProof/>
              </w:rPr>
            </w:pPr>
            <w:r>
              <w:rPr>
                <w:noProof/>
              </w:rPr>
              <w:t xml:space="preserve">C2.R.3 </w:t>
            </w:r>
          </w:p>
        </w:tc>
        <w:tc>
          <w:tcPr>
            <w:tcW w:w="982" w:type="dxa"/>
            <w:shd w:val="clear" w:color="auto" w:fill="C6EFCE"/>
            <w:vAlign w:val="center"/>
            <w:hideMark/>
          </w:tcPr>
          <w:p w14:paraId="7A538D9F" w14:textId="77777777" w:rsidR="008273B8" w:rsidRDefault="00B93063">
            <w:pPr>
              <w:pStyle w:val="P68B1DB1-Normal7"/>
              <w:spacing w:after="0" w:line="240" w:lineRule="auto"/>
              <w:rPr>
                <w:rFonts w:eastAsia="Times New Roman" w:cs="Calibri"/>
                <w:noProof/>
              </w:rPr>
            </w:pPr>
            <w:r>
              <w:rPr>
                <w:noProof/>
              </w:rPr>
              <w:t>Ključna etapa</w:t>
            </w:r>
          </w:p>
        </w:tc>
        <w:tc>
          <w:tcPr>
            <w:tcW w:w="1471" w:type="dxa"/>
            <w:shd w:val="clear" w:color="auto" w:fill="C6EFCE"/>
            <w:vAlign w:val="center"/>
            <w:hideMark/>
          </w:tcPr>
          <w:p w14:paraId="7A538DA0" w14:textId="77777777" w:rsidR="008273B8" w:rsidRDefault="00B93063">
            <w:pPr>
              <w:pStyle w:val="P68B1DB1-Normal7"/>
              <w:spacing w:after="0" w:line="240" w:lineRule="auto"/>
              <w:rPr>
                <w:rFonts w:eastAsia="Times New Roman" w:cs="Calibri"/>
                <w:noProof/>
              </w:rPr>
            </w:pPr>
            <w:r>
              <w:rPr>
                <w:noProof/>
              </w:rPr>
              <w:t xml:space="preserve">Objava plana održive gradske mobilnosti za regiju Valletta </w:t>
            </w:r>
          </w:p>
        </w:tc>
        <w:tc>
          <w:tcPr>
            <w:tcW w:w="1843" w:type="dxa"/>
            <w:shd w:val="clear" w:color="auto" w:fill="C6EFCE"/>
            <w:vAlign w:val="center"/>
            <w:hideMark/>
          </w:tcPr>
          <w:p w14:paraId="7A538DA1" w14:textId="77777777" w:rsidR="008273B8" w:rsidRDefault="00B93063">
            <w:pPr>
              <w:pStyle w:val="P68B1DB1-Normal7"/>
              <w:spacing w:after="0" w:line="240" w:lineRule="auto"/>
              <w:rPr>
                <w:rFonts w:eastAsia="Times New Roman" w:cs="Calibri"/>
                <w:noProof/>
              </w:rPr>
            </w:pPr>
            <w:r>
              <w:rPr>
                <w:noProof/>
              </w:rPr>
              <w:t xml:space="preserve">Internetska objava Plana održive gradske mobilnosti za regiju Valletta </w:t>
            </w:r>
          </w:p>
        </w:tc>
        <w:tc>
          <w:tcPr>
            <w:tcW w:w="1753" w:type="dxa"/>
            <w:shd w:val="clear" w:color="auto" w:fill="C6EFCE"/>
            <w:vAlign w:val="center"/>
            <w:hideMark/>
          </w:tcPr>
          <w:p w14:paraId="7A538DA2"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8DA3" w14:textId="77777777" w:rsidR="008273B8" w:rsidRDefault="008273B8">
            <w:pPr>
              <w:spacing w:after="0" w:line="240" w:lineRule="auto"/>
              <w:jc w:val="center"/>
              <w:rPr>
                <w:rFonts w:ascii="Calibri" w:eastAsia="Times New Roman" w:hAnsi="Calibri" w:cs="Calibri"/>
                <w:noProof/>
                <w:sz w:val="18"/>
              </w:rPr>
            </w:pPr>
          </w:p>
        </w:tc>
        <w:tc>
          <w:tcPr>
            <w:tcW w:w="923" w:type="dxa"/>
            <w:shd w:val="clear" w:color="auto" w:fill="C6EFCE"/>
            <w:vAlign w:val="center"/>
            <w:hideMark/>
          </w:tcPr>
          <w:p w14:paraId="7A538DA4" w14:textId="77777777" w:rsidR="008273B8" w:rsidRDefault="008273B8">
            <w:pPr>
              <w:spacing w:after="0" w:line="240" w:lineRule="auto"/>
              <w:jc w:val="center"/>
              <w:rPr>
                <w:rFonts w:ascii="Calibri" w:eastAsia="Times New Roman" w:hAnsi="Calibri" w:cs="Calibri"/>
                <w:noProof/>
                <w:sz w:val="18"/>
              </w:rPr>
            </w:pPr>
          </w:p>
        </w:tc>
        <w:tc>
          <w:tcPr>
            <w:tcW w:w="690" w:type="dxa"/>
            <w:shd w:val="clear" w:color="auto" w:fill="C6EFCE"/>
            <w:vAlign w:val="center"/>
            <w:hideMark/>
          </w:tcPr>
          <w:p w14:paraId="7A538DA5"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73" w:type="dxa"/>
            <w:shd w:val="clear" w:color="auto" w:fill="C6EFCE"/>
            <w:vAlign w:val="center"/>
            <w:hideMark/>
          </w:tcPr>
          <w:p w14:paraId="7A538DA6" w14:textId="77777777" w:rsidR="008273B8" w:rsidRDefault="00B93063">
            <w:pPr>
              <w:pStyle w:val="P68B1DB1-Normal7"/>
              <w:spacing w:after="0" w:line="240" w:lineRule="auto"/>
              <w:jc w:val="center"/>
              <w:rPr>
                <w:rFonts w:eastAsia="Times New Roman" w:cs="Calibri"/>
                <w:noProof/>
              </w:rPr>
            </w:pPr>
            <w:r>
              <w:rPr>
                <w:noProof/>
              </w:rPr>
              <w:t>2022</w:t>
            </w:r>
          </w:p>
        </w:tc>
        <w:tc>
          <w:tcPr>
            <w:tcW w:w="4170" w:type="dxa"/>
            <w:shd w:val="clear" w:color="auto" w:fill="C6EFCE"/>
            <w:vAlign w:val="center"/>
            <w:hideMark/>
          </w:tcPr>
          <w:p w14:paraId="7A538DA7" w14:textId="77777777" w:rsidR="008273B8" w:rsidRDefault="00B93063">
            <w:pPr>
              <w:pStyle w:val="P68B1DB1-Normal7"/>
              <w:spacing w:after="0" w:line="240" w:lineRule="auto"/>
              <w:rPr>
                <w:rFonts w:eastAsia="Times New Roman" w:cs="Calibri"/>
                <w:noProof/>
              </w:rPr>
            </w:pPr>
            <w:r>
              <w:rPr>
                <w:noProof/>
              </w:rPr>
              <w:t>Internetska objava plana održive gradske mobilnosti za regiju Valletta u kojem se utvrđuju prihvatljive intervencije koje treba provesti u okviru plana održive gradske mobilnosti. Prihvatljive vrste intervencija su: periferni sustavi parkiranja kojima se potiču održiviji načini prijevoza, uključujući vožnju biciklom i pješačenje u središtu grada; lokalizacija i provedba lokalnih prometnih čvorišta, biciklistička infrastruktura, zajedničko korištenje automobila među nekoliko ljudi i na zahtjev usluga prijevoza; uvođenje i upotreba električnih vozila i infrastruktura za punjenje u gusto naseljenim gradskim područjima i urbanoj logistici, primjerice provedbom rješenja za posljednji kilometar, među ostalim u komercijalne svrhe i podupiranjem alternativnih rješenja za mobilnost.</w:t>
            </w:r>
          </w:p>
        </w:tc>
      </w:tr>
      <w:tr w:rsidR="008273B8" w14:paraId="7A538DB4" w14:textId="77777777">
        <w:trPr>
          <w:cantSplit/>
          <w:trHeight w:val="300"/>
          <w:jc w:val="center"/>
        </w:trPr>
        <w:tc>
          <w:tcPr>
            <w:tcW w:w="1089" w:type="dxa"/>
            <w:shd w:val="clear" w:color="auto" w:fill="C6EFCE"/>
            <w:vAlign w:val="center"/>
            <w:hideMark/>
          </w:tcPr>
          <w:p w14:paraId="7A538DA9" w14:textId="77777777" w:rsidR="008273B8" w:rsidRDefault="00B93063">
            <w:pPr>
              <w:pStyle w:val="P68B1DB1-Normal7"/>
              <w:spacing w:after="0" w:line="240" w:lineRule="auto"/>
              <w:jc w:val="center"/>
              <w:rPr>
                <w:rFonts w:eastAsia="Times New Roman" w:cs="Calibri"/>
                <w:noProof/>
              </w:rPr>
            </w:pPr>
            <w:r>
              <w:rPr>
                <w:noProof/>
              </w:rPr>
              <w:t>2.5</w:t>
            </w:r>
          </w:p>
        </w:tc>
        <w:tc>
          <w:tcPr>
            <w:tcW w:w="1142" w:type="dxa"/>
            <w:shd w:val="clear" w:color="auto" w:fill="C6EFCE"/>
            <w:vAlign w:val="center"/>
            <w:hideMark/>
          </w:tcPr>
          <w:p w14:paraId="7A538DAA" w14:textId="77777777" w:rsidR="008273B8" w:rsidRDefault="00B93063">
            <w:pPr>
              <w:pStyle w:val="P68B1DB1-Normal7"/>
              <w:spacing w:after="0" w:line="240" w:lineRule="auto"/>
              <w:rPr>
                <w:rFonts w:eastAsia="Times New Roman" w:cs="Calibri"/>
                <w:noProof/>
              </w:rPr>
            </w:pPr>
            <w:r>
              <w:rPr>
                <w:noProof/>
              </w:rPr>
              <w:t xml:space="preserve">C2.R.3 </w:t>
            </w:r>
          </w:p>
        </w:tc>
        <w:tc>
          <w:tcPr>
            <w:tcW w:w="982" w:type="dxa"/>
            <w:shd w:val="clear" w:color="auto" w:fill="C6EFCE"/>
            <w:vAlign w:val="center"/>
            <w:hideMark/>
          </w:tcPr>
          <w:p w14:paraId="7A538DAB" w14:textId="77777777" w:rsidR="008273B8" w:rsidRDefault="00B93063">
            <w:pPr>
              <w:pStyle w:val="P68B1DB1-Normal7"/>
              <w:spacing w:after="0" w:line="240" w:lineRule="auto"/>
              <w:rPr>
                <w:rFonts w:eastAsia="Times New Roman" w:cs="Calibri"/>
                <w:noProof/>
              </w:rPr>
            </w:pPr>
            <w:r>
              <w:rPr>
                <w:noProof/>
              </w:rPr>
              <w:t>Ciljna vrijednost</w:t>
            </w:r>
          </w:p>
        </w:tc>
        <w:tc>
          <w:tcPr>
            <w:tcW w:w="1471" w:type="dxa"/>
            <w:shd w:val="clear" w:color="auto" w:fill="C6EFCE"/>
            <w:vAlign w:val="center"/>
            <w:hideMark/>
          </w:tcPr>
          <w:p w14:paraId="7A538DAC" w14:textId="77777777" w:rsidR="008273B8" w:rsidRDefault="00B93063">
            <w:pPr>
              <w:pStyle w:val="P68B1DB1-Normal7"/>
              <w:spacing w:after="0" w:line="240" w:lineRule="auto"/>
              <w:rPr>
                <w:rFonts w:eastAsia="Times New Roman" w:cs="Calibri"/>
                <w:noProof/>
              </w:rPr>
            </w:pPr>
            <w:r>
              <w:rPr>
                <w:noProof/>
              </w:rPr>
              <w:t xml:space="preserve">Lokalne upravne jedinice u regiji Valletti s poboljšanim rješenjima za gradsku mobilnost u okviru Plana održive gradske mobilnosti </w:t>
            </w:r>
          </w:p>
        </w:tc>
        <w:tc>
          <w:tcPr>
            <w:tcW w:w="1843" w:type="dxa"/>
            <w:shd w:val="clear" w:color="auto" w:fill="C6EFCE"/>
            <w:vAlign w:val="center"/>
            <w:hideMark/>
          </w:tcPr>
          <w:p w14:paraId="7A538DAD" w14:textId="77777777" w:rsidR="008273B8" w:rsidRDefault="00B93063">
            <w:pPr>
              <w:pStyle w:val="P68B1DB1-Normal7"/>
              <w:spacing w:after="0" w:line="240" w:lineRule="auto"/>
              <w:rPr>
                <w:rFonts w:eastAsia="Times New Roman" w:cs="Calibri"/>
                <w:noProof/>
              </w:rPr>
            </w:pPr>
            <w:r>
              <w:rPr>
                <w:noProof/>
              </w:rPr>
              <w:t> </w:t>
            </w:r>
          </w:p>
        </w:tc>
        <w:tc>
          <w:tcPr>
            <w:tcW w:w="1753" w:type="dxa"/>
            <w:shd w:val="clear" w:color="auto" w:fill="C6EFCE"/>
            <w:vAlign w:val="center"/>
            <w:hideMark/>
          </w:tcPr>
          <w:p w14:paraId="7A538DAE" w14:textId="77777777" w:rsidR="008273B8" w:rsidRDefault="00B93063">
            <w:pPr>
              <w:pStyle w:val="P68B1DB1-Normal7"/>
              <w:spacing w:after="0" w:line="240" w:lineRule="auto"/>
              <w:jc w:val="center"/>
              <w:rPr>
                <w:rFonts w:eastAsia="Times New Roman" w:cs="Calibri"/>
                <w:noProof/>
              </w:rPr>
            </w:pPr>
            <w:r>
              <w:rPr>
                <w:noProof/>
              </w:rPr>
              <w:t>Broj</w:t>
            </w:r>
          </w:p>
        </w:tc>
        <w:tc>
          <w:tcPr>
            <w:tcW w:w="857" w:type="dxa"/>
            <w:shd w:val="clear" w:color="auto" w:fill="C6EFCE"/>
            <w:vAlign w:val="center"/>
            <w:hideMark/>
          </w:tcPr>
          <w:p w14:paraId="7A538DAF" w14:textId="77777777" w:rsidR="008273B8" w:rsidRDefault="00B93063">
            <w:pPr>
              <w:pStyle w:val="P68B1DB1-Normal7"/>
              <w:spacing w:after="0" w:line="240" w:lineRule="auto"/>
              <w:jc w:val="center"/>
              <w:rPr>
                <w:rFonts w:eastAsia="Times New Roman" w:cs="Calibri"/>
                <w:noProof/>
              </w:rPr>
            </w:pPr>
            <w:r>
              <w:rPr>
                <w:noProof/>
              </w:rPr>
              <w:t>0</w:t>
            </w:r>
          </w:p>
        </w:tc>
        <w:tc>
          <w:tcPr>
            <w:tcW w:w="923" w:type="dxa"/>
            <w:shd w:val="clear" w:color="auto" w:fill="C6EFCE"/>
            <w:vAlign w:val="center"/>
            <w:hideMark/>
          </w:tcPr>
          <w:p w14:paraId="7A538DB0" w14:textId="77777777" w:rsidR="008273B8" w:rsidRDefault="00B93063">
            <w:pPr>
              <w:pStyle w:val="P68B1DB1-Normal7"/>
              <w:spacing w:after="0" w:line="240" w:lineRule="auto"/>
              <w:jc w:val="center"/>
              <w:rPr>
                <w:rFonts w:eastAsia="Times New Roman" w:cs="Calibri"/>
                <w:noProof/>
              </w:rPr>
            </w:pPr>
            <w:r>
              <w:rPr>
                <w:noProof/>
              </w:rPr>
              <w:t>9</w:t>
            </w:r>
          </w:p>
        </w:tc>
        <w:tc>
          <w:tcPr>
            <w:tcW w:w="690" w:type="dxa"/>
            <w:shd w:val="clear" w:color="auto" w:fill="C6EFCE"/>
            <w:vAlign w:val="center"/>
            <w:hideMark/>
          </w:tcPr>
          <w:p w14:paraId="7A538DB1" w14:textId="77777777" w:rsidR="008273B8" w:rsidRDefault="00B93063">
            <w:pPr>
              <w:pStyle w:val="P68B1DB1-Normal7"/>
              <w:spacing w:after="0" w:line="240" w:lineRule="auto"/>
              <w:jc w:val="center"/>
              <w:rPr>
                <w:rFonts w:eastAsia="Times New Roman" w:cs="Calibri"/>
                <w:noProof/>
              </w:rPr>
            </w:pPr>
            <w:r>
              <w:rPr>
                <w:noProof/>
              </w:rPr>
              <w:t>Q2</w:t>
            </w:r>
          </w:p>
        </w:tc>
        <w:tc>
          <w:tcPr>
            <w:tcW w:w="673" w:type="dxa"/>
            <w:shd w:val="clear" w:color="auto" w:fill="C6EFCE"/>
            <w:vAlign w:val="center"/>
            <w:hideMark/>
          </w:tcPr>
          <w:p w14:paraId="7A538DB2" w14:textId="77777777" w:rsidR="008273B8" w:rsidRDefault="00B93063">
            <w:pPr>
              <w:pStyle w:val="P68B1DB1-Normal7"/>
              <w:spacing w:after="0" w:line="240" w:lineRule="auto"/>
              <w:jc w:val="center"/>
              <w:rPr>
                <w:rFonts w:eastAsia="Times New Roman" w:cs="Calibri"/>
                <w:noProof/>
              </w:rPr>
            </w:pPr>
            <w:r>
              <w:rPr>
                <w:noProof/>
              </w:rPr>
              <w:t>2025</w:t>
            </w:r>
          </w:p>
        </w:tc>
        <w:tc>
          <w:tcPr>
            <w:tcW w:w="4170" w:type="dxa"/>
            <w:shd w:val="clear" w:color="auto" w:fill="C6EFCE"/>
            <w:vAlign w:val="center"/>
            <w:hideMark/>
          </w:tcPr>
          <w:p w14:paraId="7A538DB3" w14:textId="580AE571" w:rsidR="008273B8" w:rsidRDefault="00B93063">
            <w:pPr>
              <w:spacing w:after="0" w:line="240" w:lineRule="auto"/>
              <w:rPr>
                <w:rFonts w:ascii="Calibri" w:eastAsia="Times New Roman" w:hAnsi="Calibri" w:cs="Calibri"/>
                <w:noProof/>
                <w:sz w:val="18"/>
              </w:rPr>
            </w:pPr>
            <w:r>
              <w:rPr>
                <w:rFonts w:ascii="Calibri" w:hAnsi="Calibri"/>
                <w:noProof/>
                <w:sz w:val="18"/>
              </w:rPr>
              <w:t xml:space="preserve">U najmanje devet lokalnih upravnih jedinica u regiji Valletti u potpunosti se provodi najmanje jedna prihvatljiva vrsta intervencija iz plana održive gradske mobilnosti za regiju Valletta. </w:t>
            </w:r>
            <w:r>
              <w:rPr>
                <w:rFonts w:ascii="Times New Roman" w:hAnsi="Times New Roman"/>
                <w:noProof/>
                <w:sz w:val="24"/>
              </w:rPr>
              <w:br/>
            </w:r>
          </w:p>
        </w:tc>
      </w:tr>
      <w:tr w:rsidR="008273B8" w14:paraId="7A538DC0" w14:textId="77777777">
        <w:trPr>
          <w:cantSplit/>
          <w:trHeight w:val="300"/>
          <w:jc w:val="center"/>
        </w:trPr>
        <w:tc>
          <w:tcPr>
            <w:tcW w:w="1089" w:type="dxa"/>
            <w:shd w:val="clear" w:color="auto" w:fill="C6EFCE"/>
            <w:vAlign w:val="center"/>
            <w:hideMark/>
          </w:tcPr>
          <w:p w14:paraId="7A538DB5" w14:textId="77777777" w:rsidR="008273B8" w:rsidRDefault="00B93063">
            <w:pPr>
              <w:pStyle w:val="P68B1DB1-Normal7"/>
              <w:spacing w:after="0" w:line="240" w:lineRule="auto"/>
              <w:jc w:val="center"/>
              <w:rPr>
                <w:rFonts w:eastAsia="Times New Roman" w:cs="Calibri"/>
                <w:noProof/>
              </w:rPr>
            </w:pPr>
            <w:r>
              <w:rPr>
                <w:noProof/>
              </w:rPr>
              <w:t>2.6</w:t>
            </w:r>
          </w:p>
        </w:tc>
        <w:tc>
          <w:tcPr>
            <w:tcW w:w="1142" w:type="dxa"/>
            <w:shd w:val="clear" w:color="auto" w:fill="C6EFCE"/>
            <w:vAlign w:val="center"/>
            <w:hideMark/>
          </w:tcPr>
          <w:p w14:paraId="7A538DB6" w14:textId="77777777" w:rsidR="008273B8" w:rsidRDefault="00B93063">
            <w:pPr>
              <w:pStyle w:val="P68B1DB1-Normal7"/>
              <w:spacing w:after="0" w:line="240" w:lineRule="auto"/>
              <w:rPr>
                <w:rFonts w:eastAsia="Times New Roman" w:cs="Calibri"/>
                <w:noProof/>
              </w:rPr>
            </w:pPr>
            <w:r>
              <w:rPr>
                <w:noProof/>
              </w:rPr>
              <w:t xml:space="preserve">C2.R.4 </w:t>
            </w:r>
          </w:p>
        </w:tc>
        <w:tc>
          <w:tcPr>
            <w:tcW w:w="982" w:type="dxa"/>
            <w:shd w:val="clear" w:color="auto" w:fill="C6EFCE"/>
            <w:vAlign w:val="center"/>
            <w:hideMark/>
          </w:tcPr>
          <w:p w14:paraId="7A538DB7" w14:textId="77777777" w:rsidR="008273B8" w:rsidRDefault="00B93063">
            <w:pPr>
              <w:pStyle w:val="P68B1DB1-Normal7"/>
              <w:spacing w:after="0" w:line="240" w:lineRule="auto"/>
              <w:rPr>
                <w:rFonts w:eastAsia="Times New Roman" w:cs="Calibri"/>
                <w:noProof/>
              </w:rPr>
            </w:pPr>
            <w:r>
              <w:rPr>
                <w:noProof/>
              </w:rPr>
              <w:t>Ključna etapa</w:t>
            </w:r>
          </w:p>
        </w:tc>
        <w:tc>
          <w:tcPr>
            <w:tcW w:w="1471" w:type="dxa"/>
            <w:shd w:val="clear" w:color="auto" w:fill="C6EFCE"/>
            <w:vAlign w:val="center"/>
            <w:hideMark/>
          </w:tcPr>
          <w:p w14:paraId="7A538DB8" w14:textId="77777777" w:rsidR="008273B8" w:rsidRDefault="00B93063">
            <w:pPr>
              <w:pStyle w:val="P68B1DB1-Normal7"/>
              <w:spacing w:after="0" w:line="240" w:lineRule="auto"/>
              <w:rPr>
                <w:rFonts w:eastAsia="Times New Roman" w:cs="Calibri"/>
                <w:noProof/>
              </w:rPr>
            </w:pPr>
            <w:r>
              <w:rPr>
                <w:noProof/>
              </w:rPr>
              <w:t xml:space="preserve">Sporazum s Udruženjem lokalnih vijeća o obnovi urbanih područja </w:t>
            </w:r>
          </w:p>
        </w:tc>
        <w:tc>
          <w:tcPr>
            <w:tcW w:w="1843" w:type="dxa"/>
            <w:shd w:val="clear" w:color="auto" w:fill="C6EFCE"/>
            <w:vAlign w:val="center"/>
            <w:hideMark/>
          </w:tcPr>
          <w:p w14:paraId="7A538DB9" w14:textId="77777777" w:rsidR="008273B8" w:rsidRDefault="00B93063">
            <w:pPr>
              <w:pStyle w:val="P68B1DB1-Normal7"/>
              <w:spacing w:after="0" w:line="240" w:lineRule="auto"/>
              <w:rPr>
                <w:rFonts w:eastAsia="Times New Roman" w:cs="Calibri"/>
                <w:noProof/>
              </w:rPr>
            </w:pPr>
            <w:r>
              <w:rPr>
                <w:noProof/>
              </w:rPr>
              <w:t xml:space="preserve">Potpisan sporazum o obnovi urbanih područja </w:t>
            </w:r>
          </w:p>
        </w:tc>
        <w:tc>
          <w:tcPr>
            <w:tcW w:w="1753" w:type="dxa"/>
            <w:shd w:val="clear" w:color="auto" w:fill="C6EFCE"/>
            <w:vAlign w:val="center"/>
            <w:hideMark/>
          </w:tcPr>
          <w:p w14:paraId="7A538DBA"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8DBB" w14:textId="77777777" w:rsidR="008273B8" w:rsidRDefault="008273B8">
            <w:pPr>
              <w:spacing w:after="0" w:line="240" w:lineRule="auto"/>
              <w:jc w:val="center"/>
              <w:rPr>
                <w:rFonts w:ascii="Calibri" w:eastAsia="Times New Roman" w:hAnsi="Calibri" w:cs="Calibri"/>
                <w:noProof/>
                <w:sz w:val="18"/>
              </w:rPr>
            </w:pPr>
          </w:p>
        </w:tc>
        <w:tc>
          <w:tcPr>
            <w:tcW w:w="923" w:type="dxa"/>
            <w:shd w:val="clear" w:color="auto" w:fill="C6EFCE"/>
            <w:vAlign w:val="center"/>
            <w:hideMark/>
          </w:tcPr>
          <w:p w14:paraId="7A538DBC" w14:textId="77777777" w:rsidR="008273B8" w:rsidRDefault="008273B8">
            <w:pPr>
              <w:spacing w:after="0" w:line="240" w:lineRule="auto"/>
              <w:jc w:val="center"/>
              <w:rPr>
                <w:rFonts w:ascii="Calibri" w:eastAsia="Times New Roman" w:hAnsi="Calibri" w:cs="Calibri"/>
                <w:noProof/>
                <w:sz w:val="18"/>
              </w:rPr>
            </w:pPr>
          </w:p>
        </w:tc>
        <w:tc>
          <w:tcPr>
            <w:tcW w:w="690" w:type="dxa"/>
            <w:shd w:val="clear" w:color="auto" w:fill="C6EFCE"/>
            <w:vAlign w:val="center"/>
            <w:hideMark/>
          </w:tcPr>
          <w:p w14:paraId="7A538DBD" w14:textId="77777777" w:rsidR="008273B8" w:rsidRDefault="00B93063">
            <w:pPr>
              <w:pStyle w:val="P68B1DB1-Normal7"/>
              <w:spacing w:after="0" w:line="240" w:lineRule="auto"/>
              <w:jc w:val="center"/>
              <w:rPr>
                <w:rFonts w:eastAsia="Times New Roman" w:cs="Calibri"/>
                <w:noProof/>
              </w:rPr>
            </w:pPr>
            <w:r>
              <w:rPr>
                <w:noProof/>
              </w:rPr>
              <w:t>Q2</w:t>
            </w:r>
          </w:p>
        </w:tc>
        <w:tc>
          <w:tcPr>
            <w:tcW w:w="673" w:type="dxa"/>
            <w:shd w:val="clear" w:color="auto" w:fill="C6EFCE"/>
            <w:vAlign w:val="center"/>
            <w:hideMark/>
          </w:tcPr>
          <w:p w14:paraId="7A538DBE" w14:textId="77777777" w:rsidR="008273B8" w:rsidRDefault="00B93063">
            <w:pPr>
              <w:pStyle w:val="P68B1DB1-Normal7"/>
              <w:spacing w:after="0" w:line="240" w:lineRule="auto"/>
              <w:jc w:val="center"/>
              <w:rPr>
                <w:rFonts w:eastAsia="Times New Roman" w:cs="Calibri"/>
                <w:noProof/>
              </w:rPr>
            </w:pPr>
            <w:r>
              <w:rPr>
                <w:noProof/>
              </w:rPr>
              <w:t>2021</w:t>
            </w:r>
          </w:p>
        </w:tc>
        <w:tc>
          <w:tcPr>
            <w:tcW w:w="4170" w:type="dxa"/>
            <w:shd w:val="clear" w:color="auto" w:fill="C6EFCE"/>
            <w:vAlign w:val="center"/>
            <w:hideMark/>
          </w:tcPr>
          <w:p w14:paraId="7A538DBF" w14:textId="77777777" w:rsidR="008273B8" w:rsidRDefault="00B93063">
            <w:pPr>
              <w:pStyle w:val="P68B1DB1-Normal7"/>
              <w:spacing w:after="0" w:line="240" w:lineRule="auto"/>
              <w:rPr>
                <w:rFonts w:eastAsia="Times New Roman" w:cs="Calibri"/>
                <w:noProof/>
              </w:rPr>
            </w:pPr>
            <w:r>
              <w:rPr>
                <w:noProof/>
              </w:rPr>
              <w:t>Potpisivanje sporazuma između Malte za promet i Udruženja lokalnih vijeća o odabiru regeneracijskih područja u urbanim područjima. Revitalizirano područje je područje u kojem lokalna vijeća promiču pješačenje, vožnju biciklom i javni prijevoz, usporedno s drugim obrazovnim kampanjama kako bi se izbjeglo nepotrebno putovanje za koje se očekuje da će rezultirati dodatnim slobodnim i neopterećenim javnim prostorom. Odabir regeneracijskih područja mora biti u skladu s mjerama navedenima u malteškom glavnom prometnom planu.</w:t>
            </w:r>
          </w:p>
        </w:tc>
      </w:tr>
      <w:tr w:rsidR="008273B8" w14:paraId="7A538DCC" w14:textId="77777777">
        <w:trPr>
          <w:cantSplit/>
          <w:trHeight w:val="300"/>
          <w:jc w:val="center"/>
        </w:trPr>
        <w:tc>
          <w:tcPr>
            <w:tcW w:w="1089" w:type="dxa"/>
            <w:shd w:val="clear" w:color="auto" w:fill="C6EFCE"/>
            <w:vAlign w:val="center"/>
            <w:hideMark/>
          </w:tcPr>
          <w:p w14:paraId="7A538DC1" w14:textId="77777777" w:rsidR="008273B8" w:rsidRDefault="00B93063">
            <w:pPr>
              <w:pStyle w:val="P68B1DB1-Normal7"/>
              <w:spacing w:after="0" w:line="240" w:lineRule="auto"/>
              <w:jc w:val="center"/>
              <w:rPr>
                <w:rFonts w:eastAsia="Times New Roman" w:cs="Calibri"/>
                <w:noProof/>
              </w:rPr>
            </w:pPr>
            <w:r>
              <w:rPr>
                <w:noProof/>
              </w:rPr>
              <w:t>2.7</w:t>
            </w:r>
          </w:p>
        </w:tc>
        <w:tc>
          <w:tcPr>
            <w:tcW w:w="1142" w:type="dxa"/>
            <w:shd w:val="clear" w:color="auto" w:fill="C6EFCE"/>
            <w:vAlign w:val="center"/>
            <w:hideMark/>
          </w:tcPr>
          <w:p w14:paraId="7A538DC2" w14:textId="77777777" w:rsidR="008273B8" w:rsidRDefault="00B93063">
            <w:pPr>
              <w:pStyle w:val="P68B1DB1-Normal7"/>
              <w:spacing w:after="0" w:line="240" w:lineRule="auto"/>
              <w:rPr>
                <w:rFonts w:eastAsia="Times New Roman" w:cs="Calibri"/>
                <w:noProof/>
              </w:rPr>
            </w:pPr>
            <w:r>
              <w:rPr>
                <w:noProof/>
              </w:rPr>
              <w:t xml:space="preserve">C2.R.4 </w:t>
            </w:r>
          </w:p>
        </w:tc>
        <w:tc>
          <w:tcPr>
            <w:tcW w:w="982" w:type="dxa"/>
            <w:shd w:val="clear" w:color="auto" w:fill="C6EFCE"/>
            <w:vAlign w:val="center"/>
            <w:hideMark/>
          </w:tcPr>
          <w:p w14:paraId="7A538DC3" w14:textId="77777777" w:rsidR="008273B8" w:rsidRDefault="00B93063">
            <w:pPr>
              <w:pStyle w:val="P68B1DB1-Normal7"/>
              <w:spacing w:after="0" w:line="240" w:lineRule="auto"/>
              <w:rPr>
                <w:rFonts w:eastAsia="Times New Roman" w:cs="Calibri"/>
                <w:noProof/>
              </w:rPr>
            </w:pPr>
            <w:r>
              <w:rPr>
                <w:noProof/>
              </w:rPr>
              <w:t>Ciljna vrijednost</w:t>
            </w:r>
          </w:p>
        </w:tc>
        <w:tc>
          <w:tcPr>
            <w:tcW w:w="1471" w:type="dxa"/>
            <w:shd w:val="clear" w:color="auto" w:fill="C6EFCE"/>
            <w:vAlign w:val="center"/>
            <w:hideMark/>
          </w:tcPr>
          <w:p w14:paraId="7A538DC4" w14:textId="77777777" w:rsidR="008273B8" w:rsidRDefault="00B93063">
            <w:pPr>
              <w:pStyle w:val="P68B1DB1-Normal7"/>
              <w:spacing w:after="0" w:line="240" w:lineRule="auto"/>
              <w:rPr>
                <w:rFonts w:eastAsia="Times New Roman" w:cs="Calibri"/>
                <w:noProof/>
              </w:rPr>
            </w:pPr>
            <w:r>
              <w:rPr>
                <w:noProof/>
              </w:rPr>
              <w:t>Regeneracijska područja stvorena u gradskim područjima za otvorene prostore i prostore bez automobila</w:t>
            </w:r>
          </w:p>
        </w:tc>
        <w:tc>
          <w:tcPr>
            <w:tcW w:w="1843" w:type="dxa"/>
            <w:shd w:val="clear" w:color="auto" w:fill="C6EFCE"/>
            <w:vAlign w:val="center"/>
            <w:hideMark/>
          </w:tcPr>
          <w:p w14:paraId="7A538DC5" w14:textId="77777777" w:rsidR="008273B8" w:rsidRDefault="00B93063">
            <w:pPr>
              <w:pStyle w:val="P68B1DB1-Normal7"/>
              <w:spacing w:after="0" w:line="240" w:lineRule="auto"/>
              <w:rPr>
                <w:rFonts w:eastAsia="Times New Roman" w:cs="Calibri"/>
                <w:noProof/>
              </w:rPr>
            </w:pPr>
            <w:r>
              <w:rPr>
                <w:noProof/>
              </w:rPr>
              <w:t> </w:t>
            </w:r>
          </w:p>
        </w:tc>
        <w:tc>
          <w:tcPr>
            <w:tcW w:w="1753" w:type="dxa"/>
            <w:shd w:val="clear" w:color="auto" w:fill="C6EFCE"/>
            <w:vAlign w:val="center"/>
            <w:hideMark/>
          </w:tcPr>
          <w:p w14:paraId="7A538DC6" w14:textId="77777777" w:rsidR="008273B8" w:rsidRDefault="00B93063">
            <w:pPr>
              <w:pStyle w:val="P68B1DB1-Normal7"/>
              <w:spacing w:after="0" w:line="240" w:lineRule="auto"/>
              <w:jc w:val="center"/>
              <w:rPr>
                <w:rFonts w:eastAsia="Times New Roman" w:cs="Calibri"/>
                <w:noProof/>
              </w:rPr>
            </w:pPr>
            <w:r>
              <w:rPr>
                <w:noProof/>
              </w:rPr>
              <w:t>Broj</w:t>
            </w:r>
          </w:p>
        </w:tc>
        <w:tc>
          <w:tcPr>
            <w:tcW w:w="857" w:type="dxa"/>
            <w:shd w:val="clear" w:color="auto" w:fill="C6EFCE"/>
            <w:vAlign w:val="center"/>
            <w:hideMark/>
          </w:tcPr>
          <w:p w14:paraId="7A538DC7" w14:textId="77777777" w:rsidR="008273B8" w:rsidRDefault="00B93063">
            <w:pPr>
              <w:pStyle w:val="P68B1DB1-Normal7"/>
              <w:spacing w:after="0" w:line="240" w:lineRule="auto"/>
              <w:jc w:val="center"/>
              <w:rPr>
                <w:rFonts w:eastAsia="Times New Roman" w:cs="Calibri"/>
                <w:noProof/>
              </w:rPr>
            </w:pPr>
            <w:r>
              <w:rPr>
                <w:noProof/>
              </w:rPr>
              <w:t>0</w:t>
            </w:r>
          </w:p>
        </w:tc>
        <w:tc>
          <w:tcPr>
            <w:tcW w:w="923" w:type="dxa"/>
            <w:shd w:val="clear" w:color="auto" w:fill="C6EFCE"/>
            <w:vAlign w:val="center"/>
            <w:hideMark/>
          </w:tcPr>
          <w:p w14:paraId="7A538DC8" w14:textId="77777777" w:rsidR="008273B8" w:rsidRDefault="00B93063">
            <w:pPr>
              <w:pStyle w:val="P68B1DB1-Normal7"/>
              <w:spacing w:after="0" w:line="240" w:lineRule="auto"/>
              <w:jc w:val="center"/>
              <w:rPr>
                <w:rFonts w:eastAsia="Times New Roman" w:cs="Calibri"/>
                <w:noProof/>
              </w:rPr>
            </w:pPr>
            <w:r>
              <w:rPr>
                <w:noProof/>
              </w:rPr>
              <w:t>3</w:t>
            </w:r>
          </w:p>
        </w:tc>
        <w:tc>
          <w:tcPr>
            <w:tcW w:w="690" w:type="dxa"/>
            <w:shd w:val="clear" w:color="auto" w:fill="C6EFCE"/>
            <w:vAlign w:val="center"/>
            <w:hideMark/>
          </w:tcPr>
          <w:p w14:paraId="7A538DC9" w14:textId="77777777" w:rsidR="008273B8" w:rsidRDefault="00B93063">
            <w:pPr>
              <w:pStyle w:val="P68B1DB1-Normal7"/>
              <w:spacing w:after="0" w:line="240" w:lineRule="auto"/>
              <w:jc w:val="center"/>
              <w:rPr>
                <w:rFonts w:eastAsia="Times New Roman" w:cs="Calibri"/>
                <w:noProof/>
              </w:rPr>
            </w:pPr>
            <w:r>
              <w:rPr>
                <w:noProof/>
              </w:rPr>
              <w:t>Q2</w:t>
            </w:r>
          </w:p>
        </w:tc>
        <w:tc>
          <w:tcPr>
            <w:tcW w:w="673" w:type="dxa"/>
            <w:shd w:val="clear" w:color="auto" w:fill="C6EFCE"/>
            <w:vAlign w:val="center"/>
            <w:hideMark/>
          </w:tcPr>
          <w:p w14:paraId="7A538DCA" w14:textId="77777777" w:rsidR="008273B8" w:rsidRDefault="00B93063">
            <w:pPr>
              <w:pStyle w:val="P68B1DB1-Normal7"/>
              <w:spacing w:after="0" w:line="240" w:lineRule="auto"/>
              <w:jc w:val="center"/>
              <w:rPr>
                <w:rFonts w:eastAsia="Times New Roman" w:cs="Calibri"/>
                <w:noProof/>
              </w:rPr>
            </w:pPr>
            <w:r>
              <w:rPr>
                <w:noProof/>
              </w:rPr>
              <w:t>2025</w:t>
            </w:r>
          </w:p>
        </w:tc>
        <w:tc>
          <w:tcPr>
            <w:tcW w:w="4170" w:type="dxa"/>
            <w:shd w:val="clear" w:color="auto" w:fill="C6EFCE"/>
            <w:vAlign w:val="center"/>
            <w:hideMark/>
          </w:tcPr>
          <w:p w14:paraId="7A538DCB" w14:textId="77777777" w:rsidR="008273B8" w:rsidRDefault="00B93063">
            <w:pPr>
              <w:pStyle w:val="P68B1DB1-Normal7"/>
              <w:spacing w:after="0" w:line="240" w:lineRule="auto"/>
              <w:rPr>
                <w:rFonts w:eastAsia="Times New Roman" w:cs="Calibri"/>
                <w:noProof/>
              </w:rPr>
            </w:pPr>
            <w:r>
              <w:rPr>
                <w:noProof/>
              </w:rPr>
              <w:t xml:space="preserve">Dovršetak triju regeneracijskih područja u urbanim područjima. </w:t>
            </w:r>
          </w:p>
        </w:tc>
      </w:tr>
      <w:tr w:rsidR="008273B8" w14:paraId="7A538DD8" w14:textId="77777777">
        <w:trPr>
          <w:cantSplit/>
          <w:trHeight w:val="300"/>
          <w:jc w:val="center"/>
        </w:trPr>
        <w:tc>
          <w:tcPr>
            <w:tcW w:w="1089" w:type="dxa"/>
            <w:shd w:val="clear" w:color="auto" w:fill="C6EFCE"/>
            <w:vAlign w:val="center"/>
            <w:hideMark/>
          </w:tcPr>
          <w:p w14:paraId="7A538DCD" w14:textId="77777777" w:rsidR="008273B8" w:rsidRDefault="00B93063">
            <w:pPr>
              <w:pStyle w:val="P68B1DB1-Normal7"/>
              <w:spacing w:after="0" w:line="240" w:lineRule="auto"/>
              <w:jc w:val="center"/>
              <w:rPr>
                <w:rFonts w:eastAsia="Times New Roman" w:cs="Calibri"/>
                <w:noProof/>
              </w:rPr>
            </w:pPr>
            <w:r>
              <w:rPr>
                <w:noProof/>
              </w:rPr>
              <w:t>2.8</w:t>
            </w:r>
          </w:p>
        </w:tc>
        <w:tc>
          <w:tcPr>
            <w:tcW w:w="1142" w:type="dxa"/>
            <w:shd w:val="clear" w:color="auto" w:fill="C6EFCE"/>
            <w:vAlign w:val="center"/>
            <w:hideMark/>
          </w:tcPr>
          <w:p w14:paraId="7A538DCE" w14:textId="77777777" w:rsidR="008273B8" w:rsidRDefault="00B93063">
            <w:pPr>
              <w:pStyle w:val="P68B1DB1-Normal7"/>
              <w:spacing w:after="0" w:line="240" w:lineRule="auto"/>
              <w:rPr>
                <w:rFonts w:eastAsia="Times New Roman" w:cs="Calibri"/>
                <w:noProof/>
              </w:rPr>
            </w:pPr>
            <w:r>
              <w:rPr>
                <w:noProof/>
              </w:rPr>
              <w:t xml:space="preserve">C2.R.5 </w:t>
            </w:r>
          </w:p>
        </w:tc>
        <w:tc>
          <w:tcPr>
            <w:tcW w:w="982" w:type="dxa"/>
            <w:shd w:val="clear" w:color="auto" w:fill="C6EFCE"/>
            <w:vAlign w:val="center"/>
            <w:hideMark/>
          </w:tcPr>
          <w:p w14:paraId="7A538DCF" w14:textId="77777777" w:rsidR="008273B8" w:rsidRDefault="00B93063">
            <w:pPr>
              <w:pStyle w:val="P68B1DB1-Normal7"/>
              <w:spacing w:after="0" w:line="240" w:lineRule="auto"/>
              <w:rPr>
                <w:rFonts w:eastAsia="Times New Roman" w:cs="Calibri"/>
                <w:noProof/>
              </w:rPr>
            </w:pPr>
            <w:r>
              <w:rPr>
                <w:noProof/>
              </w:rPr>
              <w:t>Ključna etapa</w:t>
            </w:r>
          </w:p>
        </w:tc>
        <w:tc>
          <w:tcPr>
            <w:tcW w:w="1471" w:type="dxa"/>
            <w:shd w:val="clear" w:color="auto" w:fill="C6EFCE"/>
            <w:vAlign w:val="center"/>
            <w:hideMark/>
          </w:tcPr>
          <w:p w14:paraId="7A538DD0" w14:textId="77777777" w:rsidR="008273B8" w:rsidRDefault="00B93063">
            <w:pPr>
              <w:pStyle w:val="P68B1DB1-Normal7"/>
              <w:spacing w:after="0" w:line="240" w:lineRule="auto"/>
              <w:rPr>
                <w:rFonts w:eastAsia="Times New Roman" w:cs="Calibri"/>
                <w:noProof/>
              </w:rPr>
            </w:pPr>
            <w:r>
              <w:rPr>
                <w:noProof/>
              </w:rPr>
              <w:t>Objava politike rada na daljinu za vladine zaposlenike</w:t>
            </w:r>
          </w:p>
        </w:tc>
        <w:tc>
          <w:tcPr>
            <w:tcW w:w="1843" w:type="dxa"/>
            <w:shd w:val="clear" w:color="auto" w:fill="C6EFCE"/>
            <w:vAlign w:val="center"/>
            <w:hideMark/>
          </w:tcPr>
          <w:p w14:paraId="7A538DD1" w14:textId="77777777" w:rsidR="008273B8" w:rsidRDefault="00B93063">
            <w:pPr>
              <w:pStyle w:val="P68B1DB1-Normal7"/>
              <w:spacing w:after="0" w:line="240" w:lineRule="auto"/>
              <w:rPr>
                <w:rFonts w:eastAsia="Times New Roman" w:cs="Calibri"/>
                <w:noProof/>
              </w:rPr>
            </w:pPr>
            <w:r>
              <w:rPr>
                <w:noProof/>
              </w:rPr>
              <w:t>Objava radnog dokumenta o politici na daljinu za vladine zaposlenike</w:t>
            </w:r>
          </w:p>
        </w:tc>
        <w:tc>
          <w:tcPr>
            <w:tcW w:w="1753" w:type="dxa"/>
            <w:shd w:val="clear" w:color="auto" w:fill="C6EFCE"/>
            <w:vAlign w:val="center"/>
            <w:hideMark/>
          </w:tcPr>
          <w:p w14:paraId="7A538DD2"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8DD3" w14:textId="77777777" w:rsidR="008273B8" w:rsidRDefault="008273B8">
            <w:pPr>
              <w:spacing w:after="0" w:line="240" w:lineRule="auto"/>
              <w:jc w:val="center"/>
              <w:rPr>
                <w:rFonts w:ascii="Calibri" w:eastAsia="Times New Roman" w:hAnsi="Calibri" w:cs="Calibri"/>
                <w:noProof/>
                <w:sz w:val="18"/>
              </w:rPr>
            </w:pPr>
          </w:p>
        </w:tc>
        <w:tc>
          <w:tcPr>
            <w:tcW w:w="923" w:type="dxa"/>
            <w:shd w:val="clear" w:color="auto" w:fill="C6EFCE"/>
            <w:vAlign w:val="center"/>
            <w:hideMark/>
          </w:tcPr>
          <w:p w14:paraId="7A538DD4" w14:textId="77777777" w:rsidR="008273B8" w:rsidRDefault="008273B8">
            <w:pPr>
              <w:spacing w:after="0" w:line="240" w:lineRule="auto"/>
              <w:jc w:val="center"/>
              <w:rPr>
                <w:rFonts w:ascii="Calibri" w:eastAsia="Times New Roman" w:hAnsi="Calibri" w:cs="Calibri"/>
                <w:noProof/>
                <w:sz w:val="18"/>
              </w:rPr>
            </w:pPr>
          </w:p>
        </w:tc>
        <w:tc>
          <w:tcPr>
            <w:tcW w:w="690" w:type="dxa"/>
            <w:shd w:val="clear" w:color="auto" w:fill="C6EFCE"/>
            <w:vAlign w:val="center"/>
            <w:hideMark/>
          </w:tcPr>
          <w:p w14:paraId="7A538DD5" w14:textId="77777777" w:rsidR="008273B8" w:rsidRDefault="00B93063">
            <w:pPr>
              <w:pStyle w:val="P68B1DB1-Normal7"/>
              <w:spacing w:after="0" w:line="240" w:lineRule="auto"/>
              <w:jc w:val="center"/>
              <w:rPr>
                <w:rFonts w:eastAsia="Times New Roman" w:cs="Calibri"/>
                <w:noProof/>
              </w:rPr>
            </w:pPr>
            <w:r>
              <w:rPr>
                <w:noProof/>
              </w:rPr>
              <w:t>PRVO TROMJESEČJE</w:t>
            </w:r>
          </w:p>
        </w:tc>
        <w:tc>
          <w:tcPr>
            <w:tcW w:w="673" w:type="dxa"/>
            <w:shd w:val="clear" w:color="auto" w:fill="C6EFCE"/>
            <w:vAlign w:val="center"/>
            <w:hideMark/>
          </w:tcPr>
          <w:p w14:paraId="7A538DD6" w14:textId="77777777" w:rsidR="008273B8" w:rsidRDefault="00B93063">
            <w:pPr>
              <w:pStyle w:val="P68B1DB1-Normal7"/>
              <w:spacing w:after="0" w:line="240" w:lineRule="auto"/>
              <w:jc w:val="center"/>
              <w:rPr>
                <w:rFonts w:eastAsia="Times New Roman" w:cs="Calibri"/>
                <w:noProof/>
              </w:rPr>
            </w:pPr>
            <w:r>
              <w:rPr>
                <w:noProof/>
              </w:rPr>
              <w:t>2022</w:t>
            </w:r>
          </w:p>
        </w:tc>
        <w:tc>
          <w:tcPr>
            <w:tcW w:w="4170" w:type="dxa"/>
            <w:shd w:val="clear" w:color="auto" w:fill="C6EFCE"/>
            <w:vAlign w:val="center"/>
            <w:hideMark/>
          </w:tcPr>
          <w:p w14:paraId="7A538DD7" w14:textId="77777777" w:rsidR="008273B8" w:rsidRDefault="00B93063">
            <w:pPr>
              <w:pStyle w:val="P68B1DB1-Normal7"/>
              <w:spacing w:after="0" w:line="240" w:lineRule="auto"/>
              <w:rPr>
                <w:rFonts w:eastAsia="Times New Roman" w:cs="Calibri"/>
                <w:noProof/>
                <w:highlight w:val="green"/>
              </w:rPr>
            </w:pPr>
            <w:r>
              <w:rPr>
                <w:noProof/>
              </w:rPr>
              <w:t xml:space="preserve">Objava politike rada na daljinu za državne zaposlenike. U politici se navode kriteriji prihvatljivosti, uvjeti, zahtjevi za odobrenje i smjernice za prijavu kojima se uređuje ova inicijativa, a kojima se promiče ravnoteža između poslovnog i privatnog života i doprinosi održivosti. </w:t>
            </w:r>
          </w:p>
        </w:tc>
      </w:tr>
      <w:tr w:rsidR="008273B8" w14:paraId="7A538DE4" w14:textId="77777777">
        <w:trPr>
          <w:cantSplit/>
          <w:trHeight w:val="300"/>
          <w:jc w:val="center"/>
        </w:trPr>
        <w:tc>
          <w:tcPr>
            <w:tcW w:w="1089" w:type="dxa"/>
            <w:shd w:val="clear" w:color="auto" w:fill="C6EFCE"/>
            <w:vAlign w:val="center"/>
            <w:hideMark/>
          </w:tcPr>
          <w:p w14:paraId="7A538DD9" w14:textId="77777777" w:rsidR="008273B8" w:rsidRDefault="00B93063">
            <w:pPr>
              <w:pStyle w:val="P68B1DB1-Normal7"/>
              <w:spacing w:after="0" w:line="240" w:lineRule="auto"/>
              <w:jc w:val="center"/>
              <w:rPr>
                <w:rFonts w:eastAsia="Times New Roman" w:cs="Calibri"/>
                <w:noProof/>
              </w:rPr>
            </w:pPr>
            <w:r>
              <w:rPr>
                <w:noProof/>
              </w:rPr>
              <w:t>2.9</w:t>
            </w:r>
          </w:p>
        </w:tc>
        <w:tc>
          <w:tcPr>
            <w:tcW w:w="1142" w:type="dxa"/>
            <w:shd w:val="clear" w:color="auto" w:fill="C6EFCE"/>
            <w:vAlign w:val="center"/>
            <w:hideMark/>
          </w:tcPr>
          <w:p w14:paraId="7A538DDA" w14:textId="77777777" w:rsidR="008273B8" w:rsidRDefault="00B93063">
            <w:pPr>
              <w:pStyle w:val="P68B1DB1-Normal7"/>
              <w:spacing w:after="0" w:line="240" w:lineRule="auto"/>
              <w:rPr>
                <w:rFonts w:eastAsia="Times New Roman" w:cs="Calibri"/>
                <w:noProof/>
              </w:rPr>
            </w:pPr>
            <w:r>
              <w:rPr>
                <w:noProof/>
              </w:rPr>
              <w:t xml:space="preserve">C2.R.5 </w:t>
            </w:r>
          </w:p>
        </w:tc>
        <w:tc>
          <w:tcPr>
            <w:tcW w:w="982" w:type="dxa"/>
            <w:shd w:val="clear" w:color="auto" w:fill="C6EFCE"/>
            <w:vAlign w:val="center"/>
            <w:hideMark/>
          </w:tcPr>
          <w:p w14:paraId="7A538DDB" w14:textId="77777777" w:rsidR="008273B8" w:rsidRDefault="00B93063">
            <w:pPr>
              <w:pStyle w:val="P68B1DB1-Normal7"/>
              <w:spacing w:after="0" w:line="240" w:lineRule="auto"/>
              <w:rPr>
                <w:rFonts w:eastAsia="Times New Roman" w:cs="Calibri"/>
                <w:noProof/>
              </w:rPr>
            </w:pPr>
            <w:r>
              <w:rPr>
                <w:noProof/>
              </w:rPr>
              <w:t>Ciljna vrijednost</w:t>
            </w:r>
          </w:p>
        </w:tc>
        <w:tc>
          <w:tcPr>
            <w:tcW w:w="1471" w:type="dxa"/>
            <w:shd w:val="clear" w:color="auto" w:fill="C6EFCE"/>
            <w:vAlign w:val="center"/>
            <w:hideMark/>
          </w:tcPr>
          <w:p w14:paraId="7A538DDC" w14:textId="77777777" w:rsidR="008273B8" w:rsidRDefault="00B93063">
            <w:pPr>
              <w:pStyle w:val="P68B1DB1-Normal7"/>
              <w:spacing w:after="0" w:line="240" w:lineRule="auto"/>
              <w:rPr>
                <w:rFonts w:eastAsia="Times New Roman" w:cs="Calibri"/>
                <w:noProof/>
              </w:rPr>
            </w:pPr>
            <w:r>
              <w:rPr>
                <w:noProof/>
              </w:rPr>
              <w:t>15 uredskih objekata koji omogućuju rad na daljinu za javne službenike na svim malteškim otocima</w:t>
            </w:r>
          </w:p>
        </w:tc>
        <w:tc>
          <w:tcPr>
            <w:tcW w:w="1843" w:type="dxa"/>
            <w:shd w:val="clear" w:color="auto" w:fill="C6EFCE"/>
            <w:vAlign w:val="center"/>
            <w:hideMark/>
          </w:tcPr>
          <w:p w14:paraId="7A538DDD" w14:textId="77777777" w:rsidR="008273B8" w:rsidRDefault="00B93063">
            <w:pPr>
              <w:pStyle w:val="P68B1DB1-Normal7"/>
              <w:spacing w:after="0" w:line="240" w:lineRule="auto"/>
              <w:rPr>
                <w:rFonts w:eastAsia="Times New Roman" w:cs="Calibri"/>
                <w:noProof/>
              </w:rPr>
            </w:pPr>
            <w:r>
              <w:rPr>
                <w:noProof/>
              </w:rPr>
              <w:t> </w:t>
            </w:r>
          </w:p>
        </w:tc>
        <w:tc>
          <w:tcPr>
            <w:tcW w:w="1753" w:type="dxa"/>
            <w:shd w:val="clear" w:color="auto" w:fill="C6EFCE"/>
            <w:vAlign w:val="center"/>
            <w:hideMark/>
          </w:tcPr>
          <w:p w14:paraId="7A538DDE" w14:textId="77777777" w:rsidR="008273B8" w:rsidRDefault="00B93063">
            <w:pPr>
              <w:pStyle w:val="P68B1DB1-Normal7"/>
              <w:spacing w:after="0" w:line="240" w:lineRule="auto"/>
              <w:jc w:val="center"/>
              <w:rPr>
                <w:rFonts w:eastAsia="Times New Roman" w:cs="Calibri"/>
                <w:noProof/>
              </w:rPr>
            </w:pPr>
            <w:r>
              <w:rPr>
                <w:noProof/>
              </w:rPr>
              <w:t>Broj</w:t>
            </w:r>
          </w:p>
        </w:tc>
        <w:tc>
          <w:tcPr>
            <w:tcW w:w="857" w:type="dxa"/>
            <w:shd w:val="clear" w:color="auto" w:fill="C6EFCE"/>
            <w:vAlign w:val="center"/>
            <w:hideMark/>
          </w:tcPr>
          <w:p w14:paraId="7A538DDF" w14:textId="77777777" w:rsidR="008273B8" w:rsidRDefault="00B93063">
            <w:pPr>
              <w:pStyle w:val="P68B1DB1-Normal7"/>
              <w:spacing w:after="0" w:line="240" w:lineRule="auto"/>
              <w:jc w:val="center"/>
              <w:rPr>
                <w:rFonts w:eastAsia="Times New Roman" w:cs="Calibri"/>
                <w:noProof/>
              </w:rPr>
            </w:pPr>
            <w:r>
              <w:rPr>
                <w:noProof/>
              </w:rPr>
              <w:t>0</w:t>
            </w:r>
          </w:p>
        </w:tc>
        <w:tc>
          <w:tcPr>
            <w:tcW w:w="923" w:type="dxa"/>
            <w:shd w:val="clear" w:color="auto" w:fill="C6EFCE"/>
            <w:vAlign w:val="center"/>
            <w:hideMark/>
          </w:tcPr>
          <w:p w14:paraId="7A538DE0" w14:textId="77777777" w:rsidR="008273B8" w:rsidRDefault="00B93063">
            <w:pPr>
              <w:pStyle w:val="P68B1DB1-Normal7"/>
              <w:spacing w:after="0" w:line="240" w:lineRule="auto"/>
              <w:jc w:val="center"/>
              <w:rPr>
                <w:rFonts w:eastAsia="Times New Roman" w:cs="Calibri"/>
                <w:noProof/>
              </w:rPr>
            </w:pPr>
            <w:r>
              <w:rPr>
                <w:noProof/>
              </w:rPr>
              <w:t>15</w:t>
            </w:r>
          </w:p>
        </w:tc>
        <w:tc>
          <w:tcPr>
            <w:tcW w:w="690" w:type="dxa"/>
            <w:shd w:val="clear" w:color="auto" w:fill="C6EFCE"/>
            <w:vAlign w:val="center"/>
            <w:hideMark/>
          </w:tcPr>
          <w:p w14:paraId="7A538DE1"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73" w:type="dxa"/>
            <w:shd w:val="clear" w:color="auto" w:fill="C6EFCE"/>
            <w:vAlign w:val="center"/>
            <w:hideMark/>
          </w:tcPr>
          <w:p w14:paraId="7A538DE2" w14:textId="77777777" w:rsidR="008273B8" w:rsidRDefault="00B93063">
            <w:pPr>
              <w:pStyle w:val="P68B1DB1-Normal7"/>
              <w:spacing w:after="0" w:line="240" w:lineRule="auto"/>
              <w:jc w:val="center"/>
              <w:rPr>
                <w:rFonts w:eastAsia="Times New Roman" w:cs="Calibri"/>
                <w:noProof/>
              </w:rPr>
            </w:pPr>
            <w:r>
              <w:rPr>
                <w:noProof/>
              </w:rPr>
              <w:t>2021</w:t>
            </w:r>
          </w:p>
        </w:tc>
        <w:tc>
          <w:tcPr>
            <w:tcW w:w="4170" w:type="dxa"/>
            <w:shd w:val="clear" w:color="auto" w:fill="C6EFCE"/>
            <w:vAlign w:val="center"/>
            <w:hideMark/>
          </w:tcPr>
          <w:p w14:paraId="7A538DE3" w14:textId="77777777" w:rsidR="008273B8" w:rsidRDefault="00B93063">
            <w:pPr>
              <w:pStyle w:val="P68B1DB1-Normal7"/>
              <w:spacing w:after="0" w:line="240" w:lineRule="auto"/>
              <w:rPr>
                <w:rFonts w:eastAsia="Times New Roman" w:cs="Calibri"/>
                <w:noProof/>
              </w:rPr>
            </w:pPr>
            <w:r>
              <w:rPr>
                <w:noProof/>
              </w:rPr>
              <w:t xml:space="preserve">Broj ureda na različitim mjestima koji su operativni s objektima koji omogućuju rad na daljinu za djelatnike u javnim službama u svim ministarstvima. U tim uredima mora biti smješteno najmanje 140 radnih stanica u 15 uredskih prostora. </w:t>
            </w:r>
          </w:p>
        </w:tc>
      </w:tr>
      <w:tr w:rsidR="008273B8" w14:paraId="7A538DF0" w14:textId="77777777">
        <w:trPr>
          <w:cantSplit/>
          <w:trHeight w:val="300"/>
          <w:jc w:val="center"/>
        </w:trPr>
        <w:tc>
          <w:tcPr>
            <w:tcW w:w="1089" w:type="dxa"/>
            <w:shd w:val="clear" w:color="auto" w:fill="C6EFCE"/>
            <w:vAlign w:val="center"/>
            <w:hideMark/>
          </w:tcPr>
          <w:p w14:paraId="7A538DE5" w14:textId="77777777" w:rsidR="008273B8" w:rsidRDefault="00B93063">
            <w:pPr>
              <w:pStyle w:val="P68B1DB1-Normal7"/>
              <w:spacing w:after="0" w:line="240" w:lineRule="auto"/>
              <w:jc w:val="center"/>
              <w:rPr>
                <w:rFonts w:eastAsia="Times New Roman" w:cs="Calibri"/>
                <w:noProof/>
              </w:rPr>
            </w:pPr>
            <w:r>
              <w:rPr>
                <w:noProof/>
              </w:rPr>
              <w:t>2.10</w:t>
            </w:r>
          </w:p>
        </w:tc>
        <w:tc>
          <w:tcPr>
            <w:tcW w:w="1142" w:type="dxa"/>
            <w:shd w:val="clear" w:color="auto" w:fill="C6EFCE"/>
            <w:vAlign w:val="center"/>
            <w:hideMark/>
          </w:tcPr>
          <w:p w14:paraId="7A538DE6" w14:textId="77777777" w:rsidR="008273B8" w:rsidRDefault="00B93063">
            <w:pPr>
              <w:pStyle w:val="P68B1DB1-Normal7"/>
              <w:spacing w:after="0" w:line="240" w:lineRule="auto"/>
              <w:rPr>
                <w:rFonts w:eastAsia="Times New Roman" w:cs="Calibri"/>
                <w:noProof/>
              </w:rPr>
            </w:pPr>
            <w:r>
              <w:rPr>
                <w:noProof/>
              </w:rPr>
              <w:t xml:space="preserve">C2.R.6 </w:t>
            </w:r>
          </w:p>
        </w:tc>
        <w:tc>
          <w:tcPr>
            <w:tcW w:w="982" w:type="dxa"/>
            <w:shd w:val="clear" w:color="auto" w:fill="C6EFCE"/>
            <w:vAlign w:val="center"/>
            <w:hideMark/>
          </w:tcPr>
          <w:p w14:paraId="7A538DE7" w14:textId="77777777" w:rsidR="008273B8" w:rsidRDefault="00B93063">
            <w:pPr>
              <w:pStyle w:val="P68B1DB1-Normal7"/>
              <w:spacing w:after="0" w:line="240" w:lineRule="auto"/>
              <w:rPr>
                <w:rFonts w:eastAsia="Times New Roman" w:cs="Calibri"/>
                <w:noProof/>
              </w:rPr>
            </w:pPr>
            <w:r>
              <w:rPr>
                <w:noProof/>
              </w:rPr>
              <w:t>Ključna etapa</w:t>
            </w:r>
          </w:p>
        </w:tc>
        <w:tc>
          <w:tcPr>
            <w:tcW w:w="1471" w:type="dxa"/>
            <w:shd w:val="clear" w:color="auto" w:fill="C6EFCE"/>
            <w:vAlign w:val="center"/>
            <w:hideMark/>
          </w:tcPr>
          <w:p w14:paraId="7A538DE8" w14:textId="77777777" w:rsidR="008273B8" w:rsidRDefault="00B93063">
            <w:pPr>
              <w:pStyle w:val="P68B1DB1-Normal7"/>
              <w:spacing w:after="0" w:line="240" w:lineRule="auto"/>
              <w:rPr>
                <w:rFonts w:eastAsia="Times New Roman" w:cs="Calibri"/>
                <w:noProof/>
              </w:rPr>
            </w:pPr>
            <w:r>
              <w:rPr>
                <w:noProof/>
              </w:rPr>
              <w:t>Završetak studije o boljem upravljanju mobilnošću u malteškoj javnoj službi</w:t>
            </w:r>
          </w:p>
        </w:tc>
        <w:tc>
          <w:tcPr>
            <w:tcW w:w="1843" w:type="dxa"/>
            <w:shd w:val="clear" w:color="auto" w:fill="C6EFCE"/>
            <w:vAlign w:val="center"/>
            <w:hideMark/>
          </w:tcPr>
          <w:p w14:paraId="7A538DE9" w14:textId="77777777" w:rsidR="008273B8" w:rsidRDefault="00B93063">
            <w:pPr>
              <w:pStyle w:val="P68B1DB1-Normal7"/>
              <w:spacing w:after="0" w:line="240" w:lineRule="auto"/>
              <w:rPr>
                <w:rFonts w:eastAsia="Times New Roman" w:cs="Calibri"/>
                <w:noProof/>
              </w:rPr>
            </w:pPr>
            <w:r>
              <w:rPr>
                <w:noProof/>
              </w:rPr>
              <w:t>Dovršena studija s preporukama</w:t>
            </w:r>
          </w:p>
        </w:tc>
        <w:tc>
          <w:tcPr>
            <w:tcW w:w="1753" w:type="dxa"/>
            <w:shd w:val="clear" w:color="auto" w:fill="C6EFCE"/>
            <w:vAlign w:val="center"/>
            <w:hideMark/>
          </w:tcPr>
          <w:p w14:paraId="7A538DEA"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8DEB" w14:textId="77777777" w:rsidR="008273B8" w:rsidRDefault="008273B8">
            <w:pPr>
              <w:spacing w:after="0" w:line="240" w:lineRule="auto"/>
              <w:jc w:val="center"/>
              <w:rPr>
                <w:rFonts w:ascii="Calibri" w:eastAsia="Times New Roman" w:hAnsi="Calibri" w:cs="Calibri"/>
                <w:noProof/>
                <w:sz w:val="18"/>
              </w:rPr>
            </w:pPr>
          </w:p>
        </w:tc>
        <w:tc>
          <w:tcPr>
            <w:tcW w:w="923" w:type="dxa"/>
            <w:shd w:val="clear" w:color="auto" w:fill="C6EFCE"/>
            <w:vAlign w:val="center"/>
            <w:hideMark/>
          </w:tcPr>
          <w:p w14:paraId="7A538DEC" w14:textId="77777777" w:rsidR="008273B8" w:rsidRDefault="008273B8">
            <w:pPr>
              <w:spacing w:after="0" w:line="240" w:lineRule="auto"/>
              <w:jc w:val="center"/>
              <w:rPr>
                <w:rFonts w:ascii="Calibri" w:eastAsia="Times New Roman" w:hAnsi="Calibri" w:cs="Calibri"/>
                <w:noProof/>
                <w:sz w:val="18"/>
              </w:rPr>
            </w:pPr>
          </w:p>
        </w:tc>
        <w:tc>
          <w:tcPr>
            <w:tcW w:w="690" w:type="dxa"/>
            <w:shd w:val="clear" w:color="auto" w:fill="C6EFCE"/>
            <w:vAlign w:val="center"/>
            <w:hideMark/>
          </w:tcPr>
          <w:p w14:paraId="7A538DED" w14:textId="77777777" w:rsidR="008273B8" w:rsidRDefault="00B93063">
            <w:pPr>
              <w:pStyle w:val="P68B1DB1-Normal7"/>
              <w:spacing w:after="0" w:line="240" w:lineRule="auto"/>
              <w:jc w:val="center"/>
              <w:rPr>
                <w:rFonts w:eastAsia="Times New Roman" w:cs="Calibri"/>
                <w:noProof/>
              </w:rPr>
            </w:pPr>
            <w:r>
              <w:rPr>
                <w:noProof/>
              </w:rPr>
              <w:t>PRVO TROMJESEČJE</w:t>
            </w:r>
          </w:p>
        </w:tc>
        <w:tc>
          <w:tcPr>
            <w:tcW w:w="673" w:type="dxa"/>
            <w:shd w:val="clear" w:color="auto" w:fill="C6EFCE"/>
            <w:vAlign w:val="center"/>
            <w:hideMark/>
          </w:tcPr>
          <w:p w14:paraId="7A538DEE" w14:textId="77777777" w:rsidR="008273B8" w:rsidRDefault="00B93063">
            <w:pPr>
              <w:pStyle w:val="P68B1DB1-Normal7"/>
              <w:spacing w:after="0" w:line="240" w:lineRule="auto"/>
              <w:jc w:val="center"/>
              <w:rPr>
                <w:rFonts w:eastAsia="Times New Roman" w:cs="Calibri"/>
                <w:noProof/>
              </w:rPr>
            </w:pPr>
            <w:r>
              <w:rPr>
                <w:noProof/>
              </w:rPr>
              <w:t>2023</w:t>
            </w:r>
          </w:p>
        </w:tc>
        <w:tc>
          <w:tcPr>
            <w:tcW w:w="4170" w:type="dxa"/>
            <w:shd w:val="clear" w:color="auto" w:fill="C6EFCE"/>
            <w:vAlign w:val="center"/>
            <w:hideMark/>
          </w:tcPr>
          <w:p w14:paraId="7A538DEF" w14:textId="77777777" w:rsidR="008273B8" w:rsidRDefault="00B93063">
            <w:pPr>
              <w:pStyle w:val="P68B1DB1-Normal7"/>
              <w:spacing w:after="0" w:line="240" w:lineRule="auto"/>
              <w:rPr>
                <w:rFonts w:eastAsia="Times New Roman" w:cs="Calibri"/>
                <w:noProof/>
              </w:rPr>
            </w:pPr>
            <w:r>
              <w:rPr>
                <w:noProof/>
              </w:rPr>
              <w:t>Završetak studije o promjenama u upravljanju mobilnošću u malteškoj javnoj službi. U studiji se ispituje trenutačna situacija i utvrđuje polazna vrijednost postojeće zajedničke mobilnosti (koordinirana putovanja između najmanje dvaju vladinih odjela) u javnoj službi; davanje preporuka za rekonstrukciju procesa koji dovodi do veće učinkovitosti; i utvrditi broj i vrstu čišćeg voznog parka državnih vozila opće uporabe. Studiju provodi neovisni izvođač nakon postupka javne nabave. Studija se dijeli s Europskom komisijom.</w:t>
            </w:r>
          </w:p>
        </w:tc>
      </w:tr>
      <w:tr w:rsidR="008273B8" w14:paraId="7A538DFC" w14:textId="77777777">
        <w:trPr>
          <w:cantSplit/>
          <w:trHeight w:val="300"/>
          <w:jc w:val="center"/>
        </w:trPr>
        <w:tc>
          <w:tcPr>
            <w:tcW w:w="1089" w:type="dxa"/>
            <w:shd w:val="clear" w:color="auto" w:fill="C6EFCE"/>
            <w:vAlign w:val="center"/>
            <w:hideMark/>
          </w:tcPr>
          <w:p w14:paraId="7A538DF1" w14:textId="342C3912" w:rsidR="008273B8" w:rsidRDefault="00B93063">
            <w:pPr>
              <w:pStyle w:val="P68B1DB1-Normal7"/>
              <w:spacing w:after="0" w:line="240" w:lineRule="auto"/>
              <w:jc w:val="center"/>
              <w:rPr>
                <w:rFonts w:eastAsia="Times New Roman" w:cs="Calibri"/>
                <w:noProof/>
              </w:rPr>
            </w:pPr>
            <w:r>
              <w:rPr>
                <w:noProof/>
              </w:rPr>
              <w:t>2.11</w:t>
            </w:r>
          </w:p>
        </w:tc>
        <w:tc>
          <w:tcPr>
            <w:tcW w:w="1142" w:type="dxa"/>
            <w:shd w:val="clear" w:color="auto" w:fill="C6EFCE"/>
            <w:vAlign w:val="center"/>
            <w:hideMark/>
          </w:tcPr>
          <w:p w14:paraId="7A538DF2" w14:textId="77777777" w:rsidR="008273B8" w:rsidRDefault="00B93063">
            <w:pPr>
              <w:pStyle w:val="P68B1DB1-Normal7"/>
              <w:spacing w:after="0" w:line="240" w:lineRule="auto"/>
              <w:rPr>
                <w:rFonts w:eastAsia="Times New Roman" w:cs="Calibri"/>
                <w:noProof/>
              </w:rPr>
            </w:pPr>
            <w:r>
              <w:rPr>
                <w:noProof/>
              </w:rPr>
              <w:t xml:space="preserve">C2.R.6 </w:t>
            </w:r>
          </w:p>
        </w:tc>
        <w:tc>
          <w:tcPr>
            <w:tcW w:w="982" w:type="dxa"/>
            <w:shd w:val="clear" w:color="auto" w:fill="C6EFCE"/>
            <w:vAlign w:val="center"/>
            <w:hideMark/>
          </w:tcPr>
          <w:p w14:paraId="7A538DF3" w14:textId="77777777" w:rsidR="008273B8" w:rsidRDefault="00B93063">
            <w:pPr>
              <w:pStyle w:val="P68B1DB1-Normal7"/>
              <w:spacing w:after="0" w:line="240" w:lineRule="auto"/>
              <w:rPr>
                <w:rFonts w:eastAsia="Times New Roman" w:cs="Calibri"/>
                <w:noProof/>
              </w:rPr>
            </w:pPr>
            <w:r>
              <w:rPr>
                <w:noProof/>
              </w:rPr>
              <w:t>Ciljna vrijednost</w:t>
            </w:r>
          </w:p>
        </w:tc>
        <w:tc>
          <w:tcPr>
            <w:tcW w:w="1471" w:type="dxa"/>
            <w:shd w:val="clear" w:color="auto" w:fill="C6EFCE"/>
            <w:vAlign w:val="center"/>
            <w:hideMark/>
          </w:tcPr>
          <w:p w14:paraId="7A538DF4" w14:textId="77777777" w:rsidR="008273B8" w:rsidRDefault="00B93063">
            <w:pPr>
              <w:pStyle w:val="P68B1DB1-Normal7"/>
              <w:spacing w:after="0" w:line="240" w:lineRule="auto"/>
              <w:rPr>
                <w:rFonts w:eastAsia="Times New Roman" w:cs="Calibri"/>
                <w:noProof/>
              </w:rPr>
            </w:pPr>
            <w:r>
              <w:rPr>
                <w:noProof/>
              </w:rPr>
              <w:t>Povećanje zajedničke mobilnosti u javnim službama</w:t>
            </w:r>
          </w:p>
        </w:tc>
        <w:tc>
          <w:tcPr>
            <w:tcW w:w="1843" w:type="dxa"/>
            <w:shd w:val="clear" w:color="auto" w:fill="C6EFCE"/>
            <w:vAlign w:val="center"/>
            <w:hideMark/>
          </w:tcPr>
          <w:p w14:paraId="7A538DF5" w14:textId="77777777" w:rsidR="008273B8" w:rsidRDefault="00B93063">
            <w:pPr>
              <w:pStyle w:val="P68B1DB1-Normal7"/>
              <w:spacing w:after="0" w:line="240" w:lineRule="auto"/>
              <w:rPr>
                <w:rFonts w:eastAsia="Times New Roman" w:cs="Calibri"/>
                <w:noProof/>
              </w:rPr>
            </w:pPr>
            <w:r>
              <w:rPr>
                <w:noProof/>
              </w:rPr>
              <w:t> </w:t>
            </w:r>
          </w:p>
        </w:tc>
        <w:tc>
          <w:tcPr>
            <w:tcW w:w="1753" w:type="dxa"/>
            <w:shd w:val="clear" w:color="auto" w:fill="C6EFCE"/>
            <w:vAlign w:val="center"/>
            <w:hideMark/>
          </w:tcPr>
          <w:p w14:paraId="7A538DF6" w14:textId="77777777" w:rsidR="008273B8" w:rsidRDefault="00B93063">
            <w:pPr>
              <w:pStyle w:val="P68B1DB1-Normal7"/>
              <w:spacing w:after="0" w:line="240" w:lineRule="auto"/>
              <w:jc w:val="center"/>
              <w:rPr>
                <w:rFonts w:eastAsia="Times New Roman" w:cs="Calibri"/>
                <w:noProof/>
              </w:rPr>
            </w:pPr>
            <w:r>
              <w:rPr>
                <w:noProof/>
              </w:rPr>
              <w:t>% (postotak)</w:t>
            </w:r>
          </w:p>
        </w:tc>
        <w:tc>
          <w:tcPr>
            <w:tcW w:w="857" w:type="dxa"/>
            <w:shd w:val="clear" w:color="auto" w:fill="C6EFCE"/>
            <w:vAlign w:val="center"/>
            <w:hideMark/>
          </w:tcPr>
          <w:p w14:paraId="7A538DF7" w14:textId="77777777" w:rsidR="008273B8" w:rsidRDefault="00B93063">
            <w:pPr>
              <w:pStyle w:val="P68B1DB1-Normal7"/>
              <w:spacing w:after="0" w:line="240" w:lineRule="auto"/>
              <w:jc w:val="center"/>
              <w:rPr>
                <w:rFonts w:eastAsia="Times New Roman" w:cs="Calibri"/>
                <w:noProof/>
              </w:rPr>
            </w:pPr>
            <w:r>
              <w:rPr>
                <w:noProof/>
              </w:rPr>
              <w:t>0</w:t>
            </w:r>
          </w:p>
        </w:tc>
        <w:tc>
          <w:tcPr>
            <w:tcW w:w="923" w:type="dxa"/>
            <w:shd w:val="clear" w:color="auto" w:fill="C6EFCE"/>
            <w:vAlign w:val="center"/>
            <w:hideMark/>
          </w:tcPr>
          <w:p w14:paraId="7A538DF8" w14:textId="77777777" w:rsidR="008273B8" w:rsidRDefault="00B93063">
            <w:pPr>
              <w:pStyle w:val="P68B1DB1-Normal7"/>
              <w:spacing w:after="0" w:line="240" w:lineRule="auto"/>
              <w:jc w:val="center"/>
              <w:rPr>
                <w:rFonts w:eastAsia="Times New Roman" w:cs="Calibri"/>
                <w:noProof/>
              </w:rPr>
            </w:pPr>
            <w:r>
              <w:rPr>
                <w:noProof/>
              </w:rPr>
              <w:t>10</w:t>
            </w:r>
          </w:p>
        </w:tc>
        <w:tc>
          <w:tcPr>
            <w:tcW w:w="690" w:type="dxa"/>
            <w:shd w:val="clear" w:color="auto" w:fill="C6EFCE"/>
            <w:vAlign w:val="center"/>
            <w:hideMark/>
          </w:tcPr>
          <w:p w14:paraId="7A538DF9" w14:textId="77777777" w:rsidR="008273B8" w:rsidRDefault="00B93063">
            <w:pPr>
              <w:pStyle w:val="P68B1DB1-Normal7"/>
              <w:spacing w:after="0" w:line="240" w:lineRule="auto"/>
              <w:jc w:val="center"/>
              <w:rPr>
                <w:rFonts w:eastAsia="Times New Roman" w:cs="Calibri"/>
                <w:noProof/>
              </w:rPr>
            </w:pPr>
            <w:r>
              <w:rPr>
                <w:noProof/>
              </w:rPr>
              <w:t>Q2</w:t>
            </w:r>
          </w:p>
        </w:tc>
        <w:tc>
          <w:tcPr>
            <w:tcW w:w="673" w:type="dxa"/>
            <w:shd w:val="clear" w:color="auto" w:fill="C6EFCE"/>
            <w:vAlign w:val="center"/>
            <w:hideMark/>
          </w:tcPr>
          <w:p w14:paraId="7A538DFA" w14:textId="77777777" w:rsidR="008273B8" w:rsidRDefault="00B93063">
            <w:pPr>
              <w:pStyle w:val="P68B1DB1-Normal7"/>
              <w:spacing w:after="0" w:line="240" w:lineRule="auto"/>
              <w:jc w:val="center"/>
              <w:rPr>
                <w:rFonts w:eastAsia="Times New Roman" w:cs="Calibri"/>
                <w:noProof/>
              </w:rPr>
            </w:pPr>
            <w:r>
              <w:rPr>
                <w:noProof/>
              </w:rPr>
              <w:t>2025</w:t>
            </w:r>
          </w:p>
        </w:tc>
        <w:tc>
          <w:tcPr>
            <w:tcW w:w="4170" w:type="dxa"/>
            <w:shd w:val="clear" w:color="auto" w:fill="C6EFCE"/>
            <w:vAlign w:val="center"/>
            <w:hideMark/>
          </w:tcPr>
          <w:p w14:paraId="7A538DFB" w14:textId="77777777" w:rsidR="008273B8" w:rsidRDefault="00B93063">
            <w:pPr>
              <w:pStyle w:val="P68B1DB1-Normal7"/>
              <w:spacing w:after="0" w:line="240" w:lineRule="auto"/>
              <w:rPr>
                <w:rFonts w:eastAsia="Times New Roman" w:cs="Calibri"/>
                <w:noProof/>
              </w:rPr>
            </w:pPr>
            <w:r>
              <w:rPr>
                <w:noProof/>
              </w:rPr>
              <w:t xml:space="preserve">Tim se ciljem mjeri poboljšanje zajedničke mobilnosti (koordinirana putovanja između najmanje dvaju ministarstava) u javnoj službi od polazne vrijednosti utvrđene u neovisnoj studiji o poboljšanom upravljanju mobilnošću u malteškoj javnoj službi. </w:t>
            </w:r>
          </w:p>
        </w:tc>
      </w:tr>
      <w:tr w:rsidR="008273B8" w14:paraId="7A538E31" w14:textId="77777777">
        <w:trPr>
          <w:cantSplit/>
          <w:trHeight w:val="300"/>
          <w:jc w:val="center"/>
        </w:trPr>
        <w:tc>
          <w:tcPr>
            <w:tcW w:w="1089" w:type="dxa"/>
            <w:shd w:val="clear" w:color="auto" w:fill="C6EFCE"/>
            <w:vAlign w:val="center"/>
            <w:hideMark/>
          </w:tcPr>
          <w:p w14:paraId="7A538E25" w14:textId="77777777" w:rsidR="008273B8" w:rsidRDefault="00B93063">
            <w:pPr>
              <w:pStyle w:val="P68B1DB1-Normal7"/>
              <w:spacing w:after="0" w:line="240" w:lineRule="auto"/>
              <w:jc w:val="center"/>
              <w:rPr>
                <w:rFonts w:eastAsia="Times New Roman" w:cs="Calibri"/>
                <w:noProof/>
              </w:rPr>
            </w:pPr>
            <w:r>
              <w:rPr>
                <w:noProof/>
              </w:rPr>
              <w:t>2.15</w:t>
            </w:r>
          </w:p>
        </w:tc>
        <w:tc>
          <w:tcPr>
            <w:tcW w:w="1142" w:type="dxa"/>
            <w:shd w:val="clear" w:color="auto" w:fill="C6EFCE"/>
            <w:vAlign w:val="center"/>
            <w:hideMark/>
          </w:tcPr>
          <w:p w14:paraId="7A538E26" w14:textId="77777777" w:rsidR="008273B8" w:rsidRDefault="00B93063">
            <w:pPr>
              <w:pStyle w:val="P68B1DB1-Normal7"/>
              <w:spacing w:after="0" w:line="240" w:lineRule="auto"/>
              <w:rPr>
                <w:rFonts w:eastAsia="Times New Roman" w:cs="Calibri"/>
                <w:noProof/>
              </w:rPr>
            </w:pPr>
            <w:r>
              <w:rPr>
                <w:noProof/>
              </w:rPr>
              <w:t xml:space="preserve">C2.I.2. </w:t>
            </w:r>
          </w:p>
        </w:tc>
        <w:tc>
          <w:tcPr>
            <w:tcW w:w="982" w:type="dxa"/>
            <w:shd w:val="clear" w:color="auto" w:fill="C6EFCE"/>
            <w:vAlign w:val="center"/>
            <w:hideMark/>
          </w:tcPr>
          <w:p w14:paraId="7A538E27" w14:textId="77777777" w:rsidR="008273B8" w:rsidRDefault="00B93063">
            <w:pPr>
              <w:pStyle w:val="P68B1DB1-Normal7"/>
              <w:spacing w:after="0" w:line="240" w:lineRule="auto"/>
              <w:rPr>
                <w:rFonts w:eastAsia="Times New Roman" w:cs="Calibri"/>
                <w:noProof/>
              </w:rPr>
            </w:pPr>
            <w:r>
              <w:rPr>
                <w:noProof/>
              </w:rPr>
              <w:t>Ključna etapa</w:t>
            </w:r>
          </w:p>
        </w:tc>
        <w:tc>
          <w:tcPr>
            <w:tcW w:w="1471" w:type="dxa"/>
            <w:shd w:val="clear" w:color="auto" w:fill="C6EFCE"/>
            <w:vAlign w:val="center"/>
            <w:hideMark/>
          </w:tcPr>
          <w:p w14:paraId="7A538E28" w14:textId="77777777" w:rsidR="008273B8" w:rsidRDefault="00B93063">
            <w:pPr>
              <w:pStyle w:val="P68B1DB1-Normal7"/>
              <w:spacing w:after="0" w:line="240" w:lineRule="auto"/>
              <w:rPr>
                <w:rFonts w:eastAsia="Times New Roman" w:cs="Calibri"/>
                <w:noProof/>
              </w:rPr>
            </w:pPr>
            <w:r>
              <w:rPr>
                <w:noProof/>
              </w:rPr>
              <w:t>Otvoreni poziv na podnošenje prijava za električna vozila i bicikle u privatnom sektoru, uključujući program odlaganja</w:t>
            </w:r>
          </w:p>
        </w:tc>
        <w:tc>
          <w:tcPr>
            <w:tcW w:w="1843" w:type="dxa"/>
            <w:shd w:val="clear" w:color="auto" w:fill="C6EFCE"/>
            <w:vAlign w:val="center"/>
            <w:hideMark/>
          </w:tcPr>
          <w:p w14:paraId="7A538E29" w14:textId="77777777" w:rsidR="008273B8" w:rsidRDefault="00B93063">
            <w:pPr>
              <w:pStyle w:val="P68B1DB1-Normal7"/>
              <w:spacing w:after="0" w:line="240" w:lineRule="auto"/>
              <w:rPr>
                <w:rFonts w:eastAsia="Times New Roman" w:cs="Calibri"/>
                <w:noProof/>
              </w:rPr>
            </w:pPr>
            <w:r>
              <w:rPr>
                <w:noProof/>
              </w:rPr>
              <w:t>Objava otvorenog poziva na podnošenje prijava za električna vozila i bicikle u privatnom sektoru, uključujući program odlaganja</w:t>
            </w:r>
          </w:p>
        </w:tc>
        <w:tc>
          <w:tcPr>
            <w:tcW w:w="1753" w:type="dxa"/>
            <w:shd w:val="clear" w:color="auto" w:fill="C6EFCE"/>
            <w:vAlign w:val="center"/>
            <w:hideMark/>
          </w:tcPr>
          <w:p w14:paraId="7A538E2A"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8E2B" w14:textId="77777777" w:rsidR="008273B8" w:rsidRDefault="008273B8">
            <w:pPr>
              <w:spacing w:after="0" w:line="240" w:lineRule="auto"/>
              <w:jc w:val="center"/>
              <w:rPr>
                <w:rFonts w:ascii="Calibri" w:eastAsia="Times New Roman" w:hAnsi="Calibri" w:cs="Calibri"/>
                <w:noProof/>
                <w:sz w:val="18"/>
              </w:rPr>
            </w:pPr>
          </w:p>
        </w:tc>
        <w:tc>
          <w:tcPr>
            <w:tcW w:w="923" w:type="dxa"/>
            <w:shd w:val="clear" w:color="auto" w:fill="C6EFCE"/>
            <w:vAlign w:val="center"/>
            <w:hideMark/>
          </w:tcPr>
          <w:p w14:paraId="7A538E2C" w14:textId="77777777" w:rsidR="008273B8" w:rsidRDefault="008273B8">
            <w:pPr>
              <w:spacing w:after="0" w:line="240" w:lineRule="auto"/>
              <w:jc w:val="center"/>
              <w:rPr>
                <w:rFonts w:ascii="Calibri" w:eastAsia="Times New Roman" w:hAnsi="Calibri" w:cs="Calibri"/>
                <w:noProof/>
                <w:sz w:val="18"/>
              </w:rPr>
            </w:pPr>
          </w:p>
        </w:tc>
        <w:tc>
          <w:tcPr>
            <w:tcW w:w="690" w:type="dxa"/>
            <w:shd w:val="clear" w:color="auto" w:fill="C6EFCE"/>
            <w:vAlign w:val="center"/>
            <w:hideMark/>
          </w:tcPr>
          <w:p w14:paraId="7A538E2D" w14:textId="77777777" w:rsidR="008273B8" w:rsidRDefault="00B93063">
            <w:pPr>
              <w:pStyle w:val="P68B1DB1-Normal7"/>
              <w:spacing w:after="0" w:line="240" w:lineRule="auto"/>
              <w:jc w:val="center"/>
              <w:rPr>
                <w:rFonts w:eastAsia="Times New Roman" w:cs="Calibri"/>
                <w:noProof/>
              </w:rPr>
            </w:pPr>
            <w:r>
              <w:rPr>
                <w:noProof/>
              </w:rPr>
              <w:t>PRVO TROMJESEČJE</w:t>
            </w:r>
          </w:p>
        </w:tc>
        <w:tc>
          <w:tcPr>
            <w:tcW w:w="673" w:type="dxa"/>
            <w:shd w:val="clear" w:color="auto" w:fill="C6EFCE"/>
            <w:vAlign w:val="center"/>
            <w:hideMark/>
          </w:tcPr>
          <w:p w14:paraId="7A538E2E" w14:textId="77777777" w:rsidR="008273B8" w:rsidRDefault="00B93063">
            <w:pPr>
              <w:pStyle w:val="P68B1DB1-Normal7"/>
              <w:spacing w:after="0" w:line="240" w:lineRule="auto"/>
              <w:jc w:val="center"/>
              <w:rPr>
                <w:rFonts w:eastAsia="Times New Roman" w:cs="Calibri"/>
                <w:noProof/>
              </w:rPr>
            </w:pPr>
            <w:r>
              <w:rPr>
                <w:noProof/>
              </w:rPr>
              <w:t>2022</w:t>
            </w:r>
          </w:p>
        </w:tc>
        <w:tc>
          <w:tcPr>
            <w:tcW w:w="4170" w:type="dxa"/>
            <w:shd w:val="clear" w:color="auto" w:fill="C6EFCE"/>
            <w:vAlign w:val="center"/>
            <w:hideMark/>
          </w:tcPr>
          <w:p w14:paraId="7A538E2F" w14:textId="77777777" w:rsidR="008273B8" w:rsidRDefault="00B93063">
            <w:pPr>
              <w:pStyle w:val="P68B1DB1-Normal7"/>
              <w:spacing w:after="0" w:line="240" w:lineRule="auto"/>
              <w:rPr>
                <w:rFonts w:eastAsia="Times New Roman" w:cs="Calibri"/>
                <w:noProof/>
              </w:rPr>
            </w:pPr>
            <w:r>
              <w:rPr>
                <w:noProof/>
              </w:rPr>
              <w:t xml:space="preserve">Objava otvorenog poziva na podnošenje prijava za potporu za kupnju novih električnih vozila i bicikala u privatnom sektoru, uključujući programe odlaganja za kućanstva i komercijalna poduzeća. Pozivi uključuju potporu za kupnju novih putničkih vozila, usluga skrbi za putnike, vozila za prijevoz robe, minibusa/autobusa, četverocikala/motocikala i pedelea. </w:t>
            </w:r>
          </w:p>
          <w:p w14:paraId="7A538E30" w14:textId="77777777" w:rsidR="008273B8" w:rsidRDefault="008273B8">
            <w:pPr>
              <w:spacing w:after="0" w:line="240" w:lineRule="auto"/>
              <w:rPr>
                <w:rFonts w:ascii="Calibri" w:eastAsia="Times New Roman" w:hAnsi="Calibri" w:cs="Calibri"/>
                <w:noProof/>
                <w:sz w:val="18"/>
              </w:rPr>
            </w:pPr>
          </w:p>
        </w:tc>
      </w:tr>
      <w:tr w:rsidR="008273B8" w14:paraId="7A538E3E" w14:textId="77777777">
        <w:trPr>
          <w:cantSplit/>
          <w:trHeight w:val="300"/>
          <w:jc w:val="center"/>
        </w:trPr>
        <w:tc>
          <w:tcPr>
            <w:tcW w:w="1089" w:type="dxa"/>
            <w:shd w:val="clear" w:color="auto" w:fill="C6EFCE"/>
            <w:vAlign w:val="center"/>
            <w:hideMark/>
          </w:tcPr>
          <w:p w14:paraId="7A538E32" w14:textId="77777777" w:rsidR="008273B8" w:rsidRDefault="00B93063">
            <w:pPr>
              <w:pStyle w:val="P68B1DB1-Normal7"/>
              <w:spacing w:after="0" w:line="240" w:lineRule="auto"/>
              <w:jc w:val="center"/>
              <w:rPr>
                <w:rFonts w:eastAsia="Times New Roman" w:cs="Calibri"/>
                <w:noProof/>
              </w:rPr>
            </w:pPr>
            <w:r>
              <w:rPr>
                <w:noProof/>
              </w:rPr>
              <w:t>2.16</w:t>
            </w:r>
          </w:p>
        </w:tc>
        <w:tc>
          <w:tcPr>
            <w:tcW w:w="1142" w:type="dxa"/>
            <w:shd w:val="clear" w:color="auto" w:fill="C6EFCE"/>
            <w:vAlign w:val="center"/>
            <w:hideMark/>
          </w:tcPr>
          <w:p w14:paraId="7A538E33" w14:textId="77777777" w:rsidR="008273B8" w:rsidRDefault="00B93063">
            <w:pPr>
              <w:pStyle w:val="P68B1DB1-Normal7"/>
              <w:spacing w:after="0" w:line="240" w:lineRule="auto"/>
              <w:rPr>
                <w:rFonts w:eastAsia="Times New Roman" w:cs="Calibri"/>
                <w:noProof/>
              </w:rPr>
            </w:pPr>
            <w:r>
              <w:rPr>
                <w:noProof/>
              </w:rPr>
              <w:t xml:space="preserve">C2.I.2. </w:t>
            </w:r>
          </w:p>
        </w:tc>
        <w:tc>
          <w:tcPr>
            <w:tcW w:w="982" w:type="dxa"/>
            <w:shd w:val="clear" w:color="auto" w:fill="C6EFCE"/>
            <w:vAlign w:val="center"/>
            <w:hideMark/>
          </w:tcPr>
          <w:p w14:paraId="7A538E34" w14:textId="77777777" w:rsidR="008273B8" w:rsidRDefault="00B93063">
            <w:pPr>
              <w:pStyle w:val="P68B1DB1-Normal7"/>
              <w:spacing w:after="0" w:line="240" w:lineRule="auto"/>
              <w:rPr>
                <w:rFonts w:eastAsia="Times New Roman" w:cs="Calibri"/>
                <w:noProof/>
              </w:rPr>
            </w:pPr>
            <w:r>
              <w:rPr>
                <w:noProof/>
              </w:rPr>
              <w:t>Ciljna vrijednost</w:t>
            </w:r>
          </w:p>
        </w:tc>
        <w:tc>
          <w:tcPr>
            <w:tcW w:w="1471" w:type="dxa"/>
            <w:shd w:val="clear" w:color="auto" w:fill="C6EFCE"/>
            <w:vAlign w:val="center"/>
            <w:hideMark/>
          </w:tcPr>
          <w:p w14:paraId="7A538E35" w14:textId="77777777" w:rsidR="008273B8" w:rsidRDefault="00B93063">
            <w:pPr>
              <w:pStyle w:val="P68B1DB1-Normal7"/>
              <w:spacing w:after="0" w:line="240" w:lineRule="auto"/>
              <w:rPr>
                <w:rFonts w:eastAsia="Times New Roman" w:cs="Calibri"/>
                <w:noProof/>
              </w:rPr>
            </w:pPr>
            <w:r>
              <w:rPr>
                <w:noProof/>
              </w:rPr>
              <w:t xml:space="preserve">Broj bespovratnih sredstava dodijeljenih za električna vozila u okviru programa za privatni sektor </w:t>
            </w:r>
          </w:p>
        </w:tc>
        <w:tc>
          <w:tcPr>
            <w:tcW w:w="1843" w:type="dxa"/>
            <w:shd w:val="clear" w:color="auto" w:fill="C6EFCE"/>
            <w:vAlign w:val="center"/>
            <w:hideMark/>
          </w:tcPr>
          <w:p w14:paraId="7A538E36" w14:textId="77777777" w:rsidR="008273B8" w:rsidRDefault="00B93063">
            <w:pPr>
              <w:pStyle w:val="P68B1DB1-Normal7"/>
              <w:spacing w:after="0" w:line="240" w:lineRule="auto"/>
              <w:rPr>
                <w:rFonts w:eastAsia="Times New Roman" w:cs="Calibri"/>
                <w:noProof/>
              </w:rPr>
            </w:pPr>
            <w:r>
              <w:rPr>
                <w:noProof/>
              </w:rPr>
              <w:t> </w:t>
            </w:r>
          </w:p>
        </w:tc>
        <w:tc>
          <w:tcPr>
            <w:tcW w:w="1753" w:type="dxa"/>
            <w:shd w:val="clear" w:color="auto" w:fill="C6EFCE"/>
            <w:vAlign w:val="center"/>
            <w:hideMark/>
          </w:tcPr>
          <w:p w14:paraId="7A538E37" w14:textId="77777777" w:rsidR="008273B8" w:rsidRDefault="00B93063">
            <w:pPr>
              <w:pStyle w:val="P68B1DB1-Normal7"/>
              <w:spacing w:after="0" w:line="240" w:lineRule="auto"/>
              <w:jc w:val="center"/>
              <w:rPr>
                <w:rFonts w:eastAsia="Times New Roman" w:cs="Calibri"/>
                <w:noProof/>
              </w:rPr>
            </w:pPr>
            <w:r>
              <w:rPr>
                <w:noProof/>
              </w:rPr>
              <w:t>Broj</w:t>
            </w:r>
          </w:p>
        </w:tc>
        <w:tc>
          <w:tcPr>
            <w:tcW w:w="857" w:type="dxa"/>
            <w:shd w:val="clear" w:color="auto" w:fill="C6EFCE"/>
            <w:vAlign w:val="center"/>
            <w:hideMark/>
          </w:tcPr>
          <w:p w14:paraId="7A538E38" w14:textId="77777777" w:rsidR="008273B8" w:rsidRDefault="00B93063">
            <w:pPr>
              <w:pStyle w:val="P68B1DB1-Normal7"/>
              <w:spacing w:after="0" w:line="240" w:lineRule="auto"/>
              <w:jc w:val="center"/>
              <w:rPr>
                <w:rFonts w:eastAsia="Times New Roman" w:cs="Calibri"/>
                <w:noProof/>
              </w:rPr>
            </w:pPr>
            <w:r>
              <w:rPr>
                <w:noProof/>
              </w:rPr>
              <w:t>0</w:t>
            </w:r>
          </w:p>
        </w:tc>
        <w:tc>
          <w:tcPr>
            <w:tcW w:w="923" w:type="dxa"/>
            <w:shd w:val="clear" w:color="auto" w:fill="C6EFCE"/>
            <w:vAlign w:val="center"/>
            <w:hideMark/>
          </w:tcPr>
          <w:p w14:paraId="7A538E39" w14:textId="77777777" w:rsidR="008273B8" w:rsidRDefault="00B93063">
            <w:pPr>
              <w:pStyle w:val="P68B1DB1-Normal7"/>
              <w:spacing w:after="0" w:line="240" w:lineRule="auto"/>
              <w:jc w:val="center"/>
              <w:rPr>
                <w:rFonts w:eastAsia="Times New Roman" w:cs="Calibri"/>
                <w:noProof/>
              </w:rPr>
            </w:pPr>
            <w:r>
              <w:rPr>
                <w:noProof/>
              </w:rPr>
              <w:t>1 000</w:t>
            </w:r>
          </w:p>
        </w:tc>
        <w:tc>
          <w:tcPr>
            <w:tcW w:w="690" w:type="dxa"/>
            <w:shd w:val="clear" w:color="auto" w:fill="C6EFCE"/>
            <w:vAlign w:val="center"/>
            <w:hideMark/>
          </w:tcPr>
          <w:p w14:paraId="7A538E3A" w14:textId="77777777" w:rsidR="008273B8" w:rsidRDefault="00B93063">
            <w:pPr>
              <w:pStyle w:val="P68B1DB1-Normal7"/>
              <w:spacing w:after="0" w:line="240" w:lineRule="auto"/>
              <w:jc w:val="center"/>
              <w:rPr>
                <w:rFonts w:eastAsia="Times New Roman" w:cs="Calibri"/>
                <w:noProof/>
              </w:rPr>
            </w:pPr>
            <w:r>
              <w:rPr>
                <w:noProof/>
              </w:rPr>
              <w:t>Q2</w:t>
            </w:r>
          </w:p>
        </w:tc>
        <w:tc>
          <w:tcPr>
            <w:tcW w:w="673" w:type="dxa"/>
            <w:shd w:val="clear" w:color="auto" w:fill="C6EFCE"/>
            <w:vAlign w:val="center"/>
            <w:hideMark/>
          </w:tcPr>
          <w:p w14:paraId="7A538E3B" w14:textId="77777777" w:rsidR="008273B8" w:rsidRDefault="00B93063">
            <w:pPr>
              <w:pStyle w:val="P68B1DB1-Normal7"/>
              <w:spacing w:after="0" w:line="240" w:lineRule="auto"/>
              <w:jc w:val="center"/>
              <w:rPr>
                <w:rFonts w:eastAsia="Times New Roman" w:cs="Calibri"/>
                <w:noProof/>
              </w:rPr>
            </w:pPr>
            <w:r>
              <w:rPr>
                <w:noProof/>
              </w:rPr>
              <w:t>2023</w:t>
            </w:r>
          </w:p>
        </w:tc>
        <w:tc>
          <w:tcPr>
            <w:tcW w:w="4170" w:type="dxa"/>
            <w:shd w:val="clear" w:color="auto" w:fill="C6EFCE"/>
            <w:vAlign w:val="center"/>
            <w:hideMark/>
          </w:tcPr>
          <w:p w14:paraId="7A538E3C" w14:textId="77777777" w:rsidR="008273B8" w:rsidRDefault="00B93063">
            <w:pPr>
              <w:pStyle w:val="P68B1DB1-Normal7"/>
              <w:spacing w:after="0" w:line="240" w:lineRule="auto"/>
              <w:rPr>
                <w:rFonts w:eastAsia="Times New Roman" w:cs="Calibri"/>
                <w:noProof/>
              </w:rPr>
            </w:pPr>
            <w:r>
              <w:rPr>
                <w:noProof/>
              </w:rPr>
              <w:t xml:space="preserve">Ciljna vrijednost mjeri broj bespovratnih sredstava dodijeljenih u okviru programa za električna vozila u privatnom sektoru. </w:t>
            </w:r>
          </w:p>
          <w:p w14:paraId="7A538E3D" w14:textId="77777777" w:rsidR="008273B8" w:rsidRDefault="008273B8">
            <w:pPr>
              <w:spacing w:after="0" w:line="240" w:lineRule="auto"/>
              <w:rPr>
                <w:rFonts w:ascii="Calibri" w:eastAsia="Times New Roman" w:hAnsi="Calibri" w:cs="Calibri"/>
                <w:noProof/>
                <w:sz w:val="18"/>
              </w:rPr>
            </w:pPr>
          </w:p>
        </w:tc>
      </w:tr>
      <w:tr w:rsidR="008273B8" w14:paraId="7A538E4B" w14:textId="77777777">
        <w:trPr>
          <w:cantSplit/>
          <w:trHeight w:val="300"/>
          <w:jc w:val="center"/>
        </w:trPr>
        <w:tc>
          <w:tcPr>
            <w:tcW w:w="1089" w:type="dxa"/>
            <w:shd w:val="clear" w:color="auto" w:fill="C6EFCE"/>
            <w:vAlign w:val="center"/>
          </w:tcPr>
          <w:p w14:paraId="7A538E3F" w14:textId="1F962AE7" w:rsidR="008273B8" w:rsidRDefault="00B93063">
            <w:pPr>
              <w:pStyle w:val="P68B1DB1-Normal7"/>
              <w:spacing w:after="0" w:line="240" w:lineRule="auto"/>
              <w:jc w:val="center"/>
              <w:rPr>
                <w:rFonts w:eastAsia="Times New Roman" w:cs="Calibri"/>
                <w:noProof/>
              </w:rPr>
            </w:pPr>
            <w:r>
              <w:rPr>
                <w:noProof/>
              </w:rPr>
              <w:t>2.16.a</w:t>
            </w:r>
          </w:p>
        </w:tc>
        <w:tc>
          <w:tcPr>
            <w:tcW w:w="1142" w:type="dxa"/>
            <w:shd w:val="clear" w:color="auto" w:fill="C6EFCE"/>
            <w:vAlign w:val="center"/>
          </w:tcPr>
          <w:p w14:paraId="7A538E40" w14:textId="77777777" w:rsidR="008273B8" w:rsidRDefault="00B93063">
            <w:pPr>
              <w:pStyle w:val="P68B1DB1-Normal7"/>
              <w:spacing w:after="0" w:line="240" w:lineRule="auto"/>
              <w:rPr>
                <w:rFonts w:eastAsia="Times New Roman" w:cs="Calibri"/>
                <w:noProof/>
              </w:rPr>
            </w:pPr>
            <w:r>
              <w:rPr>
                <w:noProof/>
              </w:rPr>
              <w:t>C2.I.2.</w:t>
            </w:r>
          </w:p>
        </w:tc>
        <w:tc>
          <w:tcPr>
            <w:tcW w:w="982" w:type="dxa"/>
            <w:shd w:val="clear" w:color="auto" w:fill="C6EFCE"/>
            <w:vAlign w:val="center"/>
          </w:tcPr>
          <w:p w14:paraId="7A538E41" w14:textId="77777777" w:rsidR="008273B8" w:rsidRDefault="00B93063">
            <w:pPr>
              <w:pStyle w:val="P68B1DB1-Normal7"/>
              <w:spacing w:after="0" w:line="240" w:lineRule="auto"/>
              <w:rPr>
                <w:rFonts w:eastAsia="Times New Roman" w:cs="Calibri"/>
                <w:noProof/>
              </w:rPr>
            </w:pPr>
            <w:r>
              <w:rPr>
                <w:noProof/>
              </w:rPr>
              <w:t>Ciljna vrijednost</w:t>
            </w:r>
          </w:p>
        </w:tc>
        <w:tc>
          <w:tcPr>
            <w:tcW w:w="1471" w:type="dxa"/>
            <w:shd w:val="clear" w:color="auto" w:fill="C6EFCE"/>
            <w:vAlign w:val="center"/>
          </w:tcPr>
          <w:p w14:paraId="7A538E42" w14:textId="77777777" w:rsidR="008273B8" w:rsidRDefault="00B93063">
            <w:pPr>
              <w:pStyle w:val="P68B1DB1-Normal7"/>
              <w:spacing w:after="0" w:line="240" w:lineRule="auto"/>
              <w:rPr>
                <w:rFonts w:eastAsia="Times New Roman" w:cs="Calibri"/>
                <w:noProof/>
              </w:rPr>
            </w:pPr>
            <w:r>
              <w:rPr>
                <w:noProof/>
              </w:rPr>
              <w:t>Broj bespovratnih sredstava dodijeljenih za električna vozila u okviru programa za privatni sektor</w:t>
            </w:r>
          </w:p>
        </w:tc>
        <w:tc>
          <w:tcPr>
            <w:tcW w:w="1843" w:type="dxa"/>
            <w:shd w:val="clear" w:color="auto" w:fill="C6EFCE"/>
            <w:vAlign w:val="center"/>
          </w:tcPr>
          <w:p w14:paraId="7A538E43" w14:textId="77777777" w:rsidR="008273B8" w:rsidRDefault="008273B8">
            <w:pPr>
              <w:spacing w:after="0" w:line="240" w:lineRule="auto"/>
              <w:rPr>
                <w:rFonts w:ascii="Calibri" w:eastAsia="Times New Roman" w:hAnsi="Calibri" w:cs="Calibri"/>
                <w:noProof/>
                <w:sz w:val="18"/>
              </w:rPr>
            </w:pPr>
          </w:p>
        </w:tc>
        <w:tc>
          <w:tcPr>
            <w:tcW w:w="1753" w:type="dxa"/>
            <w:shd w:val="clear" w:color="auto" w:fill="C6EFCE"/>
            <w:vAlign w:val="center"/>
          </w:tcPr>
          <w:p w14:paraId="7A538E44" w14:textId="77777777" w:rsidR="008273B8" w:rsidRDefault="00B93063">
            <w:pPr>
              <w:pStyle w:val="P68B1DB1-Normal7"/>
              <w:spacing w:after="0" w:line="240" w:lineRule="auto"/>
              <w:jc w:val="center"/>
              <w:rPr>
                <w:rFonts w:eastAsia="Times New Roman" w:cs="Calibri"/>
                <w:noProof/>
              </w:rPr>
            </w:pPr>
            <w:r>
              <w:rPr>
                <w:noProof/>
              </w:rPr>
              <w:t>Broj</w:t>
            </w:r>
          </w:p>
        </w:tc>
        <w:tc>
          <w:tcPr>
            <w:tcW w:w="857" w:type="dxa"/>
            <w:shd w:val="clear" w:color="auto" w:fill="C6EFCE"/>
            <w:vAlign w:val="center"/>
          </w:tcPr>
          <w:p w14:paraId="7A538E45" w14:textId="77777777" w:rsidR="008273B8" w:rsidRDefault="00B93063">
            <w:pPr>
              <w:pStyle w:val="P68B1DB1-Normal7"/>
              <w:spacing w:after="0" w:line="240" w:lineRule="auto"/>
              <w:jc w:val="center"/>
              <w:rPr>
                <w:rFonts w:eastAsia="Times New Roman" w:cs="Calibri"/>
                <w:noProof/>
              </w:rPr>
            </w:pPr>
            <w:r>
              <w:rPr>
                <w:noProof/>
              </w:rPr>
              <w:t>1 000</w:t>
            </w:r>
          </w:p>
        </w:tc>
        <w:tc>
          <w:tcPr>
            <w:tcW w:w="923" w:type="dxa"/>
            <w:shd w:val="clear" w:color="auto" w:fill="C6EFCE"/>
            <w:vAlign w:val="center"/>
          </w:tcPr>
          <w:p w14:paraId="7A538E46" w14:textId="77777777" w:rsidR="008273B8" w:rsidRDefault="00B93063">
            <w:pPr>
              <w:pStyle w:val="P68B1DB1-Normal7"/>
              <w:spacing w:after="0" w:line="240" w:lineRule="auto"/>
              <w:jc w:val="center"/>
              <w:rPr>
                <w:rFonts w:eastAsia="Times New Roman" w:cs="Calibri"/>
                <w:noProof/>
              </w:rPr>
            </w:pPr>
            <w:r>
              <w:rPr>
                <w:noProof/>
              </w:rPr>
              <w:t>4 000</w:t>
            </w:r>
          </w:p>
        </w:tc>
        <w:tc>
          <w:tcPr>
            <w:tcW w:w="690" w:type="dxa"/>
            <w:shd w:val="clear" w:color="auto" w:fill="C6EFCE"/>
            <w:vAlign w:val="center"/>
          </w:tcPr>
          <w:p w14:paraId="7A538E47"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73" w:type="dxa"/>
            <w:shd w:val="clear" w:color="auto" w:fill="C6EFCE"/>
            <w:vAlign w:val="center"/>
          </w:tcPr>
          <w:p w14:paraId="7A538E48" w14:textId="77777777" w:rsidR="008273B8" w:rsidRDefault="00B93063">
            <w:pPr>
              <w:pStyle w:val="P68B1DB1-Normal7"/>
              <w:spacing w:after="0" w:line="240" w:lineRule="auto"/>
              <w:jc w:val="center"/>
              <w:rPr>
                <w:rFonts w:eastAsia="Times New Roman" w:cs="Calibri"/>
                <w:noProof/>
              </w:rPr>
            </w:pPr>
            <w:r>
              <w:rPr>
                <w:noProof/>
              </w:rPr>
              <w:t>2024</w:t>
            </w:r>
          </w:p>
        </w:tc>
        <w:tc>
          <w:tcPr>
            <w:tcW w:w="4170" w:type="dxa"/>
            <w:shd w:val="clear" w:color="auto" w:fill="C6EFCE"/>
            <w:vAlign w:val="center"/>
          </w:tcPr>
          <w:p w14:paraId="7A538E49" w14:textId="77777777" w:rsidR="008273B8" w:rsidRDefault="00B93063">
            <w:pPr>
              <w:pStyle w:val="P68B1DB1-Normal7"/>
              <w:spacing w:after="0" w:line="240" w:lineRule="auto"/>
              <w:rPr>
                <w:rFonts w:eastAsia="Times New Roman" w:cs="Calibri"/>
                <w:noProof/>
              </w:rPr>
            </w:pPr>
            <w:r>
              <w:rPr>
                <w:noProof/>
              </w:rPr>
              <w:t xml:space="preserve">Ciljna vrijednost mjeri broj bespovratnih sredstava dodijeljenih u okviru programa za električna vozila u privatnom sektoru. </w:t>
            </w:r>
          </w:p>
          <w:p w14:paraId="7A538E4A" w14:textId="77777777" w:rsidR="008273B8" w:rsidRDefault="008273B8">
            <w:pPr>
              <w:spacing w:after="0" w:line="240" w:lineRule="auto"/>
              <w:rPr>
                <w:rFonts w:ascii="Calibri" w:eastAsia="Times New Roman" w:hAnsi="Calibri" w:cs="Calibri"/>
                <w:noProof/>
                <w:sz w:val="18"/>
              </w:rPr>
            </w:pPr>
          </w:p>
        </w:tc>
      </w:tr>
      <w:tr w:rsidR="008273B8" w14:paraId="7A538E57" w14:textId="77777777">
        <w:trPr>
          <w:cantSplit/>
          <w:trHeight w:val="300"/>
          <w:jc w:val="center"/>
        </w:trPr>
        <w:tc>
          <w:tcPr>
            <w:tcW w:w="1089" w:type="dxa"/>
            <w:shd w:val="clear" w:color="auto" w:fill="C6EFCE"/>
            <w:vAlign w:val="center"/>
            <w:hideMark/>
          </w:tcPr>
          <w:p w14:paraId="7A538E4C" w14:textId="5EF89EB5" w:rsidR="008273B8" w:rsidRDefault="00B93063">
            <w:pPr>
              <w:pStyle w:val="P68B1DB1-Normal7"/>
              <w:spacing w:after="0" w:line="240" w:lineRule="auto"/>
              <w:jc w:val="center"/>
              <w:rPr>
                <w:rFonts w:eastAsia="Times New Roman" w:cs="Calibri"/>
                <w:noProof/>
              </w:rPr>
            </w:pPr>
            <w:r>
              <w:rPr>
                <w:noProof/>
              </w:rPr>
              <w:t>2.17</w:t>
            </w:r>
          </w:p>
        </w:tc>
        <w:tc>
          <w:tcPr>
            <w:tcW w:w="1142" w:type="dxa"/>
            <w:shd w:val="clear" w:color="auto" w:fill="C6EFCE"/>
            <w:vAlign w:val="center"/>
            <w:hideMark/>
          </w:tcPr>
          <w:p w14:paraId="7A538E4D" w14:textId="77777777" w:rsidR="008273B8" w:rsidRDefault="00B93063">
            <w:pPr>
              <w:pStyle w:val="P68B1DB1-Normal7"/>
              <w:spacing w:after="0" w:line="240" w:lineRule="auto"/>
              <w:rPr>
                <w:rFonts w:eastAsia="Times New Roman" w:cs="Calibri"/>
                <w:noProof/>
              </w:rPr>
            </w:pPr>
            <w:r>
              <w:rPr>
                <w:noProof/>
              </w:rPr>
              <w:t xml:space="preserve">C2.I.2. </w:t>
            </w:r>
          </w:p>
        </w:tc>
        <w:tc>
          <w:tcPr>
            <w:tcW w:w="982" w:type="dxa"/>
            <w:shd w:val="clear" w:color="auto" w:fill="C6EFCE"/>
            <w:vAlign w:val="center"/>
            <w:hideMark/>
          </w:tcPr>
          <w:p w14:paraId="7A538E4E" w14:textId="77777777" w:rsidR="008273B8" w:rsidRDefault="00B93063">
            <w:pPr>
              <w:pStyle w:val="P68B1DB1-Normal7"/>
              <w:spacing w:after="0" w:line="240" w:lineRule="auto"/>
              <w:rPr>
                <w:rFonts w:eastAsia="Times New Roman" w:cs="Calibri"/>
                <w:noProof/>
              </w:rPr>
            </w:pPr>
            <w:r>
              <w:rPr>
                <w:noProof/>
              </w:rPr>
              <w:t>Ciljna vrijednost</w:t>
            </w:r>
          </w:p>
        </w:tc>
        <w:tc>
          <w:tcPr>
            <w:tcW w:w="1471" w:type="dxa"/>
            <w:shd w:val="clear" w:color="auto" w:fill="C6EFCE"/>
            <w:vAlign w:val="center"/>
            <w:hideMark/>
          </w:tcPr>
          <w:p w14:paraId="7A538E4F" w14:textId="77777777" w:rsidR="008273B8" w:rsidRDefault="00B93063">
            <w:pPr>
              <w:pStyle w:val="P68B1DB1-Normal7"/>
              <w:spacing w:after="0" w:line="240" w:lineRule="auto"/>
              <w:rPr>
                <w:rFonts w:eastAsia="Times New Roman" w:cs="Calibri"/>
                <w:noProof/>
              </w:rPr>
            </w:pPr>
            <w:r>
              <w:rPr>
                <w:noProof/>
              </w:rPr>
              <w:t xml:space="preserve">Broj bespovratnih sredstava dodijeljenih za električna vozila u okviru programa za privatni sektor </w:t>
            </w:r>
          </w:p>
        </w:tc>
        <w:tc>
          <w:tcPr>
            <w:tcW w:w="1843" w:type="dxa"/>
            <w:shd w:val="clear" w:color="auto" w:fill="C6EFCE"/>
            <w:vAlign w:val="center"/>
            <w:hideMark/>
          </w:tcPr>
          <w:p w14:paraId="7A538E50" w14:textId="77777777" w:rsidR="008273B8" w:rsidRDefault="00B93063">
            <w:pPr>
              <w:pStyle w:val="P68B1DB1-Normal7"/>
              <w:spacing w:after="0" w:line="240" w:lineRule="auto"/>
              <w:rPr>
                <w:rFonts w:eastAsia="Times New Roman" w:cs="Calibri"/>
                <w:noProof/>
              </w:rPr>
            </w:pPr>
            <w:r>
              <w:rPr>
                <w:noProof/>
              </w:rPr>
              <w:t> </w:t>
            </w:r>
          </w:p>
        </w:tc>
        <w:tc>
          <w:tcPr>
            <w:tcW w:w="1753" w:type="dxa"/>
            <w:shd w:val="clear" w:color="auto" w:fill="C6EFCE"/>
            <w:vAlign w:val="center"/>
            <w:hideMark/>
          </w:tcPr>
          <w:p w14:paraId="7A538E51" w14:textId="77777777" w:rsidR="008273B8" w:rsidRDefault="00B93063">
            <w:pPr>
              <w:pStyle w:val="P68B1DB1-Normal7"/>
              <w:spacing w:after="0" w:line="240" w:lineRule="auto"/>
              <w:jc w:val="center"/>
              <w:rPr>
                <w:rFonts w:eastAsia="Times New Roman" w:cs="Calibri"/>
                <w:noProof/>
              </w:rPr>
            </w:pPr>
            <w:r>
              <w:rPr>
                <w:noProof/>
              </w:rPr>
              <w:t>Broj</w:t>
            </w:r>
          </w:p>
        </w:tc>
        <w:tc>
          <w:tcPr>
            <w:tcW w:w="857" w:type="dxa"/>
            <w:shd w:val="clear" w:color="auto" w:fill="C6EFCE"/>
            <w:vAlign w:val="center"/>
            <w:hideMark/>
          </w:tcPr>
          <w:p w14:paraId="7A538E52" w14:textId="616551B6" w:rsidR="008273B8" w:rsidRDefault="00B93063">
            <w:pPr>
              <w:pStyle w:val="P68B1DB1-Normal7"/>
              <w:spacing w:after="0" w:line="240" w:lineRule="auto"/>
              <w:jc w:val="center"/>
              <w:rPr>
                <w:rFonts w:eastAsia="Times New Roman" w:cs="Calibri"/>
                <w:noProof/>
              </w:rPr>
            </w:pPr>
            <w:r>
              <w:rPr>
                <w:noProof/>
              </w:rPr>
              <w:t>4 000</w:t>
            </w:r>
          </w:p>
        </w:tc>
        <w:tc>
          <w:tcPr>
            <w:tcW w:w="923" w:type="dxa"/>
            <w:shd w:val="clear" w:color="auto" w:fill="C6EFCE"/>
            <w:vAlign w:val="center"/>
            <w:hideMark/>
          </w:tcPr>
          <w:p w14:paraId="7A538E53" w14:textId="77777777" w:rsidR="008273B8" w:rsidRDefault="00B93063">
            <w:pPr>
              <w:pStyle w:val="P68B1DB1-Normal7"/>
              <w:spacing w:after="0" w:line="240" w:lineRule="auto"/>
              <w:jc w:val="center"/>
              <w:rPr>
                <w:rFonts w:eastAsia="Times New Roman" w:cs="Calibri"/>
                <w:noProof/>
              </w:rPr>
            </w:pPr>
            <w:r>
              <w:rPr>
                <w:noProof/>
              </w:rPr>
              <w:t>5 600</w:t>
            </w:r>
          </w:p>
        </w:tc>
        <w:tc>
          <w:tcPr>
            <w:tcW w:w="690" w:type="dxa"/>
            <w:shd w:val="clear" w:color="auto" w:fill="C6EFCE"/>
            <w:vAlign w:val="center"/>
            <w:hideMark/>
          </w:tcPr>
          <w:p w14:paraId="7A538E54"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73" w:type="dxa"/>
            <w:shd w:val="clear" w:color="auto" w:fill="C6EFCE"/>
            <w:vAlign w:val="center"/>
            <w:hideMark/>
          </w:tcPr>
          <w:p w14:paraId="7A538E55" w14:textId="06FC901B" w:rsidR="008273B8" w:rsidRDefault="00B93063">
            <w:pPr>
              <w:pStyle w:val="P68B1DB1-Normal7"/>
              <w:spacing w:after="0" w:line="240" w:lineRule="auto"/>
              <w:jc w:val="center"/>
              <w:rPr>
                <w:rFonts w:eastAsia="Times New Roman" w:cs="Calibri"/>
                <w:noProof/>
              </w:rPr>
            </w:pPr>
            <w:r>
              <w:rPr>
                <w:noProof/>
              </w:rPr>
              <w:t>2025</w:t>
            </w:r>
          </w:p>
        </w:tc>
        <w:tc>
          <w:tcPr>
            <w:tcW w:w="4170" w:type="dxa"/>
            <w:shd w:val="clear" w:color="auto" w:fill="C6EFCE"/>
            <w:vAlign w:val="center"/>
            <w:hideMark/>
          </w:tcPr>
          <w:p w14:paraId="7A538E56" w14:textId="77777777" w:rsidR="008273B8" w:rsidRDefault="00B93063">
            <w:pPr>
              <w:spacing w:after="0" w:line="240" w:lineRule="auto"/>
              <w:rPr>
                <w:rFonts w:ascii="Calibri" w:eastAsia="Times New Roman" w:hAnsi="Calibri" w:cs="Calibri"/>
                <w:noProof/>
                <w:sz w:val="18"/>
              </w:rPr>
            </w:pPr>
            <w:r>
              <w:rPr>
                <w:rFonts w:ascii="Calibri" w:hAnsi="Calibri"/>
                <w:noProof/>
                <w:sz w:val="18"/>
              </w:rPr>
              <w:t xml:space="preserve">Ciljna vrijednost mjeri broj bespovratnih sredstava dodijeljenih u okviru programa za električna vozila u privatnom sektoru. To podrazumijeva dovršetak programa za električna vozila. </w:t>
            </w:r>
            <w:r>
              <w:rPr>
                <w:rFonts w:ascii="Times New Roman" w:hAnsi="Times New Roman"/>
                <w:noProof/>
                <w:sz w:val="24"/>
              </w:rPr>
              <w:br/>
            </w:r>
          </w:p>
        </w:tc>
      </w:tr>
      <w:tr w:rsidR="008273B8" w14:paraId="7A538E64" w14:textId="77777777">
        <w:trPr>
          <w:cantSplit/>
          <w:trHeight w:val="300"/>
          <w:jc w:val="center"/>
        </w:trPr>
        <w:tc>
          <w:tcPr>
            <w:tcW w:w="1089" w:type="dxa"/>
            <w:shd w:val="clear" w:color="auto" w:fill="C6EFCE"/>
            <w:vAlign w:val="center"/>
            <w:hideMark/>
          </w:tcPr>
          <w:p w14:paraId="7A538E58" w14:textId="77777777" w:rsidR="008273B8" w:rsidRDefault="00B93063">
            <w:pPr>
              <w:pStyle w:val="P68B1DB1-Normal7"/>
              <w:spacing w:after="0" w:line="240" w:lineRule="auto"/>
              <w:jc w:val="center"/>
              <w:rPr>
                <w:rFonts w:eastAsia="Times New Roman" w:cs="Calibri"/>
                <w:noProof/>
              </w:rPr>
            </w:pPr>
            <w:r>
              <w:rPr>
                <w:noProof/>
              </w:rPr>
              <w:t>2.18</w:t>
            </w:r>
          </w:p>
        </w:tc>
        <w:tc>
          <w:tcPr>
            <w:tcW w:w="1142" w:type="dxa"/>
            <w:shd w:val="clear" w:color="auto" w:fill="C6EFCE"/>
            <w:vAlign w:val="center"/>
            <w:hideMark/>
          </w:tcPr>
          <w:p w14:paraId="7A538E59" w14:textId="77777777" w:rsidR="008273B8" w:rsidRDefault="00B93063">
            <w:pPr>
              <w:pStyle w:val="P68B1DB1-Normal7"/>
              <w:spacing w:after="0" w:line="240" w:lineRule="auto"/>
              <w:rPr>
                <w:rFonts w:eastAsia="Times New Roman" w:cs="Calibri"/>
                <w:noProof/>
              </w:rPr>
            </w:pPr>
            <w:r>
              <w:rPr>
                <w:noProof/>
              </w:rPr>
              <w:t xml:space="preserve">C2.I.3. </w:t>
            </w:r>
          </w:p>
        </w:tc>
        <w:tc>
          <w:tcPr>
            <w:tcW w:w="982" w:type="dxa"/>
            <w:shd w:val="clear" w:color="auto" w:fill="C6EFCE"/>
            <w:vAlign w:val="center"/>
            <w:hideMark/>
          </w:tcPr>
          <w:p w14:paraId="7A538E5A" w14:textId="77777777" w:rsidR="008273B8" w:rsidRDefault="00B93063">
            <w:pPr>
              <w:pStyle w:val="P68B1DB1-Normal7"/>
              <w:spacing w:after="0" w:line="240" w:lineRule="auto"/>
              <w:rPr>
                <w:rFonts w:eastAsia="Times New Roman" w:cs="Calibri"/>
                <w:noProof/>
              </w:rPr>
            </w:pPr>
            <w:r>
              <w:rPr>
                <w:noProof/>
              </w:rPr>
              <w:t>Ključna etapa</w:t>
            </w:r>
          </w:p>
        </w:tc>
        <w:tc>
          <w:tcPr>
            <w:tcW w:w="1471" w:type="dxa"/>
            <w:shd w:val="clear" w:color="auto" w:fill="C6EFCE"/>
            <w:vAlign w:val="center"/>
            <w:hideMark/>
          </w:tcPr>
          <w:p w14:paraId="7A538E5B" w14:textId="77777777" w:rsidR="008273B8" w:rsidRDefault="00B93063">
            <w:pPr>
              <w:pStyle w:val="P68B1DB1-Normal7"/>
              <w:spacing w:after="0" w:line="240" w:lineRule="auto"/>
              <w:rPr>
                <w:rFonts w:eastAsia="Times New Roman" w:cs="Calibri"/>
                <w:noProof/>
              </w:rPr>
            </w:pPr>
            <w:r>
              <w:rPr>
                <w:noProof/>
              </w:rPr>
              <w:t xml:space="preserve">Ugovorene usluge za nabavu električnih vozila za vozni park javnih službi </w:t>
            </w:r>
          </w:p>
        </w:tc>
        <w:tc>
          <w:tcPr>
            <w:tcW w:w="1843" w:type="dxa"/>
            <w:shd w:val="clear" w:color="auto" w:fill="C6EFCE"/>
            <w:vAlign w:val="center"/>
            <w:hideMark/>
          </w:tcPr>
          <w:p w14:paraId="7A538E5C" w14:textId="77777777" w:rsidR="008273B8" w:rsidRDefault="00B93063">
            <w:pPr>
              <w:pStyle w:val="P68B1DB1-Normal7"/>
              <w:spacing w:after="0" w:line="240" w:lineRule="auto"/>
              <w:rPr>
                <w:rFonts w:eastAsia="Times New Roman" w:cs="Calibri"/>
                <w:noProof/>
              </w:rPr>
            </w:pPr>
            <w:r>
              <w:rPr>
                <w:noProof/>
              </w:rPr>
              <w:t xml:space="preserve">Potpisani ugovori </w:t>
            </w:r>
          </w:p>
        </w:tc>
        <w:tc>
          <w:tcPr>
            <w:tcW w:w="1753" w:type="dxa"/>
            <w:shd w:val="clear" w:color="auto" w:fill="C6EFCE"/>
            <w:vAlign w:val="center"/>
            <w:hideMark/>
          </w:tcPr>
          <w:p w14:paraId="7A538E5D"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8E5E" w14:textId="77777777" w:rsidR="008273B8" w:rsidRDefault="008273B8">
            <w:pPr>
              <w:spacing w:after="0" w:line="240" w:lineRule="auto"/>
              <w:jc w:val="center"/>
              <w:rPr>
                <w:rFonts w:ascii="Calibri" w:eastAsia="Times New Roman" w:hAnsi="Calibri" w:cs="Calibri"/>
                <w:noProof/>
                <w:sz w:val="18"/>
              </w:rPr>
            </w:pPr>
          </w:p>
        </w:tc>
        <w:tc>
          <w:tcPr>
            <w:tcW w:w="923" w:type="dxa"/>
            <w:shd w:val="clear" w:color="auto" w:fill="C6EFCE"/>
            <w:vAlign w:val="center"/>
            <w:hideMark/>
          </w:tcPr>
          <w:p w14:paraId="7A538E5F" w14:textId="77777777" w:rsidR="008273B8" w:rsidRDefault="008273B8">
            <w:pPr>
              <w:spacing w:after="0" w:line="240" w:lineRule="auto"/>
              <w:jc w:val="center"/>
              <w:rPr>
                <w:rFonts w:ascii="Calibri" w:eastAsia="Times New Roman" w:hAnsi="Calibri" w:cs="Calibri"/>
                <w:noProof/>
                <w:sz w:val="18"/>
              </w:rPr>
            </w:pPr>
          </w:p>
        </w:tc>
        <w:tc>
          <w:tcPr>
            <w:tcW w:w="690" w:type="dxa"/>
            <w:shd w:val="clear" w:color="auto" w:fill="C6EFCE"/>
            <w:vAlign w:val="center"/>
            <w:hideMark/>
          </w:tcPr>
          <w:p w14:paraId="7A538E60" w14:textId="77777777" w:rsidR="008273B8" w:rsidRDefault="00B93063">
            <w:pPr>
              <w:pStyle w:val="P68B1DB1-Normal7"/>
              <w:spacing w:after="0" w:line="240" w:lineRule="auto"/>
              <w:jc w:val="center"/>
              <w:rPr>
                <w:rFonts w:eastAsia="Times New Roman" w:cs="Calibri"/>
                <w:noProof/>
              </w:rPr>
            </w:pPr>
            <w:r>
              <w:rPr>
                <w:noProof/>
              </w:rPr>
              <w:t>TROMJESEČJE</w:t>
            </w:r>
          </w:p>
        </w:tc>
        <w:tc>
          <w:tcPr>
            <w:tcW w:w="673" w:type="dxa"/>
            <w:shd w:val="clear" w:color="auto" w:fill="C6EFCE"/>
            <w:vAlign w:val="center"/>
            <w:hideMark/>
          </w:tcPr>
          <w:p w14:paraId="7A538E61" w14:textId="77777777" w:rsidR="008273B8" w:rsidRDefault="00B93063">
            <w:pPr>
              <w:pStyle w:val="P68B1DB1-Normal7"/>
              <w:spacing w:after="0" w:line="240" w:lineRule="auto"/>
              <w:jc w:val="center"/>
              <w:rPr>
                <w:rFonts w:eastAsia="Times New Roman" w:cs="Calibri"/>
                <w:noProof/>
              </w:rPr>
            </w:pPr>
            <w:r>
              <w:rPr>
                <w:noProof/>
              </w:rPr>
              <w:t>2023</w:t>
            </w:r>
          </w:p>
        </w:tc>
        <w:tc>
          <w:tcPr>
            <w:tcW w:w="4170" w:type="dxa"/>
            <w:shd w:val="clear" w:color="auto" w:fill="C6EFCE"/>
            <w:vAlign w:val="center"/>
            <w:hideMark/>
          </w:tcPr>
          <w:p w14:paraId="7A538E62" w14:textId="77777777" w:rsidR="008273B8" w:rsidRDefault="00B93063">
            <w:pPr>
              <w:pStyle w:val="P68B1DB1-Normal7"/>
              <w:spacing w:after="0" w:line="240" w:lineRule="auto"/>
              <w:rPr>
                <w:rFonts w:eastAsia="Times New Roman" w:cs="Calibri"/>
                <w:noProof/>
              </w:rPr>
            </w:pPr>
            <w:r>
              <w:rPr>
                <w:noProof/>
              </w:rPr>
              <w:t xml:space="preserve">Potpisane ugovore o opskrbi električnih vozila za javnu uslugu kojima se zamjenjuju vozila s motorom s unutarnjim izgaranjem koja su trenutačno u uporabi. </w:t>
            </w:r>
          </w:p>
          <w:p w14:paraId="7A538E63" w14:textId="77777777" w:rsidR="008273B8" w:rsidRDefault="008273B8">
            <w:pPr>
              <w:spacing w:after="0" w:line="240" w:lineRule="auto"/>
              <w:rPr>
                <w:rFonts w:ascii="Calibri" w:eastAsia="Times New Roman" w:hAnsi="Calibri" w:cs="Calibri"/>
                <w:noProof/>
                <w:sz w:val="18"/>
              </w:rPr>
            </w:pPr>
          </w:p>
        </w:tc>
      </w:tr>
      <w:tr w:rsidR="008273B8" w14:paraId="7A538E71" w14:textId="77777777">
        <w:trPr>
          <w:cantSplit/>
          <w:trHeight w:val="300"/>
          <w:jc w:val="center"/>
        </w:trPr>
        <w:tc>
          <w:tcPr>
            <w:tcW w:w="1089" w:type="dxa"/>
            <w:shd w:val="clear" w:color="auto" w:fill="C6EFCE"/>
            <w:vAlign w:val="center"/>
            <w:hideMark/>
          </w:tcPr>
          <w:p w14:paraId="7A538E65" w14:textId="77777777" w:rsidR="008273B8" w:rsidRDefault="00B93063">
            <w:pPr>
              <w:pStyle w:val="P68B1DB1-Normal7"/>
              <w:spacing w:after="0" w:line="240" w:lineRule="auto"/>
              <w:jc w:val="center"/>
              <w:rPr>
                <w:rFonts w:eastAsia="Times New Roman" w:cs="Calibri"/>
                <w:noProof/>
              </w:rPr>
            </w:pPr>
            <w:r>
              <w:rPr>
                <w:noProof/>
              </w:rPr>
              <w:t>2.19</w:t>
            </w:r>
          </w:p>
        </w:tc>
        <w:tc>
          <w:tcPr>
            <w:tcW w:w="1142" w:type="dxa"/>
            <w:shd w:val="clear" w:color="auto" w:fill="C6EFCE"/>
            <w:vAlign w:val="center"/>
            <w:hideMark/>
          </w:tcPr>
          <w:p w14:paraId="7A538E66" w14:textId="77777777" w:rsidR="008273B8" w:rsidRDefault="00B93063">
            <w:pPr>
              <w:pStyle w:val="P68B1DB1-Normal7"/>
              <w:spacing w:after="0" w:line="240" w:lineRule="auto"/>
              <w:rPr>
                <w:rFonts w:eastAsia="Times New Roman" w:cs="Calibri"/>
                <w:noProof/>
              </w:rPr>
            </w:pPr>
            <w:r>
              <w:rPr>
                <w:noProof/>
              </w:rPr>
              <w:t xml:space="preserve">C2.I.3. </w:t>
            </w:r>
          </w:p>
        </w:tc>
        <w:tc>
          <w:tcPr>
            <w:tcW w:w="982" w:type="dxa"/>
            <w:shd w:val="clear" w:color="auto" w:fill="C6EFCE"/>
            <w:vAlign w:val="center"/>
            <w:hideMark/>
          </w:tcPr>
          <w:p w14:paraId="7A538E67" w14:textId="77777777" w:rsidR="008273B8" w:rsidRDefault="00B93063">
            <w:pPr>
              <w:pStyle w:val="P68B1DB1-Normal7"/>
              <w:spacing w:after="0" w:line="240" w:lineRule="auto"/>
              <w:rPr>
                <w:rFonts w:eastAsia="Times New Roman" w:cs="Calibri"/>
                <w:noProof/>
              </w:rPr>
            </w:pPr>
            <w:r>
              <w:rPr>
                <w:noProof/>
              </w:rPr>
              <w:t>Ciljna vrijednost</w:t>
            </w:r>
          </w:p>
        </w:tc>
        <w:tc>
          <w:tcPr>
            <w:tcW w:w="1471" w:type="dxa"/>
            <w:shd w:val="clear" w:color="auto" w:fill="C6EFCE"/>
            <w:vAlign w:val="center"/>
            <w:hideMark/>
          </w:tcPr>
          <w:p w14:paraId="7A538E68" w14:textId="22311F3F" w:rsidR="008273B8" w:rsidRDefault="00B93063">
            <w:pPr>
              <w:pStyle w:val="P68B1DB1-Normal7"/>
              <w:spacing w:after="0" w:line="240" w:lineRule="auto"/>
              <w:rPr>
                <w:rFonts w:eastAsia="Times New Roman" w:cs="Calibri"/>
                <w:noProof/>
              </w:rPr>
            </w:pPr>
            <w:r>
              <w:rPr>
                <w:noProof/>
              </w:rPr>
              <w:t>Broj električnih vozila u voznom parku vozila opće uporabe Vlade (GUV)</w:t>
            </w:r>
          </w:p>
        </w:tc>
        <w:tc>
          <w:tcPr>
            <w:tcW w:w="1843" w:type="dxa"/>
            <w:shd w:val="clear" w:color="auto" w:fill="C6EFCE"/>
            <w:vAlign w:val="center"/>
            <w:hideMark/>
          </w:tcPr>
          <w:p w14:paraId="7A538E69" w14:textId="77777777" w:rsidR="008273B8" w:rsidRDefault="00B93063">
            <w:pPr>
              <w:pStyle w:val="P68B1DB1-Normal7"/>
              <w:spacing w:after="0" w:line="240" w:lineRule="auto"/>
              <w:rPr>
                <w:rFonts w:eastAsia="Times New Roman" w:cs="Calibri"/>
                <w:noProof/>
              </w:rPr>
            </w:pPr>
            <w:r>
              <w:rPr>
                <w:noProof/>
              </w:rPr>
              <w:t> </w:t>
            </w:r>
          </w:p>
        </w:tc>
        <w:tc>
          <w:tcPr>
            <w:tcW w:w="1753" w:type="dxa"/>
            <w:shd w:val="clear" w:color="auto" w:fill="C6EFCE"/>
            <w:vAlign w:val="center"/>
            <w:hideMark/>
          </w:tcPr>
          <w:p w14:paraId="7A538E6A" w14:textId="518879A5" w:rsidR="008273B8" w:rsidRDefault="00B93063">
            <w:pPr>
              <w:pStyle w:val="P68B1DB1-Normal7"/>
              <w:spacing w:after="0" w:line="240" w:lineRule="auto"/>
              <w:jc w:val="center"/>
              <w:rPr>
                <w:rFonts w:eastAsia="Times New Roman" w:cs="Calibri"/>
                <w:noProof/>
              </w:rPr>
            </w:pPr>
            <w:r>
              <w:rPr>
                <w:noProof/>
              </w:rPr>
              <w:t>Broj</w:t>
            </w:r>
          </w:p>
        </w:tc>
        <w:tc>
          <w:tcPr>
            <w:tcW w:w="857" w:type="dxa"/>
            <w:shd w:val="clear" w:color="auto" w:fill="C6EFCE"/>
            <w:vAlign w:val="center"/>
            <w:hideMark/>
          </w:tcPr>
          <w:p w14:paraId="7A538E6B" w14:textId="7BAF8CE6" w:rsidR="008273B8" w:rsidRDefault="00B93063">
            <w:pPr>
              <w:pStyle w:val="P68B1DB1-Normal7"/>
              <w:spacing w:after="0" w:line="240" w:lineRule="auto"/>
              <w:jc w:val="center"/>
              <w:rPr>
                <w:rFonts w:eastAsia="Times New Roman" w:cs="Calibri"/>
                <w:noProof/>
              </w:rPr>
            </w:pPr>
            <w:r>
              <w:rPr>
                <w:noProof/>
              </w:rPr>
              <w:t>12</w:t>
            </w:r>
          </w:p>
        </w:tc>
        <w:tc>
          <w:tcPr>
            <w:tcW w:w="923" w:type="dxa"/>
            <w:shd w:val="clear" w:color="auto" w:fill="C6EFCE"/>
            <w:vAlign w:val="center"/>
            <w:hideMark/>
          </w:tcPr>
          <w:p w14:paraId="7A538E6C" w14:textId="18BD4B38" w:rsidR="008273B8" w:rsidRDefault="00B93063">
            <w:pPr>
              <w:pStyle w:val="P68B1DB1-Normal7"/>
              <w:spacing w:after="0" w:line="240" w:lineRule="auto"/>
              <w:jc w:val="center"/>
              <w:rPr>
                <w:rFonts w:eastAsia="Times New Roman" w:cs="Calibri"/>
                <w:noProof/>
              </w:rPr>
            </w:pPr>
            <w:r>
              <w:rPr>
                <w:noProof/>
              </w:rPr>
              <w:t xml:space="preserve">  262</w:t>
            </w:r>
          </w:p>
        </w:tc>
        <w:tc>
          <w:tcPr>
            <w:tcW w:w="690" w:type="dxa"/>
            <w:shd w:val="clear" w:color="auto" w:fill="C6EFCE"/>
            <w:vAlign w:val="center"/>
            <w:hideMark/>
          </w:tcPr>
          <w:p w14:paraId="7A538E6D" w14:textId="77777777" w:rsidR="008273B8" w:rsidRDefault="00B93063">
            <w:pPr>
              <w:pStyle w:val="P68B1DB1-Normal7"/>
              <w:spacing w:after="0" w:line="240" w:lineRule="auto"/>
              <w:jc w:val="center"/>
              <w:rPr>
                <w:rFonts w:eastAsia="Times New Roman" w:cs="Calibri"/>
                <w:noProof/>
              </w:rPr>
            </w:pPr>
            <w:r>
              <w:rPr>
                <w:noProof/>
              </w:rPr>
              <w:t>TROMJESEČJE</w:t>
            </w:r>
          </w:p>
        </w:tc>
        <w:tc>
          <w:tcPr>
            <w:tcW w:w="673" w:type="dxa"/>
            <w:shd w:val="clear" w:color="auto" w:fill="C6EFCE"/>
            <w:vAlign w:val="center"/>
            <w:hideMark/>
          </w:tcPr>
          <w:p w14:paraId="7A538E6E" w14:textId="77777777" w:rsidR="008273B8" w:rsidRDefault="00B93063">
            <w:pPr>
              <w:pStyle w:val="P68B1DB1-Normal7"/>
              <w:spacing w:after="0" w:line="240" w:lineRule="auto"/>
              <w:jc w:val="center"/>
              <w:rPr>
                <w:rFonts w:eastAsia="Times New Roman" w:cs="Calibri"/>
                <w:noProof/>
              </w:rPr>
            </w:pPr>
            <w:r>
              <w:rPr>
                <w:noProof/>
              </w:rPr>
              <w:t>2025</w:t>
            </w:r>
          </w:p>
        </w:tc>
        <w:tc>
          <w:tcPr>
            <w:tcW w:w="4170" w:type="dxa"/>
            <w:shd w:val="clear" w:color="auto" w:fill="C6EFCE"/>
            <w:vAlign w:val="center"/>
            <w:hideMark/>
          </w:tcPr>
          <w:p w14:paraId="7A538E70" w14:textId="5D6628A9" w:rsidR="008273B8" w:rsidRDefault="00B93063">
            <w:pPr>
              <w:pStyle w:val="P68B1DB1-Normal7"/>
              <w:rPr>
                <w:rFonts w:eastAsia="Times New Roman" w:cs="Calibri"/>
                <w:noProof/>
              </w:rPr>
            </w:pPr>
            <w:r>
              <w:rPr>
                <w:noProof/>
              </w:rPr>
              <w:t>Zamjena vozila s motorom s unutarnjim izgaranjem unutar vladinog voznog parka GUV-a potpuno električnim vozilima (s nultom stopom emisija) kako bi se doseglo ukupno 262 potpuno električna vozila (s nultom stopom emisija).</w:t>
            </w:r>
          </w:p>
        </w:tc>
      </w:tr>
      <w:tr w:rsidR="008273B8" w14:paraId="7A538E7E" w14:textId="77777777">
        <w:trPr>
          <w:cantSplit/>
          <w:trHeight w:val="300"/>
          <w:jc w:val="center"/>
        </w:trPr>
        <w:tc>
          <w:tcPr>
            <w:tcW w:w="1089" w:type="dxa"/>
            <w:shd w:val="clear" w:color="auto" w:fill="C6EFCE"/>
            <w:vAlign w:val="center"/>
            <w:hideMark/>
          </w:tcPr>
          <w:p w14:paraId="7A538E72" w14:textId="77777777" w:rsidR="008273B8" w:rsidRDefault="00B93063">
            <w:pPr>
              <w:pStyle w:val="P68B1DB1-Normal7"/>
              <w:jc w:val="center"/>
              <w:rPr>
                <w:rFonts w:eastAsia="Times New Roman" w:cs="Calibri"/>
                <w:noProof/>
              </w:rPr>
            </w:pPr>
            <w:r>
              <w:rPr>
                <w:noProof/>
              </w:rPr>
              <w:t>2.20</w:t>
            </w:r>
          </w:p>
        </w:tc>
        <w:tc>
          <w:tcPr>
            <w:tcW w:w="1142" w:type="dxa"/>
            <w:shd w:val="clear" w:color="auto" w:fill="C6EFCE"/>
            <w:vAlign w:val="center"/>
            <w:hideMark/>
          </w:tcPr>
          <w:p w14:paraId="7A538E73" w14:textId="77777777" w:rsidR="008273B8" w:rsidRDefault="00B93063">
            <w:pPr>
              <w:pStyle w:val="P68B1DB1-Normal7"/>
              <w:rPr>
                <w:rFonts w:eastAsia="Times New Roman" w:cs="Calibri"/>
                <w:noProof/>
              </w:rPr>
            </w:pPr>
            <w:r>
              <w:rPr>
                <w:noProof/>
              </w:rPr>
              <w:t xml:space="preserve">C2.I.4 </w:t>
            </w:r>
          </w:p>
        </w:tc>
        <w:tc>
          <w:tcPr>
            <w:tcW w:w="982" w:type="dxa"/>
            <w:shd w:val="clear" w:color="auto" w:fill="C6EFCE"/>
            <w:vAlign w:val="center"/>
            <w:hideMark/>
          </w:tcPr>
          <w:p w14:paraId="7A538E74" w14:textId="77777777" w:rsidR="008273B8" w:rsidRDefault="00B93063">
            <w:pPr>
              <w:pStyle w:val="P68B1DB1-Normal7"/>
              <w:rPr>
                <w:rFonts w:eastAsia="Times New Roman" w:cs="Calibri"/>
                <w:noProof/>
              </w:rPr>
            </w:pPr>
            <w:r>
              <w:rPr>
                <w:noProof/>
              </w:rPr>
              <w:t>Ključna etapa</w:t>
            </w:r>
          </w:p>
        </w:tc>
        <w:tc>
          <w:tcPr>
            <w:tcW w:w="1471" w:type="dxa"/>
            <w:shd w:val="clear" w:color="auto" w:fill="C6EFCE"/>
            <w:vAlign w:val="center"/>
            <w:hideMark/>
          </w:tcPr>
          <w:p w14:paraId="7A538E75" w14:textId="77777777" w:rsidR="008273B8" w:rsidRDefault="00B93063">
            <w:pPr>
              <w:pStyle w:val="P68B1DB1-Normal7"/>
              <w:rPr>
                <w:rFonts w:eastAsia="Times New Roman" w:cs="Calibri"/>
                <w:noProof/>
              </w:rPr>
            </w:pPr>
            <w:r>
              <w:rPr>
                <w:noProof/>
              </w:rPr>
              <w:t xml:space="preserve">Memorandum o razumijevanju za zamjenu malteške flote javnog prijevoza </w:t>
            </w:r>
          </w:p>
        </w:tc>
        <w:tc>
          <w:tcPr>
            <w:tcW w:w="1843" w:type="dxa"/>
            <w:shd w:val="clear" w:color="auto" w:fill="C6EFCE"/>
            <w:vAlign w:val="center"/>
            <w:hideMark/>
          </w:tcPr>
          <w:p w14:paraId="7A538E76" w14:textId="77777777" w:rsidR="008273B8" w:rsidRDefault="00B93063">
            <w:pPr>
              <w:pStyle w:val="P68B1DB1-Normal7"/>
              <w:spacing w:after="0" w:line="240" w:lineRule="auto"/>
              <w:rPr>
                <w:rFonts w:eastAsia="Times New Roman" w:cs="Calibri"/>
                <w:noProof/>
              </w:rPr>
            </w:pPr>
            <w:r>
              <w:rPr>
                <w:noProof/>
              </w:rPr>
              <w:t>Potpisani memorandum o razumijevanju</w:t>
            </w:r>
          </w:p>
        </w:tc>
        <w:tc>
          <w:tcPr>
            <w:tcW w:w="1753" w:type="dxa"/>
            <w:shd w:val="clear" w:color="auto" w:fill="C6EFCE"/>
            <w:vAlign w:val="center"/>
            <w:hideMark/>
          </w:tcPr>
          <w:p w14:paraId="7A538E77"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8E78" w14:textId="77777777" w:rsidR="008273B8" w:rsidRDefault="008273B8">
            <w:pPr>
              <w:spacing w:after="0" w:line="240" w:lineRule="auto"/>
              <w:jc w:val="center"/>
              <w:rPr>
                <w:rFonts w:ascii="Calibri" w:eastAsia="Times New Roman" w:hAnsi="Calibri" w:cs="Calibri"/>
                <w:noProof/>
                <w:sz w:val="18"/>
              </w:rPr>
            </w:pPr>
          </w:p>
        </w:tc>
        <w:tc>
          <w:tcPr>
            <w:tcW w:w="923" w:type="dxa"/>
            <w:shd w:val="clear" w:color="auto" w:fill="C6EFCE"/>
            <w:vAlign w:val="center"/>
            <w:hideMark/>
          </w:tcPr>
          <w:p w14:paraId="7A538E79" w14:textId="77777777" w:rsidR="008273B8" w:rsidRDefault="008273B8">
            <w:pPr>
              <w:spacing w:after="0" w:line="240" w:lineRule="auto"/>
              <w:jc w:val="center"/>
              <w:rPr>
                <w:rFonts w:ascii="Calibri" w:eastAsia="Times New Roman" w:hAnsi="Calibri" w:cs="Calibri"/>
                <w:noProof/>
                <w:sz w:val="18"/>
              </w:rPr>
            </w:pPr>
          </w:p>
        </w:tc>
        <w:tc>
          <w:tcPr>
            <w:tcW w:w="690" w:type="dxa"/>
            <w:shd w:val="clear" w:color="auto" w:fill="C6EFCE"/>
            <w:vAlign w:val="center"/>
            <w:hideMark/>
          </w:tcPr>
          <w:p w14:paraId="7A538E7A" w14:textId="77777777" w:rsidR="008273B8" w:rsidRDefault="00B93063">
            <w:pPr>
              <w:pStyle w:val="P68B1DB1-Normal7"/>
              <w:spacing w:after="0" w:line="240" w:lineRule="auto"/>
              <w:jc w:val="center"/>
              <w:rPr>
                <w:rFonts w:eastAsia="Times New Roman" w:cs="Calibri"/>
                <w:noProof/>
              </w:rPr>
            </w:pPr>
            <w:r>
              <w:rPr>
                <w:noProof/>
              </w:rPr>
              <w:t>Q2</w:t>
            </w:r>
          </w:p>
        </w:tc>
        <w:tc>
          <w:tcPr>
            <w:tcW w:w="673" w:type="dxa"/>
            <w:shd w:val="clear" w:color="auto" w:fill="C6EFCE"/>
            <w:vAlign w:val="center"/>
            <w:hideMark/>
          </w:tcPr>
          <w:p w14:paraId="7A538E7B" w14:textId="77777777" w:rsidR="008273B8" w:rsidRDefault="00B93063">
            <w:pPr>
              <w:pStyle w:val="P68B1DB1-Normal7"/>
              <w:spacing w:after="0" w:line="240" w:lineRule="auto"/>
              <w:jc w:val="center"/>
              <w:rPr>
                <w:rFonts w:eastAsia="Times New Roman" w:cs="Calibri"/>
                <w:noProof/>
              </w:rPr>
            </w:pPr>
            <w:r>
              <w:rPr>
                <w:noProof/>
              </w:rPr>
              <w:t>2022</w:t>
            </w:r>
          </w:p>
        </w:tc>
        <w:tc>
          <w:tcPr>
            <w:tcW w:w="4170" w:type="dxa"/>
            <w:shd w:val="clear" w:color="auto" w:fill="C6EFCE"/>
            <w:vAlign w:val="center"/>
            <w:hideMark/>
          </w:tcPr>
          <w:p w14:paraId="7A538E7C" w14:textId="77777777" w:rsidR="008273B8" w:rsidRDefault="00B93063">
            <w:pPr>
              <w:pStyle w:val="P68B1DB1-Normal7"/>
              <w:spacing w:after="0" w:line="240" w:lineRule="auto"/>
              <w:rPr>
                <w:rFonts w:eastAsia="Times New Roman" w:cs="Calibri"/>
                <w:noProof/>
              </w:rPr>
            </w:pPr>
            <w:r>
              <w:rPr>
                <w:noProof/>
              </w:rPr>
              <w:t xml:space="preserve">Potpisan Memorandum o razumijevanju između ministarstva nadležnog za promet i malteškog javnog prijevoza u kojem je dogovorena kupnja 102 potpuno električna autobusa za dio zamjene voznog parka javnog prijevoza. </w:t>
            </w:r>
          </w:p>
          <w:p w14:paraId="7A538E7D" w14:textId="77777777" w:rsidR="008273B8" w:rsidRDefault="008273B8">
            <w:pPr>
              <w:spacing w:after="0" w:line="240" w:lineRule="auto"/>
              <w:rPr>
                <w:rFonts w:ascii="Calibri" w:eastAsia="Times New Roman" w:hAnsi="Calibri" w:cs="Calibri"/>
                <w:noProof/>
                <w:sz w:val="18"/>
              </w:rPr>
            </w:pPr>
          </w:p>
        </w:tc>
      </w:tr>
      <w:tr w:rsidR="008273B8" w14:paraId="7A538E8A" w14:textId="77777777">
        <w:trPr>
          <w:cantSplit/>
          <w:trHeight w:val="300"/>
          <w:jc w:val="center"/>
        </w:trPr>
        <w:tc>
          <w:tcPr>
            <w:tcW w:w="1089" w:type="dxa"/>
            <w:shd w:val="clear" w:color="auto" w:fill="C6EFCE"/>
            <w:vAlign w:val="center"/>
            <w:hideMark/>
          </w:tcPr>
          <w:p w14:paraId="7A538E7F" w14:textId="77777777" w:rsidR="008273B8" w:rsidRDefault="00B93063">
            <w:pPr>
              <w:pStyle w:val="P68B1DB1-Normal7"/>
              <w:spacing w:after="0" w:line="240" w:lineRule="auto"/>
              <w:jc w:val="center"/>
              <w:rPr>
                <w:rFonts w:eastAsia="Times New Roman" w:cs="Calibri"/>
                <w:noProof/>
              </w:rPr>
            </w:pPr>
            <w:r>
              <w:rPr>
                <w:noProof/>
              </w:rPr>
              <w:t>2.21</w:t>
            </w:r>
          </w:p>
        </w:tc>
        <w:tc>
          <w:tcPr>
            <w:tcW w:w="1142" w:type="dxa"/>
            <w:shd w:val="clear" w:color="auto" w:fill="C6EFCE"/>
            <w:vAlign w:val="center"/>
            <w:hideMark/>
          </w:tcPr>
          <w:p w14:paraId="7A538E80" w14:textId="77777777" w:rsidR="008273B8" w:rsidRDefault="00B93063">
            <w:pPr>
              <w:pStyle w:val="P68B1DB1-Normal7"/>
              <w:spacing w:after="0" w:line="240" w:lineRule="auto"/>
              <w:rPr>
                <w:rFonts w:eastAsia="Times New Roman" w:cs="Calibri"/>
                <w:noProof/>
              </w:rPr>
            </w:pPr>
            <w:r>
              <w:rPr>
                <w:noProof/>
              </w:rPr>
              <w:t xml:space="preserve">C2.I.4 </w:t>
            </w:r>
          </w:p>
        </w:tc>
        <w:tc>
          <w:tcPr>
            <w:tcW w:w="982" w:type="dxa"/>
            <w:shd w:val="clear" w:color="auto" w:fill="C6EFCE"/>
            <w:vAlign w:val="center"/>
            <w:hideMark/>
          </w:tcPr>
          <w:p w14:paraId="7A538E81" w14:textId="77777777" w:rsidR="008273B8" w:rsidRDefault="00B93063">
            <w:pPr>
              <w:pStyle w:val="P68B1DB1-Normal7"/>
              <w:spacing w:after="0" w:line="240" w:lineRule="auto"/>
              <w:rPr>
                <w:rFonts w:eastAsia="Times New Roman" w:cs="Calibri"/>
                <w:noProof/>
              </w:rPr>
            </w:pPr>
            <w:r>
              <w:rPr>
                <w:noProof/>
              </w:rPr>
              <w:t>Ciljna vrijednost</w:t>
            </w:r>
          </w:p>
        </w:tc>
        <w:tc>
          <w:tcPr>
            <w:tcW w:w="1471" w:type="dxa"/>
            <w:shd w:val="clear" w:color="auto" w:fill="C6EFCE"/>
            <w:vAlign w:val="center"/>
            <w:hideMark/>
          </w:tcPr>
          <w:p w14:paraId="7A538E82" w14:textId="77777777" w:rsidR="008273B8" w:rsidRDefault="00B93063">
            <w:pPr>
              <w:pStyle w:val="P68B1DB1-Normal7"/>
              <w:spacing w:after="0" w:line="240" w:lineRule="auto"/>
              <w:rPr>
                <w:rFonts w:eastAsia="Times New Roman" w:cs="Calibri"/>
                <w:noProof/>
              </w:rPr>
            </w:pPr>
            <w:r>
              <w:rPr>
                <w:noProof/>
              </w:rPr>
              <w:t>Operativni električni autobusi s nultim emisijama uvedeni za zamjenu voznog parka javnog prijevoza</w:t>
            </w:r>
          </w:p>
        </w:tc>
        <w:tc>
          <w:tcPr>
            <w:tcW w:w="1843" w:type="dxa"/>
            <w:shd w:val="clear" w:color="auto" w:fill="C6EFCE"/>
            <w:vAlign w:val="center"/>
            <w:hideMark/>
          </w:tcPr>
          <w:p w14:paraId="7A538E83" w14:textId="77777777" w:rsidR="008273B8" w:rsidRDefault="00B93063">
            <w:pPr>
              <w:pStyle w:val="P68B1DB1-Normal7"/>
              <w:spacing w:after="0" w:line="240" w:lineRule="auto"/>
              <w:rPr>
                <w:rFonts w:eastAsia="Times New Roman" w:cs="Calibri"/>
                <w:noProof/>
              </w:rPr>
            </w:pPr>
            <w:r>
              <w:rPr>
                <w:noProof/>
              </w:rPr>
              <w:t> </w:t>
            </w:r>
          </w:p>
        </w:tc>
        <w:tc>
          <w:tcPr>
            <w:tcW w:w="1753" w:type="dxa"/>
            <w:shd w:val="clear" w:color="auto" w:fill="C6EFCE"/>
            <w:vAlign w:val="center"/>
            <w:hideMark/>
          </w:tcPr>
          <w:p w14:paraId="7A538E84" w14:textId="77777777" w:rsidR="008273B8" w:rsidRDefault="00B93063">
            <w:pPr>
              <w:pStyle w:val="P68B1DB1-Normal7"/>
              <w:spacing w:after="0" w:line="240" w:lineRule="auto"/>
              <w:jc w:val="center"/>
              <w:rPr>
                <w:rFonts w:eastAsia="Times New Roman" w:cs="Calibri"/>
                <w:noProof/>
              </w:rPr>
            </w:pPr>
            <w:r>
              <w:rPr>
                <w:noProof/>
              </w:rPr>
              <w:t>Broj</w:t>
            </w:r>
          </w:p>
        </w:tc>
        <w:tc>
          <w:tcPr>
            <w:tcW w:w="857" w:type="dxa"/>
            <w:shd w:val="clear" w:color="auto" w:fill="C6EFCE"/>
            <w:vAlign w:val="center"/>
            <w:hideMark/>
          </w:tcPr>
          <w:p w14:paraId="7A538E85" w14:textId="77777777" w:rsidR="008273B8" w:rsidRDefault="00B93063">
            <w:pPr>
              <w:pStyle w:val="P68B1DB1-Normal7"/>
              <w:spacing w:after="0" w:line="240" w:lineRule="auto"/>
              <w:jc w:val="center"/>
              <w:rPr>
                <w:rFonts w:eastAsia="Times New Roman" w:cs="Calibri"/>
                <w:noProof/>
              </w:rPr>
            </w:pPr>
            <w:r>
              <w:rPr>
                <w:noProof/>
              </w:rPr>
              <w:t>0</w:t>
            </w:r>
          </w:p>
        </w:tc>
        <w:tc>
          <w:tcPr>
            <w:tcW w:w="923" w:type="dxa"/>
            <w:shd w:val="clear" w:color="auto" w:fill="C6EFCE"/>
            <w:vAlign w:val="center"/>
            <w:hideMark/>
          </w:tcPr>
          <w:p w14:paraId="7A538E86" w14:textId="77777777" w:rsidR="008273B8" w:rsidRDefault="00B93063">
            <w:pPr>
              <w:pStyle w:val="P68B1DB1-Normal7"/>
              <w:spacing w:after="0" w:line="240" w:lineRule="auto"/>
              <w:jc w:val="center"/>
              <w:rPr>
                <w:rFonts w:eastAsia="Times New Roman" w:cs="Calibri"/>
                <w:noProof/>
              </w:rPr>
            </w:pPr>
            <w:r>
              <w:rPr>
                <w:noProof/>
              </w:rPr>
              <w:t>102</w:t>
            </w:r>
          </w:p>
        </w:tc>
        <w:tc>
          <w:tcPr>
            <w:tcW w:w="690" w:type="dxa"/>
            <w:shd w:val="clear" w:color="auto" w:fill="C6EFCE"/>
            <w:vAlign w:val="center"/>
            <w:hideMark/>
          </w:tcPr>
          <w:p w14:paraId="7A538E87" w14:textId="77777777" w:rsidR="008273B8" w:rsidRDefault="00B93063">
            <w:pPr>
              <w:pStyle w:val="P68B1DB1-Normal7"/>
              <w:spacing w:after="0" w:line="240" w:lineRule="auto"/>
              <w:jc w:val="center"/>
              <w:rPr>
                <w:rFonts w:eastAsia="Times New Roman" w:cs="Calibri"/>
                <w:noProof/>
              </w:rPr>
            </w:pPr>
            <w:r>
              <w:rPr>
                <w:noProof/>
              </w:rPr>
              <w:t>Q2</w:t>
            </w:r>
          </w:p>
        </w:tc>
        <w:tc>
          <w:tcPr>
            <w:tcW w:w="673" w:type="dxa"/>
            <w:shd w:val="clear" w:color="auto" w:fill="C6EFCE"/>
            <w:vAlign w:val="center"/>
            <w:hideMark/>
          </w:tcPr>
          <w:p w14:paraId="7A538E88" w14:textId="77777777" w:rsidR="008273B8" w:rsidRDefault="00B93063">
            <w:pPr>
              <w:pStyle w:val="P68B1DB1-Normal7"/>
              <w:spacing w:after="0" w:line="240" w:lineRule="auto"/>
              <w:jc w:val="center"/>
              <w:rPr>
                <w:rFonts w:eastAsia="Times New Roman" w:cs="Calibri"/>
                <w:noProof/>
              </w:rPr>
            </w:pPr>
            <w:r>
              <w:rPr>
                <w:noProof/>
              </w:rPr>
              <w:t>2025</w:t>
            </w:r>
          </w:p>
        </w:tc>
        <w:tc>
          <w:tcPr>
            <w:tcW w:w="4170" w:type="dxa"/>
            <w:shd w:val="clear" w:color="auto" w:fill="C6EFCE"/>
            <w:vAlign w:val="center"/>
            <w:hideMark/>
          </w:tcPr>
          <w:p w14:paraId="7A538E89" w14:textId="77777777" w:rsidR="008273B8" w:rsidRDefault="00B93063">
            <w:pPr>
              <w:pStyle w:val="P68B1DB1-Normal7"/>
              <w:spacing w:after="0" w:line="240" w:lineRule="auto"/>
              <w:rPr>
                <w:rFonts w:eastAsia="Times New Roman" w:cs="Calibri"/>
                <w:noProof/>
              </w:rPr>
            </w:pPr>
            <w:r>
              <w:rPr>
                <w:noProof/>
              </w:rPr>
              <w:t xml:space="preserve">Ciljnim se ciljem mjeri broj potpuno električnih autobusa u aktivnom prometu malteškog javnog prijevoza. </w:t>
            </w:r>
          </w:p>
        </w:tc>
      </w:tr>
    </w:tbl>
    <w:p w14:paraId="7A538E8B" w14:textId="77777777" w:rsidR="008273B8" w:rsidRDefault="008273B8">
      <w:pPr>
        <w:spacing w:before="120" w:after="120" w:line="240" w:lineRule="auto"/>
        <w:ind w:left="709"/>
        <w:jc w:val="both"/>
        <w:rPr>
          <w:rFonts w:ascii="Times New Roman" w:hAnsi="Times New Roman" w:cs="Times New Roman"/>
          <w:noProof/>
          <w:sz w:val="24"/>
        </w:rPr>
      </w:pPr>
    </w:p>
    <w:p w14:paraId="7A538E8C" w14:textId="77777777" w:rsidR="008273B8" w:rsidRDefault="008273B8">
      <w:pPr>
        <w:pStyle w:val="Text1"/>
        <w:rPr>
          <w:noProof/>
        </w:rPr>
        <w:sectPr w:rsidR="008273B8">
          <w:headerReference w:type="even" r:id="rId36"/>
          <w:headerReference w:type="default" r:id="rId37"/>
          <w:footerReference w:type="even" r:id="rId38"/>
          <w:footerReference w:type="default" r:id="rId39"/>
          <w:headerReference w:type="first" r:id="rId40"/>
          <w:footerReference w:type="first" r:id="rId41"/>
          <w:pgSz w:w="16839" w:h="11907" w:orient="landscape"/>
          <w:pgMar w:top="1134" w:right="1134" w:bottom="1134" w:left="1134" w:header="567" w:footer="567" w:gutter="0"/>
          <w:cols w:space="720"/>
          <w:docGrid w:linePitch="360"/>
        </w:sectPr>
      </w:pPr>
    </w:p>
    <w:p w14:paraId="7A538E8D" w14:textId="77777777" w:rsidR="008273B8" w:rsidRDefault="00B93063">
      <w:pPr>
        <w:pStyle w:val="ManualHeading2"/>
        <w:spacing w:before="360" w:after="360"/>
        <w:rPr>
          <w:noProof/>
        </w:rPr>
      </w:pPr>
      <w:r>
        <w:rPr>
          <w:noProof/>
        </w:rPr>
        <w:t xml:space="preserve">C. SASTAVNI DIO 3: </w:t>
      </w:r>
      <w:r>
        <w:rPr>
          <w:rFonts w:ascii="Times New Roman Bold" w:hAnsi="Times New Roman Bold"/>
          <w:smallCaps/>
          <w:noProof/>
        </w:rPr>
        <w:t>Digitalizacija</w:t>
      </w:r>
    </w:p>
    <w:p w14:paraId="7A538E8E" w14:textId="77777777" w:rsidR="008273B8" w:rsidRDefault="00B93063">
      <w:pPr>
        <w:pStyle w:val="P68B1DB1-Normal3"/>
        <w:spacing w:line="240" w:lineRule="auto"/>
        <w:jc w:val="both"/>
        <w:rPr>
          <w:rFonts w:cs="Times New Roman"/>
          <w:noProof/>
          <w:color w:val="000000" w:themeColor="text1"/>
        </w:rPr>
      </w:pPr>
      <w:r>
        <w:rPr>
          <w:noProof/>
          <w:color w:val="000000" w:themeColor="text1"/>
        </w:rPr>
        <w:t xml:space="preserve">Tom komponentom malteškog plana za oporavak i otpornost rješavaju se izazovi povezani s daljnjim povećanjem digitalizacije u javnom i privatnom sektoru, posebno u pogledu poboljšanja otpornosti, kapaciteta i sigurnosti državne digitalne okosnice, pristupa digitalnoj tehnologiji, opsega i kvalitete usluga e-uprave, prihvaćanja tih usluga među </w:t>
      </w:r>
      <w:r>
        <w:rPr>
          <w:noProof/>
        </w:rPr>
        <w:t>građanima</w:t>
      </w:r>
      <w:r>
        <w:rPr>
          <w:noProof/>
          <w:color w:val="000000" w:themeColor="text1"/>
        </w:rPr>
        <w:t xml:space="preserve"> i poduzećima te digitalizacije privatnog sektora. Komponenta pridonosi i rješavanju izazova poboljšanja uspješnosti Malte u području istraživanja i inovacija, pri čemu se Malta smatra „umjerenim inovatorom” prema </w:t>
      </w:r>
      <w:r>
        <w:rPr>
          <w:noProof/>
        </w:rPr>
        <w:t>Europskoj ljestvici uspjeha u inoviranju za 2021.</w:t>
      </w:r>
      <w:r>
        <w:rPr>
          <w:noProof/>
        </w:rPr>
        <w:footnoteReference w:id="2"/>
      </w:r>
      <w:r>
        <w:rPr>
          <w:noProof/>
        </w:rPr>
        <w:t xml:space="preserve"> </w:t>
      </w:r>
    </w:p>
    <w:p w14:paraId="7A538E8F" w14:textId="77777777" w:rsidR="008273B8" w:rsidRDefault="00B93063">
      <w:pPr>
        <w:pStyle w:val="P68B1DB1-Normal3"/>
        <w:spacing w:line="240" w:lineRule="auto"/>
        <w:jc w:val="both"/>
        <w:rPr>
          <w:rFonts w:cs="Times New Roman"/>
          <w:noProof/>
        </w:rPr>
      </w:pPr>
      <w:r>
        <w:rPr>
          <w:noProof/>
        </w:rPr>
        <w:t>Cilj je komponente ubrzati digitalnu tranziciju, posebno jačanjem nacionalnog okvira politike, ulaganjem u daljnju digitalizaciju javne uprave i javnih usluga (kako bi se povećao njihov opseg, kvaliteta i prihvaćanje) te podupiranjem digitalizacije MSP-ova. Cilj je komponente i poboljšati uspješnost Malte u području istraživanja i inovacija.</w:t>
      </w:r>
    </w:p>
    <w:p w14:paraId="7A538E90" w14:textId="0E3CE21E" w:rsidR="008273B8" w:rsidRDefault="00B93063">
      <w:pPr>
        <w:pStyle w:val="P68B1DB1-Normal3"/>
        <w:spacing w:line="240" w:lineRule="auto"/>
        <w:jc w:val="both"/>
        <w:rPr>
          <w:rFonts w:cs="Times New Roman"/>
          <w:noProof/>
        </w:rPr>
      </w:pPr>
      <w:r>
        <w:rPr>
          <w:noProof/>
        </w:rPr>
        <w:t xml:space="preserve">Prva reforma te komponente odnosi se na razvoj i provedbu inicijativa u pogledu sljedeća tri glavna aspekta malteške digitalne strategije za razdoblje 2022. 2027.: smanjiti digitalni jaz, promicati digitalne vještine i poboljšati digitalne javne usluge. </w:t>
      </w:r>
      <w:r>
        <w:rPr>
          <w:noProof/>
          <w:color w:val="000000" w:themeColor="text1"/>
        </w:rPr>
        <w:t xml:space="preserve">Provedba strategija za razvoj digitalnih vještina podupire se upotrebom drugih programa financiranja EU-a, kao što je Europski socijalni fond plus. </w:t>
      </w:r>
      <w:r>
        <w:rPr>
          <w:noProof/>
        </w:rPr>
        <w:t>Druga reforma odnosi se na provedbu malteške strategije pametne specijalizacije, s posebnim naglaskom na poticanju poslovnog istraživanja i inovacija te jačanju javno-privatne suradnje. Ulaganja su usmjerena na jačanje državne digitalne okosnice i digitalnih rješenja, digitalizaciju Uprave za trgovačku mornaricu, daljnju digitalizaciju javne uprave i uvođenje mjera potpore za digitalizaciju privatnog sektora (odnosno MSP-ova).</w:t>
      </w:r>
    </w:p>
    <w:p w14:paraId="7A538E91" w14:textId="18852638" w:rsidR="008273B8" w:rsidRDefault="00B93063">
      <w:pPr>
        <w:pStyle w:val="P68B1DB1-Normal3"/>
        <w:spacing w:line="240" w:lineRule="auto"/>
        <w:jc w:val="both"/>
        <w:rPr>
          <w:rFonts w:cs="Times New Roman"/>
          <w:noProof/>
        </w:rPr>
      </w:pPr>
      <w:r>
        <w:rPr>
          <w:noProof/>
          <w:color w:val="000000" w:themeColor="text1"/>
        </w:rPr>
        <w:t>Tom se komponentom pridonosi provedbi preporuka za pojedinu zemlju koje se odnose na digitalnu tranziciju (3. preporuke za pojedinu zemlju iz 2020. i 1</w:t>
      </w:r>
      <w:r>
        <w:rPr>
          <w:noProof/>
        </w:rPr>
        <w:t xml:space="preserve">. 2022.) te na istraživanja i inovacije (3. preporuke za pojedinu zemlju i 3. 2020.). </w:t>
      </w:r>
    </w:p>
    <w:p w14:paraId="7A538E92" w14:textId="77777777" w:rsidR="008273B8" w:rsidRDefault="00B93063">
      <w:pPr>
        <w:pStyle w:val="P68B1DB1-Normal3"/>
        <w:spacing w:line="240" w:lineRule="auto"/>
        <w:jc w:val="both"/>
        <w:rPr>
          <w:rFonts w:eastAsiaTheme="minorEastAsia" w:cs="Times New Roman"/>
          <w:b/>
          <w:noProof/>
          <w:u w:val="single"/>
        </w:rPr>
      </w:pPr>
      <w:r>
        <w:rPr>
          <w:noProof/>
        </w:rPr>
        <w:t>Očekuje se da se nijednom mjerom u ovoj komponenti ne nanosi bitna šteta okolišnim ciljevima u smislu članka 17. Uredbe (EU) 2020/852, uzimajući u obzir opis mjera i koraka ublažavanja utvrđenih u planu za oporavak i otpornost u skladu s Tehničkim smjernicama o nenanošenju bitne štete (2021/C58/01).</w:t>
      </w:r>
    </w:p>
    <w:p w14:paraId="7A538E93" w14:textId="77777777" w:rsidR="008273B8" w:rsidRDefault="00B93063">
      <w:pPr>
        <w:pStyle w:val="P68B1DB1-ManualHeading34"/>
        <w:spacing w:before="240" w:after="240"/>
        <w:rPr>
          <w:noProof/>
          <w:u w:val="single"/>
        </w:rPr>
      </w:pPr>
      <w:r>
        <w:rPr>
          <w:noProof/>
        </w:rPr>
        <w:t xml:space="preserve">C.1. </w:t>
      </w:r>
      <w:r>
        <w:rPr>
          <w:noProof/>
          <w:u w:val="single"/>
        </w:rPr>
        <w:t>Opis reformi i ulaganja za bespovratnu financijsku potporu</w:t>
      </w:r>
    </w:p>
    <w:p w14:paraId="7A538E94" w14:textId="77777777" w:rsidR="008273B8" w:rsidRDefault="00B93063">
      <w:pPr>
        <w:pStyle w:val="P68B1DB1-Normal5"/>
        <w:spacing w:line="240" w:lineRule="auto"/>
        <w:jc w:val="both"/>
        <w:rPr>
          <w:rFonts w:cs="Times New Roman"/>
          <w:noProof/>
        </w:rPr>
      </w:pPr>
      <w:r>
        <w:rPr>
          <w:noProof/>
        </w:rPr>
        <w:t>Reforma C3-R1: Produbljivanje digitalne transformacije reformom politika, s naglaskom na smanjenju digitalnog jaza i promicanju digitalnih vještina</w:t>
      </w:r>
    </w:p>
    <w:p w14:paraId="7A538E95" w14:textId="77777777" w:rsidR="008273B8" w:rsidRDefault="00B93063">
      <w:pPr>
        <w:pStyle w:val="P68B1DB1-Normal3"/>
        <w:spacing w:line="240" w:lineRule="auto"/>
        <w:jc w:val="both"/>
        <w:rPr>
          <w:rFonts w:cs="Times New Roman"/>
          <w:noProof/>
        </w:rPr>
      </w:pPr>
      <w:r>
        <w:rPr>
          <w:noProof/>
        </w:rPr>
        <w:t xml:space="preserve">Cilj je reforme razviti i provesti strategije i inicijative usmjerene na smanjenje digitalnog jaza, promicanje digitalnih vještina i poboljšanje digitalnih javnih usluga. </w:t>
      </w:r>
    </w:p>
    <w:p w14:paraId="7A538E96" w14:textId="50BB48ED" w:rsidR="008273B8" w:rsidRDefault="00B93063">
      <w:pPr>
        <w:pStyle w:val="P68B1DB1-Normal3"/>
        <w:spacing w:line="240" w:lineRule="auto"/>
        <w:jc w:val="both"/>
        <w:rPr>
          <w:rFonts w:cs="Times New Roman"/>
          <w:noProof/>
        </w:rPr>
      </w:pPr>
      <w:r>
        <w:rPr>
          <w:noProof/>
        </w:rPr>
        <w:t xml:space="preserve">Reforma uključuje provedbu mjera utvrđenih u digitalnoj strategiji Malte za razdoblje 2022. 2027. Reforma posebno uključuje pokretanje programa za potporu obiteljima s niskim prihodima kako bi bile povezane i imale pristup računalima i povezanom znanju, čime bi se poboljšala digitalna pismenost, smanjio digitalni jaz i poboljšala socioekonomska kohezija. Osim toga, reformom se jača i promiče kapacitet ljudskih resursa pokretanjem programa stipendija kako bi se studente potaknulo da postanu stručnjaci u digitalnom području, među ostalim u području inovativnih tehnologija kao što je umjetna inteligencija.  </w:t>
      </w:r>
    </w:p>
    <w:p w14:paraId="7A538E97" w14:textId="77777777" w:rsidR="008273B8" w:rsidRDefault="00B93063">
      <w:pPr>
        <w:pStyle w:val="P68B1DB1-Normal3"/>
        <w:spacing w:line="240" w:lineRule="auto"/>
        <w:jc w:val="both"/>
        <w:rPr>
          <w:rFonts w:cs="Times New Roman"/>
          <w:noProof/>
        </w:rPr>
      </w:pPr>
      <w:r>
        <w:rPr>
          <w:noProof/>
        </w:rPr>
        <w:t>Reforma se provodi do 31. prosinca 2023.</w:t>
      </w:r>
    </w:p>
    <w:p w14:paraId="7A538E98" w14:textId="77777777" w:rsidR="008273B8" w:rsidRDefault="00B93063">
      <w:pPr>
        <w:pStyle w:val="P68B1DB1-Normal5"/>
        <w:spacing w:line="240" w:lineRule="auto"/>
        <w:jc w:val="both"/>
        <w:rPr>
          <w:rFonts w:cs="Times New Roman"/>
          <w:noProof/>
        </w:rPr>
      </w:pPr>
      <w:r>
        <w:rPr>
          <w:noProof/>
        </w:rPr>
        <w:t>Reforma C3-R2: Dovršetak i provedba malteške strategije pametne specijalizacije, s posebnim naglaskom na poticanju poslovnog istraživanja i inovacija te jačanju javno-privatne suradnje</w:t>
      </w:r>
    </w:p>
    <w:p w14:paraId="7A538E99" w14:textId="77777777" w:rsidR="008273B8" w:rsidRDefault="00B93063">
      <w:pPr>
        <w:pStyle w:val="P68B1DB1-Normal3"/>
        <w:spacing w:line="240" w:lineRule="auto"/>
        <w:jc w:val="both"/>
        <w:textAlignment w:val="baseline"/>
        <w:rPr>
          <w:rFonts w:eastAsia="Times New Roman" w:cs="Times New Roman"/>
          <w:noProof/>
        </w:rPr>
      </w:pPr>
      <w:r>
        <w:rPr>
          <w:noProof/>
        </w:rPr>
        <w:t xml:space="preserve">Cilj je reforme uspostaviti i provesti novi politički okvir za pametnu specijalizaciju, s naglaskom na poticanju poslovnog istraživanja i inovacija te jačanju javno-privatne suradnje. </w:t>
      </w:r>
    </w:p>
    <w:p w14:paraId="7A538E9A" w14:textId="77777777" w:rsidR="008273B8" w:rsidRDefault="00B93063">
      <w:pPr>
        <w:pStyle w:val="P68B1DB1-Normal3"/>
        <w:spacing w:line="240" w:lineRule="auto"/>
        <w:jc w:val="both"/>
        <w:rPr>
          <w:rFonts w:cs="Times New Roman"/>
          <w:noProof/>
        </w:rPr>
      </w:pPr>
      <w:r>
        <w:rPr>
          <w:noProof/>
        </w:rPr>
        <w:t>Reforma uključuje donošenje malteške strategije pametne specijalizacije za razdoblje 2021. 2027., čije ključne inicijative uključuju promicanje međuagencijske suradnje radi potpore poduzećima i koordinaciju među agencijama kako bi se podigla svijest o programima financiranja istraživanja i inovacija, kao i pojednostavnjenje postupaka povezanih s podnošenjem zahtjeva za financiranje i pružanjem smjernica potencijalnim korisnicima na usmjereniji i učinkovitiji način. Reformom se također potiče javno-privatna suradnja kako bi se rezultati istraživanja pretvorili u rješenja spremna za tržište. Tom reformom dopunjuju se napori u području istraživanja i inovacija koji se poduzimaju u okviru fondova kohezijske politike Unije.</w:t>
      </w:r>
    </w:p>
    <w:p w14:paraId="7A538E9B" w14:textId="77777777" w:rsidR="008273B8" w:rsidRDefault="00B93063">
      <w:pPr>
        <w:pStyle w:val="P68B1DB1-Normal3"/>
        <w:spacing w:line="240" w:lineRule="auto"/>
        <w:jc w:val="both"/>
        <w:rPr>
          <w:rFonts w:cs="Times New Roman"/>
          <w:noProof/>
        </w:rPr>
      </w:pPr>
      <w:r>
        <w:rPr>
          <w:noProof/>
        </w:rPr>
        <w:t>Reforma se provodi do 31. prosinca 2024.</w:t>
      </w:r>
    </w:p>
    <w:p w14:paraId="7A538E9C" w14:textId="77777777" w:rsidR="008273B8" w:rsidRDefault="00B93063">
      <w:pPr>
        <w:pStyle w:val="P68B1DB1-Normal5"/>
        <w:spacing w:line="240" w:lineRule="auto"/>
        <w:jc w:val="both"/>
        <w:rPr>
          <w:rFonts w:cs="Times New Roman"/>
          <w:noProof/>
        </w:rPr>
      </w:pPr>
      <w:r>
        <w:rPr>
          <w:noProof/>
        </w:rPr>
        <w:t>Ulaganje C3-I1: Jačanje otpornosti, sigurnosti i učinkovitosti državne digitalne okosnice i ulaganje u odgovarajuća digitalna rješenja, uređaje i alate</w:t>
      </w:r>
    </w:p>
    <w:p w14:paraId="7A538E9D" w14:textId="77777777" w:rsidR="008273B8" w:rsidRDefault="00B93063">
      <w:pPr>
        <w:pStyle w:val="P68B1DB1-Normal3"/>
        <w:spacing w:line="240" w:lineRule="auto"/>
        <w:jc w:val="both"/>
        <w:rPr>
          <w:rFonts w:cs="Times New Roman"/>
          <w:noProof/>
        </w:rPr>
      </w:pPr>
      <w:r>
        <w:rPr>
          <w:noProof/>
        </w:rPr>
        <w:t xml:space="preserve">Cilj je ulaganja poboljšati otpornost i sigurnost državne digitalne okosnice te povećati homogenost, standardizaciju i dijeljenje usluga u cijeloj vladi. Poboljšana sigurnost i fleksibilno okruženje ključni su za kontinuiranu digitalizaciju i kontinuitet poslovanja vlade. Digitalna okosnica trebala bi služiti i kao horizontalni interoperabilni temelj za provedbu, primjerice, načela „samo jednom” i razmjene podataka. Osim pozitivnog učinka na digitalne javne usluge, ulaganjem se poboljšava povezanost s poduzećima, primjerice olakšavanjem licenciranja. </w:t>
      </w:r>
    </w:p>
    <w:p w14:paraId="7A538E9E" w14:textId="4F6AA93D" w:rsidR="008273B8" w:rsidRDefault="00B93063">
      <w:pPr>
        <w:pStyle w:val="P68B1DB1-Normal3"/>
        <w:spacing w:line="240" w:lineRule="auto"/>
        <w:jc w:val="both"/>
        <w:rPr>
          <w:rFonts w:cs="Times New Roman"/>
          <w:noProof/>
        </w:rPr>
      </w:pPr>
      <w:r>
        <w:rPr>
          <w:noProof/>
        </w:rPr>
        <w:t>Ulaganje se sastoji od osmišljavanja, nabave i provedbe različitih digitalnih rješenja i komponenata u okviru digitalne okosnice kako bi se dodatno poboljšala opća sigurnost, otpornost i kapacitet okosnice (na primjer, poboljšanjem kapaciteta i otpornosti podatkovnih centara, provedbom alata za praćenje sigurnosti u oblaku, klasifikacijom podataka, upravljanjem povlaštenim računima, usvajanjem novih tehnologija kao što je umjetna inteligencija, uvođenjem najsuvremenijeg centra za sigurnosne operacije i ulaganjem u alate i drugu infrastrukturu za kibersigurnost). Ulaganje u alate dopunit će se digitalnim osposobljavanjem javnih službenika i kampanjama za podizanje svijesti, posebno u području kibersigurnosti. Ulaganjem se omogućuje i dokazivanje koncepata čiji je cilj stvaranje novih i poboljšanih usluga kako bi se poboljšalo sigurno digitalno iskustvo korisnika.</w:t>
      </w:r>
    </w:p>
    <w:p w14:paraId="7A538E9F" w14:textId="77777777" w:rsidR="008273B8" w:rsidRDefault="00B93063">
      <w:pPr>
        <w:pStyle w:val="P68B1DB1-Normal3"/>
        <w:spacing w:line="240" w:lineRule="auto"/>
        <w:jc w:val="both"/>
        <w:rPr>
          <w:rFonts w:cs="Times New Roman"/>
          <w:noProof/>
        </w:rPr>
      </w:pPr>
      <w:r>
        <w:rPr>
          <w:noProof/>
        </w:rPr>
        <w:t>Ulaganje se provodi do 31. prosinca 2025.</w:t>
      </w:r>
    </w:p>
    <w:p w14:paraId="7A538EA0" w14:textId="77777777" w:rsidR="008273B8" w:rsidRDefault="00B93063">
      <w:pPr>
        <w:rPr>
          <w:rFonts w:ascii="Times New Roman" w:hAnsi="Times New Roman" w:cs="Times New Roman"/>
          <w:noProof/>
          <w:sz w:val="24"/>
        </w:rPr>
      </w:pPr>
      <w:r>
        <w:rPr>
          <w:noProof/>
        </w:rPr>
        <w:br w:type="page"/>
      </w:r>
    </w:p>
    <w:p w14:paraId="7A538EA1" w14:textId="77777777" w:rsidR="008273B8" w:rsidRDefault="00B93063">
      <w:pPr>
        <w:pStyle w:val="P68B1DB1-Normal5"/>
        <w:spacing w:line="240" w:lineRule="auto"/>
        <w:jc w:val="both"/>
        <w:rPr>
          <w:rFonts w:cs="Times New Roman"/>
          <w:noProof/>
        </w:rPr>
      </w:pPr>
      <w:r>
        <w:rPr>
          <w:noProof/>
        </w:rPr>
        <w:t>Ulaganje C3-I2: Digitalizacija Uprave za trgovačku mornaricu u Malti</w:t>
      </w:r>
    </w:p>
    <w:p w14:paraId="7A538EA2" w14:textId="49EB797A" w:rsidR="008273B8" w:rsidRDefault="00B93063">
      <w:pPr>
        <w:pStyle w:val="P68B1DB1-Normal3"/>
        <w:spacing w:line="240" w:lineRule="auto"/>
        <w:jc w:val="both"/>
        <w:rPr>
          <w:rFonts w:cs="Times New Roman"/>
          <w:noProof/>
        </w:rPr>
      </w:pPr>
      <w:r>
        <w:rPr>
          <w:noProof/>
        </w:rPr>
        <w:t xml:space="preserve">Cilj je ulaganja dodatno digitalizirati sektor trgovačkog pomorskog prometa, što je od iznimne važnosti za Maltu. Ulaganje u digitalne usluge i infrastrukturu u oblaku pomaže osigurati učinkovitiju regulatornu praksu i poboljšati unutarnje poslovanje, odnose s korisnicima i administraciju u malteškoj Upravi za trgovačku mornaricu. </w:t>
      </w:r>
    </w:p>
    <w:p w14:paraId="7A538EA3" w14:textId="77777777" w:rsidR="008273B8" w:rsidRDefault="00B93063">
      <w:pPr>
        <w:pStyle w:val="P68B1DB1-Normal3"/>
        <w:spacing w:line="240" w:lineRule="auto"/>
        <w:jc w:val="both"/>
        <w:rPr>
          <w:rFonts w:cs="Times New Roman"/>
          <w:noProof/>
        </w:rPr>
      </w:pPr>
      <w:r>
        <w:rPr>
          <w:noProof/>
        </w:rPr>
        <w:t>Ulaganje se sastoji od razvoja sljedećih informatičkih alata i sustava: sustav za upravljanje dokumentima, uključujući digitalizaciju fizičkih datoteka, sustav upravljanja plovilima, digitalno pomorsko sučelje (javno korisničko sučelje i privatno korisničko sučelje), sustav za upravljanje pomorcima, alat za pomorsku analitiku i modul za obračun. Nadalje, osoblje mora biti stručno osposobljeno i prekvalificirano za upotrebu razvijenih informatičkih sustava i alata. Ulaganje također omogućuje krajnjim klijentima da se prijave za usluge izravno putem sustava. Nadalje, ulaganje uključuje digitalizaciju brodskih datoteka. To se ulaganje temelji na prethodnom tehničkom radu u okviru Unijina Programa potpore strukturnim reformama i Instrumenta za tehničku potporu.</w:t>
      </w:r>
    </w:p>
    <w:p w14:paraId="7A538EA4" w14:textId="77777777" w:rsidR="008273B8" w:rsidRDefault="00B93063">
      <w:pPr>
        <w:pStyle w:val="P68B1DB1-Normal3"/>
        <w:spacing w:line="240" w:lineRule="auto"/>
        <w:jc w:val="both"/>
        <w:rPr>
          <w:rFonts w:cs="Times New Roman"/>
          <w:noProof/>
        </w:rPr>
      </w:pPr>
      <w:r>
        <w:rPr>
          <w:noProof/>
        </w:rPr>
        <w:t>Ulaganje se provodi do 31. prosinca 2025.</w:t>
      </w:r>
    </w:p>
    <w:p w14:paraId="7A538EA5" w14:textId="77777777" w:rsidR="008273B8" w:rsidRDefault="00B93063">
      <w:pPr>
        <w:pStyle w:val="P68B1DB1-Normal5"/>
        <w:spacing w:line="240" w:lineRule="auto"/>
        <w:jc w:val="both"/>
        <w:rPr>
          <w:rFonts w:eastAsia="Times New Roman" w:cs="Times New Roman"/>
          <w:noProof/>
        </w:rPr>
      </w:pPr>
      <w:r>
        <w:rPr>
          <w:noProof/>
        </w:rPr>
        <w:t>Ulaganje C3-I3: Daljnja digitalizacija i modernizacija javne uprave</w:t>
      </w:r>
    </w:p>
    <w:p w14:paraId="7A538EA6" w14:textId="69A021DF" w:rsidR="008273B8" w:rsidRDefault="00B93063">
      <w:pPr>
        <w:pStyle w:val="P68B1DB1-Normal3"/>
        <w:spacing w:line="240" w:lineRule="auto"/>
        <w:jc w:val="both"/>
        <w:rPr>
          <w:rFonts w:cs="Times New Roman"/>
          <w:noProof/>
        </w:rPr>
      </w:pPr>
      <w:r>
        <w:rPr>
          <w:noProof/>
        </w:rPr>
        <w:t>Cilj je ulaganja da javna uprava građanima i poslovnim organizacijama omogući bolje iskustvo korisnika, poveća korištenje internetskih usluga i u konačnici poveća konkurentnost malteškog gospodarstva. Cilj je tog ulaganja i razvoj modernih načina rada na daljinu za javne službenike, za koje se očekuje da će omogućiti javnoj upravi da bude uzorni poslodavac, uz istodobno osiguravanje kontinuiteta poslovanja, promicanje rodne ravnopravnosti (na primjer povećanjem fleksibilnosti) i brigu o okolišu.</w:t>
      </w:r>
    </w:p>
    <w:p w14:paraId="7A538EA7" w14:textId="77777777" w:rsidR="008273B8" w:rsidRDefault="00B93063">
      <w:pPr>
        <w:pStyle w:val="P68B1DB1-Normal3"/>
        <w:spacing w:line="240" w:lineRule="auto"/>
        <w:jc w:val="both"/>
        <w:rPr>
          <w:rFonts w:cs="Times New Roman"/>
          <w:noProof/>
        </w:rPr>
      </w:pPr>
      <w:r>
        <w:rPr>
          <w:noProof/>
        </w:rPr>
        <w:t>Ulaganje se sastoji od niza mjera usmjerenih na poboljšanje iskustva korisnika s internetskim uslugama:</w:t>
      </w:r>
    </w:p>
    <w:p w14:paraId="7A538EA8" w14:textId="77777777" w:rsidR="008273B8" w:rsidRDefault="00B93063">
      <w:pPr>
        <w:pStyle w:val="P68B1DB1-Normal3"/>
        <w:numPr>
          <w:ilvl w:val="0"/>
          <w:numId w:val="41"/>
        </w:numPr>
        <w:spacing w:line="259" w:lineRule="auto"/>
        <w:ind w:left="1080"/>
        <w:contextualSpacing/>
        <w:jc w:val="both"/>
        <w:rPr>
          <w:noProof/>
        </w:rPr>
      </w:pPr>
      <w:r>
        <w:rPr>
          <w:noProof/>
        </w:rPr>
        <w:t>restrukturiranje javnih i unutarnjih usluga kako bi se poboljšao postupak njihove isporuke, posebno njihovim pretvaranjem u radne procese, maksimalnim povećanjem mogućnosti automatizacije i integracijom s pomoćnim sustavima. U postupak restrukturiranja uključeni su i klijenti kako bi se odgovorilo na njihove glavne potrebe i izazove.</w:t>
      </w:r>
    </w:p>
    <w:p w14:paraId="7A538EA9" w14:textId="77777777" w:rsidR="008273B8" w:rsidRDefault="00B93063">
      <w:pPr>
        <w:pStyle w:val="P68B1DB1-Normal3"/>
        <w:numPr>
          <w:ilvl w:val="0"/>
          <w:numId w:val="41"/>
        </w:numPr>
        <w:spacing w:line="259" w:lineRule="auto"/>
        <w:ind w:left="1080"/>
        <w:contextualSpacing/>
        <w:jc w:val="both"/>
        <w:rPr>
          <w:noProof/>
        </w:rPr>
      </w:pPr>
      <w:r>
        <w:rPr>
          <w:noProof/>
        </w:rPr>
        <w:t xml:space="preserve">poboljšanje iskustva krajnjih korisnika u fizičkim središtima (na primjer, osiguravanjem potrebnih digitalnih alata službenicima za skrb korisnicima i provedbom sustava čekanja u redu kojim se upravlja na središnjoj razini) i na internetu (na primjer, upotrebom rješenja umjetne inteligencije kako bi se procesi olakšali s pomoću alata za analizu raspoloženja teksta/govora/govora u tekstu i uređaja za obradu prirodnog jezika). </w:t>
      </w:r>
    </w:p>
    <w:p w14:paraId="7A538EAA" w14:textId="77777777" w:rsidR="008273B8" w:rsidRDefault="00B93063">
      <w:pPr>
        <w:pStyle w:val="P68B1DB1-Normal3"/>
        <w:numPr>
          <w:ilvl w:val="0"/>
          <w:numId w:val="41"/>
        </w:numPr>
        <w:spacing w:line="259" w:lineRule="auto"/>
        <w:ind w:left="1080"/>
        <w:contextualSpacing/>
        <w:jc w:val="both"/>
        <w:rPr>
          <w:noProof/>
        </w:rPr>
      </w:pPr>
      <w:r>
        <w:rPr>
          <w:noProof/>
        </w:rPr>
        <w:t xml:space="preserve">stvaranje platforme koja povezuje sve dionike uključene u postupak prijenosa imovine (kao što su banke, javni bilježnici, zemljišne knjige, javni registar i komunalne usluge) i koja se temelji na tehnologiji decentraliziranog vođenja evidencije transakcija kako bi se olakšao postupak prijenosa vlasništva nad imovinom. </w:t>
      </w:r>
    </w:p>
    <w:p w14:paraId="7A538EAB" w14:textId="77777777" w:rsidR="008273B8" w:rsidRDefault="00B93063">
      <w:pPr>
        <w:pStyle w:val="P68B1DB1-Normal3"/>
        <w:numPr>
          <w:ilvl w:val="0"/>
          <w:numId w:val="41"/>
        </w:numPr>
        <w:spacing w:line="259" w:lineRule="auto"/>
        <w:ind w:left="1080"/>
        <w:contextualSpacing/>
        <w:jc w:val="both"/>
        <w:rPr>
          <w:noProof/>
        </w:rPr>
      </w:pPr>
      <w:r>
        <w:rPr>
          <w:noProof/>
        </w:rPr>
        <w:t>uspostava osnovnih i administrativnih registara za razmjenu i ponovnu uporabu podataka u skladu s Direktivom (EU) 2019/1024 o otvorenim podacima kako bi se doprinijelo pojednostavnjenju administrativnih postupaka i postizanju načela „samo jednom”; i</w:t>
      </w:r>
    </w:p>
    <w:p w14:paraId="7A538EAC" w14:textId="77777777" w:rsidR="008273B8" w:rsidRDefault="00B93063">
      <w:pPr>
        <w:pStyle w:val="P68B1DB1-Normal3"/>
        <w:numPr>
          <w:ilvl w:val="0"/>
          <w:numId w:val="41"/>
        </w:numPr>
        <w:spacing w:after="360" w:line="259" w:lineRule="auto"/>
        <w:ind w:left="1080"/>
        <w:contextualSpacing/>
        <w:jc w:val="both"/>
        <w:rPr>
          <w:noProof/>
        </w:rPr>
      </w:pPr>
      <w:r>
        <w:rPr>
          <w:noProof/>
        </w:rPr>
        <w:t xml:space="preserve">uvođenje jedinstvenog nacionalnog sučelja za carinu kako bi se doprinijelo potpunoj digitalizaciji i automatizaciji postupka carinjenja robe. </w:t>
      </w:r>
    </w:p>
    <w:p w14:paraId="7A538EAD" w14:textId="77777777" w:rsidR="008273B8" w:rsidRDefault="00B93063">
      <w:pPr>
        <w:pStyle w:val="P68B1DB1-Normal3"/>
        <w:spacing w:before="240" w:line="240" w:lineRule="auto"/>
        <w:jc w:val="both"/>
        <w:rPr>
          <w:rFonts w:cs="Times New Roman"/>
          <w:noProof/>
        </w:rPr>
      </w:pPr>
      <w:r>
        <w:rPr>
          <w:noProof/>
        </w:rPr>
        <w:t xml:space="preserve">Ulaganje će služiti i za daljnji razvoj rješenja za rad na daljinu za javne službenike, među ostalim jačanjem modernog digitalnog radnog mjesta, platforme za rad na daljinu koja se na Malti provodi od 2019. Taj dio ulaganja sastoji se od osiguravanja potrebnog hardvera i softvera kako bi se javnim službenicima omogućio rad na daljinu. </w:t>
      </w:r>
    </w:p>
    <w:p w14:paraId="7A538EAE" w14:textId="77777777" w:rsidR="008273B8" w:rsidRDefault="00B93063">
      <w:pPr>
        <w:pStyle w:val="P68B1DB1-Normal3"/>
        <w:spacing w:line="240" w:lineRule="auto"/>
        <w:jc w:val="both"/>
        <w:rPr>
          <w:rFonts w:cs="Times New Roman"/>
          <w:noProof/>
        </w:rPr>
      </w:pPr>
      <w:r>
        <w:rPr>
          <w:noProof/>
        </w:rPr>
        <w:t>Ulaganje se provodi do 31. prosinca 2025.</w:t>
      </w:r>
    </w:p>
    <w:p w14:paraId="7A538EAF" w14:textId="77777777" w:rsidR="008273B8" w:rsidRDefault="00B93063">
      <w:pPr>
        <w:pStyle w:val="P68B1DB1-Normal5"/>
        <w:spacing w:line="240" w:lineRule="auto"/>
        <w:jc w:val="both"/>
        <w:rPr>
          <w:rFonts w:cs="Times New Roman"/>
          <w:noProof/>
        </w:rPr>
      </w:pPr>
      <w:r>
        <w:rPr>
          <w:noProof/>
        </w:rPr>
        <w:t>Ulaganje C3-I4: Uvođenje mjera za jačanje digitalizacije privatnog sektora</w:t>
      </w:r>
    </w:p>
    <w:p w14:paraId="7A538EB0" w14:textId="77777777" w:rsidR="008273B8" w:rsidRDefault="00B93063">
      <w:pPr>
        <w:pStyle w:val="P68B1DB1-Normal3"/>
        <w:spacing w:line="240" w:lineRule="auto"/>
        <w:jc w:val="both"/>
        <w:rPr>
          <w:rFonts w:cs="Times New Roman"/>
          <w:noProof/>
        </w:rPr>
      </w:pPr>
      <w:r>
        <w:rPr>
          <w:noProof/>
        </w:rPr>
        <w:t xml:space="preserve">Cilj je ulaganja poduprijeti poduzeća u njihovim nastojanjima u području digitalizacije uklanjanjem nedostataka u mogućnostima financiranja. Ulaganjem se podupiru poduzeća u stjecanju novih digitalnih kapaciteta i digitalizaciji </w:t>
      </w:r>
      <w:r>
        <w:rPr>
          <w:noProof/>
          <w:color w:val="000000" w:themeColor="text1"/>
        </w:rPr>
        <w:t xml:space="preserve">operativnih procesa kao što su </w:t>
      </w:r>
      <w:r>
        <w:rPr>
          <w:noProof/>
        </w:rPr>
        <w:t>dizajn proizvoda i postupaka, nabava s kraja na kraj, lanac opskrbe/distribucija i nakon prodaje.</w:t>
      </w:r>
    </w:p>
    <w:p w14:paraId="7A538EB1" w14:textId="3F405F13" w:rsidR="008273B8" w:rsidRDefault="00B93063">
      <w:pPr>
        <w:pStyle w:val="P68B1DB1-Normal3"/>
        <w:spacing w:line="240" w:lineRule="auto"/>
        <w:jc w:val="both"/>
        <w:rPr>
          <w:rFonts w:cs="Times New Roman"/>
          <w:noProof/>
        </w:rPr>
      </w:pPr>
      <w:r>
        <w:rPr>
          <w:noProof/>
        </w:rPr>
        <w:t>Ulaganje se sastoji od programa bespovratnih sredstava za poduzeća koja ulažu u digitalizaciju (uključujući hardver, softver i digitalna rješenja) kako bi unaprijedila svoje poslovanje i istražila nove poslovne mogućnosti. Programima bespovratnih sredstava prvenstveno se podupiru MSP-ovi (uključujući mikropoduzeća i samozaposlene osobe), čime se osigurava komplementarnost s potporom koja se pruža u okviru drugih programa financiranja EU-a.</w:t>
      </w:r>
    </w:p>
    <w:p w14:paraId="7A538EB2" w14:textId="555433D4" w:rsidR="008273B8" w:rsidRDefault="00B93063">
      <w:pPr>
        <w:pStyle w:val="P68B1DB1-Normal3"/>
        <w:spacing w:line="240" w:lineRule="auto"/>
        <w:jc w:val="both"/>
        <w:rPr>
          <w:rFonts w:eastAsia="Times New Roman" w:cs="Times New Roman"/>
          <w:noProof/>
        </w:rPr>
      </w:pPr>
      <w:r>
        <w:rPr>
          <w:noProof/>
        </w:rPr>
        <w:t xml:space="preserve">Potpora je dostupna poduzećima koja posluju u različitim gospodarskim sektorima, uključujući veleprodaju i maloprodaju, turizam (uključujući kulturu) i proizvodnju. </w:t>
      </w:r>
      <w:r>
        <w:rPr>
          <w:noProof/>
          <w:color w:val="000000" w:themeColor="text1"/>
        </w:rPr>
        <w:t>Opseg ulaganja koja se podupiru</w:t>
      </w:r>
      <w:r>
        <w:rPr>
          <w:noProof/>
        </w:rPr>
        <w:t>u različitim sektorima obuhvaća i upravljanje životnim ciklusom proizvoda, analizu životnog ciklusa, internet stvari, kibersigurnost i zaštitu podataka, kiberfizičke sustave, proširenu stvarnost, umjetnu inteligenciju, kružnu proizvodnju, autonomna rješenja, velike količine podataka i upravljanje podacima te sustave za potporu odlučivanju.</w:t>
      </w:r>
    </w:p>
    <w:p w14:paraId="7A538EB3" w14:textId="77777777" w:rsidR="008273B8" w:rsidRDefault="00B93063">
      <w:pPr>
        <w:pStyle w:val="P68B1DB1-Normal3"/>
        <w:spacing w:line="240" w:lineRule="auto"/>
        <w:jc w:val="both"/>
        <w:rPr>
          <w:rFonts w:cs="Times New Roman"/>
          <w:noProof/>
        </w:rPr>
      </w:pPr>
      <w:r>
        <w:rPr>
          <w:noProof/>
          <w:color w:val="000000" w:themeColor="text1"/>
        </w:rPr>
        <w:t>Kako bi se osigurala usklađenost mjere s Tehničkim smjernicama o nenanošenju bitne štete (2021/C58/01), kriteriji prihvatljivosti sadržani u opisu poslova za predstojeće pozive na podnošenje projekata isključuju sljedeći popis aktivnosti: i. djelatnosti povezane</w:t>
      </w:r>
      <w:r>
        <w:rPr>
          <w:noProof/>
        </w:rPr>
        <w:t xml:space="preserve"> s fosilnim gorivima, uključujući daljnju uporabu</w:t>
      </w:r>
      <w:r>
        <w:rPr>
          <w:noProof/>
        </w:rPr>
        <w:footnoteReference w:id="3"/>
      </w:r>
      <w:r>
        <w:rPr>
          <w:noProof/>
        </w:rPr>
        <w:t>; ii. aktivnosti u okviru sustava EU-a za trgovanje emisijama (ETS) kojima se postižu predviđene emisije stakleničkih plinova koje nisu niže od relevantnih referentnih vrijednosti</w:t>
      </w:r>
      <w:r>
        <w:rPr>
          <w:noProof/>
        </w:rPr>
        <w:footnoteReference w:id="4"/>
      </w:r>
      <w:r>
        <w:rPr>
          <w:noProof/>
        </w:rPr>
        <w:t>; iii. aktivnosti povezane s odlagalištima otpada, spalionicama</w:t>
      </w:r>
      <w:r>
        <w:rPr>
          <w:noProof/>
        </w:rPr>
        <w:footnoteReference w:id="5"/>
      </w:r>
      <w:r>
        <w:rPr>
          <w:noProof/>
        </w:rPr>
        <w:t xml:space="preserve"> i postrojenjima za mehaničko-biološku obradu</w:t>
      </w:r>
      <w:r>
        <w:rPr>
          <w:noProof/>
        </w:rPr>
        <w:footnoteReference w:id="6"/>
      </w:r>
      <w:r>
        <w:rPr>
          <w:noProof/>
        </w:rPr>
        <w:t>; i iv. djelatnosti u kojima dugoročno odlaganje otpada može naštetiti okolišu. Opis poslova dodatno zahtijeva da se mogu odabrati samo aktivnosti koje su u skladu s relevantnim zakonodavstvom EU-a i nacionalnim zakonodavstvom u području okoliša.</w:t>
      </w:r>
    </w:p>
    <w:p w14:paraId="7A538EB4" w14:textId="77777777" w:rsidR="008273B8" w:rsidRDefault="00B93063">
      <w:pPr>
        <w:pStyle w:val="P68B1DB1-Normal3"/>
        <w:spacing w:line="240" w:lineRule="auto"/>
        <w:jc w:val="both"/>
        <w:rPr>
          <w:rFonts w:cs="Times New Roman"/>
          <w:noProof/>
        </w:rPr>
      </w:pPr>
      <w:r>
        <w:rPr>
          <w:noProof/>
        </w:rPr>
        <w:t>Ulaganje se provodi do 30. lipnja 2026.</w:t>
      </w:r>
    </w:p>
    <w:p w14:paraId="7A538EB5" w14:textId="77777777" w:rsidR="008273B8" w:rsidRDefault="008273B8">
      <w:pPr>
        <w:pStyle w:val="Text1"/>
        <w:rPr>
          <w:noProof/>
        </w:rPr>
        <w:sectPr w:rsidR="008273B8">
          <w:headerReference w:type="even" r:id="rId42"/>
          <w:headerReference w:type="default" r:id="rId43"/>
          <w:footerReference w:type="even" r:id="rId44"/>
          <w:footerReference w:type="default" r:id="rId45"/>
          <w:headerReference w:type="first" r:id="rId46"/>
          <w:footerReference w:type="first" r:id="rId47"/>
          <w:pgSz w:w="11907" w:h="16839"/>
          <w:pgMar w:top="1134" w:right="1134" w:bottom="1134" w:left="1134" w:header="567" w:footer="567" w:gutter="0"/>
          <w:cols w:space="720"/>
          <w:docGrid w:linePitch="360"/>
        </w:sectPr>
      </w:pPr>
    </w:p>
    <w:p w14:paraId="7A538EB6" w14:textId="77777777" w:rsidR="008273B8" w:rsidRDefault="00B93063">
      <w:pPr>
        <w:pStyle w:val="P68B1DB1-ManualHeading34"/>
        <w:spacing w:before="240" w:after="240"/>
        <w:rPr>
          <w:noProof/>
        </w:rPr>
      </w:pPr>
      <w:r>
        <w:rPr>
          <w:noProof/>
        </w:rPr>
        <w:t xml:space="preserve">C.2. </w:t>
      </w:r>
      <w:r>
        <w:rPr>
          <w:noProof/>
        </w:rPr>
        <w:tab/>
      </w:r>
      <w:r>
        <w:rPr>
          <w:noProof/>
          <w:u w:val="single"/>
        </w:rPr>
        <w:t>Ključne etape, ciljne vrijednosti, pokazatelji i rokovi za praćenje i provedbu bespovratne financijske potpore</w:t>
      </w:r>
    </w:p>
    <w:tbl>
      <w:tblPr>
        <w:tblW w:w="16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7"/>
        <w:gridCol w:w="1144"/>
        <w:gridCol w:w="988"/>
        <w:gridCol w:w="1523"/>
        <w:gridCol w:w="1937"/>
        <w:gridCol w:w="1194"/>
        <w:gridCol w:w="889"/>
        <w:gridCol w:w="994"/>
        <w:gridCol w:w="709"/>
        <w:gridCol w:w="751"/>
        <w:gridCol w:w="4919"/>
      </w:tblGrid>
      <w:tr w:rsidR="008273B8" w14:paraId="7A538EBF" w14:textId="77777777">
        <w:trPr>
          <w:cantSplit/>
          <w:tblHeader/>
          <w:jc w:val="center"/>
        </w:trPr>
        <w:tc>
          <w:tcPr>
            <w:tcW w:w="1107" w:type="dxa"/>
            <w:vMerge w:val="restart"/>
            <w:shd w:val="clear" w:color="auto" w:fill="BDD7EE"/>
            <w:vAlign w:val="center"/>
            <w:hideMark/>
          </w:tcPr>
          <w:p w14:paraId="7A538EB7" w14:textId="77777777" w:rsidR="008273B8" w:rsidRDefault="00B93063">
            <w:pPr>
              <w:pStyle w:val="P68B1DB1-Normal6"/>
              <w:spacing w:after="0" w:line="240" w:lineRule="auto"/>
              <w:jc w:val="center"/>
              <w:rPr>
                <w:rFonts w:eastAsia="Times New Roman" w:cs="Times New Roman"/>
                <w:noProof/>
              </w:rPr>
            </w:pPr>
            <w:r>
              <w:rPr>
                <w:noProof/>
              </w:rPr>
              <w:t>Redni broj</w:t>
            </w:r>
          </w:p>
        </w:tc>
        <w:tc>
          <w:tcPr>
            <w:tcW w:w="1144" w:type="dxa"/>
            <w:vMerge w:val="restart"/>
            <w:shd w:val="clear" w:color="auto" w:fill="BDD7EE"/>
            <w:vAlign w:val="center"/>
            <w:hideMark/>
          </w:tcPr>
          <w:p w14:paraId="7A538EB8" w14:textId="77777777" w:rsidR="008273B8" w:rsidRDefault="00B93063">
            <w:pPr>
              <w:pStyle w:val="P68B1DB1-Normal6"/>
              <w:spacing w:after="0" w:line="240" w:lineRule="auto"/>
              <w:jc w:val="center"/>
              <w:rPr>
                <w:rFonts w:eastAsia="Times New Roman" w:cs="Times New Roman"/>
                <w:noProof/>
              </w:rPr>
            </w:pPr>
            <w:r>
              <w:rPr>
                <w:noProof/>
              </w:rPr>
              <w:t>Povezana mjera (reforma ili ulaganje)</w:t>
            </w:r>
          </w:p>
        </w:tc>
        <w:tc>
          <w:tcPr>
            <w:tcW w:w="988" w:type="dxa"/>
            <w:vMerge w:val="restart"/>
            <w:shd w:val="clear" w:color="auto" w:fill="BDD7EE"/>
            <w:vAlign w:val="center"/>
            <w:hideMark/>
          </w:tcPr>
          <w:p w14:paraId="7A538EB9" w14:textId="77777777" w:rsidR="008273B8" w:rsidRDefault="00B93063">
            <w:pPr>
              <w:pStyle w:val="P68B1DB1-Normal6"/>
              <w:spacing w:after="0" w:line="240" w:lineRule="auto"/>
              <w:jc w:val="center"/>
              <w:rPr>
                <w:rFonts w:eastAsia="Times New Roman" w:cs="Times New Roman"/>
                <w:noProof/>
              </w:rPr>
            </w:pPr>
            <w:r>
              <w:rPr>
                <w:noProof/>
              </w:rPr>
              <w:t>Ključna etapa/cilj</w:t>
            </w:r>
          </w:p>
        </w:tc>
        <w:tc>
          <w:tcPr>
            <w:tcW w:w="1523" w:type="dxa"/>
            <w:vMerge w:val="restart"/>
            <w:shd w:val="clear" w:color="auto" w:fill="BDD7EE"/>
            <w:vAlign w:val="center"/>
            <w:hideMark/>
          </w:tcPr>
          <w:p w14:paraId="7A538EBA" w14:textId="77777777" w:rsidR="008273B8" w:rsidRDefault="00B93063">
            <w:pPr>
              <w:pStyle w:val="P68B1DB1-Normal6"/>
              <w:spacing w:after="0" w:line="240" w:lineRule="auto"/>
              <w:jc w:val="center"/>
              <w:rPr>
                <w:rFonts w:eastAsia="Times New Roman" w:cs="Times New Roman"/>
                <w:noProof/>
              </w:rPr>
            </w:pPr>
            <w:r>
              <w:rPr>
                <w:noProof/>
              </w:rPr>
              <w:t>Ime</w:t>
            </w:r>
          </w:p>
        </w:tc>
        <w:tc>
          <w:tcPr>
            <w:tcW w:w="1937" w:type="dxa"/>
            <w:vMerge w:val="restart"/>
            <w:shd w:val="clear" w:color="auto" w:fill="BDD7EE"/>
            <w:vAlign w:val="center"/>
            <w:hideMark/>
          </w:tcPr>
          <w:p w14:paraId="7A538EBB" w14:textId="77777777" w:rsidR="008273B8" w:rsidRDefault="00B93063">
            <w:pPr>
              <w:spacing w:after="0" w:line="240" w:lineRule="auto"/>
              <w:jc w:val="center"/>
              <w:rPr>
                <w:rFonts w:ascii="Times New Roman" w:eastAsia="Times New Roman" w:hAnsi="Times New Roman" w:cs="Times New Roman"/>
                <w:b/>
                <w:noProof/>
                <w:sz w:val="18"/>
              </w:rPr>
            </w:pPr>
            <w:r>
              <w:rPr>
                <w:rFonts w:ascii="Times New Roman" w:hAnsi="Times New Roman"/>
                <w:b/>
                <w:noProof/>
                <w:sz w:val="18"/>
              </w:rPr>
              <w:t>Kvalitativni pokazatelji</w:t>
            </w:r>
            <w:r>
              <w:rPr>
                <w:noProof/>
              </w:rPr>
              <w:br/>
            </w:r>
            <w:r>
              <w:rPr>
                <w:rFonts w:ascii="Times New Roman" w:hAnsi="Times New Roman"/>
                <w:b/>
                <w:noProof/>
                <w:sz w:val="18"/>
              </w:rPr>
              <w:t>(za ključne etape)</w:t>
            </w:r>
          </w:p>
        </w:tc>
        <w:tc>
          <w:tcPr>
            <w:tcW w:w="3077" w:type="dxa"/>
            <w:gridSpan w:val="3"/>
            <w:shd w:val="clear" w:color="auto" w:fill="BDD7EE"/>
            <w:vAlign w:val="center"/>
            <w:hideMark/>
          </w:tcPr>
          <w:p w14:paraId="7A538EBC" w14:textId="77777777" w:rsidR="008273B8" w:rsidRDefault="00B93063">
            <w:pPr>
              <w:spacing w:after="0" w:line="240" w:lineRule="auto"/>
              <w:jc w:val="center"/>
              <w:rPr>
                <w:rFonts w:ascii="Times New Roman" w:eastAsia="Times New Roman" w:hAnsi="Times New Roman" w:cs="Times New Roman"/>
                <w:b/>
                <w:noProof/>
                <w:sz w:val="18"/>
              </w:rPr>
            </w:pPr>
            <w:r>
              <w:rPr>
                <w:rFonts w:ascii="Times New Roman" w:hAnsi="Times New Roman"/>
                <w:b/>
                <w:noProof/>
                <w:sz w:val="18"/>
              </w:rPr>
              <w:t>Kvantitativni pokazatelji</w:t>
            </w:r>
            <w:r>
              <w:rPr>
                <w:noProof/>
              </w:rPr>
              <w:br/>
            </w:r>
            <w:r>
              <w:rPr>
                <w:rFonts w:ascii="Times New Roman" w:hAnsi="Times New Roman"/>
                <w:b/>
                <w:noProof/>
                <w:sz w:val="18"/>
              </w:rPr>
              <w:t>(za ciljne vrijednosti)</w:t>
            </w:r>
          </w:p>
        </w:tc>
        <w:tc>
          <w:tcPr>
            <w:tcW w:w="1460" w:type="dxa"/>
            <w:gridSpan w:val="2"/>
            <w:shd w:val="clear" w:color="auto" w:fill="BDD7EE"/>
            <w:vAlign w:val="center"/>
            <w:hideMark/>
          </w:tcPr>
          <w:p w14:paraId="7A538EBD" w14:textId="1A552D46" w:rsidR="008273B8" w:rsidRDefault="00B93063">
            <w:pPr>
              <w:spacing w:after="0" w:line="240" w:lineRule="auto"/>
              <w:jc w:val="center"/>
              <w:rPr>
                <w:rFonts w:ascii="Times New Roman" w:eastAsia="Times New Roman" w:hAnsi="Times New Roman" w:cs="Times New Roman"/>
                <w:b/>
                <w:noProof/>
                <w:sz w:val="18"/>
              </w:rPr>
            </w:pPr>
            <w:r>
              <w:rPr>
                <w:rFonts w:ascii="Times New Roman" w:hAnsi="Times New Roman"/>
                <w:b/>
                <w:noProof/>
                <w:sz w:val="18"/>
              </w:rPr>
              <w:t>Vremenski okvir za dovršetak</w:t>
            </w:r>
            <w:r>
              <w:rPr>
                <w:noProof/>
              </w:rPr>
              <w:br/>
            </w:r>
          </w:p>
        </w:tc>
        <w:tc>
          <w:tcPr>
            <w:tcW w:w="4919" w:type="dxa"/>
            <w:vMerge w:val="restart"/>
            <w:shd w:val="clear" w:color="auto" w:fill="BDD7EE"/>
            <w:vAlign w:val="center"/>
            <w:hideMark/>
          </w:tcPr>
          <w:p w14:paraId="7A538EBE" w14:textId="50B6A76D" w:rsidR="008273B8" w:rsidRDefault="00B93063">
            <w:pPr>
              <w:pStyle w:val="P68B1DB1-Normal6"/>
              <w:spacing w:after="0" w:line="240" w:lineRule="auto"/>
              <w:jc w:val="center"/>
              <w:rPr>
                <w:rFonts w:eastAsia="Times New Roman" w:cs="Times New Roman"/>
                <w:noProof/>
              </w:rPr>
            </w:pPr>
            <w:r>
              <w:rPr>
                <w:noProof/>
              </w:rPr>
              <w:t>Opis svake ključne etape i ciljne vrijednosti</w:t>
            </w:r>
          </w:p>
        </w:tc>
      </w:tr>
      <w:tr w:rsidR="008273B8" w14:paraId="7A538ECB" w14:textId="77777777">
        <w:trPr>
          <w:cantSplit/>
          <w:tblHeader/>
          <w:jc w:val="center"/>
        </w:trPr>
        <w:tc>
          <w:tcPr>
            <w:tcW w:w="1107" w:type="dxa"/>
            <w:vMerge/>
            <w:vAlign w:val="center"/>
            <w:hideMark/>
          </w:tcPr>
          <w:p w14:paraId="7A538EC0" w14:textId="77777777" w:rsidR="008273B8" w:rsidRDefault="008273B8">
            <w:pPr>
              <w:spacing w:after="0" w:line="240" w:lineRule="auto"/>
              <w:rPr>
                <w:rFonts w:ascii="Times New Roman" w:eastAsia="Times New Roman" w:hAnsi="Times New Roman" w:cs="Times New Roman"/>
                <w:b/>
                <w:noProof/>
                <w:sz w:val="18"/>
              </w:rPr>
            </w:pPr>
          </w:p>
        </w:tc>
        <w:tc>
          <w:tcPr>
            <w:tcW w:w="1144" w:type="dxa"/>
            <w:vMerge/>
            <w:vAlign w:val="center"/>
            <w:hideMark/>
          </w:tcPr>
          <w:p w14:paraId="7A538EC1" w14:textId="77777777" w:rsidR="008273B8" w:rsidRDefault="008273B8">
            <w:pPr>
              <w:spacing w:after="0" w:line="240" w:lineRule="auto"/>
              <w:rPr>
                <w:rFonts w:ascii="Times New Roman" w:eastAsia="Times New Roman" w:hAnsi="Times New Roman" w:cs="Times New Roman"/>
                <w:b/>
                <w:noProof/>
                <w:sz w:val="18"/>
              </w:rPr>
            </w:pPr>
          </w:p>
        </w:tc>
        <w:tc>
          <w:tcPr>
            <w:tcW w:w="988" w:type="dxa"/>
            <w:vMerge/>
            <w:vAlign w:val="center"/>
            <w:hideMark/>
          </w:tcPr>
          <w:p w14:paraId="7A538EC2" w14:textId="77777777" w:rsidR="008273B8" w:rsidRDefault="008273B8">
            <w:pPr>
              <w:spacing w:after="0" w:line="240" w:lineRule="auto"/>
              <w:rPr>
                <w:rFonts w:ascii="Times New Roman" w:eastAsia="Times New Roman" w:hAnsi="Times New Roman" w:cs="Times New Roman"/>
                <w:b/>
                <w:noProof/>
                <w:sz w:val="18"/>
              </w:rPr>
            </w:pPr>
          </w:p>
        </w:tc>
        <w:tc>
          <w:tcPr>
            <w:tcW w:w="1523" w:type="dxa"/>
            <w:vMerge/>
            <w:vAlign w:val="center"/>
            <w:hideMark/>
          </w:tcPr>
          <w:p w14:paraId="7A538EC3" w14:textId="77777777" w:rsidR="008273B8" w:rsidRDefault="008273B8">
            <w:pPr>
              <w:spacing w:after="0" w:line="240" w:lineRule="auto"/>
              <w:rPr>
                <w:rFonts w:ascii="Times New Roman" w:eastAsia="Times New Roman" w:hAnsi="Times New Roman" w:cs="Times New Roman"/>
                <w:b/>
                <w:noProof/>
                <w:sz w:val="18"/>
              </w:rPr>
            </w:pPr>
          </w:p>
        </w:tc>
        <w:tc>
          <w:tcPr>
            <w:tcW w:w="1937" w:type="dxa"/>
            <w:vMerge/>
            <w:vAlign w:val="center"/>
            <w:hideMark/>
          </w:tcPr>
          <w:p w14:paraId="7A538EC4" w14:textId="77777777" w:rsidR="008273B8" w:rsidRDefault="008273B8">
            <w:pPr>
              <w:spacing w:after="0" w:line="240" w:lineRule="auto"/>
              <w:rPr>
                <w:rFonts w:ascii="Times New Roman" w:eastAsia="Times New Roman" w:hAnsi="Times New Roman" w:cs="Times New Roman"/>
                <w:b/>
                <w:noProof/>
                <w:sz w:val="18"/>
              </w:rPr>
            </w:pPr>
          </w:p>
        </w:tc>
        <w:tc>
          <w:tcPr>
            <w:tcW w:w="1194" w:type="dxa"/>
            <w:shd w:val="clear" w:color="auto" w:fill="BDD7EE"/>
            <w:vAlign w:val="center"/>
            <w:hideMark/>
          </w:tcPr>
          <w:p w14:paraId="7A538EC5" w14:textId="77777777" w:rsidR="008273B8" w:rsidRDefault="00B93063">
            <w:pPr>
              <w:pStyle w:val="P68B1DB1-Normal6"/>
              <w:spacing w:after="0" w:line="240" w:lineRule="auto"/>
              <w:jc w:val="center"/>
              <w:rPr>
                <w:rFonts w:eastAsia="Times New Roman" w:cs="Times New Roman"/>
                <w:noProof/>
              </w:rPr>
            </w:pPr>
            <w:r>
              <w:rPr>
                <w:noProof/>
              </w:rPr>
              <w:t>Jedinica mjere</w:t>
            </w:r>
          </w:p>
        </w:tc>
        <w:tc>
          <w:tcPr>
            <w:tcW w:w="889" w:type="dxa"/>
            <w:shd w:val="clear" w:color="auto" w:fill="BDD7EE"/>
            <w:vAlign w:val="center"/>
            <w:hideMark/>
          </w:tcPr>
          <w:p w14:paraId="7A538EC6" w14:textId="77777777" w:rsidR="008273B8" w:rsidRDefault="00B93063">
            <w:pPr>
              <w:pStyle w:val="P68B1DB1-Normal6"/>
              <w:spacing w:after="0" w:line="240" w:lineRule="auto"/>
              <w:jc w:val="center"/>
              <w:rPr>
                <w:rFonts w:eastAsia="Times New Roman" w:cs="Times New Roman"/>
                <w:noProof/>
              </w:rPr>
            </w:pPr>
            <w:r>
              <w:rPr>
                <w:noProof/>
              </w:rPr>
              <w:t>Polazna vrijednost</w:t>
            </w:r>
          </w:p>
        </w:tc>
        <w:tc>
          <w:tcPr>
            <w:tcW w:w="994" w:type="dxa"/>
            <w:shd w:val="clear" w:color="auto" w:fill="BDD7EE"/>
            <w:vAlign w:val="center"/>
            <w:hideMark/>
          </w:tcPr>
          <w:p w14:paraId="7A538EC7" w14:textId="77777777" w:rsidR="008273B8" w:rsidRDefault="00B93063">
            <w:pPr>
              <w:pStyle w:val="P68B1DB1-Normal6"/>
              <w:spacing w:after="0" w:line="240" w:lineRule="auto"/>
              <w:jc w:val="center"/>
              <w:rPr>
                <w:rFonts w:eastAsia="Times New Roman" w:cs="Times New Roman"/>
                <w:noProof/>
              </w:rPr>
            </w:pPr>
            <w:r>
              <w:rPr>
                <w:noProof/>
              </w:rPr>
              <w:t>Cilj</w:t>
            </w:r>
          </w:p>
        </w:tc>
        <w:tc>
          <w:tcPr>
            <w:tcW w:w="709" w:type="dxa"/>
            <w:shd w:val="clear" w:color="auto" w:fill="BDD7EE"/>
            <w:vAlign w:val="center"/>
            <w:hideMark/>
          </w:tcPr>
          <w:p w14:paraId="7A538EC8" w14:textId="77777777" w:rsidR="008273B8" w:rsidRDefault="00B93063">
            <w:pPr>
              <w:pStyle w:val="P68B1DB1-Normal6"/>
              <w:spacing w:after="0" w:line="240" w:lineRule="auto"/>
              <w:jc w:val="center"/>
              <w:rPr>
                <w:rFonts w:eastAsia="Times New Roman" w:cs="Times New Roman"/>
                <w:noProof/>
              </w:rPr>
            </w:pPr>
            <w:r>
              <w:rPr>
                <w:noProof/>
              </w:rPr>
              <w:t>Tromjesečja</w:t>
            </w:r>
          </w:p>
        </w:tc>
        <w:tc>
          <w:tcPr>
            <w:tcW w:w="751" w:type="dxa"/>
            <w:shd w:val="clear" w:color="auto" w:fill="BDD7EE"/>
            <w:vAlign w:val="center"/>
            <w:hideMark/>
          </w:tcPr>
          <w:p w14:paraId="7A538EC9" w14:textId="77777777" w:rsidR="008273B8" w:rsidRDefault="00B93063">
            <w:pPr>
              <w:pStyle w:val="P68B1DB1-Normal6"/>
              <w:spacing w:after="0" w:line="240" w:lineRule="auto"/>
              <w:jc w:val="center"/>
              <w:rPr>
                <w:rFonts w:eastAsia="Times New Roman" w:cs="Times New Roman"/>
                <w:noProof/>
              </w:rPr>
            </w:pPr>
            <w:r>
              <w:rPr>
                <w:noProof/>
              </w:rPr>
              <w:t>Godina</w:t>
            </w:r>
          </w:p>
        </w:tc>
        <w:tc>
          <w:tcPr>
            <w:tcW w:w="4919" w:type="dxa"/>
            <w:vMerge/>
            <w:vAlign w:val="center"/>
            <w:hideMark/>
          </w:tcPr>
          <w:p w14:paraId="7A538ECA" w14:textId="77777777" w:rsidR="008273B8" w:rsidRDefault="008273B8">
            <w:pPr>
              <w:spacing w:after="0" w:line="240" w:lineRule="auto"/>
              <w:rPr>
                <w:rFonts w:ascii="Times New Roman" w:eastAsia="Times New Roman" w:hAnsi="Times New Roman" w:cs="Times New Roman"/>
                <w:b/>
                <w:noProof/>
                <w:sz w:val="18"/>
              </w:rPr>
            </w:pPr>
          </w:p>
        </w:tc>
      </w:tr>
      <w:tr w:rsidR="008273B8" w14:paraId="7A538ED7" w14:textId="77777777">
        <w:trPr>
          <w:cantSplit/>
          <w:jc w:val="center"/>
        </w:trPr>
        <w:tc>
          <w:tcPr>
            <w:tcW w:w="1107" w:type="dxa"/>
            <w:shd w:val="clear" w:color="auto" w:fill="C6EFCE"/>
            <w:vAlign w:val="center"/>
          </w:tcPr>
          <w:p w14:paraId="7A538ECC" w14:textId="77777777" w:rsidR="008273B8" w:rsidRDefault="00B93063">
            <w:pPr>
              <w:pStyle w:val="P68B1DB1-Normal7"/>
              <w:spacing w:after="0" w:line="240" w:lineRule="auto"/>
              <w:rPr>
                <w:rFonts w:eastAsia="Times New Roman" w:cs="Calibri"/>
                <w:noProof/>
              </w:rPr>
            </w:pPr>
            <w:r>
              <w:rPr>
                <w:noProof/>
              </w:rPr>
              <w:t>3.1</w:t>
            </w:r>
          </w:p>
        </w:tc>
        <w:tc>
          <w:tcPr>
            <w:tcW w:w="1144" w:type="dxa"/>
            <w:shd w:val="clear" w:color="auto" w:fill="C6EFCE"/>
            <w:vAlign w:val="center"/>
          </w:tcPr>
          <w:p w14:paraId="7A538ECD" w14:textId="77777777" w:rsidR="008273B8" w:rsidRDefault="00B93063">
            <w:pPr>
              <w:pStyle w:val="P68B1DB1-Normal7"/>
              <w:spacing w:after="0" w:line="240" w:lineRule="auto"/>
              <w:rPr>
                <w:rFonts w:eastAsia="Times New Roman" w:cs="Calibri"/>
                <w:noProof/>
              </w:rPr>
            </w:pPr>
            <w:r>
              <w:rPr>
                <w:noProof/>
              </w:rPr>
              <w:t xml:space="preserve">C3.R.1 </w:t>
            </w:r>
          </w:p>
        </w:tc>
        <w:tc>
          <w:tcPr>
            <w:tcW w:w="988" w:type="dxa"/>
            <w:shd w:val="clear" w:color="auto" w:fill="C6EFCE"/>
            <w:vAlign w:val="center"/>
          </w:tcPr>
          <w:p w14:paraId="7A538ECE" w14:textId="77777777" w:rsidR="008273B8" w:rsidRDefault="00B93063">
            <w:pPr>
              <w:pStyle w:val="P68B1DB1-Normal7"/>
              <w:spacing w:after="0" w:line="240" w:lineRule="auto"/>
              <w:rPr>
                <w:rFonts w:eastAsia="Times New Roman" w:cs="Calibri"/>
                <w:noProof/>
              </w:rPr>
            </w:pPr>
            <w:r>
              <w:rPr>
                <w:noProof/>
              </w:rPr>
              <w:t>Ključna etapa</w:t>
            </w:r>
          </w:p>
        </w:tc>
        <w:tc>
          <w:tcPr>
            <w:tcW w:w="1523" w:type="dxa"/>
            <w:shd w:val="clear" w:color="auto" w:fill="C6EFCE"/>
            <w:vAlign w:val="center"/>
          </w:tcPr>
          <w:p w14:paraId="7A538ECF" w14:textId="77777777" w:rsidR="008273B8" w:rsidRDefault="00B93063">
            <w:pPr>
              <w:pStyle w:val="P68B1DB1-Normal7"/>
              <w:spacing w:after="0" w:line="240" w:lineRule="auto"/>
              <w:rPr>
                <w:rFonts w:eastAsia="Times New Roman" w:cs="Calibri"/>
                <w:noProof/>
              </w:rPr>
            </w:pPr>
            <w:r>
              <w:rPr>
                <w:noProof/>
              </w:rPr>
              <w:t xml:space="preserve">Pokretanje programa stipendija za studente koji će postati stručnjaci u području IKT-a </w:t>
            </w:r>
          </w:p>
        </w:tc>
        <w:tc>
          <w:tcPr>
            <w:tcW w:w="1937" w:type="dxa"/>
            <w:shd w:val="clear" w:color="auto" w:fill="C6EFCE"/>
            <w:vAlign w:val="center"/>
          </w:tcPr>
          <w:p w14:paraId="7A538ED0" w14:textId="77777777" w:rsidR="008273B8" w:rsidRDefault="00B93063">
            <w:pPr>
              <w:pStyle w:val="P68B1DB1-Normal7"/>
              <w:spacing w:after="0" w:line="240" w:lineRule="auto"/>
              <w:rPr>
                <w:rFonts w:eastAsia="Times New Roman" w:cs="Calibri"/>
                <w:noProof/>
              </w:rPr>
            </w:pPr>
            <w:r>
              <w:rPr>
                <w:noProof/>
              </w:rPr>
              <w:t>Objava programa na internetu</w:t>
            </w:r>
          </w:p>
        </w:tc>
        <w:tc>
          <w:tcPr>
            <w:tcW w:w="1194" w:type="dxa"/>
            <w:shd w:val="clear" w:color="auto" w:fill="C6EFCE"/>
            <w:vAlign w:val="center"/>
          </w:tcPr>
          <w:p w14:paraId="7A538ED1" w14:textId="77777777" w:rsidR="008273B8" w:rsidRDefault="008273B8">
            <w:pPr>
              <w:spacing w:after="0" w:line="240" w:lineRule="auto"/>
              <w:jc w:val="center"/>
              <w:rPr>
                <w:rFonts w:ascii="Calibri" w:eastAsia="Times New Roman" w:hAnsi="Calibri" w:cs="Calibri"/>
                <w:noProof/>
                <w:sz w:val="18"/>
              </w:rPr>
            </w:pPr>
          </w:p>
        </w:tc>
        <w:tc>
          <w:tcPr>
            <w:tcW w:w="889" w:type="dxa"/>
            <w:shd w:val="clear" w:color="auto" w:fill="C6EFCE"/>
            <w:vAlign w:val="center"/>
          </w:tcPr>
          <w:p w14:paraId="7A538ED2" w14:textId="77777777" w:rsidR="008273B8" w:rsidRDefault="008273B8">
            <w:pPr>
              <w:spacing w:after="0" w:line="240" w:lineRule="auto"/>
              <w:jc w:val="center"/>
              <w:rPr>
                <w:rFonts w:ascii="Calibri" w:eastAsia="Times New Roman" w:hAnsi="Calibri" w:cs="Calibri"/>
                <w:noProof/>
                <w:sz w:val="18"/>
              </w:rPr>
            </w:pPr>
          </w:p>
        </w:tc>
        <w:tc>
          <w:tcPr>
            <w:tcW w:w="994" w:type="dxa"/>
            <w:shd w:val="clear" w:color="auto" w:fill="C6EFCE"/>
            <w:vAlign w:val="center"/>
          </w:tcPr>
          <w:p w14:paraId="7A538ED3"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tcPr>
          <w:p w14:paraId="7A538ED4" w14:textId="77777777" w:rsidR="008273B8" w:rsidRDefault="00B93063">
            <w:pPr>
              <w:pStyle w:val="P68B1DB1-Normal7"/>
              <w:spacing w:after="0" w:line="240" w:lineRule="auto"/>
              <w:jc w:val="center"/>
              <w:rPr>
                <w:rFonts w:eastAsia="Times New Roman" w:cs="Calibri"/>
                <w:noProof/>
              </w:rPr>
            </w:pPr>
            <w:r>
              <w:rPr>
                <w:noProof/>
              </w:rPr>
              <w:t>PRVO TROMJESEČJE</w:t>
            </w:r>
          </w:p>
        </w:tc>
        <w:tc>
          <w:tcPr>
            <w:tcW w:w="751" w:type="dxa"/>
            <w:shd w:val="clear" w:color="auto" w:fill="C6EFCE"/>
            <w:vAlign w:val="center"/>
          </w:tcPr>
          <w:p w14:paraId="7A538ED5" w14:textId="77777777" w:rsidR="008273B8" w:rsidRDefault="00B93063">
            <w:pPr>
              <w:pStyle w:val="P68B1DB1-Normal7"/>
              <w:spacing w:after="0" w:line="240" w:lineRule="auto"/>
              <w:jc w:val="center"/>
              <w:rPr>
                <w:rFonts w:eastAsia="Times New Roman" w:cs="Calibri"/>
                <w:noProof/>
              </w:rPr>
            </w:pPr>
            <w:r>
              <w:rPr>
                <w:noProof/>
              </w:rPr>
              <w:t>2022</w:t>
            </w:r>
          </w:p>
        </w:tc>
        <w:tc>
          <w:tcPr>
            <w:tcW w:w="4919" w:type="dxa"/>
            <w:shd w:val="clear" w:color="auto" w:fill="C6EFCE"/>
            <w:vAlign w:val="center"/>
          </w:tcPr>
          <w:p w14:paraId="7A538ED6" w14:textId="3BE9967F" w:rsidR="008273B8" w:rsidRDefault="00B93063">
            <w:pPr>
              <w:pStyle w:val="P68B1DB1-Normal7"/>
              <w:spacing w:after="0" w:line="240" w:lineRule="auto"/>
              <w:rPr>
                <w:rFonts w:eastAsia="Times New Roman" w:cs="Calibri"/>
                <w:noProof/>
              </w:rPr>
            </w:pPr>
            <w:r>
              <w:rPr>
                <w:noProof/>
              </w:rPr>
              <w:t>U skladu s malteškom digitalnom strategijom za razdoblje 2022. 2027. otvoriti program stipendija kako bi se studente potaknulo na karijeru u specijaliziranim područjima IKT-a kao što je umjetna inteligencija.</w:t>
            </w:r>
          </w:p>
        </w:tc>
      </w:tr>
      <w:tr w:rsidR="008273B8" w14:paraId="7A538EE3" w14:textId="77777777">
        <w:trPr>
          <w:cantSplit/>
          <w:jc w:val="center"/>
        </w:trPr>
        <w:tc>
          <w:tcPr>
            <w:tcW w:w="1107" w:type="dxa"/>
            <w:shd w:val="clear" w:color="auto" w:fill="C6EFCE"/>
            <w:vAlign w:val="center"/>
            <w:hideMark/>
          </w:tcPr>
          <w:p w14:paraId="7A538ED8" w14:textId="77777777" w:rsidR="008273B8" w:rsidRDefault="00B93063">
            <w:pPr>
              <w:pStyle w:val="P68B1DB1-Normal7"/>
              <w:spacing w:after="0" w:line="240" w:lineRule="auto"/>
              <w:rPr>
                <w:rFonts w:eastAsia="Times New Roman" w:cs="Calibri"/>
                <w:noProof/>
              </w:rPr>
            </w:pPr>
            <w:r>
              <w:rPr>
                <w:noProof/>
              </w:rPr>
              <w:t>3.2</w:t>
            </w:r>
          </w:p>
        </w:tc>
        <w:tc>
          <w:tcPr>
            <w:tcW w:w="1144" w:type="dxa"/>
            <w:shd w:val="clear" w:color="auto" w:fill="C6EFCE"/>
            <w:vAlign w:val="center"/>
            <w:hideMark/>
          </w:tcPr>
          <w:p w14:paraId="7A538ED9" w14:textId="77777777" w:rsidR="008273B8" w:rsidRDefault="00B93063">
            <w:pPr>
              <w:pStyle w:val="P68B1DB1-Normal7"/>
              <w:spacing w:after="0" w:line="240" w:lineRule="auto"/>
              <w:rPr>
                <w:rFonts w:eastAsia="Times New Roman" w:cs="Calibri"/>
                <w:noProof/>
              </w:rPr>
            </w:pPr>
            <w:r>
              <w:rPr>
                <w:noProof/>
              </w:rPr>
              <w:t xml:space="preserve">C3.R.1 </w:t>
            </w:r>
          </w:p>
        </w:tc>
        <w:tc>
          <w:tcPr>
            <w:tcW w:w="988" w:type="dxa"/>
            <w:shd w:val="clear" w:color="auto" w:fill="C6EFCE"/>
            <w:vAlign w:val="center"/>
            <w:hideMark/>
          </w:tcPr>
          <w:p w14:paraId="7A538EDA" w14:textId="77777777" w:rsidR="008273B8" w:rsidRDefault="00B93063">
            <w:pPr>
              <w:pStyle w:val="P68B1DB1-Normal7"/>
              <w:spacing w:after="0" w:line="240" w:lineRule="auto"/>
              <w:rPr>
                <w:rFonts w:eastAsia="Times New Roman" w:cs="Calibri"/>
                <w:noProof/>
              </w:rPr>
            </w:pPr>
            <w:r>
              <w:rPr>
                <w:noProof/>
              </w:rPr>
              <w:t>Ciljna vrijednost</w:t>
            </w:r>
          </w:p>
        </w:tc>
        <w:tc>
          <w:tcPr>
            <w:tcW w:w="1523" w:type="dxa"/>
            <w:shd w:val="clear" w:color="auto" w:fill="C6EFCE"/>
            <w:vAlign w:val="center"/>
            <w:hideMark/>
          </w:tcPr>
          <w:p w14:paraId="7A538EDB" w14:textId="77777777" w:rsidR="008273B8" w:rsidRDefault="00B93063">
            <w:pPr>
              <w:pStyle w:val="P68B1DB1-Normal7"/>
              <w:spacing w:after="0" w:line="240" w:lineRule="auto"/>
              <w:rPr>
                <w:rFonts w:eastAsia="Times New Roman" w:cs="Calibri"/>
                <w:noProof/>
              </w:rPr>
            </w:pPr>
            <w:r>
              <w:rPr>
                <w:noProof/>
              </w:rPr>
              <w:t xml:space="preserve">Pojedinci koji primaju potporu za ublažavanje digitalnog jaza </w:t>
            </w:r>
          </w:p>
        </w:tc>
        <w:tc>
          <w:tcPr>
            <w:tcW w:w="1937" w:type="dxa"/>
            <w:shd w:val="clear" w:color="auto" w:fill="C6EFCE"/>
            <w:vAlign w:val="center"/>
            <w:hideMark/>
          </w:tcPr>
          <w:p w14:paraId="7A538EDC" w14:textId="77777777" w:rsidR="008273B8" w:rsidRDefault="00B93063">
            <w:pPr>
              <w:pStyle w:val="P68B1DB1-Normal7"/>
              <w:spacing w:after="0" w:line="240" w:lineRule="auto"/>
              <w:rPr>
                <w:rFonts w:eastAsia="Times New Roman" w:cs="Calibri"/>
                <w:noProof/>
              </w:rPr>
            </w:pPr>
            <w:r>
              <w:rPr>
                <w:noProof/>
              </w:rPr>
              <w:t> </w:t>
            </w:r>
          </w:p>
        </w:tc>
        <w:tc>
          <w:tcPr>
            <w:tcW w:w="1194" w:type="dxa"/>
            <w:shd w:val="clear" w:color="auto" w:fill="C6EFCE"/>
            <w:vAlign w:val="center"/>
            <w:hideMark/>
          </w:tcPr>
          <w:p w14:paraId="7A538EDD" w14:textId="77777777" w:rsidR="008273B8" w:rsidRDefault="00B93063">
            <w:pPr>
              <w:pStyle w:val="P68B1DB1-Normal7"/>
              <w:spacing w:after="0" w:line="240" w:lineRule="auto"/>
              <w:jc w:val="center"/>
              <w:rPr>
                <w:rFonts w:eastAsia="Times New Roman" w:cs="Calibri"/>
                <w:noProof/>
              </w:rPr>
            </w:pPr>
            <w:r>
              <w:rPr>
                <w:noProof/>
              </w:rPr>
              <w:t>Broj</w:t>
            </w:r>
          </w:p>
        </w:tc>
        <w:tc>
          <w:tcPr>
            <w:tcW w:w="889" w:type="dxa"/>
            <w:shd w:val="clear" w:color="auto" w:fill="C6EFCE"/>
            <w:vAlign w:val="center"/>
            <w:hideMark/>
          </w:tcPr>
          <w:p w14:paraId="7A538EDE" w14:textId="77777777" w:rsidR="008273B8" w:rsidRDefault="00B93063">
            <w:pPr>
              <w:pStyle w:val="P68B1DB1-Normal7"/>
              <w:spacing w:after="0" w:line="240" w:lineRule="auto"/>
              <w:jc w:val="center"/>
              <w:rPr>
                <w:rFonts w:eastAsia="Times New Roman" w:cs="Calibri"/>
                <w:noProof/>
              </w:rPr>
            </w:pPr>
            <w:r>
              <w:rPr>
                <w:noProof/>
              </w:rPr>
              <w:t>0</w:t>
            </w:r>
          </w:p>
        </w:tc>
        <w:tc>
          <w:tcPr>
            <w:tcW w:w="994" w:type="dxa"/>
            <w:shd w:val="clear" w:color="auto" w:fill="C6EFCE"/>
            <w:vAlign w:val="center"/>
            <w:hideMark/>
          </w:tcPr>
          <w:p w14:paraId="7A538EDF" w14:textId="77777777" w:rsidR="008273B8" w:rsidRDefault="00B93063">
            <w:pPr>
              <w:pStyle w:val="P68B1DB1-Normal7"/>
              <w:spacing w:after="0" w:line="240" w:lineRule="auto"/>
              <w:jc w:val="center"/>
              <w:rPr>
                <w:rFonts w:eastAsia="Times New Roman" w:cs="Calibri"/>
                <w:noProof/>
              </w:rPr>
            </w:pPr>
            <w:r>
              <w:rPr>
                <w:noProof/>
              </w:rPr>
              <w:t>1 000</w:t>
            </w:r>
          </w:p>
        </w:tc>
        <w:tc>
          <w:tcPr>
            <w:tcW w:w="709" w:type="dxa"/>
            <w:shd w:val="clear" w:color="auto" w:fill="C6EFCE"/>
            <w:vAlign w:val="center"/>
            <w:hideMark/>
          </w:tcPr>
          <w:p w14:paraId="7A538EE0"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51" w:type="dxa"/>
            <w:shd w:val="clear" w:color="auto" w:fill="C6EFCE"/>
            <w:vAlign w:val="center"/>
            <w:hideMark/>
          </w:tcPr>
          <w:p w14:paraId="7A538EE1" w14:textId="77777777" w:rsidR="008273B8" w:rsidRDefault="00B93063">
            <w:pPr>
              <w:pStyle w:val="P68B1DB1-Normal7"/>
              <w:spacing w:after="0" w:line="240" w:lineRule="auto"/>
              <w:jc w:val="center"/>
              <w:rPr>
                <w:rFonts w:eastAsia="Times New Roman" w:cs="Calibri"/>
                <w:noProof/>
              </w:rPr>
            </w:pPr>
            <w:r>
              <w:rPr>
                <w:noProof/>
              </w:rPr>
              <w:t>2023</w:t>
            </w:r>
          </w:p>
        </w:tc>
        <w:tc>
          <w:tcPr>
            <w:tcW w:w="4919" w:type="dxa"/>
            <w:shd w:val="clear" w:color="auto" w:fill="C6EFCE"/>
            <w:vAlign w:val="center"/>
            <w:hideMark/>
          </w:tcPr>
          <w:p w14:paraId="7A538EE2" w14:textId="77777777" w:rsidR="008273B8" w:rsidRDefault="00B93063">
            <w:pPr>
              <w:pStyle w:val="P68B1DB1-Normal7"/>
              <w:spacing w:after="0" w:line="240" w:lineRule="auto"/>
              <w:rPr>
                <w:rFonts w:eastAsia="Times New Roman" w:cs="Calibri"/>
                <w:noProof/>
              </w:rPr>
            </w:pPr>
            <w:r>
              <w:rPr>
                <w:noProof/>
              </w:rPr>
              <w:t xml:space="preserve">Dvogodišnji pilot-program pokrenut će se 2021. kako bi se analizirao učinak koji će domaća internetska veza i pristup računalu imati na obitelji s niskim prihodima u pogledu digitalne pismenosti, povezivosti, integracije digitalne tehnologije i računalnih vještina. Pilot-program usmjeren je na podnositelje zahtjeva s niskim prihodima i ograničenim sredstvima. Korisnicima se na njihov zahtjev osigurava pristup internetu i računalo, kao i osposobljavanje i smjernice o njihovoj upotrebi. </w:t>
            </w:r>
          </w:p>
        </w:tc>
      </w:tr>
      <w:tr w:rsidR="008273B8" w14:paraId="7A538EF0" w14:textId="77777777">
        <w:trPr>
          <w:cantSplit/>
          <w:jc w:val="center"/>
        </w:trPr>
        <w:tc>
          <w:tcPr>
            <w:tcW w:w="1107" w:type="dxa"/>
            <w:shd w:val="clear" w:color="auto" w:fill="C6EFCE"/>
            <w:vAlign w:val="center"/>
            <w:hideMark/>
          </w:tcPr>
          <w:p w14:paraId="7A538EE4" w14:textId="77777777" w:rsidR="008273B8" w:rsidRDefault="00B93063">
            <w:pPr>
              <w:pStyle w:val="P68B1DB1-Normal7"/>
              <w:spacing w:after="0" w:line="240" w:lineRule="auto"/>
              <w:rPr>
                <w:rFonts w:eastAsia="Times New Roman" w:cs="Calibri"/>
                <w:noProof/>
              </w:rPr>
            </w:pPr>
            <w:r>
              <w:rPr>
                <w:noProof/>
              </w:rPr>
              <w:t>3.3</w:t>
            </w:r>
          </w:p>
        </w:tc>
        <w:tc>
          <w:tcPr>
            <w:tcW w:w="1144" w:type="dxa"/>
            <w:shd w:val="clear" w:color="auto" w:fill="C6EFCE"/>
            <w:vAlign w:val="center"/>
            <w:hideMark/>
          </w:tcPr>
          <w:p w14:paraId="7A538EE5" w14:textId="77777777" w:rsidR="008273B8" w:rsidRDefault="00B93063">
            <w:pPr>
              <w:pStyle w:val="P68B1DB1-Normal7"/>
              <w:spacing w:after="0" w:line="240" w:lineRule="auto"/>
              <w:rPr>
                <w:rFonts w:eastAsia="Times New Roman" w:cs="Calibri"/>
                <w:noProof/>
              </w:rPr>
            </w:pPr>
            <w:r>
              <w:rPr>
                <w:noProof/>
              </w:rPr>
              <w:t xml:space="preserve">C3.R.2 </w:t>
            </w:r>
          </w:p>
        </w:tc>
        <w:tc>
          <w:tcPr>
            <w:tcW w:w="988" w:type="dxa"/>
            <w:shd w:val="clear" w:color="auto" w:fill="C6EFCE"/>
            <w:vAlign w:val="center"/>
            <w:hideMark/>
          </w:tcPr>
          <w:p w14:paraId="7A538EE6" w14:textId="77777777" w:rsidR="008273B8" w:rsidRDefault="00B93063">
            <w:pPr>
              <w:pStyle w:val="P68B1DB1-Normal7"/>
              <w:spacing w:after="0" w:line="240" w:lineRule="auto"/>
              <w:rPr>
                <w:rFonts w:eastAsia="Times New Roman" w:cs="Calibri"/>
                <w:noProof/>
              </w:rPr>
            </w:pPr>
            <w:r>
              <w:rPr>
                <w:noProof/>
              </w:rPr>
              <w:t>Ključna etapa</w:t>
            </w:r>
          </w:p>
        </w:tc>
        <w:tc>
          <w:tcPr>
            <w:tcW w:w="1523" w:type="dxa"/>
            <w:shd w:val="clear" w:color="auto" w:fill="C6EFCE"/>
            <w:vAlign w:val="center"/>
            <w:hideMark/>
          </w:tcPr>
          <w:p w14:paraId="7A538EE7" w14:textId="77777777" w:rsidR="008273B8" w:rsidRDefault="00B93063">
            <w:pPr>
              <w:pStyle w:val="P68B1DB1-Normal7"/>
              <w:spacing w:after="0" w:line="240" w:lineRule="auto"/>
              <w:rPr>
                <w:rFonts w:eastAsia="Times New Roman" w:cs="Calibri"/>
                <w:noProof/>
              </w:rPr>
            </w:pPr>
            <w:r>
              <w:rPr>
                <w:noProof/>
              </w:rPr>
              <w:t>Donošenje malteške strategije pametne specijalizacije</w:t>
            </w:r>
          </w:p>
        </w:tc>
        <w:tc>
          <w:tcPr>
            <w:tcW w:w="1937" w:type="dxa"/>
            <w:shd w:val="clear" w:color="auto" w:fill="C6EFCE"/>
            <w:vAlign w:val="center"/>
            <w:hideMark/>
          </w:tcPr>
          <w:p w14:paraId="7A538EE8" w14:textId="77777777" w:rsidR="008273B8" w:rsidRDefault="00B93063">
            <w:pPr>
              <w:pStyle w:val="P68B1DB1-Normal7"/>
              <w:spacing w:after="0" w:line="240" w:lineRule="auto"/>
              <w:rPr>
                <w:rFonts w:eastAsia="Times New Roman" w:cs="Calibri"/>
                <w:noProof/>
              </w:rPr>
            </w:pPr>
            <w:r>
              <w:rPr>
                <w:noProof/>
              </w:rPr>
              <w:t>Objava strategije na internetu</w:t>
            </w:r>
          </w:p>
        </w:tc>
        <w:tc>
          <w:tcPr>
            <w:tcW w:w="1194" w:type="dxa"/>
            <w:shd w:val="clear" w:color="auto" w:fill="C6EFCE"/>
            <w:vAlign w:val="center"/>
            <w:hideMark/>
          </w:tcPr>
          <w:p w14:paraId="7A538EE9" w14:textId="77777777" w:rsidR="008273B8" w:rsidRDefault="008273B8">
            <w:pPr>
              <w:spacing w:after="0" w:line="240" w:lineRule="auto"/>
              <w:jc w:val="center"/>
              <w:rPr>
                <w:rFonts w:ascii="Calibri" w:eastAsia="Times New Roman" w:hAnsi="Calibri" w:cs="Calibri"/>
                <w:noProof/>
                <w:sz w:val="18"/>
              </w:rPr>
            </w:pPr>
          </w:p>
        </w:tc>
        <w:tc>
          <w:tcPr>
            <w:tcW w:w="889" w:type="dxa"/>
            <w:shd w:val="clear" w:color="auto" w:fill="C6EFCE"/>
            <w:vAlign w:val="center"/>
            <w:hideMark/>
          </w:tcPr>
          <w:p w14:paraId="7A538EEA" w14:textId="77777777" w:rsidR="008273B8" w:rsidRDefault="008273B8">
            <w:pPr>
              <w:spacing w:after="0" w:line="240" w:lineRule="auto"/>
              <w:jc w:val="center"/>
              <w:rPr>
                <w:rFonts w:ascii="Calibri" w:eastAsia="Times New Roman" w:hAnsi="Calibri" w:cs="Calibri"/>
                <w:noProof/>
                <w:sz w:val="18"/>
              </w:rPr>
            </w:pPr>
          </w:p>
        </w:tc>
        <w:tc>
          <w:tcPr>
            <w:tcW w:w="994" w:type="dxa"/>
            <w:shd w:val="clear" w:color="auto" w:fill="C6EFCE"/>
            <w:vAlign w:val="center"/>
            <w:hideMark/>
          </w:tcPr>
          <w:p w14:paraId="7A538EEB"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8EEC"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51" w:type="dxa"/>
            <w:shd w:val="clear" w:color="auto" w:fill="C6EFCE"/>
            <w:vAlign w:val="center"/>
            <w:hideMark/>
          </w:tcPr>
          <w:p w14:paraId="7A538EED" w14:textId="77777777" w:rsidR="008273B8" w:rsidRDefault="00B93063">
            <w:pPr>
              <w:pStyle w:val="P68B1DB1-Normal7"/>
              <w:spacing w:after="0" w:line="240" w:lineRule="auto"/>
              <w:jc w:val="center"/>
              <w:rPr>
                <w:rFonts w:eastAsia="Times New Roman" w:cs="Calibri"/>
                <w:noProof/>
              </w:rPr>
            </w:pPr>
            <w:r>
              <w:rPr>
                <w:noProof/>
              </w:rPr>
              <w:t>2021</w:t>
            </w:r>
          </w:p>
        </w:tc>
        <w:tc>
          <w:tcPr>
            <w:tcW w:w="4919" w:type="dxa"/>
            <w:shd w:val="clear" w:color="auto" w:fill="C6EFCE"/>
            <w:vAlign w:val="center"/>
            <w:hideMark/>
          </w:tcPr>
          <w:p w14:paraId="7A538EEE" w14:textId="77777777" w:rsidR="008273B8" w:rsidRDefault="00B93063">
            <w:pPr>
              <w:pStyle w:val="P68B1DB1-Normal7"/>
              <w:spacing w:after="0" w:line="240" w:lineRule="auto"/>
              <w:rPr>
                <w:rFonts w:eastAsia="Times New Roman" w:cs="Calibri"/>
                <w:noProof/>
              </w:rPr>
            </w:pPr>
            <w:r>
              <w:rPr>
                <w:noProof/>
              </w:rPr>
              <w:t>Objava nacionalne strategije pametne specijalizacije. Strategija je usmjerena na niz ključnih inicijativa, uključujući:</w:t>
            </w:r>
          </w:p>
          <w:p w14:paraId="7A538EEF" w14:textId="77777777" w:rsidR="008273B8" w:rsidRDefault="00B93063">
            <w:pPr>
              <w:spacing w:after="0" w:line="240" w:lineRule="auto"/>
              <w:rPr>
                <w:rFonts w:ascii="Calibri" w:eastAsia="Times New Roman" w:hAnsi="Calibri" w:cs="Calibri"/>
                <w:noProof/>
                <w:sz w:val="18"/>
              </w:rPr>
            </w:pPr>
            <w:r>
              <w:rPr>
                <w:rFonts w:ascii="Calibri" w:hAnsi="Calibri"/>
                <w:noProof/>
                <w:sz w:val="18"/>
              </w:rPr>
              <w:t>—ulaganja u istraživačku infrastrukturu;</w:t>
            </w:r>
            <w:r>
              <w:rPr>
                <w:noProof/>
              </w:rPr>
              <w:br/>
            </w:r>
            <w:r>
              <w:rPr>
                <w:rFonts w:ascii="Calibri" w:hAnsi="Calibri"/>
                <w:noProof/>
                <w:sz w:val="18"/>
              </w:rPr>
              <w:t>podupiranje internacionalizacije, među ostalim sudjelovanjem u programu Obzor Europa;</w:t>
            </w:r>
            <w:r>
              <w:rPr>
                <w:noProof/>
              </w:rPr>
              <w:br/>
            </w:r>
            <w:r>
              <w:rPr>
                <w:rFonts w:ascii="Calibri" w:hAnsi="Calibri"/>
                <w:noProof/>
                <w:sz w:val="18"/>
              </w:rPr>
              <w:t>— promicanje međuagencijske suradnje radi potpore poduzećima; i</w:t>
            </w:r>
            <w:r>
              <w:rPr>
                <w:noProof/>
              </w:rPr>
              <w:br/>
              <w:t xml:space="preserve"> </w:t>
            </w:r>
            <w:r>
              <w:rPr>
                <w:rFonts w:ascii="Calibri" w:hAnsi="Calibri"/>
                <w:noProof/>
                <w:sz w:val="18"/>
              </w:rPr>
              <w:t>— poticaji dionicima iz industrije za inovacije.</w:t>
            </w:r>
          </w:p>
        </w:tc>
      </w:tr>
      <w:tr w:rsidR="008273B8" w14:paraId="7A538EFC" w14:textId="77777777">
        <w:trPr>
          <w:cantSplit/>
          <w:jc w:val="center"/>
        </w:trPr>
        <w:tc>
          <w:tcPr>
            <w:tcW w:w="1107" w:type="dxa"/>
            <w:shd w:val="clear" w:color="auto" w:fill="C6EFCE"/>
            <w:vAlign w:val="center"/>
            <w:hideMark/>
          </w:tcPr>
          <w:p w14:paraId="7A538EF1" w14:textId="77777777" w:rsidR="008273B8" w:rsidRDefault="00B93063">
            <w:pPr>
              <w:pStyle w:val="P68B1DB1-Normal7"/>
              <w:spacing w:after="0" w:line="240" w:lineRule="auto"/>
              <w:rPr>
                <w:rFonts w:eastAsia="Times New Roman" w:cs="Calibri"/>
                <w:noProof/>
              </w:rPr>
            </w:pPr>
            <w:r>
              <w:rPr>
                <w:noProof/>
              </w:rPr>
              <w:t>3.4</w:t>
            </w:r>
          </w:p>
        </w:tc>
        <w:tc>
          <w:tcPr>
            <w:tcW w:w="1144" w:type="dxa"/>
            <w:shd w:val="clear" w:color="auto" w:fill="C6EFCE"/>
            <w:vAlign w:val="center"/>
            <w:hideMark/>
          </w:tcPr>
          <w:p w14:paraId="7A538EF2" w14:textId="77777777" w:rsidR="008273B8" w:rsidRDefault="00B93063">
            <w:pPr>
              <w:pStyle w:val="P68B1DB1-Normal7"/>
              <w:spacing w:after="0" w:line="240" w:lineRule="auto"/>
              <w:rPr>
                <w:rFonts w:eastAsia="Times New Roman" w:cs="Calibri"/>
                <w:noProof/>
              </w:rPr>
            </w:pPr>
            <w:r>
              <w:rPr>
                <w:noProof/>
              </w:rPr>
              <w:t xml:space="preserve">C3.R.2 </w:t>
            </w:r>
          </w:p>
        </w:tc>
        <w:tc>
          <w:tcPr>
            <w:tcW w:w="988" w:type="dxa"/>
            <w:shd w:val="clear" w:color="auto" w:fill="C6EFCE"/>
            <w:vAlign w:val="center"/>
            <w:hideMark/>
          </w:tcPr>
          <w:p w14:paraId="7A538EF3" w14:textId="77777777" w:rsidR="008273B8" w:rsidRDefault="00B93063">
            <w:pPr>
              <w:pStyle w:val="P68B1DB1-Normal7"/>
              <w:spacing w:after="0" w:line="240" w:lineRule="auto"/>
              <w:rPr>
                <w:rFonts w:eastAsia="Times New Roman" w:cs="Calibri"/>
                <w:noProof/>
              </w:rPr>
            </w:pPr>
            <w:r>
              <w:rPr>
                <w:noProof/>
              </w:rPr>
              <w:t>Ciljna vrijednost</w:t>
            </w:r>
          </w:p>
        </w:tc>
        <w:tc>
          <w:tcPr>
            <w:tcW w:w="1523" w:type="dxa"/>
            <w:shd w:val="clear" w:color="auto" w:fill="C6EFCE"/>
            <w:vAlign w:val="center"/>
            <w:hideMark/>
          </w:tcPr>
          <w:p w14:paraId="7A538EF4" w14:textId="77777777" w:rsidR="008273B8" w:rsidRDefault="00B93063">
            <w:pPr>
              <w:pStyle w:val="P68B1DB1-Normal7"/>
              <w:spacing w:after="0" w:line="240" w:lineRule="auto"/>
              <w:rPr>
                <w:rFonts w:eastAsia="Times New Roman" w:cs="Calibri"/>
                <w:noProof/>
              </w:rPr>
            </w:pPr>
            <w:r>
              <w:rPr>
                <w:noProof/>
              </w:rPr>
              <w:t xml:space="preserve">Upravljanje međuagencijskim računima između malteškog poduzeća i Malteškog vijeća za znanost i tehnologiju </w:t>
            </w:r>
          </w:p>
        </w:tc>
        <w:tc>
          <w:tcPr>
            <w:tcW w:w="1937" w:type="dxa"/>
            <w:shd w:val="clear" w:color="auto" w:fill="C6EFCE"/>
            <w:vAlign w:val="center"/>
            <w:hideMark/>
          </w:tcPr>
          <w:p w14:paraId="7A538EF5" w14:textId="77777777" w:rsidR="008273B8" w:rsidRDefault="00B93063">
            <w:pPr>
              <w:pStyle w:val="P68B1DB1-Normal7"/>
              <w:spacing w:after="0" w:line="240" w:lineRule="auto"/>
              <w:rPr>
                <w:rFonts w:eastAsia="Times New Roman" w:cs="Calibri"/>
                <w:noProof/>
              </w:rPr>
            </w:pPr>
            <w:r>
              <w:rPr>
                <w:noProof/>
              </w:rPr>
              <w:t> </w:t>
            </w:r>
          </w:p>
        </w:tc>
        <w:tc>
          <w:tcPr>
            <w:tcW w:w="1194" w:type="dxa"/>
            <w:shd w:val="clear" w:color="auto" w:fill="C6EFCE"/>
            <w:vAlign w:val="center"/>
            <w:hideMark/>
          </w:tcPr>
          <w:p w14:paraId="7A538EF6" w14:textId="77777777" w:rsidR="008273B8" w:rsidRDefault="00B93063">
            <w:pPr>
              <w:pStyle w:val="P68B1DB1-Normal7"/>
              <w:spacing w:after="0" w:line="240" w:lineRule="auto"/>
              <w:jc w:val="center"/>
              <w:rPr>
                <w:rFonts w:eastAsia="Times New Roman" w:cs="Calibri"/>
                <w:noProof/>
              </w:rPr>
            </w:pPr>
            <w:r>
              <w:rPr>
                <w:noProof/>
              </w:rPr>
              <w:t>Broj</w:t>
            </w:r>
          </w:p>
        </w:tc>
        <w:tc>
          <w:tcPr>
            <w:tcW w:w="889" w:type="dxa"/>
            <w:shd w:val="clear" w:color="auto" w:fill="C6EFCE"/>
            <w:vAlign w:val="center"/>
            <w:hideMark/>
          </w:tcPr>
          <w:p w14:paraId="7A538EF7" w14:textId="77777777" w:rsidR="008273B8" w:rsidRDefault="00B93063">
            <w:pPr>
              <w:pStyle w:val="P68B1DB1-Normal7"/>
              <w:spacing w:after="0" w:line="240" w:lineRule="auto"/>
              <w:jc w:val="center"/>
              <w:rPr>
                <w:rFonts w:eastAsia="Times New Roman" w:cs="Calibri"/>
                <w:noProof/>
              </w:rPr>
            </w:pPr>
            <w:r>
              <w:rPr>
                <w:noProof/>
              </w:rPr>
              <w:t>0</w:t>
            </w:r>
          </w:p>
        </w:tc>
        <w:tc>
          <w:tcPr>
            <w:tcW w:w="994" w:type="dxa"/>
            <w:shd w:val="clear" w:color="auto" w:fill="C6EFCE"/>
            <w:vAlign w:val="center"/>
            <w:hideMark/>
          </w:tcPr>
          <w:p w14:paraId="7A538EF8" w14:textId="77777777" w:rsidR="008273B8" w:rsidRDefault="00B93063">
            <w:pPr>
              <w:pStyle w:val="P68B1DB1-Normal7"/>
              <w:spacing w:after="0" w:line="240" w:lineRule="auto"/>
              <w:jc w:val="center"/>
              <w:rPr>
                <w:rFonts w:eastAsia="Times New Roman" w:cs="Calibri"/>
                <w:noProof/>
              </w:rPr>
            </w:pPr>
            <w:r>
              <w:rPr>
                <w:noProof/>
              </w:rPr>
              <w:t>50</w:t>
            </w:r>
          </w:p>
        </w:tc>
        <w:tc>
          <w:tcPr>
            <w:tcW w:w="709" w:type="dxa"/>
            <w:shd w:val="clear" w:color="auto" w:fill="C6EFCE"/>
            <w:vAlign w:val="center"/>
            <w:hideMark/>
          </w:tcPr>
          <w:p w14:paraId="7A538EF9"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51" w:type="dxa"/>
            <w:shd w:val="clear" w:color="auto" w:fill="C6EFCE"/>
            <w:vAlign w:val="center"/>
            <w:hideMark/>
          </w:tcPr>
          <w:p w14:paraId="7A538EFA" w14:textId="77777777" w:rsidR="008273B8" w:rsidRDefault="00B93063">
            <w:pPr>
              <w:pStyle w:val="P68B1DB1-Normal7"/>
              <w:spacing w:after="0" w:line="240" w:lineRule="auto"/>
              <w:jc w:val="center"/>
              <w:rPr>
                <w:rFonts w:eastAsia="Times New Roman" w:cs="Calibri"/>
                <w:noProof/>
              </w:rPr>
            </w:pPr>
            <w:r>
              <w:rPr>
                <w:noProof/>
              </w:rPr>
              <w:t>2024</w:t>
            </w:r>
          </w:p>
        </w:tc>
        <w:tc>
          <w:tcPr>
            <w:tcW w:w="4919" w:type="dxa"/>
            <w:shd w:val="clear" w:color="auto" w:fill="C6EFCE"/>
            <w:vAlign w:val="center"/>
            <w:hideMark/>
          </w:tcPr>
          <w:p w14:paraId="7A538EFB" w14:textId="77777777" w:rsidR="008273B8" w:rsidRDefault="00B93063">
            <w:pPr>
              <w:pStyle w:val="P68B1DB1-Normal7"/>
              <w:spacing w:after="0" w:line="240" w:lineRule="auto"/>
              <w:rPr>
                <w:rFonts w:eastAsia="Times New Roman" w:cs="Calibri"/>
                <w:noProof/>
              </w:rPr>
            </w:pPr>
            <w:r>
              <w:rPr>
                <w:noProof/>
              </w:rPr>
              <w:t>Broj poduzetnika koji primaju potporu putem međuagencijskog upravljanja računima između malteškog poduzeća i Malteškog vijeća za znanost i tehnologiju (MCST). Poduzećima se, među ostalim, pružaju informacije, smjernice i potpora u vezi s aktivnostima istraživanja i razvoja te istraživanjem internacionalizacije sudjelovanjem u europskim programima.</w:t>
            </w:r>
          </w:p>
        </w:tc>
      </w:tr>
      <w:tr w:rsidR="008273B8" w14:paraId="7A538F08" w14:textId="77777777">
        <w:trPr>
          <w:cantSplit/>
          <w:jc w:val="center"/>
        </w:trPr>
        <w:tc>
          <w:tcPr>
            <w:tcW w:w="1107" w:type="dxa"/>
            <w:shd w:val="clear" w:color="auto" w:fill="C6EFCE"/>
            <w:vAlign w:val="center"/>
            <w:hideMark/>
          </w:tcPr>
          <w:p w14:paraId="7A538EFD" w14:textId="77777777" w:rsidR="008273B8" w:rsidRDefault="00B93063">
            <w:pPr>
              <w:pStyle w:val="P68B1DB1-Normal7"/>
              <w:spacing w:after="0" w:line="240" w:lineRule="auto"/>
              <w:rPr>
                <w:rFonts w:eastAsia="Times New Roman" w:cs="Calibri"/>
                <w:noProof/>
              </w:rPr>
            </w:pPr>
            <w:r>
              <w:rPr>
                <w:noProof/>
              </w:rPr>
              <w:t>3.5</w:t>
            </w:r>
          </w:p>
        </w:tc>
        <w:tc>
          <w:tcPr>
            <w:tcW w:w="1144" w:type="dxa"/>
            <w:shd w:val="clear" w:color="auto" w:fill="C6EFCE"/>
            <w:vAlign w:val="center"/>
            <w:hideMark/>
          </w:tcPr>
          <w:p w14:paraId="7A538EFE" w14:textId="77777777" w:rsidR="008273B8" w:rsidRDefault="00B93063">
            <w:pPr>
              <w:pStyle w:val="P68B1DB1-Normal7"/>
              <w:spacing w:after="0" w:line="240" w:lineRule="auto"/>
              <w:rPr>
                <w:rFonts w:eastAsia="Times New Roman" w:cs="Calibri"/>
                <w:noProof/>
              </w:rPr>
            </w:pPr>
            <w:r>
              <w:rPr>
                <w:noProof/>
              </w:rPr>
              <w:t xml:space="preserve">C3.I.1 </w:t>
            </w:r>
          </w:p>
        </w:tc>
        <w:tc>
          <w:tcPr>
            <w:tcW w:w="988" w:type="dxa"/>
            <w:shd w:val="clear" w:color="auto" w:fill="C6EFCE"/>
            <w:vAlign w:val="center"/>
            <w:hideMark/>
          </w:tcPr>
          <w:p w14:paraId="7A538EFF" w14:textId="77777777" w:rsidR="008273B8" w:rsidRDefault="00B93063">
            <w:pPr>
              <w:pStyle w:val="P68B1DB1-Normal7"/>
              <w:spacing w:after="0" w:line="240" w:lineRule="auto"/>
              <w:rPr>
                <w:rFonts w:eastAsia="Times New Roman" w:cs="Calibri"/>
                <w:noProof/>
              </w:rPr>
            </w:pPr>
            <w:r>
              <w:rPr>
                <w:noProof/>
              </w:rPr>
              <w:t>Ciljna vrijednost</w:t>
            </w:r>
          </w:p>
        </w:tc>
        <w:tc>
          <w:tcPr>
            <w:tcW w:w="1523" w:type="dxa"/>
            <w:shd w:val="clear" w:color="auto" w:fill="C6EFCE"/>
            <w:vAlign w:val="center"/>
            <w:hideMark/>
          </w:tcPr>
          <w:p w14:paraId="7A538F00" w14:textId="77777777" w:rsidR="008273B8" w:rsidRDefault="00B93063">
            <w:pPr>
              <w:pStyle w:val="P68B1DB1-Normal7"/>
              <w:spacing w:after="0" w:line="240" w:lineRule="auto"/>
              <w:rPr>
                <w:rFonts w:eastAsia="Times New Roman" w:cs="Calibri"/>
                <w:noProof/>
              </w:rPr>
            </w:pPr>
            <w:r>
              <w:rPr>
                <w:noProof/>
              </w:rPr>
              <w:t xml:space="preserve">Produljeno vrijeme za razvoj digitalne bazene </w:t>
            </w:r>
          </w:p>
        </w:tc>
        <w:tc>
          <w:tcPr>
            <w:tcW w:w="1937" w:type="dxa"/>
            <w:shd w:val="clear" w:color="auto" w:fill="C6EFCE"/>
            <w:vAlign w:val="center"/>
            <w:hideMark/>
          </w:tcPr>
          <w:p w14:paraId="7A538F01" w14:textId="77777777" w:rsidR="008273B8" w:rsidRDefault="00B93063">
            <w:pPr>
              <w:pStyle w:val="P68B1DB1-Normal7"/>
              <w:spacing w:after="0" w:line="240" w:lineRule="auto"/>
              <w:rPr>
                <w:rFonts w:eastAsia="Times New Roman" w:cs="Calibri"/>
                <w:noProof/>
              </w:rPr>
            </w:pPr>
            <w:r>
              <w:rPr>
                <w:noProof/>
              </w:rPr>
              <w:t> </w:t>
            </w:r>
          </w:p>
        </w:tc>
        <w:tc>
          <w:tcPr>
            <w:tcW w:w="1194" w:type="dxa"/>
            <w:shd w:val="clear" w:color="auto" w:fill="C6EFCE"/>
            <w:vAlign w:val="center"/>
            <w:hideMark/>
          </w:tcPr>
          <w:p w14:paraId="7A538F02" w14:textId="77777777" w:rsidR="008273B8" w:rsidRDefault="00B93063">
            <w:pPr>
              <w:pStyle w:val="P68B1DB1-Normal7"/>
              <w:spacing w:after="0" w:line="240" w:lineRule="auto"/>
              <w:jc w:val="center"/>
              <w:rPr>
                <w:rFonts w:eastAsia="Times New Roman" w:cs="Calibri"/>
                <w:noProof/>
              </w:rPr>
            </w:pPr>
            <w:r>
              <w:rPr>
                <w:noProof/>
              </w:rPr>
              <w:t>% (postotak)</w:t>
            </w:r>
          </w:p>
        </w:tc>
        <w:tc>
          <w:tcPr>
            <w:tcW w:w="889" w:type="dxa"/>
            <w:shd w:val="clear" w:color="auto" w:fill="C6EFCE"/>
            <w:vAlign w:val="center"/>
            <w:hideMark/>
          </w:tcPr>
          <w:p w14:paraId="7A538F03" w14:textId="77777777" w:rsidR="008273B8" w:rsidRDefault="00B93063">
            <w:pPr>
              <w:pStyle w:val="P68B1DB1-Normal7"/>
              <w:spacing w:after="0" w:line="240" w:lineRule="auto"/>
              <w:jc w:val="center"/>
              <w:rPr>
                <w:rFonts w:eastAsia="Times New Roman" w:cs="Calibri"/>
                <w:noProof/>
              </w:rPr>
            </w:pPr>
            <w:r>
              <w:rPr>
                <w:noProof/>
              </w:rPr>
              <w:t>99.7</w:t>
            </w:r>
          </w:p>
        </w:tc>
        <w:tc>
          <w:tcPr>
            <w:tcW w:w="994" w:type="dxa"/>
            <w:shd w:val="clear" w:color="auto" w:fill="C6EFCE"/>
            <w:vAlign w:val="center"/>
            <w:hideMark/>
          </w:tcPr>
          <w:p w14:paraId="7A538F04" w14:textId="77777777" w:rsidR="008273B8" w:rsidRDefault="00B93063">
            <w:pPr>
              <w:pStyle w:val="P68B1DB1-Normal7"/>
              <w:spacing w:after="0" w:line="240" w:lineRule="auto"/>
              <w:jc w:val="center"/>
              <w:rPr>
                <w:rFonts w:eastAsia="Times New Roman" w:cs="Calibri"/>
                <w:noProof/>
              </w:rPr>
            </w:pPr>
            <w:r>
              <w:rPr>
                <w:noProof/>
              </w:rPr>
              <w:t>99.8</w:t>
            </w:r>
          </w:p>
        </w:tc>
        <w:tc>
          <w:tcPr>
            <w:tcW w:w="709" w:type="dxa"/>
            <w:shd w:val="clear" w:color="auto" w:fill="C6EFCE"/>
            <w:vAlign w:val="center"/>
            <w:hideMark/>
          </w:tcPr>
          <w:p w14:paraId="7A538F05"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51" w:type="dxa"/>
            <w:shd w:val="clear" w:color="auto" w:fill="C6EFCE"/>
            <w:vAlign w:val="center"/>
            <w:hideMark/>
          </w:tcPr>
          <w:p w14:paraId="7A538F06" w14:textId="77777777" w:rsidR="008273B8" w:rsidRDefault="00B93063">
            <w:pPr>
              <w:pStyle w:val="P68B1DB1-Normal7"/>
              <w:spacing w:after="0" w:line="240" w:lineRule="auto"/>
              <w:jc w:val="center"/>
              <w:rPr>
                <w:rFonts w:eastAsia="Times New Roman" w:cs="Calibri"/>
                <w:noProof/>
              </w:rPr>
            </w:pPr>
            <w:r>
              <w:rPr>
                <w:noProof/>
              </w:rPr>
              <w:t>2023</w:t>
            </w:r>
          </w:p>
        </w:tc>
        <w:tc>
          <w:tcPr>
            <w:tcW w:w="4919" w:type="dxa"/>
            <w:shd w:val="clear" w:color="auto" w:fill="C6EFCE"/>
            <w:vAlign w:val="center"/>
            <w:hideMark/>
          </w:tcPr>
          <w:p w14:paraId="7A538F07" w14:textId="77777777" w:rsidR="008273B8" w:rsidRDefault="00B93063">
            <w:pPr>
              <w:pStyle w:val="P68B1DB1-Normal7"/>
              <w:spacing w:after="0" w:line="240" w:lineRule="auto"/>
              <w:rPr>
                <w:rFonts w:eastAsia="Times New Roman" w:cs="Calibri"/>
                <w:noProof/>
              </w:rPr>
            </w:pPr>
            <w:r>
              <w:rPr>
                <w:noProof/>
              </w:rPr>
              <w:t xml:space="preserve">Postotak radnog vremena (ukupno vrijeme potrebno za tu uslugu, podijeljeno s ukupnim brojem sati tijekom tog razdoblja, ne računajući planirano vrijeme prekida rada) digitalne okosnice (Vladina mreža MAGNET i Korporativni podatkovni centri MITA) koji mjeri malteška agencija za informacijsku tehnologiju (MITA). </w:t>
            </w:r>
          </w:p>
        </w:tc>
      </w:tr>
      <w:tr w:rsidR="008273B8" w14:paraId="7A538F14" w14:textId="77777777">
        <w:trPr>
          <w:cantSplit/>
          <w:jc w:val="center"/>
        </w:trPr>
        <w:tc>
          <w:tcPr>
            <w:tcW w:w="1107" w:type="dxa"/>
            <w:shd w:val="clear" w:color="auto" w:fill="C6EFCE"/>
            <w:vAlign w:val="center"/>
            <w:hideMark/>
          </w:tcPr>
          <w:p w14:paraId="7A538F09" w14:textId="77777777" w:rsidR="008273B8" w:rsidRDefault="00B93063">
            <w:pPr>
              <w:pStyle w:val="P68B1DB1-Normal7"/>
              <w:spacing w:after="0" w:line="240" w:lineRule="auto"/>
              <w:rPr>
                <w:rFonts w:eastAsia="Times New Roman" w:cs="Calibri"/>
                <w:noProof/>
              </w:rPr>
            </w:pPr>
            <w:r>
              <w:rPr>
                <w:noProof/>
              </w:rPr>
              <w:t>3.6</w:t>
            </w:r>
          </w:p>
        </w:tc>
        <w:tc>
          <w:tcPr>
            <w:tcW w:w="1144" w:type="dxa"/>
            <w:shd w:val="clear" w:color="auto" w:fill="C6EFCE"/>
            <w:vAlign w:val="center"/>
            <w:hideMark/>
          </w:tcPr>
          <w:p w14:paraId="7A538F0A" w14:textId="77777777" w:rsidR="008273B8" w:rsidRDefault="00B93063">
            <w:pPr>
              <w:pStyle w:val="P68B1DB1-Normal7"/>
              <w:spacing w:after="0" w:line="240" w:lineRule="auto"/>
              <w:rPr>
                <w:rFonts w:eastAsia="Times New Roman" w:cs="Calibri"/>
                <w:noProof/>
              </w:rPr>
            </w:pPr>
            <w:r>
              <w:rPr>
                <w:noProof/>
              </w:rPr>
              <w:t xml:space="preserve">C3.I.1 </w:t>
            </w:r>
          </w:p>
        </w:tc>
        <w:tc>
          <w:tcPr>
            <w:tcW w:w="988" w:type="dxa"/>
            <w:shd w:val="clear" w:color="auto" w:fill="C6EFCE"/>
            <w:vAlign w:val="center"/>
            <w:hideMark/>
          </w:tcPr>
          <w:p w14:paraId="7A538F0B" w14:textId="77777777" w:rsidR="008273B8" w:rsidRDefault="00B93063">
            <w:pPr>
              <w:pStyle w:val="P68B1DB1-Normal7"/>
              <w:spacing w:after="0" w:line="240" w:lineRule="auto"/>
              <w:rPr>
                <w:rFonts w:eastAsia="Times New Roman" w:cs="Calibri"/>
                <w:noProof/>
              </w:rPr>
            </w:pPr>
            <w:r>
              <w:rPr>
                <w:noProof/>
              </w:rPr>
              <w:t>Ključna etapa</w:t>
            </w:r>
          </w:p>
        </w:tc>
        <w:tc>
          <w:tcPr>
            <w:tcW w:w="1523" w:type="dxa"/>
            <w:shd w:val="clear" w:color="auto" w:fill="C6EFCE"/>
            <w:vAlign w:val="center"/>
            <w:hideMark/>
          </w:tcPr>
          <w:p w14:paraId="7A538F0C" w14:textId="77777777" w:rsidR="008273B8" w:rsidRDefault="00B93063">
            <w:pPr>
              <w:pStyle w:val="P68B1DB1-Normal7"/>
              <w:spacing w:after="0" w:line="240" w:lineRule="auto"/>
              <w:rPr>
                <w:rFonts w:eastAsia="Times New Roman" w:cs="Calibri"/>
                <w:noProof/>
              </w:rPr>
            </w:pPr>
            <w:r>
              <w:rPr>
                <w:noProof/>
              </w:rPr>
              <w:t>Poboljšana razina okvira za kibersigurnost NIST-a</w:t>
            </w:r>
          </w:p>
        </w:tc>
        <w:tc>
          <w:tcPr>
            <w:tcW w:w="1937" w:type="dxa"/>
            <w:shd w:val="clear" w:color="auto" w:fill="C6EFCE"/>
            <w:vAlign w:val="center"/>
            <w:hideMark/>
          </w:tcPr>
          <w:p w14:paraId="7A538F0D" w14:textId="77777777" w:rsidR="008273B8" w:rsidRDefault="00B93063">
            <w:pPr>
              <w:pStyle w:val="P68B1DB1-Normal7"/>
              <w:spacing w:after="0" w:line="240" w:lineRule="auto"/>
              <w:rPr>
                <w:rFonts w:eastAsia="Times New Roman" w:cs="Calibri"/>
                <w:noProof/>
              </w:rPr>
            </w:pPr>
            <w:r>
              <w:rPr>
                <w:noProof/>
              </w:rPr>
              <w:t>Razina NIST-a procijenjena kao razina 4 u internom izvješću kako ga je potvrdilo vanjsko tijelo</w:t>
            </w:r>
          </w:p>
        </w:tc>
        <w:tc>
          <w:tcPr>
            <w:tcW w:w="1194" w:type="dxa"/>
            <w:shd w:val="clear" w:color="auto" w:fill="C6EFCE"/>
            <w:vAlign w:val="center"/>
            <w:hideMark/>
          </w:tcPr>
          <w:p w14:paraId="7A538F0E" w14:textId="77777777" w:rsidR="008273B8" w:rsidRDefault="008273B8">
            <w:pPr>
              <w:spacing w:after="0" w:line="240" w:lineRule="auto"/>
              <w:jc w:val="center"/>
              <w:rPr>
                <w:rFonts w:ascii="Calibri" w:eastAsia="Times New Roman" w:hAnsi="Calibri" w:cs="Calibri"/>
                <w:noProof/>
                <w:sz w:val="18"/>
              </w:rPr>
            </w:pPr>
          </w:p>
        </w:tc>
        <w:tc>
          <w:tcPr>
            <w:tcW w:w="889" w:type="dxa"/>
            <w:shd w:val="clear" w:color="auto" w:fill="C6EFCE"/>
            <w:vAlign w:val="center"/>
            <w:hideMark/>
          </w:tcPr>
          <w:p w14:paraId="7A538F0F" w14:textId="77777777" w:rsidR="008273B8" w:rsidRDefault="008273B8">
            <w:pPr>
              <w:spacing w:after="0" w:line="240" w:lineRule="auto"/>
              <w:jc w:val="center"/>
              <w:rPr>
                <w:rFonts w:ascii="Calibri" w:eastAsia="Times New Roman" w:hAnsi="Calibri" w:cs="Calibri"/>
                <w:noProof/>
                <w:sz w:val="18"/>
              </w:rPr>
            </w:pPr>
          </w:p>
        </w:tc>
        <w:tc>
          <w:tcPr>
            <w:tcW w:w="994" w:type="dxa"/>
            <w:shd w:val="clear" w:color="auto" w:fill="C6EFCE"/>
            <w:vAlign w:val="center"/>
            <w:hideMark/>
          </w:tcPr>
          <w:p w14:paraId="7A538F10"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8F11"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51" w:type="dxa"/>
            <w:shd w:val="clear" w:color="auto" w:fill="C6EFCE"/>
            <w:vAlign w:val="center"/>
            <w:hideMark/>
          </w:tcPr>
          <w:p w14:paraId="7A538F12" w14:textId="77777777" w:rsidR="008273B8" w:rsidRDefault="00B93063">
            <w:pPr>
              <w:pStyle w:val="P68B1DB1-Normal7"/>
              <w:spacing w:after="0" w:line="240" w:lineRule="auto"/>
              <w:jc w:val="center"/>
              <w:rPr>
                <w:rFonts w:eastAsia="Times New Roman" w:cs="Calibri"/>
                <w:noProof/>
              </w:rPr>
            </w:pPr>
            <w:r>
              <w:rPr>
                <w:noProof/>
              </w:rPr>
              <w:t>2025</w:t>
            </w:r>
          </w:p>
        </w:tc>
        <w:tc>
          <w:tcPr>
            <w:tcW w:w="4919" w:type="dxa"/>
            <w:shd w:val="clear" w:color="auto" w:fill="C6EFCE"/>
            <w:vAlign w:val="center"/>
            <w:hideMark/>
          </w:tcPr>
          <w:p w14:paraId="7A538F13" w14:textId="77777777" w:rsidR="008273B8" w:rsidRDefault="00B93063">
            <w:pPr>
              <w:pStyle w:val="P68B1DB1-Normal7"/>
              <w:spacing w:after="0" w:line="240" w:lineRule="auto"/>
              <w:rPr>
                <w:rFonts w:eastAsia="Times New Roman" w:cs="Calibri"/>
                <w:noProof/>
              </w:rPr>
            </w:pPr>
            <w:r>
              <w:rPr>
                <w:noProof/>
              </w:rPr>
              <w:t>Interna procjena kojom se potvrđuje da infrastruktura MITA-e doseže ukupnu razinu 4 u NIST-u. Izvješće je strogo i detaljno te jasno pokazuje kako je postignuta razina za svaku mjeru propisanu okvirom. Izvješće potvrđuje vanjsko tijelo.</w:t>
            </w:r>
          </w:p>
        </w:tc>
      </w:tr>
      <w:tr w:rsidR="008273B8" w14:paraId="7A538F20" w14:textId="77777777">
        <w:trPr>
          <w:cantSplit/>
          <w:jc w:val="center"/>
        </w:trPr>
        <w:tc>
          <w:tcPr>
            <w:tcW w:w="1107" w:type="dxa"/>
            <w:shd w:val="clear" w:color="auto" w:fill="C6EFCE"/>
            <w:vAlign w:val="center"/>
            <w:hideMark/>
          </w:tcPr>
          <w:p w14:paraId="7A538F15" w14:textId="77777777" w:rsidR="008273B8" w:rsidRDefault="00B93063">
            <w:pPr>
              <w:pStyle w:val="P68B1DB1-Normal7"/>
              <w:spacing w:after="0" w:line="240" w:lineRule="auto"/>
              <w:rPr>
                <w:rFonts w:eastAsia="Times New Roman" w:cs="Calibri"/>
                <w:noProof/>
              </w:rPr>
            </w:pPr>
            <w:r>
              <w:rPr>
                <w:noProof/>
              </w:rPr>
              <w:t>3.7</w:t>
            </w:r>
          </w:p>
        </w:tc>
        <w:tc>
          <w:tcPr>
            <w:tcW w:w="1144" w:type="dxa"/>
            <w:shd w:val="clear" w:color="auto" w:fill="C6EFCE"/>
            <w:vAlign w:val="center"/>
            <w:hideMark/>
          </w:tcPr>
          <w:p w14:paraId="7A538F16" w14:textId="77777777" w:rsidR="008273B8" w:rsidRDefault="00B93063">
            <w:pPr>
              <w:pStyle w:val="P68B1DB1-Normal7"/>
              <w:spacing w:after="0" w:line="240" w:lineRule="auto"/>
              <w:rPr>
                <w:rFonts w:eastAsia="Times New Roman" w:cs="Calibri"/>
                <w:noProof/>
              </w:rPr>
            </w:pPr>
            <w:r>
              <w:rPr>
                <w:noProof/>
              </w:rPr>
              <w:t xml:space="preserve">C3.I.2. </w:t>
            </w:r>
          </w:p>
        </w:tc>
        <w:tc>
          <w:tcPr>
            <w:tcW w:w="988" w:type="dxa"/>
            <w:shd w:val="clear" w:color="auto" w:fill="C6EFCE"/>
            <w:vAlign w:val="center"/>
            <w:hideMark/>
          </w:tcPr>
          <w:p w14:paraId="7A538F17" w14:textId="77777777" w:rsidR="008273B8" w:rsidRDefault="00B93063">
            <w:pPr>
              <w:pStyle w:val="P68B1DB1-Normal7"/>
              <w:spacing w:after="0" w:line="240" w:lineRule="auto"/>
              <w:rPr>
                <w:rFonts w:eastAsia="Times New Roman" w:cs="Calibri"/>
                <w:noProof/>
              </w:rPr>
            </w:pPr>
            <w:r>
              <w:rPr>
                <w:noProof/>
              </w:rPr>
              <w:t>Ciljna vrijednost</w:t>
            </w:r>
          </w:p>
        </w:tc>
        <w:tc>
          <w:tcPr>
            <w:tcW w:w="1523" w:type="dxa"/>
            <w:shd w:val="clear" w:color="auto" w:fill="C6EFCE"/>
            <w:vAlign w:val="center"/>
            <w:hideMark/>
          </w:tcPr>
          <w:p w14:paraId="7A538F18" w14:textId="77777777" w:rsidR="008273B8" w:rsidRDefault="00B93063">
            <w:pPr>
              <w:pStyle w:val="P68B1DB1-Normal7"/>
              <w:spacing w:after="0" w:line="240" w:lineRule="auto"/>
              <w:rPr>
                <w:rFonts w:eastAsia="Times New Roman" w:cs="Calibri"/>
                <w:noProof/>
              </w:rPr>
            </w:pPr>
            <w:r>
              <w:rPr>
                <w:noProof/>
              </w:rPr>
              <w:t xml:space="preserve">Digitalizacija brodskih datoteka </w:t>
            </w:r>
          </w:p>
        </w:tc>
        <w:tc>
          <w:tcPr>
            <w:tcW w:w="1937" w:type="dxa"/>
            <w:shd w:val="clear" w:color="auto" w:fill="C6EFCE"/>
            <w:vAlign w:val="center"/>
            <w:hideMark/>
          </w:tcPr>
          <w:p w14:paraId="7A538F19" w14:textId="77777777" w:rsidR="008273B8" w:rsidRDefault="00B93063">
            <w:pPr>
              <w:pStyle w:val="P68B1DB1-Normal7"/>
              <w:spacing w:after="0" w:line="240" w:lineRule="auto"/>
              <w:rPr>
                <w:rFonts w:eastAsia="Times New Roman" w:cs="Calibri"/>
                <w:noProof/>
              </w:rPr>
            </w:pPr>
            <w:r>
              <w:rPr>
                <w:noProof/>
              </w:rPr>
              <w:t> </w:t>
            </w:r>
          </w:p>
        </w:tc>
        <w:tc>
          <w:tcPr>
            <w:tcW w:w="1194" w:type="dxa"/>
            <w:shd w:val="clear" w:color="auto" w:fill="C6EFCE"/>
            <w:vAlign w:val="center"/>
            <w:hideMark/>
          </w:tcPr>
          <w:p w14:paraId="7A538F1A" w14:textId="77777777" w:rsidR="008273B8" w:rsidRDefault="00B93063">
            <w:pPr>
              <w:pStyle w:val="P68B1DB1-Normal7"/>
              <w:spacing w:after="0" w:line="240" w:lineRule="auto"/>
              <w:jc w:val="center"/>
              <w:rPr>
                <w:rFonts w:eastAsia="Times New Roman" w:cs="Calibri"/>
                <w:noProof/>
              </w:rPr>
            </w:pPr>
            <w:r>
              <w:rPr>
                <w:noProof/>
              </w:rPr>
              <w:t>Broj</w:t>
            </w:r>
          </w:p>
        </w:tc>
        <w:tc>
          <w:tcPr>
            <w:tcW w:w="889" w:type="dxa"/>
            <w:shd w:val="clear" w:color="auto" w:fill="C6EFCE"/>
            <w:vAlign w:val="center"/>
            <w:hideMark/>
          </w:tcPr>
          <w:p w14:paraId="7A538F1B" w14:textId="77777777" w:rsidR="008273B8" w:rsidRDefault="00B93063">
            <w:pPr>
              <w:pStyle w:val="P68B1DB1-Normal7"/>
              <w:spacing w:after="0" w:line="240" w:lineRule="auto"/>
              <w:jc w:val="center"/>
              <w:rPr>
                <w:rFonts w:eastAsia="Times New Roman" w:cs="Calibri"/>
                <w:noProof/>
              </w:rPr>
            </w:pPr>
            <w:r>
              <w:rPr>
                <w:noProof/>
              </w:rPr>
              <w:t>0</w:t>
            </w:r>
          </w:p>
        </w:tc>
        <w:tc>
          <w:tcPr>
            <w:tcW w:w="994" w:type="dxa"/>
            <w:shd w:val="clear" w:color="auto" w:fill="C6EFCE"/>
            <w:vAlign w:val="center"/>
            <w:hideMark/>
          </w:tcPr>
          <w:p w14:paraId="7A538F1C" w14:textId="77777777" w:rsidR="008273B8" w:rsidRDefault="00B93063">
            <w:pPr>
              <w:pStyle w:val="P68B1DB1-Normal7"/>
              <w:spacing w:after="0" w:line="240" w:lineRule="auto"/>
              <w:jc w:val="center"/>
              <w:rPr>
                <w:rFonts w:eastAsia="Times New Roman" w:cs="Calibri"/>
                <w:noProof/>
              </w:rPr>
            </w:pPr>
            <w:r>
              <w:rPr>
                <w:noProof/>
              </w:rPr>
              <w:t>15 000</w:t>
            </w:r>
          </w:p>
        </w:tc>
        <w:tc>
          <w:tcPr>
            <w:tcW w:w="709" w:type="dxa"/>
            <w:shd w:val="clear" w:color="auto" w:fill="C6EFCE"/>
            <w:vAlign w:val="center"/>
            <w:hideMark/>
          </w:tcPr>
          <w:p w14:paraId="7A538F1D"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51" w:type="dxa"/>
            <w:shd w:val="clear" w:color="auto" w:fill="C6EFCE"/>
            <w:vAlign w:val="center"/>
            <w:hideMark/>
          </w:tcPr>
          <w:p w14:paraId="7A538F1E" w14:textId="77777777" w:rsidR="008273B8" w:rsidRDefault="00B93063">
            <w:pPr>
              <w:pStyle w:val="P68B1DB1-Normal7"/>
              <w:spacing w:after="0" w:line="240" w:lineRule="auto"/>
              <w:jc w:val="center"/>
              <w:rPr>
                <w:rFonts w:eastAsia="Times New Roman" w:cs="Calibri"/>
                <w:noProof/>
              </w:rPr>
            </w:pPr>
            <w:r>
              <w:rPr>
                <w:noProof/>
              </w:rPr>
              <w:t>2024</w:t>
            </w:r>
          </w:p>
        </w:tc>
        <w:tc>
          <w:tcPr>
            <w:tcW w:w="4919" w:type="dxa"/>
            <w:shd w:val="clear" w:color="auto" w:fill="C6EFCE"/>
            <w:vAlign w:val="center"/>
            <w:hideMark/>
          </w:tcPr>
          <w:p w14:paraId="7A538F1F" w14:textId="77777777" w:rsidR="008273B8" w:rsidRDefault="00B93063">
            <w:pPr>
              <w:pStyle w:val="P68B1DB1-Normal7"/>
              <w:spacing w:after="0" w:line="240" w:lineRule="auto"/>
              <w:rPr>
                <w:rFonts w:eastAsia="Times New Roman" w:cs="Calibri"/>
                <w:noProof/>
              </w:rPr>
            </w:pPr>
            <w:r>
              <w:rPr>
                <w:noProof/>
              </w:rPr>
              <w:t xml:space="preserve">Pretvaranje fizičkih datoteka u digitalne datoteke i njihovo stavljanje na raspolaganje elektroničkim putem u informacijskom sustavu za upravljanje. Najmanje 15000 datoteka skenirano je i dostupno za digitalno pretraživanje i upotrebu. </w:t>
            </w:r>
          </w:p>
        </w:tc>
      </w:tr>
      <w:tr w:rsidR="008273B8" w14:paraId="7A538F2D" w14:textId="77777777">
        <w:trPr>
          <w:cantSplit/>
          <w:jc w:val="center"/>
        </w:trPr>
        <w:tc>
          <w:tcPr>
            <w:tcW w:w="1107" w:type="dxa"/>
            <w:shd w:val="clear" w:color="auto" w:fill="C6EFCE"/>
            <w:vAlign w:val="center"/>
            <w:hideMark/>
          </w:tcPr>
          <w:p w14:paraId="7A538F21" w14:textId="77777777" w:rsidR="008273B8" w:rsidRDefault="00B93063">
            <w:pPr>
              <w:pStyle w:val="P68B1DB1-Normal7"/>
              <w:spacing w:after="0" w:line="240" w:lineRule="auto"/>
              <w:rPr>
                <w:rFonts w:eastAsia="Times New Roman" w:cs="Calibri"/>
                <w:noProof/>
              </w:rPr>
            </w:pPr>
            <w:r>
              <w:rPr>
                <w:noProof/>
              </w:rPr>
              <w:t>3.8</w:t>
            </w:r>
          </w:p>
        </w:tc>
        <w:tc>
          <w:tcPr>
            <w:tcW w:w="1144" w:type="dxa"/>
            <w:shd w:val="clear" w:color="auto" w:fill="C6EFCE"/>
            <w:vAlign w:val="center"/>
            <w:hideMark/>
          </w:tcPr>
          <w:p w14:paraId="7A538F22" w14:textId="77777777" w:rsidR="008273B8" w:rsidRDefault="00B93063">
            <w:pPr>
              <w:pStyle w:val="P68B1DB1-Normal7"/>
              <w:spacing w:after="0" w:line="240" w:lineRule="auto"/>
              <w:rPr>
                <w:rFonts w:eastAsia="Times New Roman" w:cs="Calibri"/>
                <w:noProof/>
              </w:rPr>
            </w:pPr>
            <w:r>
              <w:rPr>
                <w:noProof/>
              </w:rPr>
              <w:t xml:space="preserve">C3.I.2. </w:t>
            </w:r>
          </w:p>
        </w:tc>
        <w:tc>
          <w:tcPr>
            <w:tcW w:w="988" w:type="dxa"/>
            <w:shd w:val="clear" w:color="auto" w:fill="C6EFCE"/>
            <w:vAlign w:val="center"/>
            <w:hideMark/>
          </w:tcPr>
          <w:p w14:paraId="7A538F23" w14:textId="77777777" w:rsidR="008273B8" w:rsidRDefault="00B93063">
            <w:pPr>
              <w:pStyle w:val="P68B1DB1-Normal7"/>
              <w:spacing w:after="0" w:line="240" w:lineRule="auto"/>
              <w:rPr>
                <w:rFonts w:eastAsia="Times New Roman" w:cs="Calibri"/>
                <w:noProof/>
              </w:rPr>
            </w:pPr>
            <w:r>
              <w:rPr>
                <w:noProof/>
              </w:rPr>
              <w:t>Ključna etapa</w:t>
            </w:r>
          </w:p>
        </w:tc>
        <w:tc>
          <w:tcPr>
            <w:tcW w:w="1523" w:type="dxa"/>
            <w:shd w:val="clear" w:color="auto" w:fill="C6EFCE"/>
            <w:vAlign w:val="center"/>
            <w:hideMark/>
          </w:tcPr>
          <w:p w14:paraId="7A538F24" w14:textId="77777777" w:rsidR="008273B8" w:rsidRDefault="00B93063">
            <w:pPr>
              <w:pStyle w:val="P68B1DB1-Normal7"/>
              <w:spacing w:after="0" w:line="240" w:lineRule="auto"/>
              <w:rPr>
                <w:rFonts w:eastAsia="Times New Roman" w:cs="Calibri"/>
                <w:noProof/>
              </w:rPr>
            </w:pPr>
            <w:r>
              <w:rPr>
                <w:noProof/>
              </w:rPr>
              <w:t>Pokretanje i dostupnost za korisnike razvijenih informatičkih alata i sustava</w:t>
            </w:r>
          </w:p>
        </w:tc>
        <w:tc>
          <w:tcPr>
            <w:tcW w:w="1937" w:type="dxa"/>
            <w:shd w:val="clear" w:color="auto" w:fill="C6EFCE"/>
            <w:vAlign w:val="center"/>
            <w:hideMark/>
          </w:tcPr>
          <w:p w14:paraId="7A538F25" w14:textId="77777777" w:rsidR="008273B8" w:rsidRDefault="00B93063">
            <w:pPr>
              <w:pStyle w:val="P68B1DB1-Normal7"/>
              <w:spacing w:after="0" w:line="240" w:lineRule="auto"/>
              <w:rPr>
                <w:rFonts w:eastAsia="Times New Roman" w:cs="Calibri"/>
                <w:noProof/>
              </w:rPr>
            </w:pPr>
            <w:r>
              <w:rPr>
                <w:noProof/>
              </w:rPr>
              <w:t>Razvijeni informatički alati i sustavi pokreću se i stavljaju na raspolaganje za upotrebu</w:t>
            </w:r>
          </w:p>
        </w:tc>
        <w:tc>
          <w:tcPr>
            <w:tcW w:w="1194" w:type="dxa"/>
            <w:shd w:val="clear" w:color="auto" w:fill="C6EFCE"/>
            <w:vAlign w:val="center"/>
            <w:hideMark/>
          </w:tcPr>
          <w:p w14:paraId="7A538F26" w14:textId="77777777" w:rsidR="008273B8" w:rsidRDefault="008273B8">
            <w:pPr>
              <w:spacing w:after="0" w:line="240" w:lineRule="auto"/>
              <w:jc w:val="center"/>
              <w:rPr>
                <w:rFonts w:ascii="Calibri" w:eastAsia="Times New Roman" w:hAnsi="Calibri" w:cs="Calibri"/>
                <w:noProof/>
                <w:sz w:val="18"/>
              </w:rPr>
            </w:pPr>
          </w:p>
        </w:tc>
        <w:tc>
          <w:tcPr>
            <w:tcW w:w="889" w:type="dxa"/>
            <w:shd w:val="clear" w:color="auto" w:fill="C6EFCE"/>
            <w:vAlign w:val="center"/>
            <w:hideMark/>
          </w:tcPr>
          <w:p w14:paraId="7A538F27" w14:textId="77777777" w:rsidR="008273B8" w:rsidRDefault="008273B8">
            <w:pPr>
              <w:spacing w:after="0" w:line="240" w:lineRule="auto"/>
              <w:jc w:val="center"/>
              <w:rPr>
                <w:rFonts w:ascii="Calibri" w:eastAsia="Times New Roman" w:hAnsi="Calibri" w:cs="Calibri"/>
                <w:noProof/>
                <w:sz w:val="18"/>
              </w:rPr>
            </w:pPr>
          </w:p>
        </w:tc>
        <w:tc>
          <w:tcPr>
            <w:tcW w:w="994" w:type="dxa"/>
            <w:shd w:val="clear" w:color="auto" w:fill="C6EFCE"/>
            <w:vAlign w:val="center"/>
            <w:hideMark/>
          </w:tcPr>
          <w:p w14:paraId="7A538F28"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8F29"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51" w:type="dxa"/>
            <w:shd w:val="clear" w:color="auto" w:fill="C6EFCE"/>
            <w:vAlign w:val="center"/>
            <w:hideMark/>
          </w:tcPr>
          <w:p w14:paraId="7A538F2A" w14:textId="77777777" w:rsidR="008273B8" w:rsidRDefault="00B93063">
            <w:pPr>
              <w:pStyle w:val="P68B1DB1-Normal7"/>
              <w:spacing w:after="0" w:line="240" w:lineRule="auto"/>
              <w:jc w:val="center"/>
              <w:rPr>
                <w:rFonts w:eastAsia="Times New Roman" w:cs="Calibri"/>
                <w:noProof/>
              </w:rPr>
            </w:pPr>
            <w:r>
              <w:rPr>
                <w:noProof/>
              </w:rPr>
              <w:t>2025</w:t>
            </w:r>
          </w:p>
        </w:tc>
        <w:tc>
          <w:tcPr>
            <w:tcW w:w="4919" w:type="dxa"/>
            <w:shd w:val="clear" w:color="auto" w:fill="C6EFCE"/>
            <w:vAlign w:val="center"/>
            <w:hideMark/>
          </w:tcPr>
          <w:p w14:paraId="7A538F2B" w14:textId="77777777" w:rsidR="008273B8" w:rsidRDefault="00B93063">
            <w:pPr>
              <w:spacing w:after="0" w:line="240" w:lineRule="auto"/>
              <w:rPr>
                <w:rFonts w:ascii="Calibri" w:eastAsia="Times New Roman" w:hAnsi="Calibri" w:cs="Calibri"/>
                <w:noProof/>
                <w:sz w:val="18"/>
              </w:rPr>
            </w:pPr>
            <w:r>
              <w:rPr>
                <w:noProof/>
              </w:rPr>
              <w:t>Dovršen</w:t>
            </w:r>
            <w:r>
              <w:rPr>
                <w:rFonts w:ascii="Calibri" w:hAnsi="Calibri"/>
                <w:noProof/>
                <w:sz w:val="18"/>
              </w:rPr>
              <w:t xml:space="preserve">je razvoj sljedećih informatičkih alata i sustava; pokreću se i stavljaju na raspolaganje korisnicima unutar Uprave za trgovačku mornaricu i, prema potrebi, izvan nje: </w:t>
            </w:r>
            <w:r>
              <w:rPr>
                <w:noProof/>
              </w:rPr>
              <w:br/>
            </w:r>
            <w:r>
              <w:rPr>
                <w:rFonts w:ascii="Calibri" w:hAnsi="Calibri"/>
                <w:noProof/>
                <w:sz w:val="18"/>
              </w:rPr>
              <w:t>• Sustav za upravljanje dokumentima, uključujući digitalizaciju fizičkih datoteka</w:t>
            </w:r>
            <w:r>
              <w:rPr>
                <w:noProof/>
              </w:rPr>
              <w:br/>
              <w:t xml:space="preserve"> </w:t>
            </w:r>
            <w:r>
              <w:rPr>
                <w:rFonts w:ascii="Calibri" w:hAnsi="Calibri"/>
                <w:noProof/>
                <w:sz w:val="18"/>
              </w:rPr>
              <w:t>• Sustav upravljanja plovilima</w:t>
            </w:r>
            <w:r>
              <w:rPr>
                <w:noProof/>
              </w:rPr>
              <w:br/>
              <w:t xml:space="preserve"> </w:t>
            </w:r>
            <w:r>
              <w:rPr>
                <w:rFonts w:ascii="Calibri" w:hAnsi="Calibri"/>
                <w:noProof/>
                <w:sz w:val="18"/>
              </w:rPr>
              <w:t>• Digitalno pomorsko sučelje (uključuje javno korisničko sučelje i privatno korisničko sučelje)</w:t>
            </w:r>
            <w:r>
              <w:rPr>
                <w:noProof/>
              </w:rPr>
              <w:br/>
              <w:t xml:space="preserve"> </w:t>
            </w:r>
            <w:r>
              <w:rPr>
                <w:rFonts w:ascii="Calibri" w:hAnsi="Calibri"/>
                <w:noProof/>
                <w:sz w:val="18"/>
              </w:rPr>
              <w:t>•Sustav upravljanja pomorcima</w:t>
            </w:r>
            <w:r>
              <w:rPr>
                <w:noProof/>
              </w:rPr>
              <w:br/>
              <w:t xml:space="preserve"> </w:t>
            </w:r>
            <w:r>
              <w:rPr>
                <w:rFonts w:ascii="Calibri" w:hAnsi="Calibri"/>
                <w:noProof/>
                <w:sz w:val="18"/>
              </w:rPr>
              <w:t>• Pomorska analitika</w:t>
            </w:r>
            <w:r>
              <w:rPr>
                <w:noProof/>
              </w:rPr>
              <w:br/>
              <w:t xml:space="preserve"> </w:t>
            </w:r>
            <w:r>
              <w:rPr>
                <w:rFonts w:ascii="Calibri" w:hAnsi="Calibri"/>
                <w:noProof/>
                <w:sz w:val="18"/>
              </w:rPr>
              <w:t>• Modul izdavanja računa.</w:t>
            </w:r>
          </w:p>
          <w:p w14:paraId="7A538F2C" w14:textId="77777777" w:rsidR="008273B8" w:rsidRDefault="00B93063">
            <w:pPr>
              <w:pStyle w:val="P68B1DB1-Normal7"/>
              <w:spacing w:after="0" w:line="240" w:lineRule="auto"/>
              <w:rPr>
                <w:rFonts w:eastAsia="Times New Roman" w:cs="Calibri"/>
                <w:noProof/>
              </w:rPr>
            </w:pPr>
            <w:r>
              <w:rPr>
                <w:noProof/>
              </w:rPr>
              <w:t>To bi trebalo potvrditi izvješćem u informacijskom sustavu za upravljanje.</w:t>
            </w:r>
          </w:p>
        </w:tc>
      </w:tr>
      <w:tr w:rsidR="008273B8" w14:paraId="7A538F39" w14:textId="77777777">
        <w:trPr>
          <w:cantSplit/>
          <w:jc w:val="center"/>
        </w:trPr>
        <w:tc>
          <w:tcPr>
            <w:tcW w:w="1107" w:type="dxa"/>
            <w:shd w:val="clear" w:color="auto" w:fill="C6EFCE"/>
            <w:vAlign w:val="center"/>
            <w:hideMark/>
          </w:tcPr>
          <w:p w14:paraId="7A538F2E" w14:textId="77777777" w:rsidR="008273B8" w:rsidRDefault="00B93063">
            <w:pPr>
              <w:pStyle w:val="P68B1DB1-Normal7"/>
              <w:spacing w:after="0" w:line="240" w:lineRule="auto"/>
              <w:rPr>
                <w:rFonts w:eastAsia="Times New Roman" w:cs="Calibri"/>
                <w:noProof/>
              </w:rPr>
            </w:pPr>
            <w:r>
              <w:rPr>
                <w:noProof/>
              </w:rPr>
              <w:t>3.9</w:t>
            </w:r>
          </w:p>
        </w:tc>
        <w:tc>
          <w:tcPr>
            <w:tcW w:w="1144" w:type="dxa"/>
            <w:shd w:val="clear" w:color="auto" w:fill="C6EFCE"/>
            <w:vAlign w:val="center"/>
            <w:hideMark/>
          </w:tcPr>
          <w:p w14:paraId="7A538F2F" w14:textId="77777777" w:rsidR="008273B8" w:rsidRDefault="00B93063">
            <w:pPr>
              <w:pStyle w:val="P68B1DB1-Normal7"/>
              <w:spacing w:after="0" w:line="240" w:lineRule="auto"/>
              <w:rPr>
                <w:rFonts w:eastAsia="Times New Roman" w:cs="Calibri"/>
                <w:noProof/>
              </w:rPr>
            </w:pPr>
            <w:r>
              <w:rPr>
                <w:noProof/>
              </w:rPr>
              <w:t xml:space="preserve">C3.I.2. </w:t>
            </w:r>
          </w:p>
        </w:tc>
        <w:tc>
          <w:tcPr>
            <w:tcW w:w="988" w:type="dxa"/>
            <w:shd w:val="clear" w:color="auto" w:fill="C6EFCE"/>
            <w:vAlign w:val="center"/>
            <w:hideMark/>
          </w:tcPr>
          <w:p w14:paraId="7A538F30" w14:textId="77777777" w:rsidR="008273B8" w:rsidRDefault="00B93063">
            <w:pPr>
              <w:pStyle w:val="P68B1DB1-Normal7"/>
              <w:spacing w:after="0" w:line="240" w:lineRule="auto"/>
              <w:rPr>
                <w:rFonts w:eastAsia="Times New Roman" w:cs="Calibri"/>
                <w:noProof/>
              </w:rPr>
            </w:pPr>
            <w:r>
              <w:rPr>
                <w:noProof/>
              </w:rPr>
              <w:t>Ciljna vrijednost</w:t>
            </w:r>
          </w:p>
        </w:tc>
        <w:tc>
          <w:tcPr>
            <w:tcW w:w="1523" w:type="dxa"/>
            <w:shd w:val="clear" w:color="auto" w:fill="C6EFCE"/>
            <w:vAlign w:val="center"/>
            <w:hideMark/>
          </w:tcPr>
          <w:p w14:paraId="7A538F31" w14:textId="77777777" w:rsidR="008273B8" w:rsidRDefault="00B93063">
            <w:pPr>
              <w:pStyle w:val="P68B1DB1-Normal7"/>
              <w:spacing w:after="0" w:line="240" w:lineRule="auto"/>
              <w:rPr>
                <w:rFonts w:eastAsia="Times New Roman" w:cs="Calibri"/>
                <w:noProof/>
              </w:rPr>
            </w:pPr>
            <w:r>
              <w:rPr>
                <w:noProof/>
              </w:rPr>
              <w:t>Pružanje tehničke izobrazbe osoblju</w:t>
            </w:r>
          </w:p>
        </w:tc>
        <w:tc>
          <w:tcPr>
            <w:tcW w:w="1937" w:type="dxa"/>
            <w:shd w:val="clear" w:color="auto" w:fill="C6EFCE"/>
            <w:vAlign w:val="center"/>
            <w:hideMark/>
          </w:tcPr>
          <w:p w14:paraId="7A538F32" w14:textId="77777777" w:rsidR="008273B8" w:rsidRDefault="00B93063">
            <w:pPr>
              <w:pStyle w:val="P68B1DB1-Normal7"/>
              <w:spacing w:after="0" w:line="240" w:lineRule="auto"/>
              <w:rPr>
                <w:rFonts w:eastAsia="Times New Roman" w:cs="Calibri"/>
                <w:noProof/>
              </w:rPr>
            </w:pPr>
            <w:r>
              <w:rPr>
                <w:noProof/>
              </w:rPr>
              <w:t> </w:t>
            </w:r>
          </w:p>
        </w:tc>
        <w:tc>
          <w:tcPr>
            <w:tcW w:w="1194" w:type="dxa"/>
            <w:shd w:val="clear" w:color="auto" w:fill="C6EFCE"/>
            <w:vAlign w:val="center"/>
            <w:hideMark/>
          </w:tcPr>
          <w:p w14:paraId="7A538F33" w14:textId="77777777" w:rsidR="008273B8" w:rsidRDefault="00B93063">
            <w:pPr>
              <w:pStyle w:val="P68B1DB1-Normal7"/>
              <w:spacing w:after="0" w:line="240" w:lineRule="auto"/>
              <w:jc w:val="center"/>
              <w:rPr>
                <w:rFonts w:eastAsia="Times New Roman" w:cs="Calibri"/>
                <w:noProof/>
              </w:rPr>
            </w:pPr>
            <w:r>
              <w:rPr>
                <w:noProof/>
              </w:rPr>
              <w:t>Broj</w:t>
            </w:r>
          </w:p>
        </w:tc>
        <w:tc>
          <w:tcPr>
            <w:tcW w:w="889" w:type="dxa"/>
            <w:shd w:val="clear" w:color="auto" w:fill="C6EFCE"/>
            <w:vAlign w:val="center"/>
            <w:hideMark/>
          </w:tcPr>
          <w:p w14:paraId="7A538F34" w14:textId="77777777" w:rsidR="008273B8" w:rsidRDefault="00B93063">
            <w:pPr>
              <w:pStyle w:val="P68B1DB1-Normal7"/>
              <w:spacing w:after="0" w:line="240" w:lineRule="auto"/>
              <w:jc w:val="center"/>
              <w:rPr>
                <w:rFonts w:eastAsia="Times New Roman" w:cs="Calibri"/>
                <w:noProof/>
              </w:rPr>
            </w:pPr>
            <w:r>
              <w:rPr>
                <w:noProof/>
              </w:rPr>
              <w:t>0</w:t>
            </w:r>
          </w:p>
        </w:tc>
        <w:tc>
          <w:tcPr>
            <w:tcW w:w="994" w:type="dxa"/>
            <w:shd w:val="clear" w:color="auto" w:fill="C6EFCE"/>
            <w:vAlign w:val="center"/>
            <w:hideMark/>
          </w:tcPr>
          <w:p w14:paraId="7A538F35" w14:textId="77777777" w:rsidR="008273B8" w:rsidRDefault="00B93063">
            <w:pPr>
              <w:pStyle w:val="P68B1DB1-Normal7"/>
              <w:spacing w:after="0" w:line="240" w:lineRule="auto"/>
              <w:jc w:val="center"/>
              <w:rPr>
                <w:rFonts w:eastAsia="Times New Roman" w:cs="Calibri"/>
                <w:noProof/>
              </w:rPr>
            </w:pPr>
            <w:r>
              <w:rPr>
                <w:noProof/>
              </w:rPr>
              <w:t>135</w:t>
            </w:r>
          </w:p>
        </w:tc>
        <w:tc>
          <w:tcPr>
            <w:tcW w:w="709" w:type="dxa"/>
            <w:shd w:val="clear" w:color="auto" w:fill="C6EFCE"/>
            <w:vAlign w:val="center"/>
            <w:hideMark/>
          </w:tcPr>
          <w:p w14:paraId="7A538F36"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51" w:type="dxa"/>
            <w:shd w:val="clear" w:color="auto" w:fill="C6EFCE"/>
            <w:vAlign w:val="center"/>
            <w:hideMark/>
          </w:tcPr>
          <w:p w14:paraId="7A538F37" w14:textId="77777777" w:rsidR="008273B8" w:rsidRDefault="00B93063">
            <w:pPr>
              <w:pStyle w:val="P68B1DB1-Normal7"/>
              <w:spacing w:after="0" w:line="240" w:lineRule="auto"/>
              <w:jc w:val="center"/>
              <w:rPr>
                <w:rFonts w:eastAsia="Times New Roman" w:cs="Calibri"/>
                <w:noProof/>
              </w:rPr>
            </w:pPr>
            <w:r>
              <w:rPr>
                <w:noProof/>
              </w:rPr>
              <w:t>2025</w:t>
            </w:r>
          </w:p>
        </w:tc>
        <w:tc>
          <w:tcPr>
            <w:tcW w:w="4919" w:type="dxa"/>
            <w:shd w:val="clear" w:color="auto" w:fill="C6EFCE"/>
            <w:vAlign w:val="center"/>
            <w:hideMark/>
          </w:tcPr>
          <w:p w14:paraId="7A538F38" w14:textId="77777777" w:rsidR="008273B8" w:rsidRDefault="00B93063">
            <w:pPr>
              <w:spacing w:after="0" w:line="240" w:lineRule="auto"/>
              <w:rPr>
                <w:rFonts w:ascii="Calibri" w:eastAsia="Times New Roman" w:hAnsi="Calibri" w:cs="Calibri"/>
                <w:noProof/>
                <w:sz w:val="18"/>
              </w:rPr>
            </w:pPr>
            <w:r>
              <w:rPr>
                <w:rFonts w:ascii="Calibri" w:hAnsi="Calibri"/>
                <w:noProof/>
                <w:sz w:val="18"/>
              </w:rPr>
              <w:t>Broj članova osoblja (promjene osoblja i operativnog osoblja) koji su osposobljeni za upotrebu razvijenih informatičkih alata i sustava:</w:t>
            </w:r>
            <w:r>
              <w:rPr>
                <w:noProof/>
              </w:rPr>
              <w:br/>
            </w:r>
            <w:r>
              <w:rPr>
                <w:rFonts w:ascii="Calibri" w:hAnsi="Calibri"/>
                <w:noProof/>
                <w:sz w:val="18"/>
              </w:rPr>
              <w:t>• Sustav za upravljanje dokumentima, uključujući digitalizaciju fizičkih datoteka</w:t>
            </w:r>
            <w:r>
              <w:rPr>
                <w:noProof/>
              </w:rPr>
              <w:br/>
              <w:t xml:space="preserve"> </w:t>
            </w:r>
            <w:r>
              <w:rPr>
                <w:rFonts w:ascii="Calibri" w:hAnsi="Calibri"/>
                <w:noProof/>
                <w:sz w:val="18"/>
              </w:rPr>
              <w:t>• Sustav upravljanja plovilima</w:t>
            </w:r>
            <w:r>
              <w:rPr>
                <w:noProof/>
              </w:rPr>
              <w:br/>
              <w:t xml:space="preserve"> </w:t>
            </w:r>
            <w:r>
              <w:rPr>
                <w:rFonts w:ascii="Calibri" w:hAnsi="Calibri"/>
                <w:noProof/>
                <w:sz w:val="18"/>
              </w:rPr>
              <w:t>• Digitalno pomorsko sučelje (uključuje javno korisničko sučelje i privatno korisničko sučelje)</w:t>
            </w:r>
            <w:r>
              <w:rPr>
                <w:noProof/>
              </w:rPr>
              <w:br/>
              <w:t xml:space="preserve"> </w:t>
            </w:r>
            <w:r>
              <w:rPr>
                <w:rFonts w:ascii="Calibri" w:hAnsi="Calibri"/>
                <w:noProof/>
                <w:sz w:val="18"/>
              </w:rPr>
              <w:t>•Sustav upravljanja pomorcima</w:t>
            </w:r>
            <w:r>
              <w:rPr>
                <w:noProof/>
              </w:rPr>
              <w:br/>
              <w:t xml:space="preserve"> </w:t>
            </w:r>
            <w:r>
              <w:rPr>
                <w:rFonts w:ascii="Calibri" w:hAnsi="Calibri"/>
                <w:noProof/>
                <w:sz w:val="18"/>
              </w:rPr>
              <w:t>• Pomorska analitika</w:t>
            </w:r>
            <w:r>
              <w:rPr>
                <w:noProof/>
              </w:rPr>
              <w:br/>
              <w:t xml:space="preserve"> </w:t>
            </w:r>
            <w:r>
              <w:rPr>
                <w:rFonts w:ascii="Calibri" w:hAnsi="Calibri"/>
                <w:noProof/>
                <w:sz w:val="18"/>
              </w:rPr>
              <w:t>• Modul izdavanja računa.</w:t>
            </w:r>
          </w:p>
        </w:tc>
      </w:tr>
      <w:tr w:rsidR="008273B8" w14:paraId="7A538F45" w14:textId="77777777">
        <w:trPr>
          <w:cantSplit/>
          <w:jc w:val="center"/>
        </w:trPr>
        <w:tc>
          <w:tcPr>
            <w:tcW w:w="1107" w:type="dxa"/>
            <w:shd w:val="clear" w:color="auto" w:fill="C6EFCE"/>
            <w:vAlign w:val="center"/>
            <w:hideMark/>
          </w:tcPr>
          <w:p w14:paraId="7A538F3A" w14:textId="77777777" w:rsidR="008273B8" w:rsidRDefault="00B93063">
            <w:pPr>
              <w:pStyle w:val="P68B1DB1-Normal7"/>
              <w:spacing w:after="0" w:line="240" w:lineRule="auto"/>
              <w:rPr>
                <w:rFonts w:eastAsia="Times New Roman" w:cs="Calibri"/>
                <w:noProof/>
              </w:rPr>
            </w:pPr>
            <w:r>
              <w:rPr>
                <w:noProof/>
              </w:rPr>
              <w:t>3.10</w:t>
            </w:r>
          </w:p>
        </w:tc>
        <w:tc>
          <w:tcPr>
            <w:tcW w:w="1144" w:type="dxa"/>
            <w:shd w:val="clear" w:color="auto" w:fill="C6EFCE"/>
            <w:vAlign w:val="center"/>
            <w:hideMark/>
          </w:tcPr>
          <w:p w14:paraId="7A538F3B" w14:textId="77777777" w:rsidR="008273B8" w:rsidRDefault="00B93063">
            <w:pPr>
              <w:pStyle w:val="P68B1DB1-Normal7"/>
              <w:spacing w:after="0" w:line="240" w:lineRule="auto"/>
              <w:rPr>
                <w:rFonts w:eastAsia="Times New Roman" w:cs="Calibri"/>
                <w:noProof/>
              </w:rPr>
            </w:pPr>
            <w:r>
              <w:rPr>
                <w:noProof/>
              </w:rPr>
              <w:t xml:space="preserve">C3.I.3. </w:t>
            </w:r>
          </w:p>
        </w:tc>
        <w:tc>
          <w:tcPr>
            <w:tcW w:w="988" w:type="dxa"/>
            <w:shd w:val="clear" w:color="auto" w:fill="C6EFCE"/>
            <w:vAlign w:val="center"/>
            <w:hideMark/>
          </w:tcPr>
          <w:p w14:paraId="7A538F3C" w14:textId="77777777" w:rsidR="008273B8" w:rsidRDefault="00B93063">
            <w:pPr>
              <w:pStyle w:val="P68B1DB1-Normal7"/>
              <w:spacing w:after="0" w:line="240" w:lineRule="auto"/>
              <w:rPr>
                <w:rFonts w:eastAsia="Times New Roman" w:cs="Calibri"/>
                <w:noProof/>
              </w:rPr>
            </w:pPr>
            <w:r>
              <w:rPr>
                <w:noProof/>
              </w:rPr>
              <w:t>Ciljna vrijednost</w:t>
            </w:r>
          </w:p>
        </w:tc>
        <w:tc>
          <w:tcPr>
            <w:tcW w:w="1523" w:type="dxa"/>
            <w:shd w:val="clear" w:color="auto" w:fill="C6EFCE"/>
            <w:vAlign w:val="center"/>
            <w:hideMark/>
          </w:tcPr>
          <w:p w14:paraId="7A538F3D" w14:textId="77777777" w:rsidR="008273B8" w:rsidRDefault="00B93063">
            <w:pPr>
              <w:pStyle w:val="P68B1DB1-Normal7"/>
              <w:spacing w:after="0" w:line="240" w:lineRule="auto"/>
              <w:rPr>
                <w:rFonts w:eastAsia="Times New Roman" w:cs="Calibri"/>
                <w:noProof/>
              </w:rPr>
            </w:pPr>
            <w:r>
              <w:rPr>
                <w:noProof/>
              </w:rPr>
              <w:t xml:space="preserve">Rashodi nastali u vezi s modernim digitalnim radnim mjestom i rješenjima za poboljšanje iskustva krajnjih kupaca </w:t>
            </w:r>
          </w:p>
        </w:tc>
        <w:tc>
          <w:tcPr>
            <w:tcW w:w="1937" w:type="dxa"/>
            <w:shd w:val="clear" w:color="auto" w:fill="C6EFCE"/>
            <w:vAlign w:val="center"/>
            <w:hideMark/>
          </w:tcPr>
          <w:p w14:paraId="7A538F3E" w14:textId="77777777" w:rsidR="008273B8" w:rsidRDefault="00B93063">
            <w:pPr>
              <w:pStyle w:val="P68B1DB1-Normal7"/>
              <w:spacing w:after="0" w:line="240" w:lineRule="auto"/>
              <w:rPr>
                <w:rFonts w:eastAsia="Times New Roman" w:cs="Calibri"/>
                <w:noProof/>
              </w:rPr>
            </w:pPr>
            <w:r>
              <w:rPr>
                <w:noProof/>
              </w:rPr>
              <w:t> </w:t>
            </w:r>
          </w:p>
        </w:tc>
        <w:tc>
          <w:tcPr>
            <w:tcW w:w="1194" w:type="dxa"/>
            <w:shd w:val="clear" w:color="auto" w:fill="C6EFCE"/>
            <w:vAlign w:val="center"/>
            <w:hideMark/>
          </w:tcPr>
          <w:p w14:paraId="7A538F3F" w14:textId="77777777" w:rsidR="008273B8" w:rsidRDefault="00B93063">
            <w:pPr>
              <w:pStyle w:val="P68B1DB1-Normal7"/>
              <w:spacing w:after="0" w:line="240" w:lineRule="auto"/>
              <w:jc w:val="center"/>
              <w:rPr>
                <w:rFonts w:eastAsia="Times New Roman" w:cs="Calibri"/>
                <w:noProof/>
              </w:rPr>
            </w:pPr>
            <w:r>
              <w:rPr>
                <w:noProof/>
              </w:rPr>
              <w:t>EUR</w:t>
            </w:r>
          </w:p>
        </w:tc>
        <w:tc>
          <w:tcPr>
            <w:tcW w:w="889" w:type="dxa"/>
            <w:shd w:val="clear" w:color="auto" w:fill="C6EFCE"/>
            <w:vAlign w:val="center"/>
            <w:hideMark/>
          </w:tcPr>
          <w:p w14:paraId="7A538F40" w14:textId="77777777" w:rsidR="008273B8" w:rsidRDefault="00B93063">
            <w:pPr>
              <w:pStyle w:val="P68B1DB1-Normal7"/>
              <w:spacing w:after="0" w:line="240" w:lineRule="auto"/>
              <w:jc w:val="center"/>
              <w:rPr>
                <w:rFonts w:eastAsia="Times New Roman" w:cs="Calibri"/>
                <w:noProof/>
              </w:rPr>
            </w:pPr>
            <w:r>
              <w:rPr>
                <w:noProof/>
              </w:rPr>
              <w:t>0</w:t>
            </w:r>
          </w:p>
        </w:tc>
        <w:tc>
          <w:tcPr>
            <w:tcW w:w="994" w:type="dxa"/>
            <w:shd w:val="clear" w:color="auto" w:fill="C6EFCE"/>
            <w:vAlign w:val="center"/>
            <w:hideMark/>
          </w:tcPr>
          <w:p w14:paraId="7A538F41" w14:textId="77777777" w:rsidR="008273B8" w:rsidRDefault="00B93063">
            <w:pPr>
              <w:pStyle w:val="P68B1DB1-Normal7"/>
              <w:spacing w:after="0" w:line="240" w:lineRule="auto"/>
              <w:jc w:val="center"/>
              <w:rPr>
                <w:rFonts w:eastAsia="Times New Roman" w:cs="Calibri"/>
                <w:noProof/>
              </w:rPr>
            </w:pPr>
            <w:r>
              <w:rPr>
                <w:noProof/>
              </w:rPr>
              <w:t>2 500 000</w:t>
            </w:r>
          </w:p>
        </w:tc>
        <w:tc>
          <w:tcPr>
            <w:tcW w:w="709" w:type="dxa"/>
            <w:shd w:val="clear" w:color="auto" w:fill="C6EFCE"/>
            <w:vAlign w:val="center"/>
            <w:hideMark/>
          </w:tcPr>
          <w:p w14:paraId="7A538F42"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51" w:type="dxa"/>
            <w:shd w:val="clear" w:color="auto" w:fill="C6EFCE"/>
            <w:vAlign w:val="center"/>
            <w:hideMark/>
          </w:tcPr>
          <w:p w14:paraId="7A538F43" w14:textId="77777777" w:rsidR="008273B8" w:rsidRDefault="00B93063">
            <w:pPr>
              <w:pStyle w:val="P68B1DB1-Normal7"/>
              <w:spacing w:after="0" w:line="240" w:lineRule="auto"/>
              <w:jc w:val="center"/>
              <w:rPr>
                <w:rFonts w:eastAsia="Times New Roman" w:cs="Calibri"/>
                <w:noProof/>
              </w:rPr>
            </w:pPr>
            <w:r>
              <w:rPr>
                <w:noProof/>
              </w:rPr>
              <w:t>2022</w:t>
            </w:r>
          </w:p>
        </w:tc>
        <w:tc>
          <w:tcPr>
            <w:tcW w:w="4919" w:type="dxa"/>
            <w:shd w:val="clear" w:color="auto" w:fill="C6EFCE"/>
            <w:vAlign w:val="center"/>
            <w:hideMark/>
          </w:tcPr>
          <w:p w14:paraId="7A538F44" w14:textId="77777777" w:rsidR="008273B8" w:rsidRDefault="00B93063">
            <w:pPr>
              <w:pStyle w:val="P68B1DB1-Normal7"/>
              <w:spacing w:after="0" w:line="240" w:lineRule="auto"/>
              <w:rPr>
                <w:rFonts w:eastAsia="Times New Roman" w:cs="Calibri"/>
                <w:noProof/>
              </w:rPr>
            </w:pPr>
            <w:r>
              <w:rPr>
                <w:noProof/>
              </w:rPr>
              <w:t xml:space="preserve">Plaćeno je najmanje 2 500 000 EUR za ugovorne obveze koje se odnose na mjere povezane s modernim digitalnim radnim mjestom i rješenja za poboljšanje iskustva krajnjih korisnika. </w:t>
            </w:r>
          </w:p>
        </w:tc>
      </w:tr>
      <w:tr w:rsidR="008273B8" w14:paraId="7A538F51" w14:textId="77777777">
        <w:trPr>
          <w:cantSplit/>
          <w:jc w:val="center"/>
        </w:trPr>
        <w:tc>
          <w:tcPr>
            <w:tcW w:w="1107" w:type="dxa"/>
            <w:shd w:val="clear" w:color="auto" w:fill="C6EFCE"/>
            <w:vAlign w:val="center"/>
            <w:hideMark/>
          </w:tcPr>
          <w:p w14:paraId="7A538F46" w14:textId="77777777" w:rsidR="008273B8" w:rsidRDefault="00B93063">
            <w:pPr>
              <w:pStyle w:val="P68B1DB1-Normal7"/>
              <w:spacing w:after="0" w:line="240" w:lineRule="auto"/>
              <w:rPr>
                <w:rFonts w:eastAsia="Times New Roman" w:cs="Calibri"/>
                <w:noProof/>
              </w:rPr>
            </w:pPr>
            <w:r>
              <w:rPr>
                <w:noProof/>
              </w:rPr>
              <w:t>3.11</w:t>
            </w:r>
          </w:p>
        </w:tc>
        <w:tc>
          <w:tcPr>
            <w:tcW w:w="1144" w:type="dxa"/>
            <w:shd w:val="clear" w:color="auto" w:fill="C6EFCE"/>
            <w:vAlign w:val="center"/>
            <w:hideMark/>
          </w:tcPr>
          <w:p w14:paraId="7A538F47" w14:textId="77777777" w:rsidR="008273B8" w:rsidRDefault="00B93063">
            <w:pPr>
              <w:pStyle w:val="P68B1DB1-Normal7"/>
              <w:spacing w:after="0" w:line="240" w:lineRule="auto"/>
              <w:rPr>
                <w:rFonts w:eastAsia="Times New Roman" w:cs="Calibri"/>
                <w:noProof/>
              </w:rPr>
            </w:pPr>
            <w:r>
              <w:rPr>
                <w:noProof/>
              </w:rPr>
              <w:t xml:space="preserve">C3.I.3. </w:t>
            </w:r>
          </w:p>
        </w:tc>
        <w:tc>
          <w:tcPr>
            <w:tcW w:w="988" w:type="dxa"/>
            <w:shd w:val="clear" w:color="auto" w:fill="C6EFCE"/>
            <w:vAlign w:val="center"/>
            <w:hideMark/>
          </w:tcPr>
          <w:p w14:paraId="7A538F48" w14:textId="77777777" w:rsidR="008273B8" w:rsidRDefault="00B93063">
            <w:pPr>
              <w:pStyle w:val="P68B1DB1-Normal7"/>
              <w:spacing w:after="0" w:line="240" w:lineRule="auto"/>
              <w:rPr>
                <w:rFonts w:eastAsia="Times New Roman" w:cs="Calibri"/>
                <w:noProof/>
              </w:rPr>
            </w:pPr>
            <w:r>
              <w:rPr>
                <w:noProof/>
              </w:rPr>
              <w:t>Ciljna vrijednost</w:t>
            </w:r>
          </w:p>
        </w:tc>
        <w:tc>
          <w:tcPr>
            <w:tcW w:w="1523" w:type="dxa"/>
            <w:shd w:val="clear" w:color="auto" w:fill="C6EFCE"/>
            <w:vAlign w:val="center"/>
            <w:hideMark/>
          </w:tcPr>
          <w:p w14:paraId="7A538F49" w14:textId="77777777" w:rsidR="008273B8" w:rsidRDefault="00B93063">
            <w:pPr>
              <w:pStyle w:val="P68B1DB1-Normal7"/>
              <w:spacing w:after="0" w:line="240" w:lineRule="auto"/>
              <w:rPr>
                <w:rFonts w:eastAsia="Times New Roman" w:cs="Calibri"/>
                <w:noProof/>
              </w:rPr>
            </w:pPr>
            <w:r>
              <w:rPr>
                <w:noProof/>
              </w:rPr>
              <w:t>Stjecanje dodatnih dozvola Microsoft 365 (ili jednakovrijednih)</w:t>
            </w:r>
          </w:p>
        </w:tc>
        <w:tc>
          <w:tcPr>
            <w:tcW w:w="1937" w:type="dxa"/>
            <w:shd w:val="clear" w:color="auto" w:fill="C6EFCE"/>
            <w:vAlign w:val="center"/>
            <w:hideMark/>
          </w:tcPr>
          <w:p w14:paraId="7A538F4A" w14:textId="77777777" w:rsidR="008273B8" w:rsidRDefault="00B93063">
            <w:pPr>
              <w:pStyle w:val="P68B1DB1-Normal7"/>
              <w:spacing w:after="0" w:line="240" w:lineRule="auto"/>
              <w:rPr>
                <w:rFonts w:eastAsia="Times New Roman" w:cs="Calibri"/>
                <w:noProof/>
              </w:rPr>
            </w:pPr>
            <w:r>
              <w:rPr>
                <w:noProof/>
              </w:rPr>
              <w:t> </w:t>
            </w:r>
          </w:p>
        </w:tc>
        <w:tc>
          <w:tcPr>
            <w:tcW w:w="1194" w:type="dxa"/>
            <w:shd w:val="clear" w:color="auto" w:fill="C6EFCE"/>
            <w:vAlign w:val="center"/>
            <w:hideMark/>
          </w:tcPr>
          <w:p w14:paraId="7A538F4B" w14:textId="77777777" w:rsidR="008273B8" w:rsidRDefault="00B93063">
            <w:pPr>
              <w:pStyle w:val="P68B1DB1-Normal7"/>
              <w:spacing w:after="0" w:line="240" w:lineRule="auto"/>
              <w:jc w:val="center"/>
              <w:rPr>
                <w:rFonts w:eastAsia="Times New Roman" w:cs="Calibri"/>
                <w:noProof/>
              </w:rPr>
            </w:pPr>
            <w:r>
              <w:rPr>
                <w:noProof/>
              </w:rPr>
              <w:t>Broj</w:t>
            </w:r>
          </w:p>
        </w:tc>
        <w:tc>
          <w:tcPr>
            <w:tcW w:w="889" w:type="dxa"/>
            <w:shd w:val="clear" w:color="auto" w:fill="C6EFCE"/>
            <w:vAlign w:val="center"/>
            <w:hideMark/>
          </w:tcPr>
          <w:p w14:paraId="7A538F4C" w14:textId="77777777" w:rsidR="008273B8" w:rsidRDefault="00B93063">
            <w:pPr>
              <w:pStyle w:val="P68B1DB1-Normal7"/>
              <w:spacing w:after="0" w:line="240" w:lineRule="auto"/>
              <w:jc w:val="center"/>
              <w:rPr>
                <w:rFonts w:eastAsia="Times New Roman" w:cs="Calibri"/>
                <w:noProof/>
              </w:rPr>
            </w:pPr>
            <w:r>
              <w:rPr>
                <w:noProof/>
              </w:rPr>
              <w:t>20 000</w:t>
            </w:r>
          </w:p>
        </w:tc>
        <w:tc>
          <w:tcPr>
            <w:tcW w:w="994" w:type="dxa"/>
            <w:shd w:val="clear" w:color="auto" w:fill="C6EFCE"/>
            <w:vAlign w:val="center"/>
            <w:hideMark/>
          </w:tcPr>
          <w:p w14:paraId="7A538F4D" w14:textId="77777777" w:rsidR="008273B8" w:rsidRDefault="00B93063">
            <w:pPr>
              <w:pStyle w:val="P68B1DB1-Normal7"/>
              <w:spacing w:after="0" w:line="240" w:lineRule="auto"/>
              <w:jc w:val="center"/>
              <w:rPr>
                <w:rFonts w:eastAsia="Times New Roman" w:cs="Calibri"/>
                <w:noProof/>
              </w:rPr>
            </w:pPr>
            <w:r>
              <w:rPr>
                <w:noProof/>
              </w:rPr>
              <w:t>23 500</w:t>
            </w:r>
          </w:p>
        </w:tc>
        <w:tc>
          <w:tcPr>
            <w:tcW w:w="709" w:type="dxa"/>
            <w:shd w:val="clear" w:color="auto" w:fill="C6EFCE"/>
            <w:vAlign w:val="center"/>
            <w:hideMark/>
          </w:tcPr>
          <w:p w14:paraId="7A538F4E"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51" w:type="dxa"/>
            <w:shd w:val="clear" w:color="auto" w:fill="C6EFCE"/>
            <w:vAlign w:val="center"/>
            <w:hideMark/>
          </w:tcPr>
          <w:p w14:paraId="7A538F4F" w14:textId="77777777" w:rsidR="008273B8" w:rsidRDefault="00B93063">
            <w:pPr>
              <w:pStyle w:val="P68B1DB1-Normal7"/>
              <w:spacing w:after="0" w:line="240" w:lineRule="auto"/>
              <w:jc w:val="center"/>
              <w:rPr>
                <w:rFonts w:eastAsia="Times New Roman" w:cs="Calibri"/>
                <w:noProof/>
              </w:rPr>
            </w:pPr>
            <w:r>
              <w:rPr>
                <w:noProof/>
              </w:rPr>
              <w:t>2025</w:t>
            </w:r>
          </w:p>
        </w:tc>
        <w:tc>
          <w:tcPr>
            <w:tcW w:w="4919" w:type="dxa"/>
            <w:shd w:val="clear" w:color="auto" w:fill="C6EFCE"/>
            <w:vAlign w:val="center"/>
            <w:hideMark/>
          </w:tcPr>
          <w:p w14:paraId="7A538F50" w14:textId="77777777" w:rsidR="008273B8" w:rsidRDefault="00B93063">
            <w:pPr>
              <w:pStyle w:val="P68B1DB1-Normal7"/>
              <w:spacing w:after="0" w:line="240" w:lineRule="auto"/>
              <w:rPr>
                <w:rFonts w:eastAsia="Times New Roman" w:cs="Calibri"/>
                <w:noProof/>
              </w:rPr>
            </w:pPr>
            <w:r>
              <w:rPr>
                <w:noProof/>
              </w:rPr>
              <w:t xml:space="preserve">MITA od 2019. provodi moderni projekt Desktop koji je do kraja 2019. omogućio 12000 javnih službenika da se koriste Microsoftom 365 alata, uključujući Teams i OneDrive. Ta se brojka povećala na 20000 do kraja 2020. Mita će dodatno steći dodatnih 3500 Microsoft 365 (ili jednakovrijednih) licencija do kraja 2025. </w:t>
            </w:r>
          </w:p>
        </w:tc>
      </w:tr>
      <w:tr w:rsidR="008273B8" w14:paraId="7A538F5D" w14:textId="77777777">
        <w:trPr>
          <w:cantSplit/>
          <w:jc w:val="center"/>
        </w:trPr>
        <w:tc>
          <w:tcPr>
            <w:tcW w:w="1107" w:type="dxa"/>
            <w:shd w:val="clear" w:color="auto" w:fill="C6EFCE"/>
            <w:vAlign w:val="center"/>
            <w:hideMark/>
          </w:tcPr>
          <w:p w14:paraId="7A538F52" w14:textId="77777777" w:rsidR="008273B8" w:rsidRDefault="00B93063">
            <w:pPr>
              <w:pStyle w:val="P68B1DB1-Normal7"/>
              <w:spacing w:after="0" w:line="240" w:lineRule="auto"/>
              <w:rPr>
                <w:rFonts w:eastAsia="Times New Roman" w:cs="Calibri"/>
                <w:noProof/>
              </w:rPr>
            </w:pPr>
            <w:r>
              <w:rPr>
                <w:noProof/>
              </w:rPr>
              <w:t>3.12</w:t>
            </w:r>
          </w:p>
        </w:tc>
        <w:tc>
          <w:tcPr>
            <w:tcW w:w="1144" w:type="dxa"/>
            <w:shd w:val="clear" w:color="auto" w:fill="C6EFCE"/>
            <w:vAlign w:val="center"/>
            <w:hideMark/>
          </w:tcPr>
          <w:p w14:paraId="7A538F53" w14:textId="77777777" w:rsidR="008273B8" w:rsidRDefault="00B93063">
            <w:pPr>
              <w:pStyle w:val="P68B1DB1-Normal7"/>
              <w:spacing w:after="0" w:line="240" w:lineRule="auto"/>
              <w:rPr>
                <w:rFonts w:eastAsia="Times New Roman" w:cs="Calibri"/>
                <w:noProof/>
              </w:rPr>
            </w:pPr>
            <w:r>
              <w:rPr>
                <w:noProof/>
              </w:rPr>
              <w:t xml:space="preserve">C3.I.3. </w:t>
            </w:r>
          </w:p>
        </w:tc>
        <w:tc>
          <w:tcPr>
            <w:tcW w:w="988" w:type="dxa"/>
            <w:shd w:val="clear" w:color="auto" w:fill="C6EFCE"/>
            <w:vAlign w:val="center"/>
            <w:hideMark/>
          </w:tcPr>
          <w:p w14:paraId="7A538F54" w14:textId="77777777" w:rsidR="008273B8" w:rsidRDefault="00B93063">
            <w:pPr>
              <w:pStyle w:val="P68B1DB1-Normal7"/>
              <w:spacing w:after="0" w:line="240" w:lineRule="auto"/>
              <w:rPr>
                <w:rFonts w:eastAsia="Times New Roman" w:cs="Calibri"/>
                <w:noProof/>
              </w:rPr>
            </w:pPr>
            <w:r>
              <w:rPr>
                <w:noProof/>
              </w:rPr>
              <w:t>Ciljna vrijednost</w:t>
            </w:r>
          </w:p>
        </w:tc>
        <w:tc>
          <w:tcPr>
            <w:tcW w:w="1523" w:type="dxa"/>
            <w:shd w:val="clear" w:color="auto" w:fill="C6EFCE"/>
            <w:vAlign w:val="center"/>
            <w:hideMark/>
          </w:tcPr>
          <w:p w14:paraId="7A538F55" w14:textId="77777777" w:rsidR="008273B8" w:rsidRDefault="00B93063">
            <w:pPr>
              <w:pStyle w:val="P68B1DB1-Normal7"/>
              <w:spacing w:after="0" w:line="240" w:lineRule="auto"/>
              <w:rPr>
                <w:rFonts w:eastAsia="Times New Roman" w:cs="Calibri"/>
                <w:noProof/>
              </w:rPr>
            </w:pPr>
            <w:r>
              <w:rPr>
                <w:noProof/>
              </w:rPr>
              <w:t>Nabava dodatnih dijelova IT hardvera i softvera</w:t>
            </w:r>
          </w:p>
        </w:tc>
        <w:tc>
          <w:tcPr>
            <w:tcW w:w="1937" w:type="dxa"/>
            <w:shd w:val="clear" w:color="auto" w:fill="C6EFCE"/>
            <w:vAlign w:val="center"/>
            <w:hideMark/>
          </w:tcPr>
          <w:p w14:paraId="7A538F56" w14:textId="77777777" w:rsidR="008273B8" w:rsidRDefault="00B93063">
            <w:pPr>
              <w:pStyle w:val="P68B1DB1-Normal7"/>
              <w:spacing w:after="0" w:line="240" w:lineRule="auto"/>
              <w:rPr>
                <w:rFonts w:eastAsia="Times New Roman" w:cs="Calibri"/>
                <w:noProof/>
              </w:rPr>
            </w:pPr>
            <w:r>
              <w:rPr>
                <w:noProof/>
              </w:rPr>
              <w:t> </w:t>
            </w:r>
          </w:p>
        </w:tc>
        <w:tc>
          <w:tcPr>
            <w:tcW w:w="1194" w:type="dxa"/>
            <w:shd w:val="clear" w:color="auto" w:fill="C6EFCE"/>
            <w:vAlign w:val="center"/>
            <w:hideMark/>
          </w:tcPr>
          <w:p w14:paraId="7A538F57" w14:textId="77777777" w:rsidR="008273B8" w:rsidRDefault="00B93063">
            <w:pPr>
              <w:pStyle w:val="P68B1DB1-Normal7"/>
              <w:spacing w:after="0" w:line="240" w:lineRule="auto"/>
              <w:jc w:val="center"/>
              <w:rPr>
                <w:rFonts w:eastAsia="Times New Roman" w:cs="Calibri"/>
                <w:noProof/>
              </w:rPr>
            </w:pPr>
            <w:r>
              <w:rPr>
                <w:noProof/>
              </w:rPr>
              <w:t>Broj</w:t>
            </w:r>
          </w:p>
        </w:tc>
        <w:tc>
          <w:tcPr>
            <w:tcW w:w="889" w:type="dxa"/>
            <w:shd w:val="clear" w:color="auto" w:fill="C6EFCE"/>
            <w:vAlign w:val="center"/>
            <w:hideMark/>
          </w:tcPr>
          <w:p w14:paraId="7A538F58" w14:textId="77777777" w:rsidR="008273B8" w:rsidRDefault="00B93063">
            <w:pPr>
              <w:pStyle w:val="P68B1DB1-Normal7"/>
              <w:spacing w:after="0" w:line="240" w:lineRule="auto"/>
              <w:jc w:val="center"/>
              <w:rPr>
                <w:rFonts w:eastAsia="Times New Roman" w:cs="Calibri"/>
                <w:noProof/>
              </w:rPr>
            </w:pPr>
            <w:r>
              <w:rPr>
                <w:noProof/>
              </w:rPr>
              <w:t>0</w:t>
            </w:r>
          </w:p>
        </w:tc>
        <w:tc>
          <w:tcPr>
            <w:tcW w:w="994" w:type="dxa"/>
            <w:shd w:val="clear" w:color="auto" w:fill="C6EFCE"/>
            <w:vAlign w:val="center"/>
            <w:hideMark/>
          </w:tcPr>
          <w:p w14:paraId="7A538F59" w14:textId="77777777" w:rsidR="008273B8" w:rsidRDefault="00B93063">
            <w:pPr>
              <w:pStyle w:val="P68B1DB1-Normal7"/>
              <w:spacing w:after="0" w:line="240" w:lineRule="auto"/>
              <w:jc w:val="center"/>
              <w:rPr>
                <w:rFonts w:eastAsia="Times New Roman" w:cs="Calibri"/>
                <w:noProof/>
              </w:rPr>
            </w:pPr>
            <w:r>
              <w:rPr>
                <w:noProof/>
              </w:rPr>
              <w:t>2 000</w:t>
            </w:r>
          </w:p>
        </w:tc>
        <w:tc>
          <w:tcPr>
            <w:tcW w:w="709" w:type="dxa"/>
            <w:shd w:val="clear" w:color="auto" w:fill="C6EFCE"/>
            <w:vAlign w:val="center"/>
            <w:hideMark/>
          </w:tcPr>
          <w:p w14:paraId="7A538F5A"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51" w:type="dxa"/>
            <w:shd w:val="clear" w:color="auto" w:fill="C6EFCE"/>
            <w:vAlign w:val="center"/>
            <w:hideMark/>
          </w:tcPr>
          <w:p w14:paraId="7A538F5B" w14:textId="77777777" w:rsidR="008273B8" w:rsidRDefault="00B93063">
            <w:pPr>
              <w:pStyle w:val="P68B1DB1-Normal7"/>
              <w:spacing w:after="0" w:line="240" w:lineRule="auto"/>
              <w:jc w:val="center"/>
              <w:rPr>
                <w:rFonts w:eastAsia="Times New Roman" w:cs="Calibri"/>
                <w:noProof/>
              </w:rPr>
            </w:pPr>
            <w:r>
              <w:rPr>
                <w:noProof/>
              </w:rPr>
              <w:t>2024</w:t>
            </w:r>
          </w:p>
        </w:tc>
        <w:tc>
          <w:tcPr>
            <w:tcW w:w="4919" w:type="dxa"/>
            <w:shd w:val="clear" w:color="auto" w:fill="C6EFCE"/>
            <w:vAlign w:val="center"/>
            <w:hideMark/>
          </w:tcPr>
          <w:p w14:paraId="7A538F5C" w14:textId="77777777" w:rsidR="008273B8" w:rsidRDefault="00B93063">
            <w:pPr>
              <w:pStyle w:val="P68B1DB1-Normal7"/>
              <w:spacing w:after="0" w:line="240" w:lineRule="auto"/>
              <w:rPr>
                <w:rFonts w:eastAsia="Times New Roman" w:cs="Calibri"/>
                <w:noProof/>
              </w:rPr>
            </w:pPr>
            <w:r>
              <w:rPr>
                <w:noProof/>
              </w:rPr>
              <w:t xml:space="preserve">Kako bi se dodatnim korisnicima omogućio rad na daljinu, određenom broju korisnika mora se zamijeniti prijenosno računalo (2000.) jer postojeći strojevi ne podržavaju novu tehnologiju. Mita također provodi dokaz o koncepcijama kako bi dodala nove značajke kao što su telefonija (licenci koje treba nabaviti za 2000 korisnika) i virtualna stolna računala (licencije koje treba nabaviti za 2000 korisnika). Kako bi se poduprla ta provedba, MITA također provodi internetsku provjeru identiteta i sigurnost ključnih funkcija u poslovnim aplikacijama. </w:t>
            </w:r>
          </w:p>
        </w:tc>
      </w:tr>
      <w:tr w:rsidR="008273B8" w14:paraId="7A538F69" w14:textId="77777777">
        <w:trPr>
          <w:cantSplit/>
          <w:jc w:val="center"/>
        </w:trPr>
        <w:tc>
          <w:tcPr>
            <w:tcW w:w="1107" w:type="dxa"/>
            <w:shd w:val="clear" w:color="auto" w:fill="C6EFCE"/>
            <w:vAlign w:val="center"/>
            <w:hideMark/>
          </w:tcPr>
          <w:p w14:paraId="7A538F5E" w14:textId="77777777" w:rsidR="008273B8" w:rsidRDefault="00B93063">
            <w:pPr>
              <w:pStyle w:val="P68B1DB1-Normal7"/>
              <w:spacing w:after="0" w:line="240" w:lineRule="auto"/>
              <w:rPr>
                <w:rFonts w:eastAsia="Times New Roman" w:cs="Calibri"/>
                <w:noProof/>
              </w:rPr>
            </w:pPr>
            <w:r>
              <w:rPr>
                <w:noProof/>
              </w:rPr>
              <w:t>3.13</w:t>
            </w:r>
          </w:p>
        </w:tc>
        <w:tc>
          <w:tcPr>
            <w:tcW w:w="1144" w:type="dxa"/>
            <w:shd w:val="clear" w:color="auto" w:fill="C6EFCE"/>
            <w:vAlign w:val="center"/>
            <w:hideMark/>
          </w:tcPr>
          <w:p w14:paraId="7A538F5F" w14:textId="77777777" w:rsidR="008273B8" w:rsidRDefault="00B93063">
            <w:pPr>
              <w:pStyle w:val="P68B1DB1-Normal7"/>
              <w:spacing w:after="0" w:line="240" w:lineRule="auto"/>
              <w:rPr>
                <w:rFonts w:eastAsia="Times New Roman" w:cs="Calibri"/>
                <w:noProof/>
              </w:rPr>
            </w:pPr>
            <w:r>
              <w:rPr>
                <w:noProof/>
              </w:rPr>
              <w:t xml:space="preserve">C3.I.3. </w:t>
            </w:r>
          </w:p>
        </w:tc>
        <w:tc>
          <w:tcPr>
            <w:tcW w:w="988" w:type="dxa"/>
            <w:shd w:val="clear" w:color="auto" w:fill="C6EFCE"/>
            <w:vAlign w:val="center"/>
            <w:hideMark/>
          </w:tcPr>
          <w:p w14:paraId="7A538F60" w14:textId="77777777" w:rsidR="008273B8" w:rsidRDefault="00B93063">
            <w:pPr>
              <w:pStyle w:val="P68B1DB1-Normal7"/>
              <w:spacing w:after="0" w:line="240" w:lineRule="auto"/>
              <w:rPr>
                <w:rFonts w:eastAsia="Times New Roman" w:cs="Calibri"/>
                <w:noProof/>
              </w:rPr>
            </w:pPr>
            <w:r>
              <w:rPr>
                <w:noProof/>
              </w:rPr>
              <w:t>Ciljna vrijednost</w:t>
            </w:r>
          </w:p>
        </w:tc>
        <w:tc>
          <w:tcPr>
            <w:tcW w:w="1523" w:type="dxa"/>
            <w:shd w:val="clear" w:color="auto" w:fill="C6EFCE"/>
            <w:vAlign w:val="center"/>
            <w:hideMark/>
          </w:tcPr>
          <w:p w14:paraId="7A538F61" w14:textId="77777777" w:rsidR="008273B8" w:rsidRDefault="00B93063">
            <w:pPr>
              <w:pStyle w:val="P68B1DB1-Normal7"/>
              <w:spacing w:after="0" w:line="240" w:lineRule="auto"/>
              <w:rPr>
                <w:rFonts w:eastAsia="Times New Roman" w:cs="Calibri"/>
                <w:noProof/>
              </w:rPr>
            </w:pPr>
            <w:r>
              <w:rPr>
                <w:noProof/>
              </w:rPr>
              <w:t xml:space="preserve">Povećanje korištenja internetskih usluga </w:t>
            </w:r>
          </w:p>
        </w:tc>
        <w:tc>
          <w:tcPr>
            <w:tcW w:w="1937" w:type="dxa"/>
            <w:shd w:val="clear" w:color="auto" w:fill="C6EFCE"/>
            <w:vAlign w:val="center"/>
            <w:hideMark/>
          </w:tcPr>
          <w:p w14:paraId="7A538F62" w14:textId="77777777" w:rsidR="008273B8" w:rsidRDefault="00B93063">
            <w:pPr>
              <w:pStyle w:val="P68B1DB1-Normal7"/>
              <w:spacing w:after="0" w:line="240" w:lineRule="auto"/>
              <w:rPr>
                <w:rFonts w:eastAsia="Times New Roman" w:cs="Calibri"/>
                <w:noProof/>
              </w:rPr>
            </w:pPr>
            <w:r>
              <w:rPr>
                <w:noProof/>
              </w:rPr>
              <w:t> </w:t>
            </w:r>
          </w:p>
        </w:tc>
        <w:tc>
          <w:tcPr>
            <w:tcW w:w="1194" w:type="dxa"/>
            <w:shd w:val="clear" w:color="auto" w:fill="C6EFCE"/>
            <w:vAlign w:val="center"/>
            <w:hideMark/>
          </w:tcPr>
          <w:p w14:paraId="7A538F63" w14:textId="77777777" w:rsidR="008273B8" w:rsidRDefault="00B93063">
            <w:pPr>
              <w:pStyle w:val="P68B1DB1-Normal7"/>
              <w:spacing w:after="0" w:line="240" w:lineRule="auto"/>
              <w:jc w:val="center"/>
              <w:rPr>
                <w:rFonts w:eastAsia="Times New Roman" w:cs="Calibri"/>
                <w:noProof/>
              </w:rPr>
            </w:pPr>
            <w:r>
              <w:rPr>
                <w:noProof/>
              </w:rPr>
              <w:t>% (postotak)</w:t>
            </w:r>
          </w:p>
        </w:tc>
        <w:tc>
          <w:tcPr>
            <w:tcW w:w="889" w:type="dxa"/>
            <w:shd w:val="clear" w:color="auto" w:fill="C6EFCE"/>
            <w:vAlign w:val="center"/>
            <w:hideMark/>
          </w:tcPr>
          <w:p w14:paraId="7A538F64" w14:textId="77777777" w:rsidR="008273B8" w:rsidRDefault="00B93063">
            <w:pPr>
              <w:pStyle w:val="P68B1DB1-Normal7"/>
              <w:spacing w:after="0" w:line="240" w:lineRule="auto"/>
              <w:jc w:val="center"/>
              <w:rPr>
                <w:rFonts w:eastAsia="Times New Roman" w:cs="Calibri"/>
                <w:noProof/>
                <w:highlight w:val="yellow"/>
              </w:rPr>
            </w:pPr>
            <w:r>
              <w:rPr>
                <w:noProof/>
              </w:rPr>
              <w:t>63</w:t>
            </w:r>
          </w:p>
        </w:tc>
        <w:tc>
          <w:tcPr>
            <w:tcW w:w="994" w:type="dxa"/>
            <w:shd w:val="clear" w:color="auto" w:fill="C6EFCE"/>
            <w:vAlign w:val="center"/>
            <w:hideMark/>
          </w:tcPr>
          <w:p w14:paraId="7A538F65" w14:textId="77777777" w:rsidR="008273B8" w:rsidRDefault="00B93063">
            <w:pPr>
              <w:pStyle w:val="P68B1DB1-Normal7"/>
              <w:spacing w:after="0" w:line="240" w:lineRule="auto"/>
              <w:jc w:val="center"/>
              <w:rPr>
                <w:rFonts w:eastAsia="Times New Roman" w:cs="Calibri"/>
                <w:noProof/>
                <w:highlight w:val="yellow"/>
              </w:rPr>
            </w:pPr>
            <w:r>
              <w:rPr>
                <w:noProof/>
              </w:rPr>
              <w:t>71</w:t>
            </w:r>
          </w:p>
        </w:tc>
        <w:tc>
          <w:tcPr>
            <w:tcW w:w="709" w:type="dxa"/>
            <w:shd w:val="clear" w:color="auto" w:fill="C6EFCE"/>
            <w:vAlign w:val="center"/>
            <w:hideMark/>
          </w:tcPr>
          <w:p w14:paraId="7A538F66"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51" w:type="dxa"/>
            <w:shd w:val="clear" w:color="auto" w:fill="C6EFCE"/>
            <w:vAlign w:val="center"/>
            <w:hideMark/>
          </w:tcPr>
          <w:p w14:paraId="7A538F67" w14:textId="77777777" w:rsidR="008273B8" w:rsidRDefault="00B93063">
            <w:pPr>
              <w:pStyle w:val="P68B1DB1-Normal7"/>
              <w:spacing w:after="0" w:line="240" w:lineRule="auto"/>
              <w:jc w:val="center"/>
              <w:rPr>
                <w:rFonts w:eastAsia="Times New Roman" w:cs="Calibri"/>
                <w:noProof/>
              </w:rPr>
            </w:pPr>
            <w:r>
              <w:rPr>
                <w:noProof/>
              </w:rPr>
              <w:t>2025</w:t>
            </w:r>
          </w:p>
        </w:tc>
        <w:tc>
          <w:tcPr>
            <w:tcW w:w="4919" w:type="dxa"/>
            <w:shd w:val="clear" w:color="auto" w:fill="C6EFCE"/>
            <w:vAlign w:val="center"/>
            <w:hideMark/>
          </w:tcPr>
          <w:p w14:paraId="7A538F68" w14:textId="77777777" w:rsidR="008273B8" w:rsidRDefault="00B93063">
            <w:pPr>
              <w:pStyle w:val="P68B1DB1-Normal7"/>
              <w:spacing w:after="0" w:line="240" w:lineRule="auto"/>
              <w:rPr>
                <w:rFonts w:eastAsia="Times New Roman" w:cs="Calibri"/>
                <w:noProof/>
              </w:rPr>
            </w:pPr>
            <w:r>
              <w:rPr>
                <w:noProof/>
              </w:rPr>
              <w:t>Pokazatelj DESI: Pojedinci koji su se u posljednjih 12 mjeseci koristili internetom za interakciju s tijelima javne vlasti, izraženo kao postotak korisnika interneta.</w:t>
            </w:r>
          </w:p>
        </w:tc>
      </w:tr>
      <w:tr w:rsidR="008273B8" w14:paraId="7A538F78" w14:textId="77777777">
        <w:trPr>
          <w:cantSplit/>
          <w:jc w:val="center"/>
        </w:trPr>
        <w:tc>
          <w:tcPr>
            <w:tcW w:w="1107" w:type="dxa"/>
            <w:shd w:val="clear" w:color="auto" w:fill="C6EFCE"/>
            <w:vAlign w:val="center"/>
          </w:tcPr>
          <w:p w14:paraId="7A538F6A" w14:textId="77777777" w:rsidR="008273B8" w:rsidRDefault="00B93063">
            <w:pPr>
              <w:pStyle w:val="P68B1DB1-Normal7"/>
              <w:spacing w:after="0" w:line="240" w:lineRule="auto"/>
              <w:rPr>
                <w:rFonts w:eastAsia="Times New Roman" w:cs="Calibri"/>
                <w:noProof/>
              </w:rPr>
            </w:pPr>
            <w:r>
              <w:rPr>
                <w:noProof/>
              </w:rPr>
              <w:t>3.14</w:t>
            </w:r>
          </w:p>
        </w:tc>
        <w:tc>
          <w:tcPr>
            <w:tcW w:w="1144" w:type="dxa"/>
            <w:shd w:val="clear" w:color="auto" w:fill="C6EFCE"/>
            <w:vAlign w:val="center"/>
          </w:tcPr>
          <w:p w14:paraId="7A538F6B" w14:textId="77777777" w:rsidR="008273B8" w:rsidRDefault="00B93063">
            <w:pPr>
              <w:pStyle w:val="P68B1DB1-Normal7"/>
              <w:spacing w:after="0" w:line="240" w:lineRule="auto"/>
              <w:rPr>
                <w:rFonts w:eastAsia="Times New Roman" w:cs="Calibri"/>
                <w:noProof/>
              </w:rPr>
            </w:pPr>
            <w:r>
              <w:rPr>
                <w:noProof/>
              </w:rPr>
              <w:t xml:space="preserve">C3.I.4 </w:t>
            </w:r>
          </w:p>
        </w:tc>
        <w:tc>
          <w:tcPr>
            <w:tcW w:w="988" w:type="dxa"/>
            <w:shd w:val="clear" w:color="auto" w:fill="C6EFCE"/>
            <w:vAlign w:val="center"/>
          </w:tcPr>
          <w:p w14:paraId="7A538F6C" w14:textId="77777777" w:rsidR="008273B8" w:rsidRDefault="00B93063">
            <w:pPr>
              <w:pStyle w:val="P68B1DB1-Normal7"/>
              <w:spacing w:after="0" w:line="240" w:lineRule="auto"/>
              <w:rPr>
                <w:rFonts w:eastAsia="Times New Roman" w:cs="Calibri"/>
                <w:noProof/>
              </w:rPr>
            </w:pPr>
            <w:r>
              <w:rPr>
                <w:noProof/>
              </w:rPr>
              <w:t>Ključna etapa</w:t>
            </w:r>
          </w:p>
        </w:tc>
        <w:tc>
          <w:tcPr>
            <w:tcW w:w="1523" w:type="dxa"/>
            <w:shd w:val="clear" w:color="auto" w:fill="C6EFCE"/>
            <w:vAlign w:val="center"/>
          </w:tcPr>
          <w:p w14:paraId="7A538F6D" w14:textId="77777777" w:rsidR="008273B8" w:rsidRDefault="00B93063">
            <w:pPr>
              <w:pStyle w:val="P68B1DB1-Normal7"/>
              <w:spacing w:after="0" w:line="240" w:lineRule="auto"/>
              <w:rPr>
                <w:rFonts w:eastAsia="Times New Roman" w:cs="Calibri"/>
                <w:noProof/>
              </w:rPr>
            </w:pPr>
            <w:r>
              <w:rPr>
                <w:noProof/>
              </w:rPr>
              <w:t>Objava poziva na podnošenje prijava</w:t>
            </w:r>
          </w:p>
          <w:p w14:paraId="7A538F6E" w14:textId="77777777" w:rsidR="008273B8" w:rsidRDefault="008273B8">
            <w:pPr>
              <w:spacing w:after="0" w:line="240" w:lineRule="auto"/>
              <w:rPr>
                <w:rFonts w:ascii="Calibri" w:eastAsia="Times New Roman" w:hAnsi="Calibri" w:cs="Calibri"/>
                <w:noProof/>
                <w:sz w:val="18"/>
              </w:rPr>
            </w:pPr>
          </w:p>
        </w:tc>
        <w:tc>
          <w:tcPr>
            <w:tcW w:w="1937" w:type="dxa"/>
            <w:shd w:val="clear" w:color="auto" w:fill="C6EFCE"/>
            <w:vAlign w:val="center"/>
          </w:tcPr>
          <w:p w14:paraId="7A538F6F" w14:textId="77777777" w:rsidR="008273B8" w:rsidRDefault="00B93063">
            <w:pPr>
              <w:pStyle w:val="P68B1DB1-Normal7"/>
              <w:spacing w:after="0" w:line="240" w:lineRule="auto"/>
              <w:rPr>
                <w:rFonts w:eastAsia="Times New Roman" w:cs="Calibri"/>
                <w:noProof/>
              </w:rPr>
            </w:pPr>
            <w:r>
              <w:rPr>
                <w:noProof/>
              </w:rPr>
              <w:t>Objava poziva</w:t>
            </w:r>
          </w:p>
        </w:tc>
        <w:tc>
          <w:tcPr>
            <w:tcW w:w="1194" w:type="dxa"/>
            <w:shd w:val="clear" w:color="auto" w:fill="C6EFCE"/>
            <w:vAlign w:val="center"/>
          </w:tcPr>
          <w:p w14:paraId="7A538F70" w14:textId="77777777" w:rsidR="008273B8" w:rsidRDefault="008273B8">
            <w:pPr>
              <w:spacing w:after="0" w:line="240" w:lineRule="auto"/>
              <w:jc w:val="center"/>
              <w:rPr>
                <w:rFonts w:ascii="Calibri" w:eastAsia="Times New Roman" w:hAnsi="Calibri" w:cs="Calibri"/>
                <w:noProof/>
                <w:sz w:val="18"/>
              </w:rPr>
            </w:pPr>
          </w:p>
        </w:tc>
        <w:tc>
          <w:tcPr>
            <w:tcW w:w="889" w:type="dxa"/>
            <w:shd w:val="clear" w:color="auto" w:fill="C6EFCE"/>
            <w:vAlign w:val="center"/>
          </w:tcPr>
          <w:p w14:paraId="7A538F71" w14:textId="77777777" w:rsidR="008273B8" w:rsidRDefault="008273B8">
            <w:pPr>
              <w:spacing w:after="0" w:line="240" w:lineRule="auto"/>
              <w:jc w:val="center"/>
              <w:rPr>
                <w:rFonts w:ascii="Calibri" w:eastAsia="Times New Roman" w:hAnsi="Calibri" w:cs="Calibri"/>
                <w:noProof/>
                <w:sz w:val="18"/>
              </w:rPr>
            </w:pPr>
          </w:p>
        </w:tc>
        <w:tc>
          <w:tcPr>
            <w:tcW w:w="994" w:type="dxa"/>
            <w:shd w:val="clear" w:color="auto" w:fill="C6EFCE"/>
            <w:vAlign w:val="center"/>
          </w:tcPr>
          <w:p w14:paraId="7A538F72"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tcPr>
          <w:p w14:paraId="7A538F73" w14:textId="77777777" w:rsidR="008273B8" w:rsidRDefault="00B93063">
            <w:pPr>
              <w:pStyle w:val="P68B1DB1-Normal7"/>
              <w:spacing w:after="0" w:line="240" w:lineRule="auto"/>
              <w:jc w:val="center"/>
              <w:rPr>
                <w:rFonts w:eastAsia="Times New Roman" w:cs="Calibri"/>
                <w:noProof/>
              </w:rPr>
            </w:pPr>
            <w:r>
              <w:rPr>
                <w:noProof/>
              </w:rPr>
              <w:t>PRVO TROMJESEČJE</w:t>
            </w:r>
          </w:p>
        </w:tc>
        <w:tc>
          <w:tcPr>
            <w:tcW w:w="751" w:type="dxa"/>
            <w:shd w:val="clear" w:color="auto" w:fill="C6EFCE"/>
            <w:vAlign w:val="center"/>
          </w:tcPr>
          <w:p w14:paraId="7A538F74" w14:textId="77777777" w:rsidR="008273B8" w:rsidRDefault="00B93063">
            <w:pPr>
              <w:pStyle w:val="P68B1DB1-Normal7"/>
              <w:spacing w:after="0" w:line="240" w:lineRule="auto"/>
              <w:jc w:val="center"/>
              <w:rPr>
                <w:rFonts w:eastAsia="Times New Roman" w:cs="Calibri"/>
                <w:noProof/>
              </w:rPr>
            </w:pPr>
            <w:r>
              <w:rPr>
                <w:noProof/>
              </w:rPr>
              <w:t>2022</w:t>
            </w:r>
          </w:p>
        </w:tc>
        <w:tc>
          <w:tcPr>
            <w:tcW w:w="4919" w:type="dxa"/>
            <w:shd w:val="clear" w:color="auto" w:fill="C6EFCE"/>
            <w:vAlign w:val="center"/>
          </w:tcPr>
          <w:p w14:paraId="7A538F75" w14:textId="77777777" w:rsidR="008273B8" w:rsidRDefault="00B93063">
            <w:pPr>
              <w:pStyle w:val="P68B1DB1-Normal7"/>
              <w:spacing w:after="0" w:line="240" w:lineRule="auto"/>
              <w:rPr>
                <w:rFonts w:eastAsia="Times New Roman" w:cs="Calibri"/>
                <w:noProof/>
              </w:rPr>
            </w:pPr>
            <w:r>
              <w:rPr>
                <w:noProof/>
              </w:rPr>
              <w:t xml:space="preserve">Objava poziva na podnošenje zahtjeva za dodjelu bespovratnih sredstava poduzećima za digitalizaciju, uključujući veleprodaju i maloprodaju, turizam (uključujući kulturu) i proizvodni sektor. </w:t>
            </w:r>
          </w:p>
          <w:p w14:paraId="7A538F76" w14:textId="77777777" w:rsidR="008273B8" w:rsidRDefault="008273B8">
            <w:pPr>
              <w:spacing w:after="0" w:line="240" w:lineRule="auto"/>
              <w:rPr>
                <w:rFonts w:ascii="Calibri" w:eastAsia="Times New Roman" w:hAnsi="Calibri" w:cs="Calibri"/>
                <w:noProof/>
                <w:sz w:val="18"/>
              </w:rPr>
            </w:pPr>
          </w:p>
          <w:p w14:paraId="7A538F77" w14:textId="77777777" w:rsidR="008273B8" w:rsidRDefault="00B93063">
            <w:pPr>
              <w:pStyle w:val="P68B1DB1-Normal7"/>
              <w:spacing w:after="0" w:line="240" w:lineRule="auto"/>
              <w:rPr>
                <w:rFonts w:eastAsia="Times New Roman" w:cs="Calibri"/>
                <w:noProof/>
              </w:rPr>
            </w:pPr>
            <w:r>
              <w:rPr>
                <w:noProof/>
              </w:rPr>
              <w:t>Opis poslova uključuje kriterije prihvatljivosti kojima se osigurava da su odabrani projekti u skladu s Tehničkim smjernicama o nenanošenju bitne štete (2021/C58/01) upotrebom popisa za isključenje i zahtjeva usklađenosti s relevantnim zakonodavstvom EU-a i nacionalnim zakonodavstvom u području okoliša.</w:t>
            </w:r>
          </w:p>
        </w:tc>
      </w:tr>
      <w:tr w:rsidR="008273B8" w14:paraId="7A538F88" w14:textId="77777777">
        <w:trPr>
          <w:cantSplit/>
          <w:jc w:val="center"/>
        </w:trPr>
        <w:tc>
          <w:tcPr>
            <w:tcW w:w="1107" w:type="dxa"/>
            <w:shd w:val="clear" w:color="auto" w:fill="C6EFCE"/>
            <w:vAlign w:val="center"/>
            <w:hideMark/>
          </w:tcPr>
          <w:p w14:paraId="7A538F79" w14:textId="77777777" w:rsidR="008273B8" w:rsidRDefault="00B93063">
            <w:pPr>
              <w:pStyle w:val="P68B1DB1-Normal7"/>
              <w:spacing w:after="0" w:line="240" w:lineRule="auto"/>
              <w:rPr>
                <w:rFonts w:eastAsia="Times New Roman" w:cs="Calibri"/>
                <w:noProof/>
              </w:rPr>
            </w:pPr>
            <w:r>
              <w:rPr>
                <w:noProof/>
              </w:rPr>
              <w:t>3.15</w:t>
            </w:r>
          </w:p>
        </w:tc>
        <w:tc>
          <w:tcPr>
            <w:tcW w:w="1144" w:type="dxa"/>
            <w:shd w:val="clear" w:color="auto" w:fill="C6EFCE"/>
            <w:vAlign w:val="center"/>
            <w:hideMark/>
          </w:tcPr>
          <w:p w14:paraId="7A538F7A" w14:textId="77777777" w:rsidR="008273B8" w:rsidRDefault="00B93063">
            <w:pPr>
              <w:pStyle w:val="P68B1DB1-Normal7"/>
              <w:spacing w:after="0" w:line="240" w:lineRule="auto"/>
              <w:rPr>
                <w:rFonts w:eastAsia="Times New Roman" w:cs="Calibri"/>
                <w:noProof/>
              </w:rPr>
            </w:pPr>
            <w:r>
              <w:rPr>
                <w:noProof/>
              </w:rPr>
              <w:t xml:space="preserve">C3.I.4 </w:t>
            </w:r>
          </w:p>
        </w:tc>
        <w:tc>
          <w:tcPr>
            <w:tcW w:w="988" w:type="dxa"/>
            <w:shd w:val="clear" w:color="auto" w:fill="C6EFCE"/>
            <w:vAlign w:val="center"/>
            <w:hideMark/>
          </w:tcPr>
          <w:p w14:paraId="7A538F7B" w14:textId="77777777" w:rsidR="008273B8" w:rsidRDefault="00B93063">
            <w:pPr>
              <w:pStyle w:val="P68B1DB1-Normal7"/>
              <w:spacing w:after="0" w:line="240" w:lineRule="auto"/>
              <w:rPr>
                <w:rFonts w:eastAsia="Times New Roman" w:cs="Calibri"/>
                <w:noProof/>
              </w:rPr>
            </w:pPr>
            <w:r>
              <w:rPr>
                <w:noProof/>
              </w:rPr>
              <w:t>Ciljna vrijednost</w:t>
            </w:r>
          </w:p>
        </w:tc>
        <w:tc>
          <w:tcPr>
            <w:tcW w:w="1523" w:type="dxa"/>
            <w:shd w:val="clear" w:color="auto" w:fill="C6EFCE"/>
            <w:vAlign w:val="center"/>
            <w:hideMark/>
          </w:tcPr>
          <w:p w14:paraId="7A538F7C" w14:textId="77777777" w:rsidR="008273B8" w:rsidRDefault="00B93063">
            <w:pPr>
              <w:pStyle w:val="P68B1DB1-Normal7"/>
              <w:spacing w:after="0" w:line="240" w:lineRule="auto"/>
              <w:rPr>
                <w:rFonts w:eastAsia="Times New Roman" w:cs="Calibri"/>
                <w:noProof/>
              </w:rPr>
            </w:pPr>
            <w:r>
              <w:rPr>
                <w:noProof/>
              </w:rPr>
              <w:t>Poduzeća koja primaju potporu u ulaganjima u digitalizaciju</w:t>
            </w:r>
          </w:p>
        </w:tc>
        <w:tc>
          <w:tcPr>
            <w:tcW w:w="1937" w:type="dxa"/>
            <w:shd w:val="clear" w:color="auto" w:fill="C6EFCE"/>
            <w:vAlign w:val="center"/>
            <w:hideMark/>
          </w:tcPr>
          <w:p w14:paraId="7A538F7D" w14:textId="77777777" w:rsidR="008273B8" w:rsidRDefault="00B93063">
            <w:pPr>
              <w:pStyle w:val="P68B1DB1-Normal7"/>
              <w:spacing w:after="0" w:line="240" w:lineRule="auto"/>
              <w:rPr>
                <w:rFonts w:eastAsia="Times New Roman" w:cs="Calibri"/>
                <w:noProof/>
              </w:rPr>
            </w:pPr>
            <w:r>
              <w:rPr>
                <w:noProof/>
              </w:rPr>
              <w:t> </w:t>
            </w:r>
          </w:p>
        </w:tc>
        <w:tc>
          <w:tcPr>
            <w:tcW w:w="1194" w:type="dxa"/>
            <w:shd w:val="clear" w:color="auto" w:fill="C6EFCE"/>
            <w:vAlign w:val="center"/>
            <w:hideMark/>
          </w:tcPr>
          <w:p w14:paraId="7A538F7E" w14:textId="77777777" w:rsidR="008273B8" w:rsidRDefault="00B93063">
            <w:pPr>
              <w:pStyle w:val="P68B1DB1-Normal7"/>
              <w:spacing w:after="0" w:line="240" w:lineRule="auto"/>
              <w:jc w:val="center"/>
              <w:rPr>
                <w:rFonts w:eastAsia="Times New Roman" w:cs="Calibri"/>
                <w:noProof/>
              </w:rPr>
            </w:pPr>
            <w:r>
              <w:rPr>
                <w:noProof/>
              </w:rPr>
              <w:t>Broj</w:t>
            </w:r>
          </w:p>
        </w:tc>
        <w:tc>
          <w:tcPr>
            <w:tcW w:w="889" w:type="dxa"/>
            <w:shd w:val="clear" w:color="auto" w:fill="C6EFCE"/>
            <w:vAlign w:val="center"/>
            <w:hideMark/>
          </w:tcPr>
          <w:p w14:paraId="7A538F7F" w14:textId="77777777" w:rsidR="008273B8" w:rsidRDefault="00B93063">
            <w:pPr>
              <w:pStyle w:val="P68B1DB1-Normal7"/>
              <w:spacing w:after="0" w:line="240" w:lineRule="auto"/>
              <w:jc w:val="center"/>
              <w:rPr>
                <w:rFonts w:eastAsia="Times New Roman" w:cs="Calibri"/>
                <w:noProof/>
              </w:rPr>
            </w:pPr>
            <w:r>
              <w:rPr>
                <w:noProof/>
              </w:rPr>
              <w:t>0</w:t>
            </w:r>
          </w:p>
        </w:tc>
        <w:tc>
          <w:tcPr>
            <w:tcW w:w="994" w:type="dxa"/>
            <w:shd w:val="clear" w:color="auto" w:fill="C6EFCE"/>
            <w:vAlign w:val="center"/>
            <w:hideMark/>
          </w:tcPr>
          <w:p w14:paraId="7A538F80" w14:textId="77777777" w:rsidR="008273B8" w:rsidRDefault="00B93063">
            <w:pPr>
              <w:pStyle w:val="P68B1DB1-Normal7"/>
              <w:spacing w:after="0" w:line="240" w:lineRule="auto"/>
              <w:jc w:val="center"/>
              <w:rPr>
                <w:rFonts w:eastAsia="Times New Roman" w:cs="Calibri"/>
                <w:noProof/>
              </w:rPr>
            </w:pPr>
            <w:r>
              <w:rPr>
                <w:noProof/>
              </w:rPr>
              <w:t>360</w:t>
            </w:r>
          </w:p>
        </w:tc>
        <w:tc>
          <w:tcPr>
            <w:tcW w:w="709" w:type="dxa"/>
            <w:shd w:val="clear" w:color="auto" w:fill="C6EFCE"/>
            <w:vAlign w:val="center"/>
            <w:hideMark/>
          </w:tcPr>
          <w:p w14:paraId="7A538F81" w14:textId="77777777" w:rsidR="008273B8" w:rsidRDefault="00B93063">
            <w:pPr>
              <w:pStyle w:val="P68B1DB1-Normal7"/>
              <w:spacing w:after="0" w:line="240" w:lineRule="auto"/>
              <w:jc w:val="center"/>
              <w:rPr>
                <w:rFonts w:eastAsia="Times New Roman" w:cs="Calibri"/>
                <w:noProof/>
              </w:rPr>
            </w:pPr>
            <w:r>
              <w:rPr>
                <w:noProof/>
              </w:rPr>
              <w:t>Q2</w:t>
            </w:r>
          </w:p>
        </w:tc>
        <w:tc>
          <w:tcPr>
            <w:tcW w:w="751" w:type="dxa"/>
            <w:shd w:val="clear" w:color="auto" w:fill="C6EFCE"/>
            <w:vAlign w:val="center"/>
            <w:hideMark/>
          </w:tcPr>
          <w:p w14:paraId="7A538F82" w14:textId="77777777" w:rsidR="008273B8" w:rsidRDefault="00B93063">
            <w:pPr>
              <w:pStyle w:val="P68B1DB1-Normal7"/>
              <w:spacing w:after="0" w:line="240" w:lineRule="auto"/>
              <w:jc w:val="center"/>
              <w:rPr>
                <w:rFonts w:eastAsia="Times New Roman" w:cs="Calibri"/>
                <w:noProof/>
              </w:rPr>
            </w:pPr>
            <w:r>
              <w:rPr>
                <w:noProof/>
              </w:rPr>
              <w:t>2026</w:t>
            </w:r>
          </w:p>
        </w:tc>
        <w:tc>
          <w:tcPr>
            <w:tcW w:w="4919" w:type="dxa"/>
            <w:shd w:val="clear" w:color="auto" w:fill="C6EFCE"/>
            <w:vAlign w:val="center"/>
            <w:hideMark/>
          </w:tcPr>
          <w:p w14:paraId="7A538F83" w14:textId="77777777" w:rsidR="008273B8" w:rsidRDefault="00B93063">
            <w:pPr>
              <w:pStyle w:val="P68B1DB1-Normal7"/>
              <w:spacing w:after="0" w:line="240" w:lineRule="auto"/>
              <w:rPr>
                <w:rFonts w:eastAsia="Times New Roman" w:cs="Calibri"/>
                <w:noProof/>
              </w:rPr>
            </w:pPr>
            <w:r>
              <w:rPr>
                <w:noProof/>
              </w:rPr>
              <w:t xml:space="preserve">Minimalni broj poduzeća koja su primila potporu za digitalizaciju, uključujući veleprodaju i maloprodaju, turizam (uključujući kulturu) i proizvodni sektor, pri čemu se sklapaju sporazumi o dodjeli bespovratnih sredstava u iznosu od 15 000 000 EUR, a najmanje 90 % proračuna isplaćuje se korisnicima nakon završetka njihovih projekata digitalizacije. </w:t>
            </w:r>
          </w:p>
          <w:p w14:paraId="7A538F84" w14:textId="77777777" w:rsidR="008273B8" w:rsidRDefault="008273B8">
            <w:pPr>
              <w:spacing w:after="0" w:line="240" w:lineRule="auto"/>
              <w:rPr>
                <w:rFonts w:ascii="Calibri" w:eastAsia="Times New Roman" w:hAnsi="Calibri" w:cs="Calibri"/>
                <w:noProof/>
                <w:sz w:val="18"/>
              </w:rPr>
            </w:pPr>
          </w:p>
          <w:p w14:paraId="7A538F85" w14:textId="77777777" w:rsidR="008273B8" w:rsidRDefault="00B93063">
            <w:pPr>
              <w:pStyle w:val="P68B1DB1-Normal7"/>
              <w:spacing w:after="0" w:line="240" w:lineRule="auto"/>
              <w:rPr>
                <w:rFonts w:eastAsia="Times New Roman" w:cs="Calibri"/>
                <w:noProof/>
              </w:rPr>
            </w:pPr>
            <w:r>
              <w:rPr>
                <w:noProof/>
              </w:rPr>
              <w:t>Ulaganja kojima se pruža potpora uključuju ulaganja MSP-ova u hardver, softver i digitalna rješenja; potpora turističkom sektoru za poboljšanje poslovanja, uključujući operativnu logistiku, učinkovitost resursa i uvođenje analitičkih alata i umjetne inteligencije; te potporu proizvodnim poduzećima, među ostalim u optimizaciji upotrebe postojećih tehnologija i iskorištavanju novih tehnologija i trendova, upravljanju podacima i sustavima za potporu odlučivanju, među ostalim.</w:t>
            </w:r>
          </w:p>
          <w:p w14:paraId="7A538F86" w14:textId="77777777" w:rsidR="008273B8" w:rsidRDefault="008273B8">
            <w:pPr>
              <w:spacing w:after="0" w:line="240" w:lineRule="auto"/>
              <w:rPr>
                <w:rFonts w:ascii="Calibri" w:eastAsia="Times New Roman" w:hAnsi="Calibri" w:cs="Calibri"/>
                <w:noProof/>
                <w:sz w:val="18"/>
              </w:rPr>
            </w:pPr>
          </w:p>
          <w:p w14:paraId="7A538F87" w14:textId="77777777" w:rsidR="008273B8" w:rsidRDefault="00B93063">
            <w:pPr>
              <w:spacing w:after="0" w:line="240" w:lineRule="auto"/>
              <w:rPr>
                <w:rFonts w:ascii="Calibri" w:eastAsia="Times New Roman" w:hAnsi="Calibri" w:cs="Calibri"/>
                <w:noProof/>
                <w:sz w:val="18"/>
              </w:rPr>
            </w:pPr>
            <w:r>
              <w:rPr>
                <w:rFonts w:ascii="Calibri" w:hAnsi="Calibri"/>
                <w:noProof/>
                <w:sz w:val="18"/>
              </w:rPr>
              <w:t>Dodjela ugovora projektima odabranima u okviru poziva na podnošenje prijava navedenih u ključnoj etapi 3.14., u skladu s Tehničkim smjernicama o nenanošenju bitne štete (2021/C58/01) upotrebom popisa za isključenje i zahtjeva usklađenosti s relevantnim zakonodavstvom EU-a i nacionalnim zakonodavstvom u području okoliša.</w:t>
            </w:r>
            <w:r>
              <w:rPr>
                <w:rFonts w:ascii="Times New Roman" w:hAnsi="Times New Roman"/>
                <w:noProof/>
                <w:sz w:val="24"/>
              </w:rPr>
              <w:t xml:space="preserve"> </w:t>
            </w:r>
          </w:p>
        </w:tc>
      </w:tr>
    </w:tbl>
    <w:p w14:paraId="7A538F89" w14:textId="77777777" w:rsidR="008273B8" w:rsidRDefault="008273B8">
      <w:pPr>
        <w:pStyle w:val="Text1"/>
        <w:rPr>
          <w:noProof/>
        </w:rPr>
        <w:sectPr w:rsidR="008273B8">
          <w:headerReference w:type="even" r:id="rId48"/>
          <w:headerReference w:type="default" r:id="rId49"/>
          <w:footerReference w:type="even" r:id="rId50"/>
          <w:footerReference w:type="default" r:id="rId51"/>
          <w:headerReference w:type="first" r:id="rId52"/>
          <w:footerReference w:type="first" r:id="rId53"/>
          <w:pgSz w:w="16839" w:h="11907" w:orient="landscape"/>
          <w:pgMar w:top="1134" w:right="1134" w:bottom="1134" w:left="1134" w:header="567" w:footer="567" w:gutter="0"/>
          <w:cols w:space="720"/>
          <w:docGrid w:linePitch="360"/>
        </w:sectPr>
      </w:pPr>
    </w:p>
    <w:p w14:paraId="7A538F8A" w14:textId="77777777" w:rsidR="008273B8" w:rsidRDefault="00B93063">
      <w:pPr>
        <w:pStyle w:val="ManualHeading2"/>
        <w:spacing w:before="360" w:after="360"/>
        <w:rPr>
          <w:noProof/>
        </w:rPr>
      </w:pPr>
      <w:r>
        <w:rPr>
          <w:noProof/>
        </w:rPr>
        <w:t xml:space="preserve">D. SASTAVNI DIO 4: </w:t>
      </w:r>
      <w:r>
        <w:rPr>
          <w:rFonts w:ascii="Times New Roman Bold" w:hAnsi="Times New Roman Bold"/>
          <w:smallCaps/>
          <w:noProof/>
        </w:rPr>
        <w:t>Zdravlje</w:t>
      </w:r>
    </w:p>
    <w:p w14:paraId="7A538F8B" w14:textId="77777777" w:rsidR="008273B8" w:rsidRDefault="00B93063">
      <w:pPr>
        <w:pStyle w:val="P68B1DB1-Normal3"/>
        <w:spacing w:after="120" w:line="240" w:lineRule="auto"/>
        <w:jc w:val="both"/>
        <w:rPr>
          <w:rFonts w:cs="Times New Roman"/>
          <w:noProof/>
        </w:rPr>
      </w:pPr>
      <w:r>
        <w:rPr>
          <w:noProof/>
        </w:rPr>
        <w:t>Tom komponentom malteškog plana za oporavak i otpornost rješavaju se izazovi s kojima se suočava malteški zdravstveni sektor, posebno kad je riječ o zadovoljavanju potreba sve starijeg stanovništva. Cilj je komponente povećati otpornost i održivost zdravstvenog sektora uz istodobno osiguravanje univerzalnog pristupa, visoke kvalitete skrbi i održivih usluga.</w:t>
      </w:r>
    </w:p>
    <w:p w14:paraId="7A538F8C" w14:textId="77777777" w:rsidR="008273B8" w:rsidRDefault="00B93063">
      <w:pPr>
        <w:pStyle w:val="P68B1DB1-Normal3"/>
        <w:spacing w:after="120" w:line="240" w:lineRule="auto"/>
        <w:jc w:val="both"/>
        <w:rPr>
          <w:rFonts w:cs="Times New Roman"/>
          <w:noProof/>
        </w:rPr>
      </w:pPr>
      <w:r>
        <w:rPr>
          <w:noProof/>
        </w:rPr>
        <w:t>Cilj je prve reforme poboljšati upravljanje radnom snagom. Njime se uklanjaju prepreke zapošljavanju i zadržavanju stranih zdravstvenih radnika, među ostalim poboljšanjem njihove dobrobiti. Pridonosi i prevenciji bolesti povezanih sa zdravljem djece. Drugom reformom rješavaju se regulatorne prepreke koje mogu ometati potpuno iskorištavanje Centra za krv, tkivo i stanice.</w:t>
      </w:r>
    </w:p>
    <w:p w14:paraId="7A538F8D" w14:textId="0A41E801" w:rsidR="008273B8" w:rsidRDefault="00B93063">
      <w:pPr>
        <w:pStyle w:val="P68B1DB1-Normal3"/>
        <w:spacing w:after="120" w:line="240" w:lineRule="auto"/>
        <w:jc w:val="both"/>
        <w:rPr>
          <w:rFonts w:cs="Times New Roman"/>
          <w:noProof/>
        </w:rPr>
      </w:pPr>
      <w:r>
        <w:rPr>
          <w:noProof/>
        </w:rPr>
        <w:t>Prvo ulaganje sastoji se od osnivanja centra za krv, tkivo i stanice u neposrednoj blizini glavne bolnice na Malti. Drugo ulaganje sastoji se od dvaju projekata kojima se povećava otpornost zdravstvenog sustava s pomoću digitalizacije i novih tehnologija.</w:t>
      </w:r>
    </w:p>
    <w:p w14:paraId="7A538F8E" w14:textId="77777777" w:rsidR="008273B8" w:rsidRDefault="00B93063">
      <w:pPr>
        <w:pStyle w:val="P68B1DB1-Normal3"/>
        <w:spacing w:after="120" w:line="240" w:lineRule="auto"/>
        <w:jc w:val="both"/>
        <w:rPr>
          <w:rFonts w:cs="Times New Roman"/>
          <w:noProof/>
        </w:rPr>
      </w:pPr>
      <w:r>
        <w:rPr>
          <w:noProof/>
        </w:rPr>
        <w:t xml:space="preserve">Ta se komponenta temelji na prethodnim mjerama usmjerenima na povećanje raznolikosti usluga koje se nude malteškom stanovništvu i na pojednostavnjenje interakcije među različitim uslugama kako bi se osigurao kontinuitet skrbi. </w:t>
      </w:r>
    </w:p>
    <w:p w14:paraId="7A538F8F" w14:textId="77777777" w:rsidR="008273B8" w:rsidRDefault="00B93063">
      <w:pPr>
        <w:pStyle w:val="P68B1DB1-Normal3"/>
        <w:spacing w:after="120" w:line="240" w:lineRule="auto"/>
        <w:jc w:val="both"/>
        <w:rPr>
          <w:rFonts w:cs="Times New Roman"/>
          <w:noProof/>
        </w:rPr>
      </w:pPr>
      <w:r>
        <w:rPr>
          <w:noProof/>
        </w:rPr>
        <w:t>Tom se komponentom pridonosi provedbi preporuka za pojedinu zemlju o poboljšanju otpornosti i fiskalne održivosti zdravstvenog sustava (preporuka za Slovačku 1. 2019.) i (preporuka za Slovačku 1. 2020.), posebno s obzirom na globalnu pandemiju. Mjere u ovoj komponenti dopunjene su inicijativama koje se financiraju u okviru drugih programa EU-a za potporu izgradnji kapaciteta zdravstvenih djelatnika i daljnjim ulaganjima u centre primarne skrbi.</w:t>
      </w:r>
    </w:p>
    <w:p w14:paraId="7A538F90" w14:textId="77777777" w:rsidR="008273B8" w:rsidRDefault="00B93063">
      <w:pPr>
        <w:pStyle w:val="P68B1DB1-Normal3"/>
        <w:keepNext/>
        <w:spacing w:after="120" w:line="259" w:lineRule="auto"/>
        <w:jc w:val="both"/>
        <w:rPr>
          <w:rFonts w:eastAsiaTheme="minorEastAsia" w:cs="Times New Roman"/>
          <w:b/>
          <w:noProof/>
          <w:u w:val="single"/>
        </w:rPr>
      </w:pPr>
      <w:r>
        <w:rPr>
          <w:noProof/>
        </w:rPr>
        <w:t>Očekuje se da se nijednom mjerom u ovoj komponenti ne nanosi bitna šteta okolišnim ciljevima u smislu članka 17. Uredbe (EU) 2020/852, uzimajući u obzir opis mjera i koraka ublažavanja utvrđenih u planu za oporavak i otpornost u skladu s Tehničkim smjernicama o nenanošenju bitne štete (2021/C58/01).</w:t>
      </w:r>
    </w:p>
    <w:p w14:paraId="7A538F91" w14:textId="77777777" w:rsidR="008273B8" w:rsidRDefault="00B93063">
      <w:pPr>
        <w:pStyle w:val="P68B1DB1-ManualHeading34"/>
        <w:spacing w:before="240" w:after="240"/>
        <w:rPr>
          <w:noProof/>
          <w:color w:val="4F81BD" w:themeColor="accent1"/>
          <w:u w:val="single"/>
        </w:rPr>
      </w:pPr>
      <w:r>
        <w:rPr>
          <w:noProof/>
        </w:rPr>
        <w:t xml:space="preserve">D.1. </w:t>
      </w:r>
      <w:r>
        <w:rPr>
          <w:noProof/>
        </w:rPr>
        <w:tab/>
      </w:r>
      <w:r>
        <w:rPr>
          <w:noProof/>
          <w:u w:val="single"/>
        </w:rPr>
        <w:t>Opis reformi i ulaganja za bespovratnu financijsku potporu</w:t>
      </w:r>
    </w:p>
    <w:p w14:paraId="7A538F92" w14:textId="77777777" w:rsidR="008273B8" w:rsidRDefault="00B93063">
      <w:pPr>
        <w:pStyle w:val="P68B1DB1-Normal5"/>
        <w:spacing w:line="240" w:lineRule="auto"/>
        <w:jc w:val="both"/>
        <w:rPr>
          <w:rFonts w:cs="Times New Roman"/>
          <w:noProof/>
        </w:rPr>
      </w:pPr>
      <w:r>
        <w:rPr>
          <w:noProof/>
        </w:rPr>
        <w:t>Reforma C4-R1: Razvoj i provedba okvira zdravstvene politike čiji je cilj učiniti zdravstveni sustav održivijim i otpornijim, s posebnim naglaskom na prevenciji zdravlja i snažnoj radnoj snazi</w:t>
      </w:r>
    </w:p>
    <w:p w14:paraId="7A538F93" w14:textId="77777777" w:rsidR="008273B8" w:rsidRDefault="00B93063">
      <w:pPr>
        <w:pStyle w:val="P68B1DB1-Normal3"/>
        <w:spacing w:line="240" w:lineRule="auto"/>
        <w:jc w:val="both"/>
        <w:rPr>
          <w:rFonts w:cs="Times New Roman"/>
          <w:noProof/>
        </w:rPr>
      </w:pPr>
      <w:r>
        <w:rPr>
          <w:noProof/>
        </w:rPr>
        <w:t xml:space="preserve">Cilj je te reforme ojačati otpornost u zdravstvenom sektoru osiguravanjem snažne i održive radne snage te poboljšati prevenciju bolesti povezanih sa zdravljem djece. </w:t>
      </w:r>
    </w:p>
    <w:p w14:paraId="7A538F94" w14:textId="77777777" w:rsidR="008273B8" w:rsidRDefault="00B93063">
      <w:pPr>
        <w:pStyle w:val="P68B1DB1-Normal3"/>
        <w:spacing w:line="240" w:lineRule="auto"/>
        <w:jc w:val="both"/>
        <w:rPr>
          <w:rFonts w:cs="Times New Roman"/>
          <w:noProof/>
          <w:color w:val="000000"/>
          <w:shd w:val="clear" w:color="auto" w:fill="FFFFFF"/>
        </w:rPr>
      </w:pPr>
      <w:r>
        <w:rPr>
          <w:noProof/>
        </w:rPr>
        <w:t>Reforma se sastoji</w:t>
      </w:r>
      <w:r>
        <w:rPr>
          <w:noProof/>
          <w:color w:val="000000"/>
          <w:shd w:val="clear" w:color="auto" w:fill="FFFFFF"/>
        </w:rPr>
        <w:t xml:space="preserve"> od razvoja prilagođenog alata za planiranje radne snage. Alat uključuje značajke povezane s izradom proračuna za ljudske resurse, upravljanjem slobodnim radnim mjestima i olakšavanjem zapošljavanja. </w:t>
      </w:r>
    </w:p>
    <w:p w14:paraId="7A538F95" w14:textId="77777777" w:rsidR="008273B8" w:rsidRDefault="00B93063">
      <w:pPr>
        <w:pStyle w:val="P68B1DB1-Normal14"/>
        <w:spacing w:line="240" w:lineRule="auto"/>
        <w:jc w:val="both"/>
        <w:rPr>
          <w:rFonts w:ascii="Times New Roman" w:hAnsi="Times New Roman" w:cs="Times New Roman"/>
          <w:noProof/>
          <w:shd w:val="clear" w:color="auto" w:fill="FFFFFF"/>
        </w:rPr>
      </w:pPr>
      <w:r>
        <w:rPr>
          <w:rFonts w:ascii="Times New Roman" w:hAnsi="Times New Roman"/>
          <w:noProof/>
          <w:shd w:val="clear" w:color="auto" w:fill="FFFFFF"/>
        </w:rPr>
        <w:t>Reformom se provode i mjere za poboljšanje dobrobiti i integracije stranih zdravstvenih radnika. Mjere se utvrđuju na temelju studije koju će provesti neovisni izvođač. Studijom se utvrđuje polazna vrijednost pokazatelja dobrobiti MH1 i MH2 metodologije istraživanja zdravlja SF36</w:t>
      </w:r>
      <w:r>
        <w:rPr>
          <w:rFonts w:ascii="Times New Roman" w:hAnsi="Times New Roman" w:cs="Times New Roman"/>
          <w:noProof/>
        </w:rPr>
        <w:footnoteReference w:id="7"/>
      </w:r>
      <w:r>
        <w:rPr>
          <w:rFonts w:ascii="Times New Roman" w:hAnsi="Times New Roman"/>
          <w:noProof/>
          <w:shd w:val="clear" w:color="auto" w:fill="FFFFFF"/>
        </w:rPr>
        <w:t xml:space="preserve">. Mjere dovode do poboljšanja za 10 % pokazatelja dobrobiti na temelju polazne vrijednosti utvrđene studijom. </w:t>
      </w:r>
    </w:p>
    <w:p w14:paraId="7A538F96" w14:textId="23269D06" w:rsidR="008273B8" w:rsidRDefault="00B93063">
      <w:pPr>
        <w:pStyle w:val="P68B1DB1-Normal3"/>
        <w:spacing w:line="240" w:lineRule="auto"/>
        <w:jc w:val="both"/>
        <w:rPr>
          <w:rFonts w:cs="Times New Roman"/>
          <w:noProof/>
        </w:rPr>
      </w:pPr>
      <w:r>
        <w:rPr>
          <w:noProof/>
        </w:rPr>
        <w:t xml:space="preserve">Reformom se također: i. procijeniti situaciju s pretilošću djece u dobi od 4 do 5 godina, koja je dio programa nadzora pretilosti među djecom u školama, ii. provesti program probira neonatalnog sluha kako bi se identificirala djeca s problemima sa sluhom u ranoj fazi života. </w:t>
      </w:r>
    </w:p>
    <w:p w14:paraId="7A538F97" w14:textId="77777777" w:rsidR="008273B8" w:rsidRDefault="00B93063">
      <w:pPr>
        <w:pStyle w:val="P68B1DB1-Normal3"/>
        <w:spacing w:line="240" w:lineRule="auto"/>
        <w:jc w:val="both"/>
        <w:rPr>
          <w:rFonts w:cs="Times New Roman"/>
          <w:noProof/>
        </w:rPr>
      </w:pPr>
      <w:r>
        <w:rPr>
          <w:noProof/>
        </w:rPr>
        <w:t>Reforma se provodi do 31. prosinca 2025.</w:t>
      </w:r>
    </w:p>
    <w:p w14:paraId="7A538F98" w14:textId="77777777" w:rsidR="008273B8" w:rsidRDefault="00B93063">
      <w:pPr>
        <w:pStyle w:val="P68B1DB1-Normal5"/>
        <w:spacing w:line="240" w:lineRule="auto"/>
        <w:jc w:val="both"/>
        <w:rPr>
          <w:rFonts w:cs="Times New Roman"/>
          <w:noProof/>
        </w:rPr>
      </w:pPr>
      <w:r>
        <w:rPr>
          <w:noProof/>
        </w:rPr>
        <w:t xml:space="preserve">Reforma C4-R2: Preispitati nacionalni zakonodavni okvir povezan s osnivanjem Centra za krv, tkivo i stanice za Maltu. </w:t>
      </w:r>
    </w:p>
    <w:p w14:paraId="7A538F99" w14:textId="77777777" w:rsidR="008273B8" w:rsidRDefault="00B93063">
      <w:pPr>
        <w:pStyle w:val="P68B1DB1-Normal3"/>
        <w:spacing w:line="240" w:lineRule="auto"/>
        <w:jc w:val="both"/>
        <w:rPr>
          <w:rFonts w:cs="Times New Roman"/>
          <w:noProof/>
        </w:rPr>
      </w:pPr>
      <w:r>
        <w:rPr>
          <w:noProof/>
        </w:rPr>
        <w:t xml:space="preserve">Cilj je te reforme poboljšati nacionalni zakonodavni okvir povezan s osnivanjem Centra za krv, tkiva i stanice za Maltu. </w:t>
      </w:r>
    </w:p>
    <w:p w14:paraId="7A538F9A" w14:textId="77777777" w:rsidR="008273B8" w:rsidRDefault="00B93063">
      <w:pPr>
        <w:pStyle w:val="P68B1DB1-Normal3"/>
        <w:spacing w:line="240" w:lineRule="auto"/>
        <w:jc w:val="both"/>
        <w:rPr>
          <w:rFonts w:cs="Times New Roman"/>
          <w:noProof/>
        </w:rPr>
      </w:pPr>
      <w:r>
        <w:rPr>
          <w:noProof/>
        </w:rPr>
        <w:t>Reforma se sastoji od stupanja na snagu posebnog zakonodavstva kojim se rješavaju svi nedostaci, prepreke ili uska grla koji mogu ometati potpuno iskorištavanje novog Centra za krv, tkiva i stanice (vidjeti ulaganje C4-I1) i za koje je potrebna izmjena nacionalnog zakonodavstva. U prethodnoj neovisnoj studiji utvrđuju se takvi nedostaci, prepreke i uska grla uzimajući u obzir relevantno europsko zakonodavstvo i smjernice.</w:t>
      </w:r>
    </w:p>
    <w:p w14:paraId="7A538F9B" w14:textId="77777777" w:rsidR="008273B8" w:rsidRDefault="00B93063">
      <w:pPr>
        <w:pStyle w:val="P68B1DB1-Normal3"/>
        <w:spacing w:line="240" w:lineRule="auto"/>
        <w:jc w:val="both"/>
        <w:rPr>
          <w:rFonts w:cs="Times New Roman"/>
          <w:noProof/>
        </w:rPr>
      </w:pPr>
      <w:r>
        <w:rPr>
          <w:noProof/>
        </w:rPr>
        <w:t>Reforma se provodi do 30. lipnja 2024.</w:t>
      </w:r>
    </w:p>
    <w:p w14:paraId="7A538F9C" w14:textId="77777777" w:rsidR="008273B8" w:rsidRDefault="00B93063">
      <w:pPr>
        <w:pStyle w:val="P68B1DB1-Normal5"/>
        <w:spacing w:line="240" w:lineRule="auto"/>
        <w:jc w:val="both"/>
        <w:rPr>
          <w:rFonts w:cs="Times New Roman"/>
          <w:noProof/>
        </w:rPr>
      </w:pPr>
      <w:r>
        <w:rPr>
          <w:noProof/>
        </w:rPr>
        <w:t xml:space="preserve">Ulaganje C4-I1: Osnivanje centra za krv, tkiva i stanice za Maltu </w:t>
      </w:r>
    </w:p>
    <w:p w14:paraId="7A538F9D" w14:textId="77777777" w:rsidR="008273B8" w:rsidRDefault="00B93063">
      <w:pPr>
        <w:pStyle w:val="P68B1DB1-Normal3"/>
        <w:spacing w:line="240" w:lineRule="auto"/>
        <w:jc w:val="both"/>
        <w:rPr>
          <w:rFonts w:cs="Times New Roman"/>
          <w:noProof/>
        </w:rPr>
      </w:pPr>
      <w:r>
        <w:rPr>
          <w:noProof/>
        </w:rPr>
        <w:t>Cilj je tog ulaganja ublažiti ovisnost Malte o drugim zemljama za pružanje krvi, tkiva i stanica potrebnih u medicinskim intervencijama i liječenju kako bi se smanjila potreba za dugoročnim terapijama, smanjili zdravstveni troškovi i poboljšala socijalna dobrobit pružanjem usluga na lokalnoj razini.</w:t>
      </w:r>
    </w:p>
    <w:p w14:paraId="7A538F9E" w14:textId="77777777" w:rsidR="008273B8" w:rsidRDefault="00B93063">
      <w:pPr>
        <w:pStyle w:val="P68B1DB1-Normal3"/>
        <w:spacing w:line="240" w:lineRule="auto"/>
        <w:jc w:val="both"/>
        <w:rPr>
          <w:rFonts w:eastAsia="Times New Roman" w:cs="Times New Roman"/>
          <w:noProof/>
        </w:rPr>
      </w:pPr>
      <w:r>
        <w:rPr>
          <w:noProof/>
        </w:rPr>
        <w:t xml:space="preserve">Ulaganje se sastoji od osnivanja centra za krv, tkivo i stanice. To uključuje projektiranje i izgradnju zgrade te nabavu medicinske opreme i medicinskog namještaja. Centar pruža barem sljedeće usluge: banke krvi, banke tkiva (bones, rožnica, amnion), autologna transplantacija matičnih stanica. </w:t>
      </w:r>
    </w:p>
    <w:p w14:paraId="7A538F9F" w14:textId="77777777" w:rsidR="008273B8" w:rsidRDefault="00B93063">
      <w:pPr>
        <w:pStyle w:val="P68B1DB1-Normal3"/>
        <w:spacing w:line="240" w:lineRule="auto"/>
        <w:jc w:val="both"/>
        <w:rPr>
          <w:rFonts w:eastAsia="Calibri" w:cs="Times New Roman"/>
          <w:noProof/>
        </w:rPr>
      </w:pPr>
      <w:r>
        <w:rPr>
          <w:noProof/>
        </w:rPr>
        <w:t xml:space="preserve">Očekuje se da se tom mjerom ne nanosi bitna šteta okolišnim ciljevima u smislu članka 17. Uredbe (EU) 2020/852, uzimajući u obzir opis mjere i mjere ublažavanja utvrđene u planu za oporavak i otpornost u skladu s Tehničkim smjernicama o nenanošenju bitne štete (2021/C58/01). Konkretno, tom se mjerom od gospodarskih subjekata koji provode građevinske radove zahtijeva da osiguraju da se najmanje 70 % (masenog udjela) neopasnog građevinskog otpada i otpada od rušenja (osim prirodnog materijala iz kategorije 17 05 04 na Europskom popisu otpada utvrđenom Odlukom 2000/532/EZ od 3. svibnja 2000. koja zamjenjuje Odluku 94/3/EZ o popisu otpada u skladu s člankom 1. točkom (a) Direktive Vijeća 75/442/EEZ o otpadu i Odlukom Vijeća 94/904/EZ o utvrđivanju popisa opasnog otpada u skladu s člankom 1. stavkom 4. Direktive Vijeća 91/689/EEZ o opasnom otpadu (priopćenom pod brojem dokumenta C(2000) 1147)) pripremi za ponovnu uporabu, recikliranje i druga oporaba materijala, uključujući postupke nasipavanja u kojima se otpad upotrebljava kao zamjena za druge materijale, u skladu s hijerarhijom otpada, člankom 11. stavkom 2. točkom (b) Direktive 2008/98/EZ o otpadu i Protokolom EU-a za gospodarenje građevinskim otpadom i otpadom od rušenja. </w:t>
      </w:r>
    </w:p>
    <w:p w14:paraId="7A538FA0" w14:textId="77777777" w:rsidR="008273B8" w:rsidRDefault="00B93063">
      <w:pPr>
        <w:pStyle w:val="P68B1DB1-Normal3"/>
        <w:spacing w:line="240" w:lineRule="auto"/>
        <w:jc w:val="both"/>
        <w:rPr>
          <w:rFonts w:cs="Times New Roman"/>
          <w:noProof/>
        </w:rPr>
      </w:pPr>
      <w:r>
        <w:rPr>
          <w:noProof/>
        </w:rPr>
        <w:t>Ulaganje se provodi do 31. prosinca 2025.</w:t>
      </w:r>
    </w:p>
    <w:p w14:paraId="7A538FA1" w14:textId="77777777" w:rsidR="008273B8" w:rsidRDefault="00B93063">
      <w:pPr>
        <w:pStyle w:val="P68B1DB1-Normal5"/>
        <w:spacing w:line="240" w:lineRule="auto"/>
        <w:jc w:val="both"/>
        <w:rPr>
          <w:rFonts w:cs="Times New Roman"/>
          <w:noProof/>
        </w:rPr>
      </w:pPr>
      <w:r>
        <w:rPr>
          <w:noProof/>
        </w:rPr>
        <w:t>Ulaganje C4-I2: Jačanje otpornosti zdravstvenog sustava s pomoću digitalizacije i novih tehnologija</w:t>
      </w:r>
    </w:p>
    <w:p w14:paraId="7A538FA2" w14:textId="77777777" w:rsidR="008273B8" w:rsidRDefault="00B93063">
      <w:pPr>
        <w:pStyle w:val="P68B1DB1-Normal3"/>
        <w:spacing w:line="240" w:lineRule="auto"/>
        <w:jc w:val="both"/>
        <w:rPr>
          <w:rFonts w:cs="Times New Roman"/>
          <w:noProof/>
        </w:rPr>
      </w:pPr>
      <w:r>
        <w:rPr>
          <w:noProof/>
        </w:rPr>
        <w:t>Cilj je tog ulaganja ubrzati digitalnu tranziciju malteškog zdravstvenog sustava. Digitalizacijom i oslanjanjem na nove tehnologije poboljšava se kvaliteta skrbi za pacijente, poboljšava iskustvo pacijenata pravodobnim i transparentnim pružanjem informacija te smanjuje vrijeme čekanja.</w:t>
      </w:r>
    </w:p>
    <w:p w14:paraId="7A538FA3" w14:textId="6F983923" w:rsidR="008273B8" w:rsidRDefault="00B93063">
      <w:pPr>
        <w:pStyle w:val="P68B1DB1-Normal3"/>
        <w:spacing w:line="240" w:lineRule="auto"/>
        <w:jc w:val="both"/>
        <w:rPr>
          <w:rFonts w:cs="Times New Roman"/>
          <w:noProof/>
        </w:rPr>
      </w:pPr>
      <w:r>
        <w:rPr>
          <w:noProof/>
        </w:rPr>
        <w:t>Ulaganje se sastoji od:  (i) pretvaranjem histopatološkog tijeka analize tkiva i izvješćivanjem u lako dostupnu naprednu digitalnu platformu; ii. poboljšanje davanja radioterapije stjecanjem modernog uređaja za linearnu magnetsku rezonanciju koji osigurava bolju kvalitetu snimanja u kombinaciji s poboljšanom primjenom terapije, čime se smanjuju volumeni liječenja te vrijeme i nuspojave za bolesnike. Uređaj za linearnu akcelerator magnetsku rezonanciju kombinira tehnologiju za precizno lokalizaciju tumora i organa izloženih riziku te linearne akceleratore za pružanje radioterapije, uz znatno poboljšanje liječenja bolesnika.</w:t>
      </w:r>
    </w:p>
    <w:p w14:paraId="7A538FA4" w14:textId="77777777" w:rsidR="008273B8" w:rsidRDefault="00B93063">
      <w:pPr>
        <w:pStyle w:val="P68B1DB1-Normal3"/>
        <w:spacing w:line="240" w:lineRule="auto"/>
        <w:jc w:val="both"/>
        <w:rPr>
          <w:rFonts w:eastAsia="Calibri" w:cs="Times New Roman"/>
          <w:noProof/>
        </w:rPr>
      </w:pPr>
      <w:r>
        <w:rPr>
          <w:noProof/>
        </w:rPr>
        <w:t xml:space="preserve">Očekuje se da se tom mjerom ne nanosi bitna šteta okolišnim ciljevima u smislu članka 17. Uredbe (EU) 2020/852, uzimajući u obzir opis mjere i mjere ublažavanja utvrđene u planu za oporavak i otpornost u skladu s Tehničkim smjernicama o nenanošenju bitne štete (2021/C58/01). Konkretno, tom se mjerom od gospodarskih subjekata koji provode građevinske radove zahtijeva da osiguraju da se najmanje 70 % (masenog udjela) neopasnog građevinskog otpada i otpada od rušenja (osim prirodnog materijala iz kategorije 17 05 04 na Europskom popisu otpada utvrđenom Odlukom 2000/532/EZ od 3. svibnja 2000. koja zamjenjuje Odluku 94/3/EZ o popisu otpada u skladu s člankom 1. točkom (a) Direktive Vijeća 75/442/EEZ o otpadu i Odlukom Vijeća 94/904/EZ o utvrđivanju popisa opasnog otpada u skladu s člankom 1. stavkom 4. Direktive Vijeća 91/689/EEZ o opasnom otpadu (priopćenom pod brojem dokumenta C(2000) 1147)) pripremi za ponovnu uporabu, recikliranje i druga oporaba materijala, uključujući postupke nasipavanja u kojima se otpad upotrebljava kao zamjena za druge materijale, u skladu s hijerarhijom otpada, člankom 11. stavkom 2. točkom (b) Direktive 2008/98/EZ o otpadu i Protokolom EU-a za gospodarenje građevinskim otpadom i otpadom od rušenja. </w:t>
      </w:r>
    </w:p>
    <w:p w14:paraId="7A538FA5" w14:textId="77777777" w:rsidR="008273B8" w:rsidRDefault="00B93063">
      <w:pPr>
        <w:pStyle w:val="P68B1DB1-Normal3"/>
        <w:spacing w:line="240" w:lineRule="auto"/>
        <w:jc w:val="both"/>
        <w:rPr>
          <w:rFonts w:cs="Times New Roman"/>
          <w:noProof/>
        </w:rPr>
      </w:pPr>
      <w:r>
        <w:rPr>
          <w:noProof/>
        </w:rPr>
        <w:t>Ulaganje se provodi do 30. lipnja 2025.</w:t>
      </w:r>
    </w:p>
    <w:p w14:paraId="7A538FA6" w14:textId="77777777" w:rsidR="008273B8" w:rsidRDefault="008273B8">
      <w:pPr>
        <w:pStyle w:val="Text1"/>
        <w:rPr>
          <w:noProof/>
        </w:rPr>
        <w:sectPr w:rsidR="008273B8">
          <w:headerReference w:type="even" r:id="rId54"/>
          <w:headerReference w:type="default" r:id="rId55"/>
          <w:footerReference w:type="even" r:id="rId56"/>
          <w:footerReference w:type="default" r:id="rId57"/>
          <w:headerReference w:type="first" r:id="rId58"/>
          <w:footerReference w:type="first" r:id="rId59"/>
          <w:pgSz w:w="11907" w:h="16839"/>
          <w:pgMar w:top="1134" w:right="1134" w:bottom="1134" w:left="1134" w:header="567" w:footer="567" w:gutter="0"/>
          <w:cols w:space="720"/>
          <w:docGrid w:linePitch="360"/>
        </w:sectPr>
      </w:pPr>
    </w:p>
    <w:p w14:paraId="7A538FA7" w14:textId="77777777" w:rsidR="008273B8" w:rsidRDefault="00B93063">
      <w:pPr>
        <w:pStyle w:val="P68B1DB1-ManualHeading34"/>
        <w:spacing w:before="240" w:after="240"/>
        <w:rPr>
          <w:noProof/>
          <w:u w:val="single"/>
        </w:rPr>
      </w:pPr>
      <w:r>
        <w:rPr>
          <w:noProof/>
        </w:rPr>
        <w:t xml:space="preserve">D.2. </w:t>
      </w:r>
      <w:r>
        <w:rPr>
          <w:noProof/>
        </w:rPr>
        <w:tab/>
      </w:r>
      <w:r>
        <w:rPr>
          <w:noProof/>
          <w:u w:val="single"/>
        </w:rPr>
        <w:t>Ključne etape, ciljne vrijednosti, pokazatelji i rokovi za praćenje i provedbu bespovratne financijske potpore</w:t>
      </w:r>
    </w:p>
    <w:tbl>
      <w:tblPr>
        <w:tblW w:w="52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081"/>
        <w:gridCol w:w="974"/>
        <w:gridCol w:w="1487"/>
        <w:gridCol w:w="1688"/>
        <w:gridCol w:w="1101"/>
        <w:gridCol w:w="996"/>
        <w:gridCol w:w="672"/>
        <w:gridCol w:w="1232"/>
        <w:gridCol w:w="787"/>
        <w:gridCol w:w="4180"/>
      </w:tblGrid>
      <w:tr w:rsidR="008273B8" w14:paraId="7A538FB0" w14:textId="77777777">
        <w:trPr>
          <w:cantSplit/>
          <w:tblHeader/>
          <w:jc w:val="center"/>
        </w:trPr>
        <w:tc>
          <w:tcPr>
            <w:tcW w:w="1092" w:type="dxa"/>
            <w:vMerge w:val="restart"/>
            <w:shd w:val="clear" w:color="auto" w:fill="BDD7EE"/>
            <w:vAlign w:val="center"/>
            <w:hideMark/>
          </w:tcPr>
          <w:p w14:paraId="7A538FA8" w14:textId="77777777" w:rsidR="008273B8" w:rsidRDefault="00B93063">
            <w:pPr>
              <w:pStyle w:val="P68B1DB1-Normal6"/>
              <w:spacing w:after="0" w:line="240" w:lineRule="auto"/>
              <w:jc w:val="center"/>
              <w:rPr>
                <w:rFonts w:eastAsia="Times New Roman" w:cs="Times New Roman"/>
                <w:noProof/>
              </w:rPr>
            </w:pPr>
            <w:r>
              <w:rPr>
                <w:noProof/>
              </w:rPr>
              <w:t>Redni broj</w:t>
            </w:r>
          </w:p>
        </w:tc>
        <w:tc>
          <w:tcPr>
            <w:tcW w:w="1136" w:type="dxa"/>
            <w:vMerge w:val="restart"/>
            <w:shd w:val="clear" w:color="auto" w:fill="BDD7EE"/>
            <w:vAlign w:val="center"/>
            <w:hideMark/>
          </w:tcPr>
          <w:p w14:paraId="7A538FA9" w14:textId="77777777" w:rsidR="008273B8" w:rsidRDefault="00B93063">
            <w:pPr>
              <w:pStyle w:val="P68B1DB1-Normal6"/>
              <w:spacing w:after="0" w:line="240" w:lineRule="auto"/>
              <w:jc w:val="center"/>
              <w:rPr>
                <w:rFonts w:eastAsia="Times New Roman" w:cs="Times New Roman"/>
                <w:noProof/>
              </w:rPr>
            </w:pPr>
            <w:r>
              <w:rPr>
                <w:noProof/>
              </w:rPr>
              <w:t>Povezana mjera (reforma ili ulaganje)</w:t>
            </w:r>
          </w:p>
        </w:tc>
        <w:tc>
          <w:tcPr>
            <w:tcW w:w="984" w:type="dxa"/>
            <w:vMerge w:val="restart"/>
            <w:shd w:val="clear" w:color="auto" w:fill="BDD7EE"/>
            <w:vAlign w:val="center"/>
            <w:hideMark/>
          </w:tcPr>
          <w:p w14:paraId="7A538FAA" w14:textId="77777777" w:rsidR="008273B8" w:rsidRDefault="00B93063">
            <w:pPr>
              <w:pStyle w:val="P68B1DB1-Normal6"/>
              <w:spacing w:after="0" w:line="240" w:lineRule="auto"/>
              <w:jc w:val="center"/>
              <w:rPr>
                <w:rFonts w:eastAsia="Times New Roman" w:cs="Times New Roman"/>
                <w:noProof/>
              </w:rPr>
            </w:pPr>
            <w:r>
              <w:rPr>
                <w:noProof/>
              </w:rPr>
              <w:t>Ključna etapa/cilj</w:t>
            </w:r>
          </w:p>
        </w:tc>
        <w:tc>
          <w:tcPr>
            <w:tcW w:w="1505" w:type="dxa"/>
            <w:vMerge w:val="restart"/>
            <w:shd w:val="clear" w:color="auto" w:fill="BDD7EE"/>
            <w:vAlign w:val="center"/>
            <w:hideMark/>
          </w:tcPr>
          <w:p w14:paraId="7A538FAB" w14:textId="77777777" w:rsidR="008273B8" w:rsidRDefault="00B93063">
            <w:pPr>
              <w:pStyle w:val="P68B1DB1-Normal6"/>
              <w:spacing w:after="0" w:line="240" w:lineRule="auto"/>
              <w:jc w:val="center"/>
              <w:rPr>
                <w:rFonts w:eastAsia="Times New Roman" w:cs="Times New Roman"/>
                <w:noProof/>
              </w:rPr>
            </w:pPr>
            <w:r>
              <w:rPr>
                <w:noProof/>
              </w:rPr>
              <w:t>Ime</w:t>
            </w:r>
          </w:p>
        </w:tc>
        <w:tc>
          <w:tcPr>
            <w:tcW w:w="1788" w:type="dxa"/>
            <w:vMerge w:val="restart"/>
            <w:shd w:val="clear" w:color="auto" w:fill="BDD7EE"/>
            <w:vAlign w:val="center"/>
            <w:hideMark/>
          </w:tcPr>
          <w:p w14:paraId="7A538FAC" w14:textId="77777777" w:rsidR="008273B8" w:rsidRDefault="00B93063">
            <w:pPr>
              <w:pStyle w:val="P68B1DB1-Normal13"/>
              <w:spacing w:after="0" w:line="240" w:lineRule="auto"/>
              <w:jc w:val="center"/>
              <w:rPr>
                <w:rFonts w:eastAsia="Times New Roman" w:cs="Times New Roman"/>
                <w:b/>
                <w:noProof/>
                <w:sz w:val="18"/>
              </w:rPr>
            </w:pPr>
            <w:r>
              <w:rPr>
                <w:b/>
                <w:noProof/>
                <w:sz w:val="18"/>
              </w:rPr>
              <w:t>Kvalitativni pokazatelji</w:t>
            </w:r>
            <w:r>
              <w:rPr>
                <w:noProof/>
                <w:sz w:val="24"/>
              </w:rPr>
              <w:br/>
            </w:r>
            <w:r>
              <w:rPr>
                <w:b/>
                <w:noProof/>
                <w:sz w:val="18"/>
              </w:rPr>
              <w:t>(za ključne etape)</w:t>
            </w:r>
          </w:p>
        </w:tc>
        <w:tc>
          <w:tcPr>
            <w:tcW w:w="2750" w:type="dxa"/>
            <w:gridSpan w:val="3"/>
            <w:shd w:val="clear" w:color="auto" w:fill="BDD7EE"/>
            <w:vAlign w:val="center"/>
            <w:hideMark/>
          </w:tcPr>
          <w:p w14:paraId="7A538FAD" w14:textId="77777777" w:rsidR="008273B8" w:rsidRDefault="00B93063">
            <w:pPr>
              <w:pStyle w:val="P68B1DB1-Normal13"/>
              <w:spacing w:after="0" w:line="240" w:lineRule="auto"/>
              <w:jc w:val="center"/>
              <w:rPr>
                <w:rFonts w:eastAsia="Times New Roman" w:cs="Times New Roman"/>
                <w:b/>
                <w:noProof/>
                <w:sz w:val="18"/>
              </w:rPr>
            </w:pPr>
            <w:r>
              <w:rPr>
                <w:b/>
                <w:noProof/>
                <w:sz w:val="18"/>
              </w:rPr>
              <w:t>Kvantitativni pokazatelji</w:t>
            </w:r>
            <w:r>
              <w:rPr>
                <w:noProof/>
                <w:sz w:val="24"/>
              </w:rPr>
              <w:br/>
            </w:r>
            <w:r>
              <w:rPr>
                <w:b/>
                <w:noProof/>
                <w:sz w:val="18"/>
              </w:rPr>
              <w:t>(za ciljne vrijednosti)</w:t>
            </w:r>
          </w:p>
        </w:tc>
        <w:tc>
          <w:tcPr>
            <w:tcW w:w="1520" w:type="dxa"/>
            <w:gridSpan w:val="2"/>
            <w:shd w:val="clear" w:color="auto" w:fill="BDD7EE"/>
            <w:vAlign w:val="center"/>
            <w:hideMark/>
          </w:tcPr>
          <w:p w14:paraId="7A538FAE" w14:textId="3DD4EBAD" w:rsidR="008273B8" w:rsidRDefault="00B93063">
            <w:pPr>
              <w:spacing w:after="0" w:line="240" w:lineRule="auto"/>
              <w:jc w:val="center"/>
              <w:rPr>
                <w:rFonts w:ascii="Times New Roman" w:eastAsia="Times New Roman" w:hAnsi="Times New Roman" w:cs="Times New Roman"/>
                <w:b/>
                <w:noProof/>
                <w:sz w:val="18"/>
              </w:rPr>
            </w:pPr>
            <w:r>
              <w:rPr>
                <w:rFonts w:ascii="Times New Roman" w:hAnsi="Times New Roman"/>
                <w:b/>
                <w:noProof/>
                <w:sz w:val="18"/>
              </w:rPr>
              <w:t>Vremenski okvir za dovršetak</w:t>
            </w:r>
            <w:r>
              <w:rPr>
                <w:noProof/>
              </w:rPr>
              <w:br/>
            </w:r>
          </w:p>
        </w:tc>
        <w:tc>
          <w:tcPr>
            <w:tcW w:w="4630" w:type="dxa"/>
            <w:vMerge w:val="restart"/>
            <w:shd w:val="clear" w:color="auto" w:fill="BDD7EE"/>
            <w:vAlign w:val="center"/>
            <w:hideMark/>
          </w:tcPr>
          <w:p w14:paraId="7A538FAF" w14:textId="2C621E58" w:rsidR="008273B8" w:rsidRDefault="00B93063">
            <w:pPr>
              <w:pStyle w:val="P68B1DB1-Normal6"/>
              <w:spacing w:after="0" w:line="240" w:lineRule="auto"/>
              <w:jc w:val="center"/>
              <w:rPr>
                <w:rFonts w:eastAsia="Times New Roman" w:cs="Times New Roman"/>
                <w:noProof/>
              </w:rPr>
            </w:pPr>
            <w:r>
              <w:rPr>
                <w:noProof/>
              </w:rPr>
              <w:t>Opis svake ključne etape i ciljne vrijednosti</w:t>
            </w:r>
          </w:p>
        </w:tc>
      </w:tr>
      <w:tr w:rsidR="008273B8" w14:paraId="7A538FBC" w14:textId="77777777">
        <w:trPr>
          <w:cantSplit/>
          <w:tblHeader/>
          <w:jc w:val="center"/>
        </w:trPr>
        <w:tc>
          <w:tcPr>
            <w:tcW w:w="1092" w:type="dxa"/>
            <w:vMerge/>
            <w:vAlign w:val="center"/>
            <w:hideMark/>
          </w:tcPr>
          <w:p w14:paraId="7A538FB1" w14:textId="77777777" w:rsidR="008273B8" w:rsidRDefault="008273B8">
            <w:pPr>
              <w:spacing w:after="0" w:line="240" w:lineRule="auto"/>
              <w:rPr>
                <w:rFonts w:ascii="Times New Roman" w:eastAsia="Times New Roman" w:hAnsi="Times New Roman" w:cs="Times New Roman"/>
                <w:b/>
                <w:noProof/>
                <w:sz w:val="18"/>
              </w:rPr>
            </w:pPr>
          </w:p>
        </w:tc>
        <w:tc>
          <w:tcPr>
            <w:tcW w:w="1136" w:type="dxa"/>
            <w:vMerge/>
            <w:vAlign w:val="center"/>
            <w:hideMark/>
          </w:tcPr>
          <w:p w14:paraId="7A538FB2" w14:textId="77777777" w:rsidR="008273B8" w:rsidRDefault="008273B8">
            <w:pPr>
              <w:spacing w:after="0" w:line="240" w:lineRule="auto"/>
              <w:rPr>
                <w:rFonts w:ascii="Times New Roman" w:eastAsia="Times New Roman" w:hAnsi="Times New Roman" w:cs="Times New Roman"/>
                <w:b/>
                <w:noProof/>
                <w:sz w:val="18"/>
              </w:rPr>
            </w:pPr>
          </w:p>
        </w:tc>
        <w:tc>
          <w:tcPr>
            <w:tcW w:w="984" w:type="dxa"/>
            <w:vMerge/>
            <w:vAlign w:val="center"/>
            <w:hideMark/>
          </w:tcPr>
          <w:p w14:paraId="7A538FB3" w14:textId="77777777" w:rsidR="008273B8" w:rsidRDefault="008273B8">
            <w:pPr>
              <w:spacing w:after="0" w:line="240" w:lineRule="auto"/>
              <w:rPr>
                <w:rFonts w:ascii="Times New Roman" w:eastAsia="Times New Roman" w:hAnsi="Times New Roman" w:cs="Times New Roman"/>
                <w:b/>
                <w:noProof/>
                <w:sz w:val="18"/>
              </w:rPr>
            </w:pPr>
          </w:p>
        </w:tc>
        <w:tc>
          <w:tcPr>
            <w:tcW w:w="1505" w:type="dxa"/>
            <w:vMerge/>
            <w:vAlign w:val="center"/>
            <w:hideMark/>
          </w:tcPr>
          <w:p w14:paraId="7A538FB4" w14:textId="77777777" w:rsidR="008273B8" w:rsidRDefault="008273B8">
            <w:pPr>
              <w:spacing w:after="0" w:line="240" w:lineRule="auto"/>
              <w:rPr>
                <w:rFonts w:ascii="Times New Roman" w:eastAsia="Times New Roman" w:hAnsi="Times New Roman" w:cs="Times New Roman"/>
                <w:b/>
                <w:noProof/>
                <w:sz w:val="18"/>
              </w:rPr>
            </w:pPr>
          </w:p>
        </w:tc>
        <w:tc>
          <w:tcPr>
            <w:tcW w:w="1788" w:type="dxa"/>
            <w:vMerge/>
            <w:vAlign w:val="center"/>
            <w:hideMark/>
          </w:tcPr>
          <w:p w14:paraId="7A538FB5" w14:textId="77777777" w:rsidR="008273B8" w:rsidRDefault="008273B8">
            <w:pPr>
              <w:spacing w:after="0" w:line="240" w:lineRule="auto"/>
              <w:rPr>
                <w:rFonts w:ascii="Times New Roman" w:eastAsia="Times New Roman" w:hAnsi="Times New Roman" w:cs="Times New Roman"/>
                <w:b/>
                <w:noProof/>
                <w:sz w:val="18"/>
              </w:rPr>
            </w:pPr>
          </w:p>
        </w:tc>
        <w:tc>
          <w:tcPr>
            <w:tcW w:w="1154" w:type="dxa"/>
            <w:shd w:val="clear" w:color="auto" w:fill="BDD7EE"/>
            <w:vAlign w:val="center"/>
            <w:hideMark/>
          </w:tcPr>
          <w:p w14:paraId="7A538FB6" w14:textId="77777777" w:rsidR="008273B8" w:rsidRDefault="00B93063">
            <w:pPr>
              <w:pStyle w:val="P68B1DB1-Normal6"/>
              <w:spacing w:after="0" w:line="240" w:lineRule="auto"/>
              <w:jc w:val="center"/>
              <w:rPr>
                <w:rFonts w:eastAsia="Times New Roman" w:cs="Times New Roman"/>
                <w:noProof/>
              </w:rPr>
            </w:pPr>
            <w:r>
              <w:rPr>
                <w:noProof/>
              </w:rPr>
              <w:t>Jedinica mjere</w:t>
            </w:r>
          </w:p>
        </w:tc>
        <w:tc>
          <w:tcPr>
            <w:tcW w:w="857" w:type="dxa"/>
            <w:shd w:val="clear" w:color="auto" w:fill="BDD7EE"/>
            <w:vAlign w:val="center"/>
            <w:hideMark/>
          </w:tcPr>
          <w:p w14:paraId="7A538FB7" w14:textId="77777777" w:rsidR="008273B8" w:rsidRDefault="00B93063">
            <w:pPr>
              <w:pStyle w:val="P68B1DB1-Normal6"/>
              <w:spacing w:after="0" w:line="240" w:lineRule="auto"/>
              <w:jc w:val="center"/>
              <w:rPr>
                <w:rFonts w:eastAsia="Times New Roman" w:cs="Times New Roman"/>
                <w:noProof/>
              </w:rPr>
            </w:pPr>
            <w:r>
              <w:rPr>
                <w:noProof/>
              </w:rPr>
              <w:t>Polazna vrijednost</w:t>
            </w:r>
          </w:p>
        </w:tc>
        <w:tc>
          <w:tcPr>
            <w:tcW w:w="739" w:type="dxa"/>
            <w:shd w:val="clear" w:color="auto" w:fill="BDD7EE"/>
            <w:vAlign w:val="center"/>
            <w:hideMark/>
          </w:tcPr>
          <w:p w14:paraId="7A538FB8" w14:textId="77777777" w:rsidR="008273B8" w:rsidRDefault="00B93063">
            <w:pPr>
              <w:pStyle w:val="P68B1DB1-Normal6"/>
              <w:spacing w:after="0" w:line="240" w:lineRule="auto"/>
              <w:jc w:val="center"/>
              <w:rPr>
                <w:rFonts w:eastAsia="Times New Roman" w:cs="Times New Roman"/>
                <w:noProof/>
              </w:rPr>
            </w:pPr>
            <w:r>
              <w:rPr>
                <w:noProof/>
              </w:rPr>
              <w:t>Cilj</w:t>
            </w:r>
          </w:p>
        </w:tc>
        <w:tc>
          <w:tcPr>
            <w:tcW w:w="846" w:type="dxa"/>
            <w:shd w:val="clear" w:color="auto" w:fill="BDD7EE"/>
            <w:vAlign w:val="center"/>
            <w:hideMark/>
          </w:tcPr>
          <w:p w14:paraId="7A538FB9" w14:textId="77777777" w:rsidR="008273B8" w:rsidRDefault="00B93063">
            <w:pPr>
              <w:pStyle w:val="P68B1DB1-Normal6"/>
              <w:spacing w:after="0" w:line="240" w:lineRule="auto"/>
              <w:jc w:val="center"/>
              <w:rPr>
                <w:rFonts w:eastAsia="Times New Roman" w:cs="Times New Roman"/>
                <w:noProof/>
              </w:rPr>
            </w:pPr>
            <w:r>
              <w:rPr>
                <w:noProof/>
              </w:rPr>
              <w:t>Tromjesečja</w:t>
            </w:r>
          </w:p>
        </w:tc>
        <w:tc>
          <w:tcPr>
            <w:tcW w:w="674" w:type="dxa"/>
            <w:shd w:val="clear" w:color="auto" w:fill="BDD7EE"/>
            <w:vAlign w:val="center"/>
            <w:hideMark/>
          </w:tcPr>
          <w:p w14:paraId="7A538FBA" w14:textId="77777777" w:rsidR="008273B8" w:rsidRDefault="00B93063">
            <w:pPr>
              <w:pStyle w:val="P68B1DB1-Normal6"/>
              <w:spacing w:after="0" w:line="240" w:lineRule="auto"/>
              <w:jc w:val="center"/>
              <w:rPr>
                <w:rFonts w:eastAsia="Times New Roman" w:cs="Times New Roman"/>
                <w:noProof/>
              </w:rPr>
            </w:pPr>
            <w:r>
              <w:rPr>
                <w:noProof/>
              </w:rPr>
              <w:t>Godina</w:t>
            </w:r>
          </w:p>
        </w:tc>
        <w:tc>
          <w:tcPr>
            <w:tcW w:w="4630" w:type="dxa"/>
            <w:vMerge/>
            <w:vAlign w:val="center"/>
            <w:hideMark/>
          </w:tcPr>
          <w:p w14:paraId="7A538FBB" w14:textId="77777777" w:rsidR="008273B8" w:rsidRDefault="008273B8">
            <w:pPr>
              <w:spacing w:after="0" w:line="240" w:lineRule="auto"/>
              <w:rPr>
                <w:rFonts w:ascii="Times New Roman" w:eastAsia="Times New Roman" w:hAnsi="Times New Roman" w:cs="Times New Roman"/>
                <w:b/>
                <w:noProof/>
                <w:sz w:val="18"/>
              </w:rPr>
            </w:pPr>
          </w:p>
        </w:tc>
      </w:tr>
      <w:tr w:rsidR="008273B8" w14:paraId="7A538FC9" w14:textId="77777777">
        <w:trPr>
          <w:cantSplit/>
          <w:jc w:val="center"/>
        </w:trPr>
        <w:tc>
          <w:tcPr>
            <w:tcW w:w="1092" w:type="dxa"/>
            <w:shd w:val="clear" w:color="auto" w:fill="C6EFCE"/>
            <w:vAlign w:val="center"/>
            <w:hideMark/>
          </w:tcPr>
          <w:p w14:paraId="7A538FBD" w14:textId="77777777" w:rsidR="008273B8" w:rsidRDefault="00B93063">
            <w:pPr>
              <w:pStyle w:val="P68B1DB1-Normal7"/>
              <w:spacing w:after="0" w:line="240" w:lineRule="auto"/>
              <w:jc w:val="center"/>
              <w:rPr>
                <w:rFonts w:eastAsia="Times New Roman" w:cs="Calibri"/>
                <w:noProof/>
              </w:rPr>
            </w:pPr>
            <w:r>
              <w:rPr>
                <w:noProof/>
              </w:rPr>
              <w:t>4.1</w:t>
            </w:r>
          </w:p>
        </w:tc>
        <w:tc>
          <w:tcPr>
            <w:tcW w:w="1136" w:type="dxa"/>
            <w:shd w:val="clear" w:color="auto" w:fill="C6EFCE"/>
            <w:vAlign w:val="center"/>
            <w:hideMark/>
          </w:tcPr>
          <w:p w14:paraId="7A538FBE" w14:textId="77777777" w:rsidR="008273B8" w:rsidRDefault="00B93063">
            <w:pPr>
              <w:pStyle w:val="P68B1DB1-Normal7"/>
              <w:spacing w:after="0" w:line="240" w:lineRule="auto"/>
              <w:rPr>
                <w:rFonts w:eastAsia="Times New Roman" w:cs="Calibri"/>
                <w:noProof/>
              </w:rPr>
            </w:pPr>
            <w:r>
              <w:rPr>
                <w:noProof/>
              </w:rPr>
              <w:t xml:space="preserve">C4.R.1 </w:t>
            </w:r>
          </w:p>
        </w:tc>
        <w:tc>
          <w:tcPr>
            <w:tcW w:w="984" w:type="dxa"/>
            <w:shd w:val="clear" w:color="auto" w:fill="C6EFCE"/>
            <w:vAlign w:val="center"/>
            <w:hideMark/>
          </w:tcPr>
          <w:p w14:paraId="7A538FBF" w14:textId="77777777" w:rsidR="008273B8" w:rsidRDefault="00B93063">
            <w:pPr>
              <w:pStyle w:val="P68B1DB1-Normal7"/>
              <w:spacing w:after="0" w:line="240" w:lineRule="auto"/>
              <w:rPr>
                <w:rFonts w:eastAsia="Times New Roman" w:cs="Calibri"/>
                <w:noProof/>
              </w:rPr>
            </w:pPr>
            <w:r>
              <w:rPr>
                <w:noProof/>
              </w:rPr>
              <w:t>Ključna etapa</w:t>
            </w:r>
          </w:p>
        </w:tc>
        <w:tc>
          <w:tcPr>
            <w:tcW w:w="1505" w:type="dxa"/>
            <w:shd w:val="clear" w:color="auto" w:fill="C6EFCE"/>
            <w:vAlign w:val="center"/>
            <w:hideMark/>
          </w:tcPr>
          <w:p w14:paraId="7A538FC0" w14:textId="77777777" w:rsidR="008273B8" w:rsidRDefault="00B93063">
            <w:pPr>
              <w:pStyle w:val="P68B1DB1-Normal7"/>
              <w:spacing w:after="0" w:line="240" w:lineRule="auto"/>
              <w:rPr>
                <w:rFonts w:eastAsia="Times New Roman" w:cs="Calibri"/>
                <w:noProof/>
              </w:rPr>
            </w:pPr>
            <w:r>
              <w:rPr>
                <w:noProof/>
              </w:rPr>
              <w:t xml:space="preserve">Studija o preprekama i poticajima za bolju integraciju i dobrobit strane radne snage </w:t>
            </w:r>
          </w:p>
        </w:tc>
        <w:tc>
          <w:tcPr>
            <w:tcW w:w="1788" w:type="dxa"/>
            <w:shd w:val="clear" w:color="auto" w:fill="C6EFCE"/>
            <w:vAlign w:val="center"/>
            <w:hideMark/>
          </w:tcPr>
          <w:p w14:paraId="7A538FC1" w14:textId="77777777" w:rsidR="008273B8" w:rsidRDefault="00B93063">
            <w:pPr>
              <w:pStyle w:val="P68B1DB1-Normal7"/>
              <w:spacing w:after="0" w:line="240" w:lineRule="auto"/>
              <w:rPr>
                <w:rFonts w:eastAsia="Times New Roman" w:cs="Calibri"/>
                <w:noProof/>
              </w:rPr>
            </w:pPr>
            <w:r>
              <w:rPr>
                <w:noProof/>
              </w:rPr>
              <w:t>Objava studije o preprekama i poticajima za bolju integraciju i dobrobit strane radne snage</w:t>
            </w:r>
          </w:p>
        </w:tc>
        <w:tc>
          <w:tcPr>
            <w:tcW w:w="1154" w:type="dxa"/>
            <w:shd w:val="clear" w:color="auto" w:fill="C6EFCE"/>
            <w:vAlign w:val="center"/>
            <w:hideMark/>
          </w:tcPr>
          <w:p w14:paraId="7A538FC2"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8FC3" w14:textId="77777777" w:rsidR="008273B8" w:rsidRDefault="008273B8">
            <w:pPr>
              <w:spacing w:after="0" w:line="240" w:lineRule="auto"/>
              <w:jc w:val="center"/>
              <w:rPr>
                <w:rFonts w:ascii="Calibri" w:eastAsia="Times New Roman" w:hAnsi="Calibri" w:cs="Calibri"/>
                <w:noProof/>
                <w:sz w:val="18"/>
              </w:rPr>
            </w:pPr>
          </w:p>
        </w:tc>
        <w:tc>
          <w:tcPr>
            <w:tcW w:w="739" w:type="dxa"/>
            <w:shd w:val="clear" w:color="auto" w:fill="C6EFCE"/>
            <w:vAlign w:val="center"/>
            <w:hideMark/>
          </w:tcPr>
          <w:p w14:paraId="7A538FC4" w14:textId="77777777" w:rsidR="008273B8" w:rsidRDefault="008273B8">
            <w:pPr>
              <w:spacing w:after="0" w:line="240" w:lineRule="auto"/>
              <w:jc w:val="center"/>
              <w:rPr>
                <w:rFonts w:ascii="Calibri" w:eastAsia="Times New Roman" w:hAnsi="Calibri" w:cs="Calibri"/>
                <w:noProof/>
                <w:sz w:val="18"/>
              </w:rPr>
            </w:pPr>
          </w:p>
        </w:tc>
        <w:tc>
          <w:tcPr>
            <w:tcW w:w="846" w:type="dxa"/>
            <w:shd w:val="clear" w:color="auto" w:fill="C6EFCE"/>
            <w:vAlign w:val="center"/>
            <w:hideMark/>
          </w:tcPr>
          <w:p w14:paraId="7A538FC5" w14:textId="77777777" w:rsidR="008273B8" w:rsidRDefault="00B93063">
            <w:pPr>
              <w:pStyle w:val="P68B1DB1-Normal7"/>
              <w:spacing w:after="0" w:line="240" w:lineRule="auto"/>
              <w:jc w:val="center"/>
              <w:rPr>
                <w:rFonts w:eastAsia="Times New Roman" w:cs="Calibri"/>
                <w:noProof/>
              </w:rPr>
            </w:pPr>
            <w:r>
              <w:rPr>
                <w:noProof/>
              </w:rPr>
              <w:t>Q2</w:t>
            </w:r>
          </w:p>
        </w:tc>
        <w:tc>
          <w:tcPr>
            <w:tcW w:w="674" w:type="dxa"/>
            <w:shd w:val="clear" w:color="auto" w:fill="C6EFCE"/>
            <w:vAlign w:val="center"/>
            <w:hideMark/>
          </w:tcPr>
          <w:p w14:paraId="7A538FC6" w14:textId="77777777" w:rsidR="008273B8" w:rsidRDefault="00B93063">
            <w:pPr>
              <w:pStyle w:val="P68B1DB1-Normal7"/>
              <w:spacing w:after="0" w:line="240" w:lineRule="auto"/>
              <w:jc w:val="center"/>
              <w:rPr>
                <w:rFonts w:eastAsia="Times New Roman" w:cs="Calibri"/>
                <w:noProof/>
              </w:rPr>
            </w:pPr>
            <w:r>
              <w:rPr>
                <w:noProof/>
              </w:rPr>
              <w:t>2022</w:t>
            </w:r>
          </w:p>
        </w:tc>
        <w:tc>
          <w:tcPr>
            <w:tcW w:w="4630" w:type="dxa"/>
            <w:shd w:val="clear" w:color="auto" w:fill="C6EFCE"/>
            <w:vAlign w:val="center"/>
            <w:hideMark/>
          </w:tcPr>
          <w:p w14:paraId="7A538FC7" w14:textId="77777777" w:rsidR="008273B8" w:rsidRDefault="00B93063">
            <w:pPr>
              <w:pStyle w:val="P68B1DB1-Normal7"/>
              <w:spacing w:after="0" w:line="240" w:lineRule="auto"/>
              <w:rPr>
                <w:rFonts w:eastAsia="Times New Roman" w:cs="Calibri"/>
                <w:noProof/>
              </w:rPr>
            </w:pPr>
            <w:r>
              <w:rPr>
                <w:noProof/>
              </w:rPr>
              <w:t xml:space="preserve">Objava studije o integraciji i dobrobiti strane radne snage u javnom sektoru. Studijom se: i. proučavanje prepreka i pomagača za bolju integraciju i dobrobit strane radne snage (uključujući očekivanja, bojazni, odnos s kolegama), ii. savjetovanje sa svim relevantnim dionicima (uključujući JobsPlus i ID Malta), iii. predlaganje preporuka politike o mjerama za poboljšanje integracije i dobrobiti strane radne snage. </w:t>
            </w:r>
          </w:p>
          <w:p w14:paraId="7A538FC8" w14:textId="77777777" w:rsidR="008273B8" w:rsidRDefault="00B93063">
            <w:pPr>
              <w:pStyle w:val="P68B1DB1-Normal7"/>
              <w:spacing w:after="0" w:line="240" w:lineRule="auto"/>
              <w:rPr>
                <w:rFonts w:eastAsia="Times New Roman" w:cs="Calibri"/>
                <w:noProof/>
              </w:rPr>
            </w:pPr>
            <w:r>
              <w:rPr>
                <w:noProof/>
              </w:rPr>
              <w:t>U studiji se upotrebljavaju odgovarajući alati za procjenu i metodologija za mjerenje dobrobiti. U studiji će se ispitati trenutačna situacija i utvrditi polazna vrijednost postojeće dobrobiti stranih radnika, na temelju rezultata MH1 ili MH2 iz upitnika SF36, koji je anketa o zdravlju pacijenata s 36 stavki koju su prijavili pacijenti. Pokazatelji MH1 i MH2 izračunavaju se na temelju odgovora na odgovarajuća pitanja u odjeljku ankete o mentalnom zdravlju. Studiju provodi neovisni izvođač angažiran u okviru postupaka javne nabave. Studija se stavlja na raspolaganje Komisiji putem informacijskog sustava za upravljanje.</w:t>
            </w:r>
          </w:p>
        </w:tc>
      </w:tr>
      <w:tr w:rsidR="008273B8" w14:paraId="7A538FD5" w14:textId="77777777">
        <w:trPr>
          <w:cantSplit/>
          <w:jc w:val="center"/>
        </w:trPr>
        <w:tc>
          <w:tcPr>
            <w:tcW w:w="1092" w:type="dxa"/>
            <w:shd w:val="clear" w:color="auto" w:fill="C6EFCE"/>
            <w:vAlign w:val="center"/>
            <w:hideMark/>
          </w:tcPr>
          <w:p w14:paraId="7A538FCA" w14:textId="77777777" w:rsidR="008273B8" w:rsidRDefault="00B93063">
            <w:pPr>
              <w:pStyle w:val="P68B1DB1-Normal7"/>
              <w:spacing w:after="0" w:line="240" w:lineRule="auto"/>
              <w:jc w:val="center"/>
              <w:rPr>
                <w:rFonts w:eastAsia="Times New Roman" w:cs="Calibri"/>
                <w:noProof/>
              </w:rPr>
            </w:pPr>
            <w:r>
              <w:rPr>
                <w:noProof/>
              </w:rPr>
              <w:t>4.2</w:t>
            </w:r>
          </w:p>
        </w:tc>
        <w:tc>
          <w:tcPr>
            <w:tcW w:w="1136" w:type="dxa"/>
            <w:shd w:val="clear" w:color="auto" w:fill="C6EFCE"/>
            <w:vAlign w:val="center"/>
            <w:hideMark/>
          </w:tcPr>
          <w:p w14:paraId="7A538FCB" w14:textId="77777777" w:rsidR="008273B8" w:rsidRDefault="00B93063">
            <w:pPr>
              <w:pStyle w:val="P68B1DB1-Normal7"/>
              <w:spacing w:after="0" w:line="240" w:lineRule="auto"/>
              <w:rPr>
                <w:rFonts w:eastAsia="Times New Roman" w:cs="Calibri"/>
                <w:noProof/>
              </w:rPr>
            </w:pPr>
            <w:r>
              <w:rPr>
                <w:noProof/>
              </w:rPr>
              <w:t xml:space="preserve">C4.R.1 </w:t>
            </w:r>
          </w:p>
        </w:tc>
        <w:tc>
          <w:tcPr>
            <w:tcW w:w="984" w:type="dxa"/>
            <w:shd w:val="clear" w:color="auto" w:fill="C6EFCE"/>
            <w:vAlign w:val="center"/>
            <w:hideMark/>
          </w:tcPr>
          <w:p w14:paraId="7A538FCC" w14:textId="77777777" w:rsidR="008273B8" w:rsidRDefault="00B93063">
            <w:pPr>
              <w:pStyle w:val="P68B1DB1-Normal7"/>
              <w:spacing w:after="0" w:line="240" w:lineRule="auto"/>
              <w:rPr>
                <w:rFonts w:eastAsia="Times New Roman" w:cs="Calibri"/>
                <w:noProof/>
              </w:rPr>
            </w:pPr>
            <w:r>
              <w:rPr>
                <w:noProof/>
              </w:rPr>
              <w:t>Ključna etapa</w:t>
            </w:r>
          </w:p>
        </w:tc>
        <w:tc>
          <w:tcPr>
            <w:tcW w:w="1505" w:type="dxa"/>
            <w:shd w:val="clear" w:color="auto" w:fill="C6EFCE"/>
            <w:vAlign w:val="center"/>
            <w:hideMark/>
          </w:tcPr>
          <w:p w14:paraId="7A538FCD" w14:textId="77777777" w:rsidR="008273B8" w:rsidRDefault="00B93063">
            <w:pPr>
              <w:pStyle w:val="P68B1DB1-Normal7"/>
              <w:spacing w:after="0" w:line="240" w:lineRule="auto"/>
              <w:rPr>
                <w:rFonts w:eastAsia="Times New Roman" w:cs="Calibri"/>
                <w:noProof/>
              </w:rPr>
            </w:pPr>
            <w:r>
              <w:rPr>
                <w:noProof/>
              </w:rPr>
              <w:t>Prilagođeni alat za planiranje radne snage</w:t>
            </w:r>
          </w:p>
        </w:tc>
        <w:tc>
          <w:tcPr>
            <w:tcW w:w="1788" w:type="dxa"/>
            <w:shd w:val="clear" w:color="auto" w:fill="C6EFCE"/>
            <w:vAlign w:val="center"/>
            <w:hideMark/>
          </w:tcPr>
          <w:p w14:paraId="7A538FCE" w14:textId="77777777" w:rsidR="008273B8" w:rsidRDefault="00B93063">
            <w:pPr>
              <w:pStyle w:val="P68B1DB1-Normal7"/>
              <w:spacing w:after="0" w:line="240" w:lineRule="auto"/>
              <w:rPr>
                <w:rFonts w:eastAsia="Times New Roman" w:cs="Calibri"/>
                <w:noProof/>
              </w:rPr>
            </w:pPr>
            <w:r>
              <w:rPr>
                <w:noProof/>
              </w:rPr>
              <w:t>Prilagođeni alat za planiranje radne snage i operativan</w:t>
            </w:r>
          </w:p>
        </w:tc>
        <w:tc>
          <w:tcPr>
            <w:tcW w:w="1154" w:type="dxa"/>
            <w:shd w:val="clear" w:color="auto" w:fill="C6EFCE"/>
            <w:vAlign w:val="center"/>
            <w:hideMark/>
          </w:tcPr>
          <w:p w14:paraId="7A538FCF"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8FD0" w14:textId="77777777" w:rsidR="008273B8" w:rsidRDefault="008273B8">
            <w:pPr>
              <w:spacing w:after="0" w:line="240" w:lineRule="auto"/>
              <w:jc w:val="center"/>
              <w:rPr>
                <w:rFonts w:ascii="Calibri" w:eastAsia="Times New Roman" w:hAnsi="Calibri" w:cs="Calibri"/>
                <w:noProof/>
                <w:sz w:val="18"/>
              </w:rPr>
            </w:pPr>
          </w:p>
        </w:tc>
        <w:tc>
          <w:tcPr>
            <w:tcW w:w="739" w:type="dxa"/>
            <w:shd w:val="clear" w:color="auto" w:fill="C6EFCE"/>
            <w:vAlign w:val="center"/>
            <w:hideMark/>
          </w:tcPr>
          <w:p w14:paraId="7A538FD1" w14:textId="77777777" w:rsidR="008273B8" w:rsidRDefault="008273B8">
            <w:pPr>
              <w:spacing w:after="0" w:line="240" w:lineRule="auto"/>
              <w:jc w:val="center"/>
              <w:rPr>
                <w:rFonts w:ascii="Calibri" w:eastAsia="Times New Roman" w:hAnsi="Calibri" w:cs="Calibri"/>
                <w:noProof/>
                <w:sz w:val="18"/>
              </w:rPr>
            </w:pPr>
          </w:p>
        </w:tc>
        <w:tc>
          <w:tcPr>
            <w:tcW w:w="846" w:type="dxa"/>
            <w:shd w:val="clear" w:color="auto" w:fill="C6EFCE"/>
            <w:vAlign w:val="center"/>
            <w:hideMark/>
          </w:tcPr>
          <w:p w14:paraId="7A538FD2" w14:textId="77777777" w:rsidR="008273B8" w:rsidRDefault="00B93063">
            <w:pPr>
              <w:pStyle w:val="P68B1DB1-Normal7"/>
              <w:spacing w:after="0" w:line="240" w:lineRule="auto"/>
              <w:jc w:val="center"/>
              <w:rPr>
                <w:rFonts w:eastAsia="Times New Roman" w:cs="Calibri"/>
                <w:noProof/>
              </w:rPr>
            </w:pPr>
            <w:r>
              <w:rPr>
                <w:noProof/>
              </w:rPr>
              <w:t>Q2</w:t>
            </w:r>
          </w:p>
        </w:tc>
        <w:tc>
          <w:tcPr>
            <w:tcW w:w="674" w:type="dxa"/>
            <w:shd w:val="clear" w:color="auto" w:fill="C6EFCE"/>
            <w:vAlign w:val="center"/>
            <w:hideMark/>
          </w:tcPr>
          <w:p w14:paraId="7A538FD3" w14:textId="77777777" w:rsidR="008273B8" w:rsidRDefault="00B93063">
            <w:pPr>
              <w:pStyle w:val="P68B1DB1-Normal7"/>
              <w:spacing w:after="0" w:line="240" w:lineRule="auto"/>
              <w:jc w:val="center"/>
              <w:rPr>
                <w:rFonts w:eastAsia="Times New Roman" w:cs="Calibri"/>
                <w:noProof/>
              </w:rPr>
            </w:pPr>
            <w:r>
              <w:rPr>
                <w:noProof/>
              </w:rPr>
              <w:t>2023</w:t>
            </w:r>
          </w:p>
        </w:tc>
        <w:tc>
          <w:tcPr>
            <w:tcW w:w="4630" w:type="dxa"/>
            <w:shd w:val="clear" w:color="auto" w:fill="C6EFCE"/>
            <w:vAlign w:val="center"/>
            <w:hideMark/>
          </w:tcPr>
          <w:p w14:paraId="7A538FD4" w14:textId="77777777" w:rsidR="008273B8" w:rsidRDefault="00B93063">
            <w:pPr>
              <w:pStyle w:val="P68B1DB1-Normal7"/>
              <w:spacing w:after="0" w:line="240" w:lineRule="auto"/>
              <w:rPr>
                <w:rFonts w:eastAsia="Times New Roman" w:cs="Calibri"/>
                <w:noProof/>
              </w:rPr>
            </w:pPr>
            <w:r>
              <w:rPr>
                <w:noProof/>
              </w:rPr>
              <w:t xml:space="preserve">Razvijen je i operativan alat za planiranje radne snage u zdravstvu, uključujući značajke povezane s ljudskim resursima, izradom proračuna, upravljanjem slobodnim radnim mjestima i olakšavanjem zapošljavanja. </w:t>
            </w:r>
          </w:p>
        </w:tc>
      </w:tr>
      <w:tr w:rsidR="008273B8" w14:paraId="7A538FE1" w14:textId="77777777">
        <w:trPr>
          <w:cantSplit/>
          <w:jc w:val="center"/>
        </w:trPr>
        <w:tc>
          <w:tcPr>
            <w:tcW w:w="1092" w:type="dxa"/>
            <w:shd w:val="clear" w:color="auto" w:fill="C6EFCE"/>
            <w:vAlign w:val="center"/>
            <w:hideMark/>
          </w:tcPr>
          <w:p w14:paraId="7A538FD6" w14:textId="77777777" w:rsidR="008273B8" w:rsidRDefault="00B93063">
            <w:pPr>
              <w:pStyle w:val="P68B1DB1-Normal7"/>
              <w:spacing w:after="0" w:line="240" w:lineRule="auto"/>
              <w:jc w:val="center"/>
              <w:rPr>
                <w:rFonts w:eastAsia="Times New Roman" w:cs="Calibri"/>
                <w:noProof/>
              </w:rPr>
            </w:pPr>
            <w:r>
              <w:rPr>
                <w:noProof/>
              </w:rPr>
              <w:t>4.3</w:t>
            </w:r>
          </w:p>
        </w:tc>
        <w:tc>
          <w:tcPr>
            <w:tcW w:w="1136" w:type="dxa"/>
            <w:shd w:val="clear" w:color="auto" w:fill="C6EFCE"/>
            <w:vAlign w:val="center"/>
            <w:hideMark/>
          </w:tcPr>
          <w:p w14:paraId="7A538FD7" w14:textId="77777777" w:rsidR="008273B8" w:rsidRDefault="00B93063">
            <w:pPr>
              <w:pStyle w:val="P68B1DB1-Normal7"/>
              <w:spacing w:after="0" w:line="240" w:lineRule="auto"/>
              <w:rPr>
                <w:rFonts w:eastAsia="Times New Roman" w:cs="Calibri"/>
                <w:noProof/>
              </w:rPr>
            </w:pPr>
            <w:r>
              <w:rPr>
                <w:noProof/>
              </w:rPr>
              <w:t xml:space="preserve">C4.R.1 </w:t>
            </w:r>
          </w:p>
        </w:tc>
        <w:tc>
          <w:tcPr>
            <w:tcW w:w="984" w:type="dxa"/>
            <w:shd w:val="clear" w:color="auto" w:fill="C6EFCE"/>
            <w:vAlign w:val="center"/>
            <w:hideMark/>
          </w:tcPr>
          <w:p w14:paraId="7A538FD8" w14:textId="77777777" w:rsidR="008273B8" w:rsidRDefault="00B93063">
            <w:pPr>
              <w:pStyle w:val="P68B1DB1-Normal7"/>
              <w:spacing w:after="0" w:line="240" w:lineRule="auto"/>
              <w:rPr>
                <w:rFonts w:eastAsia="Times New Roman" w:cs="Calibri"/>
                <w:noProof/>
              </w:rPr>
            </w:pPr>
            <w:r>
              <w:rPr>
                <w:noProof/>
              </w:rPr>
              <w:t>Ključna etapa</w:t>
            </w:r>
          </w:p>
        </w:tc>
        <w:tc>
          <w:tcPr>
            <w:tcW w:w="1505" w:type="dxa"/>
            <w:shd w:val="clear" w:color="auto" w:fill="C6EFCE"/>
            <w:vAlign w:val="center"/>
            <w:hideMark/>
          </w:tcPr>
          <w:p w14:paraId="7A538FD9" w14:textId="77777777" w:rsidR="008273B8" w:rsidRDefault="00B93063">
            <w:pPr>
              <w:pStyle w:val="P68B1DB1-Normal7"/>
              <w:spacing w:after="0" w:line="240" w:lineRule="auto"/>
              <w:rPr>
                <w:rFonts w:eastAsia="Times New Roman" w:cs="Calibri"/>
                <w:noProof/>
              </w:rPr>
            </w:pPr>
            <w:r>
              <w:rPr>
                <w:noProof/>
              </w:rPr>
              <w:t xml:space="preserve">Izvješće o provedbi mjera i usporedba dobrobiti nakon intervencije u usporedbi s početnom procjenom. </w:t>
            </w:r>
          </w:p>
        </w:tc>
        <w:tc>
          <w:tcPr>
            <w:tcW w:w="1788" w:type="dxa"/>
            <w:shd w:val="clear" w:color="auto" w:fill="C6EFCE"/>
            <w:vAlign w:val="center"/>
            <w:hideMark/>
          </w:tcPr>
          <w:p w14:paraId="7A538FDA" w14:textId="77777777" w:rsidR="008273B8" w:rsidRDefault="00B93063">
            <w:pPr>
              <w:pStyle w:val="P68B1DB1-Normal7"/>
              <w:spacing w:after="0" w:line="240" w:lineRule="auto"/>
              <w:rPr>
                <w:rFonts w:eastAsia="Times New Roman" w:cs="Calibri"/>
                <w:noProof/>
              </w:rPr>
            </w:pPr>
            <w:r>
              <w:rPr>
                <w:noProof/>
              </w:rPr>
              <w:t>Internetska objava izvješća o provedbi mjera i usporedba dobrobiti nakon intervencije u odnosu na početnu procjenu</w:t>
            </w:r>
          </w:p>
        </w:tc>
        <w:tc>
          <w:tcPr>
            <w:tcW w:w="1154" w:type="dxa"/>
            <w:shd w:val="clear" w:color="auto" w:fill="C6EFCE"/>
            <w:vAlign w:val="center"/>
            <w:hideMark/>
          </w:tcPr>
          <w:p w14:paraId="7A538FDB"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8FDC" w14:textId="77777777" w:rsidR="008273B8" w:rsidRDefault="008273B8">
            <w:pPr>
              <w:spacing w:after="0" w:line="240" w:lineRule="auto"/>
              <w:jc w:val="center"/>
              <w:rPr>
                <w:rFonts w:ascii="Calibri" w:eastAsia="Times New Roman" w:hAnsi="Calibri" w:cs="Calibri"/>
                <w:noProof/>
                <w:sz w:val="18"/>
              </w:rPr>
            </w:pPr>
          </w:p>
        </w:tc>
        <w:tc>
          <w:tcPr>
            <w:tcW w:w="739" w:type="dxa"/>
            <w:shd w:val="clear" w:color="auto" w:fill="C6EFCE"/>
            <w:vAlign w:val="center"/>
            <w:hideMark/>
          </w:tcPr>
          <w:p w14:paraId="7A538FDD" w14:textId="77777777" w:rsidR="008273B8" w:rsidRDefault="008273B8">
            <w:pPr>
              <w:spacing w:after="0" w:line="240" w:lineRule="auto"/>
              <w:jc w:val="center"/>
              <w:rPr>
                <w:rFonts w:ascii="Calibri" w:eastAsia="Times New Roman" w:hAnsi="Calibri" w:cs="Calibri"/>
                <w:noProof/>
                <w:sz w:val="18"/>
              </w:rPr>
            </w:pPr>
          </w:p>
        </w:tc>
        <w:tc>
          <w:tcPr>
            <w:tcW w:w="846" w:type="dxa"/>
            <w:shd w:val="clear" w:color="auto" w:fill="C6EFCE"/>
            <w:vAlign w:val="center"/>
            <w:hideMark/>
          </w:tcPr>
          <w:p w14:paraId="7A538FDE"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74" w:type="dxa"/>
            <w:shd w:val="clear" w:color="auto" w:fill="C6EFCE"/>
            <w:vAlign w:val="center"/>
            <w:hideMark/>
          </w:tcPr>
          <w:p w14:paraId="7A538FDF" w14:textId="77777777" w:rsidR="008273B8" w:rsidRDefault="00B93063">
            <w:pPr>
              <w:pStyle w:val="P68B1DB1-Normal7"/>
              <w:spacing w:after="0" w:line="240" w:lineRule="auto"/>
              <w:jc w:val="center"/>
              <w:rPr>
                <w:rFonts w:eastAsia="Times New Roman" w:cs="Calibri"/>
                <w:noProof/>
              </w:rPr>
            </w:pPr>
            <w:r>
              <w:rPr>
                <w:noProof/>
              </w:rPr>
              <w:t>2025</w:t>
            </w:r>
          </w:p>
        </w:tc>
        <w:tc>
          <w:tcPr>
            <w:tcW w:w="4630" w:type="dxa"/>
            <w:shd w:val="clear" w:color="auto" w:fill="C6EFCE"/>
            <w:vAlign w:val="center"/>
            <w:hideMark/>
          </w:tcPr>
          <w:p w14:paraId="7A538FE0" w14:textId="77777777" w:rsidR="008273B8" w:rsidRDefault="00B93063">
            <w:pPr>
              <w:pStyle w:val="P68B1DB1-Normal7"/>
              <w:spacing w:after="0" w:line="240" w:lineRule="auto"/>
              <w:rPr>
                <w:rFonts w:eastAsia="Times New Roman" w:cs="Calibri"/>
                <w:noProof/>
              </w:rPr>
            </w:pPr>
            <w:r>
              <w:rPr>
                <w:noProof/>
              </w:rPr>
              <w:t xml:space="preserve">Objava izvješća o provedbi preporuka o politikama razrađenih u ključnoj etapi 4.1. i o ostvarenom poboljšanju dobrobiti stranih radnika, na temelju metodologije utvrđene u ključnoj etapi 4.1. </w:t>
            </w:r>
          </w:p>
        </w:tc>
      </w:tr>
      <w:tr w:rsidR="008273B8" w14:paraId="7A538FEE" w14:textId="77777777">
        <w:trPr>
          <w:cantSplit/>
          <w:jc w:val="center"/>
        </w:trPr>
        <w:tc>
          <w:tcPr>
            <w:tcW w:w="1092" w:type="dxa"/>
            <w:shd w:val="clear" w:color="auto" w:fill="C6EFCE"/>
            <w:vAlign w:val="center"/>
          </w:tcPr>
          <w:p w14:paraId="7A538FE2" w14:textId="77777777" w:rsidR="008273B8" w:rsidRDefault="00B93063">
            <w:pPr>
              <w:pStyle w:val="P68B1DB1-Normal7"/>
              <w:spacing w:after="0" w:line="240" w:lineRule="auto"/>
              <w:jc w:val="center"/>
              <w:rPr>
                <w:rFonts w:eastAsia="Times New Roman" w:cs="Calibri"/>
                <w:noProof/>
              </w:rPr>
            </w:pPr>
            <w:r>
              <w:rPr>
                <w:noProof/>
              </w:rPr>
              <w:t>4.4</w:t>
            </w:r>
          </w:p>
        </w:tc>
        <w:tc>
          <w:tcPr>
            <w:tcW w:w="1136" w:type="dxa"/>
            <w:shd w:val="clear" w:color="auto" w:fill="C6EFCE"/>
            <w:vAlign w:val="center"/>
          </w:tcPr>
          <w:p w14:paraId="7A538FE3" w14:textId="77777777" w:rsidR="008273B8" w:rsidRDefault="00B93063">
            <w:pPr>
              <w:pStyle w:val="P68B1DB1-Normal7"/>
              <w:spacing w:after="0" w:line="240" w:lineRule="auto"/>
              <w:rPr>
                <w:rFonts w:eastAsia="Times New Roman" w:cs="Calibri"/>
                <w:noProof/>
              </w:rPr>
            </w:pPr>
            <w:r>
              <w:rPr>
                <w:noProof/>
              </w:rPr>
              <w:t xml:space="preserve">C4.R.1 </w:t>
            </w:r>
          </w:p>
        </w:tc>
        <w:tc>
          <w:tcPr>
            <w:tcW w:w="984" w:type="dxa"/>
            <w:shd w:val="clear" w:color="auto" w:fill="C6EFCE"/>
            <w:vAlign w:val="center"/>
          </w:tcPr>
          <w:p w14:paraId="7A538FE4" w14:textId="77777777" w:rsidR="008273B8" w:rsidRDefault="00B93063">
            <w:pPr>
              <w:pStyle w:val="P68B1DB1-Normal7"/>
              <w:spacing w:after="0" w:line="240" w:lineRule="auto"/>
              <w:rPr>
                <w:rFonts w:eastAsia="Times New Roman" w:cs="Calibri"/>
                <w:noProof/>
              </w:rPr>
            </w:pPr>
            <w:r>
              <w:rPr>
                <w:noProof/>
              </w:rPr>
              <w:t>Ciljna vrijednost</w:t>
            </w:r>
          </w:p>
        </w:tc>
        <w:tc>
          <w:tcPr>
            <w:tcW w:w="1505" w:type="dxa"/>
            <w:shd w:val="clear" w:color="auto" w:fill="C6EFCE"/>
            <w:vAlign w:val="center"/>
          </w:tcPr>
          <w:p w14:paraId="7A538FE5" w14:textId="77777777" w:rsidR="008273B8" w:rsidRDefault="00B93063">
            <w:pPr>
              <w:pStyle w:val="P68B1DB1-Normal7"/>
              <w:spacing w:after="0" w:line="240" w:lineRule="auto"/>
              <w:rPr>
                <w:rFonts w:eastAsia="Times New Roman" w:cs="Calibri"/>
                <w:noProof/>
              </w:rPr>
            </w:pPr>
            <w:r>
              <w:rPr>
                <w:noProof/>
              </w:rPr>
              <w:t>Poboljšanje prijavljene dobrobiti stranih radnika</w:t>
            </w:r>
          </w:p>
        </w:tc>
        <w:tc>
          <w:tcPr>
            <w:tcW w:w="1788" w:type="dxa"/>
            <w:shd w:val="clear" w:color="auto" w:fill="C6EFCE"/>
            <w:vAlign w:val="center"/>
          </w:tcPr>
          <w:p w14:paraId="7A538FE6" w14:textId="77777777" w:rsidR="008273B8" w:rsidRDefault="008273B8">
            <w:pPr>
              <w:spacing w:after="0" w:line="240" w:lineRule="auto"/>
              <w:rPr>
                <w:rFonts w:ascii="Calibri" w:eastAsia="Times New Roman" w:hAnsi="Calibri" w:cs="Calibri"/>
                <w:noProof/>
                <w:sz w:val="18"/>
              </w:rPr>
            </w:pPr>
          </w:p>
        </w:tc>
        <w:tc>
          <w:tcPr>
            <w:tcW w:w="1154" w:type="dxa"/>
            <w:shd w:val="clear" w:color="auto" w:fill="C6EFCE"/>
            <w:vAlign w:val="center"/>
          </w:tcPr>
          <w:p w14:paraId="7A538FE7" w14:textId="77777777" w:rsidR="008273B8" w:rsidRDefault="00B93063">
            <w:pPr>
              <w:pStyle w:val="P68B1DB1-Normal7"/>
              <w:spacing w:after="0" w:line="240" w:lineRule="auto"/>
              <w:jc w:val="center"/>
              <w:rPr>
                <w:rFonts w:eastAsia="Times New Roman" w:cs="Calibri"/>
                <w:noProof/>
              </w:rPr>
            </w:pPr>
            <w:r>
              <w:rPr>
                <w:noProof/>
              </w:rPr>
              <w:t>%</w:t>
            </w:r>
          </w:p>
          <w:p w14:paraId="7A538FE8" w14:textId="77777777" w:rsidR="008273B8" w:rsidRDefault="00B93063">
            <w:pPr>
              <w:pStyle w:val="P68B1DB1-Normal7"/>
              <w:spacing w:after="0" w:line="240" w:lineRule="auto"/>
              <w:jc w:val="center"/>
              <w:rPr>
                <w:rFonts w:eastAsia="Times New Roman" w:cs="Calibri"/>
                <w:noProof/>
              </w:rPr>
            </w:pPr>
            <w:r>
              <w:rPr>
                <w:noProof/>
              </w:rPr>
              <w:t>(postotak)</w:t>
            </w:r>
          </w:p>
        </w:tc>
        <w:tc>
          <w:tcPr>
            <w:tcW w:w="857" w:type="dxa"/>
            <w:shd w:val="clear" w:color="auto" w:fill="C6EFCE"/>
            <w:vAlign w:val="center"/>
          </w:tcPr>
          <w:p w14:paraId="7A538FE9" w14:textId="77777777" w:rsidR="008273B8" w:rsidRDefault="00B93063">
            <w:pPr>
              <w:pStyle w:val="P68B1DB1-Normal7"/>
              <w:spacing w:after="0" w:line="240" w:lineRule="auto"/>
              <w:jc w:val="center"/>
              <w:rPr>
                <w:rFonts w:eastAsia="Times New Roman" w:cs="Calibri"/>
                <w:noProof/>
              </w:rPr>
            </w:pPr>
            <w:r>
              <w:rPr>
                <w:noProof/>
              </w:rPr>
              <w:t>0</w:t>
            </w:r>
          </w:p>
        </w:tc>
        <w:tc>
          <w:tcPr>
            <w:tcW w:w="739" w:type="dxa"/>
            <w:shd w:val="clear" w:color="auto" w:fill="C6EFCE"/>
            <w:vAlign w:val="center"/>
          </w:tcPr>
          <w:p w14:paraId="7A538FEA" w14:textId="77777777" w:rsidR="008273B8" w:rsidRDefault="00B93063">
            <w:pPr>
              <w:pStyle w:val="P68B1DB1-Normal7"/>
              <w:spacing w:after="0" w:line="240" w:lineRule="auto"/>
              <w:jc w:val="center"/>
              <w:rPr>
                <w:rFonts w:eastAsia="Times New Roman" w:cs="Calibri"/>
                <w:noProof/>
              </w:rPr>
            </w:pPr>
            <w:r>
              <w:rPr>
                <w:noProof/>
              </w:rPr>
              <w:t>10</w:t>
            </w:r>
          </w:p>
        </w:tc>
        <w:tc>
          <w:tcPr>
            <w:tcW w:w="846" w:type="dxa"/>
            <w:shd w:val="clear" w:color="auto" w:fill="C6EFCE"/>
            <w:vAlign w:val="center"/>
          </w:tcPr>
          <w:p w14:paraId="7A538FEB"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74" w:type="dxa"/>
            <w:shd w:val="clear" w:color="auto" w:fill="C6EFCE"/>
            <w:vAlign w:val="center"/>
          </w:tcPr>
          <w:p w14:paraId="7A538FEC" w14:textId="77777777" w:rsidR="008273B8" w:rsidRDefault="00B93063">
            <w:pPr>
              <w:pStyle w:val="P68B1DB1-Normal7"/>
              <w:spacing w:after="0" w:line="240" w:lineRule="auto"/>
              <w:jc w:val="center"/>
              <w:rPr>
                <w:rFonts w:eastAsia="Times New Roman" w:cs="Calibri"/>
                <w:noProof/>
              </w:rPr>
            </w:pPr>
            <w:r>
              <w:rPr>
                <w:noProof/>
              </w:rPr>
              <w:t>2025</w:t>
            </w:r>
          </w:p>
        </w:tc>
        <w:tc>
          <w:tcPr>
            <w:tcW w:w="4630" w:type="dxa"/>
            <w:shd w:val="clear" w:color="auto" w:fill="C6EFCE"/>
            <w:vAlign w:val="center"/>
          </w:tcPr>
          <w:p w14:paraId="7A538FED" w14:textId="77777777" w:rsidR="008273B8" w:rsidRDefault="00B93063">
            <w:pPr>
              <w:pStyle w:val="P68B1DB1-Normal7"/>
              <w:spacing w:after="0" w:line="240" w:lineRule="auto"/>
              <w:rPr>
                <w:rFonts w:eastAsia="Times New Roman" w:cs="Calibri"/>
                <w:noProof/>
              </w:rPr>
            </w:pPr>
            <w:r>
              <w:rPr>
                <w:noProof/>
              </w:rPr>
              <w:t>Tim se ciljem mjeri poboljšanje prijavljene dobrobiti stranih radnika u usporedbi s polaznom vrijednošću utvrđenom u ključnoj etapi 4.1. koja se mjeri u odnosu na prosječne rezultate MH1 ili MH2 u odgovarajućem odjeljku upitnika SF36.</w:t>
            </w:r>
          </w:p>
        </w:tc>
      </w:tr>
      <w:tr w:rsidR="008273B8" w14:paraId="7A538FFA" w14:textId="77777777">
        <w:trPr>
          <w:cantSplit/>
          <w:jc w:val="center"/>
        </w:trPr>
        <w:tc>
          <w:tcPr>
            <w:tcW w:w="1092" w:type="dxa"/>
            <w:shd w:val="clear" w:color="auto" w:fill="C6EFCE"/>
            <w:vAlign w:val="center"/>
            <w:hideMark/>
          </w:tcPr>
          <w:p w14:paraId="7A538FEF" w14:textId="77777777" w:rsidR="008273B8" w:rsidRDefault="00B93063">
            <w:pPr>
              <w:pStyle w:val="P68B1DB1-Normal7"/>
              <w:spacing w:after="0" w:line="240" w:lineRule="auto"/>
              <w:jc w:val="center"/>
              <w:rPr>
                <w:rFonts w:eastAsia="Times New Roman" w:cs="Calibri"/>
                <w:noProof/>
              </w:rPr>
            </w:pPr>
            <w:r>
              <w:rPr>
                <w:noProof/>
              </w:rPr>
              <w:t>4.5</w:t>
            </w:r>
          </w:p>
        </w:tc>
        <w:tc>
          <w:tcPr>
            <w:tcW w:w="1136" w:type="dxa"/>
            <w:shd w:val="clear" w:color="auto" w:fill="C6EFCE"/>
            <w:vAlign w:val="center"/>
            <w:hideMark/>
          </w:tcPr>
          <w:p w14:paraId="7A538FF0" w14:textId="77777777" w:rsidR="008273B8" w:rsidRDefault="00B93063">
            <w:pPr>
              <w:pStyle w:val="P68B1DB1-Normal7"/>
              <w:spacing w:after="0" w:line="240" w:lineRule="auto"/>
              <w:rPr>
                <w:rFonts w:eastAsia="Times New Roman" w:cs="Calibri"/>
                <w:noProof/>
              </w:rPr>
            </w:pPr>
            <w:r>
              <w:rPr>
                <w:noProof/>
              </w:rPr>
              <w:t xml:space="preserve">C4.R.1 </w:t>
            </w:r>
          </w:p>
        </w:tc>
        <w:tc>
          <w:tcPr>
            <w:tcW w:w="984" w:type="dxa"/>
            <w:shd w:val="clear" w:color="auto" w:fill="C6EFCE"/>
            <w:vAlign w:val="center"/>
            <w:hideMark/>
          </w:tcPr>
          <w:p w14:paraId="7A538FF1" w14:textId="77777777" w:rsidR="008273B8" w:rsidRDefault="00B93063">
            <w:pPr>
              <w:pStyle w:val="P68B1DB1-Normal7"/>
              <w:spacing w:after="0" w:line="240" w:lineRule="auto"/>
              <w:rPr>
                <w:rFonts w:eastAsia="Times New Roman" w:cs="Calibri"/>
                <w:noProof/>
              </w:rPr>
            </w:pPr>
            <w:r>
              <w:rPr>
                <w:noProof/>
              </w:rPr>
              <w:t>Ključna etapa</w:t>
            </w:r>
          </w:p>
        </w:tc>
        <w:tc>
          <w:tcPr>
            <w:tcW w:w="1505" w:type="dxa"/>
            <w:shd w:val="clear" w:color="auto" w:fill="C6EFCE"/>
            <w:vAlign w:val="center"/>
            <w:hideMark/>
          </w:tcPr>
          <w:p w14:paraId="7A538FF2" w14:textId="77777777" w:rsidR="008273B8" w:rsidRDefault="00B93063">
            <w:pPr>
              <w:pStyle w:val="P68B1DB1-Normal7"/>
              <w:spacing w:after="0" w:line="240" w:lineRule="auto"/>
              <w:rPr>
                <w:rFonts w:eastAsia="Times New Roman" w:cs="Calibri"/>
                <w:noProof/>
              </w:rPr>
            </w:pPr>
            <w:r>
              <w:rPr>
                <w:noProof/>
              </w:rPr>
              <w:t>Izvješće o pretilosti među osobama u dobi od 4 do 5 godina u malteškom stanovništvu</w:t>
            </w:r>
          </w:p>
        </w:tc>
        <w:tc>
          <w:tcPr>
            <w:tcW w:w="1788" w:type="dxa"/>
            <w:shd w:val="clear" w:color="auto" w:fill="C6EFCE"/>
            <w:vAlign w:val="center"/>
            <w:hideMark/>
          </w:tcPr>
          <w:p w14:paraId="7A538FF3" w14:textId="77777777" w:rsidR="008273B8" w:rsidRDefault="00B93063">
            <w:pPr>
              <w:pStyle w:val="P68B1DB1-Normal7"/>
              <w:spacing w:after="0" w:line="240" w:lineRule="auto"/>
              <w:rPr>
                <w:rFonts w:eastAsia="Times New Roman" w:cs="Calibri"/>
                <w:noProof/>
              </w:rPr>
            </w:pPr>
            <w:r>
              <w:rPr>
                <w:noProof/>
              </w:rPr>
              <w:t>Internetska objava izvješća o pretilosti među osobama u dobi od 4 do 5 godina u malteškom stanovništvu</w:t>
            </w:r>
          </w:p>
        </w:tc>
        <w:tc>
          <w:tcPr>
            <w:tcW w:w="1154" w:type="dxa"/>
            <w:shd w:val="clear" w:color="auto" w:fill="C6EFCE"/>
            <w:vAlign w:val="center"/>
            <w:hideMark/>
          </w:tcPr>
          <w:p w14:paraId="7A538FF4"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8FF5" w14:textId="77777777" w:rsidR="008273B8" w:rsidRDefault="008273B8">
            <w:pPr>
              <w:spacing w:after="0" w:line="240" w:lineRule="auto"/>
              <w:jc w:val="center"/>
              <w:rPr>
                <w:rFonts w:ascii="Calibri" w:eastAsia="Times New Roman" w:hAnsi="Calibri" w:cs="Calibri"/>
                <w:noProof/>
                <w:sz w:val="18"/>
              </w:rPr>
            </w:pPr>
          </w:p>
        </w:tc>
        <w:tc>
          <w:tcPr>
            <w:tcW w:w="739" w:type="dxa"/>
            <w:shd w:val="clear" w:color="auto" w:fill="C6EFCE"/>
            <w:vAlign w:val="center"/>
            <w:hideMark/>
          </w:tcPr>
          <w:p w14:paraId="7A538FF6" w14:textId="77777777" w:rsidR="008273B8" w:rsidRDefault="008273B8">
            <w:pPr>
              <w:spacing w:after="0" w:line="240" w:lineRule="auto"/>
              <w:jc w:val="center"/>
              <w:rPr>
                <w:rFonts w:ascii="Calibri" w:eastAsia="Times New Roman" w:hAnsi="Calibri" w:cs="Calibri"/>
                <w:noProof/>
                <w:sz w:val="18"/>
              </w:rPr>
            </w:pPr>
          </w:p>
        </w:tc>
        <w:tc>
          <w:tcPr>
            <w:tcW w:w="846" w:type="dxa"/>
            <w:shd w:val="clear" w:color="auto" w:fill="C6EFCE"/>
            <w:vAlign w:val="center"/>
            <w:hideMark/>
          </w:tcPr>
          <w:p w14:paraId="7A538FF7"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74" w:type="dxa"/>
            <w:shd w:val="clear" w:color="auto" w:fill="C6EFCE"/>
            <w:vAlign w:val="center"/>
            <w:hideMark/>
          </w:tcPr>
          <w:p w14:paraId="7A538FF8" w14:textId="77777777" w:rsidR="008273B8" w:rsidRDefault="00B93063">
            <w:pPr>
              <w:pStyle w:val="P68B1DB1-Normal7"/>
              <w:spacing w:after="0" w:line="240" w:lineRule="auto"/>
              <w:jc w:val="center"/>
              <w:rPr>
                <w:rFonts w:eastAsia="Times New Roman" w:cs="Calibri"/>
                <w:noProof/>
              </w:rPr>
            </w:pPr>
            <w:r>
              <w:rPr>
                <w:noProof/>
              </w:rPr>
              <w:t>2022</w:t>
            </w:r>
          </w:p>
        </w:tc>
        <w:tc>
          <w:tcPr>
            <w:tcW w:w="4630" w:type="dxa"/>
            <w:shd w:val="clear" w:color="auto" w:fill="C6EFCE"/>
            <w:vAlign w:val="center"/>
            <w:hideMark/>
          </w:tcPr>
          <w:p w14:paraId="7A538FF9" w14:textId="77777777" w:rsidR="008273B8" w:rsidRDefault="00B93063">
            <w:pPr>
              <w:pStyle w:val="P68B1DB1-Normal7"/>
              <w:spacing w:after="0" w:line="240" w:lineRule="auto"/>
              <w:rPr>
                <w:rFonts w:eastAsia="Times New Roman" w:cs="Calibri"/>
                <w:noProof/>
              </w:rPr>
            </w:pPr>
            <w:r>
              <w:rPr>
                <w:noProof/>
              </w:rPr>
              <w:t>Objava izvješća o pretilosti djece, koje će se uključiti u program nadzora pretilosti među djecom. U studiji se ispituje raširenost pretilosti među osobama u dobi od 4 do 5 godina u malteškom stanovništvu. 10 % djece u školskim godinama 1 – 11 uzorkuje se zajedno sa svom djecom koja pohađaju 50 % centara Kindergarten 2. Tom se procjenom utvrđuje polazna vrijednost samo za tu mladu dobnu skupinu i uspoređuje se sa starijim skupinama. To dovodi do preporuka o politikama, koje mogu uključivati kampanje za podizanje svijesti.</w:t>
            </w:r>
          </w:p>
        </w:tc>
      </w:tr>
      <w:tr w:rsidR="008273B8" w14:paraId="7A539008" w14:textId="77777777">
        <w:trPr>
          <w:cantSplit/>
          <w:jc w:val="center"/>
        </w:trPr>
        <w:tc>
          <w:tcPr>
            <w:tcW w:w="1092" w:type="dxa"/>
            <w:shd w:val="clear" w:color="auto" w:fill="C6EFCE"/>
            <w:vAlign w:val="center"/>
            <w:hideMark/>
          </w:tcPr>
          <w:p w14:paraId="7A538FFB" w14:textId="77777777" w:rsidR="008273B8" w:rsidRDefault="00B93063">
            <w:pPr>
              <w:pStyle w:val="P68B1DB1-Normal7"/>
              <w:spacing w:after="0" w:line="240" w:lineRule="auto"/>
              <w:jc w:val="center"/>
              <w:rPr>
                <w:rFonts w:eastAsia="Times New Roman" w:cs="Calibri"/>
                <w:noProof/>
              </w:rPr>
            </w:pPr>
            <w:r>
              <w:rPr>
                <w:noProof/>
              </w:rPr>
              <w:t>4.6</w:t>
            </w:r>
          </w:p>
        </w:tc>
        <w:tc>
          <w:tcPr>
            <w:tcW w:w="1136" w:type="dxa"/>
            <w:shd w:val="clear" w:color="auto" w:fill="C6EFCE"/>
            <w:vAlign w:val="center"/>
            <w:hideMark/>
          </w:tcPr>
          <w:p w14:paraId="7A538FFC" w14:textId="77777777" w:rsidR="008273B8" w:rsidRDefault="00B93063">
            <w:pPr>
              <w:pStyle w:val="P68B1DB1-Normal7"/>
              <w:spacing w:after="0" w:line="240" w:lineRule="auto"/>
              <w:rPr>
                <w:rFonts w:eastAsia="Times New Roman" w:cs="Calibri"/>
                <w:noProof/>
              </w:rPr>
            </w:pPr>
            <w:r>
              <w:rPr>
                <w:noProof/>
              </w:rPr>
              <w:t xml:space="preserve">C4.R.1 </w:t>
            </w:r>
          </w:p>
        </w:tc>
        <w:tc>
          <w:tcPr>
            <w:tcW w:w="984" w:type="dxa"/>
            <w:shd w:val="clear" w:color="auto" w:fill="C6EFCE"/>
            <w:vAlign w:val="center"/>
            <w:hideMark/>
          </w:tcPr>
          <w:p w14:paraId="7A538FFD" w14:textId="77777777" w:rsidR="008273B8" w:rsidRDefault="00B93063">
            <w:pPr>
              <w:pStyle w:val="P68B1DB1-Normal7"/>
              <w:spacing w:after="0" w:line="240" w:lineRule="auto"/>
              <w:rPr>
                <w:rFonts w:eastAsia="Times New Roman" w:cs="Calibri"/>
                <w:noProof/>
              </w:rPr>
            </w:pPr>
            <w:r>
              <w:rPr>
                <w:noProof/>
              </w:rPr>
              <w:t>Ciljna vrijednost</w:t>
            </w:r>
          </w:p>
        </w:tc>
        <w:tc>
          <w:tcPr>
            <w:tcW w:w="1505" w:type="dxa"/>
            <w:shd w:val="clear" w:color="auto" w:fill="C6EFCE"/>
            <w:vAlign w:val="center"/>
            <w:hideMark/>
          </w:tcPr>
          <w:p w14:paraId="7A538FFE" w14:textId="77777777" w:rsidR="008273B8" w:rsidRDefault="00B93063">
            <w:pPr>
              <w:pStyle w:val="P68B1DB1-Normal7"/>
              <w:spacing w:after="0" w:line="240" w:lineRule="auto"/>
              <w:rPr>
                <w:rFonts w:eastAsia="Times New Roman" w:cs="Calibri"/>
                <w:noProof/>
              </w:rPr>
            </w:pPr>
            <w:r>
              <w:rPr>
                <w:noProof/>
              </w:rPr>
              <w:t>Provedba programa probira neonatalnih saslušanja</w:t>
            </w:r>
          </w:p>
        </w:tc>
        <w:tc>
          <w:tcPr>
            <w:tcW w:w="1788" w:type="dxa"/>
            <w:shd w:val="clear" w:color="auto" w:fill="C6EFCE"/>
            <w:vAlign w:val="center"/>
            <w:hideMark/>
          </w:tcPr>
          <w:p w14:paraId="7A538FFF" w14:textId="77777777" w:rsidR="008273B8" w:rsidRDefault="008273B8">
            <w:pPr>
              <w:spacing w:after="0" w:line="240" w:lineRule="auto"/>
              <w:rPr>
                <w:rFonts w:ascii="Calibri" w:eastAsia="Times New Roman" w:hAnsi="Calibri" w:cs="Calibri"/>
                <w:noProof/>
                <w:sz w:val="18"/>
              </w:rPr>
            </w:pPr>
          </w:p>
        </w:tc>
        <w:tc>
          <w:tcPr>
            <w:tcW w:w="1154" w:type="dxa"/>
            <w:shd w:val="clear" w:color="auto" w:fill="C6EFCE"/>
            <w:vAlign w:val="center"/>
            <w:hideMark/>
          </w:tcPr>
          <w:p w14:paraId="7A539000" w14:textId="77777777" w:rsidR="008273B8" w:rsidRDefault="00B93063">
            <w:pPr>
              <w:pStyle w:val="P68B1DB1-Normal7"/>
              <w:spacing w:after="0" w:line="240" w:lineRule="auto"/>
              <w:jc w:val="center"/>
              <w:rPr>
                <w:rFonts w:eastAsia="Times New Roman" w:cs="Calibri"/>
                <w:noProof/>
              </w:rPr>
            </w:pPr>
            <w:r>
              <w:rPr>
                <w:noProof/>
              </w:rPr>
              <w:t>%</w:t>
            </w:r>
          </w:p>
          <w:p w14:paraId="7A539001" w14:textId="77777777" w:rsidR="008273B8" w:rsidRDefault="00B93063">
            <w:pPr>
              <w:pStyle w:val="P68B1DB1-Normal7"/>
              <w:spacing w:after="0" w:line="240" w:lineRule="auto"/>
              <w:jc w:val="center"/>
              <w:rPr>
                <w:rFonts w:eastAsia="Times New Roman" w:cs="Calibri"/>
                <w:noProof/>
              </w:rPr>
            </w:pPr>
            <w:r>
              <w:rPr>
                <w:noProof/>
              </w:rPr>
              <w:t>(postotak)</w:t>
            </w:r>
          </w:p>
        </w:tc>
        <w:tc>
          <w:tcPr>
            <w:tcW w:w="857" w:type="dxa"/>
            <w:shd w:val="clear" w:color="auto" w:fill="C6EFCE"/>
            <w:vAlign w:val="center"/>
            <w:hideMark/>
          </w:tcPr>
          <w:p w14:paraId="7A539002" w14:textId="77777777" w:rsidR="008273B8" w:rsidRDefault="00B93063">
            <w:pPr>
              <w:pStyle w:val="P68B1DB1-Normal7"/>
              <w:spacing w:after="0" w:line="240" w:lineRule="auto"/>
              <w:jc w:val="center"/>
              <w:rPr>
                <w:rFonts w:eastAsia="Times New Roman" w:cs="Calibri"/>
                <w:noProof/>
              </w:rPr>
            </w:pPr>
            <w:r>
              <w:rPr>
                <w:noProof/>
              </w:rPr>
              <w:t>40</w:t>
            </w:r>
          </w:p>
        </w:tc>
        <w:tc>
          <w:tcPr>
            <w:tcW w:w="739" w:type="dxa"/>
            <w:shd w:val="clear" w:color="auto" w:fill="C6EFCE"/>
            <w:vAlign w:val="center"/>
            <w:hideMark/>
          </w:tcPr>
          <w:p w14:paraId="7A539003" w14:textId="77777777" w:rsidR="008273B8" w:rsidRDefault="00B93063">
            <w:pPr>
              <w:pStyle w:val="P68B1DB1-Normal7"/>
              <w:spacing w:after="0" w:line="240" w:lineRule="auto"/>
              <w:jc w:val="center"/>
              <w:rPr>
                <w:rFonts w:eastAsia="Times New Roman" w:cs="Calibri"/>
                <w:noProof/>
              </w:rPr>
            </w:pPr>
            <w:r>
              <w:rPr>
                <w:noProof/>
              </w:rPr>
              <w:t>95</w:t>
            </w:r>
          </w:p>
        </w:tc>
        <w:tc>
          <w:tcPr>
            <w:tcW w:w="846" w:type="dxa"/>
            <w:shd w:val="clear" w:color="auto" w:fill="C6EFCE"/>
            <w:vAlign w:val="center"/>
            <w:hideMark/>
          </w:tcPr>
          <w:p w14:paraId="7A539004" w14:textId="77777777" w:rsidR="008273B8" w:rsidRDefault="00B93063">
            <w:pPr>
              <w:pStyle w:val="P68B1DB1-Normal7"/>
              <w:spacing w:after="0" w:line="240" w:lineRule="auto"/>
              <w:jc w:val="center"/>
              <w:rPr>
                <w:rFonts w:eastAsia="Times New Roman" w:cs="Calibri"/>
                <w:noProof/>
              </w:rPr>
            </w:pPr>
            <w:r>
              <w:rPr>
                <w:noProof/>
              </w:rPr>
              <w:t>PRVO TROMJESEČJE</w:t>
            </w:r>
          </w:p>
        </w:tc>
        <w:tc>
          <w:tcPr>
            <w:tcW w:w="674" w:type="dxa"/>
            <w:shd w:val="clear" w:color="auto" w:fill="C6EFCE"/>
            <w:vAlign w:val="center"/>
            <w:hideMark/>
          </w:tcPr>
          <w:p w14:paraId="7A539005" w14:textId="77777777" w:rsidR="008273B8" w:rsidRDefault="00B93063">
            <w:pPr>
              <w:pStyle w:val="P68B1DB1-Normal7"/>
              <w:spacing w:after="0" w:line="240" w:lineRule="auto"/>
              <w:jc w:val="center"/>
              <w:rPr>
                <w:rFonts w:eastAsia="Times New Roman" w:cs="Calibri"/>
                <w:noProof/>
              </w:rPr>
            </w:pPr>
            <w:r>
              <w:rPr>
                <w:noProof/>
              </w:rPr>
              <w:t>2023</w:t>
            </w:r>
          </w:p>
        </w:tc>
        <w:tc>
          <w:tcPr>
            <w:tcW w:w="4630" w:type="dxa"/>
            <w:shd w:val="clear" w:color="auto" w:fill="C6EFCE"/>
            <w:vAlign w:val="center"/>
            <w:hideMark/>
          </w:tcPr>
          <w:p w14:paraId="7A539006" w14:textId="77777777" w:rsidR="008273B8" w:rsidRDefault="00B93063">
            <w:pPr>
              <w:pStyle w:val="P68B1DB1-Normal7"/>
              <w:spacing w:after="0" w:line="240" w:lineRule="auto"/>
              <w:rPr>
                <w:rFonts w:eastAsia="Times New Roman" w:cs="Calibri"/>
                <w:noProof/>
              </w:rPr>
            </w:pPr>
            <w:r>
              <w:rPr>
                <w:noProof/>
              </w:rPr>
              <w:t>U programu se utvrđuju problemi sa saslušanjem u ranim godinama (program provjere saslušanja novorođenčadi). Program se sastoji od identifikacije onih dojenčadi kojima prijeti oštećenje sluha kako bi se postigla rana identifikacija i rehabilitacija. Kako bi se postigao cilj, pregledava se najmanje 95 % dojenčadi rođenih u prethodnoj godini.</w:t>
            </w:r>
          </w:p>
          <w:p w14:paraId="7A539007" w14:textId="77777777" w:rsidR="008273B8" w:rsidRDefault="008273B8">
            <w:pPr>
              <w:spacing w:after="0" w:line="240" w:lineRule="auto"/>
              <w:rPr>
                <w:rFonts w:ascii="Calibri" w:eastAsia="Times New Roman" w:hAnsi="Calibri" w:cs="Calibri"/>
                <w:noProof/>
                <w:sz w:val="18"/>
              </w:rPr>
            </w:pPr>
          </w:p>
        </w:tc>
      </w:tr>
      <w:tr w:rsidR="008273B8" w14:paraId="7A539014" w14:textId="77777777">
        <w:trPr>
          <w:cantSplit/>
          <w:jc w:val="center"/>
        </w:trPr>
        <w:tc>
          <w:tcPr>
            <w:tcW w:w="1092" w:type="dxa"/>
            <w:shd w:val="clear" w:color="auto" w:fill="C6EFCE"/>
            <w:vAlign w:val="center"/>
            <w:hideMark/>
          </w:tcPr>
          <w:p w14:paraId="7A539009" w14:textId="77777777" w:rsidR="008273B8" w:rsidRDefault="00B93063">
            <w:pPr>
              <w:pStyle w:val="P68B1DB1-Normal7"/>
              <w:spacing w:after="0" w:line="240" w:lineRule="auto"/>
              <w:jc w:val="center"/>
              <w:rPr>
                <w:rFonts w:eastAsia="Times New Roman" w:cs="Calibri"/>
                <w:noProof/>
              </w:rPr>
            </w:pPr>
            <w:r>
              <w:rPr>
                <w:noProof/>
              </w:rPr>
              <w:t>4.7</w:t>
            </w:r>
          </w:p>
        </w:tc>
        <w:tc>
          <w:tcPr>
            <w:tcW w:w="1136" w:type="dxa"/>
            <w:shd w:val="clear" w:color="auto" w:fill="C6EFCE"/>
            <w:vAlign w:val="center"/>
            <w:hideMark/>
          </w:tcPr>
          <w:p w14:paraId="7A53900A" w14:textId="77777777" w:rsidR="008273B8" w:rsidRDefault="00B93063">
            <w:pPr>
              <w:pStyle w:val="P68B1DB1-Normal7"/>
              <w:spacing w:after="0" w:line="240" w:lineRule="auto"/>
              <w:rPr>
                <w:rFonts w:eastAsia="Times New Roman" w:cs="Calibri"/>
                <w:noProof/>
              </w:rPr>
            </w:pPr>
            <w:r>
              <w:rPr>
                <w:noProof/>
              </w:rPr>
              <w:t xml:space="preserve">C4.R.2 </w:t>
            </w:r>
          </w:p>
        </w:tc>
        <w:tc>
          <w:tcPr>
            <w:tcW w:w="984" w:type="dxa"/>
            <w:shd w:val="clear" w:color="auto" w:fill="C6EFCE"/>
            <w:vAlign w:val="center"/>
            <w:hideMark/>
          </w:tcPr>
          <w:p w14:paraId="7A53900B" w14:textId="77777777" w:rsidR="008273B8" w:rsidRDefault="00B93063">
            <w:pPr>
              <w:pStyle w:val="P68B1DB1-Normal7"/>
              <w:spacing w:after="0" w:line="240" w:lineRule="auto"/>
              <w:rPr>
                <w:rFonts w:eastAsia="Times New Roman" w:cs="Calibri"/>
                <w:noProof/>
              </w:rPr>
            </w:pPr>
            <w:r>
              <w:rPr>
                <w:noProof/>
              </w:rPr>
              <w:t>Ključna etapa</w:t>
            </w:r>
          </w:p>
        </w:tc>
        <w:tc>
          <w:tcPr>
            <w:tcW w:w="1505" w:type="dxa"/>
            <w:shd w:val="clear" w:color="auto" w:fill="C6EFCE"/>
            <w:vAlign w:val="center"/>
            <w:hideMark/>
          </w:tcPr>
          <w:p w14:paraId="7A53900C" w14:textId="77777777" w:rsidR="008273B8" w:rsidRDefault="00B93063">
            <w:pPr>
              <w:pStyle w:val="P68B1DB1-Normal7"/>
              <w:spacing w:after="0" w:line="240" w:lineRule="auto"/>
              <w:rPr>
                <w:rFonts w:eastAsia="Times New Roman" w:cs="Calibri"/>
                <w:noProof/>
              </w:rPr>
            </w:pPr>
            <w:r>
              <w:rPr>
                <w:noProof/>
              </w:rPr>
              <w:t xml:space="preserve">Revizija regulatornog okvira koji se odnosi na Banku za krv, tkivo i stanice </w:t>
            </w:r>
          </w:p>
        </w:tc>
        <w:tc>
          <w:tcPr>
            <w:tcW w:w="1788" w:type="dxa"/>
            <w:shd w:val="clear" w:color="auto" w:fill="C6EFCE"/>
            <w:vAlign w:val="center"/>
            <w:hideMark/>
          </w:tcPr>
          <w:p w14:paraId="7A53900D" w14:textId="77777777" w:rsidR="008273B8" w:rsidRDefault="00B93063">
            <w:pPr>
              <w:pStyle w:val="P68B1DB1-Normal7"/>
              <w:spacing w:after="0" w:line="240" w:lineRule="auto"/>
              <w:rPr>
                <w:rFonts w:eastAsia="Times New Roman" w:cs="Calibri"/>
                <w:noProof/>
              </w:rPr>
            </w:pPr>
            <w:r>
              <w:rPr>
                <w:noProof/>
              </w:rPr>
              <w:t xml:space="preserve">Internetska objava revizije regulatornog okvira koji se odnosi na Banku za krv, tkivo i stanice </w:t>
            </w:r>
          </w:p>
        </w:tc>
        <w:tc>
          <w:tcPr>
            <w:tcW w:w="1154" w:type="dxa"/>
            <w:shd w:val="clear" w:color="auto" w:fill="C6EFCE"/>
            <w:vAlign w:val="center"/>
            <w:hideMark/>
          </w:tcPr>
          <w:p w14:paraId="7A53900E"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900F" w14:textId="77777777" w:rsidR="008273B8" w:rsidRDefault="008273B8">
            <w:pPr>
              <w:spacing w:after="0" w:line="240" w:lineRule="auto"/>
              <w:jc w:val="center"/>
              <w:rPr>
                <w:rFonts w:ascii="Calibri" w:eastAsia="Times New Roman" w:hAnsi="Calibri" w:cs="Calibri"/>
                <w:noProof/>
                <w:sz w:val="18"/>
              </w:rPr>
            </w:pPr>
          </w:p>
        </w:tc>
        <w:tc>
          <w:tcPr>
            <w:tcW w:w="739" w:type="dxa"/>
            <w:shd w:val="clear" w:color="auto" w:fill="C6EFCE"/>
            <w:vAlign w:val="center"/>
            <w:hideMark/>
          </w:tcPr>
          <w:p w14:paraId="7A539010" w14:textId="77777777" w:rsidR="008273B8" w:rsidRDefault="008273B8">
            <w:pPr>
              <w:spacing w:after="0" w:line="240" w:lineRule="auto"/>
              <w:jc w:val="center"/>
              <w:rPr>
                <w:rFonts w:ascii="Calibri" w:eastAsia="Times New Roman" w:hAnsi="Calibri" w:cs="Calibri"/>
                <w:noProof/>
                <w:sz w:val="18"/>
              </w:rPr>
            </w:pPr>
          </w:p>
        </w:tc>
        <w:tc>
          <w:tcPr>
            <w:tcW w:w="846" w:type="dxa"/>
            <w:shd w:val="clear" w:color="auto" w:fill="C6EFCE"/>
            <w:vAlign w:val="center"/>
            <w:hideMark/>
          </w:tcPr>
          <w:p w14:paraId="7A539011" w14:textId="77777777" w:rsidR="008273B8" w:rsidRDefault="00B93063">
            <w:pPr>
              <w:pStyle w:val="P68B1DB1-Normal7"/>
              <w:spacing w:after="0" w:line="240" w:lineRule="auto"/>
              <w:jc w:val="center"/>
              <w:rPr>
                <w:rFonts w:eastAsia="Times New Roman" w:cs="Calibri"/>
                <w:noProof/>
              </w:rPr>
            </w:pPr>
            <w:r>
              <w:rPr>
                <w:noProof/>
              </w:rPr>
              <w:t>PRVO TROMJESEČJE</w:t>
            </w:r>
          </w:p>
        </w:tc>
        <w:tc>
          <w:tcPr>
            <w:tcW w:w="674" w:type="dxa"/>
            <w:shd w:val="clear" w:color="auto" w:fill="C6EFCE"/>
            <w:vAlign w:val="center"/>
            <w:hideMark/>
          </w:tcPr>
          <w:p w14:paraId="7A539012" w14:textId="77777777" w:rsidR="008273B8" w:rsidRDefault="00B93063">
            <w:pPr>
              <w:pStyle w:val="P68B1DB1-Normal7"/>
              <w:spacing w:after="0" w:line="240" w:lineRule="auto"/>
              <w:jc w:val="center"/>
              <w:rPr>
                <w:rFonts w:eastAsia="Times New Roman" w:cs="Calibri"/>
                <w:noProof/>
              </w:rPr>
            </w:pPr>
            <w:r>
              <w:rPr>
                <w:noProof/>
              </w:rPr>
              <w:t>2022</w:t>
            </w:r>
          </w:p>
        </w:tc>
        <w:tc>
          <w:tcPr>
            <w:tcW w:w="4630" w:type="dxa"/>
            <w:shd w:val="clear" w:color="auto" w:fill="C6EFCE"/>
            <w:vAlign w:val="center"/>
            <w:hideMark/>
          </w:tcPr>
          <w:p w14:paraId="7A539013" w14:textId="77777777" w:rsidR="008273B8" w:rsidRDefault="00B93063">
            <w:pPr>
              <w:spacing w:after="0" w:line="240" w:lineRule="auto"/>
              <w:rPr>
                <w:rFonts w:ascii="Calibri" w:eastAsia="Times New Roman" w:hAnsi="Calibri" w:cs="Calibri"/>
                <w:noProof/>
                <w:sz w:val="18"/>
              </w:rPr>
            </w:pPr>
            <w:r>
              <w:rPr>
                <w:rFonts w:ascii="Calibri" w:hAnsi="Calibri"/>
                <w:noProof/>
                <w:sz w:val="18"/>
              </w:rPr>
              <w:t xml:space="preserve">Preispitivanjem se: i. nadzire regulatorni okvir povezan s krvlju, tkivima i stanicama; i ii. utvrditi pravne promjene potrebne za uklanjanje svih regulatornih prepreka i uskih grla koji mogu utjecati na funkcioniranje Centra. Studija uključuje preispitivanje sljedećih regulatornih područja: 1. Zakonodavstvo o krvi, tkivu i stanicama; 2.relevantno zakonodavstvo u području okoliša; 3 Relevantno organizacijsko zakonodavstvo (jednake mogućnosti, zaštita podataka, etika i prava pacijenata, pristupačnost); i 4. Zakonodavstvo o državnim potporama. </w:t>
            </w:r>
            <w:r>
              <w:rPr>
                <w:rFonts w:ascii="Times New Roman" w:hAnsi="Times New Roman"/>
                <w:noProof/>
                <w:sz w:val="24"/>
              </w:rPr>
              <w:br/>
            </w:r>
            <w:r>
              <w:rPr>
                <w:rFonts w:ascii="Calibri" w:hAnsi="Calibri"/>
                <w:noProof/>
                <w:sz w:val="18"/>
              </w:rPr>
              <w:t xml:space="preserve">Preispitivanjem se uzima u obzir inicijativa EU-a o reviziji zakonodavstva Unije o krvi, tkivima i stanicama. </w:t>
            </w:r>
            <w:r>
              <w:rPr>
                <w:rFonts w:ascii="Times New Roman" w:hAnsi="Times New Roman"/>
                <w:noProof/>
                <w:sz w:val="24"/>
              </w:rPr>
              <w:br/>
              <w:t xml:space="preserve"> </w:t>
            </w:r>
            <w:r>
              <w:rPr>
                <w:rFonts w:ascii="Calibri" w:hAnsi="Calibri"/>
                <w:noProof/>
                <w:sz w:val="18"/>
              </w:rPr>
              <w:t>(https://ec.europa.eu/info/law/better-regulation/have-your-say/initiatives/12734-Blood-tissues-and-cells-for-medical-treatments-&amp;-therapies-revised-EU-rules_en).</w:t>
            </w:r>
            <w:r>
              <w:rPr>
                <w:rFonts w:ascii="Times New Roman" w:hAnsi="Times New Roman"/>
                <w:noProof/>
                <w:sz w:val="24"/>
              </w:rPr>
              <w:br/>
            </w:r>
            <w:r>
              <w:rPr>
                <w:rFonts w:ascii="Calibri" w:hAnsi="Calibri"/>
                <w:noProof/>
                <w:sz w:val="18"/>
              </w:rPr>
              <w:t>Preispitivanje provodi neovisni izvođač odabran u postupcima javne nabave.</w:t>
            </w:r>
          </w:p>
        </w:tc>
      </w:tr>
      <w:tr w:rsidR="008273B8" w14:paraId="7A539020" w14:textId="77777777">
        <w:trPr>
          <w:cantSplit/>
          <w:jc w:val="center"/>
        </w:trPr>
        <w:tc>
          <w:tcPr>
            <w:tcW w:w="1092" w:type="dxa"/>
            <w:shd w:val="clear" w:color="auto" w:fill="C6EFCE"/>
            <w:vAlign w:val="center"/>
            <w:hideMark/>
          </w:tcPr>
          <w:p w14:paraId="7A539015" w14:textId="77777777" w:rsidR="008273B8" w:rsidRDefault="00B93063">
            <w:pPr>
              <w:pStyle w:val="P68B1DB1-Normal7"/>
              <w:spacing w:after="0" w:line="240" w:lineRule="auto"/>
              <w:jc w:val="center"/>
              <w:rPr>
                <w:rFonts w:eastAsia="Times New Roman" w:cs="Calibri"/>
                <w:noProof/>
              </w:rPr>
            </w:pPr>
            <w:r>
              <w:rPr>
                <w:noProof/>
              </w:rPr>
              <w:t>4.8</w:t>
            </w:r>
          </w:p>
        </w:tc>
        <w:tc>
          <w:tcPr>
            <w:tcW w:w="1136" w:type="dxa"/>
            <w:shd w:val="clear" w:color="auto" w:fill="C6EFCE"/>
            <w:vAlign w:val="center"/>
            <w:hideMark/>
          </w:tcPr>
          <w:p w14:paraId="7A539016" w14:textId="77777777" w:rsidR="008273B8" w:rsidRDefault="00B93063">
            <w:pPr>
              <w:pStyle w:val="P68B1DB1-Normal7"/>
              <w:spacing w:after="0" w:line="240" w:lineRule="auto"/>
              <w:rPr>
                <w:rFonts w:eastAsia="Times New Roman" w:cs="Calibri"/>
                <w:noProof/>
              </w:rPr>
            </w:pPr>
            <w:r>
              <w:rPr>
                <w:noProof/>
              </w:rPr>
              <w:t xml:space="preserve">C4.R.2 </w:t>
            </w:r>
          </w:p>
        </w:tc>
        <w:tc>
          <w:tcPr>
            <w:tcW w:w="984" w:type="dxa"/>
            <w:shd w:val="clear" w:color="auto" w:fill="C6EFCE"/>
            <w:vAlign w:val="center"/>
            <w:hideMark/>
          </w:tcPr>
          <w:p w14:paraId="7A539017" w14:textId="77777777" w:rsidR="008273B8" w:rsidRDefault="00B93063">
            <w:pPr>
              <w:pStyle w:val="P68B1DB1-Normal7"/>
              <w:spacing w:after="0" w:line="240" w:lineRule="auto"/>
              <w:rPr>
                <w:rFonts w:eastAsia="Times New Roman" w:cs="Calibri"/>
                <w:noProof/>
              </w:rPr>
            </w:pPr>
            <w:r>
              <w:rPr>
                <w:noProof/>
              </w:rPr>
              <w:t>Ključna etapa</w:t>
            </w:r>
          </w:p>
        </w:tc>
        <w:tc>
          <w:tcPr>
            <w:tcW w:w="1505" w:type="dxa"/>
            <w:shd w:val="clear" w:color="auto" w:fill="C6EFCE"/>
            <w:vAlign w:val="center"/>
            <w:hideMark/>
          </w:tcPr>
          <w:p w14:paraId="7A539018" w14:textId="77777777" w:rsidR="008273B8" w:rsidRDefault="00B93063">
            <w:pPr>
              <w:pStyle w:val="P68B1DB1-Normal7"/>
              <w:spacing w:after="0" w:line="240" w:lineRule="auto"/>
              <w:rPr>
                <w:rFonts w:eastAsia="Times New Roman" w:cs="Calibri"/>
                <w:noProof/>
              </w:rPr>
            </w:pPr>
            <w:r>
              <w:rPr>
                <w:noProof/>
              </w:rPr>
              <w:t>Stupanje na snagu revidiranog regulatornog okvira koji se odnosi na Banku za krv, tkivo i stanice</w:t>
            </w:r>
          </w:p>
        </w:tc>
        <w:tc>
          <w:tcPr>
            <w:tcW w:w="1788" w:type="dxa"/>
            <w:shd w:val="clear" w:color="auto" w:fill="C6EFCE"/>
            <w:vAlign w:val="center"/>
            <w:hideMark/>
          </w:tcPr>
          <w:p w14:paraId="7A539019" w14:textId="77777777" w:rsidR="008273B8" w:rsidRDefault="00B93063">
            <w:pPr>
              <w:pStyle w:val="P68B1DB1-Normal7"/>
              <w:spacing w:after="0" w:line="240" w:lineRule="auto"/>
              <w:rPr>
                <w:rFonts w:eastAsia="Times New Roman" w:cs="Calibri"/>
                <w:noProof/>
              </w:rPr>
            </w:pPr>
            <w:r>
              <w:rPr>
                <w:noProof/>
              </w:rPr>
              <w:t>Odredba zakona o stupanju na snagu revidiranog regulatornog okvira povezanog s Blood Bankom, Tkivom i Cellom</w:t>
            </w:r>
          </w:p>
        </w:tc>
        <w:tc>
          <w:tcPr>
            <w:tcW w:w="1154" w:type="dxa"/>
            <w:shd w:val="clear" w:color="auto" w:fill="C6EFCE"/>
            <w:vAlign w:val="center"/>
            <w:hideMark/>
          </w:tcPr>
          <w:p w14:paraId="7A53901A"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901B" w14:textId="77777777" w:rsidR="008273B8" w:rsidRDefault="008273B8">
            <w:pPr>
              <w:spacing w:after="0" w:line="240" w:lineRule="auto"/>
              <w:jc w:val="center"/>
              <w:rPr>
                <w:rFonts w:ascii="Calibri" w:eastAsia="Times New Roman" w:hAnsi="Calibri" w:cs="Calibri"/>
                <w:noProof/>
                <w:sz w:val="18"/>
              </w:rPr>
            </w:pPr>
          </w:p>
        </w:tc>
        <w:tc>
          <w:tcPr>
            <w:tcW w:w="739" w:type="dxa"/>
            <w:shd w:val="clear" w:color="auto" w:fill="C6EFCE"/>
            <w:vAlign w:val="center"/>
            <w:hideMark/>
          </w:tcPr>
          <w:p w14:paraId="7A53901C" w14:textId="77777777" w:rsidR="008273B8" w:rsidRDefault="008273B8">
            <w:pPr>
              <w:spacing w:after="0" w:line="240" w:lineRule="auto"/>
              <w:jc w:val="center"/>
              <w:rPr>
                <w:rFonts w:ascii="Calibri" w:eastAsia="Times New Roman" w:hAnsi="Calibri" w:cs="Calibri"/>
                <w:noProof/>
                <w:sz w:val="18"/>
              </w:rPr>
            </w:pPr>
          </w:p>
        </w:tc>
        <w:tc>
          <w:tcPr>
            <w:tcW w:w="846" w:type="dxa"/>
            <w:shd w:val="clear" w:color="auto" w:fill="C6EFCE"/>
            <w:vAlign w:val="center"/>
            <w:hideMark/>
          </w:tcPr>
          <w:p w14:paraId="7A53901D" w14:textId="77777777" w:rsidR="008273B8" w:rsidRDefault="00B93063">
            <w:pPr>
              <w:pStyle w:val="P68B1DB1-Normal7"/>
              <w:spacing w:after="0" w:line="240" w:lineRule="auto"/>
              <w:jc w:val="center"/>
              <w:rPr>
                <w:rFonts w:eastAsia="Times New Roman" w:cs="Calibri"/>
                <w:noProof/>
              </w:rPr>
            </w:pPr>
            <w:r>
              <w:rPr>
                <w:noProof/>
              </w:rPr>
              <w:t>Q2</w:t>
            </w:r>
          </w:p>
        </w:tc>
        <w:tc>
          <w:tcPr>
            <w:tcW w:w="674" w:type="dxa"/>
            <w:shd w:val="clear" w:color="auto" w:fill="C6EFCE"/>
            <w:vAlign w:val="center"/>
            <w:hideMark/>
          </w:tcPr>
          <w:p w14:paraId="7A53901E" w14:textId="77777777" w:rsidR="008273B8" w:rsidRDefault="00B93063">
            <w:pPr>
              <w:pStyle w:val="P68B1DB1-Normal7"/>
              <w:spacing w:after="0" w:line="240" w:lineRule="auto"/>
              <w:jc w:val="center"/>
              <w:rPr>
                <w:rFonts w:eastAsia="Times New Roman" w:cs="Calibri"/>
                <w:noProof/>
              </w:rPr>
            </w:pPr>
            <w:r>
              <w:rPr>
                <w:noProof/>
              </w:rPr>
              <w:t>2024</w:t>
            </w:r>
          </w:p>
        </w:tc>
        <w:tc>
          <w:tcPr>
            <w:tcW w:w="4630" w:type="dxa"/>
            <w:shd w:val="clear" w:color="auto" w:fill="C6EFCE"/>
            <w:vAlign w:val="center"/>
            <w:hideMark/>
          </w:tcPr>
          <w:p w14:paraId="7A53901F" w14:textId="77777777" w:rsidR="008273B8" w:rsidRDefault="00B93063">
            <w:pPr>
              <w:pStyle w:val="P68B1DB1-Normal7"/>
              <w:spacing w:after="0" w:line="240" w:lineRule="auto"/>
              <w:rPr>
                <w:rFonts w:eastAsia="Times New Roman" w:cs="Calibri"/>
                <w:noProof/>
              </w:rPr>
            </w:pPr>
            <w:r>
              <w:rPr>
                <w:noProof/>
              </w:rPr>
              <w:t>Stupanje na snagu revidiranog regulatornog okvira koji se odnosi na Banku za krv, tkivo i stanice. Revidiranim okvirom uklanjaju se sve regulatorne prepreke i uska grla koja mogu utjecati na funkcioniranje Centra.</w:t>
            </w:r>
          </w:p>
        </w:tc>
      </w:tr>
      <w:tr w:rsidR="008273B8" w14:paraId="7A53902C" w14:textId="77777777">
        <w:trPr>
          <w:cantSplit/>
          <w:jc w:val="center"/>
        </w:trPr>
        <w:tc>
          <w:tcPr>
            <w:tcW w:w="1092" w:type="dxa"/>
            <w:shd w:val="clear" w:color="auto" w:fill="C6EFCE"/>
            <w:vAlign w:val="center"/>
            <w:hideMark/>
          </w:tcPr>
          <w:p w14:paraId="7A539021" w14:textId="77777777" w:rsidR="008273B8" w:rsidRDefault="00B93063">
            <w:pPr>
              <w:pStyle w:val="P68B1DB1-Normal7"/>
              <w:spacing w:after="0" w:line="240" w:lineRule="auto"/>
              <w:jc w:val="center"/>
              <w:rPr>
                <w:rFonts w:eastAsia="Times New Roman" w:cs="Calibri"/>
                <w:noProof/>
              </w:rPr>
            </w:pPr>
            <w:r>
              <w:rPr>
                <w:noProof/>
              </w:rPr>
              <w:t>4.9</w:t>
            </w:r>
          </w:p>
        </w:tc>
        <w:tc>
          <w:tcPr>
            <w:tcW w:w="1136" w:type="dxa"/>
            <w:shd w:val="clear" w:color="auto" w:fill="C6EFCE"/>
            <w:vAlign w:val="center"/>
            <w:hideMark/>
          </w:tcPr>
          <w:p w14:paraId="7A539022" w14:textId="77777777" w:rsidR="008273B8" w:rsidRDefault="00B93063">
            <w:pPr>
              <w:pStyle w:val="P68B1DB1-Normal7"/>
              <w:spacing w:after="0" w:line="240" w:lineRule="auto"/>
              <w:rPr>
                <w:rFonts w:eastAsia="Times New Roman" w:cs="Calibri"/>
                <w:noProof/>
              </w:rPr>
            </w:pPr>
            <w:r>
              <w:rPr>
                <w:noProof/>
              </w:rPr>
              <w:t xml:space="preserve">C4.I.1 </w:t>
            </w:r>
          </w:p>
        </w:tc>
        <w:tc>
          <w:tcPr>
            <w:tcW w:w="984" w:type="dxa"/>
            <w:shd w:val="clear" w:color="auto" w:fill="C6EFCE"/>
            <w:vAlign w:val="center"/>
            <w:hideMark/>
          </w:tcPr>
          <w:p w14:paraId="7A539023" w14:textId="77777777" w:rsidR="008273B8" w:rsidRDefault="00B93063">
            <w:pPr>
              <w:pStyle w:val="P68B1DB1-Normal7"/>
              <w:spacing w:after="0" w:line="240" w:lineRule="auto"/>
              <w:rPr>
                <w:rFonts w:eastAsia="Times New Roman" w:cs="Calibri"/>
                <w:noProof/>
              </w:rPr>
            </w:pPr>
            <w:r>
              <w:rPr>
                <w:noProof/>
              </w:rPr>
              <w:t>Ključna etapa</w:t>
            </w:r>
          </w:p>
        </w:tc>
        <w:tc>
          <w:tcPr>
            <w:tcW w:w="1505" w:type="dxa"/>
            <w:shd w:val="clear" w:color="auto" w:fill="C6EFCE"/>
            <w:vAlign w:val="center"/>
            <w:hideMark/>
          </w:tcPr>
          <w:p w14:paraId="7A539024" w14:textId="77777777" w:rsidR="008273B8" w:rsidRDefault="00B93063">
            <w:pPr>
              <w:pStyle w:val="P68B1DB1-Normal7"/>
              <w:spacing w:after="0" w:line="240" w:lineRule="auto"/>
              <w:rPr>
                <w:rFonts w:eastAsia="Times New Roman" w:cs="Calibri"/>
                <w:noProof/>
              </w:rPr>
            </w:pPr>
            <w:r>
              <w:rPr>
                <w:noProof/>
              </w:rPr>
              <w:t>Ugovorene usluge za izgradnju centra za krv, tkivo i stanice</w:t>
            </w:r>
          </w:p>
        </w:tc>
        <w:tc>
          <w:tcPr>
            <w:tcW w:w="1788" w:type="dxa"/>
            <w:shd w:val="clear" w:color="auto" w:fill="C6EFCE"/>
            <w:vAlign w:val="center"/>
            <w:hideMark/>
          </w:tcPr>
          <w:p w14:paraId="7A539025" w14:textId="77777777" w:rsidR="008273B8" w:rsidRDefault="00B93063">
            <w:pPr>
              <w:pStyle w:val="P68B1DB1-Normal7"/>
              <w:spacing w:after="0" w:line="240" w:lineRule="auto"/>
              <w:rPr>
                <w:rFonts w:eastAsia="Times New Roman" w:cs="Calibri"/>
                <w:noProof/>
              </w:rPr>
            </w:pPr>
            <w:r>
              <w:rPr>
                <w:noProof/>
              </w:rPr>
              <w:t xml:space="preserve">Potpisan ugovor za izgradnju centra za krv, tkivo i stanice </w:t>
            </w:r>
          </w:p>
        </w:tc>
        <w:tc>
          <w:tcPr>
            <w:tcW w:w="1154" w:type="dxa"/>
            <w:shd w:val="clear" w:color="auto" w:fill="C6EFCE"/>
            <w:vAlign w:val="center"/>
            <w:hideMark/>
          </w:tcPr>
          <w:p w14:paraId="7A539026"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9027" w14:textId="77777777" w:rsidR="008273B8" w:rsidRDefault="008273B8">
            <w:pPr>
              <w:spacing w:after="0" w:line="240" w:lineRule="auto"/>
              <w:jc w:val="center"/>
              <w:rPr>
                <w:rFonts w:ascii="Calibri" w:eastAsia="Times New Roman" w:hAnsi="Calibri" w:cs="Calibri"/>
                <w:noProof/>
                <w:sz w:val="18"/>
              </w:rPr>
            </w:pPr>
          </w:p>
        </w:tc>
        <w:tc>
          <w:tcPr>
            <w:tcW w:w="739" w:type="dxa"/>
            <w:shd w:val="clear" w:color="auto" w:fill="C6EFCE"/>
            <w:vAlign w:val="center"/>
            <w:hideMark/>
          </w:tcPr>
          <w:p w14:paraId="7A539028" w14:textId="77777777" w:rsidR="008273B8" w:rsidRDefault="008273B8">
            <w:pPr>
              <w:spacing w:after="0" w:line="240" w:lineRule="auto"/>
              <w:jc w:val="center"/>
              <w:rPr>
                <w:rFonts w:ascii="Calibri" w:eastAsia="Times New Roman" w:hAnsi="Calibri" w:cs="Calibri"/>
                <w:noProof/>
                <w:sz w:val="18"/>
              </w:rPr>
            </w:pPr>
          </w:p>
        </w:tc>
        <w:tc>
          <w:tcPr>
            <w:tcW w:w="846" w:type="dxa"/>
            <w:shd w:val="clear" w:color="auto" w:fill="C6EFCE"/>
            <w:vAlign w:val="center"/>
            <w:hideMark/>
          </w:tcPr>
          <w:p w14:paraId="7A539029" w14:textId="77777777" w:rsidR="008273B8" w:rsidRDefault="00B93063">
            <w:pPr>
              <w:pStyle w:val="P68B1DB1-Normal7"/>
              <w:spacing w:after="0" w:line="240" w:lineRule="auto"/>
              <w:jc w:val="center"/>
              <w:rPr>
                <w:rFonts w:eastAsia="Times New Roman" w:cs="Calibri"/>
                <w:noProof/>
              </w:rPr>
            </w:pPr>
            <w:r>
              <w:rPr>
                <w:noProof/>
              </w:rPr>
              <w:t>PRVO TROMJESEČJE</w:t>
            </w:r>
          </w:p>
        </w:tc>
        <w:tc>
          <w:tcPr>
            <w:tcW w:w="674" w:type="dxa"/>
            <w:shd w:val="clear" w:color="auto" w:fill="C6EFCE"/>
            <w:vAlign w:val="center"/>
            <w:hideMark/>
          </w:tcPr>
          <w:p w14:paraId="7A53902A" w14:textId="77777777" w:rsidR="008273B8" w:rsidRDefault="00B93063">
            <w:pPr>
              <w:pStyle w:val="P68B1DB1-Normal7"/>
              <w:spacing w:after="0" w:line="240" w:lineRule="auto"/>
              <w:jc w:val="center"/>
              <w:rPr>
                <w:rFonts w:eastAsia="Times New Roman" w:cs="Calibri"/>
                <w:noProof/>
              </w:rPr>
            </w:pPr>
            <w:r>
              <w:rPr>
                <w:noProof/>
              </w:rPr>
              <w:t>2023</w:t>
            </w:r>
          </w:p>
        </w:tc>
        <w:tc>
          <w:tcPr>
            <w:tcW w:w="4630" w:type="dxa"/>
            <w:shd w:val="clear" w:color="auto" w:fill="C6EFCE"/>
            <w:vAlign w:val="center"/>
            <w:hideMark/>
          </w:tcPr>
          <w:p w14:paraId="7A53902B" w14:textId="77777777" w:rsidR="008273B8" w:rsidRDefault="00B93063">
            <w:pPr>
              <w:pStyle w:val="P68B1DB1-Normal7"/>
              <w:spacing w:after="0" w:line="240" w:lineRule="auto"/>
              <w:rPr>
                <w:rFonts w:eastAsia="Times New Roman" w:cs="Calibri"/>
                <w:noProof/>
              </w:rPr>
            </w:pPr>
            <w:r>
              <w:rPr>
                <w:noProof/>
              </w:rPr>
              <w:t>Nakon javne nabave potpisan je ugovor za izgradnju centra za krv, tkivo i stanice.</w:t>
            </w:r>
          </w:p>
        </w:tc>
      </w:tr>
      <w:tr w:rsidR="008273B8" w14:paraId="7A539038" w14:textId="77777777">
        <w:trPr>
          <w:cantSplit/>
          <w:jc w:val="center"/>
        </w:trPr>
        <w:tc>
          <w:tcPr>
            <w:tcW w:w="1092" w:type="dxa"/>
            <w:shd w:val="clear" w:color="auto" w:fill="C6EFCE"/>
            <w:vAlign w:val="center"/>
            <w:hideMark/>
          </w:tcPr>
          <w:p w14:paraId="7A53902D" w14:textId="77777777" w:rsidR="008273B8" w:rsidRDefault="00B93063">
            <w:pPr>
              <w:pStyle w:val="P68B1DB1-Normal7"/>
              <w:spacing w:after="0" w:line="240" w:lineRule="auto"/>
              <w:jc w:val="center"/>
              <w:rPr>
                <w:rFonts w:eastAsia="Times New Roman" w:cs="Calibri"/>
                <w:noProof/>
              </w:rPr>
            </w:pPr>
            <w:r>
              <w:rPr>
                <w:noProof/>
              </w:rPr>
              <w:t>4.10</w:t>
            </w:r>
          </w:p>
        </w:tc>
        <w:tc>
          <w:tcPr>
            <w:tcW w:w="1136" w:type="dxa"/>
            <w:shd w:val="clear" w:color="auto" w:fill="C6EFCE"/>
            <w:vAlign w:val="center"/>
            <w:hideMark/>
          </w:tcPr>
          <w:p w14:paraId="7A53902E" w14:textId="77777777" w:rsidR="008273B8" w:rsidRDefault="00B93063">
            <w:pPr>
              <w:pStyle w:val="P68B1DB1-Normal7"/>
              <w:spacing w:after="0" w:line="240" w:lineRule="auto"/>
              <w:rPr>
                <w:rFonts w:eastAsia="Times New Roman" w:cs="Calibri"/>
                <w:noProof/>
              </w:rPr>
            </w:pPr>
            <w:r>
              <w:rPr>
                <w:noProof/>
              </w:rPr>
              <w:t xml:space="preserve">C4.I.1 </w:t>
            </w:r>
          </w:p>
        </w:tc>
        <w:tc>
          <w:tcPr>
            <w:tcW w:w="984" w:type="dxa"/>
            <w:shd w:val="clear" w:color="auto" w:fill="C6EFCE"/>
            <w:vAlign w:val="center"/>
            <w:hideMark/>
          </w:tcPr>
          <w:p w14:paraId="7A53902F" w14:textId="77777777" w:rsidR="008273B8" w:rsidRDefault="00B93063">
            <w:pPr>
              <w:pStyle w:val="P68B1DB1-Normal7"/>
              <w:spacing w:after="0" w:line="240" w:lineRule="auto"/>
              <w:rPr>
                <w:rFonts w:eastAsia="Times New Roman" w:cs="Calibri"/>
                <w:noProof/>
              </w:rPr>
            </w:pPr>
            <w:r>
              <w:rPr>
                <w:noProof/>
              </w:rPr>
              <w:t>Ključna etapa</w:t>
            </w:r>
          </w:p>
        </w:tc>
        <w:tc>
          <w:tcPr>
            <w:tcW w:w="1505" w:type="dxa"/>
            <w:shd w:val="clear" w:color="auto" w:fill="C6EFCE"/>
            <w:vAlign w:val="center"/>
            <w:hideMark/>
          </w:tcPr>
          <w:p w14:paraId="7A539030" w14:textId="77777777" w:rsidR="008273B8" w:rsidRDefault="00B93063">
            <w:pPr>
              <w:pStyle w:val="P68B1DB1-Normal7"/>
              <w:spacing w:after="0" w:line="240" w:lineRule="auto"/>
              <w:rPr>
                <w:rFonts w:eastAsia="Times New Roman" w:cs="Calibri"/>
                <w:noProof/>
              </w:rPr>
            </w:pPr>
            <w:r>
              <w:rPr>
                <w:noProof/>
              </w:rPr>
              <w:t>Centar za krv, tkiva i stanice otvoren za korisnike</w:t>
            </w:r>
          </w:p>
        </w:tc>
        <w:tc>
          <w:tcPr>
            <w:tcW w:w="1788" w:type="dxa"/>
            <w:shd w:val="clear" w:color="auto" w:fill="C6EFCE"/>
            <w:vAlign w:val="center"/>
            <w:hideMark/>
          </w:tcPr>
          <w:p w14:paraId="7A539031" w14:textId="77777777" w:rsidR="008273B8" w:rsidRDefault="00B93063">
            <w:pPr>
              <w:pStyle w:val="P68B1DB1-Normal7"/>
              <w:spacing w:after="0" w:line="240" w:lineRule="auto"/>
              <w:rPr>
                <w:rFonts w:eastAsia="Times New Roman" w:cs="Calibri"/>
                <w:noProof/>
              </w:rPr>
            </w:pPr>
            <w:r>
              <w:rPr>
                <w:noProof/>
              </w:rPr>
              <w:t>Centar za krv, tkiva i stanice otvoren za korisnike</w:t>
            </w:r>
          </w:p>
        </w:tc>
        <w:tc>
          <w:tcPr>
            <w:tcW w:w="1154" w:type="dxa"/>
            <w:shd w:val="clear" w:color="auto" w:fill="C6EFCE"/>
            <w:vAlign w:val="center"/>
            <w:hideMark/>
          </w:tcPr>
          <w:p w14:paraId="7A539032"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9033" w14:textId="77777777" w:rsidR="008273B8" w:rsidRDefault="008273B8">
            <w:pPr>
              <w:spacing w:after="0" w:line="240" w:lineRule="auto"/>
              <w:jc w:val="center"/>
              <w:rPr>
                <w:rFonts w:ascii="Calibri" w:eastAsia="Times New Roman" w:hAnsi="Calibri" w:cs="Calibri"/>
                <w:noProof/>
                <w:sz w:val="18"/>
              </w:rPr>
            </w:pPr>
          </w:p>
        </w:tc>
        <w:tc>
          <w:tcPr>
            <w:tcW w:w="739" w:type="dxa"/>
            <w:shd w:val="clear" w:color="auto" w:fill="C6EFCE"/>
            <w:vAlign w:val="center"/>
            <w:hideMark/>
          </w:tcPr>
          <w:p w14:paraId="7A539034" w14:textId="77777777" w:rsidR="008273B8" w:rsidRDefault="008273B8">
            <w:pPr>
              <w:spacing w:after="0" w:line="240" w:lineRule="auto"/>
              <w:jc w:val="center"/>
              <w:rPr>
                <w:rFonts w:ascii="Calibri" w:eastAsia="Times New Roman" w:hAnsi="Calibri" w:cs="Calibri"/>
                <w:noProof/>
                <w:sz w:val="18"/>
              </w:rPr>
            </w:pPr>
          </w:p>
        </w:tc>
        <w:tc>
          <w:tcPr>
            <w:tcW w:w="846" w:type="dxa"/>
            <w:shd w:val="clear" w:color="auto" w:fill="C6EFCE"/>
            <w:vAlign w:val="center"/>
            <w:hideMark/>
          </w:tcPr>
          <w:p w14:paraId="7A539035"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74" w:type="dxa"/>
            <w:shd w:val="clear" w:color="auto" w:fill="C6EFCE"/>
            <w:vAlign w:val="center"/>
            <w:hideMark/>
          </w:tcPr>
          <w:p w14:paraId="7A539036" w14:textId="77777777" w:rsidR="008273B8" w:rsidRDefault="00B93063">
            <w:pPr>
              <w:pStyle w:val="P68B1DB1-Normal7"/>
              <w:spacing w:after="0" w:line="240" w:lineRule="auto"/>
              <w:jc w:val="center"/>
              <w:rPr>
                <w:rFonts w:eastAsia="Times New Roman" w:cs="Calibri"/>
                <w:noProof/>
              </w:rPr>
            </w:pPr>
            <w:r>
              <w:rPr>
                <w:noProof/>
              </w:rPr>
              <w:t>2025</w:t>
            </w:r>
          </w:p>
        </w:tc>
        <w:tc>
          <w:tcPr>
            <w:tcW w:w="4630" w:type="dxa"/>
            <w:shd w:val="clear" w:color="auto" w:fill="C6EFCE"/>
            <w:vAlign w:val="center"/>
            <w:hideMark/>
          </w:tcPr>
          <w:p w14:paraId="0DEE73D1" w14:textId="77777777" w:rsidR="008273B8" w:rsidRDefault="00B93063">
            <w:pPr>
              <w:spacing w:after="0" w:line="240" w:lineRule="auto"/>
              <w:rPr>
                <w:rFonts w:ascii="Calibri" w:eastAsia="Times New Roman" w:hAnsi="Calibri" w:cs="Calibri"/>
                <w:noProof/>
                <w:sz w:val="18"/>
              </w:rPr>
            </w:pPr>
            <w:r>
              <w:rPr>
                <w:rFonts w:ascii="Calibri" w:hAnsi="Calibri"/>
                <w:noProof/>
                <w:sz w:val="18"/>
              </w:rPr>
              <w:t>Objekt je dovršen i certificiran za preradu krvi, tkiva i stanica. Otvoren je korisnicima i ima operativne resurse za pružanje predviđenih usluga.</w:t>
            </w:r>
            <w:r>
              <w:rPr>
                <w:rFonts w:ascii="Times New Roman" w:hAnsi="Times New Roman"/>
                <w:noProof/>
                <w:sz w:val="24"/>
              </w:rPr>
              <w:br/>
            </w:r>
            <w:r>
              <w:rPr>
                <w:rFonts w:ascii="Calibri" w:hAnsi="Calibri"/>
                <w:noProof/>
                <w:sz w:val="18"/>
              </w:rPr>
              <w:t>Kapacitet objekta uključuje barem:</w:t>
            </w:r>
            <w:r>
              <w:rPr>
                <w:rFonts w:ascii="Times New Roman" w:hAnsi="Times New Roman"/>
                <w:noProof/>
                <w:sz w:val="24"/>
              </w:rPr>
              <w:br/>
            </w:r>
            <w:r>
              <w:rPr>
                <w:rFonts w:ascii="Calibri" w:hAnsi="Calibri"/>
                <w:noProof/>
                <w:sz w:val="18"/>
              </w:rPr>
              <w:t>17,000 jedinica koncentrata crvenih krvnih stanica;</w:t>
            </w:r>
            <w:r>
              <w:rPr>
                <w:rFonts w:ascii="Times New Roman" w:hAnsi="Times New Roman"/>
                <w:noProof/>
                <w:sz w:val="24"/>
              </w:rPr>
              <w:br/>
            </w:r>
            <w:r>
              <w:rPr>
                <w:rFonts w:ascii="Calibri" w:hAnsi="Calibri"/>
                <w:noProof/>
                <w:sz w:val="18"/>
              </w:rPr>
              <w:t>2000 jedinica trombocita (spremnih) i 200 trombocita za aferezu; i</w:t>
            </w:r>
            <w:r>
              <w:rPr>
                <w:rFonts w:ascii="Times New Roman" w:hAnsi="Times New Roman"/>
                <w:noProof/>
                <w:sz w:val="24"/>
              </w:rPr>
              <w:br/>
              <w:t xml:space="preserve"> </w:t>
            </w:r>
            <w:r>
              <w:rPr>
                <w:rFonts w:ascii="Calibri" w:hAnsi="Calibri"/>
                <w:noProof/>
                <w:sz w:val="18"/>
              </w:rPr>
              <w:t>100 jedinica kostiju.</w:t>
            </w:r>
          </w:p>
          <w:p w14:paraId="7A539037" w14:textId="7BCB767C" w:rsidR="008273B8" w:rsidRDefault="008273B8">
            <w:pPr>
              <w:spacing w:after="0" w:line="240" w:lineRule="auto"/>
              <w:rPr>
                <w:rFonts w:ascii="Calibri" w:eastAsia="Times New Roman" w:hAnsi="Calibri" w:cs="Calibri"/>
                <w:noProof/>
                <w:sz w:val="18"/>
              </w:rPr>
            </w:pPr>
          </w:p>
        </w:tc>
      </w:tr>
      <w:tr w:rsidR="008273B8" w14:paraId="7A539044" w14:textId="77777777">
        <w:trPr>
          <w:cantSplit/>
          <w:jc w:val="center"/>
        </w:trPr>
        <w:tc>
          <w:tcPr>
            <w:tcW w:w="1092" w:type="dxa"/>
            <w:shd w:val="clear" w:color="auto" w:fill="C6EFCE"/>
            <w:vAlign w:val="center"/>
            <w:hideMark/>
          </w:tcPr>
          <w:p w14:paraId="7A539039" w14:textId="77777777" w:rsidR="008273B8" w:rsidRDefault="00B93063">
            <w:pPr>
              <w:pStyle w:val="P68B1DB1-Normal7"/>
              <w:spacing w:after="0" w:line="240" w:lineRule="auto"/>
              <w:jc w:val="center"/>
              <w:rPr>
                <w:rFonts w:eastAsia="Times New Roman" w:cs="Calibri"/>
                <w:noProof/>
              </w:rPr>
            </w:pPr>
            <w:r>
              <w:rPr>
                <w:noProof/>
              </w:rPr>
              <w:t>4.11</w:t>
            </w:r>
          </w:p>
        </w:tc>
        <w:tc>
          <w:tcPr>
            <w:tcW w:w="1136" w:type="dxa"/>
            <w:shd w:val="clear" w:color="auto" w:fill="C6EFCE"/>
            <w:vAlign w:val="center"/>
            <w:hideMark/>
          </w:tcPr>
          <w:p w14:paraId="7A53903A" w14:textId="77777777" w:rsidR="008273B8" w:rsidRDefault="00B93063">
            <w:pPr>
              <w:pStyle w:val="P68B1DB1-Normal7"/>
              <w:spacing w:after="0" w:line="240" w:lineRule="auto"/>
              <w:rPr>
                <w:rFonts w:eastAsia="Times New Roman" w:cs="Calibri"/>
                <w:noProof/>
              </w:rPr>
            </w:pPr>
            <w:r>
              <w:rPr>
                <w:noProof/>
              </w:rPr>
              <w:t xml:space="preserve">C4.I.2. </w:t>
            </w:r>
          </w:p>
        </w:tc>
        <w:tc>
          <w:tcPr>
            <w:tcW w:w="984" w:type="dxa"/>
            <w:shd w:val="clear" w:color="auto" w:fill="C6EFCE"/>
            <w:vAlign w:val="center"/>
            <w:hideMark/>
          </w:tcPr>
          <w:p w14:paraId="7A53903B" w14:textId="77777777" w:rsidR="008273B8" w:rsidRDefault="00B93063">
            <w:pPr>
              <w:pStyle w:val="P68B1DB1-Normal7"/>
              <w:spacing w:after="0" w:line="240" w:lineRule="auto"/>
              <w:rPr>
                <w:rFonts w:eastAsia="Times New Roman" w:cs="Calibri"/>
                <w:noProof/>
              </w:rPr>
            </w:pPr>
            <w:r>
              <w:rPr>
                <w:noProof/>
              </w:rPr>
              <w:t>Ključna etapa</w:t>
            </w:r>
          </w:p>
        </w:tc>
        <w:tc>
          <w:tcPr>
            <w:tcW w:w="1505" w:type="dxa"/>
            <w:shd w:val="clear" w:color="auto" w:fill="C6EFCE"/>
            <w:vAlign w:val="center"/>
            <w:hideMark/>
          </w:tcPr>
          <w:p w14:paraId="7A53903C" w14:textId="77777777" w:rsidR="008273B8" w:rsidRDefault="00B93063">
            <w:pPr>
              <w:pStyle w:val="P68B1DB1-Normal7"/>
              <w:spacing w:after="0" w:line="240" w:lineRule="auto"/>
              <w:rPr>
                <w:rFonts w:eastAsia="Times New Roman" w:cs="Calibri"/>
                <w:noProof/>
              </w:rPr>
            </w:pPr>
            <w:r>
              <w:rPr>
                <w:noProof/>
              </w:rPr>
              <w:t>Potpisan ugovor za nabavu rješenja opreme za magnetsku rezonanciju linearne akceleratora u onkološkom centru Sir Anthony Mamo</w:t>
            </w:r>
          </w:p>
        </w:tc>
        <w:tc>
          <w:tcPr>
            <w:tcW w:w="1788" w:type="dxa"/>
            <w:shd w:val="clear" w:color="auto" w:fill="C6EFCE"/>
            <w:vAlign w:val="center"/>
            <w:hideMark/>
          </w:tcPr>
          <w:p w14:paraId="7A53903D" w14:textId="77777777" w:rsidR="008273B8" w:rsidRDefault="00B93063">
            <w:pPr>
              <w:pStyle w:val="P68B1DB1-Normal7"/>
              <w:spacing w:after="0" w:line="240" w:lineRule="auto"/>
              <w:rPr>
                <w:rFonts w:eastAsia="Times New Roman" w:cs="Calibri"/>
                <w:noProof/>
              </w:rPr>
            </w:pPr>
            <w:r>
              <w:rPr>
                <w:noProof/>
              </w:rPr>
              <w:t>Potpisan ugovor za nabavu rješenja opreme Magnetic Resonance Linear Accelerator (MR Linac) u onkološkom centru Sir Anthony Mamo</w:t>
            </w:r>
          </w:p>
        </w:tc>
        <w:tc>
          <w:tcPr>
            <w:tcW w:w="1154" w:type="dxa"/>
            <w:shd w:val="clear" w:color="auto" w:fill="C6EFCE"/>
            <w:vAlign w:val="center"/>
            <w:hideMark/>
          </w:tcPr>
          <w:p w14:paraId="7A53903E"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903F" w14:textId="77777777" w:rsidR="008273B8" w:rsidRDefault="008273B8">
            <w:pPr>
              <w:spacing w:after="0" w:line="240" w:lineRule="auto"/>
              <w:jc w:val="center"/>
              <w:rPr>
                <w:rFonts w:ascii="Calibri" w:eastAsia="Times New Roman" w:hAnsi="Calibri" w:cs="Calibri"/>
                <w:noProof/>
                <w:sz w:val="18"/>
              </w:rPr>
            </w:pPr>
          </w:p>
        </w:tc>
        <w:tc>
          <w:tcPr>
            <w:tcW w:w="739" w:type="dxa"/>
            <w:shd w:val="clear" w:color="auto" w:fill="C6EFCE"/>
            <w:vAlign w:val="center"/>
            <w:hideMark/>
          </w:tcPr>
          <w:p w14:paraId="7A539040" w14:textId="77777777" w:rsidR="008273B8" w:rsidRDefault="008273B8">
            <w:pPr>
              <w:spacing w:after="0" w:line="240" w:lineRule="auto"/>
              <w:jc w:val="center"/>
              <w:rPr>
                <w:rFonts w:ascii="Calibri" w:eastAsia="Times New Roman" w:hAnsi="Calibri" w:cs="Calibri"/>
                <w:noProof/>
                <w:sz w:val="18"/>
              </w:rPr>
            </w:pPr>
          </w:p>
        </w:tc>
        <w:tc>
          <w:tcPr>
            <w:tcW w:w="846" w:type="dxa"/>
            <w:shd w:val="clear" w:color="auto" w:fill="C6EFCE"/>
            <w:vAlign w:val="center"/>
            <w:hideMark/>
          </w:tcPr>
          <w:p w14:paraId="7A539041" w14:textId="77777777" w:rsidR="008273B8" w:rsidRDefault="00B93063">
            <w:pPr>
              <w:pStyle w:val="P68B1DB1-Normal7"/>
              <w:spacing w:after="0" w:line="240" w:lineRule="auto"/>
              <w:jc w:val="center"/>
              <w:rPr>
                <w:rFonts w:eastAsia="Times New Roman" w:cs="Calibri"/>
                <w:noProof/>
              </w:rPr>
            </w:pPr>
            <w:r>
              <w:rPr>
                <w:noProof/>
              </w:rPr>
              <w:t>Q2</w:t>
            </w:r>
          </w:p>
        </w:tc>
        <w:tc>
          <w:tcPr>
            <w:tcW w:w="674" w:type="dxa"/>
            <w:shd w:val="clear" w:color="auto" w:fill="C6EFCE"/>
            <w:vAlign w:val="center"/>
            <w:hideMark/>
          </w:tcPr>
          <w:p w14:paraId="7A539042" w14:textId="77777777" w:rsidR="008273B8" w:rsidRDefault="00B93063">
            <w:pPr>
              <w:pStyle w:val="P68B1DB1-Normal7"/>
              <w:spacing w:after="0" w:line="240" w:lineRule="auto"/>
              <w:jc w:val="center"/>
              <w:rPr>
                <w:rFonts w:eastAsia="Times New Roman" w:cs="Calibri"/>
                <w:noProof/>
              </w:rPr>
            </w:pPr>
            <w:r>
              <w:rPr>
                <w:noProof/>
              </w:rPr>
              <w:t>2022</w:t>
            </w:r>
          </w:p>
        </w:tc>
        <w:tc>
          <w:tcPr>
            <w:tcW w:w="4630" w:type="dxa"/>
            <w:shd w:val="clear" w:color="auto" w:fill="C6EFCE"/>
            <w:vAlign w:val="center"/>
            <w:hideMark/>
          </w:tcPr>
          <w:p w14:paraId="7A539043" w14:textId="77777777" w:rsidR="008273B8" w:rsidRDefault="00B93063">
            <w:pPr>
              <w:pStyle w:val="P68B1DB1-Normal7"/>
              <w:spacing w:after="0" w:line="240" w:lineRule="auto"/>
              <w:rPr>
                <w:rFonts w:eastAsia="Times New Roman" w:cs="Calibri"/>
                <w:noProof/>
              </w:rPr>
            </w:pPr>
            <w:r>
              <w:rPr>
                <w:noProof/>
              </w:rPr>
              <w:t>Nakon javne nabave potpisan je ugovor o nabavi opreme za linearnu akceleratorsku magnetsku rezonanciju u onkološkom centru Sir Anthony Mamo u okviru bolnice Mater Dei</w:t>
            </w:r>
          </w:p>
        </w:tc>
      </w:tr>
      <w:tr w:rsidR="008273B8" w14:paraId="7A539050" w14:textId="77777777">
        <w:trPr>
          <w:cantSplit/>
          <w:jc w:val="center"/>
        </w:trPr>
        <w:tc>
          <w:tcPr>
            <w:tcW w:w="1092" w:type="dxa"/>
            <w:shd w:val="clear" w:color="auto" w:fill="C6EFCE"/>
            <w:vAlign w:val="center"/>
            <w:hideMark/>
          </w:tcPr>
          <w:p w14:paraId="7A539045" w14:textId="77777777" w:rsidR="008273B8" w:rsidRDefault="00B93063">
            <w:pPr>
              <w:pStyle w:val="P68B1DB1-Normal7"/>
              <w:spacing w:after="0" w:line="240" w:lineRule="auto"/>
              <w:jc w:val="center"/>
              <w:rPr>
                <w:rFonts w:eastAsia="Times New Roman" w:cs="Calibri"/>
                <w:noProof/>
              </w:rPr>
            </w:pPr>
            <w:r>
              <w:rPr>
                <w:noProof/>
              </w:rPr>
              <w:t>4.12</w:t>
            </w:r>
          </w:p>
        </w:tc>
        <w:tc>
          <w:tcPr>
            <w:tcW w:w="1136" w:type="dxa"/>
            <w:shd w:val="clear" w:color="auto" w:fill="C6EFCE"/>
            <w:vAlign w:val="center"/>
            <w:hideMark/>
          </w:tcPr>
          <w:p w14:paraId="7A539046" w14:textId="77777777" w:rsidR="008273B8" w:rsidRDefault="00B93063">
            <w:pPr>
              <w:pStyle w:val="P68B1DB1-Normal7"/>
              <w:spacing w:after="0" w:line="240" w:lineRule="auto"/>
              <w:rPr>
                <w:rFonts w:eastAsia="Times New Roman" w:cs="Calibri"/>
                <w:noProof/>
              </w:rPr>
            </w:pPr>
            <w:r>
              <w:rPr>
                <w:noProof/>
              </w:rPr>
              <w:t xml:space="preserve">C4.I.2. </w:t>
            </w:r>
          </w:p>
        </w:tc>
        <w:tc>
          <w:tcPr>
            <w:tcW w:w="984" w:type="dxa"/>
            <w:shd w:val="clear" w:color="auto" w:fill="C6EFCE"/>
            <w:vAlign w:val="center"/>
            <w:hideMark/>
          </w:tcPr>
          <w:p w14:paraId="7A539047" w14:textId="77777777" w:rsidR="008273B8" w:rsidRDefault="00B93063">
            <w:pPr>
              <w:pStyle w:val="P68B1DB1-Normal7"/>
              <w:spacing w:after="0" w:line="240" w:lineRule="auto"/>
              <w:rPr>
                <w:rFonts w:eastAsia="Times New Roman" w:cs="Calibri"/>
                <w:noProof/>
              </w:rPr>
            </w:pPr>
            <w:r>
              <w:rPr>
                <w:noProof/>
              </w:rPr>
              <w:t>Ključna etapa</w:t>
            </w:r>
          </w:p>
        </w:tc>
        <w:tc>
          <w:tcPr>
            <w:tcW w:w="1505" w:type="dxa"/>
            <w:shd w:val="clear" w:color="auto" w:fill="C6EFCE"/>
            <w:vAlign w:val="center"/>
            <w:hideMark/>
          </w:tcPr>
          <w:p w14:paraId="7A539048" w14:textId="77777777" w:rsidR="008273B8" w:rsidRDefault="00B93063">
            <w:pPr>
              <w:pStyle w:val="P68B1DB1-Normal7"/>
              <w:spacing w:after="0" w:line="240" w:lineRule="auto"/>
              <w:rPr>
                <w:rFonts w:eastAsia="Times New Roman" w:cs="Calibri"/>
                <w:noProof/>
              </w:rPr>
            </w:pPr>
            <w:r>
              <w:rPr>
                <w:noProof/>
              </w:rPr>
              <w:t>Oprema za linearno ubrzanje magnetne rezonancije radi i otvorena korisnicima</w:t>
            </w:r>
          </w:p>
        </w:tc>
        <w:tc>
          <w:tcPr>
            <w:tcW w:w="1788" w:type="dxa"/>
            <w:shd w:val="clear" w:color="auto" w:fill="C6EFCE"/>
            <w:vAlign w:val="center"/>
            <w:hideMark/>
          </w:tcPr>
          <w:p w14:paraId="7A539049" w14:textId="77777777" w:rsidR="008273B8" w:rsidRDefault="00B93063">
            <w:pPr>
              <w:pStyle w:val="P68B1DB1-Normal7"/>
              <w:spacing w:after="0" w:line="240" w:lineRule="auto"/>
              <w:rPr>
                <w:rFonts w:eastAsia="Times New Roman" w:cs="Calibri"/>
                <w:noProof/>
              </w:rPr>
            </w:pPr>
            <w:r>
              <w:rPr>
                <w:noProof/>
              </w:rPr>
              <w:t>Oprema za linearno ubrzanje magnetne rezonancije potpuno je operativna i otvorena korisnicima</w:t>
            </w:r>
          </w:p>
        </w:tc>
        <w:tc>
          <w:tcPr>
            <w:tcW w:w="1154" w:type="dxa"/>
            <w:shd w:val="clear" w:color="auto" w:fill="C6EFCE"/>
            <w:vAlign w:val="center"/>
            <w:hideMark/>
          </w:tcPr>
          <w:p w14:paraId="7A53904A"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904B" w14:textId="77777777" w:rsidR="008273B8" w:rsidRDefault="008273B8">
            <w:pPr>
              <w:spacing w:after="0" w:line="240" w:lineRule="auto"/>
              <w:jc w:val="center"/>
              <w:rPr>
                <w:rFonts w:ascii="Calibri" w:eastAsia="Times New Roman" w:hAnsi="Calibri" w:cs="Calibri"/>
                <w:noProof/>
                <w:sz w:val="18"/>
              </w:rPr>
            </w:pPr>
          </w:p>
        </w:tc>
        <w:tc>
          <w:tcPr>
            <w:tcW w:w="739" w:type="dxa"/>
            <w:shd w:val="clear" w:color="auto" w:fill="C6EFCE"/>
            <w:vAlign w:val="center"/>
            <w:hideMark/>
          </w:tcPr>
          <w:p w14:paraId="7A53904C" w14:textId="77777777" w:rsidR="008273B8" w:rsidRDefault="008273B8">
            <w:pPr>
              <w:spacing w:after="0" w:line="240" w:lineRule="auto"/>
              <w:jc w:val="center"/>
              <w:rPr>
                <w:rFonts w:ascii="Calibri" w:eastAsia="Times New Roman" w:hAnsi="Calibri" w:cs="Calibri"/>
                <w:noProof/>
                <w:sz w:val="18"/>
              </w:rPr>
            </w:pPr>
          </w:p>
        </w:tc>
        <w:tc>
          <w:tcPr>
            <w:tcW w:w="846" w:type="dxa"/>
            <w:shd w:val="clear" w:color="auto" w:fill="C6EFCE"/>
            <w:vAlign w:val="center"/>
            <w:hideMark/>
          </w:tcPr>
          <w:p w14:paraId="7A53904D" w14:textId="77777777" w:rsidR="008273B8" w:rsidRDefault="00B93063">
            <w:pPr>
              <w:pStyle w:val="P68B1DB1-Normal7"/>
              <w:spacing w:after="0" w:line="240" w:lineRule="auto"/>
              <w:jc w:val="center"/>
              <w:rPr>
                <w:rFonts w:eastAsia="Times New Roman" w:cs="Calibri"/>
                <w:noProof/>
              </w:rPr>
            </w:pPr>
            <w:r>
              <w:rPr>
                <w:noProof/>
              </w:rPr>
              <w:t>Q2</w:t>
            </w:r>
          </w:p>
        </w:tc>
        <w:tc>
          <w:tcPr>
            <w:tcW w:w="674" w:type="dxa"/>
            <w:shd w:val="clear" w:color="auto" w:fill="C6EFCE"/>
            <w:vAlign w:val="center"/>
            <w:hideMark/>
          </w:tcPr>
          <w:p w14:paraId="7A53904E" w14:textId="77777777" w:rsidR="008273B8" w:rsidRDefault="00B93063">
            <w:pPr>
              <w:pStyle w:val="P68B1DB1-Normal7"/>
              <w:spacing w:after="0" w:line="240" w:lineRule="auto"/>
              <w:jc w:val="center"/>
              <w:rPr>
                <w:rFonts w:eastAsia="Times New Roman" w:cs="Calibri"/>
                <w:noProof/>
              </w:rPr>
            </w:pPr>
            <w:r>
              <w:rPr>
                <w:noProof/>
              </w:rPr>
              <w:t>2023</w:t>
            </w:r>
          </w:p>
        </w:tc>
        <w:tc>
          <w:tcPr>
            <w:tcW w:w="4630" w:type="dxa"/>
            <w:shd w:val="clear" w:color="auto" w:fill="C6EFCE"/>
            <w:vAlign w:val="center"/>
            <w:hideMark/>
          </w:tcPr>
          <w:p w14:paraId="7A53904F" w14:textId="77777777" w:rsidR="008273B8" w:rsidRDefault="00B93063">
            <w:pPr>
              <w:pStyle w:val="P68B1DB1-Normal7"/>
              <w:spacing w:after="0" w:line="240" w:lineRule="auto"/>
              <w:rPr>
                <w:rFonts w:eastAsia="Times New Roman" w:cs="Calibri"/>
                <w:noProof/>
              </w:rPr>
            </w:pPr>
            <w:r>
              <w:rPr>
                <w:noProof/>
              </w:rPr>
              <w:t xml:space="preserve">Linearni akcelerator magnetske rezonancije operativan je i primjenjuje se za liječenje bolesnika u onkološkom centru Sir Anthony Mamo. </w:t>
            </w:r>
          </w:p>
        </w:tc>
      </w:tr>
      <w:tr w:rsidR="008273B8" w14:paraId="7A53905C" w14:textId="77777777">
        <w:trPr>
          <w:cantSplit/>
          <w:jc w:val="center"/>
        </w:trPr>
        <w:tc>
          <w:tcPr>
            <w:tcW w:w="1092" w:type="dxa"/>
            <w:shd w:val="clear" w:color="auto" w:fill="C6EFCE"/>
            <w:vAlign w:val="center"/>
            <w:hideMark/>
          </w:tcPr>
          <w:p w14:paraId="7A539051" w14:textId="77777777" w:rsidR="008273B8" w:rsidRDefault="00B93063">
            <w:pPr>
              <w:pStyle w:val="P68B1DB1-Normal7"/>
              <w:spacing w:after="0" w:line="240" w:lineRule="auto"/>
              <w:jc w:val="center"/>
              <w:rPr>
                <w:rFonts w:eastAsia="Times New Roman" w:cs="Calibri"/>
                <w:noProof/>
              </w:rPr>
            </w:pPr>
            <w:r>
              <w:rPr>
                <w:noProof/>
              </w:rPr>
              <w:t>4.13</w:t>
            </w:r>
          </w:p>
        </w:tc>
        <w:tc>
          <w:tcPr>
            <w:tcW w:w="1136" w:type="dxa"/>
            <w:shd w:val="clear" w:color="auto" w:fill="C6EFCE"/>
            <w:vAlign w:val="center"/>
            <w:hideMark/>
          </w:tcPr>
          <w:p w14:paraId="7A539052" w14:textId="77777777" w:rsidR="008273B8" w:rsidRDefault="00B93063">
            <w:pPr>
              <w:pStyle w:val="P68B1DB1-Normal7"/>
              <w:spacing w:after="0" w:line="240" w:lineRule="auto"/>
              <w:rPr>
                <w:rFonts w:eastAsia="Times New Roman" w:cs="Calibri"/>
                <w:noProof/>
              </w:rPr>
            </w:pPr>
            <w:r>
              <w:rPr>
                <w:noProof/>
              </w:rPr>
              <w:t xml:space="preserve">C4.I.2. </w:t>
            </w:r>
          </w:p>
        </w:tc>
        <w:tc>
          <w:tcPr>
            <w:tcW w:w="984" w:type="dxa"/>
            <w:shd w:val="clear" w:color="auto" w:fill="C6EFCE"/>
            <w:vAlign w:val="center"/>
            <w:hideMark/>
          </w:tcPr>
          <w:p w14:paraId="7A539053" w14:textId="77777777" w:rsidR="008273B8" w:rsidRDefault="00B93063">
            <w:pPr>
              <w:pStyle w:val="P68B1DB1-Normal7"/>
              <w:spacing w:after="0" w:line="240" w:lineRule="auto"/>
              <w:rPr>
                <w:rFonts w:eastAsia="Times New Roman" w:cs="Calibri"/>
                <w:noProof/>
              </w:rPr>
            </w:pPr>
            <w:r>
              <w:rPr>
                <w:noProof/>
              </w:rPr>
              <w:t>Ključna etapa</w:t>
            </w:r>
          </w:p>
        </w:tc>
        <w:tc>
          <w:tcPr>
            <w:tcW w:w="1505" w:type="dxa"/>
            <w:shd w:val="clear" w:color="auto" w:fill="C6EFCE"/>
            <w:vAlign w:val="center"/>
            <w:hideMark/>
          </w:tcPr>
          <w:p w14:paraId="7A539054" w14:textId="77777777" w:rsidR="008273B8" w:rsidRDefault="00B93063">
            <w:pPr>
              <w:pStyle w:val="P68B1DB1-Normal7"/>
              <w:spacing w:after="0" w:line="240" w:lineRule="auto"/>
              <w:rPr>
                <w:rFonts w:eastAsia="Times New Roman" w:cs="Calibri"/>
                <w:noProof/>
              </w:rPr>
            </w:pPr>
            <w:r>
              <w:rPr>
                <w:noProof/>
              </w:rPr>
              <w:t>Svi potpisani ugovori za usluge digitalne patologije u histopatološkom odjelu u bolnici Mater Dei</w:t>
            </w:r>
          </w:p>
        </w:tc>
        <w:tc>
          <w:tcPr>
            <w:tcW w:w="1788" w:type="dxa"/>
            <w:shd w:val="clear" w:color="auto" w:fill="C6EFCE"/>
            <w:vAlign w:val="center"/>
            <w:hideMark/>
          </w:tcPr>
          <w:p w14:paraId="7A539055" w14:textId="77777777" w:rsidR="008273B8" w:rsidRDefault="00B93063">
            <w:pPr>
              <w:pStyle w:val="P68B1DB1-Normal7"/>
              <w:spacing w:after="0" w:line="240" w:lineRule="auto"/>
              <w:rPr>
                <w:rFonts w:eastAsia="Times New Roman" w:cs="Calibri"/>
                <w:noProof/>
              </w:rPr>
            </w:pPr>
            <w:r>
              <w:rPr>
                <w:noProof/>
              </w:rPr>
              <w:t>Svi potpisani ugovori za usluge digitalne patologije u histopatološkom odjelu u bolnici Mater Dei</w:t>
            </w:r>
          </w:p>
        </w:tc>
        <w:tc>
          <w:tcPr>
            <w:tcW w:w="1154" w:type="dxa"/>
            <w:shd w:val="clear" w:color="auto" w:fill="C6EFCE"/>
            <w:vAlign w:val="center"/>
            <w:hideMark/>
          </w:tcPr>
          <w:p w14:paraId="7A539056"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9057" w14:textId="77777777" w:rsidR="008273B8" w:rsidRDefault="008273B8">
            <w:pPr>
              <w:spacing w:after="0" w:line="240" w:lineRule="auto"/>
              <w:jc w:val="center"/>
              <w:rPr>
                <w:rFonts w:ascii="Calibri" w:eastAsia="Times New Roman" w:hAnsi="Calibri" w:cs="Calibri"/>
                <w:noProof/>
                <w:sz w:val="18"/>
              </w:rPr>
            </w:pPr>
          </w:p>
        </w:tc>
        <w:tc>
          <w:tcPr>
            <w:tcW w:w="739" w:type="dxa"/>
            <w:shd w:val="clear" w:color="auto" w:fill="C6EFCE"/>
            <w:vAlign w:val="center"/>
            <w:hideMark/>
          </w:tcPr>
          <w:p w14:paraId="7A539058" w14:textId="77777777" w:rsidR="008273B8" w:rsidRDefault="008273B8">
            <w:pPr>
              <w:spacing w:after="0" w:line="240" w:lineRule="auto"/>
              <w:jc w:val="center"/>
              <w:rPr>
                <w:rFonts w:ascii="Calibri" w:eastAsia="Times New Roman" w:hAnsi="Calibri" w:cs="Calibri"/>
                <w:noProof/>
                <w:sz w:val="18"/>
              </w:rPr>
            </w:pPr>
          </w:p>
        </w:tc>
        <w:tc>
          <w:tcPr>
            <w:tcW w:w="846" w:type="dxa"/>
            <w:shd w:val="clear" w:color="auto" w:fill="C6EFCE"/>
            <w:vAlign w:val="center"/>
            <w:hideMark/>
          </w:tcPr>
          <w:p w14:paraId="7A539059" w14:textId="77777777" w:rsidR="008273B8" w:rsidRDefault="00B93063">
            <w:pPr>
              <w:pStyle w:val="P68B1DB1-Normal7"/>
              <w:spacing w:after="0" w:line="240" w:lineRule="auto"/>
              <w:jc w:val="center"/>
              <w:rPr>
                <w:rFonts w:eastAsia="Times New Roman" w:cs="Calibri"/>
                <w:noProof/>
              </w:rPr>
            </w:pPr>
            <w:r>
              <w:rPr>
                <w:noProof/>
              </w:rPr>
              <w:t>Q2</w:t>
            </w:r>
          </w:p>
        </w:tc>
        <w:tc>
          <w:tcPr>
            <w:tcW w:w="674" w:type="dxa"/>
            <w:shd w:val="clear" w:color="auto" w:fill="C6EFCE"/>
            <w:vAlign w:val="center"/>
            <w:hideMark/>
          </w:tcPr>
          <w:p w14:paraId="7A53905A" w14:textId="77777777" w:rsidR="008273B8" w:rsidRDefault="00B93063">
            <w:pPr>
              <w:pStyle w:val="P68B1DB1-Normal7"/>
              <w:spacing w:after="0" w:line="240" w:lineRule="auto"/>
              <w:jc w:val="center"/>
              <w:rPr>
                <w:rFonts w:eastAsia="Times New Roman" w:cs="Calibri"/>
                <w:noProof/>
              </w:rPr>
            </w:pPr>
            <w:r>
              <w:rPr>
                <w:noProof/>
              </w:rPr>
              <w:t>2022</w:t>
            </w:r>
          </w:p>
        </w:tc>
        <w:tc>
          <w:tcPr>
            <w:tcW w:w="4630" w:type="dxa"/>
            <w:shd w:val="clear" w:color="auto" w:fill="C6EFCE"/>
            <w:vAlign w:val="center"/>
            <w:hideMark/>
          </w:tcPr>
          <w:p w14:paraId="7A53905B" w14:textId="77777777" w:rsidR="008273B8" w:rsidRDefault="00B93063">
            <w:pPr>
              <w:spacing w:after="0" w:line="240" w:lineRule="auto"/>
              <w:rPr>
                <w:rFonts w:ascii="Calibri" w:eastAsia="Times New Roman" w:hAnsi="Calibri" w:cs="Calibri"/>
                <w:noProof/>
                <w:sz w:val="18"/>
              </w:rPr>
            </w:pPr>
            <w:r>
              <w:rPr>
                <w:rFonts w:ascii="Calibri" w:hAnsi="Calibri"/>
                <w:noProof/>
                <w:sz w:val="18"/>
              </w:rPr>
              <w:t>Nakon javne nabave potpisani su ugovori za uslugu digitalne patologije po načelu „ključ u ruke” u histopatološkom odjelu bolnice Mater Dei.</w:t>
            </w:r>
            <w:r>
              <w:rPr>
                <w:rFonts w:ascii="Times New Roman" w:hAnsi="Times New Roman"/>
                <w:noProof/>
                <w:sz w:val="24"/>
              </w:rPr>
              <w:br/>
            </w:r>
            <w:r>
              <w:rPr>
                <w:rFonts w:ascii="Calibri" w:hAnsi="Calibri"/>
                <w:noProof/>
                <w:sz w:val="18"/>
              </w:rPr>
              <w:t>Postupak nabave uključuje: (a) softver za upravljanje predanalitičkom fazom i osiguravanje neometane automatizacije procesa uzoraka (uključujući praćenje slučajeva u stvarnom vremenu) koji je integriran s postojećim laboratorijskim sustavom za upravljanje informacijama (LIMS); (b) opreme za izradu grubih primjeraka i programske podrške; (C) skeneri za digitalni slid s visokim protokom i digitalni sustav za upravljanje predmetima; (d)mrežna rješenja poslužitelja kako bi se omogućili internetski objekti za pohranu podataka u stvarnom vremenu i arhiviranje klizišta te mrežnih točaka na različitim postajama u prostorijama za sekcioniranje i obradu; i (e) hardver, uključujući računala na drugim lokacijama osim laboratorija, kako bi se omogućili konferencijski pozivi i sastanci multidisciplinarnih timova.</w:t>
            </w:r>
          </w:p>
        </w:tc>
      </w:tr>
      <w:tr w:rsidR="008273B8" w14:paraId="7A539068" w14:textId="77777777">
        <w:trPr>
          <w:cantSplit/>
          <w:jc w:val="center"/>
        </w:trPr>
        <w:tc>
          <w:tcPr>
            <w:tcW w:w="1092" w:type="dxa"/>
            <w:shd w:val="clear" w:color="auto" w:fill="C6EFCE"/>
            <w:vAlign w:val="center"/>
            <w:hideMark/>
          </w:tcPr>
          <w:p w14:paraId="7A53905D" w14:textId="2652419A" w:rsidR="008273B8" w:rsidRDefault="00B93063">
            <w:pPr>
              <w:pStyle w:val="P68B1DB1-Normal7"/>
              <w:spacing w:after="0" w:line="240" w:lineRule="auto"/>
              <w:jc w:val="center"/>
              <w:rPr>
                <w:rFonts w:eastAsia="Times New Roman" w:cs="Calibri"/>
                <w:noProof/>
              </w:rPr>
            </w:pPr>
            <w:r>
              <w:rPr>
                <w:noProof/>
              </w:rPr>
              <w:t>4.14</w:t>
            </w:r>
          </w:p>
        </w:tc>
        <w:tc>
          <w:tcPr>
            <w:tcW w:w="1136" w:type="dxa"/>
            <w:shd w:val="clear" w:color="auto" w:fill="C6EFCE"/>
            <w:vAlign w:val="center"/>
            <w:hideMark/>
          </w:tcPr>
          <w:p w14:paraId="7A53905E" w14:textId="77777777" w:rsidR="008273B8" w:rsidRDefault="00B93063">
            <w:pPr>
              <w:pStyle w:val="P68B1DB1-Normal7"/>
              <w:spacing w:after="0" w:line="240" w:lineRule="auto"/>
              <w:rPr>
                <w:rFonts w:eastAsia="Times New Roman" w:cs="Calibri"/>
                <w:noProof/>
              </w:rPr>
            </w:pPr>
            <w:r>
              <w:rPr>
                <w:noProof/>
              </w:rPr>
              <w:t xml:space="preserve">C4.I.2. </w:t>
            </w:r>
          </w:p>
        </w:tc>
        <w:tc>
          <w:tcPr>
            <w:tcW w:w="984" w:type="dxa"/>
            <w:shd w:val="clear" w:color="auto" w:fill="C6EFCE"/>
            <w:vAlign w:val="center"/>
            <w:hideMark/>
          </w:tcPr>
          <w:p w14:paraId="7A53905F" w14:textId="77777777" w:rsidR="008273B8" w:rsidRDefault="00B93063">
            <w:pPr>
              <w:pStyle w:val="P68B1DB1-Normal7"/>
              <w:spacing w:after="0" w:line="240" w:lineRule="auto"/>
              <w:rPr>
                <w:rFonts w:eastAsia="Times New Roman" w:cs="Calibri"/>
                <w:noProof/>
              </w:rPr>
            </w:pPr>
            <w:r>
              <w:rPr>
                <w:noProof/>
              </w:rPr>
              <w:t>Ključna etapa</w:t>
            </w:r>
          </w:p>
        </w:tc>
        <w:tc>
          <w:tcPr>
            <w:tcW w:w="1505" w:type="dxa"/>
            <w:shd w:val="clear" w:color="auto" w:fill="C6EFCE"/>
            <w:vAlign w:val="center"/>
            <w:hideMark/>
          </w:tcPr>
          <w:p w14:paraId="7A539060" w14:textId="77777777" w:rsidR="008273B8" w:rsidRDefault="00B93063">
            <w:pPr>
              <w:pStyle w:val="P68B1DB1-Normal7"/>
              <w:spacing w:after="0" w:line="240" w:lineRule="auto"/>
              <w:rPr>
                <w:rFonts w:eastAsia="Times New Roman" w:cs="Calibri"/>
                <w:noProof/>
              </w:rPr>
            </w:pPr>
            <w:r>
              <w:rPr>
                <w:noProof/>
              </w:rPr>
              <w:t>Usluge digitalne patologije koje se pružaju u histopatološkom odjelu u bolnici Mater Dei</w:t>
            </w:r>
          </w:p>
        </w:tc>
        <w:tc>
          <w:tcPr>
            <w:tcW w:w="1788" w:type="dxa"/>
            <w:shd w:val="clear" w:color="auto" w:fill="C6EFCE"/>
            <w:vAlign w:val="center"/>
            <w:hideMark/>
          </w:tcPr>
          <w:p w14:paraId="7A539061" w14:textId="77777777" w:rsidR="008273B8" w:rsidRDefault="00B93063">
            <w:pPr>
              <w:pStyle w:val="P68B1DB1-Normal7"/>
              <w:spacing w:after="0" w:line="240" w:lineRule="auto"/>
              <w:rPr>
                <w:rFonts w:eastAsia="Times New Roman" w:cs="Calibri"/>
                <w:noProof/>
              </w:rPr>
            </w:pPr>
            <w:r>
              <w:rPr>
                <w:noProof/>
              </w:rPr>
              <w:t>Usluge digitalne patologije koje se pružaju u histopatološkom odjelu u bolnici Mater Dei</w:t>
            </w:r>
          </w:p>
        </w:tc>
        <w:tc>
          <w:tcPr>
            <w:tcW w:w="1154" w:type="dxa"/>
            <w:shd w:val="clear" w:color="auto" w:fill="C6EFCE"/>
            <w:vAlign w:val="center"/>
            <w:hideMark/>
          </w:tcPr>
          <w:p w14:paraId="7A539062" w14:textId="77777777" w:rsidR="008273B8" w:rsidRDefault="008273B8">
            <w:pPr>
              <w:spacing w:after="0" w:line="240" w:lineRule="auto"/>
              <w:jc w:val="center"/>
              <w:rPr>
                <w:rFonts w:ascii="Calibri" w:eastAsia="Times New Roman" w:hAnsi="Calibri" w:cs="Calibri"/>
                <w:noProof/>
                <w:sz w:val="18"/>
              </w:rPr>
            </w:pPr>
          </w:p>
        </w:tc>
        <w:tc>
          <w:tcPr>
            <w:tcW w:w="857" w:type="dxa"/>
            <w:shd w:val="clear" w:color="auto" w:fill="C6EFCE"/>
            <w:vAlign w:val="center"/>
            <w:hideMark/>
          </w:tcPr>
          <w:p w14:paraId="7A539063" w14:textId="77777777" w:rsidR="008273B8" w:rsidRDefault="008273B8">
            <w:pPr>
              <w:spacing w:after="0" w:line="240" w:lineRule="auto"/>
              <w:jc w:val="center"/>
              <w:rPr>
                <w:rFonts w:ascii="Calibri" w:eastAsia="Times New Roman" w:hAnsi="Calibri" w:cs="Calibri"/>
                <w:noProof/>
                <w:sz w:val="18"/>
              </w:rPr>
            </w:pPr>
          </w:p>
        </w:tc>
        <w:tc>
          <w:tcPr>
            <w:tcW w:w="739" w:type="dxa"/>
            <w:shd w:val="clear" w:color="auto" w:fill="C6EFCE"/>
            <w:vAlign w:val="center"/>
            <w:hideMark/>
          </w:tcPr>
          <w:p w14:paraId="7A539064" w14:textId="77777777" w:rsidR="008273B8" w:rsidRDefault="008273B8">
            <w:pPr>
              <w:spacing w:after="0" w:line="240" w:lineRule="auto"/>
              <w:jc w:val="center"/>
              <w:rPr>
                <w:rFonts w:ascii="Calibri" w:eastAsia="Times New Roman" w:hAnsi="Calibri" w:cs="Calibri"/>
                <w:noProof/>
                <w:sz w:val="18"/>
              </w:rPr>
            </w:pPr>
          </w:p>
        </w:tc>
        <w:tc>
          <w:tcPr>
            <w:tcW w:w="846" w:type="dxa"/>
            <w:shd w:val="clear" w:color="auto" w:fill="C6EFCE"/>
            <w:vAlign w:val="center"/>
            <w:hideMark/>
          </w:tcPr>
          <w:p w14:paraId="7A539065" w14:textId="77777777" w:rsidR="008273B8" w:rsidRDefault="00B93063">
            <w:pPr>
              <w:pStyle w:val="P68B1DB1-Normal7"/>
              <w:spacing w:after="0" w:line="240" w:lineRule="auto"/>
              <w:jc w:val="center"/>
              <w:rPr>
                <w:rFonts w:eastAsia="Times New Roman" w:cs="Calibri"/>
                <w:noProof/>
              </w:rPr>
            </w:pPr>
            <w:r>
              <w:rPr>
                <w:noProof/>
              </w:rPr>
              <w:t>Q2</w:t>
            </w:r>
          </w:p>
        </w:tc>
        <w:tc>
          <w:tcPr>
            <w:tcW w:w="674" w:type="dxa"/>
            <w:shd w:val="clear" w:color="auto" w:fill="C6EFCE"/>
            <w:vAlign w:val="center"/>
            <w:hideMark/>
          </w:tcPr>
          <w:p w14:paraId="7A539066" w14:textId="77777777" w:rsidR="008273B8" w:rsidRDefault="00B93063">
            <w:pPr>
              <w:pStyle w:val="P68B1DB1-Normal7"/>
              <w:spacing w:after="0" w:line="240" w:lineRule="auto"/>
              <w:jc w:val="center"/>
              <w:rPr>
                <w:rFonts w:eastAsia="Times New Roman" w:cs="Calibri"/>
                <w:noProof/>
              </w:rPr>
            </w:pPr>
            <w:r>
              <w:rPr>
                <w:noProof/>
              </w:rPr>
              <w:t>2024</w:t>
            </w:r>
          </w:p>
        </w:tc>
        <w:tc>
          <w:tcPr>
            <w:tcW w:w="4630" w:type="dxa"/>
            <w:shd w:val="clear" w:color="auto" w:fill="C6EFCE"/>
            <w:vAlign w:val="center"/>
            <w:hideMark/>
          </w:tcPr>
          <w:p w14:paraId="7A539067" w14:textId="77777777" w:rsidR="008273B8" w:rsidRDefault="00B93063">
            <w:pPr>
              <w:pStyle w:val="P68B1DB1-Normal7"/>
              <w:spacing w:after="0" w:line="240" w:lineRule="auto"/>
              <w:rPr>
                <w:rFonts w:eastAsia="Times New Roman" w:cs="Calibri"/>
                <w:noProof/>
              </w:rPr>
            </w:pPr>
            <w:r>
              <w:rPr>
                <w:noProof/>
              </w:rPr>
              <w:t>Digitalne patološke usluge koje se pružaju u histopatološkom odjelu bolnice Mater Dei u funkciji i kojima se koriste pacijenti. Objekt uključuje sljedeće minimalne sposobnosti: elektronički sustav za praćenje od zaprimanja uzoraka do konačnog odobrenja slučaja; digitalizacija histoloških slučajeva; integracija makrosnimki i prepoznavanje glasa pri rasijecanju uzorka; automatizaciju postupaka provjere u svakoj fazi laboratorijskih postupaka; i automatizaciju dodjele predmeta odgovarajućim savjetnicima.</w:t>
            </w:r>
          </w:p>
        </w:tc>
      </w:tr>
    </w:tbl>
    <w:p w14:paraId="7A539081" w14:textId="77777777" w:rsidR="008273B8" w:rsidRDefault="008273B8">
      <w:pPr>
        <w:pStyle w:val="Text1"/>
        <w:rPr>
          <w:noProof/>
        </w:rPr>
        <w:sectPr w:rsidR="008273B8">
          <w:headerReference w:type="even" r:id="rId60"/>
          <w:headerReference w:type="default" r:id="rId61"/>
          <w:footerReference w:type="even" r:id="rId62"/>
          <w:footerReference w:type="default" r:id="rId63"/>
          <w:headerReference w:type="first" r:id="rId64"/>
          <w:footerReference w:type="first" r:id="rId65"/>
          <w:pgSz w:w="16839" w:h="11907" w:orient="landscape"/>
          <w:pgMar w:top="1134" w:right="1134" w:bottom="1134" w:left="1134" w:header="567" w:footer="567" w:gutter="0"/>
          <w:cols w:space="720"/>
          <w:docGrid w:linePitch="360"/>
        </w:sectPr>
      </w:pPr>
    </w:p>
    <w:p w14:paraId="7A539082" w14:textId="77777777" w:rsidR="008273B8" w:rsidRDefault="00B93063">
      <w:pPr>
        <w:pStyle w:val="ManualHeading2"/>
        <w:tabs>
          <w:tab w:val="clear" w:pos="850"/>
        </w:tabs>
        <w:spacing w:before="360" w:after="360"/>
        <w:ind w:left="426" w:hanging="426"/>
        <w:rPr>
          <w:rFonts w:ascii="Times New Roman Bold" w:hAnsi="Times New Roman Bold"/>
          <w:smallCaps/>
          <w:noProof/>
        </w:rPr>
      </w:pPr>
      <w:r>
        <w:rPr>
          <w:noProof/>
        </w:rPr>
        <w:t xml:space="preserve">E. SASTAVNI DIO 5: </w:t>
      </w:r>
      <w:r>
        <w:rPr>
          <w:rFonts w:ascii="Times New Roman Bold" w:hAnsi="Times New Roman Bold"/>
          <w:smallCaps/>
          <w:noProof/>
        </w:rPr>
        <w:t>Poboljšanje kvalitetnog obrazovanja i poticanje društveno-gospodarske održivosti</w:t>
      </w:r>
    </w:p>
    <w:p w14:paraId="7A539083" w14:textId="77777777" w:rsidR="008273B8" w:rsidRDefault="00B93063">
      <w:pPr>
        <w:pStyle w:val="P68B1DB1-Normal3"/>
        <w:spacing w:before="120" w:after="120" w:line="240" w:lineRule="auto"/>
        <w:jc w:val="both"/>
        <w:rPr>
          <w:rFonts w:cs="Times New Roman"/>
          <w:noProof/>
          <w:color w:val="4F81BD" w:themeColor="accent1"/>
        </w:rPr>
      </w:pPr>
      <w:r>
        <w:rPr>
          <w:noProof/>
        </w:rPr>
        <w:t xml:space="preserve">Tom komponentom malteškog plana za oporavak i otpornost pridonosi se rješavanju problema visokog udjela osoba koje rano napuštaju školovanje i niskokvalificiranih odraslih osoba, prevladavajućeg nedostatka vještina te potrebe za poboljšanjem kvalitete i uključivosti sustava obrazovanja i osposobljavanja. U njemu se dodatno ocjenjuje postojeći mirovinski sustav i sustav naknada za nezaposlene s ciljem nastavka provedbe reformi politika kako bi se osigurala njihova primjerenost i održivost. Njegov je cilj poticati otpornost malteške radne snage i društva, među ostalim u svjetlu zelene i digitalne tranzicije. </w:t>
      </w:r>
    </w:p>
    <w:p w14:paraId="7A539084" w14:textId="204F6892" w:rsidR="008273B8" w:rsidRDefault="00B93063">
      <w:pPr>
        <w:pStyle w:val="P68B1DB1-Normal3"/>
        <w:spacing w:before="120" w:after="120" w:line="240" w:lineRule="auto"/>
        <w:jc w:val="both"/>
        <w:rPr>
          <w:rFonts w:cs="Times New Roman"/>
          <w:noProof/>
        </w:rPr>
      </w:pPr>
      <w:r>
        <w:rPr>
          <w:noProof/>
        </w:rPr>
        <w:t>Reformama u ovoj komponenti jačaju se intervencije i mjere za sprečavanje ranog napuštanja školovanja, šire smjernice i mogućnosti za usavršavanje i prekvalifikaciju za sve odrasle osobe, a posebno niskokvalificirane osobe,</w:t>
      </w:r>
      <w:r>
        <w:rPr>
          <w:i/>
          <w:noProof/>
        </w:rPr>
        <w:t xml:space="preserve"> </w:t>
      </w:r>
      <w:r>
        <w:rPr>
          <w:noProof/>
        </w:rPr>
        <w:t xml:space="preserve">poboljšava kvalitetno uključivo obrazovanje za učenike s posebnim potrebama, poboljšava sustav praćenja obrazovne politike i dodatno razvija redovita analiza i praćenje mirovinskog sustava i sustava naknada za nezaposlene kako bi se poduprla njegova primjerenost i održivost. </w:t>
      </w:r>
    </w:p>
    <w:p w14:paraId="7A539085" w14:textId="77777777" w:rsidR="008273B8" w:rsidRDefault="00B93063">
      <w:pPr>
        <w:pStyle w:val="P68B1DB1-Normal3"/>
        <w:spacing w:before="120" w:after="120" w:line="240" w:lineRule="auto"/>
        <w:jc w:val="both"/>
        <w:rPr>
          <w:rFonts w:cs="Times New Roman"/>
          <w:noProof/>
        </w:rPr>
      </w:pPr>
      <w:r>
        <w:rPr>
          <w:noProof/>
        </w:rPr>
        <w:t>Tom se komponentom pridonosi provedbi preporuka za pojedinu zemlju koje se odnose na kvalitetno i uključivo obrazovanje (2. preporuke za pojedinu zemlju iz 2020. i 3. 2019.), tržište rada (2. preporuka Grčkoj iz 2020.) i mirovinski sustav (prva preporuka po državama članicama iz 2019.).</w:t>
      </w:r>
    </w:p>
    <w:p w14:paraId="7A539086" w14:textId="77777777" w:rsidR="008273B8" w:rsidRDefault="00B93063">
      <w:pPr>
        <w:pStyle w:val="P68B1DB1-Normal3"/>
        <w:keepNext/>
        <w:spacing w:before="40" w:after="120" w:line="240" w:lineRule="auto"/>
        <w:jc w:val="both"/>
        <w:rPr>
          <w:rFonts w:eastAsiaTheme="minorEastAsia" w:cs="Times New Roman"/>
          <w:b/>
          <w:noProof/>
          <w:u w:val="single"/>
        </w:rPr>
      </w:pPr>
      <w:r>
        <w:rPr>
          <w:noProof/>
        </w:rPr>
        <w:t>Očekuje se da se nijednom mjerom u ovoj komponenti ne nanosi bitna šteta okolišnim ciljevima u smislu članka 17. Uredbe (EU) 2020/852, uzimajući u obzir opis mjera i koraka ublažavanja utvrđenih u planu za oporavak i otpornost u skladu s Tehničkim smjernicama o nenanošenju bitne štete (2021/C58/01).</w:t>
      </w:r>
    </w:p>
    <w:p w14:paraId="7A539087" w14:textId="77777777" w:rsidR="008273B8" w:rsidRDefault="00B93063">
      <w:pPr>
        <w:pStyle w:val="P68B1DB1-ManualHeading34"/>
        <w:spacing w:before="240" w:after="240"/>
        <w:rPr>
          <w:noProof/>
          <w:color w:val="4F81BD" w:themeColor="accent1"/>
          <w:u w:val="single"/>
        </w:rPr>
      </w:pPr>
      <w:r>
        <w:rPr>
          <w:noProof/>
        </w:rPr>
        <w:t xml:space="preserve">E.1. </w:t>
      </w:r>
      <w:r>
        <w:rPr>
          <w:noProof/>
        </w:rPr>
        <w:tab/>
      </w:r>
      <w:r>
        <w:rPr>
          <w:noProof/>
          <w:u w:val="single"/>
        </w:rPr>
        <w:t>Opis reformi i ulaganja za bespovratnu financijsku potporu</w:t>
      </w:r>
    </w:p>
    <w:p w14:paraId="7A539088" w14:textId="7CA23540" w:rsidR="008273B8" w:rsidRDefault="00B93063">
      <w:pPr>
        <w:pStyle w:val="P68B1DB1-Normal5"/>
        <w:spacing w:after="120" w:line="240" w:lineRule="auto"/>
        <w:jc w:val="both"/>
        <w:textAlignment w:val="baseline"/>
        <w:rPr>
          <w:rFonts w:eastAsia="Times New Roman" w:cs="Times New Roman"/>
          <w:noProof/>
        </w:rPr>
      </w:pPr>
      <w:r>
        <w:rPr>
          <w:noProof/>
        </w:rPr>
        <w:t>Reforma C5-R1: Jačanje mjera za sprečavanje ranog napuštanja školovanja, s naglaskom na stjecanju vještina</w:t>
      </w:r>
    </w:p>
    <w:p w14:paraId="7A539089" w14:textId="031E2D6D" w:rsidR="008273B8" w:rsidRDefault="00B93063">
      <w:pPr>
        <w:pStyle w:val="P68B1DB1-Normal3"/>
        <w:spacing w:after="120" w:line="240" w:lineRule="auto"/>
        <w:jc w:val="both"/>
        <w:rPr>
          <w:rFonts w:eastAsia="Times New Roman" w:cs="Times New Roman"/>
          <w:noProof/>
          <w:color w:val="000000" w:themeColor="text1"/>
        </w:rPr>
      </w:pPr>
      <w:r>
        <w:rPr>
          <w:noProof/>
          <w:color w:val="000000"/>
          <w:shd w:val="clear" w:color="auto" w:fill="FFFFFF"/>
        </w:rPr>
        <w:t xml:space="preserve">Cilj je te reforme ojačati intervencije u području ranog napuštanja školovanja i preventivne mjere kojima se </w:t>
      </w:r>
      <w:r>
        <w:rPr>
          <w:noProof/>
        </w:rPr>
        <w:t>doprinosi smanjenju trenutačno visoke stope ranog napuštanja školovanja (MT 16,7 % u odnosu na 9,9 % u EU-u); 2020.) do nacionalnog cilja od 12,7 % do 2025.</w:t>
      </w:r>
    </w:p>
    <w:p w14:paraId="7A53908A" w14:textId="77777777" w:rsidR="008273B8" w:rsidRDefault="00B93063">
      <w:pPr>
        <w:pStyle w:val="P68B1DB1-Normal3"/>
        <w:spacing w:after="120" w:line="240" w:lineRule="auto"/>
        <w:jc w:val="both"/>
        <w:rPr>
          <w:rFonts w:eastAsia="Times New Roman" w:cs="Times New Roman"/>
          <w:noProof/>
        </w:rPr>
      </w:pPr>
      <w:r>
        <w:rPr>
          <w:noProof/>
          <w:color w:val="000000"/>
          <w:shd w:val="clear" w:color="auto" w:fill="FFFFFF"/>
        </w:rPr>
        <w:t>Reforma uključuje pružanje akreditiranih  školskih programa potpore pismenosti</w:t>
      </w:r>
      <w:r>
        <w:rPr>
          <w:i/>
          <w:noProof/>
          <w:color w:val="000000"/>
          <w:shd w:val="clear" w:color="auto" w:fill="FFFFFF"/>
        </w:rPr>
        <w:t>(program za čitanje oporavka</w:t>
      </w:r>
      <w:r>
        <w:rPr>
          <w:noProof/>
          <w:color w:val="000000"/>
          <w:shd w:val="clear" w:color="auto" w:fill="FFFFFF"/>
        </w:rPr>
        <w:t xml:space="preserve">) u obliku dnevnih 30-minutnih tečajeva za učenike u dobi od 6 do 7 godina s najnižim rezultatima. Program omogućuje djeci kojoj je potrebna pomoć da </w:t>
      </w:r>
      <w:r>
        <w:rPr>
          <w:noProof/>
        </w:rPr>
        <w:t xml:space="preserve">dosegnu razinu očekivane dobi u osnovnom čitanju u roku od 12 do 20 tjedana. </w:t>
      </w:r>
      <w:r>
        <w:rPr>
          <w:noProof/>
          <w:color w:val="000000"/>
          <w:shd w:val="clear" w:color="auto" w:fill="FFFFFF"/>
        </w:rPr>
        <w:t xml:space="preserve">Edukatori moraju proći </w:t>
      </w:r>
      <w:r>
        <w:rPr>
          <w:noProof/>
        </w:rPr>
        <w:t xml:space="preserve">odgovarajuće osposobljavanje. </w:t>
      </w:r>
    </w:p>
    <w:p w14:paraId="7A53908C" w14:textId="77777777" w:rsidR="008273B8" w:rsidRDefault="00B93063">
      <w:pPr>
        <w:pStyle w:val="P68B1DB1-Normal3"/>
        <w:spacing w:after="120" w:line="240" w:lineRule="auto"/>
        <w:jc w:val="both"/>
        <w:rPr>
          <w:rFonts w:ascii="Calibri" w:eastAsia="Times New Roman" w:hAnsi="Calibri" w:cs="Calibri"/>
          <w:noProof/>
          <w:sz w:val="18"/>
        </w:rPr>
      </w:pPr>
      <w:r>
        <w:rPr>
          <w:noProof/>
        </w:rPr>
        <w:t xml:space="preserve">Nakon donošenja </w:t>
      </w:r>
      <w:r>
        <w:rPr>
          <w:i/>
          <w:noProof/>
        </w:rPr>
        <w:t>strategije za osnovne vještine</w:t>
      </w:r>
      <w:r>
        <w:rPr>
          <w:noProof/>
        </w:rPr>
        <w:t xml:space="preserve"> reforma uključuje i provedbu najmanje triju (3) mjera </w:t>
      </w:r>
      <w:r>
        <w:rPr>
          <w:noProof/>
          <w:color w:val="000000"/>
          <w:shd w:val="clear" w:color="auto" w:fill="FFFFFF"/>
        </w:rPr>
        <w:t>od</w:t>
      </w:r>
      <w:r>
        <w:rPr>
          <w:noProof/>
        </w:rPr>
        <w:t xml:space="preserve"> dvadeset i četiri (24) mjera navedenih u </w:t>
      </w:r>
      <w:r>
        <w:rPr>
          <w:i/>
          <w:noProof/>
        </w:rPr>
        <w:t xml:space="preserve">strategiji za osnovne vještine </w:t>
      </w:r>
      <w:r>
        <w:rPr>
          <w:noProof/>
        </w:rPr>
        <w:t>za učenike svih dobnih skupina.</w:t>
      </w:r>
    </w:p>
    <w:p w14:paraId="7A53908D" w14:textId="77777777" w:rsidR="008273B8" w:rsidRDefault="00B93063">
      <w:pPr>
        <w:pStyle w:val="P68B1DB1-Normal3"/>
        <w:spacing w:after="120" w:line="240" w:lineRule="auto"/>
        <w:jc w:val="both"/>
        <w:rPr>
          <w:rFonts w:eastAsia="Times New Roman" w:cs="Times New Roman"/>
          <w:noProof/>
        </w:rPr>
      </w:pPr>
      <w:r>
        <w:rPr>
          <w:noProof/>
        </w:rPr>
        <w:t xml:space="preserve">Nadalje, reforma će se sastojati od uvođenja sustava za praćenje osoba koje rano napuštaju školovanje, </w:t>
      </w:r>
      <w:r>
        <w:rPr>
          <w:i/>
          <w:noProof/>
        </w:rPr>
        <w:t>projekta skladišta podataka</w:t>
      </w:r>
      <w:r>
        <w:rPr>
          <w:noProof/>
        </w:rPr>
        <w:t>, s pristupom podacima za institucije koje rade na praćenju politika i smjernicama.</w:t>
      </w:r>
    </w:p>
    <w:p w14:paraId="7A53908E" w14:textId="77777777" w:rsidR="008273B8" w:rsidRDefault="00B93063">
      <w:pPr>
        <w:pStyle w:val="P68B1DB1-Normal3"/>
        <w:spacing w:after="120" w:line="240" w:lineRule="auto"/>
        <w:jc w:val="both"/>
        <w:rPr>
          <w:rFonts w:eastAsia="Times New Roman" w:cs="Times New Roman"/>
          <w:noProof/>
        </w:rPr>
      </w:pPr>
      <w:r>
        <w:rPr>
          <w:noProof/>
        </w:rPr>
        <w:t>Reforma se provodi do 31. prosinca 2024.</w:t>
      </w:r>
    </w:p>
    <w:p w14:paraId="7A53908F" w14:textId="77777777" w:rsidR="008273B8" w:rsidRDefault="00B93063">
      <w:pPr>
        <w:pStyle w:val="P68B1DB1-Normal5"/>
        <w:spacing w:after="120" w:line="240" w:lineRule="auto"/>
        <w:jc w:val="both"/>
        <w:textAlignment w:val="baseline"/>
        <w:rPr>
          <w:rFonts w:eastAsiaTheme="minorEastAsia" w:cs="Times New Roman"/>
          <w:noProof/>
        </w:rPr>
      </w:pPr>
      <w:r>
        <w:rPr>
          <w:noProof/>
        </w:rPr>
        <w:t>Reforma C5-R2: Jačanje razvoja i priznavanja vještina, s posebnim naglaskom na niskokvalificirane odrasle osobe</w:t>
      </w:r>
    </w:p>
    <w:p w14:paraId="7A539090" w14:textId="77777777" w:rsidR="008273B8" w:rsidRDefault="00B93063">
      <w:pPr>
        <w:pStyle w:val="P68B1DB1-Normal3"/>
        <w:spacing w:after="120" w:line="240" w:lineRule="auto"/>
        <w:jc w:val="both"/>
        <w:rPr>
          <w:rFonts w:cs="Times New Roman"/>
          <w:noProof/>
          <w:color w:val="000000" w:themeColor="text1"/>
        </w:rPr>
      </w:pPr>
      <w:r>
        <w:rPr>
          <w:noProof/>
          <w:color w:val="000000"/>
          <w:shd w:val="clear" w:color="auto" w:fill="FFFFFF"/>
        </w:rPr>
        <w:t xml:space="preserve">Cilj je te reforme proširiti mogućnosti usavršavanja i prekvalifikacije za sve odrasle osobe </w:t>
      </w:r>
      <w:r>
        <w:rPr>
          <w:noProof/>
        </w:rPr>
        <w:t>bez</w:t>
      </w:r>
      <w:r>
        <w:rPr>
          <w:noProof/>
          <w:color w:val="000000"/>
          <w:shd w:val="clear" w:color="auto" w:fill="FFFFFF"/>
        </w:rPr>
        <w:t xml:space="preserve"> obzira na njihov radni status, uključujući niskokvalificirane radnike čije  je sudjelovanje u cjeloživotnom učenju posebno nisko. </w:t>
      </w:r>
    </w:p>
    <w:p w14:paraId="7A539091" w14:textId="77777777" w:rsidR="008273B8" w:rsidRDefault="00B93063">
      <w:pPr>
        <w:pStyle w:val="P68B1DB1-Normal3"/>
        <w:spacing w:after="120" w:line="240" w:lineRule="auto"/>
        <w:jc w:val="both"/>
        <w:rPr>
          <w:rFonts w:eastAsia="Times New Roman" w:cs="Times New Roman"/>
          <w:noProof/>
        </w:rPr>
      </w:pPr>
      <w:r>
        <w:rPr>
          <w:noProof/>
          <w:color w:val="000000"/>
          <w:shd w:val="clear" w:color="auto" w:fill="FFFFFF"/>
        </w:rPr>
        <w:t>Reforma se sastoji od uspostave e-kolegice koja će nuditi sveobuhvatne internetske tečajeve, kao</w:t>
      </w:r>
      <w:r>
        <w:rPr>
          <w:noProof/>
          <w:color w:val="000000" w:themeColor="text1"/>
        </w:rPr>
        <w:t xml:space="preserve">i trenere i službu za pomoć učenicima. </w:t>
      </w:r>
      <w:r>
        <w:rPr>
          <w:noProof/>
          <w:color w:val="000000"/>
          <w:shd w:val="clear" w:color="auto" w:fill="FFFFFF"/>
        </w:rPr>
        <w:t xml:space="preserve">E-kolegiju dopunjuje </w:t>
      </w:r>
      <w:r>
        <w:rPr>
          <w:noProof/>
        </w:rPr>
        <w:t>centar</w:t>
      </w:r>
      <w:r>
        <w:rPr>
          <w:noProof/>
          <w:color w:val="000000"/>
          <w:shd w:val="clear" w:color="auto" w:fill="FFFFFF"/>
        </w:rPr>
        <w:t xml:space="preserve"> koji osigurava fizički prostor s tehničkom opremom i osobnim podukom za odrasle osobe koje nemaju digitalne vještine ili opremu za pristup tečajevima na internetu. Osniva se i odjel za mentorstvo i usmjeravanje kako bi pružao usluge usmjeravanja odraslim osobama koje traže najbolji obrazovni put u skladu s njihovim potrebama za </w:t>
      </w:r>
      <w:r>
        <w:rPr>
          <w:noProof/>
        </w:rPr>
        <w:t xml:space="preserve">usavršavanjem i prekvalifikacijom, kao i savjetovanje o općoj dobrobiti. </w:t>
      </w:r>
    </w:p>
    <w:p w14:paraId="7A539092" w14:textId="77777777" w:rsidR="008273B8" w:rsidRDefault="00B93063">
      <w:pPr>
        <w:pStyle w:val="P68B1DB1-Normal3"/>
        <w:spacing w:after="120" w:line="240" w:lineRule="auto"/>
        <w:jc w:val="both"/>
        <w:rPr>
          <w:rFonts w:cs="Times New Roman"/>
          <w:noProof/>
          <w:color w:val="000000" w:themeColor="text1"/>
        </w:rPr>
      </w:pPr>
      <w:r>
        <w:rPr>
          <w:noProof/>
        </w:rPr>
        <w:t>Reforma uključuje i provedbu triju (3) mjera iz</w:t>
      </w:r>
      <w:r>
        <w:rPr>
          <w:noProof/>
          <w:color w:val="000000"/>
          <w:shd w:val="clear" w:color="auto" w:fill="FFFFFF"/>
        </w:rPr>
        <w:t xml:space="preserve"> </w:t>
      </w:r>
      <w:r>
        <w:rPr>
          <w:i/>
          <w:noProof/>
          <w:color w:val="000000"/>
          <w:shd w:val="clear" w:color="auto" w:fill="FFFFFF"/>
        </w:rPr>
        <w:t>Plana</w:t>
      </w:r>
      <w:r>
        <w:rPr>
          <w:noProof/>
          <w:color w:val="000000"/>
          <w:shd w:val="clear" w:color="auto" w:fill="FFFFFF"/>
        </w:rPr>
        <w:t xml:space="preserve"> za </w:t>
      </w:r>
      <w:r>
        <w:rPr>
          <w:i/>
          <w:noProof/>
          <w:color w:val="000000"/>
          <w:shd w:val="clear" w:color="auto" w:fill="FFFFFF"/>
        </w:rPr>
        <w:t>razvoj sustava usmjeravanja u području obrazovanja odraslih, uključujući izgradnju kapaciteta za stručnjake za obrazovanje odraslih i uspostavu mreža za usmjeravanje.</w:t>
      </w:r>
      <w:r>
        <w:rPr>
          <w:noProof/>
          <w:color w:val="000000"/>
          <w:shd w:val="clear" w:color="auto" w:fill="FFFFFF"/>
        </w:rPr>
        <w:t xml:space="preserve"> </w:t>
      </w:r>
    </w:p>
    <w:p w14:paraId="7A539094" w14:textId="32E8A2C3" w:rsidR="008273B8" w:rsidRDefault="00B93063">
      <w:pPr>
        <w:pStyle w:val="P68B1DB1-Normal3"/>
        <w:spacing w:after="120" w:line="240" w:lineRule="auto"/>
        <w:jc w:val="both"/>
        <w:rPr>
          <w:rFonts w:eastAsia="Times New Roman" w:cs="Times New Roman"/>
          <w:noProof/>
          <w:color w:val="000000" w:themeColor="text1"/>
        </w:rPr>
      </w:pPr>
      <w:r>
        <w:rPr>
          <w:noProof/>
        </w:rPr>
        <w:t>Reforma se provodi do 31. prosinca 2024.</w:t>
      </w:r>
    </w:p>
    <w:p w14:paraId="7A539095" w14:textId="77777777" w:rsidR="008273B8" w:rsidRDefault="00B93063">
      <w:pPr>
        <w:pStyle w:val="P68B1DB1-Normal5"/>
        <w:spacing w:after="120" w:line="240" w:lineRule="auto"/>
        <w:jc w:val="both"/>
        <w:textAlignment w:val="baseline"/>
        <w:rPr>
          <w:rFonts w:eastAsia="Times New Roman" w:cs="Times New Roman"/>
          <w:noProof/>
        </w:rPr>
      </w:pPr>
      <w:r>
        <w:rPr>
          <w:noProof/>
        </w:rPr>
        <w:t>Reforma C5-R3: Razvoj novih obrazovnih putova prema uključivom i kvalitetnom obrazovanju</w:t>
      </w:r>
    </w:p>
    <w:p w14:paraId="7A539096" w14:textId="77777777" w:rsidR="008273B8" w:rsidRDefault="00B93063">
      <w:pPr>
        <w:pStyle w:val="P68B1DB1-Normal3"/>
        <w:spacing w:after="120" w:line="240" w:lineRule="auto"/>
        <w:jc w:val="both"/>
        <w:rPr>
          <w:rFonts w:eastAsia="Times New Roman" w:cs="Times New Roman"/>
          <w:noProof/>
        </w:rPr>
      </w:pPr>
      <w:r>
        <w:rPr>
          <w:noProof/>
        </w:rPr>
        <w:t>Cilj je te reforme poboljšati kvalitetno uključivo obrazovanje.</w:t>
      </w:r>
    </w:p>
    <w:p w14:paraId="7A539097" w14:textId="77777777" w:rsidR="008273B8" w:rsidRDefault="00B93063">
      <w:pPr>
        <w:pStyle w:val="P68B1DB1-Normal3"/>
        <w:spacing w:after="120" w:line="240" w:lineRule="auto"/>
        <w:jc w:val="both"/>
        <w:rPr>
          <w:rFonts w:eastAsia="Times New Roman" w:cs="Times New Roman"/>
          <w:noProof/>
        </w:rPr>
      </w:pPr>
      <w:r>
        <w:rPr>
          <w:noProof/>
        </w:rPr>
        <w:t xml:space="preserve">Reforma se sastoji od uvođenja višesenzorskih soba za učenje (MSLR) za učenike s teškim potrebama na fakultetima (Međunarodna standardna klasifikacija obrazovanja (ISCED) razina 1, osnovnoškolsko obrazovanje) i uspostave dviju jedinica autizma u srednjim školama (ISCED razina 2, niže sekundarno obrazovanje), čime se omogućuje daljnja integracija učenika s posebnim potrebama u redovno školsko okruženje. Mjera je popraćena kontinuiranim osposobljavanjem u uključivoj pedagogiji za nastavnike i nastavnike za potporu učenju. </w:t>
      </w:r>
    </w:p>
    <w:p w14:paraId="7A539098" w14:textId="77777777" w:rsidR="008273B8" w:rsidRDefault="00B93063">
      <w:pPr>
        <w:pStyle w:val="P68B1DB1-Normal3"/>
        <w:spacing w:after="120" w:line="240" w:lineRule="auto"/>
        <w:jc w:val="both"/>
        <w:rPr>
          <w:rFonts w:eastAsia="Times New Roman" w:cs="Times New Roman"/>
          <w:noProof/>
        </w:rPr>
      </w:pPr>
      <w:r>
        <w:rPr>
          <w:noProof/>
        </w:rPr>
        <w:t xml:space="preserve">Reforma podrazumijeva i provedbu najmanje dvadeset (20) mjera (koje čine najmanje 50 % svih mjera) ažurirane </w:t>
      </w:r>
      <w:r>
        <w:rPr>
          <w:i/>
          <w:noProof/>
        </w:rPr>
        <w:t>nacionalne strategije politike uključivanja</w:t>
      </w:r>
      <w:r>
        <w:rPr>
          <w:noProof/>
        </w:rPr>
        <w:t xml:space="preserve">, što će dovesti do postizanja pametnih ciljeva utvrđenih u strategiji. </w:t>
      </w:r>
    </w:p>
    <w:p w14:paraId="7A539099" w14:textId="77777777" w:rsidR="008273B8" w:rsidRDefault="00B93063">
      <w:pPr>
        <w:pStyle w:val="P68B1DB1-Normal3"/>
        <w:spacing w:after="120" w:line="240" w:lineRule="auto"/>
        <w:jc w:val="both"/>
        <w:rPr>
          <w:rFonts w:eastAsia="Times New Roman" w:cs="Times New Roman"/>
          <w:noProof/>
          <w:color w:val="000000" w:themeColor="text1"/>
        </w:rPr>
      </w:pPr>
      <w:r>
        <w:rPr>
          <w:noProof/>
        </w:rPr>
        <w:t>Reforma se provodi do 31. prosinca 2025.</w:t>
      </w:r>
    </w:p>
    <w:p w14:paraId="7A53909A" w14:textId="77777777" w:rsidR="008273B8" w:rsidRDefault="00B93063">
      <w:pPr>
        <w:pStyle w:val="P68B1DB1-Normal5"/>
        <w:spacing w:after="120" w:line="240" w:lineRule="auto"/>
        <w:jc w:val="both"/>
        <w:textAlignment w:val="baseline"/>
        <w:rPr>
          <w:rFonts w:eastAsia="Times New Roman" w:cs="Times New Roman"/>
          <w:noProof/>
        </w:rPr>
      </w:pPr>
      <w:r>
        <w:rPr>
          <w:noProof/>
        </w:rPr>
        <w:t>Reforma C5-R4: Provedba učinkovitog sustava praćenja obrazovne politike</w:t>
      </w:r>
    </w:p>
    <w:p w14:paraId="7A53909B" w14:textId="77777777" w:rsidR="008273B8" w:rsidRDefault="00B93063">
      <w:pPr>
        <w:pStyle w:val="P68B1DB1-Normal3"/>
        <w:spacing w:after="120" w:line="240" w:lineRule="auto"/>
        <w:jc w:val="both"/>
        <w:rPr>
          <w:rFonts w:eastAsiaTheme="minorEastAsia" w:cs="Times New Roman"/>
          <w:noProof/>
        </w:rPr>
      </w:pPr>
      <w:r>
        <w:rPr>
          <w:noProof/>
        </w:rPr>
        <w:t>Cilj je te reforme uspostaviti i provesti učinkovit sustav praćenja obrazovne politike.</w:t>
      </w:r>
    </w:p>
    <w:p w14:paraId="7A53909C" w14:textId="3165D6FC" w:rsidR="008273B8" w:rsidRDefault="00B93063">
      <w:pPr>
        <w:pStyle w:val="P68B1DB1-Normal3"/>
        <w:spacing w:after="120" w:line="240" w:lineRule="auto"/>
        <w:jc w:val="both"/>
        <w:rPr>
          <w:rFonts w:eastAsiaTheme="minorEastAsia" w:cs="Times New Roman"/>
          <w:noProof/>
        </w:rPr>
      </w:pPr>
      <w:r>
        <w:rPr>
          <w:noProof/>
        </w:rPr>
        <w:t>Ta reforma podrazumijeva uspostavu plana rada s ključnim pokazateljima uspješnosti i povezanim mehanizmima praćenja, kao i popis mjera politike koje se ocjenjuju svake godine, čime se olakšava praćenje napretka postignutog u provedbi okvira obrazovne politike. U planu rada navodi se i sveobuhvatan sustav ocjenjivanja povezan s unutarnjim postupcima ocjenjivanja u školi koji uključuje sve relevantne dionike, uključujući školsko osoblje. Uključuje i zapošljavanje novog osoblja Uprave za praćenje i evaluaciju politika koja je uspostavljena u okviru ministarstva nadležnog za obrazovanje. Nositelji politike svaki mjesec izvješćuju o napretku u provedbi posebnih mjera u skladu s utvrđenim planom rada. Te će se informacije uključiti na tromjesečni sastanak Strateškog upravnog odbora Ministarstva radi rasprave kojom se olakšava postupak provedbe politike. Interno izvješće o stanju postupka provedbe politike priprema se svake godine.</w:t>
      </w:r>
    </w:p>
    <w:p w14:paraId="7A53909D" w14:textId="77777777" w:rsidR="008273B8" w:rsidRDefault="00B93063">
      <w:pPr>
        <w:pStyle w:val="P68B1DB1-Normal3"/>
        <w:spacing w:after="120" w:line="240" w:lineRule="auto"/>
        <w:jc w:val="both"/>
        <w:rPr>
          <w:rFonts w:eastAsia="Times New Roman" w:cs="Times New Roman"/>
          <w:noProof/>
          <w:color w:val="000000" w:themeColor="text1"/>
        </w:rPr>
      </w:pPr>
      <w:r>
        <w:rPr>
          <w:noProof/>
        </w:rPr>
        <w:t>Reforma se provodi do 31. prosinca 2025.</w:t>
      </w:r>
    </w:p>
    <w:p w14:paraId="7A53909E" w14:textId="77777777" w:rsidR="008273B8" w:rsidRDefault="00B93063">
      <w:pPr>
        <w:pStyle w:val="P68B1DB1-Normal5"/>
        <w:spacing w:after="120" w:line="240" w:lineRule="auto"/>
        <w:jc w:val="both"/>
        <w:textAlignment w:val="baseline"/>
        <w:rPr>
          <w:rFonts w:eastAsia="Times New Roman" w:cs="Times New Roman"/>
          <w:noProof/>
        </w:rPr>
      </w:pPr>
      <w:r>
        <w:rPr>
          <w:noProof/>
        </w:rPr>
        <w:t>Reforma C5-R5: Jačanje otpornosti tržišta rada</w:t>
      </w:r>
    </w:p>
    <w:p w14:paraId="7A53909F" w14:textId="77777777" w:rsidR="008273B8" w:rsidRDefault="00B93063">
      <w:pPr>
        <w:pStyle w:val="P68B1DB1-Normal3"/>
        <w:spacing w:after="120" w:line="240" w:lineRule="auto"/>
        <w:jc w:val="both"/>
        <w:rPr>
          <w:rFonts w:eastAsia="Times New Roman" w:cs="Times New Roman"/>
          <w:noProof/>
        </w:rPr>
      </w:pPr>
      <w:r>
        <w:rPr>
          <w:noProof/>
        </w:rPr>
        <w:t>Cilj je te reforme procijeniti i periodično pratiti primjerenost i obuhvat naknada za nezaposlenost na Malti, ojačati otpornost tržišta rada i općenito poboljšati rodnu ravnopravnost.</w:t>
      </w:r>
    </w:p>
    <w:p w14:paraId="7A5390A0" w14:textId="77777777" w:rsidR="008273B8" w:rsidRDefault="00B93063">
      <w:pPr>
        <w:pStyle w:val="P68B1DB1-Normal3"/>
        <w:spacing w:after="120" w:line="240" w:lineRule="auto"/>
        <w:jc w:val="both"/>
        <w:rPr>
          <w:rFonts w:eastAsia="Times New Roman" w:cs="Times New Roman"/>
          <w:noProof/>
        </w:rPr>
      </w:pPr>
      <w:r>
        <w:rPr>
          <w:noProof/>
        </w:rPr>
        <w:t>Ta reforma uključuje studiju u kojoj se procjenjuje primjerenost i obuhvat naknada za nezaposlenost te se preporučuju opcije politike za postizanje bolje primjerenosti i obuhvata naknada, kako u pogledu trajanja tako i u pogledu učinkovitog pristupa, uz istodobno jačanje poticaja za rad. Uzimajući u obzir preporuke studije, provodi se postupak praćenja kako bi se periodično sagledala učinkovitost postojećih mjera politike. Prvo izvješće mora biti dovršeno do kraja 2024., u kojem se utvrđuje datum objave sljedećeg izvješća u roku od pet (5) godina.</w:t>
      </w:r>
    </w:p>
    <w:p w14:paraId="7A5390A1" w14:textId="77777777" w:rsidR="008273B8" w:rsidRDefault="00B93063">
      <w:pPr>
        <w:pStyle w:val="P68B1DB1-Normal3"/>
        <w:spacing w:after="120" w:line="240" w:lineRule="auto"/>
        <w:jc w:val="both"/>
        <w:rPr>
          <w:rFonts w:eastAsia="Times New Roman" w:cs="Times New Roman"/>
          <w:noProof/>
        </w:rPr>
      </w:pPr>
      <w:r>
        <w:rPr>
          <w:noProof/>
        </w:rPr>
        <w:t xml:space="preserve">Nakon donošenja </w:t>
      </w:r>
      <w:r>
        <w:rPr>
          <w:i/>
          <w:noProof/>
        </w:rPr>
        <w:t>strategije zapošljavanja</w:t>
      </w:r>
      <w:r>
        <w:rPr>
          <w:noProof/>
        </w:rPr>
        <w:t xml:space="preserve"> reforma uključuje i provedbu </w:t>
      </w:r>
      <w:r>
        <w:rPr>
          <w:i/>
          <w:noProof/>
        </w:rPr>
        <w:t>strategije zapošljavanja koja se odnosi</w:t>
      </w:r>
      <w:r>
        <w:rPr>
          <w:noProof/>
        </w:rPr>
        <w:t xml:space="preserve"> barem na: i. stariji radnici (u dobi od 55 do 64 godine), posebno uključivanje starijih žena; ii. niskokvalificirane odrasle osobe; i iii. rodno uvjetovane razlike u zaposlenosti.</w:t>
      </w:r>
    </w:p>
    <w:p w14:paraId="7A5390A2" w14:textId="77777777" w:rsidR="008273B8" w:rsidRDefault="00B93063">
      <w:pPr>
        <w:pStyle w:val="P68B1DB1-Normal3"/>
        <w:spacing w:after="120" w:line="240" w:lineRule="auto"/>
        <w:jc w:val="both"/>
        <w:rPr>
          <w:rFonts w:eastAsia="Times New Roman" w:cs="Times New Roman"/>
          <w:noProof/>
        </w:rPr>
      </w:pPr>
      <w:r>
        <w:rPr>
          <w:noProof/>
        </w:rPr>
        <w:t xml:space="preserve">Nakon donošenja </w:t>
      </w:r>
      <w:r>
        <w:rPr>
          <w:i/>
          <w:noProof/>
        </w:rPr>
        <w:t>Akcijskog plana za rodnu ravnopravnost i uključivanje rodne dimenzije</w:t>
      </w:r>
      <w:r>
        <w:rPr>
          <w:noProof/>
        </w:rPr>
        <w:t xml:space="preserve">, reforma će se sastojati i od provedbe ključnih mjera iz </w:t>
      </w:r>
      <w:r>
        <w:rPr>
          <w:i/>
          <w:noProof/>
        </w:rPr>
        <w:t>Akcijskog plana za rodnu ravnopravnost i uključivanje u sve politike.</w:t>
      </w:r>
      <w:r>
        <w:rPr>
          <w:noProof/>
        </w:rPr>
        <w:t xml:space="preserve"> </w:t>
      </w:r>
    </w:p>
    <w:p w14:paraId="7A5390A3" w14:textId="77777777" w:rsidR="008273B8" w:rsidRDefault="00B93063">
      <w:pPr>
        <w:pStyle w:val="P68B1DB1-Normal3"/>
        <w:spacing w:after="120" w:line="240" w:lineRule="auto"/>
        <w:jc w:val="both"/>
        <w:rPr>
          <w:rFonts w:eastAsia="Times New Roman" w:cs="Times New Roman"/>
          <w:noProof/>
        </w:rPr>
      </w:pPr>
      <w:r>
        <w:rPr>
          <w:noProof/>
        </w:rPr>
        <w:t>Reforma se provodi do 31. prosinca 2025.</w:t>
      </w:r>
      <w:r>
        <w:rPr>
          <w:noProof/>
          <w:color w:val="000000" w:themeColor="text1"/>
        </w:rPr>
        <w:t xml:space="preserve"> </w:t>
      </w:r>
    </w:p>
    <w:p w14:paraId="7A5390A4" w14:textId="77777777" w:rsidR="008273B8" w:rsidRDefault="00B93063">
      <w:pPr>
        <w:pStyle w:val="P68B1DB1-Normal5"/>
        <w:spacing w:after="120" w:line="240" w:lineRule="auto"/>
        <w:jc w:val="both"/>
        <w:textAlignment w:val="baseline"/>
        <w:rPr>
          <w:rFonts w:eastAsia="Times New Roman" w:cs="Times New Roman"/>
          <w:noProof/>
        </w:rPr>
      </w:pPr>
      <w:r>
        <w:rPr>
          <w:noProof/>
        </w:rPr>
        <w:t>Reforma C5-R6: Preispitivanje održivosti i ponude malteškog mirovinskog sustava</w:t>
      </w:r>
    </w:p>
    <w:p w14:paraId="7A5390A5" w14:textId="77777777" w:rsidR="008273B8" w:rsidRDefault="00B93063">
      <w:pPr>
        <w:pStyle w:val="P68B1DB1-Normal3"/>
        <w:spacing w:after="120" w:line="240" w:lineRule="auto"/>
        <w:jc w:val="both"/>
        <w:rPr>
          <w:rFonts w:eastAsia="Times New Roman" w:cs="Times New Roman"/>
          <w:noProof/>
        </w:rPr>
      </w:pPr>
      <w:r>
        <w:rPr>
          <w:noProof/>
        </w:rPr>
        <w:t>Cilj je te reforme poboljšati dugoročnu održivost i primjerenost mirovinskog sustava.</w:t>
      </w:r>
    </w:p>
    <w:p w14:paraId="7A5390A6" w14:textId="77777777" w:rsidR="008273B8" w:rsidRDefault="00B93063">
      <w:pPr>
        <w:pStyle w:val="P68B1DB1-Normal3"/>
        <w:spacing w:after="120" w:line="240" w:lineRule="auto"/>
        <w:jc w:val="both"/>
        <w:rPr>
          <w:rFonts w:eastAsia="Times New Roman" w:cs="Times New Roman"/>
          <w:noProof/>
        </w:rPr>
      </w:pPr>
      <w:r>
        <w:rPr>
          <w:noProof/>
        </w:rPr>
        <w:t xml:space="preserve">Ta se reforma sastoji od objave akcijskog plana u kojem se navode prijedlozi politika, uključujući, prema potrebi, zakonodavne izmjene za poboljšanje održivosti i primjerenosti mirovinskog sustava, kao nastavak </w:t>
      </w:r>
      <w:r>
        <w:rPr>
          <w:i/>
          <w:noProof/>
        </w:rPr>
        <w:t>izvješća o preispitivanju mirovina</w:t>
      </w:r>
      <w:r>
        <w:rPr>
          <w:noProof/>
        </w:rPr>
        <w:t xml:space="preserve"> u kojem se ocjenjuje trenutačni mirovinski sustav i preporučuju mjere politike te povratne informacije nakon savjetovanja. </w:t>
      </w:r>
    </w:p>
    <w:p w14:paraId="7A5390A7" w14:textId="772A49FC" w:rsidR="008273B8" w:rsidRDefault="00B93063">
      <w:pPr>
        <w:pStyle w:val="P68B1DB1-Normal3"/>
        <w:spacing w:after="120" w:line="240" w:lineRule="auto"/>
        <w:jc w:val="both"/>
        <w:rPr>
          <w:rFonts w:eastAsia="Times New Roman" w:cs="Times New Roman"/>
          <w:noProof/>
          <w:color w:val="000000" w:themeColor="text1"/>
        </w:rPr>
      </w:pPr>
      <w:r>
        <w:rPr>
          <w:noProof/>
        </w:rPr>
        <w:t>Reforma se provodi do 31. prosinca 2022.</w:t>
      </w:r>
      <w:r>
        <w:rPr>
          <w:noProof/>
          <w:color w:val="000000" w:themeColor="text1"/>
        </w:rPr>
        <w:t xml:space="preserve"> </w:t>
      </w:r>
    </w:p>
    <w:p w14:paraId="7A5390AE" w14:textId="77777777" w:rsidR="008273B8" w:rsidRDefault="008273B8">
      <w:pPr>
        <w:pStyle w:val="Text1"/>
        <w:rPr>
          <w:noProof/>
        </w:rPr>
        <w:sectPr w:rsidR="008273B8">
          <w:headerReference w:type="even" r:id="rId66"/>
          <w:headerReference w:type="default" r:id="rId67"/>
          <w:footerReference w:type="even" r:id="rId68"/>
          <w:footerReference w:type="default" r:id="rId69"/>
          <w:headerReference w:type="first" r:id="rId70"/>
          <w:footerReference w:type="first" r:id="rId71"/>
          <w:pgSz w:w="11907" w:h="16839"/>
          <w:pgMar w:top="1134" w:right="1134" w:bottom="1134" w:left="1134" w:header="567" w:footer="567" w:gutter="0"/>
          <w:cols w:space="720"/>
          <w:docGrid w:linePitch="360"/>
        </w:sectPr>
      </w:pPr>
    </w:p>
    <w:p w14:paraId="7A5390AF" w14:textId="77777777" w:rsidR="008273B8" w:rsidRDefault="00B93063">
      <w:pPr>
        <w:pStyle w:val="P68B1DB1-ManualHeading34"/>
        <w:spacing w:before="240" w:after="240"/>
        <w:rPr>
          <w:noProof/>
          <w:u w:val="single"/>
        </w:rPr>
      </w:pPr>
      <w:r>
        <w:rPr>
          <w:noProof/>
        </w:rPr>
        <w:t xml:space="preserve">E.2. </w:t>
      </w:r>
      <w:r>
        <w:rPr>
          <w:noProof/>
        </w:rPr>
        <w:tab/>
      </w:r>
      <w:r>
        <w:rPr>
          <w:noProof/>
          <w:u w:val="single"/>
        </w:rPr>
        <w:t>Ključne etape, ciljne vrijednosti, pokazatelji i rokovi za praćenje i provedbu bespovratne financijske potpore</w:t>
      </w:r>
    </w:p>
    <w:tbl>
      <w:tblPr>
        <w:tblW w:w="162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4"/>
        <w:gridCol w:w="1181"/>
        <w:gridCol w:w="1020"/>
        <w:gridCol w:w="1590"/>
        <w:gridCol w:w="2050"/>
        <w:gridCol w:w="894"/>
        <w:gridCol w:w="885"/>
        <w:gridCol w:w="700"/>
        <w:gridCol w:w="874"/>
        <w:gridCol w:w="685"/>
        <w:gridCol w:w="5264"/>
      </w:tblGrid>
      <w:tr w:rsidR="008273B8" w14:paraId="7A5390B8" w14:textId="77777777">
        <w:trPr>
          <w:cantSplit/>
          <w:tblHeader/>
          <w:jc w:val="center"/>
        </w:trPr>
        <w:tc>
          <w:tcPr>
            <w:tcW w:w="1144" w:type="dxa"/>
            <w:vMerge w:val="restart"/>
            <w:shd w:val="clear" w:color="auto" w:fill="BDD7EE"/>
            <w:vAlign w:val="center"/>
            <w:hideMark/>
          </w:tcPr>
          <w:p w14:paraId="7A5390B0" w14:textId="77777777" w:rsidR="008273B8" w:rsidRDefault="00B93063">
            <w:pPr>
              <w:pStyle w:val="P68B1DB1-Normal6"/>
              <w:spacing w:after="0" w:line="240" w:lineRule="auto"/>
              <w:jc w:val="center"/>
              <w:rPr>
                <w:rFonts w:eastAsia="Times New Roman" w:cs="Times New Roman"/>
                <w:noProof/>
              </w:rPr>
            </w:pPr>
            <w:r>
              <w:rPr>
                <w:noProof/>
              </w:rPr>
              <w:t>Redni broj</w:t>
            </w:r>
          </w:p>
        </w:tc>
        <w:tc>
          <w:tcPr>
            <w:tcW w:w="1181" w:type="dxa"/>
            <w:vMerge w:val="restart"/>
            <w:shd w:val="clear" w:color="auto" w:fill="BDD7EE"/>
            <w:vAlign w:val="center"/>
            <w:hideMark/>
          </w:tcPr>
          <w:p w14:paraId="7A5390B1" w14:textId="77777777" w:rsidR="008273B8" w:rsidRDefault="00B93063">
            <w:pPr>
              <w:pStyle w:val="P68B1DB1-Normal6"/>
              <w:spacing w:after="0" w:line="240" w:lineRule="auto"/>
              <w:jc w:val="center"/>
              <w:rPr>
                <w:rFonts w:eastAsia="Times New Roman" w:cs="Times New Roman"/>
                <w:noProof/>
              </w:rPr>
            </w:pPr>
            <w:r>
              <w:rPr>
                <w:noProof/>
              </w:rPr>
              <w:t>Povezana mjera (reforma ili ulaganje)</w:t>
            </w:r>
          </w:p>
        </w:tc>
        <w:tc>
          <w:tcPr>
            <w:tcW w:w="1020" w:type="dxa"/>
            <w:vMerge w:val="restart"/>
            <w:shd w:val="clear" w:color="auto" w:fill="BDD7EE"/>
            <w:vAlign w:val="center"/>
            <w:hideMark/>
          </w:tcPr>
          <w:p w14:paraId="7A5390B2" w14:textId="77777777" w:rsidR="008273B8" w:rsidRDefault="00B93063">
            <w:pPr>
              <w:pStyle w:val="P68B1DB1-Normal6"/>
              <w:spacing w:after="0" w:line="240" w:lineRule="auto"/>
              <w:jc w:val="center"/>
              <w:rPr>
                <w:rFonts w:eastAsia="Times New Roman" w:cs="Times New Roman"/>
                <w:noProof/>
              </w:rPr>
            </w:pPr>
            <w:r>
              <w:rPr>
                <w:noProof/>
              </w:rPr>
              <w:t>Ključna etapa/cilj</w:t>
            </w:r>
          </w:p>
        </w:tc>
        <w:tc>
          <w:tcPr>
            <w:tcW w:w="1590" w:type="dxa"/>
            <w:vMerge w:val="restart"/>
            <w:shd w:val="clear" w:color="auto" w:fill="BDD7EE"/>
            <w:vAlign w:val="center"/>
            <w:hideMark/>
          </w:tcPr>
          <w:p w14:paraId="7A5390B3" w14:textId="77777777" w:rsidR="008273B8" w:rsidRDefault="00B93063">
            <w:pPr>
              <w:pStyle w:val="P68B1DB1-Normal6"/>
              <w:spacing w:after="0" w:line="240" w:lineRule="auto"/>
              <w:jc w:val="center"/>
              <w:rPr>
                <w:rFonts w:eastAsia="Times New Roman" w:cs="Times New Roman"/>
                <w:noProof/>
              </w:rPr>
            </w:pPr>
            <w:r>
              <w:rPr>
                <w:noProof/>
              </w:rPr>
              <w:t>Ime</w:t>
            </w:r>
          </w:p>
        </w:tc>
        <w:tc>
          <w:tcPr>
            <w:tcW w:w="2050" w:type="dxa"/>
            <w:vMerge w:val="restart"/>
            <w:shd w:val="clear" w:color="auto" w:fill="BDD7EE"/>
            <w:vAlign w:val="center"/>
            <w:hideMark/>
          </w:tcPr>
          <w:p w14:paraId="7A5390B4" w14:textId="77777777" w:rsidR="008273B8" w:rsidRDefault="00B93063">
            <w:pPr>
              <w:spacing w:after="0" w:line="240" w:lineRule="auto"/>
              <w:jc w:val="center"/>
              <w:rPr>
                <w:rFonts w:ascii="Times New Roman" w:eastAsia="Times New Roman" w:hAnsi="Times New Roman" w:cs="Times New Roman"/>
                <w:b/>
                <w:noProof/>
                <w:sz w:val="18"/>
              </w:rPr>
            </w:pPr>
            <w:r>
              <w:rPr>
                <w:rFonts w:ascii="Times New Roman" w:hAnsi="Times New Roman"/>
                <w:b/>
                <w:noProof/>
                <w:sz w:val="18"/>
              </w:rPr>
              <w:t>Kvalitativni pokazatelji</w:t>
            </w:r>
            <w:r>
              <w:rPr>
                <w:noProof/>
              </w:rPr>
              <w:br/>
            </w:r>
            <w:r>
              <w:rPr>
                <w:rFonts w:ascii="Times New Roman" w:hAnsi="Times New Roman"/>
                <w:b/>
                <w:noProof/>
                <w:sz w:val="18"/>
              </w:rPr>
              <w:t>(za ključne etape)</w:t>
            </w:r>
          </w:p>
        </w:tc>
        <w:tc>
          <w:tcPr>
            <w:tcW w:w="2479" w:type="dxa"/>
            <w:gridSpan w:val="3"/>
            <w:shd w:val="clear" w:color="auto" w:fill="BDD7EE"/>
            <w:vAlign w:val="center"/>
            <w:hideMark/>
          </w:tcPr>
          <w:p w14:paraId="7A5390B5" w14:textId="77777777" w:rsidR="008273B8" w:rsidRDefault="00B93063">
            <w:pPr>
              <w:spacing w:after="0" w:line="240" w:lineRule="auto"/>
              <w:jc w:val="center"/>
              <w:rPr>
                <w:rFonts w:ascii="Times New Roman" w:eastAsia="Times New Roman" w:hAnsi="Times New Roman" w:cs="Times New Roman"/>
                <w:b/>
                <w:noProof/>
                <w:sz w:val="18"/>
              </w:rPr>
            </w:pPr>
            <w:r>
              <w:rPr>
                <w:rFonts w:ascii="Times New Roman" w:hAnsi="Times New Roman"/>
                <w:b/>
                <w:noProof/>
                <w:sz w:val="18"/>
              </w:rPr>
              <w:t>Kvantitativni pokazatelji</w:t>
            </w:r>
            <w:r>
              <w:rPr>
                <w:noProof/>
              </w:rPr>
              <w:br/>
            </w:r>
            <w:r>
              <w:rPr>
                <w:rFonts w:ascii="Times New Roman" w:hAnsi="Times New Roman"/>
                <w:b/>
                <w:noProof/>
                <w:sz w:val="18"/>
              </w:rPr>
              <w:t>(za ciljne vrijednosti)</w:t>
            </w:r>
          </w:p>
        </w:tc>
        <w:tc>
          <w:tcPr>
            <w:tcW w:w="1559" w:type="dxa"/>
            <w:gridSpan w:val="2"/>
            <w:shd w:val="clear" w:color="auto" w:fill="BDD7EE"/>
            <w:vAlign w:val="center"/>
            <w:hideMark/>
          </w:tcPr>
          <w:p w14:paraId="7A5390B6" w14:textId="4FC9A870" w:rsidR="008273B8" w:rsidRDefault="00B93063">
            <w:pPr>
              <w:spacing w:after="0" w:line="240" w:lineRule="auto"/>
              <w:jc w:val="center"/>
              <w:rPr>
                <w:rFonts w:ascii="Times New Roman" w:eastAsia="Times New Roman" w:hAnsi="Times New Roman" w:cs="Times New Roman"/>
                <w:b/>
                <w:noProof/>
                <w:sz w:val="18"/>
              </w:rPr>
            </w:pPr>
            <w:r>
              <w:rPr>
                <w:rFonts w:ascii="Times New Roman" w:hAnsi="Times New Roman"/>
                <w:b/>
                <w:noProof/>
                <w:sz w:val="18"/>
              </w:rPr>
              <w:t>Vremenski okvir za dovršetak</w:t>
            </w:r>
            <w:r>
              <w:rPr>
                <w:noProof/>
              </w:rPr>
              <w:br/>
            </w:r>
          </w:p>
        </w:tc>
        <w:tc>
          <w:tcPr>
            <w:tcW w:w="5264" w:type="dxa"/>
            <w:vMerge w:val="restart"/>
            <w:shd w:val="clear" w:color="auto" w:fill="BDD7EE"/>
            <w:vAlign w:val="center"/>
            <w:hideMark/>
          </w:tcPr>
          <w:p w14:paraId="7A5390B7" w14:textId="064FADE7" w:rsidR="008273B8" w:rsidRDefault="00B93063">
            <w:pPr>
              <w:pStyle w:val="P68B1DB1-Normal6"/>
              <w:spacing w:after="0" w:line="240" w:lineRule="auto"/>
              <w:jc w:val="center"/>
              <w:rPr>
                <w:rFonts w:eastAsia="Times New Roman" w:cs="Times New Roman"/>
                <w:noProof/>
              </w:rPr>
            </w:pPr>
            <w:r>
              <w:rPr>
                <w:noProof/>
              </w:rPr>
              <w:t>Opis svake ključne etape i ciljne vrijednosti</w:t>
            </w:r>
          </w:p>
        </w:tc>
      </w:tr>
      <w:tr w:rsidR="008273B8" w14:paraId="7A5390C4" w14:textId="77777777">
        <w:trPr>
          <w:cantSplit/>
          <w:tblHeader/>
          <w:jc w:val="center"/>
        </w:trPr>
        <w:tc>
          <w:tcPr>
            <w:tcW w:w="1144" w:type="dxa"/>
            <w:vMerge/>
            <w:vAlign w:val="center"/>
            <w:hideMark/>
          </w:tcPr>
          <w:p w14:paraId="7A5390B9" w14:textId="77777777" w:rsidR="008273B8" w:rsidRDefault="008273B8">
            <w:pPr>
              <w:spacing w:after="0" w:line="240" w:lineRule="auto"/>
              <w:rPr>
                <w:rFonts w:ascii="Times New Roman" w:eastAsia="Times New Roman" w:hAnsi="Times New Roman" w:cs="Times New Roman"/>
                <w:b/>
                <w:noProof/>
                <w:sz w:val="18"/>
              </w:rPr>
            </w:pPr>
          </w:p>
        </w:tc>
        <w:tc>
          <w:tcPr>
            <w:tcW w:w="1181" w:type="dxa"/>
            <w:vMerge/>
            <w:vAlign w:val="center"/>
            <w:hideMark/>
          </w:tcPr>
          <w:p w14:paraId="7A5390BA" w14:textId="77777777" w:rsidR="008273B8" w:rsidRDefault="008273B8">
            <w:pPr>
              <w:spacing w:after="0" w:line="240" w:lineRule="auto"/>
              <w:rPr>
                <w:rFonts w:ascii="Times New Roman" w:eastAsia="Times New Roman" w:hAnsi="Times New Roman" w:cs="Times New Roman"/>
                <w:b/>
                <w:noProof/>
                <w:sz w:val="18"/>
              </w:rPr>
            </w:pPr>
          </w:p>
        </w:tc>
        <w:tc>
          <w:tcPr>
            <w:tcW w:w="1020" w:type="dxa"/>
            <w:vMerge/>
            <w:vAlign w:val="center"/>
            <w:hideMark/>
          </w:tcPr>
          <w:p w14:paraId="7A5390BB" w14:textId="77777777" w:rsidR="008273B8" w:rsidRDefault="008273B8">
            <w:pPr>
              <w:spacing w:after="0" w:line="240" w:lineRule="auto"/>
              <w:rPr>
                <w:rFonts w:ascii="Times New Roman" w:eastAsia="Times New Roman" w:hAnsi="Times New Roman" w:cs="Times New Roman"/>
                <w:b/>
                <w:noProof/>
                <w:sz w:val="18"/>
              </w:rPr>
            </w:pPr>
          </w:p>
        </w:tc>
        <w:tc>
          <w:tcPr>
            <w:tcW w:w="1590" w:type="dxa"/>
            <w:vMerge/>
            <w:vAlign w:val="center"/>
            <w:hideMark/>
          </w:tcPr>
          <w:p w14:paraId="7A5390BC" w14:textId="77777777" w:rsidR="008273B8" w:rsidRDefault="008273B8">
            <w:pPr>
              <w:spacing w:after="0" w:line="240" w:lineRule="auto"/>
              <w:rPr>
                <w:rFonts w:ascii="Times New Roman" w:eastAsia="Times New Roman" w:hAnsi="Times New Roman" w:cs="Times New Roman"/>
                <w:b/>
                <w:noProof/>
                <w:sz w:val="18"/>
              </w:rPr>
            </w:pPr>
          </w:p>
        </w:tc>
        <w:tc>
          <w:tcPr>
            <w:tcW w:w="2050" w:type="dxa"/>
            <w:vMerge/>
            <w:vAlign w:val="center"/>
            <w:hideMark/>
          </w:tcPr>
          <w:p w14:paraId="7A5390BD" w14:textId="77777777" w:rsidR="008273B8" w:rsidRDefault="008273B8">
            <w:pPr>
              <w:spacing w:after="0" w:line="240" w:lineRule="auto"/>
              <w:rPr>
                <w:rFonts w:ascii="Times New Roman" w:eastAsia="Times New Roman" w:hAnsi="Times New Roman" w:cs="Times New Roman"/>
                <w:b/>
                <w:noProof/>
                <w:sz w:val="18"/>
              </w:rPr>
            </w:pPr>
          </w:p>
        </w:tc>
        <w:tc>
          <w:tcPr>
            <w:tcW w:w="894" w:type="dxa"/>
            <w:shd w:val="clear" w:color="auto" w:fill="BDD7EE"/>
            <w:vAlign w:val="center"/>
            <w:hideMark/>
          </w:tcPr>
          <w:p w14:paraId="7A5390BE" w14:textId="77777777" w:rsidR="008273B8" w:rsidRDefault="00B93063">
            <w:pPr>
              <w:pStyle w:val="P68B1DB1-Normal6"/>
              <w:spacing w:after="0" w:line="240" w:lineRule="auto"/>
              <w:jc w:val="center"/>
              <w:rPr>
                <w:rFonts w:eastAsia="Times New Roman" w:cs="Times New Roman"/>
                <w:noProof/>
              </w:rPr>
            </w:pPr>
            <w:r>
              <w:rPr>
                <w:noProof/>
              </w:rPr>
              <w:t>Jedinica mjere</w:t>
            </w:r>
          </w:p>
        </w:tc>
        <w:tc>
          <w:tcPr>
            <w:tcW w:w="885" w:type="dxa"/>
            <w:shd w:val="clear" w:color="auto" w:fill="BDD7EE"/>
            <w:vAlign w:val="center"/>
            <w:hideMark/>
          </w:tcPr>
          <w:p w14:paraId="7A5390BF" w14:textId="77777777" w:rsidR="008273B8" w:rsidRDefault="00B93063">
            <w:pPr>
              <w:pStyle w:val="P68B1DB1-Normal6"/>
              <w:spacing w:after="0" w:line="240" w:lineRule="auto"/>
              <w:jc w:val="center"/>
              <w:rPr>
                <w:rFonts w:eastAsia="Times New Roman" w:cs="Times New Roman"/>
                <w:noProof/>
              </w:rPr>
            </w:pPr>
            <w:r>
              <w:rPr>
                <w:noProof/>
              </w:rPr>
              <w:t>Polazna vrijednost</w:t>
            </w:r>
          </w:p>
        </w:tc>
        <w:tc>
          <w:tcPr>
            <w:tcW w:w="700" w:type="dxa"/>
            <w:shd w:val="clear" w:color="auto" w:fill="BDD7EE"/>
            <w:vAlign w:val="center"/>
            <w:hideMark/>
          </w:tcPr>
          <w:p w14:paraId="7A5390C0" w14:textId="77777777" w:rsidR="008273B8" w:rsidRDefault="00B93063">
            <w:pPr>
              <w:pStyle w:val="P68B1DB1-Normal6"/>
              <w:spacing w:after="0" w:line="240" w:lineRule="auto"/>
              <w:jc w:val="center"/>
              <w:rPr>
                <w:rFonts w:eastAsia="Times New Roman" w:cs="Times New Roman"/>
                <w:noProof/>
              </w:rPr>
            </w:pPr>
            <w:r>
              <w:rPr>
                <w:noProof/>
              </w:rPr>
              <w:t>Cilj</w:t>
            </w:r>
          </w:p>
        </w:tc>
        <w:tc>
          <w:tcPr>
            <w:tcW w:w="874" w:type="dxa"/>
            <w:shd w:val="clear" w:color="auto" w:fill="BDD7EE"/>
            <w:vAlign w:val="center"/>
            <w:hideMark/>
          </w:tcPr>
          <w:p w14:paraId="7A5390C1" w14:textId="77777777" w:rsidR="008273B8" w:rsidRDefault="00B93063">
            <w:pPr>
              <w:pStyle w:val="P68B1DB1-Normal6"/>
              <w:spacing w:after="0" w:line="240" w:lineRule="auto"/>
              <w:jc w:val="center"/>
              <w:rPr>
                <w:rFonts w:eastAsia="Times New Roman" w:cs="Times New Roman"/>
                <w:noProof/>
              </w:rPr>
            </w:pPr>
            <w:r>
              <w:rPr>
                <w:noProof/>
              </w:rPr>
              <w:t>Tromjesečja</w:t>
            </w:r>
          </w:p>
        </w:tc>
        <w:tc>
          <w:tcPr>
            <w:tcW w:w="685" w:type="dxa"/>
            <w:shd w:val="clear" w:color="auto" w:fill="BDD7EE"/>
            <w:vAlign w:val="center"/>
            <w:hideMark/>
          </w:tcPr>
          <w:p w14:paraId="7A5390C2" w14:textId="77777777" w:rsidR="008273B8" w:rsidRDefault="00B93063">
            <w:pPr>
              <w:pStyle w:val="P68B1DB1-Normal6"/>
              <w:spacing w:after="0" w:line="240" w:lineRule="auto"/>
              <w:jc w:val="center"/>
              <w:rPr>
                <w:rFonts w:eastAsia="Times New Roman" w:cs="Times New Roman"/>
                <w:noProof/>
              </w:rPr>
            </w:pPr>
            <w:r>
              <w:rPr>
                <w:noProof/>
              </w:rPr>
              <w:t>Godina</w:t>
            </w:r>
          </w:p>
        </w:tc>
        <w:tc>
          <w:tcPr>
            <w:tcW w:w="5264" w:type="dxa"/>
            <w:vMerge/>
            <w:vAlign w:val="center"/>
            <w:hideMark/>
          </w:tcPr>
          <w:p w14:paraId="7A5390C3" w14:textId="77777777" w:rsidR="008273B8" w:rsidRDefault="008273B8">
            <w:pPr>
              <w:spacing w:after="0" w:line="240" w:lineRule="auto"/>
              <w:rPr>
                <w:rFonts w:ascii="Times New Roman" w:eastAsia="Times New Roman" w:hAnsi="Times New Roman" w:cs="Times New Roman"/>
                <w:b/>
                <w:noProof/>
                <w:sz w:val="18"/>
              </w:rPr>
            </w:pPr>
          </w:p>
        </w:tc>
      </w:tr>
      <w:tr w:rsidR="008273B8" w14:paraId="7A5390D0" w14:textId="77777777">
        <w:trPr>
          <w:cantSplit/>
          <w:jc w:val="center"/>
        </w:trPr>
        <w:tc>
          <w:tcPr>
            <w:tcW w:w="1144" w:type="dxa"/>
            <w:shd w:val="clear" w:color="auto" w:fill="C6EFCE"/>
            <w:vAlign w:val="center"/>
            <w:hideMark/>
          </w:tcPr>
          <w:p w14:paraId="7A5390C5" w14:textId="77777777" w:rsidR="008273B8" w:rsidRDefault="00B93063">
            <w:pPr>
              <w:pStyle w:val="P68B1DB1-Normal7"/>
              <w:spacing w:after="0" w:line="240" w:lineRule="auto"/>
              <w:rPr>
                <w:rFonts w:eastAsia="Times New Roman" w:cs="Calibri"/>
                <w:noProof/>
              </w:rPr>
            </w:pPr>
            <w:r>
              <w:rPr>
                <w:noProof/>
              </w:rPr>
              <w:t>5.1</w:t>
            </w:r>
          </w:p>
        </w:tc>
        <w:tc>
          <w:tcPr>
            <w:tcW w:w="1181" w:type="dxa"/>
            <w:shd w:val="clear" w:color="auto" w:fill="C6EFCE"/>
            <w:vAlign w:val="center"/>
            <w:hideMark/>
          </w:tcPr>
          <w:p w14:paraId="7A5390C6" w14:textId="77777777" w:rsidR="008273B8" w:rsidRDefault="00B93063">
            <w:pPr>
              <w:pStyle w:val="P68B1DB1-Normal7"/>
              <w:spacing w:after="0" w:line="240" w:lineRule="auto"/>
              <w:rPr>
                <w:rFonts w:eastAsia="Times New Roman" w:cs="Calibri"/>
                <w:noProof/>
              </w:rPr>
            </w:pPr>
            <w:r>
              <w:rPr>
                <w:noProof/>
              </w:rPr>
              <w:t xml:space="preserve">C5.R.1 </w:t>
            </w:r>
          </w:p>
        </w:tc>
        <w:tc>
          <w:tcPr>
            <w:tcW w:w="1020" w:type="dxa"/>
            <w:shd w:val="clear" w:color="auto" w:fill="C6EFCE"/>
            <w:vAlign w:val="center"/>
            <w:hideMark/>
          </w:tcPr>
          <w:p w14:paraId="7A5390C7" w14:textId="77777777" w:rsidR="008273B8" w:rsidRDefault="00B93063">
            <w:pPr>
              <w:pStyle w:val="P68B1DB1-Normal7"/>
              <w:spacing w:after="0" w:line="240" w:lineRule="auto"/>
              <w:rPr>
                <w:rFonts w:eastAsia="Times New Roman" w:cs="Calibri"/>
                <w:noProof/>
              </w:rPr>
            </w:pPr>
            <w:r>
              <w:rPr>
                <w:noProof/>
              </w:rPr>
              <w:t>Ciljna vrijednost</w:t>
            </w:r>
          </w:p>
        </w:tc>
        <w:tc>
          <w:tcPr>
            <w:tcW w:w="1590" w:type="dxa"/>
            <w:shd w:val="clear" w:color="auto" w:fill="C6EFCE"/>
            <w:vAlign w:val="center"/>
            <w:hideMark/>
          </w:tcPr>
          <w:p w14:paraId="7A5390C8" w14:textId="77777777" w:rsidR="008273B8" w:rsidRDefault="00B93063">
            <w:pPr>
              <w:pStyle w:val="P68B1DB1-Normal7"/>
              <w:spacing w:after="0" w:line="240" w:lineRule="auto"/>
              <w:rPr>
                <w:rFonts w:eastAsia="Times New Roman" w:cs="Calibri"/>
                <w:noProof/>
              </w:rPr>
            </w:pPr>
            <w:r>
              <w:rPr>
                <w:noProof/>
              </w:rPr>
              <w:t>Broj studenata (u dobi od 6 do 7 godina) koji su osposobljeni u okviru programa Reading Recovery (RR)</w:t>
            </w:r>
          </w:p>
        </w:tc>
        <w:tc>
          <w:tcPr>
            <w:tcW w:w="2050" w:type="dxa"/>
            <w:shd w:val="clear" w:color="auto" w:fill="C6EFCE"/>
            <w:vAlign w:val="center"/>
            <w:hideMark/>
          </w:tcPr>
          <w:p w14:paraId="7A5390C9" w14:textId="77777777" w:rsidR="008273B8" w:rsidRDefault="008273B8">
            <w:pPr>
              <w:spacing w:after="0" w:line="240" w:lineRule="auto"/>
              <w:jc w:val="center"/>
              <w:rPr>
                <w:rFonts w:ascii="Calibri" w:eastAsia="Times New Roman" w:hAnsi="Calibri" w:cs="Calibri"/>
                <w:noProof/>
                <w:sz w:val="18"/>
              </w:rPr>
            </w:pPr>
          </w:p>
        </w:tc>
        <w:tc>
          <w:tcPr>
            <w:tcW w:w="894" w:type="dxa"/>
            <w:shd w:val="clear" w:color="auto" w:fill="C6EFCE"/>
            <w:vAlign w:val="center"/>
            <w:hideMark/>
          </w:tcPr>
          <w:p w14:paraId="7A5390CA" w14:textId="77777777" w:rsidR="008273B8" w:rsidRDefault="00B93063">
            <w:pPr>
              <w:pStyle w:val="P68B1DB1-Normal7"/>
              <w:spacing w:after="0" w:line="240" w:lineRule="auto"/>
              <w:jc w:val="center"/>
              <w:rPr>
                <w:rFonts w:eastAsia="Times New Roman" w:cs="Calibri"/>
                <w:noProof/>
              </w:rPr>
            </w:pPr>
            <w:r>
              <w:rPr>
                <w:noProof/>
              </w:rPr>
              <w:t>Broj</w:t>
            </w:r>
          </w:p>
        </w:tc>
        <w:tc>
          <w:tcPr>
            <w:tcW w:w="885" w:type="dxa"/>
            <w:shd w:val="clear" w:color="auto" w:fill="C6EFCE"/>
            <w:vAlign w:val="center"/>
            <w:hideMark/>
          </w:tcPr>
          <w:p w14:paraId="7A5390CB" w14:textId="77777777" w:rsidR="008273B8" w:rsidRDefault="00B93063">
            <w:pPr>
              <w:pStyle w:val="P68B1DB1-Normal7"/>
              <w:spacing w:after="0" w:line="240" w:lineRule="auto"/>
              <w:jc w:val="center"/>
              <w:rPr>
                <w:rFonts w:eastAsia="Times New Roman" w:cs="Calibri"/>
                <w:noProof/>
              </w:rPr>
            </w:pPr>
            <w:r>
              <w:rPr>
                <w:noProof/>
              </w:rPr>
              <w:t>0</w:t>
            </w:r>
          </w:p>
        </w:tc>
        <w:tc>
          <w:tcPr>
            <w:tcW w:w="700" w:type="dxa"/>
            <w:shd w:val="clear" w:color="auto" w:fill="C6EFCE"/>
            <w:vAlign w:val="center"/>
            <w:hideMark/>
          </w:tcPr>
          <w:p w14:paraId="7A5390CC" w14:textId="77777777" w:rsidR="008273B8" w:rsidRDefault="00B93063">
            <w:pPr>
              <w:pStyle w:val="P68B1DB1-Normal7"/>
              <w:spacing w:after="0" w:line="240" w:lineRule="auto"/>
              <w:jc w:val="center"/>
              <w:rPr>
                <w:rFonts w:eastAsia="Times New Roman" w:cs="Calibri"/>
                <w:noProof/>
              </w:rPr>
            </w:pPr>
            <w:r>
              <w:rPr>
                <w:noProof/>
              </w:rPr>
              <w:t>1 000</w:t>
            </w:r>
          </w:p>
        </w:tc>
        <w:tc>
          <w:tcPr>
            <w:tcW w:w="874" w:type="dxa"/>
            <w:shd w:val="clear" w:color="auto" w:fill="C6EFCE"/>
            <w:vAlign w:val="center"/>
            <w:hideMark/>
          </w:tcPr>
          <w:p w14:paraId="7A5390CD"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85" w:type="dxa"/>
            <w:shd w:val="clear" w:color="auto" w:fill="C6EFCE"/>
            <w:vAlign w:val="center"/>
            <w:hideMark/>
          </w:tcPr>
          <w:p w14:paraId="7A5390CE" w14:textId="77777777" w:rsidR="008273B8" w:rsidRDefault="00B93063">
            <w:pPr>
              <w:pStyle w:val="P68B1DB1-Normal7"/>
              <w:spacing w:after="0" w:line="240" w:lineRule="auto"/>
              <w:jc w:val="center"/>
              <w:rPr>
                <w:rFonts w:eastAsia="Times New Roman" w:cs="Calibri"/>
                <w:noProof/>
              </w:rPr>
            </w:pPr>
            <w:r>
              <w:rPr>
                <w:noProof/>
              </w:rPr>
              <w:t>2024</w:t>
            </w:r>
          </w:p>
        </w:tc>
        <w:tc>
          <w:tcPr>
            <w:tcW w:w="5264" w:type="dxa"/>
            <w:shd w:val="clear" w:color="auto" w:fill="C6EFCE"/>
            <w:vAlign w:val="center"/>
            <w:hideMark/>
          </w:tcPr>
          <w:p w14:paraId="7A5390CF" w14:textId="77777777" w:rsidR="008273B8" w:rsidRDefault="00B93063">
            <w:pPr>
              <w:pStyle w:val="P68B1DB1-Normal7"/>
              <w:spacing w:after="0" w:line="240" w:lineRule="auto"/>
              <w:rPr>
                <w:rFonts w:eastAsia="Times New Roman" w:cs="Calibri"/>
                <w:noProof/>
              </w:rPr>
            </w:pPr>
            <w:r>
              <w:rPr>
                <w:noProof/>
              </w:rPr>
              <w:t xml:space="preserve">Ciljna publika sastoji se od prosječno 250 učenika (u dobi od 6 do 7 godina) godišnje osposobljenih u okviru programa Reading Recovery (RR) počevši od 2021. U razdoblju od 2021. do 2024. najmanje 1000 studenata mora uspješno završiti program RR-a i postati neovisni čitatelji i pisci, što je potvrđeno testom na kraju programa. </w:t>
            </w:r>
          </w:p>
        </w:tc>
      </w:tr>
      <w:tr w:rsidR="008273B8" w14:paraId="7A5390DC" w14:textId="77777777">
        <w:trPr>
          <w:cantSplit/>
          <w:jc w:val="center"/>
        </w:trPr>
        <w:tc>
          <w:tcPr>
            <w:tcW w:w="1144" w:type="dxa"/>
            <w:shd w:val="clear" w:color="auto" w:fill="C6EFCE"/>
            <w:vAlign w:val="center"/>
            <w:hideMark/>
          </w:tcPr>
          <w:p w14:paraId="7A5390D1" w14:textId="77777777" w:rsidR="008273B8" w:rsidRDefault="00B93063">
            <w:pPr>
              <w:pStyle w:val="P68B1DB1-Normal7"/>
              <w:spacing w:after="0" w:line="240" w:lineRule="auto"/>
              <w:rPr>
                <w:rFonts w:eastAsia="Times New Roman" w:cs="Calibri"/>
                <w:noProof/>
              </w:rPr>
            </w:pPr>
            <w:r>
              <w:rPr>
                <w:noProof/>
              </w:rPr>
              <w:t>5.2</w:t>
            </w:r>
          </w:p>
        </w:tc>
        <w:tc>
          <w:tcPr>
            <w:tcW w:w="1181" w:type="dxa"/>
            <w:shd w:val="clear" w:color="auto" w:fill="C6EFCE"/>
            <w:vAlign w:val="center"/>
            <w:hideMark/>
          </w:tcPr>
          <w:p w14:paraId="7A5390D2" w14:textId="77777777" w:rsidR="008273B8" w:rsidRDefault="00B93063">
            <w:pPr>
              <w:pStyle w:val="P68B1DB1-Normal7"/>
              <w:spacing w:after="0" w:line="240" w:lineRule="auto"/>
              <w:rPr>
                <w:rFonts w:eastAsia="Times New Roman" w:cs="Calibri"/>
                <w:noProof/>
              </w:rPr>
            </w:pPr>
            <w:r>
              <w:rPr>
                <w:noProof/>
              </w:rPr>
              <w:t xml:space="preserve">C5.R.1 </w:t>
            </w:r>
          </w:p>
        </w:tc>
        <w:tc>
          <w:tcPr>
            <w:tcW w:w="1020" w:type="dxa"/>
            <w:shd w:val="clear" w:color="auto" w:fill="C6EFCE"/>
            <w:vAlign w:val="center"/>
            <w:hideMark/>
          </w:tcPr>
          <w:p w14:paraId="7A5390D3" w14:textId="77777777" w:rsidR="008273B8" w:rsidRDefault="00B93063">
            <w:pPr>
              <w:pStyle w:val="P68B1DB1-Normal7"/>
              <w:spacing w:after="0" w:line="240" w:lineRule="auto"/>
              <w:rPr>
                <w:rFonts w:eastAsia="Times New Roman" w:cs="Calibri"/>
                <w:noProof/>
              </w:rPr>
            </w:pPr>
            <w:r>
              <w:rPr>
                <w:noProof/>
              </w:rPr>
              <w:t>Ciljna vrijednost</w:t>
            </w:r>
          </w:p>
        </w:tc>
        <w:tc>
          <w:tcPr>
            <w:tcW w:w="1590" w:type="dxa"/>
            <w:shd w:val="clear" w:color="auto" w:fill="C6EFCE"/>
            <w:vAlign w:val="center"/>
            <w:hideMark/>
          </w:tcPr>
          <w:p w14:paraId="7A5390D4" w14:textId="77777777" w:rsidR="008273B8" w:rsidRDefault="00B93063">
            <w:pPr>
              <w:pStyle w:val="P68B1DB1-Normal7"/>
              <w:spacing w:after="0" w:line="240" w:lineRule="auto"/>
              <w:rPr>
                <w:rFonts w:eastAsia="Times New Roman" w:cs="Calibri"/>
                <w:noProof/>
              </w:rPr>
            </w:pPr>
            <w:r>
              <w:rPr>
                <w:noProof/>
              </w:rPr>
              <w:t>Odgojno-obrazovni djelatnici osposobljeni u okviru programa Reading Recovery (RR)</w:t>
            </w:r>
          </w:p>
        </w:tc>
        <w:tc>
          <w:tcPr>
            <w:tcW w:w="2050" w:type="dxa"/>
            <w:shd w:val="clear" w:color="auto" w:fill="C6EFCE"/>
            <w:vAlign w:val="center"/>
            <w:hideMark/>
          </w:tcPr>
          <w:p w14:paraId="7A5390D5" w14:textId="77777777" w:rsidR="008273B8" w:rsidRDefault="008273B8">
            <w:pPr>
              <w:spacing w:after="0" w:line="240" w:lineRule="auto"/>
              <w:jc w:val="center"/>
              <w:rPr>
                <w:rFonts w:ascii="Calibri" w:eastAsia="Times New Roman" w:hAnsi="Calibri" w:cs="Calibri"/>
                <w:noProof/>
                <w:sz w:val="18"/>
              </w:rPr>
            </w:pPr>
          </w:p>
        </w:tc>
        <w:tc>
          <w:tcPr>
            <w:tcW w:w="894" w:type="dxa"/>
            <w:shd w:val="clear" w:color="auto" w:fill="C6EFCE"/>
            <w:vAlign w:val="center"/>
            <w:hideMark/>
          </w:tcPr>
          <w:p w14:paraId="7A5390D6" w14:textId="77777777" w:rsidR="008273B8" w:rsidRDefault="00B93063">
            <w:pPr>
              <w:pStyle w:val="P68B1DB1-Normal7"/>
              <w:spacing w:after="0" w:line="240" w:lineRule="auto"/>
              <w:jc w:val="center"/>
              <w:rPr>
                <w:rFonts w:eastAsia="Times New Roman" w:cs="Calibri"/>
                <w:noProof/>
              </w:rPr>
            </w:pPr>
            <w:r>
              <w:rPr>
                <w:noProof/>
              </w:rPr>
              <w:t>Broj</w:t>
            </w:r>
          </w:p>
        </w:tc>
        <w:tc>
          <w:tcPr>
            <w:tcW w:w="885" w:type="dxa"/>
            <w:shd w:val="clear" w:color="auto" w:fill="C6EFCE"/>
            <w:vAlign w:val="center"/>
            <w:hideMark/>
          </w:tcPr>
          <w:p w14:paraId="7A5390D7" w14:textId="77777777" w:rsidR="008273B8" w:rsidRDefault="00B93063">
            <w:pPr>
              <w:pStyle w:val="P68B1DB1-Normal7"/>
              <w:spacing w:after="0" w:line="240" w:lineRule="auto"/>
              <w:jc w:val="center"/>
              <w:rPr>
                <w:rFonts w:eastAsia="Times New Roman" w:cs="Calibri"/>
                <w:noProof/>
              </w:rPr>
            </w:pPr>
            <w:r>
              <w:rPr>
                <w:noProof/>
              </w:rPr>
              <w:t>0</w:t>
            </w:r>
          </w:p>
        </w:tc>
        <w:tc>
          <w:tcPr>
            <w:tcW w:w="700" w:type="dxa"/>
            <w:shd w:val="clear" w:color="auto" w:fill="C6EFCE"/>
            <w:vAlign w:val="center"/>
            <w:hideMark/>
          </w:tcPr>
          <w:p w14:paraId="7A5390D8" w14:textId="77777777" w:rsidR="008273B8" w:rsidRDefault="00B93063">
            <w:pPr>
              <w:pStyle w:val="P68B1DB1-Normal7"/>
              <w:spacing w:after="0" w:line="240" w:lineRule="auto"/>
              <w:jc w:val="center"/>
              <w:rPr>
                <w:rFonts w:eastAsia="Times New Roman" w:cs="Calibri"/>
                <w:noProof/>
              </w:rPr>
            </w:pPr>
            <w:r>
              <w:rPr>
                <w:noProof/>
              </w:rPr>
              <w:t>85</w:t>
            </w:r>
          </w:p>
        </w:tc>
        <w:tc>
          <w:tcPr>
            <w:tcW w:w="874" w:type="dxa"/>
            <w:shd w:val="clear" w:color="auto" w:fill="C6EFCE"/>
            <w:vAlign w:val="center"/>
            <w:hideMark/>
          </w:tcPr>
          <w:p w14:paraId="7A5390D9"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85" w:type="dxa"/>
            <w:shd w:val="clear" w:color="auto" w:fill="C6EFCE"/>
            <w:vAlign w:val="center"/>
            <w:hideMark/>
          </w:tcPr>
          <w:p w14:paraId="7A5390DA" w14:textId="77777777" w:rsidR="008273B8" w:rsidRDefault="00B93063">
            <w:pPr>
              <w:pStyle w:val="P68B1DB1-Normal7"/>
              <w:spacing w:after="0" w:line="240" w:lineRule="auto"/>
              <w:jc w:val="center"/>
              <w:rPr>
                <w:rFonts w:eastAsia="Times New Roman" w:cs="Calibri"/>
                <w:noProof/>
              </w:rPr>
            </w:pPr>
            <w:r>
              <w:rPr>
                <w:noProof/>
              </w:rPr>
              <w:t>2023</w:t>
            </w:r>
          </w:p>
        </w:tc>
        <w:tc>
          <w:tcPr>
            <w:tcW w:w="5264" w:type="dxa"/>
            <w:shd w:val="clear" w:color="auto" w:fill="C6EFCE"/>
            <w:vAlign w:val="center"/>
            <w:hideMark/>
          </w:tcPr>
          <w:p w14:paraId="7A5390DB" w14:textId="77777777" w:rsidR="008273B8" w:rsidRDefault="00B93063">
            <w:pPr>
              <w:pStyle w:val="P68B1DB1-Normal7"/>
              <w:spacing w:after="0" w:line="240" w:lineRule="auto"/>
              <w:rPr>
                <w:rFonts w:eastAsia="Times New Roman" w:cs="Calibri"/>
                <w:noProof/>
              </w:rPr>
            </w:pPr>
            <w:r>
              <w:rPr>
                <w:noProof/>
              </w:rPr>
              <w:t xml:space="preserve">Skupina od 85 komplementarnih nastavnika u školi koji rade s djecom koja se najviše podučavaju sudjeluje u intenzivnom osposobljavanju tijekom jedne godine kako bi se naučilo upotrebljavati metodologiju oporavka u čitanju. Tijekom tog razdoblja nastavnici utvrđuju djecu s najnižim brojem učenika i rade s njima pola sata svaki dan u trajanju od najviše dvadeset (20) tjedana, a do kraja tog programa najmanje 80 % istih učenika postaje samostalni čitatelj i pisac. </w:t>
            </w:r>
          </w:p>
        </w:tc>
      </w:tr>
      <w:tr w:rsidR="008273B8" w14:paraId="7A5390E8" w14:textId="77777777">
        <w:trPr>
          <w:cantSplit/>
          <w:jc w:val="center"/>
        </w:trPr>
        <w:tc>
          <w:tcPr>
            <w:tcW w:w="1144" w:type="dxa"/>
            <w:shd w:val="clear" w:color="auto" w:fill="C6EFCE"/>
            <w:vAlign w:val="center"/>
            <w:hideMark/>
          </w:tcPr>
          <w:p w14:paraId="7A5390DD" w14:textId="77777777" w:rsidR="008273B8" w:rsidRDefault="00B93063">
            <w:pPr>
              <w:pStyle w:val="P68B1DB1-Normal7"/>
              <w:spacing w:after="0" w:line="240" w:lineRule="auto"/>
              <w:rPr>
                <w:rFonts w:eastAsia="Times New Roman" w:cs="Calibri"/>
                <w:noProof/>
              </w:rPr>
            </w:pPr>
            <w:r>
              <w:rPr>
                <w:noProof/>
              </w:rPr>
              <w:t>5.3</w:t>
            </w:r>
          </w:p>
        </w:tc>
        <w:tc>
          <w:tcPr>
            <w:tcW w:w="1181" w:type="dxa"/>
            <w:shd w:val="clear" w:color="auto" w:fill="C6EFCE"/>
            <w:vAlign w:val="center"/>
            <w:hideMark/>
          </w:tcPr>
          <w:p w14:paraId="7A5390DE" w14:textId="77777777" w:rsidR="008273B8" w:rsidRDefault="00B93063">
            <w:pPr>
              <w:pStyle w:val="P68B1DB1-Normal7"/>
              <w:spacing w:after="0" w:line="240" w:lineRule="auto"/>
              <w:rPr>
                <w:rFonts w:eastAsia="Times New Roman" w:cs="Calibri"/>
                <w:noProof/>
              </w:rPr>
            </w:pPr>
            <w:r>
              <w:rPr>
                <w:noProof/>
              </w:rPr>
              <w:t xml:space="preserve">C5.R.1 </w:t>
            </w:r>
          </w:p>
        </w:tc>
        <w:tc>
          <w:tcPr>
            <w:tcW w:w="1020" w:type="dxa"/>
            <w:shd w:val="clear" w:color="auto" w:fill="C6EFCE"/>
            <w:vAlign w:val="center"/>
            <w:hideMark/>
          </w:tcPr>
          <w:p w14:paraId="7A5390DF" w14:textId="77777777" w:rsidR="008273B8" w:rsidRDefault="00B93063">
            <w:pPr>
              <w:pStyle w:val="P68B1DB1-Normal7"/>
              <w:spacing w:after="0" w:line="240" w:lineRule="auto"/>
              <w:rPr>
                <w:rFonts w:eastAsia="Times New Roman" w:cs="Calibri"/>
                <w:noProof/>
              </w:rPr>
            </w:pPr>
            <w:r>
              <w:rPr>
                <w:noProof/>
              </w:rPr>
              <w:t>Ključna etapa</w:t>
            </w:r>
          </w:p>
        </w:tc>
        <w:tc>
          <w:tcPr>
            <w:tcW w:w="1590" w:type="dxa"/>
            <w:shd w:val="clear" w:color="auto" w:fill="C6EFCE"/>
            <w:vAlign w:val="center"/>
            <w:hideMark/>
          </w:tcPr>
          <w:p w14:paraId="7A5390E0" w14:textId="77777777" w:rsidR="008273B8" w:rsidRDefault="00B93063">
            <w:pPr>
              <w:pStyle w:val="P68B1DB1-Normal7"/>
              <w:spacing w:after="0" w:line="240" w:lineRule="auto"/>
              <w:rPr>
                <w:rFonts w:eastAsia="Times New Roman" w:cs="Calibri"/>
                <w:noProof/>
              </w:rPr>
            </w:pPr>
            <w:r>
              <w:rPr>
                <w:noProof/>
              </w:rPr>
              <w:t xml:space="preserve">Provedba mjera uključenih u </w:t>
            </w:r>
            <w:r>
              <w:rPr>
                <w:i/>
                <w:noProof/>
              </w:rPr>
              <w:t>strategiju za osnovne vještine</w:t>
            </w:r>
          </w:p>
        </w:tc>
        <w:tc>
          <w:tcPr>
            <w:tcW w:w="2050" w:type="dxa"/>
            <w:shd w:val="clear" w:color="auto" w:fill="C6EFCE"/>
            <w:vAlign w:val="center"/>
            <w:hideMark/>
          </w:tcPr>
          <w:p w14:paraId="7A5390E1" w14:textId="77777777" w:rsidR="008273B8" w:rsidRDefault="00B93063">
            <w:pPr>
              <w:pStyle w:val="P68B1DB1-Normal7"/>
              <w:spacing w:after="0" w:line="240" w:lineRule="auto"/>
              <w:rPr>
                <w:rFonts w:eastAsia="Times New Roman" w:cs="Calibri"/>
                <w:noProof/>
              </w:rPr>
            </w:pPr>
            <w:r>
              <w:rPr>
                <w:noProof/>
              </w:rPr>
              <w:t xml:space="preserve">Nakon njezina donošenja provode se mjere uključene u </w:t>
            </w:r>
            <w:r>
              <w:rPr>
                <w:i/>
                <w:noProof/>
              </w:rPr>
              <w:t>strategiju za osnovne vještine</w:t>
            </w:r>
            <w:r>
              <w:rPr>
                <w:noProof/>
              </w:rPr>
              <w:t>.</w:t>
            </w:r>
          </w:p>
        </w:tc>
        <w:tc>
          <w:tcPr>
            <w:tcW w:w="894" w:type="dxa"/>
            <w:shd w:val="clear" w:color="auto" w:fill="C6EFCE"/>
            <w:vAlign w:val="center"/>
            <w:hideMark/>
          </w:tcPr>
          <w:p w14:paraId="7A5390E2" w14:textId="77777777" w:rsidR="008273B8" w:rsidRDefault="008273B8">
            <w:pPr>
              <w:spacing w:after="0" w:line="240" w:lineRule="auto"/>
              <w:jc w:val="center"/>
              <w:rPr>
                <w:rFonts w:ascii="Calibri" w:eastAsia="Times New Roman" w:hAnsi="Calibri" w:cs="Calibri"/>
                <w:noProof/>
                <w:sz w:val="18"/>
              </w:rPr>
            </w:pPr>
          </w:p>
        </w:tc>
        <w:tc>
          <w:tcPr>
            <w:tcW w:w="885" w:type="dxa"/>
            <w:shd w:val="clear" w:color="auto" w:fill="C6EFCE"/>
            <w:vAlign w:val="center"/>
            <w:hideMark/>
          </w:tcPr>
          <w:p w14:paraId="7A5390E3" w14:textId="77777777" w:rsidR="008273B8" w:rsidRDefault="008273B8">
            <w:pPr>
              <w:spacing w:after="0" w:line="240" w:lineRule="auto"/>
              <w:jc w:val="center"/>
              <w:rPr>
                <w:rFonts w:ascii="Calibri" w:eastAsia="Times New Roman" w:hAnsi="Calibri" w:cs="Calibri"/>
                <w:noProof/>
                <w:sz w:val="18"/>
              </w:rPr>
            </w:pPr>
          </w:p>
        </w:tc>
        <w:tc>
          <w:tcPr>
            <w:tcW w:w="700" w:type="dxa"/>
            <w:shd w:val="clear" w:color="auto" w:fill="C6EFCE"/>
            <w:vAlign w:val="center"/>
            <w:hideMark/>
          </w:tcPr>
          <w:p w14:paraId="7A5390E4" w14:textId="77777777" w:rsidR="008273B8" w:rsidRDefault="008273B8">
            <w:pPr>
              <w:spacing w:after="0" w:line="240" w:lineRule="auto"/>
              <w:jc w:val="center"/>
              <w:rPr>
                <w:rFonts w:ascii="Calibri" w:eastAsia="Times New Roman" w:hAnsi="Calibri" w:cs="Calibri"/>
                <w:noProof/>
                <w:sz w:val="18"/>
              </w:rPr>
            </w:pPr>
          </w:p>
        </w:tc>
        <w:tc>
          <w:tcPr>
            <w:tcW w:w="874" w:type="dxa"/>
            <w:shd w:val="clear" w:color="auto" w:fill="C6EFCE"/>
            <w:vAlign w:val="center"/>
            <w:hideMark/>
          </w:tcPr>
          <w:p w14:paraId="7A5390E5"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85" w:type="dxa"/>
            <w:shd w:val="clear" w:color="auto" w:fill="C6EFCE"/>
            <w:vAlign w:val="center"/>
            <w:hideMark/>
          </w:tcPr>
          <w:p w14:paraId="7A5390E6" w14:textId="77777777" w:rsidR="008273B8" w:rsidRDefault="00B93063">
            <w:pPr>
              <w:pStyle w:val="P68B1DB1-Normal7"/>
              <w:spacing w:after="0" w:line="240" w:lineRule="auto"/>
              <w:jc w:val="center"/>
              <w:rPr>
                <w:rFonts w:eastAsia="Times New Roman" w:cs="Calibri"/>
                <w:noProof/>
              </w:rPr>
            </w:pPr>
            <w:r>
              <w:rPr>
                <w:noProof/>
              </w:rPr>
              <w:t>2024</w:t>
            </w:r>
          </w:p>
        </w:tc>
        <w:tc>
          <w:tcPr>
            <w:tcW w:w="5264" w:type="dxa"/>
            <w:shd w:val="clear" w:color="auto" w:fill="C6EFCE"/>
            <w:vAlign w:val="center"/>
            <w:hideMark/>
          </w:tcPr>
          <w:p w14:paraId="7A5390E7" w14:textId="77777777" w:rsidR="008273B8" w:rsidRDefault="00B93063">
            <w:pPr>
              <w:spacing w:after="0" w:line="240" w:lineRule="auto"/>
              <w:rPr>
                <w:rFonts w:ascii="Calibri" w:eastAsia="Times New Roman" w:hAnsi="Calibri" w:cs="Calibri"/>
                <w:noProof/>
                <w:sz w:val="18"/>
              </w:rPr>
            </w:pPr>
            <w:r>
              <w:rPr>
                <w:rFonts w:ascii="Calibri" w:hAnsi="Calibri"/>
                <w:noProof/>
                <w:sz w:val="18"/>
              </w:rPr>
              <w:t xml:space="preserve">Nakon njezina donošenja provest će se najmanje tri (3) mjere od dvadeset i četiri (24) mjere navedene u </w:t>
            </w:r>
            <w:r>
              <w:rPr>
                <w:rFonts w:ascii="Calibri" w:hAnsi="Calibri"/>
                <w:i/>
                <w:noProof/>
                <w:sz w:val="18"/>
              </w:rPr>
              <w:t>osnovnoj strategiji</w:t>
            </w:r>
            <w:r>
              <w:rPr>
                <w:rFonts w:ascii="Calibri" w:hAnsi="Calibri"/>
                <w:noProof/>
                <w:sz w:val="18"/>
              </w:rPr>
              <w:t xml:space="preserve"> za vještine za učenike svih dobnih skupina, uključujući:</w:t>
            </w:r>
            <w:r>
              <w:rPr>
                <w:noProof/>
              </w:rPr>
              <w:br/>
            </w:r>
            <w:r>
              <w:rPr>
                <w:noProof/>
              </w:rPr>
              <w:br/>
            </w:r>
            <w:r>
              <w:rPr>
                <w:rFonts w:ascii="Calibri" w:hAnsi="Calibri"/>
                <w:noProof/>
                <w:sz w:val="18"/>
              </w:rPr>
              <w:t>(i) Upravo za istraživanje, cjeloživotno učenje i zapošljivost (DRLLE) uvodi „provjerivač vještina” u obliku elektroničke aplikacije i na web-mjestu Uprave za samomjerenje razine pismenosti, matematičke pismenosti i digitalnih vještina (provjerivač vještina bit će relevantan do razine 3 MQF (Malta kvalifikacijski okvir)) kao pokazatelj i pomoć u projektiranju daljnje obrazovne putanje;</w:t>
            </w:r>
            <w:r>
              <w:rPr>
                <w:noProof/>
              </w:rPr>
              <w:br/>
            </w:r>
            <w:r>
              <w:rPr>
                <w:rFonts w:ascii="Calibri" w:hAnsi="Calibri"/>
                <w:noProof/>
                <w:sz w:val="18"/>
              </w:rPr>
              <w:t>ii. osposobljavanje nastavnog osoblja u području specijalizacije u području pedagoške osnovne vještine (najmanje 120 nastavnika bit će osposobljeno); i</w:t>
            </w:r>
            <w:r>
              <w:rPr>
                <w:noProof/>
              </w:rPr>
              <w:br/>
              <w:t xml:space="preserve"> </w:t>
            </w:r>
            <w:r>
              <w:rPr>
                <w:rFonts w:ascii="Calibri" w:hAnsi="Calibri"/>
                <w:noProof/>
                <w:sz w:val="18"/>
              </w:rPr>
              <w:t>iii. najmanje četiri (4) ponude profesionalnog usmjeravanja i općeg treniranja za dobrobit koje pruža Sveučilište na Malti, među ostalim za studente s osnovnim vještinama koji pokazuju interes za poboljšanje razine svojih vještina i žele pohađati tečaj s DRLLE-om.</w:t>
            </w:r>
          </w:p>
        </w:tc>
      </w:tr>
      <w:tr w:rsidR="008273B8" w14:paraId="7A5390F4" w14:textId="77777777">
        <w:trPr>
          <w:cantSplit/>
          <w:jc w:val="center"/>
        </w:trPr>
        <w:tc>
          <w:tcPr>
            <w:tcW w:w="1144" w:type="dxa"/>
            <w:shd w:val="clear" w:color="auto" w:fill="C6EFCE"/>
            <w:vAlign w:val="center"/>
            <w:hideMark/>
          </w:tcPr>
          <w:p w14:paraId="7A5390E9" w14:textId="77777777" w:rsidR="008273B8" w:rsidRDefault="00B93063">
            <w:pPr>
              <w:pStyle w:val="P68B1DB1-Normal7"/>
              <w:spacing w:after="0" w:line="240" w:lineRule="auto"/>
              <w:rPr>
                <w:rFonts w:eastAsia="Times New Roman" w:cs="Calibri"/>
                <w:noProof/>
              </w:rPr>
            </w:pPr>
            <w:r>
              <w:rPr>
                <w:noProof/>
              </w:rPr>
              <w:t>5.4</w:t>
            </w:r>
          </w:p>
        </w:tc>
        <w:tc>
          <w:tcPr>
            <w:tcW w:w="1181" w:type="dxa"/>
            <w:shd w:val="clear" w:color="auto" w:fill="C6EFCE"/>
            <w:vAlign w:val="center"/>
            <w:hideMark/>
          </w:tcPr>
          <w:p w14:paraId="7A5390EA" w14:textId="77777777" w:rsidR="008273B8" w:rsidRDefault="00B93063">
            <w:pPr>
              <w:pStyle w:val="P68B1DB1-Normal7"/>
              <w:spacing w:after="0" w:line="240" w:lineRule="auto"/>
              <w:rPr>
                <w:rFonts w:eastAsia="Times New Roman" w:cs="Calibri"/>
                <w:noProof/>
              </w:rPr>
            </w:pPr>
            <w:r>
              <w:rPr>
                <w:noProof/>
              </w:rPr>
              <w:t xml:space="preserve">C5.R.1 </w:t>
            </w:r>
          </w:p>
        </w:tc>
        <w:tc>
          <w:tcPr>
            <w:tcW w:w="1020" w:type="dxa"/>
            <w:shd w:val="clear" w:color="auto" w:fill="C6EFCE"/>
            <w:vAlign w:val="center"/>
            <w:hideMark/>
          </w:tcPr>
          <w:p w14:paraId="7A5390EB" w14:textId="77777777" w:rsidR="008273B8" w:rsidRDefault="00B93063">
            <w:pPr>
              <w:pStyle w:val="P68B1DB1-Normal7"/>
              <w:spacing w:after="0" w:line="240" w:lineRule="auto"/>
              <w:rPr>
                <w:rFonts w:eastAsia="Times New Roman" w:cs="Calibri"/>
                <w:noProof/>
              </w:rPr>
            </w:pPr>
            <w:r>
              <w:rPr>
                <w:noProof/>
              </w:rPr>
              <w:t>Ključna etapa</w:t>
            </w:r>
          </w:p>
        </w:tc>
        <w:tc>
          <w:tcPr>
            <w:tcW w:w="1590" w:type="dxa"/>
            <w:shd w:val="clear" w:color="auto" w:fill="C6EFCE"/>
            <w:vAlign w:val="center"/>
            <w:hideMark/>
          </w:tcPr>
          <w:p w14:paraId="7A5390EC" w14:textId="77777777" w:rsidR="008273B8" w:rsidRDefault="00B93063">
            <w:pPr>
              <w:pStyle w:val="P68B1DB1-Normal7"/>
              <w:spacing w:after="0" w:line="240" w:lineRule="auto"/>
              <w:rPr>
                <w:rFonts w:eastAsia="Times New Roman" w:cs="Calibri"/>
                <w:noProof/>
              </w:rPr>
            </w:pPr>
            <w:r>
              <w:rPr>
                <w:i/>
                <w:noProof/>
              </w:rPr>
              <w:t>Projekt skladišta podataka</w:t>
            </w:r>
            <w:r>
              <w:rPr>
                <w:noProof/>
              </w:rPr>
              <w:t xml:space="preserve"> /osobe koje rano napuštaju školovanje (ESL) opći sustav za praćenje</w:t>
            </w:r>
          </w:p>
        </w:tc>
        <w:tc>
          <w:tcPr>
            <w:tcW w:w="2050" w:type="dxa"/>
            <w:shd w:val="clear" w:color="auto" w:fill="C6EFCE"/>
            <w:vAlign w:val="center"/>
            <w:hideMark/>
          </w:tcPr>
          <w:p w14:paraId="7A5390ED" w14:textId="77777777" w:rsidR="008273B8" w:rsidRDefault="00B93063">
            <w:pPr>
              <w:pStyle w:val="P68B1DB1-Normal7"/>
              <w:spacing w:after="0" w:line="240" w:lineRule="auto"/>
              <w:rPr>
                <w:rFonts w:eastAsia="Times New Roman" w:cs="Calibri"/>
                <w:noProof/>
              </w:rPr>
            </w:pPr>
            <w:r>
              <w:rPr>
                <w:noProof/>
              </w:rPr>
              <w:t>Dovršen je i operativan</w:t>
            </w:r>
            <w:r>
              <w:rPr>
                <w:i/>
                <w:noProof/>
              </w:rPr>
              <w:t>projekt skladišta podataka</w:t>
            </w:r>
            <w:r>
              <w:rPr>
                <w:noProof/>
              </w:rPr>
              <w:t xml:space="preserve"> /opći sustav za praćenje osoba koje rano napuštaju školovanje (ESL)</w:t>
            </w:r>
          </w:p>
        </w:tc>
        <w:tc>
          <w:tcPr>
            <w:tcW w:w="894" w:type="dxa"/>
            <w:shd w:val="clear" w:color="auto" w:fill="C6EFCE"/>
            <w:vAlign w:val="center"/>
            <w:hideMark/>
          </w:tcPr>
          <w:p w14:paraId="7A5390EE" w14:textId="77777777" w:rsidR="008273B8" w:rsidRDefault="008273B8">
            <w:pPr>
              <w:spacing w:after="0" w:line="240" w:lineRule="auto"/>
              <w:jc w:val="center"/>
              <w:rPr>
                <w:rFonts w:ascii="Calibri" w:eastAsia="Times New Roman" w:hAnsi="Calibri" w:cs="Calibri"/>
                <w:noProof/>
                <w:sz w:val="18"/>
              </w:rPr>
            </w:pPr>
          </w:p>
        </w:tc>
        <w:tc>
          <w:tcPr>
            <w:tcW w:w="885" w:type="dxa"/>
            <w:shd w:val="clear" w:color="auto" w:fill="C6EFCE"/>
            <w:vAlign w:val="center"/>
            <w:hideMark/>
          </w:tcPr>
          <w:p w14:paraId="7A5390EF" w14:textId="77777777" w:rsidR="008273B8" w:rsidRDefault="008273B8">
            <w:pPr>
              <w:spacing w:after="0" w:line="240" w:lineRule="auto"/>
              <w:jc w:val="center"/>
              <w:rPr>
                <w:rFonts w:ascii="Calibri" w:eastAsia="Times New Roman" w:hAnsi="Calibri" w:cs="Calibri"/>
                <w:noProof/>
                <w:sz w:val="18"/>
              </w:rPr>
            </w:pPr>
          </w:p>
        </w:tc>
        <w:tc>
          <w:tcPr>
            <w:tcW w:w="700" w:type="dxa"/>
            <w:shd w:val="clear" w:color="auto" w:fill="C6EFCE"/>
            <w:vAlign w:val="center"/>
            <w:hideMark/>
          </w:tcPr>
          <w:p w14:paraId="7A5390F0" w14:textId="77777777" w:rsidR="008273B8" w:rsidRDefault="008273B8">
            <w:pPr>
              <w:spacing w:after="0" w:line="240" w:lineRule="auto"/>
              <w:jc w:val="center"/>
              <w:rPr>
                <w:rFonts w:ascii="Calibri" w:eastAsia="Times New Roman" w:hAnsi="Calibri" w:cs="Calibri"/>
                <w:noProof/>
                <w:sz w:val="18"/>
              </w:rPr>
            </w:pPr>
          </w:p>
        </w:tc>
        <w:tc>
          <w:tcPr>
            <w:tcW w:w="874" w:type="dxa"/>
            <w:shd w:val="clear" w:color="auto" w:fill="C6EFCE"/>
            <w:vAlign w:val="center"/>
            <w:hideMark/>
          </w:tcPr>
          <w:p w14:paraId="7A5390F1" w14:textId="77777777" w:rsidR="008273B8" w:rsidRDefault="00B93063">
            <w:pPr>
              <w:pStyle w:val="P68B1DB1-Normal7"/>
              <w:spacing w:after="0" w:line="240" w:lineRule="auto"/>
              <w:jc w:val="center"/>
              <w:rPr>
                <w:rFonts w:eastAsia="Times New Roman" w:cs="Calibri"/>
                <w:noProof/>
              </w:rPr>
            </w:pPr>
            <w:r>
              <w:rPr>
                <w:noProof/>
              </w:rPr>
              <w:t>TROMJESEČJE</w:t>
            </w:r>
          </w:p>
        </w:tc>
        <w:tc>
          <w:tcPr>
            <w:tcW w:w="685" w:type="dxa"/>
            <w:shd w:val="clear" w:color="auto" w:fill="C6EFCE"/>
            <w:vAlign w:val="center"/>
            <w:hideMark/>
          </w:tcPr>
          <w:p w14:paraId="7A5390F2" w14:textId="77777777" w:rsidR="008273B8" w:rsidRDefault="00B93063">
            <w:pPr>
              <w:pStyle w:val="P68B1DB1-Normal7"/>
              <w:spacing w:after="0" w:line="240" w:lineRule="auto"/>
              <w:jc w:val="center"/>
              <w:rPr>
                <w:rFonts w:eastAsia="Times New Roman" w:cs="Calibri"/>
                <w:noProof/>
              </w:rPr>
            </w:pPr>
            <w:r>
              <w:rPr>
                <w:noProof/>
              </w:rPr>
              <w:t>2024</w:t>
            </w:r>
          </w:p>
        </w:tc>
        <w:tc>
          <w:tcPr>
            <w:tcW w:w="5264" w:type="dxa"/>
            <w:shd w:val="clear" w:color="auto" w:fill="C6EFCE"/>
            <w:vAlign w:val="center"/>
            <w:hideMark/>
          </w:tcPr>
          <w:p w14:paraId="7A5390F3" w14:textId="77777777" w:rsidR="008273B8" w:rsidRDefault="00B93063">
            <w:pPr>
              <w:pStyle w:val="P68B1DB1-Normal7"/>
              <w:spacing w:after="0" w:line="240" w:lineRule="auto"/>
              <w:rPr>
                <w:rFonts w:eastAsia="Times New Roman" w:cs="Calibri"/>
                <w:noProof/>
              </w:rPr>
            </w:pPr>
            <w:r>
              <w:rPr>
                <w:i/>
                <w:noProof/>
              </w:rPr>
              <w:t>Skladište podataka</w:t>
            </w:r>
            <w:r>
              <w:rPr>
                <w:noProof/>
              </w:rPr>
              <w:t xml:space="preserve"> je operativno, a pristup podacima omogućuje institucijama koje rade na praćenju politika i smjernicama. Glavni je cilj ovog projekta usredotočiti se na podatke o državnim školama uz mogućnost uključivanja i nedržavnih školskih podataka, podložno njihovoj suradnji. </w:t>
            </w:r>
          </w:p>
        </w:tc>
      </w:tr>
      <w:tr w:rsidR="008273B8" w14:paraId="7A539102" w14:textId="77777777">
        <w:trPr>
          <w:cantSplit/>
          <w:jc w:val="center"/>
        </w:trPr>
        <w:tc>
          <w:tcPr>
            <w:tcW w:w="1144" w:type="dxa"/>
            <w:shd w:val="clear" w:color="auto" w:fill="C6EFCE"/>
            <w:vAlign w:val="center"/>
            <w:hideMark/>
          </w:tcPr>
          <w:p w14:paraId="7A5390F5" w14:textId="77777777" w:rsidR="008273B8" w:rsidRDefault="00B93063">
            <w:pPr>
              <w:pStyle w:val="P68B1DB1-Normal7"/>
              <w:spacing w:after="0" w:line="240" w:lineRule="auto"/>
              <w:rPr>
                <w:rFonts w:eastAsia="Times New Roman" w:cs="Calibri"/>
                <w:noProof/>
              </w:rPr>
            </w:pPr>
            <w:r>
              <w:rPr>
                <w:noProof/>
              </w:rPr>
              <w:t>5.5</w:t>
            </w:r>
          </w:p>
        </w:tc>
        <w:tc>
          <w:tcPr>
            <w:tcW w:w="1181" w:type="dxa"/>
            <w:shd w:val="clear" w:color="auto" w:fill="C6EFCE"/>
            <w:vAlign w:val="center"/>
            <w:hideMark/>
          </w:tcPr>
          <w:p w14:paraId="7A5390F6" w14:textId="77777777" w:rsidR="008273B8" w:rsidRDefault="00B93063">
            <w:pPr>
              <w:pStyle w:val="P68B1DB1-Normal7"/>
              <w:spacing w:after="0" w:line="240" w:lineRule="auto"/>
              <w:rPr>
                <w:rFonts w:eastAsia="Times New Roman" w:cs="Calibri"/>
                <w:noProof/>
              </w:rPr>
            </w:pPr>
            <w:r>
              <w:rPr>
                <w:noProof/>
              </w:rPr>
              <w:t xml:space="preserve">C5.R.2 </w:t>
            </w:r>
          </w:p>
        </w:tc>
        <w:tc>
          <w:tcPr>
            <w:tcW w:w="1020" w:type="dxa"/>
            <w:shd w:val="clear" w:color="auto" w:fill="C6EFCE"/>
            <w:vAlign w:val="center"/>
            <w:hideMark/>
          </w:tcPr>
          <w:p w14:paraId="7A5390F7" w14:textId="77777777" w:rsidR="008273B8" w:rsidRDefault="00B93063">
            <w:pPr>
              <w:pStyle w:val="P68B1DB1-Normal7"/>
              <w:spacing w:after="0" w:line="240" w:lineRule="auto"/>
              <w:rPr>
                <w:rFonts w:eastAsia="Times New Roman" w:cs="Calibri"/>
                <w:noProof/>
              </w:rPr>
            </w:pPr>
            <w:r>
              <w:rPr>
                <w:noProof/>
              </w:rPr>
              <w:t>Ključna etapa</w:t>
            </w:r>
          </w:p>
        </w:tc>
        <w:tc>
          <w:tcPr>
            <w:tcW w:w="1590" w:type="dxa"/>
            <w:shd w:val="clear" w:color="auto" w:fill="C6EFCE"/>
            <w:vAlign w:val="center"/>
            <w:hideMark/>
          </w:tcPr>
          <w:p w14:paraId="7A5390F8" w14:textId="77777777" w:rsidR="008273B8" w:rsidRDefault="00B93063">
            <w:pPr>
              <w:pStyle w:val="P68B1DB1-Normal7"/>
              <w:spacing w:after="0" w:line="240" w:lineRule="auto"/>
              <w:rPr>
                <w:rFonts w:eastAsia="Times New Roman" w:cs="Calibri"/>
                <w:noProof/>
              </w:rPr>
            </w:pPr>
            <w:r>
              <w:rPr>
                <w:noProof/>
              </w:rPr>
              <w:t xml:space="preserve">Provedba mjera uključenih u </w:t>
            </w:r>
            <w:r>
              <w:rPr>
                <w:i/>
                <w:noProof/>
              </w:rPr>
              <w:t>Plan za razvoj sustava usmjeravanja, izgradnju kapaciteta za stručnjake za obrazovanje odraslih i uspostavu mreža za usmjeravanje</w:t>
            </w:r>
          </w:p>
        </w:tc>
        <w:tc>
          <w:tcPr>
            <w:tcW w:w="2050" w:type="dxa"/>
            <w:shd w:val="clear" w:color="auto" w:fill="C6EFCE"/>
            <w:vAlign w:val="center"/>
            <w:hideMark/>
          </w:tcPr>
          <w:p w14:paraId="7A5390F9" w14:textId="77777777" w:rsidR="008273B8" w:rsidRDefault="00B93063">
            <w:pPr>
              <w:pStyle w:val="P68B1DB1-Normal7"/>
              <w:spacing w:after="0" w:line="240" w:lineRule="auto"/>
              <w:rPr>
                <w:rFonts w:eastAsia="Times New Roman" w:cs="Calibri"/>
                <w:noProof/>
              </w:rPr>
            </w:pPr>
            <w:r>
              <w:rPr>
                <w:noProof/>
              </w:rPr>
              <w:t xml:space="preserve">Provode se mjere uključene u </w:t>
            </w:r>
            <w:r>
              <w:rPr>
                <w:i/>
                <w:noProof/>
              </w:rPr>
              <w:t>Plan za razvoj sustava usmjeravanja, izgradnju kapaciteta za stručnjake za obrazovanje odraslih i uspostavu mreža za usmjeravanje</w:t>
            </w:r>
          </w:p>
        </w:tc>
        <w:tc>
          <w:tcPr>
            <w:tcW w:w="894" w:type="dxa"/>
            <w:shd w:val="clear" w:color="auto" w:fill="C6EFCE"/>
            <w:vAlign w:val="center"/>
            <w:hideMark/>
          </w:tcPr>
          <w:p w14:paraId="7A5390FA" w14:textId="77777777" w:rsidR="008273B8" w:rsidRDefault="008273B8">
            <w:pPr>
              <w:spacing w:after="0" w:line="240" w:lineRule="auto"/>
              <w:jc w:val="both"/>
              <w:rPr>
                <w:rFonts w:ascii="Calibri" w:eastAsia="Times New Roman" w:hAnsi="Calibri" w:cs="Calibri"/>
                <w:noProof/>
                <w:sz w:val="18"/>
              </w:rPr>
            </w:pPr>
          </w:p>
        </w:tc>
        <w:tc>
          <w:tcPr>
            <w:tcW w:w="885" w:type="dxa"/>
            <w:shd w:val="clear" w:color="auto" w:fill="C6EFCE"/>
            <w:vAlign w:val="center"/>
            <w:hideMark/>
          </w:tcPr>
          <w:p w14:paraId="7A5390FB" w14:textId="77777777" w:rsidR="008273B8" w:rsidRDefault="008273B8">
            <w:pPr>
              <w:spacing w:after="0" w:line="240" w:lineRule="auto"/>
              <w:jc w:val="center"/>
              <w:rPr>
                <w:rFonts w:ascii="Calibri" w:eastAsia="Times New Roman" w:hAnsi="Calibri" w:cs="Calibri"/>
                <w:noProof/>
                <w:sz w:val="18"/>
              </w:rPr>
            </w:pPr>
          </w:p>
        </w:tc>
        <w:tc>
          <w:tcPr>
            <w:tcW w:w="700" w:type="dxa"/>
            <w:shd w:val="clear" w:color="auto" w:fill="C6EFCE"/>
            <w:vAlign w:val="center"/>
            <w:hideMark/>
          </w:tcPr>
          <w:p w14:paraId="7A5390FC" w14:textId="77777777" w:rsidR="008273B8" w:rsidRDefault="008273B8">
            <w:pPr>
              <w:spacing w:after="0" w:line="240" w:lineRule="auto"/>
              <w:jc w:val="center"/>
              <w:rPr>
                <w:rFonts w:ascii="Calibri" w:eastAsia="Times New Roman" w:hAnsi="Calibri" w:cs="Calibri"/>
                <w:noProof/>
                <w:sz w:val="18"/>
              </w:rPr>
            </w:pPr>
          </w:p>
        </w:tc>
        <w:tc>
          <w:tcPr>
            <w:tcW w:w="874" w:type="dxa"/>
            <w:shd w:val="clear" w:color="auto" w:fill="C6EFCE"/>
            <w:vAlign w:val="center"/>
            <w:hideMark/>
          </w:tcPr>
          <w:p w14:paraId="7A5390FD" w14:textId="77777777" w:rsidR="008273B8" w:rsidRDefault="00B93063">
            <w:pPr>
              <w:pStyle w:val="P68B1DB1-Normal7"/>
              <w:spacing w:after="0" w:line="240" w:lineRule="auto"/>
              <w:jc w:val="center"/>
              <w:rPr>
                <w:rFonts w:eastAsia="Times New Roman" w:cs="Calibri"/>
                <w:noProof/>
              </w:rPr>
            </w:pPr>
            <w:r>
              <w:rPr>
                <w:noProof/>
              </w:rPr>
              <w:t>Q2</w:t>
            </w:r>
          </w:p>
        </w:tc>
        <w:tc>
          <w:tcPr>
            <w:tcW w:w="685" w:type="dxa"/>
            <w:shd w:val="clear" w:color="auto" w:fill="C6EFCE"/>
            <w:vAlign w:val="center"/>
            <w:hideMark/>
          </w:tcPr>
          <w:p w14:paraId="7A5390FE" w14:textId="77777777" w:rsidR="008273B8" w:rsidRDefault="00B93063">
            <w:pPr>
              <w:pStyle w:val="P68B1DB1-Normal7"/>
              <w:spacing w:after="0" w:line="240" w:lineRule="auto"/>
              <w:jc w:val="center"/>
              <w:rPr>
                <w:rFonts w:eastAsia="Times New Roman" w:cs="Calibri"/>
                <w:noProof/>
              </w:rPr>
            </w:pPr>
            <w:r>
              <w:rPr>
                <w:noProof/>
              </w:rPr>
              <w:t>2023</w:t>
            </w:r>
          </w:p>
        </w:tc>
        <w:tc>
          <w:tcPr>
            <w:tcW w:w="5264" w:type="dxa"/>
            <w:shd w:val="clear" w:color="auto" w:fill="C6EFCE"/>
            <w:vAlign w:val="center"/>
            <w:hideMark/>
          </w:tcPr>
          <w:p w14:paraId="7A5390FF" w14:textId="77777777" w:rsidR="008273B8" w:rsidRDefault="00B93063">
            <w:pPr>
              <w:pStyle w:val="P68B1DB1-Normal7"/>
              <w:spacing w:after="0" w:line="240" w:lineRule="auto"/>
              <w:rPr>
                <w:rFonts w:eastAsia="Times New Roman" w:cs="Calibri"/>
                <w:noProof/>
              </w:rPr>
            </w:pPr>
            <w:r>
              <w:rPr>
                <w:noProof/>
              </w:rPr>
              <w:t xml:space="preserve">Nakon njegova donošenja provode se najmanje tri (3) mjere od deset (10) uključenih u </w:t>
            </w:r>
            <w:r>
              <w:rPr>
                <w:i/>
                <w:noProof/>
              </w:rPr>
              <w:t>Plan za razvoj sustava usmjeravanja, uključujući izgradnju kapaciteta za stručnjake za obrazovanje odraslih i uspostavu mreža</w:t>
            </w:r>
            <w:r>
              <w:rPr>
                <w:noProof/>
              </w:rPr>
              <w:t xml:space="preserve"> za usmjeravanje. Među tim mjerama su:</w:t>
            </w:r>
          </w:p>
          <w:p w14:paraId="7A539100" w14:textId="77777777" w:rsidR="008273B8" w:rsidRDefault="00B93063">
            <w:pPr>
              <w:spacing w:after="0" w:line="240" w:lineRule="auto"/>
              <w:rPr>
                <w:rFonts w:ascii="Calibri" w:eastAsia="Times New Roman" w:hAnsi="Calibri" w:cs="Calibri"/>
                <w:noProof/>
                <w:sz w:val="18"/>
              </w:rPr>
            </w:pPr>
            <w:r>
              <w:rPr>
                <w:noProof/>
              </w:rPr>
              <w:br/>
            </w:r>
            <w:r>
              <w:rPr>
                <w:rFonts w:ascii="Calibri" w:hAnsi="Calibri"/>
                <w:noProof/>
                <w:sz w:val="18"/>
              </w:rPr>
              <w:t>(i) uspostava nacionalnog centra u kojem svaka odrasla osoba može zatražiti smjernice za put prema usavršavanju i prekvalifikaciji;</w:t>
            </w:r>
          </w:p>
          <w:p w14:paraId="7A539101" w14:textId="77777777" w:rsidR="008273B8" w:rsidRDefault="00B93063">
            <w:pPr>
              <w:spacing w:after="0" w:line="240" w:lineRule="auto"/>
              <w:rPr>
                <w:rFonts w:ascii="Calibri" w:eastAsia="Times New Roman" w:hAnsi="Calibri" w:cs="Calibri"/>
                <w:noProof/>
                <w:sz w:val="18"/>
              </w:rPr>
            </w:pPr>
            <w:r>
              <w:rPr>
                <w:rFonts w:ascii="Calibri" w:hAnsi="Calibri"/>
                <w:noProof/>
                <w:sz w:val="18"/>
              </w:rPr>
              <w:t>ii. osposobljavanje najmanje četiri (4) edukatora vodiča kako bi im se omogućilo da ispune zahtjeve odraslih učenika; i</w:t>
            </w:r>
            <w:r>
              <w:rPr>
                <w:noProof/>
              </w:rPr>
              <w:br/>
            </w:r>
            <w:r>
              <w:rPr>
                <w:rFonts w:ascii="Calibri" w:hAnsi="Calibri"/>
                <w:noProof/>
                <w:sz w:val="18"/>
              </w:rPr>
              <w:t>iii. savjetovanje o karijeri i općoj dobrobiti u svakom centru za obrazovanje odraslih.</w:t>
            </w:r>
          </w:p>
        </w:tc>
      </w:tr>
      <w:tr w:rsidR="008273B8" w14:paraId="7A53910E" w14:textId="77777777">
        <w:trPr>
          <w:cantSplit/>
          <w:jc w:val="center"/>
        </w:trPr>
        <w:tc>
          <w:tcPr>
            <w:tcW w:w="1144" w:type="dxa"/>
            <w:shd w:val="clear" w:color="auto" w:fill="C6EFCE"/>
            <w:vAlign w:val="center"/>
            <w:hideMark/>
          </w:tcPr>
          <w:p w14:paraId="7A539103" w14:textId="77777777" w:rsidR="008273B8" w:rsidRDefault="00B93063">
            <w:pPr>
              <w:pStyle w:val="P68B1DB1-Normal7"/>
              <w:spacing w:after="0" w:line="240" w:lineRule="auto"/>
              <w:rPr>
                <w:rFonts w:eastAsia="Times New Roman" w:cs="Calibri"/>
                <w:noProof/>
              </w:rPr>
            </w:pPr>
            <w:r>
              <w:rPr>
                <w:noProof/>
              </w:rPr>
              <w:t>5.6</w:t>
            </w:r>
          </w:p>
        </w:tc>
        <w:tc>
          <w:tcPr>
            <w:tcW w:w="1181" w:type="dxa"/>
            <w:shd w:val="clear" w:color="auto" w:fill="C6EFCE"/>
            <w:vAlign w:val="center"/>
            <w:hideMark/>
          </w:tcPr>
          <w:p w14:paraId="7A539104" w14:textId="77777777" w:rsidR="008273B8" w:rsidRDefault="00B93063">
            <w:pPr>
              <w:pStyle w:val="P68B1DB1-Normal7"/>
              <w:spacing w:after="0" w:line="240" w:lineRule="auto"/>
              <w:rPr>
                <w:rFonts w:eastAsia="Times New Roman" w:cs="Calibri"/>
                <w:noProof/>
              </w:rPr>
            </w:pPr>
            <w:r>
              <w:rPr>
                <w:noProof/>
              </w:rPr>
              <w:t xml:space="preserve">C5.R.2 </w:t>
            </w:r>
          </w:p>
        </w:tc>
        <w:tc>
          <w:tcPr>
            <w:tcW w:w="1020" w:type="dxa"/>
            <w:shd w:val="clear" w:color="auto" w:fill="C6EFCE"/>
            <w:vAlign w:val="center"/>
            <w:hideMark/>
          </w:tcPr>
          <w:p w14:paraId="7A539105" w14:textId="77777777" w:rsidR="008273B8" w:rsidRDefault="00B93063">
            <w:pPr>
              <w:pStyle w:val="P68B1DB1-Normal7"/>
              <w:spacing w:after="0" w:line="240" w:lineRule="auto"/>
              <w:rPr>
                <w:rFonts w:eastAsia="Times New Roman" w:cs="Calibri"/>
                <w:noProof/>
              </w:rPr>
            </w:pPr>
            <w:r>
              <w:rPr>
                <w:noProof/>
              </w:rPr>
              <w:t>Ključna etapa</w:t>
            </w:r>
          </w:p>
        </w:tc>
        <w:tc>
          <w:tcPr>
            <w:tcW w:w="1590" w:type="dxa"/>
            <w:shd w:val="clear" w:color="auto" w:fill="C6EFCE"/>
            <w:vAlign w:val="center"/>
            <w:hideMark/>
          </w:tcPr>
          <w:p w14:paraId="7A539106" w14:textId="77777777" w:rsidR="008273B8" w:rsidRDefault="00B93063">
            <w:pPr>
              <w:pStyle w:val="P68B1DB1-Normal7"/>
              <w:spacing w:after="0" w:line="240" w:lineRule="auto"/>
              <w:rPr>
                <w:rFonts w:eastAsia="Times New Roman" w:cs="Calibri"/>
                <w:noProof/>
              </w:rPr>
            </w:pPr>
            <w:r>
              <w:rPr>
                <w:noProof/>
              </w:rPr>
              <w:t>Pokretanje e-kolegije</w:t>
            </w:r>
          </w:p>
        </w:tc>
        <w:tc>
          <w:tcPr>
            <w:tcW w:w="2050" w:type="dxa"/>
            <w:shd w:val="clear" w:color="auto" w:fill="C6EFCE"/>
            <w:vAlign w:val="center"/>
            <w:hideMark/>
          </w:tcPr>
          <w:p w14:paraId="7A539107" w14:textId="77777777" w:rsidR="008273B8" w:rsidRDefault="00B93063">
            <w:pPr>
              <w:pStyle w:val="P68B1DB1-Normal7"/>
              <w:spacing w:after="0" w:line="240" w:lineRule="auto"/>
              <w:rPr>
                <w:rFonts w:eastAsia="Times New Roman" w:cs="Calibri"/>
                <w:noProof/>
              </w:rPr>
            </w:pPr>
            <w:r>
              <w:rPr>
                <w:noProof/>
              </w:rPr>
              <w:t>e-kolegij je operativan, uključujući odjel za usmjeravanje, internetski centar i ured</w:t>
            </w:r>
          </w:p>
        </w:tc>
        <w:tc>
          <w:tcPr>
            <w:tcW w:w="894" w:type="dxa"/>
            <w:shd w:val="clear" w:color="auto" w:fill="C6EFCE"/>
            <w:vAlign w:val="center"/>
            <w:hideMark/>
          </w:tcPr>
          <w:p w14:paraId="7A539108" w14:textId="77777777" w:rsidR="008273B8" w:rsidRDefault="008273B8">
            <w:pPr>
              <w:spacing w:after="0" w:line="240" w:lineRule="auto"/>
              <w:jc w:val="center"/>
              <w:rPr>
                <w:rFonts w:ascii="Calibri" w:eastAsia="Times New Roman" w:hAnsi="Calibri" w:cs="Calibri"/>
                <w:noProof/>
                <w:sz w:val="18"/>
              </w:rPr>
            </w:pPr>
          </w:p>
        </w:tc>
        <w:tc>
          <w:tcPr>
            <w:tcW w:w="885" w:type="dxa"/>
            <w:shd w:val="clear" w:color="auto" w:fill="C6EFCE"/>
            <w:vAlign w:val="center"/>
            <w:hideMark/>
          </w:tcPr>
          <w:p w14:paraId="7A539109" w14:textId="77777777" w:rsidR="008273B8" w:rsidRDefault="008273B8">
            <w:pPr>
              <w:spacing w:after="0" w:line="240" w:lineRule="auto"/>
              <w:jc w:val="center"/>
              <w:rPr>
                <w:rFonts w:ascii="Calibri" w:eastAsia="Times New Roman" w:hAnsi="Calibri" w:cs="Calibri"/>
                <w:noProof/>
                <w:sz w:val="18"/>
              </w:rPr>
            </w:pPr>
          </w:p>
        </w:tc>
        <w:tc>
          <w:tcPr>
            <w:tcW w:w="700" w:type="dxa"/>
            <w:shd w:val="clear" w:color="auto" w:fill="C6EFCE"/>
            <w:vAlign w:val="center"/>
            <w:hideMark/>
          </w:tcPr>
          <w:p w14:paraId="7A53910A" w14:textId="77777777" w:rsidR="008273B8" w:rsidRDefault="008273B8">
            <w:pPr>
              <w:spacing w:after="0" w:line="240" w:lineRule="auto"/>
              <w:jc w:val="center"/>
              <w:rPr>
                <w:rFonts w:ascii="Calibri" w:eastAsia="Times New Roman" w:hAnsi="Calibri" w:cs="Calibri"/>
                <w:noProof/>
                <w:sz w:val="18"/>
              </w:rPr>
            </w:pPr>
          </w:p>
        </w:tc>
        <w:tc>
          <w:tcPr>
            <w:tcW w:w="874" w:type="dxa"/>
            <w:shd w:val="clear" w:color="auto" w:fill="C6EFCE"/>
            <w:vAlign w:val="center"/>
            <w:hideMark/>
          </w:tcPr>
          <w:p w14:paraId="7A53910B" w14:textId="77777777" w:rsidR="008273B8" w:rsidRDefault="00B93063">
            <w:pPr>
              <w:pStyle w:val="P68B1DB1-Normal7"/>
              <w:spacing w:after="0" w:line="240" w:lineRule="auto"/>
              <w:jc w:val="center"/>
              <w:rPr>
                <w:rFonts w:eastAsia="Times New Roman" w:cs="Calibri"/>
                <w:noProof/>
              </w:rPr>
            </w:pPr>
            <w:r>
              <w:rPr>
                <w:noProof/>
              </w:rPr>
              <w:t>Q2</w:t>
            </w:r>
          </w:p>
        </w:tc>
        <w:tc>
          <w:tcPr>
            <w:tcW w:w="685" w:type="dxa"/>
            <w:shd w:val="clear" w:color="auto" w:fill="C6EFCE"/>
            <w:vAlign w:val="center"/>
            <w:hideMark/>
          </w:tcPr>
          <w:p w14:paraId="7A53910C" w14:textId="77777777" w:rsidR="008273B8" w:rsidRDefault="00B93063">
            <w:pPr>
              <w:pStyle w:val="P68B1DB1-Normal7"/>
              <w:spacing w:after="0" w:line="240" w:lineRule="auto"/>
              <w:jc w:val="center"/>
              <w:rPr>
                <w:rFonts w:eastAsia="Times New Roman" w:cs="Calibri"/>
                <w:noProof/>
              </w:rPr>
            </w:pPr>
            <w:r>
              <w:rPr>
                <w:noProof/>
              </w:rPr>
              <w:t>2022</w:t>
            </w:r>
          </w:p>
        </w:tc>
        <w:tc>
          <w:tcPr>
            <w:tcW w:w="5264" w:type="dxa"/>
            <w:shd w:val="clear" w:color="auto" w:fill="C6EFCE"/>
            <w:vAlign w:val="center"/>
            <w:hideMark/>
          </w:tcPr>
          <w:p w14:paraId="7A53910D" w14:textId="77777777" w:rsidR="008273B8" w:rsidRDefault="00B93063">
            <w:pPr>
              <w:pStyle w:val="P68B1DB1-Normal7"/>
              <w:spacing w:after="0" w:line="240" w:lineRule="auto"/>
              <w:rPr>
                <w:rFonts w:eastAsia="Times New Roman" w:cs="Calibri"/>
                <w:noProof/>
              </w:rPr>
            </w:pPr>
            <w:r>
              <w:rPr>
                <w:noProof/>
              </w:rPr>
              <w:t>E-kolegij je pravno i praktično operativan s najmanje deset (10) tečajeva koji obuhvaćaju različita tematska područja. E-kolegij mora posjedovati barem sustav za upravljanje učenjem, jedinicu za mentorstvo i usmjeravanje, internetski centar i internetske trenere koji pomažu učenicima.</w:t>
            </w:r>
          </w:p>
        </w:tc>
      </w:tr>
      <w:tr w:rsidR="008273B8" w14:paraId="7A53911A" w14:textId="77777777">
        <w:trPr>
          <w:cantSplit/>
          <w:jc w:val="center"/>
        </w:trPr>
        <w:tc>
          <w:tcPr>
            <w:tcW w:w="1144" w:type="dxa"/>
            <w:shd w:val="clear" w:color="auto" w:fill="C6EFCE"/>
            <w:vAlign w:val="center"/>
            <w:hideMark/>
          </w:tcPr>
          <w:p w14:paraId="7A53910F" w14:textId="77777777" w:rsidR="008273B8" w:rsidRDefault="00B93063">
            <w:pPr>
              <w:pStyle w:val="P68B1DB1-Normal7"/>
              <w:spacing w:after="0" w:line="240" w:lineRule="auto"/>
              <w:rPr>
                <w:rFonts w:eastAsia="Times New Roman" w:cs="Calibri"/>
                <w:noProof/>
              </w:rPr>
            </w:pPr>
            <w:r>
              <w:rPr>
                <w:noProof/>
              </w:rPr>
              <w:t>5.7</w:t>
            </w:r>
          </w:p>
        </w:tc>
        <w:tc>
          <w:tcPr>
            <w:tcW w:w="1181" w:type="dxa"/>
            <w:shd w:val="clear" w:color="auto" w:fill="C6EFCE"/>
            <w:vAlign w:val="center"/>
            <w:hideMark/>
          </w:tcPr>
          <w:p w14:paraId="7A539110" w14:textId="77777777" w:rsidR="008273B8" w:rsidRDefault="00B93063">
            <w:pPr>
              <w:pStyle w:val="P68B1DB1-Normal7"/>
              <w:spacing w:after="0" w:line="240" w:lineRule="auto"/>
              <w:rPr>
                <w:rFonts w:eastAsia="Times New Roman" w:cs="Calibri"/>
                <w:noProof/>
              </w:rPr>
            </w:pPr>
            <w:r>
              <w:rPr>
                <w:noProof/>
              </w:rPr>
              <w:t xml:space="preserve">C5.R.2 </w:t>
            </w:r>
          </w:p>
        </w:tc>
        <w:tc>
          <w:tcPr>
            <w:tcW w:w="1020" w:type="dxa"/>
            <w:shd w:val="clear" w:color="auto" w:fill="C6EFCE"/>
            <w:vAlign w:val="center"/>
            <w:hideMark/>
          </w:tcPr>
          <w:p w14:paraId="7A539111" w14:textId="77777777" w:rsidR="008273B8" w:rsidRDefault="00B93063">
            <w:pPr>
              <w:pStyle w:val="P68B1DB1-Normal7"/>
              <w:spacing w:after="0" w:line="240" w:lineRule="auto"/>
              <w:rPr>
                <w:rFonts w:eastAsia="Times New Roman" w:cs="Calibri"/>
                <w:noProof/>
              </w:rPr>
            </w:pPr>
            <w:r>
              <w:rPr>
                <w:noProof/>
              </w:rPr>
              <w:t>Ciljna vrijednost</w:t>
            </w:r>
          </w:p>
        </w:tc>
        <w:tc>
          <w:tcPr>
            <w:tcW w:w="1590" w:type="dxa"/>
            <w:shd w:val="clear" w:color="auto" w:fill="C6EFCE"/>
            <w:vAlign w:val="center"/>
            <w:hideMark/>
          </w:tcPr>
          <w:p w14:paraId="7A539112" w14:textId="77777777" w:rsidR="008273B8" w:rsidRDefault="00B93063">
            <w:pPr>
              <w:pStyle w:val="P68B1DB1-Normal7"/>
              <w:spacing w:after="0" w:line="240" w:lineRule="auto"/>
              <w:rPr>
                <w:rFonts w:eastAsia="Times New Roman" w:cs="Calibri"/>
                <w:noProof/>
              </w:rPr>
            </w:pPr>
            <w:r>
              <w:rPr>
                <w:noProof/>
              </w:rPr>
              <w:t>Učenici su privukli upotrebu nove platforme e-kolegija</w:t>
            </w:r>
          </w:p>
        </w:tc>
        <w:tc>
          <w:tcPr>
            <w:tcW w:w="2050" w:type="dxa"/>
            <w:shd w:val="clear" w:color="auto" w:fill="C6EFCE"/>
            <w:vAlign w:val="center"/>
            <w:hideMark/>
          </w:tcPr>
          <w:p w14:paraId="7A539113" w14:textId="77777777" w:rsidR="008273B8" w:rsidRDefault="008273B8">
            <w:pPr>
              <w:spacing w:after="0" w:line="240" w:lineRule="auto"/>
              <w:jc w:val="center"/>
              <w:rPr>
                <w:rFonts w:ascii="Calibri" w:eastAsia="Times New Roman" w:hAnsi="Calibri" w:cs="Calibri"/>
                <w:noProof/>
                <w:sz w:val="18"/>
              </w:rPr>
            </w:pPr>
          </w:p>
        </w:tc>
        <w:tc>
          <w:tcPr>
            <w:tcW w:w="894" w:type="dxa"/>
            <w:shd w:val="clear" w:color="auto" w:fill="C6EFCE"/>
            <w:vAlign w:val="center"/>
            <w:hideMark/>
          </w:tcPr>
          <w:p w14:paraId="7A539114" w14:textId="77777777" w:rsidR="008273B8" w:rsidRDefault="00B93063">
            <w:pPr>
              <w:pStyle w:val="P68B1DB1-Normal7"/>
              <w:spacing w:after="0" w:line="240" w:lineRule="auto"/>
              <w:jc w:val="center"/>
              <w:rPr>
                <w:rFonts w:eastAsia="Times New Roman" w:cs="Calibri"/>
                <w:noProof/>
              </w:rPr>
            </w:pPr>
            <w:r>
              <w:rPr>
                <w:noProof/>
              </w:rPr>
              <w:t>Broj</w:t>
            </w:r>
          </w:p>
        </w:tc>
        <w:tc>
          <w:tcPr>
            <w:tcW w:w="885" w:type="dxa"/>
            <w:shd w:val="clear" w:color="auto" w:fill="C6EFCE"/>
            <w:vAlign w:val="center"/>
            <w:hideMark/>
          </w:tcPr>
          <w:p w14:paraId="7A539115" w14:textId="77777777" w:rsidR="008273B8" w:rsidRDefault="00B93063">
            <w:pPr>
              <w:pStyle w:val="P68B1DB1-Normal7"/>
              <w:spacing w:after="0" w:line="240" w:lineRule="auto"/>
              <w:jc w:val="center"/>
              <w:rPr>
                <w:rFonts w:eastAsia="Times New Roman" w:cs="Calibri"/>
                <w:noProof/>
              </w:rPr>
            </w:pPr>
            <w:r>
              <w:rPr>
                <w:noProof/>
              </w:rPr>
              <w:t>0</w:t>
            </w:r>
          </w:p>
        </w:tc>
        <w:tc>
          <w:tcPr>
            <w:tcW w:w="700" w:type="dxa"/>
            <w:shd w:val="clear" w:color="auto" w:fill="C6EFCE"/>
            <w:vAlign w:val="center"/>
            <w:hideMark/>
          </w:tcPr>
          <w:p w14:paraId="7A539116" w14:textId="77777777" w:rsidR="008273B8" w:rsidRDefault="00B93063">
            <w:pPr>
              <w:pStyle w:val="P68B1DB1-Normal7"/>
              <w:spacing w:after="0" w:line="240" w:lineRule="auto"/>
              <w:jc w:val="center"/>
              <w:rPr>
                <w:rFonts w:eastAsia="Times New Roman" w:cs="Calibri"/>
                <w:noProof/>
              </w:rPr>
            </w:pPr>
            <w:r>
              <w:rPr>
                <w:noProof/>
              </w:rPr>
              <w:t>4 800</w:t>
            </w:r>
          </w:p>
        </w:tc>
        <w:tc>
          <w:tcPr>
            <w:tcW w:w="874" w:type="dxa"/>
            <w:shd w:val="clear" w:color="auto" w:fill="C6EFCE"/>
            <w:vAlign w:val="center"/>
            <w:hideMark/>
          </w:tcPr>
          <w:p w14:paraId="7A539117"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85" w:type="dxa"/>
            <w:shd w:val="clear" w:color="auto" w:fill="C6EFCE"/>
            <w:vAlign w:val="center"/>
            <w:hideMark/>
          </w:tcPr>
          <w:p w14:paraId="7A539118" w14:textId="77777777" w:rsidR="008273B8" w:rsidRDefault="00B93063">
            <w:pPr>
              <w:pStyle w:val="P68B1DB1-Normal7"/>
              <w:spacing w:after="0" w:line="240" w:lineRule="auto"/>
              <w:jc w:val="center"/>
              <w:rPr>
                <w:rFonts w:eastAsia="Times New Roman" w:cs="Calibri"/>
                <w:noProof/>
              </w:rPr>
            </w:pPr>
            <w:r>
              <w:rPr>
                <w:noProof/>
              </w:rPr>
              <w:t>2024</w:t>
            </w:r>
          </w:p>
        </w:tc>
        <w:tc>
          <w:tcPr>
            <w:tcW w:w="5264" w:type="dxa"/>
            <w:shd w:val="clear" w:color="auto" w:fill="C6EFCE"/>
            <w:vAlign w:val="center"/>
            <w:hideMark/>
          </w:tcPr>
          <w:p w14:paraId="7A539119" w14:textId="77777777" w:rsidR="008273B8" w:rsidRDefault="00B93063">
            <w:pPr>
              <w:pStyle w:val="P68B1DB1-Normal7"/>
              <w:spacing w:after="0" w:line="240" w:lineRule="auto"/>
              <w:rPr>
                <w:rFonts w:eastAsia="Times New Roman" w:cs="Calibri"/>
                <w:noProof/>
              </w:rPr>
            </w:pPr>
            <w:r>
              <w:rPr>
                <w:noProof/>
              </w:rPr>
              <w:t>Najmanje 4800 polaznika mora se koristiti uslugama koje se pružaju putem nove platforme e-kolegija. Ciljnu skupinu čine odrasle osobe iz različitih socioekonomskih sredina u dobi od 15 godina i više koje nemaju kvalifikacije 3. razine MQF-a (Malta kvalifikacijski okvir) ili više.</w:t>
            </w:r>
          </w:p>
        </w:tc>
      </w:tr>
      <w:tr w:rsidR="008273B8" w14:paraId="7A539126" w14:textId="77777777">
        <w:trPr>
          <w:cantSplit/>
          <w:jc w:val="center"/>
        </w:trPr>
        <w:tc>
          <w:tcPr>
            <w:tcW w:w="1144" w:type="dxa"/>
            <w:shd w:val="clear" w:color="auto" w:fill="C6EFCE"/>
            <w:vAlign w:val="center"/>
            <w:hideMark/>
          </w:tcPr>
          <w:p w14:paraId="7A53911B" w14:textId="77777777" w:rsidR="008273B8" w:rsidRDefault="00B93063">
            <w:pPr>
              <w:pStyle w:val="P68B1DB1-Normal7"/>
              <w:spacing w:after="0" w:line="240" w:lineRule="auto"/>
              <w:rPr>
                <w:rFonts w:eastAsia="Times New Roman" w:cs="Calibri"/>
                <w:noProof/>
              </w:rPr>
            </w:pPr>
            <w:r>
              <w:rPr>
                <w:noProof/>
              </w:rPr>
              <w:t>5.8</w:t>
            </w:r>
          </w:p>
        </w:tc>
        <w:tc>
          <w:tcPr>
            <w:tcW w:w="1181" w:type="dxa"/>
            <w:shd w:val="clear" w:color="auto" w:fill="C6EFCE"/>
            <w:vAlign w:val="center"/>
            <w:hideMark/>
          </w:tcPr>
          <w:p w14:paraId="7A53911C" w14:textId="77777777" w:rsidR="008273B8" w:rsidRDefault="00B93063">
            <w:pPr>
              <w:pStyle w:val="P68B1DB1-Normal7"/>
              <w:spacing w:after="0" w:line="240" w:lineRule="auto"/>
              <w:rPr>
                <w:rFonts w:eastAsia="Times New Roman" w:cs="Calibri"/>
                <w:noProof/>
              </w:rPr>
            </w:pPr>
            <w:r>
              <w:rPr>
                <w:noProof/>
              </w:rPr>
              <w:t xml:space="preserve">C5.R.3 </w:t>
            </w:r>
          </w:p>
        </w:tc>
        <w:tc>
          <w:tcPr>
            <w:tcW w:w="1020" w:type="dxa"/>
            <w:shd w:val="clear" w:color="auto" w:fill="C6EFCE"/>
            <w:vAlign w:val="center"/>
            <w:hideMark/>
          </w:tcPr>
          <w:p w14:paraId="7A53911D" w14:textId="77777777" w:rsidR="008273B8" w:rsidRDefault="00B93063">
            <w:pPr>
              <w:pStyle w:val="P68B1DB1-Normal7"/>
              <w:spacing w:after="0" w:line="240" w:lineRule="auto"/>
              <w:rPr>
                <w:rFonts w:eastAsia="Times New Roman" w:cs="Calibri"/>
                <w:noProof/>
              </w:rPr>
            </w:pPr>
            <w:r>
              <w:rPr>
                <w:noProof/>
              </w:rPr>
              <w:t>Ciljna vrijednost</w:t>
            </w:r>
          </w:p>
        </w:tc>
        <w:tc>
          <w:tcPr>
            <w:tcW w:w="1590" w:type="dxa"/>
            <w:shd w:val="clear" w:color="auto" w:fill="C6EFCE"/>
            <w:vAlign w:val="center"/>
            <w:hideMark/>
          </w:tcPr>
          <w:p w14:paraId="7A53911E" w14:textId="77777777" w:rsidR="008273B8" w:rsidRDefault="00B93063">
            <w:pPr>
              <w:pStyle w:val="P68B1DB1-Normal7"/>
              <w:spacing w:after="0" w:line="240" w:lineRule="auto"/>
              <w:rPr>
                <w:rFonts w:eastAsia="Times New Roman" w:cs="Calibri"/>
                <w:noProof/>
              </w:rPr>
            </w:pPr>
            <w:r>
              <w:rPr>
                <w:noProof/>
              </w:rPr>
              <w:t xml:space="preserve">Uspostava dviju jedinica za autizam (fizički prostori opremljeni opremom i osposobljenim obrazovnim osobljem) u srednjim školama </w:t>
            </w:r>
          </w:p>
        </w:tc>
        <w:tc>
          <w:tcPr>
            <w:tcW w:w="2050" w:type="dxa"/>
            <w:shd w:val="clear" w:color="auto" w:fill="C6EFCE"/>
            <w:vAlign w:val="center"/>
            <w:hideMark/>
          </w:tcPr>
          <w:p w14:paraId="7A53911F" w14:textId="77777777" w:rsidR="008273B8" w:rsidRDefault="008273B8">
            <w:pPr>
              <w:spacing w:after="0" w:line="240" w:lineRule="auto"/>
              <w:jc w:val="center"/>
              <w:rPr>
                <w:rFonts w:ascii="Calibri" w:eastAsia="Times New Roman" w:hAnsi="Calibri" w:cs="Calibri"/>
                <w:noProof/>
                <w:sz w:val="18"/>
              </w:rPr>
            </w:pPr>
          </w:p>
        </w:tc>
        <w:tc>
          <w:tcPr>
            <w:tcW w:w="894" w:type="dxa"/>
            <w:shd w:val="clear" w:color="auto" w:fill="C6EFCE"/>
            <w:vAlign w:val="center"/>
            <w:hideMark/>
          </w:tcPr>
          <w:p w14:paraId="7A539120" w14:textId="77777777" w:rsidR="008273B8" w:rsidRDefault="00B93063">
            <w:pPr>
              <w:pStyle w:val="P68B1DB1-Normal7"/>
              <w:spacing w:after="0" w:line="240" w:lineRule="auto"/>
              <w:jc w:val="center"/>
              <w:rPr>
                <w:rFonts w:eastAsia="Times New Roman" w:cs="Calibri"/>
                <w:noProof/>
              </w:rPr>
            </w:pPr>
            <w:r>
              <w:rPr>
                <w:noProof/>
              </w:rPr>
              <w:t>Broj</w:t>
            </w:r>
          </w:p>
        </w:tc>
        <w:tc>
          <w:tcPr>
            <w:tcW w:w="885" w:type="dxa"/>
            <w:shd w:val="clear" w:color="auto" w:fill="C6EFCE"/>
            <w:vAlign w:val="center"/>
            <w:hideMark/>
          </w:tcPr>
          <w:p w14:paraId="7A539121" w14:textId="77777777" w:rsidR="008273B8" w:rsidRDefault="00B93063">
            <w:pPr>
              <w:pStyle w:val="P68B1DB1-Normal7"/>
              <w:spacing w:after="0" w:line="240" w:lineRule="auto"/>
              <w:jc w:val="center"/>
              <w:rPr>
                <w:rFonts w:eastAsia="Times New Roman" w:cs="Calibri"/>
                <w:noProof/>
              </w:rPr>
            </w:pPr>
            <w:r>
              <w:rPr>
                <w:noProof/>
              </w:rPr>
              <w:t>0</w:t>
            </w:r>
          </w:p>
        </w:tc>
        <w:tc>
          <w:tcPr>
            <w:tcW w:w="700" w:type="dxa"/>
            <w:shd w:val="clear" w:color="auto" w:fill="C6EFCE"/>
            <w:vAlign w:val="center"/>
            <w:hideMark/>
          </w:tcPr>
          <w:p w14:paraId="7A539122" w14:textId="77777777" w:rsidR="008273B8" w:rsidRDefault="00B93063">
            <w:pPr>
              <w:pStyle w:val="P68B1DB1-Normal7"/>
              <w:spacing w:after="0" w:line="240" w:lineRule="auto"/>
              <w:jc w:val="center"/>
              <w:rPr>
                <w:rFonts w:eastAsia="Times New Roman" w:cs="Calibri"/>
                <w:noProof/>
              </w:rPr>
            </w:pPr>
            <w:r>
              <w:rPr>
                <w:noProof/>
              </w:rPr>
              <w:t>2</w:t>
            </w:r>
          </w:p>
        </w:tc>
        <w:tc>
          <w:tcPr>
            <w:tcW w:w="874" w:type="dxa"/>
            <w:shd w:val="clear" w:color="auto" w:fill="C6EFCE"/>
            <w:vAlign w:val="center"/>
            <w:hideMark/>
          </w:tcPr>
          <w:p w14:paraId="7A539123"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85" w:type="dxa"/>
            <w:shd w:val="clear" w:color="auto" w:fill="C6EFCE"/>
            <w:vAlign w:val="center"/>
            <w:hideMark/>
          </w:tcPr>
          <w:p w14:paraId="7A539124" w14:textId="77777777" w:rsidR="008273B8" w:rsidRDefault="00B93063">
            <w:pPr>
              <w:pStyle w:val="P68B1DB1-Normal7"/>
              <w:spacing w:after="0" w:line="240" w:lineRule="auto"/>
              <w:jc w:val="center"/>
              <w:rPr>
                <w:rFonts w:eastAsia="Times New Roman" w:cs="Calibri"/>
                <w:noProof/>
              </w:rPr>
            </w:pPr>
            <w:r>
              <w:rPr>
                <w:noProof/>
              </w:rPr>
              <w:t>2021</w:t>
            </w:r>
          </w:p>
        </w:tc>
        <w:tc>
          <w:tcPr>
            <w:tcW w:w="5264" w:type="dxa"/>
            <w:shd w:val="clear" w:color="auto" w:fill="C6EFCE"/>
            <w:vAlign w:val="center"/>
            <w:hideMark/>
          </w:tcPr>
          <w:p w14:paraId="7A539125" w14:textId="77777777" w:rsidR="008273B8" w:rsidRDefault="00B93063">
            <w:pPr>
              <w:pStyle w:val="P68B1DB1-Normal7"/>
              <w:spacing w:after="0" w:line="240" w:lineRule="auto"/>
              <w:rPr>
                <w:rFonts w:eastAsia="Times New Roman" w:cs="Calibri"/>
                <w:noProof/>
              </w:rPr>
            </w:pPr>
            <w:r>
              <w:rPr>
                <w:noProof/>
              </w:rPr>
              <w:t>Dvije nove jedinice za autizam (fizički prostori) moraju biti dovršene i operativne. Takve jedinice moraju biti dostupne za studente prema potrebi (bijela soba – vodonosna i mjehurića cijev). Od prvih dviju osnovanih jedinica autizma može sudjelovati najviše 16 studenata. Dvoje (2) učitelja i nastavnika i šest (6) nastavnog osoblja za potporu učenju prolaze dodatno osposobljavanje u uključivoj pedagogiji i u provedbi funkcionalnog kurikuluma s najmanje jednim (1) nastavnikom i dvoje (2) odgojno-obrazovnih djelatnika za potporu učenju u svakom razredu. Osposobljavanje nastavnika i LSE-ova interno provode stručnjaci u Nacionalnoj službi za potporu školama (NSSS).</w:t>
            </w:r>
          </w:p>
        </w:tc>
      </w:tr>
      <w:tr w:rsidR="008273B8" w14:paraId="7A539132" w14:textId="77777777">
        <w:trPr>
          <w:cantSplit/>
          <w:jc w:val="center"/>
        </w:trPr>
        <w:tc>
          <w:tcPr>
            <w:tcW w:w="1144" w:type="dxa"/>
            <w:shd w:val="clear" w:color="auto" w:fill="C6EFCE"/>
            <w:vAlign w:val="center"/>
            <w:hideMark/>
          </w:tcPr>
          <w:p w14:paraId="7A539127" w14:textId="77777777" w:rsidR="008273B8" w:rsidRDefault="00B93063">
            <w:pPr>
              <w:pStyle w:val="P68B1DB1-Normal7"/>
              <w:spacing w:after="0" w:line="240" w:lineRule="auto"/>
              <w:rPr>
                <w:rFonts w:eastAsia="Times New Roman" w:cs="Calibri"/>
                <w:noProof/>
              </w:rPr>
            </w:pPr>
            <w:r>
              <w:rPr>
                <w:noProof/>
              </w:rPr>
              <w:t>5.9</w:t>
            </w:r>
          </w:p>
        </w:tc>
        <w:tc>
          <w:tcPr>
            <w:tcW w:w="1181" w:type="dxa"/>
            <w:shd w:val="clear" w:color="auto" w:fill="C6EFCE"/>
            <w:vAlign w:val="center"/>
            <w:hideMark/>
          </w:tcPr>
          <w:p w14:paraId="7A539128" w14:textId="77777777" w:rsidR="008273B8" w:rsidRDefault="00B93063">
            <w:pPr>
              <w:pStyle w:val="P68B1DB1-Normal7"/>
              <w:spacing w:after="0" w:line="240" w:lineRule="auto"/>
              <w:rPr>
                <w:rFonts w:eastAsia="Times New Roman" w:cs="Calibri"/>
                <w:noProof/>
              </w:rPr>
            </w:pPr>
            <w:r>
              <w:rPr>
                <w:noProof/>
              </w:rPr>
              <w:t xml:space="preserve">C5.R.3 </w:t>
            </w:r>
          </w:p>
        </w:tc>
        <w:tc>
          <w:tcPr>
            <w:tcW w:w="1020" w:type="dxa"/>
            <w:shd w:val="clear" w:color="auto" w:fill="C6EFCE"/>
            <w:vAlign w:val="center"/>
            <w:hideMark/>
          </w:tcPr>
          <w:p w14:paraId="7A539129" w14:textId="77777777" w:rsidR="008273B8" w:rsidRDefault="00B93063">
            <w:pPr>
              <w:pStyle w:val="P68B1DB1-Normal7"/>
              <w:spacing w:after="0" w:line="240" w:lineRule="auto"/>
              <w:rPr>
                <w:rFonts w:eastAsia="Times New Roman" w:cs="Calibri"/>
                <w:noProof/>
              </w:rPr>
            </w:pPr>
            <w:r>
              <w:rPr>
                <w:noProof/>
              </w:rPr>
              <w:t>Ciljna vrijednost</w:t>
            </w:r>
          </w:p>
        </w:tc>
        <w:tc>
          <w:tcPr>
            <w:tcW w:w="1590" w:type="dxa"/>
            <w:shd w:val="clear" w:color="auto" w:fill="C6EFCE"/>
            <w:vAlign w:val="center"/>
            <w:hideMark/>
          </w:tcPr>
          <w:p w14:paraId="7A53912A" w14:textId="77777777" w:rsidR="008273B8" w:rsidRDefault="00B93063">
            <w:pPr>
              <w:pStyle w:val="P68B1DB1-Normal7"/>
              <w:spacing w:after="0" w:line="240" w:lineRule="auto"/>
              <w:rPr>
                <w:rFonts w:eastAsia="Times New Roman" w:cs="Calibri"/>
                <w:noProof/>
              </w:rPr>
            </w:pPr>
            <w:r>
              <w:rPr>
                <w:noProof/>
              </w:rPr>
              <w:t xml:space="preserve">Uspostava dviju novih višesenzijskih soba za učenje (MSLR) (fizički prostori opremljeni opremom i osposobljenim obrazovnim osobljem) na fakultetima </w:t>
            </w:r>
          </w:p>
        </w:tc>
        <w:tc>
          <w:tcPr>
            <w:tcW w:w="2050" w:type="dxa"/>
            <w:shd w:val="clear" w:color="auto" w:fill="C6EFCE"/>
            <w:vAlign w:val="center"/>
            <w:hideMark/>
          </w:tcPr>
          <w:p w14:paraId="7A53912B" w14:textId="77777777" w:rsidR="008273B8" w:rsidRDefault="008273B8">
            <w:pPr>
              <w:spacing w:after="0" w:line="240" w:lineRule="auto"/>
              <w:jc w:val="center"/>
              <w:rPr>
                <w:rFonts w:ascii="Calibri" w:eastAsia="Times New Roman" w:hAnsi="Calibri" w:cs="Calibri"/>
                <w:noProof/>
                <w:sz w:val="18"/>
              </w:rPr>
            </w:pPr>
          </w:p>
        </w:tc>
        <w:tc>
          <w:tcPr>
            <w:tcW w:w="894" w:type="dxa"/>
            <w:shd w:val="clear" w:color="auto" w:fill="C6EFCE"/>
            <w:vAlign w:val="center"/>
            <w:hideMark/>
          </w:tcPr>
          <w:p w14:paraId="7A53912C" w14:textId="77777777" w:rsidR="008273B8" w:rsidRDefault="00B93063">
            <w:pPr>
              <w:pStyle w:val="P68B1DB1-Normal7"/>
              <w:spacing w:after="0" w:line="240" w:lineRule="auto"/>
              <w:jc w:val="center"/>
              <w:rPr>
                <w:rFonts w:eastAsia="Times New Roman" w:cs="Calibri"/>
                <w:noProof/>
              </w:rPr>
            </w:pPr>
            <w:r>
              <w:rPr>
                <w:noProof/>
              </w:rPr>
              <w:t>Broj</w:t>
            </w:r>
          </w:p>
        </w:tc>
        <w:tc>
          <w:tcPr>
            <w:tcW w:w="885" w:type="dxa"/>
            <w:shd w:val="clear" w:color="auto" w:fill="C6EFCE"/>
            <w:vAlign w:val="center"/>
            <w:hideMark/>
          </w:tcPr>
          <w:p w14:paraId="7A53912D" w14:textId="77777777" w:rsidR="008273B8" w:rsidRDefault="00B93063">
            <w:pPr>
              <w:pStyle w:val="P68B1DB1-Normal7"/>
              <w:spacing w:after="0" w:line="240" w:lineRule="auto"/>
              <w:jc w:val="center"/>
              <w:rPr>
                <w:rFonts w:eastAsia="Times New Roman" w:cs="Calibri"/>
                <w:noProof/>
              </w:rPr>
            </w:pPr>
            <w:r>
              <w:rPr>
                <w:noProof/>
              </w:rPr>
              <w:t>0</w:t>
            </w:r>
          </w:p>
        </w:tc>
        <w:tc>
          <w:tcPr>
            <w:tcW w:w="700" w:type="dxa"/>
            <w:shd w:val="clear" w:color="auto" w:fill="C6EFCE"/>
            <w:vAlign w:val="center"/>
            <w:hideMark/>
          </w:tcPr>
          <w:p w14:paraId="7A53912E" w14:textId="77777777" w:rsidR="008273B8" w:rsidRDefault="00B93063">
            <w:pPr>
              <w:pStyle w:val="P68B1DB1-Normal7"/>
              <w:spacing w:after="0" w:line="240" w:lineRule="auto"/>
              <w:jc w:val="center"/>
              <w:rPr>
                <w:rFonts w:eastAsia="Times New Roman" w:cs="Calibri"/>
                <w:noProof/>
              </w:rPr>
            </w:pPr>
            <w:r>
              <w:rPr>
                <w:noProof/>
              </w:rPr>
              <w:t>2</w:t>
            </w:r>
          </w:p>
        </w:tc>
        <w:tc>
          <w:tcPr>
            <w:tcW w:w="874" w:type="dxa"/>
            <w:shd w:val="clear" w:color="auto" w:fill="C6EFCE"/>
            <w:vAlign w:val="center"/>
            <w:hideMark/>
          </w:tcPr>
          <w:p w14:paraId="7A53912F" w14:textId="77777777" w:rsidR="008273B8" w:rsidRDefault="00B93063">
            <w:pPr>
              <w:pStyle w:val="P68B1DB1-Normal7"/>
              <w:spacing w:after="0" w:line="240" w:lineRule="auto"/>
              <w:jc w:val="center"/>
              <w:rPr>
                <w:rFonts w:eastAsia="Times New Roman" w:cs="Calibri"/>
                <w:noProof/>
              </w:rPr>
            </w:pPr>
            <w:r>
              <w:rPr>
                <w:noProof/>
              </w:rPr>
              <w:t>PRVO TROMJESEČJE</w:t>
            </w:r>
          </w:p>
        </w:tc>
        <w:tc>
          <w:tcPr>
            <w:tcW w:w="685" w:type="dxa"/>
            <w:shd w:val="clear" w:color="auto" w:fill="C6EFCE"/>
            <w:vAlign w:val="center"/>
            <w:hideMark/>
          </w:tcPr>
          <w:p w14:paraId="7A539130" w14:textId="77777777" w:rsidR="008273B8" w:rsidRDefault="00B93063">
            <w:pPr>
              <w:pStyle w:val="P68B1DB1-Normal7"/>
              <w:spacing w:after="0" w:line="240" w:lineRule="auto"/>
              <w:jc w:val="center"/>
              <w:rPr>
                <w:rFonts w:eastAsia="Times New Roman" w:cs="Calibri"/>
                <w:noProof/>
              </w:rPr>
            </w:pPr>
            <w:r>
              <w:rPr>
                <w:noProof/>
              </w:rPr>
              <w:t>2022</w:t>
            </w:r>
          </w:p>
        </w:tc>
        <w:tc>
          <w:tcPr>
            <w:tcW w:w="5264" w:type="dxa"/>
            <w:shd w:val="clear" w:color="auto" w:fill="C6EFCE"/>
            <w:vAlign w:val="center"/>
            <w:hideMark/>
          </w:tcPr>
          <w:p w14:paraId="7A539131" w14:textId="77777777" w:rsidR="008273B8" w:rsidRDefault="00B93063">
            <w:pPr>
              <w:pStyle w:val="P68B1DB1-Normal7"/>
              <w:spacing w:after="0" w:line="240" w:lineRule="auto"/>
              <w:rPr>
                <w:rFonts w:eastAsia="Times New Roman" w:cs="Calibri"/>
                <w:noProof/>
              </w:rPr>
            </w:pPr>
            <w:r>
              <w:rPr>
                <w:noProof/>
              </w:rPr>
              <w:t>Bit će dovršene i operativne dvije nove višesenzorne prostorije za učenje (MSLR). Takve prostorije moraju biti na raspolaganju studentima za korištenje prema potrebi. Jedna prostorija koristi se kao osjetilno područje i uključuje stavke kao što su: kuglični bazen, tramvaj, kugla kikirikija; druga je djelatnost namijenjena općoj djelatnosti i uključuje stavke kao što su: čajna kuhinja, računalni prostor i mirno područje. U svakom razredu mora biti najmanje jedan nastavnik. Osposobljavanje nastavnika interno provode stručnjaci u Nacionalnoj službi za potporu školama (NSSS).</w:t>
            </w:r>
          </w:p>
        </w:tc>
      </w:tr>
      <w:tr w:rsidR="008273B8" w14:paraId="7A53913E" w14:textId="77777777">
        <w:trPr>
          <w:cantSplit/>
          <w:jc w:val="center"/>
        </w:trPr>
        <w:tc>
          <w:tcPr>
            <w:tcW w:w="1144" w:type="dxa"/>
            <w:shd w:val="clear" w:color="auto" w:fill="C6EFCE"/>
            <w:vAlign w:val="center"/>
            <w:hideMark/>
          </w:tcPr>
          <w:p w14:paraId="7A539133" w14:textId="77777777" w:rsidR="008273B8" w:rsidRDefault="00B93063">
            <w:pPr>
              <w:pStyle w:val="P68B1DB1-Normal7"/>
              <w:spacing w:after="0" w:line="240" w:lineRule="auto"/>
              <w:rPr>
                <w:rFonts w:eastAsia="Times New Roman" w:cs="Calibri"/>
                <w:noProof/>
              </w:rPr>
            </w:pPr>
            <w:r>
              <w:rPr>
                <w:noProof/>
              </w:rPr>
              <w:t>5.10</w:t>
            </w:r>
          </w:p>
        </w:tc>
        <w:tc>
          <w:tcPr>
            <w:tcW w:w="1181" w:type="dxa"/>
            <w:shd w:val="clear" w:color="auto" w:fill="C6EFCE"/>
            <w:vAlign w:val="center"/>
            <w:hideMark/>
          </w:tcPr>
          <w:p w14:paraId="7A539134" w14:textId="77777777" w:rsidR="008273B8" w:rsidRDefault="00B93063">
            <w:pPr>
              <w:pStyle w:val="P68B1DB1-Normal7"/>
              <w:spacing w:after="0" w:line="240" w:lineRule="auto"/>
              <w:rPr>
                <w:rFonts w:eastAsia="Times New Roman" w:cs="Calibri"/>
                <w:noProof/>
              </w:rPr>
            </w:pPr>
            <w:r>
              <w:rPr>
                <w:noProof/>
              </w:rPr>
              <w:t xml:space="preserve">C5.R.3 </w:t>
            </w:r>
          </w:p>
        </w:tc>
        <w:tc>
          <w:tcPr>
            <w:tcW w:w="1020" w:type="dxa"/>
            <w:shd w:val="clear" w:color="auto" w:fill="C6EFCE"/>
            <w:vAlign w:val="center"/>
            <w:hideMark/>
          </w:tcPr>
          <w:p w14:paraId="7A539135" w14:textId="77777777" w:rsidR="008273B8" w:rsidRDefault="00B93063">
            <w:pPr>
              <w:pStyle w:val="P68B1DB1-Normal7"/>
              <w:spacing w:after="0" w:line="240" w:lineRule="auto"/>
              <w:rPr>
                <w:rFonts w:eastAsia="Times New Roman" w:cs="Calibri"/>
                <w:noProof/>
              </w:rPr>
            </w:pPr>
            <w:r>
              <w:rPr>
                <w:noProof/>
              </w:rPr>
              <w:t>Ključna etapa</w:t>
            </w:r>
          </w:p>
        </w:tc>
        <w:tc>
          <w:tcPr>
            <w:tcW w:w="1590" w:type="dxa"/>
            <w:shd w:val="clear" w:color="auto" w:fill="C6EFCE"/>
            <w:vAlign w:val="center"/>
            <w:hideMark/>
          </w:tcPr>
          <w:p w14:paraId="7A539136" w14:textId="77777777" w:rsidR="008273B8" w:rsidRDefault="00B93063">
            <w:pPr>
              <w:pStyle w:val="P68B1DB1-Normal7"/>
              <w:spacing w:after="0" w:line="240" w:lineRule="auto"/>
              <w:rPr>
                <w:rFonts w:eastAsia="Times New Roman" w:cs="Calibri"/>
                <w:noProof/>
              </w:rPr>
            </w:pPr>
            <w:r>
              <w:rPr>
                <w:noProof/>
              </w:rPr>
              <w:t xml:space="preserve">Provedba mjera ažurirane </w:t>
            </w:r>
            <w:r>
              <w:rPr>
                <w:i/>
                <w:noProof/>
              </w:rPr>
              <w:t>nacionalne strategije politike uključivanja</w:t>
            </w:r>
          </w:p>
        </w:tc>
        <w:tc>
          <w:tcPr>
            <w:tcW w:w="2050" w:type="dxa"/>
            <w:shd w:val="clear" w:color="auto" w:fill="C6EFCE"/>
            <w:vAlign w:val="center"/>
            <w:hideMark/>
          </w:tcPr>
          <w:p w14:paraId="7A539137" w14:textId="77777777" w:rsidR="008273B8" w:rsidRDefault="00B93063">
            <w:pPr>
              <w:pStyle w:val="P68B1DB1-Normal7"/>
              <w:spacing w:after="0" w:line="240" w:lineRule="auto"/>
              <w:rPr>
                <w:rFonts w:eastAsia="Times New Roman" w:cs="Calibri"/>
                <w:noProof/>
              </w:rPr>
            </w:pPr>
            <w:r>
              <w:rPr>
                <w:noProof/>
              </w:rPr>
              <w:t xml:space="preserve">Nakon njezina donošenja provode se mjere uključene u </w:t>
            </w:r>
            <w:r>
              <w:rPr>
                <w:i/>
                <w:noProof/>
              </w:rPr>
              <w:t>ažuriranu nacionalnu strategiju politike uključivanja</w:t>
            </w:r>
            <w:r>
              <w:rPr>
                <w:noProof/>
              </w:rPr>
              <w:t>.</w:t>
            </w:r>
          </w:p>
        </w:tc>
        <w:tc>
          <w:tcPr>
            <w:tcW w:w="894" w:type="dxa"/>
            <w:shd w:val="clear" w:color="auto" w:fill="C6EFCE"/>
            <w:vAlign w:val="center"/>
            <w:hideMark/>
          </w:tcPr>
          <w:p w14:paraId="7A539138" w14:textId="77777777" w:rsidR="008273B8" w:rsidRDefault="008273B8">
            <w:pPr>
              <w:spacing w:after="0" w:line="240" w:lineRule="auto"/>
              <w:jc w:val="center"/>
              <w:rPr>
                <w:rFonts w:ascii="Calibri" w:eastAsia="Times New Roman" w:hAnsi="Calibri" w:cs="Calibri"/>
                <w:noProof/>
                <w:sz w:val="18"/>
              </w:rPr>
            </w:pPr>
          </w:p>
        </w:tc>
        <w:tc>
          <w:tcPr>
            <w:tcW w:w="885" w:type="dxa"/>
            <w:shd w:val="clear" w:color="auto" w:fill="C6EFCE"/>
            <w:vAlign w:val="center"/>
            <w:hideMark/>
          </w:tcPr>
          <w:p w14:paraId="7A539139" w14:textId="77777777" w:rsidR="008273B8" w:rsidRDefault="008273B8">
            <w:pPr>
              <w:spacing w:after="0" w:line="240" w:lineRule="auto"/>
              <w:jc w:val="both"/>
              <w:rPr>
                <w:rFonts w:ascii="Calibri" w:eastAsia="Times New Roman" w:hAnsi="Calibri" w:cs="Calibri"/>
                <w:noProof/>
                <w:sz w:val="18"/>
              </w:rPr>
            </w:pPr>
          </w:p>
        </w:tc>
        <w:tc>
          <w:tcPr>
            <w:tcW w:w="700" w:type="dxa"/>
            <w:shd w:val="clear" w:color="auto" w:fill="C6EFCE"/>
            <w:vAlign w:val="center"/>
            <w:hideMark/>
          </w:tcPr>
          <w:p w14:paraId="7A53913A" w14:textId="77777777" w:rsidR="008273B8" w:rsidRDefault="008273B8">
            <w:pPr>
              <w:spacing w:after="0" w:line="240" w:lineRule="auto"/>
              <w:jc w:val="center"/>
              <w:rPr>
                <w:rFonts w:ascii="Calibri" w:eastAsia="Times New Roman" w:hAnsi="Calibri" w:cs="Calibri"/>
                <w:noProof/>
                <w:sz w:val="18"/>
              </w:rPr>
            </w:pPr>
          </w:p>
        </w:tc>
        <w:tc>
          <w:tcPr>
            <w:tcW w:w="874" w:type="dxa"/>
            <w:shd w:val="clear" w:color="auto" w:fill="C6EFCE"/>
            <w:vAlign w:val="center"/>
            <w:hideMark/>
          </w:tcPr>
          <w:p w14:paraId="7A53913B"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85" w:type="dxa"/>
            <w:shd w:val="clear" w:color="auto" w:fill="C6EFCE"/>
            <w:vAlign w:val="center"/>
            <w:hideMark/>
          </w:tcPr>
          <w:p w14:paraId="7A53913C" w14:textId="77777777" w:rsidR="008273B8" w:rsidRDefault="00B93063">
            <w:pPr>
              <w:pStyle w:val="P68B1DB1-Normal7"/>
              <w:spacing w:after="0" w:line="240" w:lineRule="auto"/>
              <w:jc w:val="center"/>
              <w:rPr>
                <w:rFonts w:eastAsia="Times New Roman" w:cs="Calibri"/>
                <w:noProof/>
              </w:rPr>
            </w:pPr>
            <w:r>
              <w:rPr>
                <w:noProof/>
              </w:rPr>
              <w:t>2025</w:t>
            </w:r>
          </w:p>
        </w:tc>
        <w:tc>
          <w:tcPr>
            <w:tcW w:w="5264" w:type="dxa"/>
            <w:shd w:val="clear" w:color="auto" w:fill="C6EFCE"/>
            <w:vAlign w:val="center"/>
            <w:hideMark/>
          </w:tcPr>
          <w:p w14:paraId="7A53913D" w14:textId="77777777" w:rsidR="008273B8" w:rsidRDefault="00B93063">
            <w:pPr>
              <w:spacing w:after="0" w:line="240" w:lineRule="auto"/>
              <w:rPr>
                <w:rFonts w:ascii="Calibri" w:eastAsia="Times New Roman" w:hAnsi="Calibri" w:cs="Calibri"/>
                <w:noProof/>
                <w:sz w:val="18"/>
              </w:rPr>
            </w:pPr>
            <w:r>
              <w:rPr>
                <w:rFonts w:ascii="Calibri" w:hAnsi="Calibri"/>
                <w:noProof/>
                <w:sz w:val="18"/>
              </w:rPr>
              <w:t xml:space="preserve">Provedba najmanje dvadeset (20) mjera (koje čine najmanje 50 % svih mjera) ažurirane </w:t>
            </w:r>
            <w:r>
              <w:rPr>
                <w:rFonts w:ascii="Calibri" w:hAnsi="Calibri"/>
                <w:i/>
                <w:noProof/>
                <w:sz w:val="18"/>
              </w:rPr>
              <w:t>nacionalne strategije politike uključivanja</w:t>
            </w:r>
            <w:r>
              <w:rPr>
                <w:rFonts w:ascii="Calibri" w:hAnsi="Calibri"/>
                <w:noProof/>
                <w:sz w:val="18"/>
              </w:rPr>
              <w:t xml:space="preserve"> koja vodi do postizanja pametnih ciljeva utvrđenih u strategiji. Među tim mjerama su:</w:t>
            </w:r>
            <w:r>
              <w:rPr>
                <w:noProof/>
              </w:rPr>
              <w:br/>
            </w:r>
            <w:r>
              <w:rPr>
                <w:noProof/>
              </w:rPr>
              <w:br/>
            </w:r>
            <w:r>
              <w:rPr>
                <w:rFonts w:ascii="Calibri" w:hAnsi="Calibri"/>
                <w:noProof/>
                <w:sz w:val="18"/>
              </w:rPr>
              <w:t>(i) osigurati da su godišnji pojedinačni obrazovni planovi za učenike s posebnim potrebama u svim državnim školama dobro osmišljeni kako bi se utvrdio model poduke unutar okvira kurikuluma primjerenog dobi, da se tom nastavkom koju pružaju edukatori (nastavnici/nastavnici/delegati i nastavnici potpore učenju) odgovara na potrebe pojedinačnih učenika te da se preporučuju izmjene i prilagodbe kako bi učenici mogli pristupiti programu učenja. Odgovarajuća preispitivanja provode se na kraju svake shlastične godine. IEP-ove sastavlja LSE u suradnji s nastavnikom. Voditelji odjela (uključivanje) osiguravaju i prate ispunjavaju li IEP-ovi kriterije kvalitete;</w:t>
            </w:r>
            <w:r>
              <w:rPr>
                <w:noProof/>
              </w:rPr>
              <w:br/>
            </w:r>
            <w:r>
              <w:rPr>
                <w:rFonts w:ascii="Calibri" w:hAnsi="Calibri"/>
                <w:noProof/>
                <w:sz w:val="18"/>
              </w:rPr>
              <w:t>ii. Stupanje na snagu obveze za sve državne škole da organiziraju događanja najmanje jednom u svakom mandatu kojima se prepoznaje i slavi raznolikost te stvara svijest kao preventivna i proaktivna mjera protiv svakog oblika vršnjačkog nasilja koji proizlazi iz nedostatka tolerancije. One mogu uključivati teme povezane s rasnim ili etničkim podrijetlom, vjerom ili uvjerenjem, invaliditetom ili spolnom orijentacijom, ali nisu ograničene na njih; i</w:t>
            </w:r>
            <w:r>
              <w:rPr>
                <w:noProof/>
              </w:rPr>
              <w:br/>
              <w:t xml:space="preserve"> </w:t>
            </w:r>
            <w:r>
              <w:rPr>
                <w:rFonts w:ascii="Calibri" w:hAnsi="Calibri"/>
                <w:noProof/>
                <w:sz w:val="18"/>
              </w:rPr>
              <w:t>iii. Stupanje na snagu obveze da sve izjave o državnim školskim misijama sadržavaju dokaze o vrijednostima raznolikosti i uključenosti, pri čemu se velika važnost pridaje pravednosti i boljim rezultatima za sve učenike.</w:t>
            </w:r>
          </w:p>
        </w:tc>
      </w:tr>
      <w:tr w:rsidR="008273B8" w14:paraId="7A53914B" w14:textId="77777777">
        <w:trPr>
          <w:cantSplit/>
          <w:jc w:val="center"/>
        </w:trPr>
        <w:tc>
          <w:tcPr>
            <w:tcW w:w="1144" w:type="dxa"/>
            <w:shd w:val="clear" w:color="auto" w:fill="C6EFCE"/>
            <w:vAlign w:val="center"/>
            <w:hideMark/>
          </w:tcPr>
          <w:p w14:paraId="7A53913F" w14:textId="77777777" w:rsidR="008273B8" w:rsidRDefault="00B93063">
            <w:pPr>
              <w:pStyle w:val="P68B1DB1-Normal7"/>
              <w:spacing w:after="0" w:line="240" w:lineRule="auto"/>
              <w:rPr>
                <w:rFonts w:eastAsia="Times New Roman" w:cs="Calibri"/>
                <w:noProof/>
              </w:rPr>
            </w:pPr>
            <w:r>
              <w:rPr>
                <w:noProof/>
              </w:rPr>
              <w:t>5.11</w:t>
            </w:r>
          </w:p>
        </w:tc>
        <w:tc>
          <w:tcPr>
            <w:tcW w:w="1181" w:type="dxa"/>
            <w:shd w:val="clear" w:color="auto" w:fill="C6EFCE"/>
            <w:vAlign w:val="center"/>
            <w:hideMark/>
          </w:tcPr>
          <w:p w14:paraId="7A539140" w14:textId="77777777" w:rsidR="008273B8" w:rsidRDefault="00B93063">
            <w:pPr>
              <w:pStyle w:val="P68B1DB1-Normal7"/>
              <w:spacing w:after="0" w:line="240" w:lineRule="auto"/>
              <w:rPr>
                <w:rFonts w:eastAsia="Times New Roman" w:cs="Calibri"/>
                <w:noProof/>
              </w:rPr>
            </w:pPr>
            <w:r>
              <w:rPr>
                <w:noProof/>
              </w:rPr>
              <w:t xml:space="preserve">C5.R.4 </w:t>
            </w:r>
          </w:p>
        </w:tc>
        <w:tc>
          <w:tcPr>
            <w:tcW w:w="1020" w:type="dxa"/>
            <w:shd w:val="clear" w:color="auto" w:fill="C6EFCE"/>
            <w:vAlign w:val="center"/>
            <w:hideMark/>
          </w:tcPr>
          <w:p w14:paraId="7A539141" w14:textId="77777777" w:rsidR="008273B8" w:rsidRDefault="00B93063">
            <w:pPr>
              <w:pStyle w:val="P68B1DB1-Normal7"/>
              <w:spacing w:after="0" w:line="240" w:lineRule="auto"/>
              <w:rPr>
                <w:rFonts w:eastAsia="Times New Roman" w:cs="Calibri"/>
                <w:noProof/>
              </w:rPr>
            </w:pPr>
            <w:r>
              <w:rPr>
                <w:noProof/>
              </w:rPr>
              <w:t>Ključna etapa</w:t>
            </w:r>
          </w:p>
        </w:tc>
        <w:tc>
          <w:tcPr>
            <w:tcW w:w="1590" w:type="dxa"/>
            <w:shd w:val="clear" w:color="auto" w:fill="C6EFCE"/>
            <w:vAlign w:val="center"/>
            <w:hideMark/>
          </w:tcPr>
          <w:p w14:paraId="7A539142" w14:textId="77777777" w:rsidR="008273B8" w:rsidRDefault="00B93063">
            <w:pPr>
              <w:pStyle w:val="P68B1DB1-Normal7"/>
              <w:spacing w:after="0" w:line="240" w:lineRule="auto"/>
              <w:rPr>
                <w:rFonts w:eastAsia="Times New Roman" w:cs="Calibri"/>
                <w:noProof/>
              </w:rPr>
            </w:pPr>
            <w:r>
              <w:rPr>
                <w:noProof/>
              </w:rPr>
              <w:t xml:space="preserve">Provedba novouvedenog plana rada za evaluaciju i praćenje </w:t>
            </w:r>
          </w:p>
        </w:tc>
        <w:tc>
          <w:tcPr>
            <w:tcW w:w="2050" w:type="dxa"/>
            <w:shd w:val="clear" w:color="auto" w:fill="C6EFCE"/>
            <w:vAlign w:val="center"/>
            <w:hideMark/>
          </w:tcPr>
          <w:p w14:paraId="7A539143" w14:textId="77777777" w:rsidR="008273B8" w:rsidRDefault="00B93063">
            <w:pPr>
              <w:pStyle w:val="P68B1DB1-Normal7"/>
              <w:spacing w:after="0" w:line="240" w:lineRule="auto"/>
              <w:rPr>
                <w:rFonts w:eastAsia="Times New Roman" w:cs="Calibri"/>
                <w:noProof/>
              </w:rPr>
            </w:pPr>
            <w:r>
              <w:rPr>
                <w:noProof/>
              </w:rPr>
              <w:t xml:space="preserve">Prva objava godišnjeg internog izvješća o stanju provedbe plana rada za evaluaciju i praćenje </w:t>
            </w:r>
          </w:p>
        </w:tc>
        <w:tc>
          <w:tcPr>
            <w:tcW w:w="894" w:type="dxa"/>
            <w:shd w:val="clear" w:color="auto" w:fill="C6EFCE"/>
            <w:vAlign w:val="center"/>
            <w:hideMark/>
          </w:tcPr>
          <w:p w14:paraId="7A539144" w14:textId="77777777" w:rsidR="008273B8" w:rsidRDefault="008273B8">
            <w:pPr>
              <w:spacing w:after="0" w:line="240" w:lineRule="auto"/>
              <w:jc w:val="center"/>
              <w:rPr>
                <w:rFonts w:ascii="Calibri" w:eastAsia="Times New Roman" w:hAnsi="Calibri" w:cs="Calibri"/>
                <w:noProof/>
                <w:sz w:val="18"/>
              </w:rPr>
            </w:pPr>
          </w:p>
        </w:tc>
        <w:tc>
          <w:tcPr>
            <w:tcW w:w="885" w:type="dxa"/>
            <w:shd w:val="clear" w:color="auto" w:fill="C6EFCE"/>
            <w:vAlign w:val="center"/>
            <w:hideMark/>
          </w:tcPr>
          <w:p w14:paraId="7A539145" w14:textId="77777777" w:rsidR="008273B8" w:rsidRDefault="008273B8">
            <w:pPr>
              <w:spacing w:after="0" w:line="240" w:lineRule="auto"/>
              <w:jc w:val="center"/>
              <w:rPr>
                <w:rFonts w:ascii="Calibri" w:eastAsia="Times New Roman" w:hAnsi="Calibri" w:cs="Calibri"/>
                <w:noProof/>
                <w:sz w:val="18"/>
              </w:rPr>
            </w:pPr>
          </w:p>
        </w:tc>
        <w:tc>
          <w:tcPr>
            <w:tcW w:w="700" w:type="dxa"/>
            <w:shd w:val="clear" w:color="auto" w:fill="C6EFCE"/>
            <w:vAlign w:val="center"/>
            <w:hideMark/>
          </w:tcPr>
          <w:p w14:paraId="7A539146" w14:textId="77777777" w:rsidR="008273B8" w:rsidRDefault="008273B8">
            <w:pPr>
              <w:spacing w:after="0" w:line="240" w:lineRule="auto"/>
              <w:jc w:val="both"/>
              <w:rPr>
                <w:rFonts w:ascii="Calibri" w:eastAsia="Times New Roman" w:hAnsi="Calibri" w:cs="Calibri"/>
                <w:noProof/>
                <w:sz w:val="18"/>
              </w:rPr>
            </w:pPr>
          </w:p>
        </w:tc>
        <w:tc>
          <w:tcPr>
            <w:tcW w:w="874" w:type="dxa"/>
            <w:shd w:val="clear" w:color="auto" w:fill="C6EFCE"/>
            <w:vAlign w:val="center"/>
            <w:hideMark/>
          </w:tcPr>
          <w:p w14:paraId="7A539147"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85" w:type="dxa"/>
            <w:shd w:val="clear" w:color="auto" w:fill="C6EFCE"/>
            <w:vAlign w:val="center"/>
            <w:hideMark/>
          </w:tcPr>
          <w:p w14:paraId="7A539148" w14:textId="77777777" w:rsidR="008273B8" w:rsidRDefault="00B93063">
            <w:pPr>
              <w:pStyle w:val="P68B1DB1-Normal7"/>
              <w:spacing w:after="0" w:line="240" w:lineRule="auto"/>
              <w:jc w:val="center"/>
              <w:rPr>
                <w:rFonts w:eastAsia="Times New Roman" w:cs="Calibri"/>
                <w:noProof/>
              </w:rPr>
            </w:pPr>
            <w:r>
              <w:rPr>
                <w:noProof/>
              </w:rPr>
              <w:t>2025</w:t>
            </w:r>
          </w:p>
        </w:tc>
        <w:tc>
          <w:tcPr>
            <w:tcW w:w="5264" w:type="dxa"/>
            <w:shd w:val="clear" w:color="auto" w:fill="C6EFCE"/>
            <w:vAlign w:val="center"/>
            <w:hideMark/>
          </w:tcPr>
          <w:p w14:paraId="7A539149" w14:textId="77777777" w:rsidR="008273B8" w:rsidRDefault="00B93063">
            <w:pPr>
              <w:spacing w:after="0" w:line="240" w:lineRule="auto"/>
              <w:rPr>
                <w:rFonts w:ascii="Calibri" w:eastAsia="Times New Roman" w:hAnsi="Calibri" w:cs="Calibri"/>
                <w:noProof/>
                <w:sz w:val="18"/>
              </w:rPr>
            </w:pPr>
            <w:r>
              <w:rPr>
                <w:rFonts w:ascii="Calibri" w:hAnsi="Calibri"/>
                <w:noProof/>
                <w:sz w:val="18"/>
              </w:rPr>
              <w:t xml:space="preserve">Nakon donošenja plana rada za evaluaciju i praćenje u kojem se navode ključni pokazatelji uspješnosti i povezani mehanizmi praćenja, kao i popis mjera politike koje treba evaluirati svake godine, vlasnici politika svaki mjesec izvješćuju o napretku u provedbi mjera u skladu s planom rada. Te će se informacije uključiti na tromjesečni sastanak Strateškog upravnog odbora Ministarstva radi rasprave i olakšavanja postupka provedbe politike. Interno izvješće o stanju postupka provedbe politike priprema se svake godine. Time su obuhvaćene sve obrazovne politike koje su preispitane i obuhvaćaju razdoblje od 2021. do 2030. </w:t>
            </w:r>
            <w:r>
              <w:rPr>
                <w:noProof/>
              </w:rPr>
              <w:br/>
            </w:r>
          </w:p>
          <w:p w14:paraId="7A53914A" w14:textId="576C1D4F" w:rsidR="008273B8" w:rsidRDefault="00B93063">
            <w:pPr>
              <w:pStyle w:val="P68B1DB1-Normal7"/>
              <w:spacing w:after="0" w:line="240" w:lineRule="auto"/>
              <w:rPr>
                <w:rFonts w:eastAsia="Times New Roman" w:cs="Calibri"/>
                <w:noProof/>
              </w:rPr>
            </w:pPr>
            <w:r>
              <w:rPr>
                <w:noProof/>
              </w:rPr>
              <w:t xml:space="preserve">Dva službenika bit će zaposlena u Upravi za praćenje i evaluaciju politika. </w:t>
            </w:r>
          </w:p>
        </w:tc>
      </w:tr>
      <w:tr w:rsidR="008273B8" w14:paraId="7A539157" w14:textId="77777777">
        <w:trPr>
          <w:cantSplit/>
          <w:jc w:val="center"/>
        </w:trPr>
        <w:tc>
          <w:tcPr>
            <w:tcW w:w="1144" w:type="dxa"/>
            <w:shd w:val="clear" w:color="auto" w:fill="C6EFCE"/>
            <w:vAlign w:val="center"/>
            <w:hideMark/>
          </w:tcPr>
          <w:p w14:paraId="7A53914C" w14:textId="77777777" w:rsidR="008273B8" w:rsidRDefault="00B93063">
            <w:pPr>
              <w:pStyle w:val="P68B1DB1-Normal7"/>
              <w:spacing w:after="0" w:line="240" w:lineRule="auto"/>
              <w:rPr>
                <w:rFonts w:eastAsia="Times New Roman" w:cs="Calibri"/>
                <w:noProof/>
              </w:rPr>
            </w:pPr>
            <w:r>
              <w:rPr>
                <w:noProof/>
              </w:rPr>
              <w:t>5.12</w:t>
            </w:r>
          </w:p>
        </w:tc>
        <w:tc>
          <w:tcPr>
            <w:tcW w:w="1181" w:type="dxa"/>
            <w:shd w:val="clear" w:color="auto" w:fill="C6EFCE"/>
            <w:vAlign w:val="center"/>
            <w:hideMark/>
          </w:tcPr>
          <w:p w14:paraId="7A53914D" w14:textId="77777777" w:rsidR="008273B8" w:rsidRDefault="00B93063">
            <w:pPr>
              <w:pStyle w:val="P68B1DB1-Normal7"/>
              <w:spacing w:after="0" w:line="240" w:lineRule="auto"/>
              <w:rPr>
                <w:rFonts w:eastAsia="Times New Roman" w:cs="Calibri"/>
                <w:noProof/>
              </w:rPr>
            </w:pPr>
            <w:r>
              <w:rPr>
                <w:noProof/>
              </w:rPr>
              <w:t xml:space="preserve">C5.R.5 </w:t>
            </w:r>
          </w:p>
        </w:tc>
        <w:tc>
          <w:tcPr>
            <w:tcW w:w="1020" w:type="dxa"/>
            <w:shd w:val="clear" w:color="auto" w:fill="C6EFCE"/>
            <w:vAlign w:val="center"/>
            <w:hideMark/>
          </w:tcPr>
          <w:p w14:paraId="7A53914E" w14:textId="77777777" w:rsidR="008273B8" w:rsidRDefault="00B93063">
            <w:pPr>
              <w:pStyle w:val="P68B1DB1-Normal7"/>
              <w:spacing w:after="0" w:line="240" w:lineRule="auto"/>
              <w:rPr>
                <w:rFonts w:eastAsia="Times New Roman" w:cs="Calibri"/>
                <w:noProof/>
              </w:rPr>
            </w:pPr>
            <w:r>
              <w:rPr>
                <w:noProof/>
              </w:rPr>
              <w:t>Ključna etapa</w:t>
            </w:r>
          </w:p>
        </w:tc>
        <w:tc>
          <w:tcPr>
            <w:tcW w:w="1590" w:type="dxa"/>
            <w:shd w:val="clear" w:color="auto" w:fill="C6EFCE"/>
            <w:vAlign w:val="center"/>
            <w:hideMark/>
          </w:tcPr>
          <w:p w14:paraId="7A53914F" w14:textId="77777777" w:rsidR="008273B8" w:rsidRDefault="00B93063">
            <w:pPr>
              <w:pStyle w:val="P68B1DB1-Normal7"/>
              <w:spacing w:after="0" w:line="240" w:lineRule="auto"/>
              <w:rPr>
                <w:rFonts w:eastAsia="Times New Roman" w:cs="Calibri"/>
                <w:noProof/>
              </w:rPr>
            </w:pPr>
            <w:r>
              <w:rPr>
                <w:noProof/>
              </w:rPr>
              <w:t>Procjena davanja za nezaposlenost</w:t>
            </w:r>
          </w:p>
        </w:tc>
        <w:tc>
          <w:tcPr>
            <w:tcW w:w="2050" w:type="dxa"/>
            <w:shd w:val="clear" w:color="auto" w:fill="C6EFCE"/>
            <w:vAlign w:val="center"/>
            <w:hideMark/>
          </w:tcPr>
          <w:p w14:paraId="7A539150" w14:textId="77777777" w:rsidR="008273B8" w:rsidRDefault="00B93063">
            <w:pPr>
              <w:pStyle w:val="P68B1DB1-Normal7"/>
              <w:spacing w:after="0" w:line="240" w:lineRule="auto"/>
              <w:rPr>
                <w:rFonts w:eastAsia="Times New Roman" w:cs="Calibri"/>
                <w:noProof/>
              </w:rPr>
            </w:pPr>
            <w:r>
              <w:rPr>
                <w:noProof/>
              </w:rPr>
              <w:t>Internetska objava studije o procjeni naknada za nezaposlenost</w:t>
            </w:r>
          </w:p>
        </w:tc>
        <w:tc>
          <w:tcPr>
            <w:tcW w:w="894" w:type="dxa"/>
            <w:shd w:val="clear" w:color="auto" w:fill="C6EFCE"/>
            <w:vAlign w:val="center"/>
            <w:hideMark/>
          </w:tcPr>
          <w:p w14:paraId="7A539151" w14:textId="77777777" w:rsidR="008273B8" w:rsidRDefault="008273B8">
            <w:pPr>
              <w:spacing w:after="0" w:line="240" w:lineRule="auto"/>
              <w:jc w:val="center"/>
              <w:rPr>
                <w:rFonts w:ascii="Calibri" w:eastAsia="Times New Roman" w:hAnsi="Calibri" w:cs="Calibri"/>
                <w:noProof/>
                <w:sz w:val="18"/>
              </w:rPr>
            </w:pPr>
          </w:p>
        </w:tc>
        <w:tc>
          <w:tcPr>
            <w:tcW w:w="885" w:type="dxa"/>
            <w:shd w:val="clear" w:color="auto" w:fill="C6EFCE"/>
            <w:vAlign w:val="center"/>
            <w:hideMark/>
          </w:tcPr>
          <w:p w14:paraId="7A539152" w14:textId="77777777" w:rsidR="008273B8" w:rsidRDefault="008273B8">
            <w:pPr>
              <w:spacing w:after="0" w:line="240" w:lineRule="auto"/>
              <w:jc w:val="center"/>
              <w:rPr>
                <w:rFonts w:ascii="Calibri" w:eastAsia="Times New Roman" w:hAnsi="Calibri" w:cs="Calibri"/>
                <w:noProof/>
                <w:sz w:val="18"/>
              </w:rPr>
            </w:pPr>
          </w:p>
        </w:tc>
        <w:tc>
          <w:tcPr>
            <w:tcW w:w="700" w:type="dxa"/>
            <w:shd w:val="clear" w:color="auto" w:fill="C6EFCE"/>
            <w:vAlign w:val="center"/>
            <w:hideMark/>
          </w:tcPr>
          <w:p w14:paraId="7A539153" w14:textId="77777777" w:rsidR="008273B8" w:rsidRDefault="008273B8">
            <w:pPr>
              <w:spacing w:after="0" w:line="240" w:lineRule="auto"/>
              <w:jc w:val="center"/>
              <w:rPr>
                <w:rFonts w:ascii="Calibri" w:eastAsia="Times New Roman" w:hAnsi="Calibri" w:cs="Calibri"/>
                <w:noProof/>
                <w:sz w:val="18"/>
              </w:rPr>
            </w:pPr>
          </w:p>
        </w:tc>
        <w:tc>
          <w:tcPr>
            <w:tcW w:w="874" w:type="dxa"/>
            <w:shd w:val="clear" w:color="auto" w:fill="C6EFCE"/>
            <w:vAlign w:val="center"/>
            <w:hideMark/>
          </w:tcPr>
          <w:p w14:paraId="7A539154" w14:textId="77777777" w:rsidR="008273B8" w:rsidRDefault="00B93063">
            <w:pPr>
              <w:pStyle w:val="P68B1DB1-Normal7"/>
              <w:spacing w:after="0" w:line="240" w:lineRule="auto"/>
              <w:jc w:val="center"/>
              <w:rPr>
                <w:rFonts w:eastAsia="Times New Roman" w:cs="Calibri"/>
                <w:noProof/>
              </w:rPr>
            </w:pPr>
            <w:r>
              <w:rPr>
                <w:noProof/>
              </w:rPr>
              <w:t>Q2</w:t>
            </w:r>
          </w:p>
        </w:tc>
        <w:tc>
          <w:tcPr>
            <w:tcW w:w="685" w:type="dxa"/>
            <w:shd w:val="clear" w:color="auto" w:fill="C6EFCE"/>
            <w:vAlign w:val="center"/>
            <w:hideMark/>
          </w:tcPr>
          <w:p w14:paraId="7A539155" w14:textId="77777777" w:rsidR="008273B8" w:rsidRDefault="00B93063">
            <w:pPr>
              <w:pStyle w:val="P68B1DB1-Normal7"/>
              <w:spacing w:after="0" w:line="240" w:lineRule="auto"/>
              <w:jc w:val="center"/>
              <w:rPr>
                <w:rFonts w:eastAsia="Times New Roman" w:cs="Calibri"/>
                <w:noProof/>
              </w:rPr>
            </w:pPr>
            <w:r>
              <w:rPr>
                <w:noProof/>
              </w:rPr>
              <w:t>2022</w:t>
            </w:r>
          </w:p>
        </w:tc>
        <w:tc>
          <w:tcPr>
            <w:tcW w:w="5264" w:type="dxa"/>
            <w:shd w:val="clear" w:color="auto" w:fill="C6EFCE"/>
            <w:vAlign w:val="center"/>
            <w:hideMark/>
          </w:tcPr>
          <w:p w14:paraId="7A539156" w14:textId="77777777" w:rsidR="008273B8" w:rsidRDefault="00B93063">
            <w:pPr>
              <w:pStyle w:val="P68B1DB1-Normal7"/>
              <w:spacing w:after="0" w:line="240" w:lineRule="auto"/>
              <w:rPr>
                <w:rFonts w:eastAsia="Times New Roman" w:cs="Calibri"/>
                <w:noProof/>
              </w:rPr>
            </w:pPr>
            <w:r>
              <w:rPr>
                <w:noProof/>
              </w:rPr>
              <w:t xml:space="preserve">Dovršava se i objavljuje studija o procjeni davanja za nezaposlenost na Malti. Studijom se ocjenjuje situacija i vladi daju konkretne i detaljne preporuke o tome kako poboljšati učinkovitu pokrivenost i postići bolju primjerenost naknada, kako u pogledu trajanja tako i u pogledu učinkovitog pristupa, uz istodobno jačanje poticaja za rad. </w:t>
            </w:r>
          </w:p>
        </w:tc>
      </w:tr>
      <w:tr w:rsidR="008273B8" w14:paraId="7A539164" w14:textId="77777777">
        <w:trPr>
          <w:cantSplit/>
          <w:jc w:val="center"/>
        </w:trPr>
        <w:tc>
          <w:tcPr>
            <w:tcW w:w="1144" w:type="dxa"/>
            <w:shd w:val="clear" w:color="auto" w:fill="C6EFCE"/>
            <w:vAlign w:val="center"/>
            <w:hideMark/>
          </w:tcPr>
          <w:p w14:paraId="7A539158" w14:textId="77777777" w:rsidR="008273B8" w:rsidRDefault="00B93063">
            <w:pPr>
              <w:pStyle w:val="P68B1DB1-Normal7"/>
              <w:spacing w:after="0" w:line="240" w:lineRule="auto"/>
              <w:rPr>
                <w:rFonts w:eastAsia="Times New Roman" w:cs="Calibri"/>
                <w:noProof/>
              </w:rPr>
            </w:pPr>
            <w:r>
              <w:rPr>
                <w:noProof/>
              </w:rPr>
              <w:t>5.13</w:t>
            </w:r>
          </w:p>
        </w:tc>
        <w:tc>
          <w:tcPr>
            <w:tcW w:w="1181" w:type="dxa"/>
            <w:shd w:val="clear" w:color="auto" w:fill="C6EFCE"/>
            <w:vAlign w:val="center"/>
            <w:hideMark/>
          </w:tcPr>
          <w:p w14:paraId="7A539159" w14:textId="77777777" w:rsidR="008273B8" w:rsidRDefault="00B93063">
            <w:pPr>
              <w:pStyle w:val="P68B1DB1-Normal7"/>
              <w:spacing w:after="0" w:line="240" w:lineRule="auto"/>
              <w:rPr>
                <w:rFonts w:eastAsia="Times New Roman" w:cs="Calibri"/>
                <w:noProof/>
              </w:rPr>
            </w:pPr>
            <w:r>
              <w:rPr>
                <w:noProof/>
              </w:rPr>
              <w:t xml:space="preserve">C5.R.5 </w:t>
            </w:r>
          </w:p>
        </w:tc>
        <w:tc>
          <w:tcPr>
            <w:tcW w:w="1020" w:type="dxa"/>
            <w:shd w:val="clear" w:color="auto" w:fill="C6EFCE"/>
            <w:vAlign w:val="center"/>
            <w:hideMark/>
          </w:tcPr>
          <w:p w14:paraId="7A53915A" w14:textId="77777777" w:rsidR="008273B8" w:rsidRDefault="00B93063">
            <w:pPr>
              <w:pStyle w:val="P68B1DB1-Normal7"/>
              <w:spacing w:after="0" w:line="240" w:lineRule="auto"/>
              <w:rPr>
                <w:rFonts w:eastAsia="Times New Roman" w:cs="Calibri"/>
                <w:noProof/>
              </w:rPr>
            </w:pPr>
            <w:r>
              <w:rPr>
                <w:noProof/>
              </w:rPr>
              <w:t>Ključna etapa</w:t>
            </w:r>
          </w:p>
        </w:tc>
        <w:tc>
          <w:tcPr>
            <w:tcW w:w="1590" w:type="dxa"/>
            <w:shd w:val="clear" w:color="auto" w:fill="C6EFCE"/>
            <w:vAlign w:val="center"/>
            <w:hideMark/>
          </w:tcPr>
          <w:p w14:paraId="7A53915B" w14:textId="77777777" w:rsidR="008273B8" w:rsidRDefault="00B93063">
            <w:pPr>
              <w:pStyle w:val="P68B1DB1-Normal7"/>
              <w:spacing w:after="0" w:line="240" w:lineRule="auto"/>
              <w:rPr>
                <w:rFonts w:eastAsia="Times New Roman" w:cs="Calibri"/>
                <w:noProof/>
              </w:rPr>
            </w:pPr>
            <w:r>
              <w:rPr>
                <w:noProof/>
              </w:rPr>
              <w:t>Postupak praćenja izazova i mjera politike povezanih s naknadama za nezaposlenost</w:t>
            </w:r>
          </w:p>
        </w:tc>
        <w:tc>
          <w:tcPr>
            <w:tcW w:w="2050" w:type="dxa"/>
            <w:shd w:val="clear" w:color="auto" w:fill="C6EFCE"/>
            <w:vAlign w:val="center"/>
            <w:hideMark/>
          </w:tcPr>
          <w:p w14:paraId="7A53915C" w14:textId="77777777" w:rsidR="008273B8" w:rsidRDefault="00B93063">
            <w:pPr>
              <w:pStyle w:val="P68B1DB1-Normal7"/>
              <w:spacing w:after="0" w:line="240" w:lineRule="auto"/>
              <w:rPr>
                <w:rFonts w:eastAsia="Times New Roman" w:cs="Calibri"/>
                <w:noProof/>
              </w:rPr>
            </w:pPr>
            <w:r>
              <w:rPr>
                <w:noProof/>
              </w:rPr>
              <w:t>Objavljivanje prvog izvješća o praćenju s relevantnim statističkim podacima na internetu</w:t>
            </w:r>
          </w:p>
        </w:tc>
        <w:tc>
          <w:tcPr>
            <w:tcW w:w="894" w:type="dxa"/>
            <w:shd w:val="clear" w:color="auto" w:fill="C6EFCE"/>
            <w:vAlign w:val="center"/>
            <w:hideMark/>
          </w:tcPr>
          <w:p w14:paraId="7A53915D" w14:textId="77777777" w:rsidR="008273B8" w:rsidRDefault="008273B8">
            <w:pPr>
              <w:spacing w:after="0" w:line="240" w:lineRule="auto"/>
              <w:jc w:val="center"/>
              <w:rPr>
                <w:rFonts w:ascii="Calibri" w:eastAsia="Times New Roman" w:hAnsi="Calibri" w:cs="Calibri"/>
                <w:noProof/>
                <w:sz w:val="18"/>
              </w:rPr>
            </w:pPr>
          </w:p>
        </w:tc>
        <w:tc>
          <w:tcPr>
            <w:tcW w:w="885" w:type="dxa"/>
            <w:shd w:val="clear" w:color="auto" w:fill="C6EFCE"/>
            <w:vAlign w:val="center"/>
            <w:hideMark/>
          </w:tcPr>
          <w:p w14:paraId="7A53915E" w14:textId="77777777" w:rsidR="008273B8" w:rsidRDefault="008273B8">
            <w:pPr>
              <w:spacing w:after="0" w:line="240" w:lineRule="auto"/>
              <w:jc w:val="center"/>
              <w:rPr>
                <w:rFonts w:ascii="Calibri" w:eastAsia="Times New Roman" w:hAnsi="Calibri" w:cs="Calibri"/>
                <w:noProof/>
                <w:sz w:val="18"/>
              </w:rPr>
            </w:pPr>
          </w:p>
        </w:tc>
        <w:tc>
          <w:tcPr>
            <w:tcW w:w="700" w:type="dxa"/>
            <w:shd w:val="clear" w:color="auto" w:fill="C6EFCE"/>
            <w:vAlign w:val="center"/>
            <w:hideMark/>
          </w:tcPr>
          <w:p w14:paraId="7A53915F" w14:textId="77777777" w:rsidR="008273B8" w:rsidRDefault="008273B8">
            <w:pPr>
              <w:spacing w:after="0" w:line="240" w:lineRule="auto"/>
              <w:jc w:val="center"/>
              <w:rPr>
                <w:rFonts w:ascii="Calibri" w:eastAsia="Times New Roman" w:hAnsi="Calibri" w:cs="Calibri"/>
                <w:noProof/>
                <w:sz w:val="18"/>
              </w:rPr>
            </w:pPr>
          </w:p>
          <w:p w14:paraId="7A539160" w14:textId="77777777" w:rsidR="008273B8" w:rsidRDefault="008273B8">
            <w:pPr>
              <w:spacing w:after="0" w:line="240" w:lineRule="auto"/>
              <w:jc w:val="center"/>
              <w:rPr>
                <w:rFonts w:ascii="Calibri" w:eastAsia="Times New Roman" w:hAnsi="Calibri" w:cs="Calibri"/>
                <w:noProof/>
                <w:sz w:val="18"/>
              </w:rPr>
            </w:pPr>
          </w:p>
        </w:tc>
        <w:tc>
          <w:tcPr>
            <w:tcW w:w="874" w:type="dxa"/>
            <w:shd w:val="clear" w:color="auto" w:fill="C6EFCE"/>
            <w:vAlign w:val="center"/>
            <w:hideMark/>
          </w:tcPr>
          <w:p w14:paraId="7A539161"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85" w:type="dxa"/>
            <w:shd w:val="clear" w:color="auto" w:fill="C6EFCE"/>
            <w:vAlign w:val="center"/>
            <w:hideMark/>
          </w:tcPr>
          <w:p w14:paraId="7A539162" w14:textId="77777777" w:rsidR="008273B8" w:rsidRDefault="00B93063">
            <w:pPr>
              <w:pStyle w:val="P68B1DB1-Normal7"/>
              <w:spacing w:after="0" w:line="240" w:lineRule="auto"/>
              <w:jc w:val="center"/>
              <w:rPr>
                <w:rFonts w:eastAsia="Times New Roman" w:cs="Calibri"/>
                <w:noProof/>
              </w:rPr>
            </w:pPr>
            <w:r>
              <w:rPr>
                <w:noProof/>
              </w:rPr>
              <w:t>2024</w:t>
            </w:r>
          </w:p>
        </w:tc>
        <w:tc>
          <w:tcPr>
            <w:tcW w:w="5264" w:type="dxa"/>
            <w:shd w:val="clear" w:color="auto" w:fill="C6EFCE"/>
            <w:hideMark/>
          </w:tcPr>
          <w:p w14:paraId="7A539163" w14:textId="77777777" w:rsidR="008273B8" w:rsidRDefault="00B93063">
            <w:pPr>
              <w:pStyle w:val="P68B1DB1-Normal7"/>
              <w:spacing w:after="0" w:line="240" w:lineRule="auto"/>
              <w:rPr>
                <w:rFonts w:eastAsia="Times New Roman" w:cs="Calibri"/>
                <w:noProof/>
              </w:rPr>
            </w:pPr>
            <w:r>
              <w:rPr>
                <w:noProof/>
              </w:rPr>
              <w:t>Provodi se postupak praćenja s relevantnim statističkim podacima kako bi se periodično sagledala učinkovitost mjera politike koje su na snazi u pogledu davanja za nezaposlenost. Prvo izvješće mora biti dovršeno do kraja 2024., u kojem se utvrđuje datum objave sljedećeg izvješća u roku od pet (5) godina.</w:t>
            </w:r>
          </w:p>
        </w:tc>
      </w:tr>
      <w:tr w:rsidR="008273B8" w14:paraId="7A539171" w14:textId="77777777">
        <w:trPr>
          <w:cantSplit/>
          <w:jc w:val="center"/>
        </w:trPr>
        <w:tc>
          <w:tcPr>
            <w:tcW w:w="1144" w:type="dxa"/>
            <w:shd w:val="clear" w:color="auto" w:fill="C6EFCE"/>
            <w:vAlign w:val="center"/>
            <w:hideMark/>
          </w:tcPr>
          <w:p w14:paraId="7A539165" w14:textId="77777777" w:rsidR="008273B8" w:rsidRDefault="00B93063">
            <w:pPr>
              <w:pStyle w:val="P68B1DB1-Normal7"/>
              <w:spacing w:after="0" w:line="240" w:lineRule="auto"/>
              <w:rPr>
                <w:rFonts w:eastAsia="Times New Roman" w:cs="Calibri"/>
                <w:noProof/>
              </w:rPr>
            </w:pPr>
            <w:r>
              <w:rPr>
                <w:noProof/>
              </w:rPr>
              <w:t>5.14</w:t>
            </w:r>
          </w:p>
        </w:tc>
        <w:tc>
          <w:tcPr>
            <w:tcW w:w="1181" w:type="dxa"/>
            <w:shd w:val="clear" w:color="auto" w:fill="C6EFCE"/>
            <w:vAlign w:val="center"/>
            <w:hideMark/>
          </w:tcPr>
          <w:p w14:paraId="7A539166" w14:textId="77777777" w:rsidR="008273B8" w:rsidRDefault="00B93063">
            <w:pPr>
              <w:pStyle w:val="P68B1DB1-Normal7"/>
              <w:spacing w:after="0" w:line="240" w:lineRule="auto"/>
              <w:rPr>
                <w:rFonts w:eastAsia="Times New Roman" w:cs="Calibri"/>
                <w:noProof/>
              </w:rPr>
            </w:pPr>
            <w:r>
              <w:rPr>
                <w:noProof/>
              </w:rPr>
              <w:t xml:space="preserve">C5.R.5 </w:t>
            </w:r>
          </w:p>
        </w:tc>
        <w:tc>
          <w:tcPr>
            <w:tcW w:w="1020" w:type="dxa"/>
            <w:shd w:val="clear" w:color="auto" w:fill="C6EFCE"/>
            <w:vAlign w:val="center"/>
            <w:hideMark/>
          </w:tcPr>
          <w:p w14:paraId="7A539167" w14:textId="77777777" w:rsidR="008273B8" w:rsidRDefault="00B93063">
            <w:pPr>
              <w:pStyle w:val="P68B1DB1-Normal7"/>
              <w:spacing w:after="0" w:line="240" w:lineRule="auto"/>
              <w:rPr>
                <w:rFonts w:eastAsia="Times New Roman" w:cs="Calibri"/>
                <w:noProof/>
              </w:rPr>
            </w:pPr>
            <w:r>
              <w:rPr>
                <w:noProof/>
              </w:rPr>
              <w:t>Ključna etapa</w:t>
            </w:r>
          </w:p>
        </w:tc>
        <w:tc>
          <w:tcPr>
            <w:tcW w:w="1590" w:type="dxa"/>
            <w:shd w:val="clear" w:color="auto" w:fill="C6EFCE"/>
            <w:vAlign w:val="center"/>
            <w:hideMark/>
          </w:tcPr>
          <w:p w14:paraId="7A539168" w14:textId="77777777" w:rsidR="008273B8" w:rsidRDefault="00B93063">
            <w:pPr>
              <w:pStyle w:val="P68B1DB1-Normal7"/>
              <w:spacing w:after="0" w:line="240" w:lineRule="auto"/>
              <w:rPr>
                <w:rFonts w:eastAsia="Times New Roman" w:cs="Calibri"/>
                <w:noProof/>
              </w:rPr>
            </w:pPr>
            <w:r>
              <w:rPr>
                <w:noProof/>
              </w:rPr>
              <w:t xml:space="preserve">Provedba mjera u nedavno donesenoj </w:t>
            </w:r>
            <w:r>
              <w:rPr>
                <w:i/>
                <w:noProof/>
              </w:rPr>
              <w:t>strategiji zapošljavanja</w:t>
            </w:r>
            <w:r>
              <w:rPr>
                <w:noProof/>
              </w:rPr>
              <w:t xml:space="preserve"> </w:t>
            </w:r>
          </w:p>
        </w:tc>
        <w:tc>
          <w:tcPr>
            <w:tcW w:w="2050" w:type="dxa"/>
            <w:shd w:val="clear" w:color="auto" w:fill="C6EFCE"/>
            <w:vAlign w:val="center"/>
            <w:hideMark/>
          </w:tcPr>
          <w:p w14:paraId="7A539169" w14:textId="77777777" w:rsidR="008273B8" w:rsidRDefault="00B93063">
            <w:pPr>
              <w:pStyle w:val="P68B1DB1-Normal7"/>
              <w:spacing w:after="0" w:line="240" w:lineRule="auto"/>
              <w:rPr>
                <w:rFonts w:eastAsia="Times New Roman" w:cs="Calibri"/>
                <w:noProof/>
              </w:rPr>
            </w:pPr>
            <w:r>
              <w:rPr>
                <w:noProof/>
              </w:rPr>
              <w:t xml:space="preserve">Nakon donošenja </w:t>
            </w:r>
            <w:r>
              <w:rPr>
                <w:i/>
                <w:noProof/>
              </w:rPr>
              <w:t>strategije zapošljavanja</w:t>
            </w:r>
            <w:r>
              <w:rPr>
                <w:noProof/>
              </w:rPr>
              <w:t xml:space="preserve"> provode se mjere koje proizlaze iz Strategije, uključujući, prema potrebi, stupanje na snagu zakonodavstva.</w:t>
            </w:r>
          </w:p>
        </w:tc>
        <w:tc>
          <w:tcPr>
            <w:tcW w:w="894" w:type="dxa"/>
            <w:shd w:val="clear" w:color="auto" w:fill="C6EFCE"/>
            <w:vAlign w:val="center"/>
            <w:hideMark/>
          </w:tcPr>
          <w:p w14:paraId="7A53916A" w14:textId="77777777" w:rsidR="008273B8" w:rsidRDefault="008273B8">
            <w:pPr>
              <w:spacing w:after="0" w:line="240" w:lineRule="auto"/>
              <w:jc w:val="center"/>
              <w:rPr>
                <w:rFonts w:ascii="Calibri" w:eastAsia="Times New Roman" w:hAnsi="Calibri" w:cs="Calibri"/>
                <w:noProof/>
                <w:sz w:val="18"/>
              </w:rPr>
            </w:pPr>
          </w:p>
        </w:tc>
        <w:tc>
          <w:tcPr>
            <w:tcW w:w="885" w:type="dxa"/>
            <w:shd w:val="clear" w:color="auto" w:fill="C6EFCE"/>
            <w:vAlign w:val="center"/>
            <w:hideMark/>
          </w:tcPr>
          <w:p w14:paraId="7A53916B" w14:textId="77777777" w:rsidR="008273B8" w:rsidRDefault="008273B8">
            <w:pPr>
              <w:spacing w:after="0" w:line="240" w:lineRule="auto"/>
              <w:jc w:val="center"/>
              <w:rPr>
                <w:rFonts w:ascii="Calibri" w:eastAsia="Times New Roman" w:hAnsi="Calibri" w:cs="Calibri"/>
                <w:noProof/>
                <w:sz w:val="18"/>
              </w:rPr>
            </w:pPr>
          </w:p>
        </w:tc>
        <w:tc>
          <w:tcPr>
            <w:tcW w:w="700" w:type="dxa"/>
            <w:shd w:val="clear" w:color="auto" w:fill="C6EFCE"/>
            <w:vAlign w:val="center"/>
            <w:hideMark/>
          </w:tcPr>
          <w:p w14:paraId="7A53916C" w14:textId="77777777" w:rsidR="008273B8" w:rsidRDefault="008273B8">
            <w:pPr>
              <w:spacing w:after="0" w:line="240" w:lineRule="auto"/>
              <w:jc w:val="center"/>
              <w:rPr>
                <w:rFonts w:ascii="Calibri" w:eastAsia="Times New Roman" w:hAnsi="Calibri" w:cs="Calibri"/>
                <w:noProof/>
                <w:sz w:val="18"/>
              </w:rPr>
            </w:pPr>
          </w:p>
        </w:tc>
        <w:tc>
          <w:tcPr>
            <w:tcW w:w="874" w:type="dxa"/>
            <w:shd w:val="clear" w:color="auto" w:fill="C6EFCE"/>
            <w:vAlign w:val="center"/>
            <w:hideMark/>
          </w:tcPr>
          <w:p w14:paraId="7A53916D" w14:textId="77777777" w:rsidR="008273B8" w:rsidRDefault="00B93063">
            <w:pPr>
              <w:pStyle w:val="P68B1DB1-Normal7"/>
              <w:spacing w:after="0" w:line="240" w:lineRule="auto"/>
              <w:jc w:val="center"/>
              <w:rPr>
                <w:rFonts w:eastAsia="Times New Roman" w:cs="Calibri"/>
                <w:noProof/>
              </w:rPr>
            </w:pPr>
            <w:r>
              <w:rPr>
                <w:noProof/>
              </w:rPr>
              <w:t>TROMJESEČJE</w:t>
            </w:r>
          </w:p>
        </w:tc>
        <w:tc>
          <w:tcPr>
            <w:tcW w:w="685" w:type="dxa"/>
            <w:shd w:val="clear" w:color="auto" w:fill="C6EFCE"/>
            <w:vAlign w:val="center"/>
            <w:hideMark/>
          </w:tcPr>
          <w:p w14:paraId="7A53916E" w14:textId="77777777" w:rsidR="008273B8" w:rsidRDefault="00B93063">
            <w:pPr>
              <w:pStyle w:val="P68B1DB1-Normal7"/>
              <w:spacing w:after="0" w:line="240" w:lineRule="auto"/>
              <w:jc w:val="center"/>
              <w:rPr>
                <w:rFonts w:eastAsia="Times New Roman" w:cs="Calibri"/>
                <w:noProof/>
              </w:rPr>
            </w:pPr>
            <w:r>
              <w:rPr>
                <w:noProof/>
              </w:rPr>
              <w:t>2025</w:t>
            </w:r>
          </w:p>
        </w:tc>
        <w:tc>
          <w:tcPr>
            <w:tcW w:w="5264" w:type="dxa"/>
            <w:shd w:val="clear" w:color="auto" w:fill="C6EFCE"/>
            <w:vAlign w:val="center"/>
            <w:hideMark/>
          </w:tcPr>
          <w:p w14:paraId="7A53916F" w14:textId="77777777" w:rsidR="008273B8" w:rsidRDefault="00B93063">
            <w:pPr>
              <w:pStyle w:val="P68B1DB1-Normal7"/>
              <w:spacing w:after="0" w:line="240" w:lineRule="auto"/>
              <w:rPr>
                <w:rFonts w:eastAsia="Times New Roman" w:cs="Calibri"/>
                <w:noProof/>
              </w:rPr>
            </w:pPr>
            <w:r>
              <w:rPr>
                <w:noProof/>
              </w:rPr>
              <w:t>Nakon njezina donošenja, provedba mjera iz Strategije zapošljavanja koje se odnose barem na:</w:t>
            </w:r>
          </w:p>
          <w:p w14:paraId="7A539170" w14:textId="77777777" w:rsidR="008273B8" w:rsidRDefault="00B93063">
            <w:pPr>
              <w:spacing w:after="0" w:line="240" w:lineRule="auto"/>
              <w:rPr>
                <w:rFonts w:ascii="Calibri" w:eastAsia="Times New Roman" w:hAnsi="Calibri" w:cs="Calibri"/>
                <w:noProof/>
                <w:sz w:val="18"/>
              </w:rPr>
            </w:pPr>
            <w:r>
              <w:rPr>
                <w:noProof/>
              </w:rPr>
              <w:br/>
            </w:r>
            <w:r>
              <w:rPr>
                <w:rFonts w:ascii="Calibri" w:hAnsi="Calibri"/>
                <w:noProof/>
                <w:sz w:val="18"/>
              </w:rPr>
              <w:t>i. stariji radnici (u dobi od 55 do 64 godine), osobito uključivanje starijih žena;</w:t>
            </w:r>
            <w:r>
              <w:rPr>
                <w:noProof/>
              </w:rPr>
              <w:br/>
            </w:r>
            <w:r>
              <w:rPr>
                <w:rFonts w:ascii="Calibri" w:hAnsi="Calibri"/>
                <w:noProof/>
                <w:sz w:val="18"/>
              </w:rPr>
              <w:t>ii. niskokvalificirane odrasle osobe; i</w:t>
            </w:r>
            <w:r>
              <w:rPr>
                <w:noProof/>
              </w:rPr>
              <w:br/>
              <w:t xml:space="preserve"> </w:t>
            </w:r>
            <w:r>
              <w:rPr>
                <w:rFonts w:ascii="Calibri" w:hAnsi="Calibri"/>
                <w:noProof/>
                <w:sz w:val="18"/>
              </w:rPr>
              <w:t>(III) rodno uvjetovane razlike u zaposlenosti.</w:t>
            </w:r>
          </w:p>
        </w:tc>
      </w:tr>
      <w:tr w:rsidR="008273B8" w14:paraId="7A53917E" w14:textId="77777777">
        <w:trPr>
          <w:cantSplit/>
          <w:jc w:val="center"/>
        </w:trPr>
        <w:tc>
          <w:tcPr>
            <w:tcW w:w="1144" w:type="dxa"/>
            <w:shd w:val="clear" w:color="auto" w:fill="C6EFCE"/>
            <w:vAlign w:val="center"/>
            <w:hideMark/>
          </w:tcPr>
          <w:p w14:paraId="7A539172" w14:textId="77777777" w:rsidR="008273B8" w:rsidRDefault="00B93063">
            <w:pPr>
              <w:pStyle w:val="P68B1DB1-Normal7"/>
              <w:spacing w:after="0" w:line="240" w:lineRule="auto"/>
              <w:rPr>
                <w:rFonts w:eastAsia="Times New Roman" w:cs="Calibri"/>
                <w:noProof/>
              </w:rPr>
            </w:pPr>
            <w:r>
              <w:rPr>
                <w:noProof/>
              </w:rPr>
              <w:t>5.15</w:t>
            </w:r>
          </w:p>
        </w:tc>
        <w:tc>
          <w:tcPr>
            <w:tcW w:w="1181" w:type="dxa"/>
            <w:shd w:val="clear" w:color="auto" w:fill="C6EFCE"/>
            <w:vAlign w:val="center"/>
            <w:hideMark/>
          </w:tcPr>
          <w:p w14:paraId="7A539173" w14:textId="77777777" w:rsidR="008273B8" w:rsidRDefault="00B93063">
            <w:pPr>
              <w:pStyle w:val="P68B1DB1-Normal7"/>
              <w:spacing w:after="0" w:line="240" w:lineRule="auto"/>
              <w:rPr>
                <w:rFonts w:eastAsia="Times New Roman" w:cs="Calibri"/>
                <w:noProof/>
              </w:rPr>
            </w:pPr>
            <w:r>
              <w:rPr>
                <w:noProof/>
              </w:rPr>
              <w:t xml:space="preserve">C5.R.5 </w:t>
            </w:r>
          </w:p>
        </w:tc>
        <w:tc>
          <w:tcPr>
            <w:tcW w:w="1020" w:type="dxa"/>
            <w:shd w:val="clear" w:color="auto" w:fill="C6EFCE"/>
            <w:vAlign w:val="center"/>
            <w:hideMark/>
          </w:tcPr>
          <w:p w14:paraId="7A539174" w14:textId="77777777" w:rsidR="008273B8" w:rsidRDefault="00B93063">
            <w:pPr>
              <w:pStyle w:val="P68B1DB1-Normal7"/>
              <w:spacing w:after="0" w:line="240" w:lineRule="auto"/>
              <w:rPr>
                <w:rFonts w:eastAsia="Times New Roman" w:cs="Calibri"/>
                <w:noProof/>
              </w:rPr>
            </w:pPr>
            <w:r>
              <w:rPr>
                <w:noProof/>
              </w:rPr>
              <w:t>Ključna etapa</w:t>
            </w:r>
          </w:p>
        </w:tc>
        <w:tc>
          <w:tcPr>
            <w:tcW w:w="1590" w:type="dxa"/>
            <w:shd w:val="clear" w:color="auto" w:fill="C6EFCE"/>
            <w:vAlign w:val="center"/>
            <w:hideMark/>
          </w:tcPr>
          <w:p w14:paraId="7A539175" w14:textId="77777777" w:rsidR="008273B8" w:rsidRDefault="00B93063">
            <w:pPr>
              <w:pStyle w:val="P68B1DB1-Normal7"/>
              <w:spacing w:after="0" w:line="240" w:lineRule="auto"/>
              <w:rPr>
                <w:rFonts w:eastAsia="Times New Roman" w:cs="Calibri"/>
                <w:noProof/>
              </w:rPr>
            </w:pPr>
            <w:r>
              <w:rPr>
                <w:noProof/>
              </w:rPr>
              <w:t>Provedba mjera utvrđenih u nedavno donesenom</w:t>
            </w:r>
            <w:r>
              <w:rPr>
                <w:i/>
                <w:noProof/>
              </w:rPr>
              <w:t xml:space="preserve"> akcijskom planu za rodnu ravnopravnost i uključivanje</w:t>
            </w:r>
          </w:p>
        </w:tc>
        <w:tc>
          <w:tcPr>
            <w:tcW w:w="2050" w:type="dxa"/>
            <w:shd w:val="clear" w:color="auto" w:fill="C6EFCE"/>
            <w:vAlign w:val="center"/>
            <w:hideMark/>
          </w:tcPr>
          <w:p w14:paraId="7A539176" w14:textId="77777777" w:rsidR="008273B8" w:rsidRDefault="00B93063">
            <w:pPr>
              <w:pStyle w:val="P68B1DB1-Normal7"/>
              <w:spacing w:after="0" w:line="240" w:lineRule="auto"/>
              <w:rPr>
                <w:rFonts w:eastAsia="Times New Roman" w:cs="Calibri"/>
                <w:noProof/>
              </w:rPr>
            </w:pPr>
            <w:r>
              <w:rPr>
                <w:noProof/>
              </w:rPr>
              <w:t xml:space="preserve">Nakon donošenja </w:t>
            </w:r>
            <w:r>
              <w:rPr>
                <w:i/>
                <w:noProof/>
              </w:rPr>
              <w:t>Akcijskog plana za rodnu ravnopravnost i uključivanje rodno osviještene politike</w:t>
            </w:r>
            <w:r>
              <w:rPr>
                <w:noProof/>
              </w:rPr>
              <w:t xml:space="preserve"> provode se mjere koje proizlaze iz strateškog akcijskog plana.</w:t>
            </w:r>
          </w:p>
        </w:tc>
        <w:tc>
          <w:tcPr>
            <w:tcW w:w="894" w:type="dxa"/>
            <w:shd w:val="clear" w:color="auto" w:fill="C6EFCE"/>
            <w:vAlign w:val="center"/>
            <w:hideMark/>
          </w:tcPr>
          <w:p w14:paraId="7A539177" w14:textId="77777777" w:rsidR="008273B8" w:rsidRDefault="008273B8">
            <w:pPr>
              <w:spacing w:after="0" w:line="240" w:lineRule="auto"/>
              <w:jc w:val="center"/>
              <w:rPr>
                <w:rFonts w:ascii="Calibri" w:eastAsia="Times New Roman" w:hAnsi="Calibri" w:cs="Calibri"/>
                <w:noProof/>
                <w:sz w:val="18"/>
              </w:rPr>
            </w:pPr>
          </w:p>
        </w:tc>
        <w:tc>
          <w:tcPr>
            <w:tcW w:w="885" w:type="dxa"/>
            <w:shd w:val="clear" w:color="auto" w:fill="C6EFCE"/>
            <w:vAlign w:val="center"/>
            <w:hideMark/>
          </w:tcPr>
          <w:p w14:paraId="7A539178" w14:textId="77777777" w:rsidR="008273B8" w:rsidRDefault="008273B8">
            <w:pPr>
              <w:spacing w:after="0" w:line="240" w:lineRule="auto"/>
              <w:jc w:val="center"/>
              <w:rPr>
                <w:rFonts w:ascii="Calibri" w:eastAsia="Times New Roman" w:hAnsi="Calibri" w:cs="Calibri"/>
                <w:noProof/>
                <w:sz w:val="18"/>
              </w:rPr>
            </w:pPr>
          </w:p>
        </w:tc>
        <w:tc>
          <w:tcPr>
            <w:tcW w:w="700" w:type="dxa"/>
            <w:shd w:val="clear" w:color="auto" w:fill="C6EFCE"/>
            <w:vAlign w:val="center"/>
            <w:hideMark/>
          </w:tcPr>
          <w:p w14:paraId="7A539179" w14:textId="77777777" w:rsidR="008273B8" w:rsidRDefault="008273B8">
            <w:pPr>
              <w:spacing w:after="0" w:line="240" w:lineRule="auto"/>
              <w:jc w:val="center"/>
              <w:rPr>
                <w:rFonts w:ascii="Calibri" w:eastAsia="Times New Roman" w:hAnsi="Calibri" w:cs="Calibri"/>
                <w:noProof/>
                <w:sz w:val="18"/>
              </w:rPr>
            </w:pPr>
          </w:p>
        </w:tc>
        <w:tc>
          <w:tcPr>
            <w:tcW w:w="874" w:type="dxa"/>
            <w:shd w:val="clear" w:color="auto" w:fill="C6EFCE"/>
            <w:vAlign w:val="center"/>
            <w:hideMark/>
          </w:tcPr>
          <w:p w14:paraId="7A53917A"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85" w:type="dxa"/>
            <w:shd w:val="clear" w:color="auto" w:fill="C6EFCE"/>
            <w:vAlign w:val="center"/>
            <w:hideMark/>
          </w:tcPr>
          <w:p w14:paraId="7A53917B" w14:textId="77777777" w:rsidR="008273B8" w:rsidRDefault="00B93063">
            <w:pPr>
              <w:pStyle w:val="P68B1DB1-Normal7"/>
              <w:spacing w:after="0" w:line="240" w:lineRule="auto"/>
              <w:jc w:val="center"/>
              <w:rPr>
                <w:rFonts w:eastAsia="Times New Roman" w:cs="Calibri"/>
                <w:noProof/>
              </w:rPr>
            </w:pPr>
            <w:r>
              <w:rPr>
                <w:noProof/>
              </w:rPr>
              <w:t>2025</w:t>
            </w:r>
          </w:p>
        </w:tc>
        <w:tc>
          <w:tcPr>
            <w:tcW w:w="5264" w:type="dxa"/>
            <w:shd w:val="clear" w:color="auto" w:fill="C6EFCE"/>
            <w:vAlign w:val="center"/>
            <w:hideMark/>
          </w:tcPr>
          <w:p w14:paraId="7A53917C" w14:textId="77777777" w:rsidR="008273B8" w:rsidRDefault="00B93063">
            <w:pPr>
              <w:pStyle w:val="P68B1DB1-Normal7"/>
              <w:spacing w:after="0" w:line="240" w:lineRule="auto"/>
              <w:rPr>
                <w:rFonts w:eastAsia="Times New Roman" w:cs="Calibri"/>
                <w:noProof/>
              </w:rPr>
            </w:pPr>
            <w:r>
              <w:rPr>
                <w:noProof/>
              </w:rPr>
              <w:t xml:space="preserve">Provedba mjera iz </w:t>
            </w:r>
            <w:r>
              <w:rPr>
                <w:i/>
                <w:noProof/>
              </w:rPr>
              <w:t xml:space="preserve">Akcijskog plana za rodnu ravnopravnost i uključivanje u sve politike </w:t>
            </w:r>
            <w:r>
              <w:rPr>
                <w:noProof/>
              </w:rPr>
              <w:t>koje se odnose barem na sljedeće:</w:t>
            </w:r>
          </w:p>
          <w:p w14:paraId="7A53917D" w14:textId="77777777" w:rsidR="008273B8" w:rsidRDefault="00B93063">
            <w:pPr>
              <w:spacing w:after="0" w:line="240" w:lineRule="auto"/>
              <w:rPr>
                <w:rFonts w:ascii="Calibri" w:eastAsia="Times New Roman" w:hAnsi="Calibri" w:cs="Calibri"/>
                <w:noProof/>
                <w:sz w:val="18"/>
              </w:rPr>
            </w:pPr>
            <w:r>
              <w:rPr>
                <w:noProof/>
              </w:rPr>
              <w:br/>
            </w:r>
            <w:r>
              <w:rPr>
                <w:rFonts w:ascii="Calibri" w:hAnsi="Calibri"/>
                <w:noProof/>
                <w:sz w:val="18"/>
              </w:rPr>
              <w:t>(i) izmjene zakonodavstva u slučajevima/odredbama u kojima se nepotrebno razlikuju muškarci i žene;</w:t>
            </w:r>
            <w:r>
              <w:rPr>
                <w:noProof/>
              </w:rPr>
              <w:br/>
            </w:r>
            <w:r>
              <w:rPr>
                <w:rFonts w:ascii="Calibri" w:hAnsi="Calibri"/>
                <w:noProof/>
                <w:sz w:val="18"/>
              </w:rPr>
              <w:t>ii. provodi se program osposobljavanja za obrazovno osoblje (timovi višeg vodstva (SLT)) u svim obveznim državnim školama za rješavanje pitanja rodne diskriminacije i stereotipa; i</w:t>
            </w:r>
            <w:r>
              <w:rPr>
                <w:noProof/>
              </w:rPr>
              <w:br/>
              <w:t xml:space="preserve"> </w:t>
            </w:r>
            <w:r>
              <w:rPr>
                <w:rFonts w:ascii="Calibri" w:hAnsi="Calibri"/>
                <w:noProof/>
                <w:sz w:val="18"/>
              </w:rPr>
              <w:t>iii. provodi se sustavno prikupljanje podataka razvrstanih po spolu kako bi se dodatno podržao pristup donošenju politika utemeljen na dokazima.</w:t>
            </w:r>
          </w:p>
        </w:tc>
      </w:tr>
      <w:tr w:rsidR="008273B8" w14:paraId="7A53918A" w14:textId="77777777">
        <w:trPr>
          <w:cantSplit/>
          <w:jc w:val="center"/>
        </w:trPr>
        <w:tc>
          <w:tcPr>
            <w:tcW w:w="1144" w:type="dxa"/>
            <w:shd w:val="clear" w:color="auto" w:fill="C6EFCE"/>
            <w:vAlign w:val="center"/>
            <w:hideMark/>
          </w:tcPr>
          <w:p w14:paraId="7A53917F" w14:textId="455CB738" w:rsidR="008273B8" w:rsidRDefault="00B93063">
            <w:pPr>
              <w:pStyle w:val="P68B1DB1-Normal7"/>
              <w:spacing w:after="0" w:line="240" w:lineRule="auto"/>
              <w:rPr>
                <w:rFonts w:eastAsia="Times New Roman" w:cs="Calibri"/>
                <w:noProof/>
              </w:rPr>
            </w:pPr>
            <w:r>
              <w:rPr>
                <w:noProof/>
              </w:rPr>
              <w:t>5.16</w:t>
            </w:r>
          </w:p>
        </w:tc>
        <w:tc>
          <w:tcPr>
            <w:tcW w:w="1181" w:type="dxa"/>
            <w:shd w:val="clear" w:color="auto" w:fill="C6EFCE"/>
            <w:vAlign w:val="center"/>
            <w:hideMark/>
          </w:tcPr>
          <w:p w14:paraId="7A539180" w14:textId="77777777" w:rsidR="008273B8" w:rsidRDefault="00B93063">
            <w:pPr>
              <w:pStyle w:val="P68B1DB1-Normal7"/>
              <w:spacing w:after="0" w:line="240" w:lineRule="auto"/>
              <w:rPr>
                <w:rFonts w:eastAsia="Times New Roman" w:cs="Calibri"/>
                <w:noProof/>
              </w:rPr>
            </w:pPr>
            <w:r>
              <w:rPr>
                <w:noProof/>
              </w:rPr>
              <w:t xml:space="preserve">C5.R.6 </w:t>
            </w:r>
          </w:p>
        </w:tc>
        <w:tc>
          <w:tcPr>
            <w:tcW w:w="1020" w:type="dxa"/>
            <w:shd w:val="clear" w:color="auto" w:fill="C6EFCE"/>
            <w:vAlign w:val="center"/>
            <w:hideMark/>
          </w:tcPr>
          <w:p w14:paraId="7A539181" w14:textId="77777777" w:rsidR="008273B8" w:rsidRDefault="00B93063">
            <w:pPr>
              <w:pStyle w:val="P68B1DB1-Normal7"/>
              <w:spacing w:after="0" w:line="240" w:lineRule="auto"/>
              <w:rPr>
                <w:rFonts w:eastAsia="Times New Roman" w:cs="Calibri"/>
                <w:noProof/>
              </w:rPr>
            </w:pPr>
            <w:r>
              <w:rPr>
                <w:noProof/>
              </w:rPr>
              <w:t>Ključna etapa</w:t>
            </w:r>
          </w:p>
        </w:tc>
        <w:tc>
          <w:tcPr>
            <w:tcW w:w="1590" w:type="dxa"/>
            <w:shd w:val="clear" w:color="auto" w:fill="C6EFCE"/>
            <w:vAlign w:val="center"/>
            <w:hideMark/>
          </w:tcPr>
          <w:p w14:paraId="7A539182" w14:textId="77777777" w:rsidR="008273B8" w:rsidRDefault="00B93063">
            <w:pPr>
              <w:pStyle w:val="P68B1DB1-Normal7"/>
              <w:spacing w:after="0" w:line="240" w:lineRule="auto"/>
              <w:rPr>
                <w:rFonts w:eastAsia="Times New Roman" w:cs="Calibri"/>
                <w:noProof/>
              </w:rPr>
            </w:pPr>
            <w:r>
              <w:rPr>
                <w:noProof/>
              </w:rPr>
              <w:t xml:space="preserve">Daljnje postupanje u vezi s </w:t>
            </w:r>
            <w:r>
              <w:rPr>
                <w:i/>
                <w:noProof/>
              </w:rPr>
              <w:t>izvješćem o preispitivanju mirovina</w:t>
            </w:r>
            <w:r>
              <w:rPr>
                <w:noProof/>
              </w:rPr>
              <w:t xml:space="preserve"> s prijedlozima politika</w:t>
            </w:r>
          </w:p>
        </w:tc>
        <w:tc>
          <w:tcPr>
            <w:tcW w:w="2050" w:type="dxa"/>
            <w:shd w:val="clear" w:color="auto" w:fill="C6EFCE"/>
            <w:vAlign w:val="center"/>
            <w:hideMark/>
          </w:tcPr>
          <w:p w14:paraId="7A539183" w14:textId="77777777" w:rsidR="008273B8" w:rsidRDefault="00B93063">
            <w:pPr>
              <w:pStyle w:val="P68B1DB1-Normal7"/>
              <w:spacing w:after="0" w:line="240" w:lineRule="auto"/>
              <w:rPr>
                <w:rFonts w:eastAsia="Times New Roman" w:cs="Calibri"/>
                <w:noProof/>
              </w:rPr>
            </w:pPr>
            <w:r>
              <w:rPr>
                <w:noProof/>
              </w:rPr>
              <w:t xml:space="preserve">Objava akcijskog plana na internetu u kojem se navode prijedlozi politika, uključujući, prema potrebi, zakonodavne izmjene, kao nastavak </w:t>
            </w:r>
            <w:r>
              <w:rPr>
                <w:i/>
                <w:noProof/>
              </w:rPr>
              <w:t>izvješća o preispitivanju mirovina</w:t>
            </w:r>
            <w:r>
              <w:rPr>
                <w:noProof/>
              </w:rPr>
              <w:t xml:space="preserve"> i povratnih informacija nakon savjetovanja</w:t>
            </w:r>
          </w:p>
        </w:tc>
        <w:tc>
          <w:tcPr>
            <w:tcW w:w="894" w:type="dxa"/>
            <w:shd w:val="clear" w:color="auto" w:fill="C6EFCE"/>
            <w:vAlign w:val="center"/>
            <w:hideMark/>
          </w:tcPr>
          <w:p w14:paraId="7A539184" w14:textId="77777777" w:rsidR="008273B8" w:rsidRDefault="008273B8">
            <w:pPr>
              <w:spacing w:after="0" w:line="240" w:lineRule="auto"/>
              <w:jc w:val="center"/>
              <w:rPr>
                <w:rFonts w:ascii="Calibri" w:eastAsia="Times New Roman" w:hAnsi="Calibri" w:cs="Calibri"/>
                <w:noProof/>
                <w:sz w:val="18"/>
              </w:rPr>
            </w:pPr>
          </w:p>
        </w:tc>
        <w:tc>
          <w:tcPr>
            <w:tcW w:w="885" w:type="dxa"/>
            <w:shd w:val="clear" w:color="auto" w:fill="C6EFCE"/>
            <w:vAlign w:val="center"/>
            <w:hideMark/>
          </w:tcPr>
          <w:p w14:paraId="7A539185" w14:textId="77777777" w:rsidR="008273B8" w:rsidRDefault="008273B8">
            <w:pPr>
              <w:spacing w:after="0" w:line="240" w:lineRule="auto"/>
              <w:jc w:val="center"/>
              <w:rPr>
                <w:rFonts w:ascii="Calibri" w:eastAsia="Times New Roman" w:hAnsi="Calibri" w:cs="Calibri"/>
                <w:noProof/>
                <w:sz w:val="18"/>
              </w:rPr>
            </w:pPr>
          </w:p>
        </w:tc>
        <w:tc>
          <w:tcPr>
            <w:tcW w:w="700" w:type="dxa"/>
            <w:shd w:val="clear" w:color="auto" w:fill="C6EFCE"/>
            <w:vAlign w:val="center"/>
            <w:hideMark/>
          </w:tcPr>
          <w:p w14:paraId="7A539186" w14:textId="77777777" w:rsidR="008273B8" w:rsidRDefault="008273B8">
            <w:pPr>
              <w:spacing w:after="0" w:line="240" w:lineRule="auto"/>
              <w:jc w:val="center"/>
              <w:rPr>
                <w:rFonts w:ascii="Calibri" w:eastAsia="Times New Roman" w:hAnsi="Calibri" w:cs="Calibri"/>
                <w:noProof/>
                <w:sz w:val="18"/>
              </w:rPr>
            </w:pPr>
          </w:p>
        </w:tc>
        <w:tc>
          <w:tcPr>
            <w:tcW w:w="874" w:type="dxa"/>
            <w:shd w:val="clear" w:color="auto" w:fill="C6EFCE"/>
            <w:vAlign w:val="center"/>
            <w:hideMark/>
          </w:tcPr>
          <w:p w14:paraId="7A539187"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685" w:type="dxa"/>
            <w:shd w:val="clear" w:color="auto" w:fill="C6EFCE"/>
            <w:vAlign w:val="center"/>
            <w:hideMark/>
          </w:tcPr>
          <w:p w14:paraId="7A539188" w14:textId="77777777" w:rsidR="008273B8" w:rsidRDefault="00B93063">
            <w:pPr>
              <w:pStyle w:val="P68B1DB1-Normal7"/>
              <w:spacing w:after="0" w:line="240" w:lineRule="auto"/>
              <w:jc w:val="center"/>
              <w:rPr>
                <w:rFonts w:eastAsia="Times New Roman" w:cs="Calibri"/>
                <w:noProof/>
              </w:rPr>
            </w:pPr>
            <w:r>
              <w:rPr>
                <w:noProof/>
              </w:rPr>
              <w:t>2022</w:t>
            </w:r>
          </w:p>
        </w:tc>
        <w:tc>
          <w:tcPr>
            <w:tcW w:w="5264" w:type="dxa"/>
            <w:shd w:val="clear" w:color="auto" w:fill="C6EFCE"/>
            <w:hideMark/>
          </w:tcPr>
          <w:p w14:paraId="7A539189" w14:textId="77777777" w:rsidR="008273B8" w:rsidRDefault="00B93063">
            <w:pPr>
              <w:pStyle w:val="P68B1DB1-Normal7"/>
              <w:spacing w:after="0" w:line="240" w:lineRule="auto"/>
              <w:rPr>
                <w:rFonts w:eastAsia="Times New Roman" w:cs="Calibri"/>
                <w:noProof/>
              </w:rPr>
            </w:pPr>
            <w:r>
              <w:rPr>
                <w:noProof/>
              </w:rPr>
              <w:t xml:space="preserve">Objava akcijskog plana u kojem se navode prijedlozi politika, uključujući, prema potrebi, zakonodavne promjene, </w:t>
            </w:r>
            <w:r>
              <w:rPr>
                <w:i/>
                <w:noProof/>
              </w:rPr>
              <w:t>kao nastavak izvješća o preispitivanju mirovina</w:t>
            </w:r>
            <w:r>
              <w:rPr>
                <w:noProof/>
              </w:rPr>
              <w:t xml:space="preserve"> i povratnih informacija nakon savjetovanja, s ciljem poboljšanja dugoročne održivosti i primjerenosti mirovinskog sustava.</w:t>
            </w:r>
          </w:p>
        </w:tc>
      </w:tr>
    </w:tbl>
    <w:p w14:paraId="7A5391B2" w14:textId="77777777" w:rsidR="008273B8" w:rsidRDefault="008273B8">
      <w:pPr>
        <w:spacing w:before="120" w:after="120" w:line="240" w:lineRule="auto"/>
        <w:jc w:val="both"/>
        <w:rPr>
          <w:rFonts w:ascii="Times New Roman" w:hAnsi="Times New Roman" w:cs="Times New Roman"/>
          <w:noProof/>
          <w:sz w:val="24"/>
        </w:rPr>
        <w:sectPr w:rsidR="008273B8">
          <w:headerReference w:type="even" r:id="rId72"/>
          <w:headerReference w:type="default" r:id="rId73"/>
          <w:footerReference w:type="even" r:id="rId74"/>
          <w:footerReference w:type="default" r:id="rId75"/>
          <w:headerReference w:type="first" r:id="rId76"/>
          <w:footerReference w:type="first" r:id="rId77"/>
          <w:pgSz w:w="16839" w:h="11907" w:orient="landscape"/>
          <w:pgMar w:top="1134" w:right="1134" w:bottom="1134" w:left="1134" w:header="567" w:footer="567" w:gutter="0"/>
          <w:cols w:space="720"/>
          <w:docGrid w:linePitch="360"/>
        </w:sectPr>
      </w:pPr>
    </w:p>
    <w:p w14:paraId="7A5391B3" w14:textId="77777777" w:rsidR="008273B8" w:rsidRDefault="00B93063">
      <w:pPr>
        <w:pStyle w:val="ManualHeading2"/>
        <w:spacing w:before="360" w:after="360"/>
        <w:rPr>
          <w:noProof/>
        </w:rPr>
      </w:pPr>
      <w:r>
        <w:rPr>
          <w:noProof/>
        </w:rPr>
        <w:t xml:space="preserve">F. SASTAVNI DIO 6: </w:t>
      </w:r>
      <w:r>
        <w:rPr>
          <w:rFonts w:ascii="Times New Roman Bold" w:hAnsi="Times New Roman Bold"/>
          <w:smallCaps/>
          <w:noProof/>
        </w:rPr>
        <w:t>Jačanje institucionalnog okvira</w:t>
      </w:r>
    </w:p>
    <w:p w14:paraId="7A5391B4" w14:textId="77777777" w:rsidR="008273B8" w:rsidRDefault="00B93063">
      <w:pPr>
        <w:pStyle w:val="P68B1DB1-Normal3"/>
        <w:spacing w:line="240" w:lineRule="auto"/>
        <w:jc w:val="both"/>
        <w:rPr>
          <w:rFonts w:cs="Times New Roman"/>
          <w:noProof/>
        </w:rPr>
      </w:pPr>
      <w:r>
        <w:rPr>
          <w:noProof/>
        </w:rPr>
        <w:t>Tom komponentom malteškog plana za oporavak i otpornost obuhvaćen je niz institucijskih i upravljačkih izazova u području pravosuđa, borbe protiv korupcije i pranja novca te oporezivanja. Kad je riječ o pravosudnom sustavu, utvrđene su slabosti u pogledu neovisnosti pravosuđa, nepostojanja zasebnog državnog odvjetništva od istražnog tijela te neučinkovitosti. Očekuje se i da će daljnja digitalizacija pravosudnog sustava pridonijeti rješavanju tih neučinkovitosti. Utvrđeni su i izazovi u okviru upravljanja za učinkovito otkrivanje i kazneni progon korupcije, uključujući, među ostalim, strukturne nedostatke koji su spriječili neovisno i učinkovito funkcioniranje malteške Stalne komisije za borbu protiv korupcije. Kad je riječ o pranju novca, izazovi se odnose na slabu istragu i kazneni progon slučajeva pranja novca i nedovoljni sustav praćenja i oduzimanja imovine za imovinsku korist ostvarenu kaznenim djelima. Situaciju pogoršavaju malteški programi za dodjelu državljanstva i prava boravka te brz rast u posljednjih nekoliko godina međunarodno usmjerenih aktivnosti kao što su financijske usluge, virtualna imovina i igre na sreću na daljinu. Kad je riječ o oporezivanju, nepostojanje nacionalnih odredbi kojima bi se osiguralo učinkovito oporezivanje isplata ulaznih i izlaznih dividendi, kamata i naknada za licenciju, malteški programi državljanstva i boravišta te nepostojanje pravila o transfernim cijenama omogućuju poduzećima i pojedincima prostor za agresivno porezno planiranje.</w:t>
      </w:r>
    </w:p>
    <w:p w14:paraId="7A5391B5" w14:textId="77777777" w:rsidR="008273B8" w:rsidRDefault="00B93063">
      <w:pPr>
        <w:pStyle w:val="P68B1DB1-Normal3"/>
        <w:spacing w:line="240" w:lineRule="auto"/>
        <w:jc w:val="both"/>
        <w:rPr>
          <w:rFonts w:cs="Times New Roman"/>
          <w:noProof/>
        </w:rPr>
      </w:pPr>
      <w:r>
        <w:rPr>
          <w:noProof/>
        </w:rPr>
        <w:t xml:space="preserve">Cilj je poboljšati kapacitete i upravljanje pravosudnim sustavom, ojačati institucionalni okvir za borbu protiv korupcije, ojačati sustav za sprečavanje pranja novca i usmjeriti se na agresivno porezno planiranje. Nekoliko elemenata te komponente retroaktivno je i djelomično je provedeno 2020. i početkom 2021. </w:t>
      </w:r>
    </w:p>
    <w:p w14:paraId="7A5391B6" w14:textId="77777777" w:rsidR="008273B8" w:rsidRDefault="00B93063">
      <w:pPr>
        <w:pStyle w:val="P68B1DB1-Normal3"/>
        <w:spacing w:line="240" w:lineRule="auto"/>
        <w:jc w:val="both"/>
        <w:rPr>
          <w:rFonts w:cs="Times New Roman"/>
          <w:noProof/>
        </w:rPr>
      </w:pPr>
      <w:r>
        <w:rPr>
          <w:noProof/>
        </w:rPr>
        <w:t xml:space="preserve">Reforme za poboljšanje pravosudnog sustava uključuju promjene u načinu imenovanja i razrješenja sudaca te procjenu i provedbu potrebnih korektivnih mjera kako bi se osigurala neovisnost specijaliziranih sudova. Očekuje se da će se kapacitet institucijskog okvira za borbu protiv korupcije ojačati provedbom elemenata izgradnje kapaciteta nacionalne strategije za borbu protiv prijevara i korupcije, reformom ureda za povrat imovine i reformama usmjerenima na važno tijelo za borbu protiv korupcije, odnosno Stalnu komisiju za borbu protiv korupcije (PCAC). Kako bi se pojačala istraga kaznenih djela, uključujući korupciju i pranje novca, reforme uključuju novi postupak imenovanja povjerenika policije. Kad je riječ o državnom odvjetništvu, u komponenti se predlaže osnivanje zasebnog državnog odvjetništva, uz istodobnu provedbu sudskog preispitivanja odluka o nepokretanju kaznenog progona od strane glavnog državnog odvjetnika. U okviru te komponente predlažu se i mjere za jačanje režima za borbu protiv pranja novca i financiranja terorizma. Osim toga, četiri reforme usmjerene su na agresivno porezno planiranje, i to ograničavanjem poreznog izuzeća za dividende koje dolaze iz zemalja uvrštenih na popis nekooperativnih jurisdikcija „Skupinom za Kodeks o postupanju”, uvođenjem zakonodavstva o transfernim cijenama, provođenjem studije nakon koje su uslijedile zakonodavne izmjene o mjerama koje se odnose na ulazne i izlazne dividende, kamate i isplate licencijskih naknada te naposljetku spontanom razmjenom informacija o budućim podnositeljima zahtjeva koji dobiju malteško državljanstvo u okviru programa državljanstva sa svojom izvornom poreznom jurisdikcijom. </w:t>
      </w:r>
    </w:p>
    <w:p w14:paraId="7A5391B7" w14:textId="77777777" w:rsidR="008273B8" w:rsidRDefault="00B93063">
      <w:pPr>
        <w:pStyle w:val="P68B1DB1-Normal3"/>
        <w:spacing w:line="240" w:lineRule="auto"/>
        <w:jc w:val="both"/>
        <w:rPr>
          <w:rFonts w:cs="Times New Roman"/>
          <w:noProof/>
        </w:rPr>
      </w:pPr>
      <w:r>
        <w:rPr>
          <w:noProof/>
        </w:rPr>
        <w:t xml:space="preserve">Ta komponenta uključuje i jedno ulaganje čiji je cilj poboljšati kvalitetu i učinkovitost pravosudnog sustava njegovom digitalizacijom. </w:t>
      </w:r>
    </w:p>
    <w:p w14:paraId="7A5391B8" w14:textId="41E32AED" w:rsidR="008273B8" w:rsidRDefault="00B93063">
      <w:pPr>
        <w:pStyle w:val="P68B1DB1-Normal3"/>
        <w:spacing w:line="240" w:lineRule="auto"/>
        <w:jc w:val="both"/>
        <w:rPr>
          <w:rFonts w:cs="Times New Roman"/>
          <w:noProof/>
        </w:rPr>
      </w:pPr>
      <w:r>
        <w:rPr>
          <w:noProof/>
        </w:rPr>
        <w:t>Komponenta pridonosi provedbi preporuka za pojedinu zemlju koje se odnose na neovisnost pravosuđa, sprečavanje pranja novca i agresivno porezno planiranje (preporuke po državama članicama br. 4 2020,2 2019 i 3 2022.).</w:t>
      </w:r>
    </w:p>
    <w:p w14:paraId="7A5391B9" w14:textId="77777777" w:rsidR="008273B8" w:rsidRDefault="00B93063">
      <w:pPr>
        <w:pStyle w:val="P68B1DB1-Normal3"/>
        <w:keepNext/>
        <w:spacing w:line="259" w:lineRule="auto"/>
        <w:jc w:val="both"/>
        <w:rPr>
          <w:rFonts w:eastAsiaTheme="minorEastAsia" w:cs="Times New Roman"/>
          <w:b/>
          <w:noProof/>
          <w:u w:val="single"/>
        </w:rPr>
      </w:pPr>
      <w:r>
        <w:rPr>
          <w:noProof/>
        </w:rPr>
        <w:t>Očekuje se da se nijednom mjerom u ovoj komponenti ne nanosi bitna šteta okolišnim ciljevima u smislu članka 17. Uredbe (EU) 2020/852, uzimajući u obzir opis mjera i koraka ublažavanja utvrđenih u planu za oporavak i otpornost u skladu s Tehničkim smjernicama o nenanošenju bitne štete (2021/C58/01).</w:t>
      </w:r>
    </w:p>
    <w:p w14:paraId="7A5391BA" w14:textId="77777777" w:rsidR="008273B8" w:rsidRDefault="00B93063">
      <w:pPr>
        <w:pStyle w:val="P68B1DB1-ManualHeading34"/>
        <w:spacing w:before="240" w:after="240"/>
        <w:rPr>
          <w:noProof/>
          <w:color w:val="4F81BD" w:themeColor="accent1"/>
          <w:u w:val="single"/>
        </w:rPr>
      </w:pPr>
      <w:r>
        <w:rPr>
          <w:noProof/>
        </w:rPr>
        <w:t xml:space="preserve">F.1. </w:t>
      </w:r>
      <w:r>
        <w:rPr>
          <w:noProof/>
        </w:rPr>
        <w:tab/>
      </w:r>
      <w:r>
        <w:rPr>
          <w:noProof/>
          <w:u w:val="single"/>
        </w:rPr>
        <w:t>Opis reformi i ulaganja za bespovratnu financijsku potporu</w:t>
      </w:r>
    </w:p>
    <w:p w14:paraId="7A5391BB" w14:textId="77777777" w:rsidR="008273B8" w:rsidRDefault="00B93063">
      <w:pPr>
        <w:pStyle w:val="P68B1DB1-Normal5"/>
        <w:spacing w:line="240" w:lineRule="auto"/>
        <w:jc w:val="both"/>
        <w:rPr>
          <w:rFonts w:eastAsia="Times New Roman" w:cs="Times New Roman"/>
          <w:noProof/>
        </w:rPr>
      </w:pPr>
      <w:r>
        <w:rPr>
          <w:noProof/>
        </w:rPr>
        <w:t>Reforma C6-R1: Reforma načina imenovanja i razrješenja sudaca</w:t>
      </w:r>
    </w:p>
    <w:p w14:paraId="7A5391BC" w14:textId="77777777" w:rsidR="008273B8" w:rsidRDefault="00B93063">
      <w:pPr>
        <w:pStyle w:val="P68B1DB1-Normal3"/>
        <w:spacing w:line="240" w:lineRule="auto"/>
        <w:jc w:val="both"/>
        <w:rPr>
          <w:rFonts w:eastAsia="Times New Roman" w:cs="Times New Roman"/>
          <w:noProof/>
        </w:rPr>
      </w:pPr>
      <w:r>
        <w:rPr>
          <w:noProof/>
        </w:rPr>
        <w:t>Cilj je ove mjere ojačati neovisnost pravosuđa.</w:t>
      </w:r>
    </w:p>
    <w:p w14:paraId="7A5391BD" w14:textId="77777777" w:rsidR="008273B8" w:rsidRDefault="00B93063">
      <w:pPr>
        <w:pStyle w:val="P68B1DB1-Normal3"/>
        <w:spacing w:line="240" w:lineRule="auto"/>
        <w:jc w:val="both"/>
        <w:rPr>
          <w:rFonts w:eastAsia="Times New Roman" w:cs="Times New Roman"/>
          <w:noProof/>
        </w:rPr>
      </w:pPr>
      <w:r>
        <w:rPr>
          <w:noProof/>
        </w:rPr>
        <w:t xml:space="preserve">Reforma se sastoji od stupanja na snagu zakona XLV i XLIII iz 2020. kako bi se omogućilo imenovanje predsjednika Vrhovnog suda uz odobrenje dvije trećine svih članova Zastupničkog doma, uz istodobno mijenjanje sastava Odbora za imenovanje sudaca (JAC) tako da više od polovine njegovih članova budu članovi sudstva. Tom će se reformom omogućiti i javni pozivi na slobodna radna mjesta u pravosuđu ako osobe koje ispunjavaju uvjete mogu izraziti svoj interes pred JAC-om. Taj je postupak stupio na snagu 2021. za imenovanje četiriju sudaca i četiriju sudaca. Osim toga, odluke o razrješenju sudaca i mirovnih sudaca u nadležnosti su Povjerenstva za pravosuđe, koje se uglavnom sastoji od sudaca. Budući da se način imenovanja specijaliziranih sudova i upravljanje njima razlikuje od načina imenovanja redovnih sudova, preispitivanje neovisnosti specijaliziranih sudova provodi se i u komunikaciji s Venecijanskom komisijom Vijeća Europe. Izvješće uključuje i. ocjenu jamstava neovisnosti za imenovanja članova navedenih specijaliziranih sudova, ii. procjenu jamstava kojima se osigurava da redovni žalbeni sudovi u potpunosti preispitaju odluke sudova i iii. konkretne i precizne preporuke politike. Zakonodavne izmjene uvode se u skladu s preporukama studije i uzimajući u obzir mišljenje Venecijanske komisije Vijeća Europe. </w:t>
      </w:r>
    </w:p>
    <w:p w14:paraId="7A5391BE" w14:textId="77777777" w:rsidR="008273B8" w:rsidRDefault="00B93063">
      <w:pPr>
        <w:pStyle w:val="P68B1DB1-Normal3"/>
        <w:spacing w:line="240" w:lineRule="auto"/>
        <w:jc w:val="both"/>
        <w:rPr>
          <w:rFonts w:eastAsia="Times New Roman" w:cs="Times New Roman"/>
          <w:noProof/>
        </w:rPr>
      </w:pPr>
      <w:r>
        <w:rPr>
          <w:noProof/>
        </w:rPr>
        <w:t xml:space="preserve">Ta će se reforma provesti do 31. ožujka 2026. </w:t>
      </w:r>
    </w:p>
    <w:p w14:paraId="7A5391BF" w14:textId="77777777" w:rsidR="008273B8" w:rsidRDefault="00B93063">
      <w:pPr>
        <w:pStyle w:val="P68B1DB1-Normal5"/>
        <w:spacing w:line="240" w:lineRule="auto"/>
        <w:jc w:val="both"/>
        <w:rPr>
          <w:rFonts w:eastAsia="Times New Roman" w:cs="Times New Roman"/>
          <w:noProof/>
        </w:rPr>
      </w:pPr>
      <w:r>
        <w:rPr>
          <w:noProof/>
        </w:rPr>
        <w:t>Reforma C6-R2: Stvaranje zasebnog državnog odvjetništva</w:t>
      </w:r>
    </w:p>
    <w:p w14:paraId="7A5391C0" w14:textId="77777777" w:rsidR="008273B8" w:rsidRDefault="00B93063">
      <w:pPr>
        <w:pStyle w:val="P68B1DB1-Normal3"/>
        <w:spacing w:line="240" w:lineRule="auto"/>
        <w:jc w:val="both"/>
        <w:rPr>
          <w:rFonts w:eastAsia="Times New Roman" w:cs="Times New Roman"/>
          <w:noProof/>
        </w:rPr>
      </w:pPr>
      <w:r>
        <w:rPr>
          <w:noProof/>
        </w:rPr>
        <w:t xml:space="preserve">Cilj je ove mjere ojačati funkcioniranje državnog odvjetništva na Malti. </w:t>
      </w:r>
    </w:p>
    <w:p w14:paraId="7A5391C1" w14:textId="77777777" w:rsidR="008273B8" w:rsidRDefault="00B93063">
      <w:pPr>
        <w:pStyle w:val="P68B1DB1-Normal3"/>
        <w:spacing w:line="240" w:lineRule="auto"/>
        <w:jc w:val="both"/>
        <w:rPr>
          <w:rFonts w:eastAsia="Times New Roman" w:cs="Times New Roman"/>
          <w:noProof/>
        </w:rPr>
      </w:pPr>
      <w:r>
        <w:rPr>
          <w:noProof/>
        </w:rPr>
        <w:t>Ta će se reforma temeljiti na početnom koraku poduzetom 2019., kada je Ured državnog odvjetnika osnovan kako bi preuzeo nedržavne funkcije glavnog državnog odvjetnika (AG), provedbom potrebnih pravnih izmjena i operacionalizacijom prijenosa kaznenog progona u svim ozbiljnim slučajevima, tj. izricanju kazne zatvora u trajanju duljem od dvije godine (uključujući pranje novca i korupciju), od policije do državnog odvjetništva (pod vodstvom AG-a). U Zakonu br. XXVIII iz 2021. navodi se da glavni državni odvjetnik, zajedno s izvršnom policijom, može kazneno goniti pred magistratskim sudom, osim što je nadležan za kazneni progon pred kaznenim sudom. Osim toga, u njemu se po službenoj dužnosti navode postupci AG-a i izvršne policije pred magistratskim sudom kao kaznenim sudom. Prijenos ozbiljnih slučajeva provodi se nakon postupnog prijelaza koji je započeo u listopadu 2020. i u potpunosti se završava 2024. bliskom suradnjom policije i ureda AG-a te uspostavom standardnih operativnih postupaka između tih dvaju subjekata. Reformom se također osigurava zapošljavanje dodatnog osoblja potrebnog za preuzimanje povećane odgovornosti u uredu AG-a. Provodi se i neovisna procjena kako bi se ocijenilo kako će se sva druga lakša kaznena djela, za koja je izrečena novčana ili zatvorska kazna kraća od dvije godine, premjestiti iz policijskih snaga u ured AG-a. Provode se i zakonodavne izmjene koje proizlaze iz navedenog preispitivanja.</w:t>
      </w:r>
    </w:p>
    <w:p w14:paraId="7A5391C2" w14:textId="77777777" w:rsidR="008273B8" w:rsidRDefault="00B93063">
      <w:pPr>
        <w:pStyle w:val="P68B1DB1-Normal3"/>
        <w:spacing w:line="240" w:lineRule="auto"/>
        <w:jc w:val="both"/>
        <w:rPr>
          <w:rFonts w:eastAsia="Times New Roman" w:cs="Times New Roman"/>
          <w:noProof/>
        </w:rPr>
      </w:pPr>
      <w:r>
        <w:rPr>
          <w:noProof/>
        </w:rPr>
        <w:t>Reforma se provodi do 31. ožujka 2026.</w:t>
      </w:r>
    </w:p>
    <w:p w14:paraId="7A5391C3" w14:textId="77777777" w:rsidR="008273B8" w:rsidRDefault="00B93063">
      <w:pPr>
        <w:pStyle w:val="P68B1DB1-Normal5"/>
        <w:spacing w:line="240" w:lineRule="auto"/>
        <w:jc w:val="both"/>
        <w:rPr>
          <w:rFonts w:eastAsia="Times New Roman" w:cs="Times New Roman"/>
          <w:b/>
          <w:noProof/>
        </w:rPr>
      </w:pPr>
      <w:r>
        <w:rPr>
          <w:noProof/>
        </w:rPr>
        <w:t>Reforma C6-R3: Jačanje kapaciteta institucionalnog okvira za borbu protiv korupcije; Provedba nacionalne strategije za borbu protiv prijevara i korupcije (NAFCS)</w:t>
      </w:r>
    </w:p>
    <w:p w14:paraId="7A5391C4" w14:textId="77777777" w:rsidR="008273B8" w:rsidRDefault="00B93063">
      <w:pPr>
        <w:pStyle w:val="P68B1DB1-Normal3"/>
        <w:spacing w:line="240" w:lineRule="auto"/>
        <w:jc w:val="both"/>
        <w:textAlignment w:val="baseline"/>
        <w:rPr>
          <w:rFonts w:eastAsiaTheme="minorEastAsia" w:cs="Times New Roman"/>
          <w:noProof/>
        </w:rPr>
      </w:pPr>
      <w:r>
        <w:rPr>
          <w:noProof/>
        </w:rPr>
        <w:t xml:space="preserve">Cilj je te reforme ažurirati Nacionalnu strategiju za borbu protiv prijevara i korupcije (NAFCS) iz 2008. kako bi se povećali kapaciteti, autoritet i javna odgovornost državnih institucija kojima su povjerene regulatorne i nadzorne funkcije u vezi s upravljanjem javnim sredstvima te kako bi se provele neke od mjera utvrđenih u strategiji. </w:t>
      </w:r>
    </w:p>
    <w:p w14:paraId="7A5391C5" w14:textId="77777777" w:rsidR="008273B8" w:rsidRDefault="00B93063">
      <w:pPr>
        <w:pStyle w:val="P68B1DB1-Normal3"/>
        <w:spacing w:line="240" w:lineRule="auto"/>
        <w:jc w:val="both"/>
        <w:textAlignment w:val="baseline"/>
        <w:rPr>
          <w:rFonts w:eastAsia="Times New Roman" w:cs="Times New Roman"/>
          <w:noProof/>
        </w:rPr>
      </w:pPr>
      <w:r>
        <w:rPr>
          <w:noProof/>
        </w:rPr>
        <w:t>U objavljenoj strategiji predstavljene su dvadeset tri mjere podijeljene u četiri strateška cilja, a to su: i. izgradnja kapaciteta, ii. komunikacijska strategija, iii. maksimizacija nacionalne suradnje i iv. najveća moguća suradnja na razini EU-a i međunarodnoj suradnji. Reformom se provode tri mjere koje se odnose na konkretne mjere povezane s izgradnjom kapaciteta u okviru cilja. Prvo, u skladu s trećom mjerom, priprema se i objavljuje nacionalna procjena rizika i strategija praćenja prijevara i korupcije s ciljem održavanja učinkovitog sustava utemeljenog na riziku za borbu protiv prijevara i korupcije, učinkovitog određivanja prioriteta i dodjele resursa javnog sektora, pomaganja nacionalnim tijelima da procijene primjerenost svojih kontrola i po potrebi ih ojačaju te ažuriranja ovog akcijskog plana. Drugo, u skladu sa šestom točkom djelovanja, osmislit će se i održati dva ciljana tečaja osposobljavanja za službenike u nacionalnim tijelima koja se bore protiv prijevara i korupcije. Prvi osigurava osnovne tečajeve za imenovane službenike iz nacionalnih tijela, a drugi pokriva potrebe za osposobljavanjem dotičnih subjekata. Među njima su: (a) Odjel za unutarnju reviziju i istrage, (b) Ured glavnog državnog odvjetnika, (c) Ured državnog odvjetnika, (d) Nacionalni ured za reviziju, (e) malteške policijske snage, (f) carinski odjel, (g) upravljačka tijela EU-a, (h) Jedinica za financijsko-obavještajnu analizu, (i) povjerenik za prihode, (j) Ministarstvo obitelji, prava djece i socijalne solidarnosti, (k). Odjel za ugovore, (l) Ured za povrat imovine i (m) Stalna komisija za borbu protiv korupcije. Treće, u skladu s mjerama 13. i 14. uspostavlja se i uspostavlja sustav repozitorija dokumenata kako bi se ojačala suradnja između trinaest institucija koje su dio koordinacijskog odbora za borbu protiv korupcije i prijevara. Tim se sustavom i. pohranjuju elektronički dokumenti, ii. omogućuje centralizirani pristup dokumentima koje institucije koje su dio koordinacijskog odbora mogu lako dohvatiti i iii. osigurava se potrebna sigurnost osjetljivih informacija. Osposobljavanjem predviđenim u okviru mjere 6. osigurava se i postojanje potrebnih vještina za odgovarajuću upotrebu sustava repozitorija dokumenata. Reformom se također osigurava stvaranje baze podataka o zviždačima koja će biti operativna i dostupna svim tijelima za borbu protiv korupcije. Uključuje redovito ažurirane podatke o i. broju zaprimljenih pritužbi; ii. kada su zaprimljene; iii. kada su liječeni; iv. kada je zviždač obaviješten o ishodu; v. prijavljeni sektori. Iako to nije jedna od mjera NAFCS-a, zaštita zviždača područje je od velike važnosti u borbi protiv prijevara i korupcije.</w:t>
      </w:r>
    </w:p>
    <w:p w14:paraId="7A5391C6" w14:textId="77777777" w:rsidR="008273B8" w:rsidRDefault="00B93063">
      <w:pPr>
        <w:pStyle w:val="P68B1DB1-Normal3"/>
        <w:spacing w:line="240" w:lineRule="auto"/>
        <w:jc w:val="both"/>
        <w:textAlignment w:val="baseline"/>
        <w:rPr>
          <w:rFonts w:eastAsiaTheme="minorEastAsia" w:cs="Times New Roman"/>
          <w:noProof/>
        </w:rPr>
      </w:pPr>
      <w:r>
        <w:rPr>
          <w:noProof/>
        </w:rPr>
        <w:t>Reforma se provodi do 31. prosinca 2024.</w:t>
      </w:r>
    </w:p>
    <w:p w14:paraId="7A5391C7" w14:textId="77777777" w:rsidR="008273B8" w:rsidRDefault="00B93063">
      <w:pPr>
        <w:pStyle w:val="P68B1DB1-Normal5"/>
        <w:spacing w:line="240" w:lineRule="auto"/>
        <w:jc w:val="both"/>
        <w:rPr>
          <w:rFonts w:eastAsia="Times New Roman" w:cs="Times New Roman"/>
          <w:noProof/>
        </w:rPr>
      </w:pPr>
      <w:r>
        <w:rPr>
          <w:noProof/>
        </w:rPr>
        <w:t>Reforma C6-R4: Reforma Stalne komisije za borbu protiv korupcije (PCAC)</w:t>
      </w:r>
    </w:p>
    <w:p w14:paraId="7A5391C8" w14:textId="77777777" w:rsidR="008273B8" w:rsidRDefault="00B93063">
      <w:pPr>
        <w:pStyle w:val="P68B1DB1-Normal3"/>
        <w:spacing w:line="240" w:lineRule="auto"/>
        <w:jc w:val="both"/>
        <w:rPr>
          <w:rFonts w:eastAsia="Times New Roman" w:cs="Times New Roman"/>
          <w:noProof/>
        </w:rPr>
      </w:pPr>
      <w:r>
        <w:rPr>
          <w:noProof/>
        </w:rPr>
        <w:t xml:space="preserve">Cilj je mjere omogućiti neovisnije i djelotvornije funkcioniranje Stalne komisije za borbu protiv korupcije (PCAC) s pomoću pravnih izmjena, izgradnje kapaciteta i ojačanih operativnih postupaka. </w:t>
      </w:r>
    </w:p>
    <w:p w14:paraId="7A5391C9" w14:textId="77777777" w:rsidR="008273B8" w:rsidRDefault="00B93063">
      <w:pPr>
        <w:pStyle w:val="P68B1DB1-Normal3"/>
        <w:spacing w:line="240" w:lineRule="auto"/>
        <w:jc w:val="both"/>
        <w:rPr>
          <w:rFonts w:eastAsia="Times New Roman" w:cs="Times New Roman"/>
          <w:noProof/>
        </w:rPr>
      </w:pPr>
      <w:r>
        <w:rPr>
          <w:noProof/>
        </w:rPr>
        <w:t xml:space="preserve">Pravnim izmjenama mijenja se način imenovanja predsjednika i članova Komisije. Također mijenja trag izvješćivanja PCAC-a čija se izvješća prosljeđuju izravno glavnom tužitelju, a ne ministru pravosuđa, kao što je prije bio slučaj, čime se jača neovisno funkcioniranje PCAC-a. Reforma uključuje i donošenje trogodišnjeg proračuna i plana ljudskih resursa za jačanje organizacijskih kapaciteta PCAC-a, donošenje standardnih operativnih postupaka za pomoć radnicima u rutinskim operacijama te stvaranje digitalnog registra informacijskih predmeta u posjedu PCAC-a koji bi bio dostupan svim drugim nacionalnim institucijama za borbu protiv korupcije. </w:t>
      </w:r>
    </w:p>
    <w:p w14:paraId="7A5391CA" w14:textId="77777777" w:rsidR="008273B8" w:rsidRDefault="00B93063">
      <w:pPr>
        <w:pStyle w:val="P68B1DB1-Normal3"/>
        <w:spacing w:line="240" w:lineRule="auto"/>
        <w:jc w:val="both"/>
        <w:rPr>
          <w:rFonts w:eastAsia="Times New Roman" w:cs="Times New Roman"/>
          <w:noProof/>
        </w:rPr>
      </w:pPr>
      <w:r>
        <w:rPr>
          <w:noProof/>
        </w:rPr>
        <w:t xml:space="preserve">Reforma se provodi do 31. prosinca 2024. </w:t>
      </w:r>
    </w:p>
    <w:p w14:paraId="7A5391CB" w14:textId="77777777" w:rsidR="008273B8" w:rsidRDefault="00B93063">
      <w:pPr>
        <w:pStyle w:val="P68B1DB1-Normal5"/>
        <w:spacing w:line="240" w:lineRule="auto"/>
        <w:jc w:val="both"/>
        <w:rPr>
          <w:rFonts w:eastAsia="Times New Roman" w:cs="Times New Roman"/>
          <w:noProof/>
        </w:rPr>
      </w:pPr>
      <w:r>
        <w:rPr>
          <w:noProof/>
        </w:rPr>
        <w:t>Reforma C6-R5: Reforma Ureda za povrat imovine</w:t>
      </w:r>
    </w:p>
    <w:p w14:paraId="7A5391CC" w14:textId="77777777" w:rsidR="008273B8" w:rsidRDefault="00B93063">
      <w:pPr>
        <w:pStyle w:val="P68B1DB1-Normal3"/>
        <w:spacing w:line="240" w:lineRule="auto"/>
        <w:jc w:val="both"/>
        <w:rPr>
          <w:rFonts w:eastAsia="Times New Roman" w:cs="Times New Roman"/>
          <w:noProof/>
        </w:rPr>
      </w:pPr>
      <w:r>
        <w:rPr>
          <w:noProof/>
        </w:rPr>
        <w:t xml:space="preserve">Cilj je ove mjere povećati ovlasti i kapacitete Ureda za oduzimanje imovinske koristi kako bi se ojačala uloga tijela kaznenog progona u borbi protiv pranja novca i financijskog kriminala. </w:t>
      </w:r>
    </w:p>
    <w:p w14:paraId="7A5391CD" w14:textId="77777777" w:rsidR="008273B8" w:rsidRDefault="00B93063">
      <w:pPr>
        <w:pStyle w:val="P68B1DB1-Normal3"/>
        <w:spacing w:line="240" w:lineRule="auto"/>
        <w:jc w:val="both"/>
        <w:rPr>
          <w:rFonts w:eastAsia="Times New Roman" w:cs="Times New Roman"/>
          <w:noProof/>
        </w:rPr>
      </w:pPr>
      <w:r>
        <w:rPr>
          <w:noProof/>
        </w:rPr>
        <w:t>Reforma se sastoji od stupanja na snagu Zakona o</w:t>
      </w:r>
      <w:r>
        <w:rPr>
          <w:noProof/>
          <w:color w:val="000000"/>
          <w:bdr w:val="none" w:sz="0" w:space="0" w:color="auto" w:frame="1"/>
        </w:rPr>
        <w:t xml:space="preserve">imovinskoj koristi ostvarenom kaznenim djelom (Zakon br. V iz 2021.), koji uključuje </w:t>
      </w:r>
      <w:r>
        <w:rPr>
          <w:noProof/>
        </w:rPr>
        <w:t>zakonodavne izmjene kako bi se ojačala neovisnost Ureda za oduzimanje imovinske koristi od vlade i kako bi se od Predsjedništva zahtijevalo da uspostavi odnose s istovjetnim institucijama izvan Malte. Reformom se također jačaju kapaciteti Predsjedništva zapošljavanjem dodatnog osoblja.</w:t>
      </w:r>
    </w:p>
    <w:p w14:paraId="7A5391CE" w14:textId="77777777" w:rsidR="008273B8" w:rsidRDefault="00B93063">
      <w:pPr>
        <w:pStyle w:val="P68B1DB1-Normal3"/>
        <w:spacing w:line="240" w:lineRule="auto"/>
        <w:jc w:val="both"/>
        <w:rPr>
          <w:rFonts w:eastAsia="Times New Roman" w:cs="Times New Roman"/>
          <w:noProof/>
        </w:rPr>
      </w:pPr>
      <w:r>
        <w:rPr>
          <w:noProof/>
        </w:rPr>
        <w:t>Reforma mora biti dovršena do 31. prosinca 2023.</w:t>
      </w:r>
    </w:p>
    <w:p w14:paraId="7A5391CF" w14:textId="77777777" w:rsidR="008273B8" w:rsidRDefault="00B93063">
      <w:pPr>
        <w:pStyle w:val="P68B1DB1-Normal5"/>
        <w:spacing w:line="240" w:lineRule="auto"/>
        <w:jc w:val="both"/>
        <w:rPr>
          <w:rFonts w:eastAsia="Times New Roman" w:cs="Times New Roman"/>
          <w:noProof/>
        </w:rPr>
      </w:pPr>
      <w:r>
        <w:rPr>
          <w:noProof/>
        </w:rPr>
        <w:t>Reforma C6-R6: Novi postupak imenovanja ravnatelja policije</w:t>
      </w:r>
    </w:p>
    <w:p w14:paraId="7A5391D0" w14:textId="77777777" w:rsidR="008273B8" w:rsidRDefault="00B93063">
      <w:pPr>
        <w:pStyle w:val="P68B1DB1-Normal3"/>
        <w:spacing w:line="240" w:lineRule="auto"/>
        <w:jc w:val="both"/>
        <w:rPr>
          <w:rFonts w:eastAsia="Times New Roman" w:cs="Times New Roman"/>
          <w:noProof/>
        </w:rPr>
      </w:pPr>
      <w:r>
        <w:rPr>
          <w:noProof/>
        </w:rPr>
        <w:t xml:space="preserve">Cilj je ove mjere ojačati pravosudni sustav, točnije istražni odjel, reformom načina imenovanja ravnatelja policije. </w:t>
      </w:r>
    </w:p>
    <w:p w14:paraId="7A5391D1" w14:textId="77777777" w:rsidR="008273B8" w:rsidRDefault="00B93063">
      <w:pPr>
        <w:pStyle w:val="P68B1DB1-Normal3"/>
        <w:spacing w:line="240" w:lineRule="auto"/>
        <w:jc w:val="both"/>
        <w:rPr>
          <w:rFonts w:eastAsia="Times New Roman" w:cs="Times New Roman"/>
          <w:noProof/>
        </w:rPr>
      </w:pPr>
      <w:r>
        <w:rPr>
          <w:noProof/>
        </w:rPr>
        <w:t>Reforma se sastoji od stupanja na snagu Zakona XIX. iz 2020. kojim se uvode pravne izmjene Zakona o policiji (poglavlje 164. zakona Malte) i članka 92. Ustava kako bi se uspostavio transparentan i natjecateljski postupak imenovanja za dužnost ravnatelja policije. U okviru novog postupka Povjerenstvo za javne službe objavljuje javni poziv na podnošenje prijava, ocjenjuje podnesene prijave i zatim sastavlja popis kandidata koji su ušli u uži izbor u kojem se navode dva najprikladnija kandidata. Komisija za javne službe zatim taj popis prosljeđuje Kabinetu ministara. Kabinet razmatra oba kandidata i zatim predlaže najprikladnijeg kandidata za saslušanje pred parlamentarnim odborom za javna imenovanja. Ako Odbor savjetuje u korist imenovanja odabranog kandidata, predsjednik vlade imenuje odabranog kandidata nakon savjetovanja s Povjerenstvom za javne službe.</w:t>
      </w:r>
    </w:p>
    <w:p w14:paraId="7A5391D2" w14:textId="77777777" w:rsidR="008273B8" w:rsidRDefault="00B93063">
      <w:pPr>
        <w:pStyle w:val="P68B1DB1-Normal3"/>
        <w:spacing w:line="240" w:lineRule="auto"/>
        <w:jc w:val="both"/>
        <w:rPr>
          <w:rFonts w:eastAsia="Times New Roman" w:cs="Times New Roman"/>
          <w:noProof/>
        </w:rPr>
      </w:pPr>
      <w:r>
        <w:rPr>
          <w:noProof/>
        </w:rPr>
        <w:t>To je retroaktivna mjera koju je Parlament odobrio u travnju 2020.</w:t>
      </w:r>
    </w:p>
    <w:p w14:paraId="7A5391D3" w14:textId="77777777" w:rsidR="008273B8" w:rsidRDefault="00B93063">
      <w:pPr>
        <w:pStyle w:val="P68B1DB1-Normal5"/>
        <w:spacing w:line="240" w:lineRule="auto"/>
        <w:jc w:val="both"/>
        <w:rPr>
          <w:rFonts w:eastAsia="Times New Roman" w:cs="Times New Roman"/>
          <w:noProof/>
        </w:rPr>
      </w:pPr>
      <w:r>
        <w:rPr>
          <w:noProof/>
        </w:rPr>
        <w:t>Reforma C6-R7: Provedba reforme koja se odnosi na sudsko preispitivanje odluka o nepokretanju kaznenog progona i drugih odluka glavnog državnog odvjetnika. To uključuje dodjeljivanje pravnog statusa oštećene osobe određenim institucijama pri izvješćivanju o koruptivnoj praksi.</w:t>
      </w:r>
    </w:p>
    <w:p w14:paraId="7A5391D4" w14:textId="77777777" w:rsidR="008273B8" w:rsidRDefault="00B93063">
      <w:pPr>
        <w:pStyle w:val="P68B1DB1-Normal3"/>
        <w:spacing w:line="240" w:lineRule="auto"/>
        <w:jc w:val="both"/>
        <w:rPr>
          <w:rFonts w:eastAsia="Times New Roman" w:cs="Times New Roman"/>
          <w:noProof/>
        </w:rPr>
      </w:pPr>
      <w:r>
        <w:rPr>
          <w:noProof/>
        </w:rPr>
        <w:t xml:space="preserve">Cilj je te reforme ojačati kazneni progon predmeta tako da se osigura da odluke državnog odvjetnika, osobito odluka o nepokretanju kaznenog progona, podliježu sudskom preispitivanju. </w:t>
      </w:r>
    </w:p>
    <w:p w14:paraId="7A5391D5" w14:textId="77777777" w:rsidR="008273B8" w:rsidRDefault="00B93063">
      <w:pPr>
        <w:pStyle w:val="P68B1DB1-Normal3"/>
        <w:spacing w:line="240" w:lineRule="auto"/>
        <w:jc w:val="both"/>
        <w:rPr>
          <w:rFonts w:eastAsia="Times New Roman" w:cs="Times New Roman"/>
          <w:noProof/>
        </w:rPr>
      </w:pPr>
      <w:r>
        <w:rPr>
          <w:noProof/>
        </w:rPr>
        <w:t xml:space="preserve">Prvi dio te reforme sastoji se od stupanja na snagu Zakona XLI. iz 2020. kojim se predviđa sudsko preispitivanje odluka glavnog državnog odvjetnika o nepokretanju kaznenog progona zbog nezakonitosti ili nerazumnosti. Tijelima odgovornima za izvješćivanje o koruptivnim praksama, uključujući Stalnu komisiju za borbu protiv korupcije (PCAC), Europskog ombudsmana, povjerenika za standarde javnog života i glavnog revizora, daje se zakonski status oštećene strane. Zakonom XLI. iz 2020. tim se institucijama omogućuje da zatraže sudsko preispitivanje samo u slučajevima koje su uputile glavnom državnom odvjetniku, na isti način kao i oštećena stranka. </w:t>
      </w:r>
    </w:p>
    <w:p w14:paraId="7A5391D6" w14:textId="77777777" w:rsidR="008273B8" w:rsidRDefault="00B93063">
      <w:pPr>
        <w:pStyle w:val="P68B1DB1-Normal3"/>
        <w:spacing w:line="240" w:lineRule="auto"/>
        <w:jc w:val="both"/>
        <w:rPr>
          <w:rFonts w:eastAsia="Times New Roman" w:cs="Times New Roman"/>
          <w:noProof/>
        </w:rPr>
      </w:pPr>
      <w:r>
        <w:rPr>
          <w:noProof/>
        </w:rPr>
        <w:t xml:space="preserve">U drugom dijelu reforme ocjenjuje se, putem neovisnog preispitivanja, učinkovitost pravne odredbe uvedene prvim dijelom s ciljem proširenja njezina područja primjene. Time bi se „oštećenim strankama” omogućilo da zatraže sudsko preispitivanje svih predmeta, a ne samo slučajeva koje su prijavile predmetne stranke, kao i slučajeva u kojima nije pokrenut sudski postupak u razumnom roku. Zakonodavne izmjene uvode se u skladu s preporukama koje proizlaze iz preispitivanja. </w:t>
      </w:r>
    </w:p>
    <w:p w14:paraId="7A5391D7" w14:textId="77777777" w:rsidR="008273B8" w:rsidRDefault="00B93063">
      <w:pPr>
        <w:pStyle w:val="P68B1DB1-Normal3"/>
        <w:spacing w:line="240" w:lineRule="auto"/>
        <w:jc w:val="both"/>
        <w:rPr>
          <w:rFonts w:eastAsia="Times New Roman" w:cs="Times New Roman"/>
          <w:noProof/>
        </w:rPr>
      </w:pPr>
      <w:r>
        <w:rPr>
          <w:noProof/>
        </w:rPr>
        <w:t xml:space="preserve">Reforma se provodi do 31. ožujka 2026. </w:t>
      </w:r>
    </w:p>
    <w:p w14:paraId="7A5391D8" w14:textId="77777777" w:rsidR="008273B8" w:rsidRDefault="00B93063">
      <w:pPr>
        <w:pStyle w:val="P68B1DB1-Normal5"/>
        <w:spacing w:line="240" w:lineRule="auto"/>
        <w:jc w:val="both"/>
        <w:rPr>
          <w:rFonts w:eastAsia="Times New Roman" w:cs="Times New Roman"/>
          <w:noProof/>
        </w:rPr>
      </w:pPr>
      <w:r>
        <w:rPr>
          <w:noProof/>
        </w:rPr>
        <w:t>Reforma C6-R8: Jačanje malteških financijskih sankcija protiv pranja novca/financiranja terorizma/ciljanih financijskih sankcija (SPNFT/TFS)</w:t>
      </w:r>
    </w:p>
    <w:p w14:paraId="7A5391D9" w14:textId="77777777" w:rsidR="008273B8" w:rsidRDefault="00B93063">
      <w:pPr>
        <w:pStyle w:val="P68B1DB1-Normal3"/>
        <w:spacing w:line="240" w:lineRule="auto"/>
        <w:jc w:val="both"/>
        <w:rPr>
          <w:rFonts w:eastAsia="Times New Roman" w:cs="Times New Roman"/>
          <w:noProof/>
        </w:rPr>
      </w:pPr>
      <w:r>
        <w:rPr>
          <w:noProof/>
        </w:rPr>
        <w:t>Cilj je ove mjere osigurati održiv, proaktivan, prilagodljiv i učinkovit okvir za sprečavanje pranja novca koji može odgovoriti na sve promjenjive rizike od pranja novca i financiranja terorizma.</w:t>
      </w:r>
    </w:p>
    <w:p w14:paraId="7A5391DA" w14:textId="06CE9925" w:rsidR="008273B8" w:rsidRDefault="00B93063">
      <w:pPr>
        <w:pStyle w:val="P68B1DB1-Normal3"/>
        <w:spacing w:line="240" w:lineRule="auto"/>
        <w:jc w:val="both"/>
        <w:rPr>
          <w:rFonts w:eastAsia="Times New Roman" w:cs="Times New Roman"/>
          <w:noProof/>
        </w:rPr>
      </w:pPr>
      <w:r>
        <w:rPr>
          <w:noProof/>
        </w:rPr>
        <w:t xml:space="preserve">Reforma se sastoji od provedbe nacionalne strategije za sprečavanje pranja novca/borbu protiv financiranja terorizma/ciljnih financijskih sankcija (SPNFT/TFS) i akcijskog plana za razdoblje 2021. – 2023., kojima se zamjenjuje provedena strategija za razdoblje 2017. – 2020. Reformom se provode sve mjere usmjerene na sedam ciljeva politike utvrđenih u nacionalnoj strategiji i akcijskom planu za sprečavanje pranja novca, borbe protiv pranja novca, borbe protiv terorizma i financiranja terorizma za razdoblje 2021. – 2023. . </w:t>
      </w:r>
    </w:p>
    <w:p w14:paraId="7A5391DB" w14:textId="77777777" w:rsidR="008273B8" w:rsidRDefault="00B93063">
      <w:pPr>
        <w:pStyle w:val="P68B1DB1-Normal3"/>
        <w:spacing w:line="240" w:lineRule="auto"/>
        <w:jc w:val="both"/>
        <w:rPr>
          <w:rFonts w:eastAsia="Times New Roman" w:cs="Times New Roman"/>
          <w:noProof/>
        </w:rPr>
      </w:pPr>
      <w:r>
        <w:rPr>
          <w:noProof/>
        </w:rPr>
        <w:t xml:space="preserve">Reformom se osigurava i odgovarajuće osposobljavanje i informiranje relevantnih članova nacionalnog koordinacijskog centra. Naposljetku, reformom će se </w:t>
      </w:r>
      <w:r>
        <w:rPr>
          <w:noProof/>
          <w:color w:val="000000"/>
          <w:shd w:val="clear" w:color="auto" w:fill="FFFFFF"/>
        </w:rPr>
        <w:t xml:space="preserve">provesti i potrebne mjere kako bi se odgovorilo na ishod evaluacija Radne skupine za financijsko djelovanje dovršenih u lipnju 2021. </w:t>
      </w:r>
    </w:p>
    <w:p w14:paraId="7A5391DC" w14:textId="77777777" w:rsidR="008273B8" w:rsidRDefault="00B93063">
      <w:pPr>
        <w:pStyle w:val="P68B1DB1-Normal3"/>
        <w:spacing w:line="240" w:lineRule="auto"/>
        <w:jc w:val="both"/>
        <w:rPr>
          <w:rFonts w:eastAsia="Times New Roman" w:cs="Times New Roman"/>
          <w:noProof/>
        </w:rPr>
      </w:pPr>
      <w:r>
        <w:rPr>
          <w:noProof/>
        </w:rPr>
        <w:t xml:space="preserve">Provedba reforme mora biti dovršena do 31. prosinca 2023. </w:t>
      </w:r>
    </w:p>
    <w:p w14:paraId="7A5391DD" w14:textId="77777777" w:rsidR="008273B8" w:rsidRDefault="00B93063">
      <w:pPr>
        <w:pStyle w:val="P68B1DB1-Normal5"/>
        <w:spacing w:line="240" w:lineRule="auto"/>
        <w:jc w:val="both"/>
        <w:rPr>
          <w:rFonts w:eastAsia="Times New Roman" w:cs="Times New Roman"/>
          <w:noProof/>
        </w:rPr>
      </w:pPr>
      <w:r>
        <w:rPr>
          <w:noProof/>
        </w:rPr>
        <w:t>Reforma C6-R9: Agresivno porezno planiranje (ATP) – Skupina za Kodeks o postupanju</w:t>
      </w:r>
    </w:p>
    <w:p w14:paraId="7A5391DE" w14:textId="77777777" w:rsidR="008273B8" w:rsidRDefault="00B93063">
      <w:pPr>
        <w:pStyle w:val="P68B1DB1-Normal3"/>
        <w:spacing w:line="240" w:lineRule="auto"/>
        <w:jc w:val="both"/>
        <w:rPr>
          <w:rFonts w:eastAsia="Times New Roman" w:cs="Times New Roman"/>
          <w:noProof/>
        </w:rPr>
      </w:pPr>
      <w:r>
        <w:rPr>
          <w:noProof/>
        </w:rPr>
        <w:t>Cilj je tih mjera ukloniti mogućnost izuzimanja dividendi koje potječu od tijela osoba rezidenata u jurisdikcijama navedenima na popisu nekooperativnih jurisdikcija Skupine za Kodeks o postupanju od oporezivanja na Malti.</w:t>
      </w:r>
    </w:p>
    <w:p w14:paraId="7A5391DF" w14:textId="77777777" w:rsidR="008273B8" w:rsidRDefault="00B93063">
      <w:pPr>
        <w:pStyle w:val="P68B1DB1-Normal3"/>
        <w:spacing w:line="240" w:lineRule="auto"/>
        <w:jc w:val="both"/>
        <w:rPr>
          <w:rFonts w:eastAsia="Times New Roman" w:cs="Times New Roman"/>
          <w:noProof/>
        </w:rPr>
      </w:pPr>
      <w:r>
        <w:rPr>
          <w:noProof/>
        </w:rPr>
        <w:t>Reformom se ukida tzv. izuzeće na temelju sudjelovanja kojim se omogućuje oslobođenje od poreza na prihode od dividendi ili kapitalne dobitke ostvarene sudjelujućim udjelom (obično vlasnički udio od najmanje 5 %) na Malti. Konkretno, dividende koje potječu od tijela osoba rezidenata u jurisdikcijama koje su najmanje tri mjeseca uvrštene na popis nekooperativnih jurisdikcija „Skupine za Kodeks o postupanju” ne ispunjavaju uvjete za takvo izuzeće. Kako bi se primijenila ta nova odredba, reformom će se povećati i broj istražitelja zaduženih za provjeru izjava poreznih obveznika.</w:t>
      </w:r>
    </w:p>
    <w:p w14:paraId="7A5391E0" w14:textId="77777777" w:rsidR="008273B8" w:rsidRDefault="00B93063">
      <w:pPr>
        <w:pStyle w:val="P68B1DB1-Normal3"/>
        <w:spacing w:line="240" w:lineRule="auto"/>
        <w:jc w:val="both"/>
        <w:rPr>
          <w:rFonts w:eastAsia="Times New Roman" w:cs="Times New Roman"/>
          <w:noProof/>
        </w:rPr>
      </w:pPr>
      <w:r>
        <w:rPr>
          <w:noProof/>
        </w:rPr>
        <w:t>Reforma se provodi do 30. rujna 2022.</w:t>
      </w:r>
    </w:p>
    <w:p w14:paraId="7A5391E1" w14:textId="77777777" w:rsidR="008273B8" w:rsidRDefault="00B93063">
      <w:pPr>
        <w:pStyle w:val="P68B1DB1-Normal5"/>
        <w:spacing w:line="240" w:lineRule="auto"/>
        <w:jc w:val="both"/>
        <w:rPr>
          <w:rFonts w:eastAsia="Times New Roman" w:cs="Times New Roman"/>
          <w:noProof/>
        </w:rPr>
      </w:pPr>
      <w:r>
        <w:rPr>
          <w:noProof/>
        </w:rPr>
        <w:t>Reforma C6-R10: Posebno zakonodavstvo o transfernim cijenama</w:t>
      </w:r>
    </w:p>
    <w:p w14:paraId="7A5391E2" w14:textId="77777777" w:rsidR="008273B8" w:rsidRDefault="00B93063">
      <w:pPr>
        <w:pStyle w:val="P68B1DB1-Normal3"/>
        <w:spacing w:line="240" w:lineRule="auto"/>
        <w:jc w:val="both"/>
        <w:rPr>
          <w:rFonts w:eastAsia="Times New Roman" w:cs="Times New Roman"/>
          <w:noProof/>
        </w:rPr>
      </w:pPr>
      <w:r>
        <w:rPr>
          <w:noProof/>
        </w:rPr>
        <w:t xml:space="preserve">Cilj je mjere spriječiti gubitak javnih prihoda međunarodnom poreznom arbitražom. </w:t>
      </w:r>
    </w:p>
    <w:p w14:paraId="7A5391E3" w14:textId="3ED5C89A" w:rsidR="008273B8" w:rsidRDefault="00B93063">
      <w:pPr>
        <w:pStyle w:val="P68B1DB1-Normal3"/>
        <w:spacing w:line="240" w:lineRule="auto"/>
        <w:jc w:val="both"/>
        <w:rPr>
          <w:rFonts w:eastAsia="Times New Roman" w:cs="Times New Roman"/>
          <w:noProof/>
        </w:rPr>
      </w:pPr>
      <w:r>
        <w:rPr>
          <w:noProof/>
        </w:rPr>
        <w:t>Reformom se uvode odredbe koje omogućuju zakonodavstvo o transfernim cijenama u malteški zakonodavni okvir. Postupak savjetovanja slijedi prije predlaganja posebnih pravila o transfernim cijenama koja se odnose na načelo nepristrane transakcije i napredne sporazume o određivanju cijena. Naposljetku, takva posebna pravila prijenosa o transfernim cijenama stupaju na snagu. Prije početka primjene pravila provodi se i osposobljavanje uključenih strana (kao što su privatni porezni djelatnici i zastupnici trgovačkih društava).</w:t>
      </w:r>
    </w:p>
    <w:p w14:paraId="7A5391E4" w14:textId="77777777" w:rsidR="008273B8" w:rsidRDefault="00B93063">
      <w:pPr>
        <w:pStyle w:val="P68B1DB1-Normal3"/>
        <w:spacing w:line="240" w:lineRule="auto"/>
        <w:jc w:val="both"/>
        <w:rPr>
          <w:rFonts w:eastAsia="Times New Roman" w:cs="Times New Roman"/>
          <w:noProof/>
        </w:rPr>
      </w:pPr>
      <w:r>
        <w:rPr>
          <w:noProof/>
        </w:rPr>
        <w:t xml:space="preserve">Reforma će biti dovršena do 31. prosinca 2023. </w:t>
      </w:r>
    </w:p>
    <w:p w14:paraId="7A5391E5" w14:textId="77777777" w:rsidR="008273B8" w:rsidRDefault="00B93063">
      <w:pPr>
        <w:pStyle w:val="P68B1DB1-Normal5"/>
        <w:spacing w:line="240" w:lineRule="auto"/>
        <w:jc w:val="both"/>
        <w:rPr>
          <w:rFonts w:eastAsia="Times New Roman" w:cs="Times New Roman"/>
          <w:noProof/>
        </w:rPr>
      </w:pPr>
      <w:r>
        <w:rPr>
          <w:noProof/>
        </w:rPr>
        <w:t xml:space="preserve">Reforma C6-R11: Studija o važnosti mjera koje se odnose na isplate ulaznih i izlaznih dividendi, kamata i naknada za licenciju </w:t>
      </w:r>
    </w:p>
    <w:p w14:paraId="7A5391E6" w14:textId="77777777" w:rsidR="008273B8" w:rsidRDefault="00B93063">
      <w:pPr>
        <w:pStyle w:val="P68B1DB1-Normal3"/>
        <w:spacing w:line="240" w:lineRule="auto"/>
        <w:jc w:val="both"/>
        <w:rPr>
          <w:rFonts w:eastAsia="Times New Roman" w:cs="Times New Roman"/>
          <w:noProof/>
        </w:rPr>
      </w:pPr>
      <w:r>
        <w:rPr>
          <w:noProof/>
        </w:rPr>
        <w:t xml:space="preserve">Cilj je mjere pružiti vladi smjernice za oblikovanje politike za ublažavanje rizika agresivnog poreznog planiranja u području ulaznih i izlaznih isplata dividendi, kamata i naknada za licenciju. </w:t>
      </w:r>
    </w:p>
    <w:p w14:paraId="7A5391E7" w14:textId="77777777" w:rsidR="008273B8" w:rsidRDefault="00B93063">
      <w:pPr>
        <w:pStyle w:val="P68B1DB1-Normal3"/>
        <w:spacing w:line="240" w:lineRule="auto"/>
        <w:jc w:val="both"/>
        <w:rPr>
          <w:rFonts w:cs="Times New Roman"/>
          <w:noProof/>
        </w:rPr>
      </w:pPr>
      <w:r>
        <w:rPr>
          <w:noProof/>
        </w:rPr>
        <w:t>Reforma uključuje neovisnu studiju za analizu trenutačnog stanja i davanje preporuka za pravne mjere potrebne za rješavanje izlaznih i ulaznih isplata dividendi, kamata i licencijskih naknada između društava s poslovnim nastanom u Malti i povezanih društava s poslovnim nastanom u jurisdikcijama koje su dio EU-ova popisa nekooperativnih jurisdikcija ili koje se smatraju jurisdikcijama s nultom ili niskom poreznom stopom. Studija sadržava konkretne prijedloge za jačanje mjera protiv smanjenja porezne osnovice i premještanja dobiti kako bi se spriječile porezne prijevare i utaja poreza te promicalo pravedno oporezivanje. Vlada poduzima daljnje mjere u skladu sa zakonodavstvom kako bi ublažila rizike utvrđene u studiji.</w:t>
      </w:r>
    </w:p>
    <w:p w14:paraId="7A5391E8" w14:textId="77777777" w:rsidR="008273B8" w:rsidRDefault="00B93063">
      <w:pPr>
        <w:pStyle w:val="P68B1DB1-Normal3"/>
        <w:spacing w:line="240" w:lineRule="auto"/>
        <w:jc w:val="both"/>
        <w:rPr>
          <w:rFonts w:eastAsia="Times New Roman" w:cs="Times New Roman"/>
          <w:noProof/>
          <w:u w:val="single"/>
        </w:rPr>
      </w:pPr>
      <w:r>
        <w:rPr>
          <w:noProof/>
        </w:rPr>
        <w:t>Mjera se provodi do 30. rujna 2024.</w:t>
      </w:r>
    </w:p>
    <w:p w14:paraId="7A5391E9" w14:textId="77777777" w:rsidR="008273B8" w:rsidRDefault="00B93063">
      <w:pPr>
        <w:pStyle w:val="P68B1DB1-Normal5"/>
        <w:spacing w:line="240" w:lineRule="auto"/>
        <w:jc w:val="both"/>
        <w:rPr>
          <w:rFonts w:eastAsia="Times New Roman" w:cs="Times New Roman"/>
          <w:noProof/>
        </w:rPr>
      </w:pPr>
      <w:r>
        <w:rPr>
          <w:noProof/>
        </w:rPr>
        <w:t>Reforma C6-R12: Ublažavanje rizika od agresivnog poreznog planiranja koje provode pojedinci</w:t>
      </w:r>
    </w:p>
    <w:p w14:paraId="7A5391EA" w14:textId="77777777" w:rsidR="008273B8" w:rsidRDefault="00B93063">
      <w:pPr>
        <w:pStyle w:val="P68B1DB1-Normal3"/>
        <w:spacing w:line="240" w:lineRule="auto"/>
        <w:jc w:val="both"/>
        <w:rPr>
          <w:rFonts w:eastAsia="Times New Roman" w:cs="Times New Roman"/>
          <w:noProof/>
        </w:rPr>
      </w:pPr>
      <w:r>
        <w:rPr>
          <w:noProof/>
        </w:rPr>
        <w:t>Cilj je mjere ublažiti rizike agresivnog poreznog planiranja koji proizlaze iz programa stjecanja državljanstva na temelju ulaganja.</w:t>
      </w:r>
    </w:p>
    <w:p w14:paraId="7A5391EB" w14:textId="77777777" w:rsidR="008273B8" w:rsidRDefault="00B93063">
      <w:pPr>
        <w:pStyle w:val="P68B1DB1-Normal3"/>
        <w:spacing w:line="240" w:lineRule="auto"/>
        <w:jc w:val="both"/>
        <w:rPr>
          <w:rFonts w:eastAsia="Times New Roman" w:cs="Times New Roman"/>
          <w:noProof/>
        </w:rPr>
      </w:pPr>
      <w:r>
        <w:rPr>
          <w:noProof/>
        </w:rPr>
        <w:t xml:space="preserve">Reformom se provodi postupak dubinske analize kako bi se utvrdila izvorna porezna rezidentnost podnositelja zahtjeva za državljanstvo na temelju naturalizacije za izvanredne usluge izravnim ulaganjima te se porezna tijela izvornih jurisdikcija porezne rezidentnosti obavješćuju o podnositeljima zahtjeva kojima je dodijeljeno malteško državljanstvo. Stupanje na snagu postupka određuje se objavom odgovarajućih revidiranih smjernica i obrazaca za prijavu. </w:t>
      </w:r>
    </w:p>
    <w:p w14:paraId="7A5391EC" w14:textId="77777777" w:rsidR="008273B8" w:rsidRDefault="00B93063">
      <w:pPr>
        <w:pStyle w:val="P68B1DB1-Normal3"/>
        <w:spacing w:line="240" w:lineRule="auto"/>
        <w:jc w:val="both"/>
        <w:rPr>
          <w:rFonts w:eastAsia="Times New Roman" w:cs="Times New Roman"/>
          <w:noProof/>
        </w:rPr>
      </w:pPr>
      <w:r>
        <w:rPr>
          <w:noProof/>
        </w:rPr>
        <w:t>Mjera se provodi do 31. ožujka 2022.</w:t>
      </w:r>
    </w:p>
    <w:p w14:paraId="7A5391EE" w14:textId="53F9936C" w:rsidR="008273B8" w:rsidRDefault="00B93063">
      <w:pPr>
        <w:rPr>
          <w:rFonts w:ascii="Times New Roman" w:eastAsia="Times New Roman" w:hAnsi="Times New Roman" w:cs="Times New Roman"/>
          <w:noProof/>
          <w:sz w:val="24"/>
          <w:u w:val="single"/>
        </w:rPr>
      </w:pPr>
      <w:r>
        <w:rPr>
          <w:noProof/>
        </w:rPr>
        <w:br w:type="page"/>
      </w:r>
      <w:r>
        <w:rPr>
          <w:rFonts w:ascii="Times New Roman" w:hAnsi="Times New Roman"/>
          <w:noProof/>
          <w:sz w:val="24"/>
          <w:u w:val="single"/>
        </w:rPr>
        <w:t>Ulaganje C6-I1: Digitalizacija u pravosudnom sustavu</w:t>
      </w:r>
    </w:p>
    <w:p w14:paraId="7A5391EF" w14:textId="2A7DA393" w:rsidR="008273B8" w:rsidRDefault="00B93063">
      <w:pPr>
        <w:pStyle w:val="P68B1DB1-Normal3"/>
        <w:spacing w:line="240" w:lineRule="auto"/>
        <w:jc w:val="both"/>
        <w:rPr>
          <w:rFonts w:eastAsia="Times New Roman" w:cs="Times New Roman"/>
          <w:noProof/>
        </w:rPr>
      </w:pPr>
      <w:r>
        <w:rPr>
          <w:noProof/>
        </w:rPr>
        <w:t>Cilj je ove mjere postići učinkovitije sudovanje. Cilj je ulaganja provesti niz sigurnih digitalnih rješenja i alata za potporu korisnicima pravosudnog sektora u skladu sa strategijom za digitalno pravosuđe. Glavni su dionici sudovi, malteška policija, državni odvjetnik, državni odvjetnik, Ured za pravnu pomoć i oduzimanje imovinske koristi.</w:t>
      </w:r>
    </w:p>
    <w:p w14:paraId="7A5391F0" w14:textId="77777777" w:rsidR="008273B8" w:rsidRDefault="00B93063">
      <w:pPr>
        <w:pStyle w:val="P68B1DB1-Normal3"/>
        <w:spacing w:line="240" w:lineRule="auto"/>
        <w:jc w:val="both"/>
        <w:rPr>
          <w:rFonts w:eastAsia="Times New Roman" w:cs="Times New Roman"/>
          <w:noProof/>
        </w:rPr>
      </w:pPr>
      <w:r>
        <w:rPr>
          <w:noProof/>
        </w:rPr>
        <w:t>U okviru priprema za izdatke za ulaganja stupaju na snagu pravni akti o digitalizaciji sudova kako bi se omogućilo vođenje građanskih postupaka putem opreme za videokonferencije uživo i podnošenje kaznenih sudskih akata elektroničkim putem. Ulaganje se zatim sastoji od dva dijela: (a) mapiranja i preoblikovanja postupaka za cjelovite digitalne procese, upravljanja projektima, pravne i opće savjetodavne podrške i potpore analizi troškova i koristi – to obuhvaća horizontalne zahtjeve za potporu ulaganjima, uključujući pomoćni softver i eksternalizaciju usluga kako bi se zajamčilo da su osigurani odgovarajući resursi, vještine i stručnost; i (b) niz digitalnih rješenja za pravosudni sustav. Potonje uključuje i. digitalnu integraciju putovanja i interoperabilno rješenje, ii. pravosudni portal s kontrolnim pločama, iii. Agenciju sudova: prijenosna računala za povećanu mobilnost korisnika, iv. agencija za sudove: rješenje za virtualne dnevne sjednice, v. Agencija za sudove: Wi-Fi, vi. potvrde o ponašanju putem nacionalnog informacijskog sustava kaznene evidencije, vii. integracija platforme za potporu žrtvama Ministarstva pravosuđa s nacionalnim dionicima, viii. centar za e-učenje „Jedan pojas, jedan put” (Uprava za ljudska prava), ix. sustav vođenja predmeta državnog odvjetnika i državnog odvjetnika, x. sustav upravljanja predmetima pravne pomoći, xi. sustav slobode informiranja, xi. sustav povrata imovine, (xiii.) vladino rješenje za prestanak mandata, xiv. televizija s integriranim zatvorenim krugom i sigurnosni sustav s naprednim značajkama, xv. oprema i softver u prostorijama za konferencije i osposobljavanje, xvi. inicijative za eksperimentiranje i specijalizaciju kojima se dopunjuje dodatna oprema za videokonferencije i moguća pitanja povezana s skeniranjem.</w:t>
      </w:r>
    </w:p>
    <w:p w14:paraId="7A5391F1" w14:textId="77777777" w:rsidR="008273B8" w:rsidRDefault="00B93063">
      <w:pPr>
        <w:pStyle w:val="P68B1DB1-Normal3"/>
        <w:spacing w:line="240" w:lineRule="auto"/>
        <w:jc w:val="both"/>
        <w:rPr>
          <w:rFonts w:eastAsia="Times New Roman" w:cs="Times New Roman"/>
          <w:noProof/>
        </w:rPr>
      </w:pPr>
      <w:r>
        <w:rPr>
          <w:noProof/>
        </w:rPr>
        <w:t>Ulaganje se provodi do 30. lipnja 2026.</w:t>
      </w:r>
    </w:p>
    <w:p w14:paraId="7A5391F2" w14:textId="77777777" w:rsidR="008273B8" w:rsidRDefault="008273B8">
      <w:pPr>
        <w:spacing w:before="120" w:after="120" w:line="240" w:lineRule="auto"/>
        <w:ind w:left="850"/>
        <w:jc w:val="both"/>
        <w:rPr>
          <w:rFonts w:ascii="Times New Roman" w:hAnsi="Times New Roman" w:cs="Times New Roman"/>
          <w:b/>
          <w:noProof/>
          <w:sz w:val="24"/>
          <w:u w:val="single"/>
        </w:rPr>
        <w:sectPr w:rsidR="008273B8">
          <w:headerReference w:type="even" r:id="rId78"/>
          <w:headerReference w:type="default" r:id="rId79"/>
          <w:footerReference w:type="even" r:id="rId80"/>
          <w:footerReference w:type="default" r:id="rId81"/>
          <w:headerReference w:type="first" r:id="rId82"/>
          <w:footerReference w:type="first" r:id="rId83"/>
          <w:pgSz w:w="11907" w:h="16839"/>
          <w:pgMar w:top="1134" w:right="1134" w:bottom="1134" w:left="1134" w:header="567" w:footer="567" w:gutter="0"/>
          <w:cols w:space="720"/>
          <w:docGrid w:linePitch="360"/>
        </w:sectPr>
      </w:pPr>
    </w:p>
    <w:p w14:paraId="7A5391F3" w14:textId="77777777" w:rsidR="008273B8" w:rsidRDefault="00B93063">
      <w:pPr>
        <w:pStyle w:val="P68B1DB1-ManualHeading34"/>
        <w:spacing w:before="240" w:after="240"/>
        <w:rPr>
          <w:noProof/>
          <w:u w:val="single"/>
        </w:rPr>
      </w:pPr>
      <w:r>
        <w:rPr>
          <w:noProof/>
        </w:rPr>
        <w:t xml:space="preserve">F.2. </w:t>
      </w:r>
      <w:r>
        <w:rPr>
          <w:noProof/>
        </w:rPr>
        <w:tab/>
      </w:r>
      <w:r>
        <w:rPr>
          <w:noProof/>
          <w:u w:val="single"/>
        </w:rPr>
        <w:t>Ključne etape, ciljne vrijednosti, pokazatelji i rokovi za praćenje i provedbu bespovratne financijske potpore</w:t>
      </w:r>
    </w:p>
    <w:tbl>
      <w:tblPr>
        <w:tblW w:w="16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0"/>
        <w:gridCol w:w="1172"/>
        <w:gridCol w:w="1015"/>
        <w:gridCol w:w="1595"/>
        <w:gridCol w:w="2031"/>
        <w:gridCol w:w="924"/>
        <w:gridCol w:w="915"/>
        <w:gridCol w:w="974"/>
        <w:gridCol w:w="709"/>
        <w:gridCol w:w="709"/>
        <w:gridCol w:w="5074"/>
      </w:tblGrid>
      <w:tr w:rsidR="008273B8" w14:paraId="7A5391FC" w14:textId="77777777">
        <w:trPr>
          <w:cantSplit/>
          <w:tblHeader/>
          <w:jc w:val="center"/>
        </w:trPr>
        <w:tc>
          <w:tcPr>
            <w:tcW w:w="1150" w:type="dxa"/>
            <w:vMerge w:val="restart"/>
            <w:shd w:val="clear" w:color="auto" w:fill="BDD7EE"/>
            <w:vAlign w:val="center"/>
            <w:hideMark/>
          </w:tcPr>
          <w:p w14:paraId="7A5391F4" w14:textId="77777777" w:rsidR="008273B8" w:rsidRDefault="00B93063">
            <w:pPr>
              <w:pStyle w:val="P68B1DB1-Normal6"/>
              <w:spacing w:after="0" w:line="240" w:lineRule="auto"/>
              <w:jc w:val="center"/>
              <w:rPr>
                <w:rFonts w:eastAsia="Times New Roman" w:cs="Times New Roman"/>
                <w:noProof/>
              </w:rPr>
            </w:pPr>
            <w:r>
              <w:rPr>
                <w:noProof/>
              </w:rPr>
              <w:t>Redni broj</w:t>
            </w:r>
          </w:p>
        </w:tc>
        <w:tc>
          <w:tcPr>
            <w:tcW w:w="1172" w:type="dxa"/>
            <w:vMerge w:val="restart"/>
            <w:shd w:val="clear" w:color="auto" w:fill="BDD7EE"/>
            <w:vAlign w:val="center"/>
            <w:hideMark/>
          </w:tcPr>
          <w:p w14:paraId="7A5391F5" w14:textId="77777777" w:rsidR="008273B8" w:rsidRDefault="00B93063">
            <w:pPr>
              <w:pStyle w:val="P68B1DB1-Normal6"/>
              <w:spacing w:after="0" w:line="240" w:lineRule="auto"/>
              <w:jc w:val="center"/>
              <w:rPr>
                <w:rFonts w:eastAsia="Times New Roman" w:cs="Times New Roman"/>
                <w:noProof/>
              </w:rPr>
            </w:pPr>
            <w:r>
              <w:rPr>
                <w:noProof/>
              </w:rPr>
              <w:t>Povezana mjera (reforma ili ulaganje)</w:t>
            </w:r>
          </w:p>
        </w:tc>
        <w:tc>
          <w:tcPr>
            <w:tcW w:w="1015" w:type="dxa"/>
            <w:vMerge w:val="restart"/>
            <w:shd w:val="clear" w:color="auto" w:fill="BDD7EE"/>
            <w:vAlign w:val="center"/>
            <w:hideMark/>
          </w:tcPr>
          <w:p w14:paraId="7A5391F6" w14:textId="77777777" w:rsidR="008273B8" w:rsidRDefault="00B93063">
            <w:pPr>
              <w:pStyle w:val="P68B1DB1-Normal6"/>
              <w:spacing w:after="0" w:line="240" w:lineRule="auto"/>
              <w:jc w:val="center"/>
              <w:rPr>
                <w:rFonts w:eastAsia="Times New Roman" w:cs="Times New Roman"/>
                <w:noProof/>
              </w:rPr>
            </w:pPr>
            <w:r>
              <w:rPr>
                <w:noProof/>
              </w:rPr>
              <w:t>Ključna etapa/cilj</w:t>
            </w:r>
          </w:p>
        </w:tc>
        <w:tc>
          <w:tcPr>
            <w:tcW w:w="1595" w:type="dxa"/>
            <w:vMerge w:val="restart"/>
            <w:shd w:val="clear" w:color="auto" w:fill="BDD7EE"/>
            <w:vAlign w:val="center"/>
            <w:hideMark/>
          </w:tcPr>
          <w:p w14:paraId="7A5391F7" w14:textId="77777777" w:rsidR="008273B8" w:rsidRDefault="00B93063">
            <w:pPr>
              <w:pStyle w:val="P68B1DB1-Normal6"/>
              <w:spacing w:after="0" w:line="240" w:lineRule="auto"/>
              <w:jc w:val="center"/>
              <w:rPr>
                <w:rFonts w:eastAsia="Times New Roman" w:cs="Times New Roman"/>
                <w:noProof/>
              </w:rPr>
            </w:pPr>
            <w:r>
              <w:rPr>
                <w:noProof/>
              </w:rPr>
              <w:t>Ime</w:t>
            </w:r>
          </w:p>
        </w:tc>
        <w:tc>
          <w:tcPr>
            <w:tcW w:w="2031" w:type="dxa"/>
            <w:vMerge w:val="restart"/>
            <w:shd w:val="clear" w:color="auto" w:fill="BDD7EE"/>
            <w:vAlign w:val="center"/>
            <w:hideMark/>
          </w:tcPr>
          <w:p w14:paraId="7A5391F8" w14:textId="77777777" w:rsidR="008273B8" w:rsidRDefault="00B93063">
            <w:pPr>
              <w:pStyle w:val="P68B1DB1-Normal13"/>
              <w:spacing w:after="0" w:line="240" w:lineRule="auto"/>
              <w:jc w:val="center"/>
              <w:rPr>
                <w:rFonts w:eastAsia="Times New Roman" w:cs="Times New Roman"/>
                <w:b/>
                <w:noProof/>
                <w:sz w:val="18"/>
              </w:rPr>
            </w:pPr>
            <w:r>
              <w:rPr>
                <w:b/>
                <w:noProof/>
                <w:sz w:val="18"/>
              </w:rPr>
              <w:t>Kvalitativni pokazatelji</w:t>
            </w:r>
            <w:r>
              <w:rPr>
                <w:noProof/>
                <w:sz w:val="24"/>
              </w:rPr>
              <w:br/>
            </w:r>
            <w:r>
              <w:rPr>
                <w:b/>
                <w:noProof/>
                <w:sz w:val="18"/>
              </w:rPr>
              <w:t>(za ključne etape)</w:t>
            </w:r>
          </w:p>
        </w:tc>
        <w:tc>
          <w:tcPr>
            <w:tcW w:w="2813" w:type="dxa"/>
            <w:gridSpan w:val="3"/>
            <w:shd w:val="clear" w:color="auto" w:fill="BDD7EE"/>
            <w:vAlign w:val="center"/>
            <w:hideMark/>
          </w:tcPr>
          <w:p w14:paraId="7A5391F9" w14:textId="77777777" w:rsidR="008273B8" w:rsidRDefault="00B93063">
            <w:pPr>
              <w:pStyle w:val="P68B1DB1-Normal13"/>
              <w:spacing w:after="0" w:line="240" w:lineRule="auto"/>
              <w:jc w:val="center"/>
              <w:rPr>
                <w:rFonts w:eastAsia="Times New Roman" w:cs="Times New Roman"/>
                <w:b/>
                <w:noProof/>
                <w:sz w:val="18"/>
              </w:rPr>
            </w:pPr>
            <w:r>
              <w:rPr>
                <w:b/>
                <w:noProof/>
                <w:sz w:val="18"/>
              </w:rPr>
              <w:t>Kvantitativni pokazatelji</w:t>
            </w:r>
            <w:r>
              <w:rPr>
                <w:noProof/>
                <w:sz w:val="24"/>
              </w:rPr>
              <w:br/>
            </w:r>
            <w:r>
              <w:rPr>
                <w:b/>
                <w:noProof/>
                <w:sz w:val="18"/>
              </w:rPr>
              <w:t>(za ciljne vrijednosti)</w:t>
            </w:r>
          </w:p>
        </w:tc>
        <w:tc>
          <w:tcPr>
            <w:tcW w:w="1418" w:type="dxa"/>
            <w:gridSpan w:val="2"/>
            <w:shd w:val="clear" w:color="auto" w:fill="BDD7EE"/>
            <w:vAlign w:val="center"/>
            <w:hideMark/>
          </w:tcPr>
          <w:p w14:paraId="7A5391FA" w14:textId="5A97A892" w:rsidR="008273B8" w:rsidRDefault="00B93063">
            <w:pPr>
              <w:spacing w:after="0" w:line="240" w:lineRule="auto"/>
              <w:jc w:val="center"/>
              <w:rPr>
                <w:rFonts w:ascii="Times New Roman" w:eastAsia="Times New Roman" w:hAnsi="Times New Roman" w:cs="Times New Roman"/>
                <w:b/>
                <w:noProof/>
                <w:sz w:val="18"/>
              </w:rPr>
            </w:pPr>
            <w:r>
              <w:rPr>
                <w:rFonts w:ascii="Times New Roman" w:hAnsi="Times New Roman"/>
                <w:b/>
                <w:noProof/>
                <w:sz w:val="18"/>
              </w:rPr>
              <w:t>Vremenski okvir za dovršetak</w:t>
            </w:r>
            <w:r>
              <w:rPr>
                <w:noProof/>
              </w:rPr>
              <w:br/>
            </w:r>
          </w:p>
        </w:tc>
        <w:tc>
          <w:tcPr>
            <w:tcW w:w="5074" w:type="dxa"/>
            <w:vMerge w:val="restart"/>
            <w:shd w:val="clear" w:color="auto" w:fill="BDD7EE"/>
            <w:vAlign w:val="center"/>
            <w:hideMark/>
          </w:tcPr>
          <w:p w14:paraId="7A5391FB" w14:textId="072AD5D7" w:rsidR="008273B8" w:rsidRDefault="00B93063">
            <w:pPr>
              <w:pStyle w:val="P68B1DB1-Normal6"/>
              <w:spacing w:after="0" w:line="240" w:lineRule="auto"/>
              <w:jc w:val="center"/>
              <w:rPr>
                <w:rFonts w:eastAsia="Times New Roman" w:cs="Times New Roman"/>
                <w:noProof/>
              </w:rPr>
            </w:pPr>
            <w:r>
              <w:rPr>
                <w:noProof/>
              </w:rPr>
              <w:t>Opis svake ključne etape i ciljne vrijednosti</w:t>
            </w:r>
          </w:p>
        </w:tc>
      </w:tr>
      <w:tr w:rsidR="008273B8" w14:paraId="7A539208" w14:textId="77777777">
        <w:trPr>
          <w:cantSplit/>
          <w:tblHeader/>
          <w:jc w:val="center"/>
        </w:trPr>
        <w:tc>
          <w:tcPr>
            <w:tcW w:w="1150" w:type="dxa"/>
            <w:vMerge/>
            <w:vAlign w:val="center"/>
            <w:hideMark/>
          </w:tcPr>
          <w:p w14:paraId="7A5391FD" w14:textId="77777777" w:rsidR="008273B8" w:rsidRDefault="008273B8">
            <w:pPr>
              <w:spacing w:after="0" w:line="240" w:lineRule="auto"/>
              <w:rPr>
                <w:rFonts w:ascii="Times New Roman" w:eastAsia="Times New Roman" w:hAnsi="Times New Roman" w:cs="Times New Roman"/>
                <w:b/>
                <w:noProof/>
                <w:sz w:val="18"/>
              </w:rPr>
            </w:pPr>
          </w:p>
        </w:tc>
        <w:tc>
          <w:tcPr>
            <w:tcW w:w="1172" w:type="dxa"/>
            <w:vMerge/>
            <w:vAlign w:val="center"/>
            <w:hideMark/>
          </w:tcPr>
          <w:p w14:paraId="7A5391FE" w14:textId="77777777" w:rsidR="008273B8" w:rsidRDefault="008273B8">
            <w:pPr>
              <w:spacing w:after="0" w:line="240" w:lineRule="auto"/>
              <w:rPr>
                <w:rFonts w:ascii="Times New Roman" w:eastAsia="Times New Roman" w:hAnsi="Times New Roman" w:cs="Times New Roman"/>
                <w:b/>
                <w:noProof/>
                <w:sz w:val="18"/>
              </w:rPr>
            </w:pPr>
          </w:p>
        </w:tc>
        <w:tc>
          <w:tcPr>
            <w:tcW w:w="1015" w:type="dxa"/>
            <w:vMerge/>
            <w:vAlign w:val="center"/>
            <w:hideMark/>
          </w:tcPr>
          <w:p w14:paraId="7A5391FF" w14:textId="77777777" w:rsidR="008273B8" w:rsidRDefault="008273B8">
            <w:pPr>
              <w:spacing w:after="0" w:line="240" w:lineRule="auto"/>
              <w:rPr>
                <w:rFonts w:ascii="Times New Roman" w:eastAsia="Times New Roman" w:hAnsi="Times New Roman" w:cs="Times New Roman"/>
                <w:b/>
                <w:noProof/>
                <w:sz w:val="18"/>
              </w:rPr>
            </w:pPr>
          </w:p>
        </w:tc>
        <w:tc>
          <w:tcPr>
            <w:tcW w:w="1595" w:type="dxa"/>
            <w:vMerge/>
            <w:vAlign w:val="center"/>
            <w:hideMark/>
          </w:tcPr>
          <w:p w14:paraId="7A539200" w14:textId="77777777" w:rsidR="008273B8" w:rsidRDefault="008273B8">
            <w:pPr>
              <w:spacing w:after="0" w:line="240" w:lineRule="auto"/>
              <w:rPr>
                <w:rFonts w:ascii="Times New Roman" w:eastAsia="Times New Roman" w:hAnsi="Times New Roman" w:cs="Times New Roman"/>
                <w:b/>
                <w:noProof/>
                <w:sz w:val="18"/>
              </w:rPr>
            </w:pPr>
          </w:p>
        </w:tc>
        <w:tc>
          <w:tcPr>
            <w:tcW w:w="2031" w:type="dxa"/>
            <w:vMerge/>
            <w:vAlign w:val="center"/>
            <w:hideMark/>
          </w:tcPr>
          <w:p w14:paraId="7A539201" w14:textId="77777777" w:rsidR="008273B8" w:rsidRDefault="008273B8">
            <w:pPr>
              <w:spacing w:after="0" w:line="240" w:lineRule="auto"/>
              <w:rPr>
                <w:rFonts w:ascii="Times New Roman" w:eastAsia="Times New Roman" w:hAnsi="Times New Roman" w:cs="Times New Roman"/>
                <w:b/>
                <w:noProof/>
                <w:sz w:val="18"/>
              </w:rPr>
            </w:pPr>
          </w:p>
        </w:tc>
        <w:tc>
          <w:tcPr>
            <w:tcW w:w="924" w:type="dxa"/>
            <w:shd w:val="clear" w:color="auto" w:fill="BDD7EE"/>
            <w:vAlign w:val="center"/>
            <w:hideMark/>
          </w:tcPr>
          <w:p w14:paraId="7A539202" w14:textId="77777777" w:rsidR="008273B8" w:rsidRDefault="00B93063">
            <w:pPr>
              <w:pStyle w:val="P68B1DB1-Normal6"/>
              <w:spacing w:after="0" w:line="240" w:lineRule="auto"/>
              <w:jc w:val="center"/>
              <w:rPr>
                <w:rFonts w:eastAsia="Times New Roman" w:cs="Times New Roman"/>
                <w:noProof/>
              </w:rPr>
            </w:pPr>
            <w:r>
              <w:rPr>
                <w:noProof/>
              </w:rPr>
              <w:t>Jedinica mjere</w:t>
            </w:r>
          </w:p>
        </w:tc>
        <w:tc>
          <w:tcPr>
            <w:tcW w:w="915" w:type="dxa"/>
            <w:shd w:val="clear" w:color="auto" w:fill="BDD7EE"/>
            <w:vAlign w:val="center"/>
            <w:hideMark/>
          </w:tcPr>
          <w:p w14:paraId="7A539203" w14:textId="77777777" w:rsidR="008273B8" w:rsidRDefault="00B93063">
            <w:pPr>
              <w:pStyle w:val="P68B1DB1-Normal6"/>
              <w:spacing w:after="0" w:line="240" w:lineRule="auto"/>
              <w:jc w:val="center"/>
              <w:rPr>
                <w:rFonts w:eastAsia="Times New Roman" w:cs="Times New Roman"/>
                <w:noProof/>
              </w:rPr>
            </w:pPr>
            <w:r>
              <w:rPr>
                <w:noProof/>
              </w:rPr>
              <w:t>Polazna vrijednost</w:t>
            </w:r>
          </w:p>
        </w:tc>
        <w:tc>
          <w:tcPr>
            <w:tcW w:w="974" w:type="dxa"/>
            <w:shd w:val="clear" w:color="auto" w:fill="BDD7EE"/>
            <w:vAlign w:val="center"/>
            <w:hideMark/>
          </w:tcPr>
          <w:p w14:paraId="7A539204" w14:textId="77777777" w:rsidR="008273B8" w:rsidRDefault="00B93063">
            <w:pPr>
              <w:pStyle w:val="P68B1DB1-Normal6"/>
              <w:spacing w:after="0" w:line="240" w:lineRule="auto"/>
              <w:jc w:val="center"/>
              <w:rPr>
                <w:rFonts w:eastAsia="Times New Roman" w:cs="Times New Roman"/>
                <w:noProof/>
              </w:rPr>
            </w:pPr>
            <w:r>
              <w:rPr>
                <w:noProof/>
              </w:rPr>
              <w:t>Cilj</w:t>
            </w:r>
          </w:p>
        </w:tc>
        <w:tc>
          <w:tcPr>
            <w:tcW w:w="709" w:type="dxa"/>
            <w:shd w:val="clear" w:color="auto" w:fill="BDD7EE"/>
            <w:vAlign w:val="center"/>
            <w:hideMark/>
          </w:tcPr>
          <w:p w14:paraId="7A539205" w14:textId="77777777" w:rsidR="008273B8" w:rsidRDefault="00B93063">
            <w:pPr>
              <w:pStyle w:val="P68B1DB1-Normal6"/>
              <w:spacing w:after="0" w:line="240" w:lineRule="auto"/>
              <w:jc w:val="center"/>
              <w:rPr>
                <w:rFonts w:eastAsia="Times New Roman" w:cs="Times New Roman"/>
                <w:noProof/>
              </w:rPr>
            </w:pPr>
            <w:r>
              <w:rPr>
                <w:noProof/>
              </w:rPr>
              <w:t>Tromjesečja</w:t>
            </w:r>
          </w:p>
        </w:tc>
        <w:tc>
          <w:tcPr>
            <w:tcW w:w="709" w:type="dxa"/>
            <w:shd w:val="clear" w:color="auto" w:fill="BDD7EE"/>
            <w:vAlign w:val="center"/>
            <w:hideMark/>
          </w:tcPr>
          <w:p w14:paraId="7A539206" w14:textId="77777777" w:rsidR="008273B8" w:rsidRDefault="00B93063">
            <w:pPr>
              <w:pStyle w:val="P68B1DB1-Normal6"/>
              <w:spacing w:after="0" w:line="240" w:lineRule="auto"/>
              <w:jc w:val="center"/>
              <w:rPr>
                <w:rFonts w:eastAsia="Times New Roman" w:cs="Times New Roman"/>
                <w:noProof/>
              </w:rPr>
            </w:pPr>
            <w:r>
              <w:rPr>
                <w:noProof/>
              </w:rPr>
              <w:t>Godina</w:t>
            </w:r>
          </w:p>
        </w:tc>
        <w:tc>
          <w:tcPr>
            <w:tcW w:w="5074" w:type="dxa"/>
            <w:vMerge/>
            <w:vAlign w:val="center"/>
            <w:hideMark/>
          </w:tcPr>
          <w:p w14:paraId="7A539207" w14:textId="77777777" w:rsidR="008273B8" w:rsidRDefault="008273B8">
            <w:pPr>
              <w:spacing w:after="0" w:line="240" w:lineRule="auto"/>
              <w:rPr>
                <w:rFonts w:ascii="Times New Roman" w:eastAsia="Times New Roman" w:hAnsi="Times New Roman" w:cs="Times New Roman"/>
                <w:b/>
                <w:noProof/>
                <w:sz w:val="18"/>
              </w:rPr>
            </w:pPr>
          </w:p>
        </w:tc>
      </w:tr>
      <w:tr w:rsidR="008273B8" w14:paraId="7A539214" w14:textId="77777777">
        <w:trPr>
          <w:cantSplit/>
          <w:jc w:val="center"/>
        </w:trPr>
        <w:tc>
          <w:tcPr>
            <w:tcW w:w="1150" w:type="dxa"/>
            <w:shd w:val="clear" w:color="auto" w:fill="C6EFCE"/>
            <w:vAlign w:val="center"/>
            <w:hideMark/>
          </w:tcPr>
          <w:p w14:paraId="7A539209" w14:textId="77777777" w:rsidR="008273B8" w:rsidRDefault="00B93063">
            <w:pPr>
              <w:pStyle w:val="P68B1DB1-Normal7"/>
              <w:spacing w:after="0" w:line="240" w:lineRule="auto"/>
              <w:rPr>
                <w:rFonts w:eastAsia="Times New Roman" w:cs="Calibri"/>
                <w:noProof/>
              </w:rPr>
            </w:pPr>
            <w:r>
              <w:rPr>
                <w:noProof/>
              </w:rPr>
              <w:t>6.1</w:t>
            </w:r>
          </w:p>
        </w:tc>
        <w:tc>
          <w:tcPr>
            <w:tcW w:w="1172" w:type="dxa"/>
            <w:shd w:val="clear" w:color="auto" w:fill="C6EFCE"/>
            <w:vAlign w:val="center"/>
            <w:hideMark/>
          </w:tcPr>
          <w:p w14:paraId="7A53920A" w14:textId="77777777" w:rsidR="008273B8" w:rsidRDefault="00B93063">
            <w:pPr>
              <w:pStyle w:val="P68B1DB1-Normal7"/>
              <w:spacing w:after="0" w:line="240" w:lineRule="auto"/>
              <w:rPr>
                <w:rFonts w:eastAsia="Times New Roman" w:cs="Calibri"/>
                <w:noProof/>
              </w:rPr>
            </w:pPr>
            <w:r>
              <w:rPr>
                <w:noProof/>
              </w:rPr>
              <w:t xml:space="preserve">C6.R.1 </w:t>
            </w:r>
          </w:p>
        </w:tc>
        <w:tc>
          <w:tcPr>
            <w:tcW w:w="1015" w:type="dxa"/>
            <w:shd w:val="clear" w:color="auto" w:fill="C6EFCE"/>
            <w:vAlign w:val="center"/>
            <w:hideMark/>
          </w:tcPr>
          <w:p w14:paraId="7A53920B"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20C" w14:textId="77777777" w:rsidR="008273B8" w:rsidRDefault="00B93063">
            <w:pPr>
              <w:pStyle w:val="P68B1DB1-Normal7"/>
              <w:spacing w:after="0" w:line="240" w:lineRule="auto"/>
              <w:rPr>
                <w:rFonts w:eastAsia="Times New Roman" w:cs="Calibri"/>
                <w:noProof/>
              </w:rPr>
            </w:pPr>
            <w:r>
              <w:rPr>
                <w:noProof/>
              </w:rPr>
              <w:t>Stupanje na snagu Zakona XLV iz 2020.; i Zakon XLIII. iz 2020.</w:t>
            </w:r>
          </w:p>
        </w:tc>
        <w:tc>
          <w:tcPr>
            <w:tcW w:w="2031" w:type="dxa"/>
            <w:shd w:val="clear" w:color="auto" w:fill="C6EFCE"/>
            <w:vAlign w:val="center"/>
            <w:hideMark/>
          </w:tcPr>
          <w:p w14:paraId="7A53920D" w14:textId="77777777" w:rsidR="008273B8" w:rsidRDefault="00B93063">
            <w:pPr>
              <w:pStyle w:val="P68B1DB1-Normal7"/>
              <w:spacing w:after="0" w:line="240" w:lineRule="auto"/>
              <w:rPr>
                <w:rFonts w:eastAsia="Times New Roman" w:cs="Calibri"/>
                <w:noProof/>
              </w:rPr>
            </w:pPr>
            <w:r>
              <w:rPr>
                <w:noProof/>
              </w:rPr>
              <w:t>Odredba zakona o stupanju na snagu Zakona XLV iz 2020. i Zakona XLIII. iz 2020.</w:t>
            </w:r>
          </w:p>
        </w:tc>
        <w:tc>
          <w:tcPr>
            <w:tcW w:w="924" w:type="dxa"/>
            <w:shd w:val="clear" w:color="auto" w:fill="C6EFCE"/>
            <w:vAlign w:val="center"/>
            <w:hideMark/>
          </w:tcPr>
          <w:p w14:paraId="7A53920E"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20F"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210"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211" w14:textId="77777777" w:rsidR="008273B8" w:rsidRDefault="00B93063">
            <w:pPr>
              <w:pStyle w:val="P68B1DB1-Normal7"/>
              <w:spacing w:after="0" w:line="240" w:lineRule="auto"/>
              <w:jc w:val="center"/>
              <w:rPr>
                <w:rFonts w:eastAsia="Times New Roman" w:cs="Calibri"/>
                <w:noProof/>
              </w:rPr>
            </w:pPr>
            <w:r>
              <w:rPr>
                <w:noProof/>
              </w:rPr>
              <w:t>TROMJESEČJE</w:t>
            </w:r>
          </w:p>
        </w:tc>
        <w:tc>
          <w:tcPr>
            <w:tcW w:w="709" w:type="dxa"/>
            <w:shd w:val="clear" w:color="auto" w:fill="C6EFCE"/>
            <w:vAlign w:val="center"/>
            <w:hideMark/>
          </w:tcPr>
          <w:p w14:paraId="7A539212" w14:textId="77777777" w:rsidR="008273B8" w:rsidRDefault="00B93063">
            <w:pPr>
              <w:pStyle w:val="P68B1DB1-Normal7"/>
              <w:spacing w:after="0" w:line="240" w:lineRule="auto"/>
              <w:jc w:val="center"/>
              <w:rPr>
                <w:rFonts w:eastAsia="Times New Roman" w:cs="Calibri"/>
                <w:noProof/>
              </w:rPr>
            </w:pPr>
            <w:r>
              <w:rPr>
                <w:noProof/>
              </w:rPr>
              <w:t>2020</w:t>
            </w:r>
          </w:p>
        </w:tc>
        <w:tc>
          <w:tcPr>
            <w:tcW w:w="5074" w:type="dxa"/>
            <w:shd w:val="clear" w:color="auto" w:fill="C6EFCE"/>
            <w:vAlign w:val="center"/>
            <w:hideMark/>
          </w:tcPr>
          <w:p w14:paraId="7A539213" w14:textId="77777777" w:rsidR="008273B8" w:rsidRDefault="00B93063">
            <w:pPr>
              <w:pStyle w:val="P68B1DB1-Normal7"/>
              <w:spacing w:after="0" w:line="240" w:lineRule="auto"/>
              <w:rPr>
                <w:rFonts w:eastAsia="Times New Roman" w:cs="Calibri"/>
                <w:noProof/>
              </w:rPr>
            </w:pPr>
            <w:r>
              <w:rPr>
                <w:noProof/>
              </w:rPr>
              <w:t>Ustav je izmijenjen kako bi se predvidjelo imenovanje predsjednika Vrhovnog suda uz odobrenje dvije trećine svih članova Zastupničkog doma; za promjenu sastava Odbora za imenovanje sudaca tako da su većina njegovih članova članovi sudstva; te osigurati objavljivanje javnih poziva za slobodna radna mjesta u pravosuđu. Zakonom XLV iz 2020. uspostavlja se novi postupak kojim se članovi sudstva mogu razriješiti iz Bencha ili podvrgnuti disciplinskim postupcima.</w:t>
            </w:r>
          </w:p>
        </w:tc>
      </w:tr>
      <w:tr w:rsidR="008273B8" w14:paraId="7A539220" w14:textId="77777777">
        <w:trPr>
          <w:cantSplit/>
          <w:jc w:val="center"/>
        </w:trPr>
        <w:tc>
          <w:tcPr>
            <w:tcW w:w="1150" w:type="dxa"/>
            <w:shd w:val="clear" w:color="auto" w:fill="C6EFCE"/>
            <w:vAlign w:val="center"/>
            <w:hideMark/>
          </w:tcPr>
          <w:p w14:paraId="7A539215" w14:textId="77777777" w:rsidR="008273B8" w:rsidRDefault="00B93063">
            <w:pPr>
              <w:pStyle w:val="P68B1DB1-Normal7"/>
              <w:spacing w:after="0" w:line="240" w:lineRule="auto"/>
              <w:rPr>
                <w:rFonts w:eastAsia="Times New Roman" w:cs="Calibri"/>
                <w:noProof/>
              </w:rPr>
            </w:pPr>
            <w:r>
              <w:rPr>
                <w:noProof/>
              </w:rPr>
              <w:t>6.2</w:t>
            </w:r>
          </w:p>
        </w:tc>
        <w:tc>
          <w:tcPr>
            <w:tcW w:w="1172" w:type="dxa"/>
            <w:shd w:val="clear" w:color="auto" w:fill="C6EFCE"/>
            <w:vAlign w:val="center"/>
            <w:hideMark/>
          </w:tcPr>
          <w:p w14:paraId="7A539216" w14:textId="77777777" w:rsidR="008273B8" w:rsidRDefault="00B93063">
            <w:pPr>
              <w:pStyle w:val="P68B1DB1-Normal7"/>
              <w:spacing w:after="0" w:line="240" w:lineRule="auto"/>
              <w:rPr>
                <w:rFonts w:eastAsia="Times New Roman" w:cs="Calibri"/>
                <w:noProof/>
              </w:rPr>
            </w:pPr>
            <w:r>
              <w:rPr>
                <w:noProof/>
              </w:rPr>
              <w:t xml:space="preserve">C6.R.1 </w:t>
            </w:r>
          </w:p>
        </w:tc>
        <w:tc>
          <w:tcPr>
            <w:tcW w:w="1015" w:type="dxa"/>
            <w:shd w:val="clear" w:color="auto" w:fill="C6EFCE"/>
            <w:vAlign w:val="center"/>
            <w:hideMark/>
          </w:tcPr>
          <w:p w14:paraId="7A539217" w14:textId="77777777" w:rsidR="008273B8" w:rsidRDefault="00B93063">
            <w:pPr>
              <w:pStyle w:val="P68B1DB1-Normal7"/>
              <w:spacing w:after="0" w:line="240" w:lineRule="auto"/>
              <w:rPr>
                <w:rFonts w:eastAsia="Times New Roman" w:cs="Calibri"/>
                <w:noProof/>
              </w:rPr>
            </w:pPr>
            <w:r>
              <w:rPr>
                <w:noProof/>
              </w:rPr>
              <w:t>Ciljna vrijednost</w:t>
            </w:r>
          </w:p>
        </w:tc>
        <w:tc>
          <w:tcPr>
            <w:tcW w:w="1595" w:type="dxa"/>
            <w:shd w:val="clear" w:color="auto" w:fill="C6EFCE"/>
            <w:vAlign w:val="center"/>
            <w:hideMark/>
          </w:tcPr>
          <w:p w14:paraId="7A539218" w14:textId="77777777" w:rsidR="008273B8" w:rsidRDefault="00B93063">
            <w:pPr>
              <w:pStyle w:val="P68B1DB1-Normal7"/>
              <w:spacing w:after="0" w:line="240" w:lineRule="auto"/>
              <w:rPr>
                <w:rFonts w:eastAsia="Times New Roman" w:cs="Calibri"/>
                <w:noProof/>
              </w:rPr>
            </w:pPr>
            <w:r>
              <w:rPr>
                <w:noProof/>
              </w:rPr>
              <w:t xml:space="preserve">Dodatni članovi sudstva </w:t>
            </w:r>
          </w:p>
        </w:tc>
        <w:tc>
          <w:tcPr>
            <w:tcW w:w="2031" w:type="dxa"/>
            <w:shd w:val="clear" w:color="auto" w:fill="C6EFCE"/>
            <w:vAlign w:val="center"/>
            <w:hideMark/>
          </w:tcPr>
          <w:p w14:paraId="7A539219" w14:textId="77777777" w:rsidR="008273B8" w:rsidRDefault="00B93063">
            <w:pPr>
              <w:pStyle w:val="P68B1DB1-Normal7"/>
              <w:spacing w:after="0" w:line="240" w:lineRule="auto"/>
              <w:rPr>
                <w:rFonts w:eastAsia="Times New Roman" w:cs="Calibri"/>
                <w:noProof/>
              </w:rPr>
            </w:pPr>
            <w:r>
              <w:rPr>
                <w:noProof/>
              </w:rPr>
              <w:t> </w:t>
            </w:r>
          </w:p>
        </w:tc>
        <w:tc>
          <w:tcPr>
            <w:tcW w:w="924" w:type="dxa"/>
            <w:shd w:val="clear" w:color="auto" w:fill="C6EFCE"/>
            <w:vAlign w:val="center"/>
            <w:hideMark/>
          </w:tcPr>
          <w:p w14:paraId="7A53921A" w14:textId="77777777" w:rsidR="008273B8" w:rsidRDefault="00B93063">
            <w:pPr>
              <w:pStyle w:val="P68B1DB1-Normal7"/>
              <w:spacing w:after="0" w:line="240" w:lineRule="auto"/>
              <w:jc w:val="center"/>
              <w:rPr>
                <w:rFonts w:eastAsia="Times New Roman" w:cs="Calibri"/>
                <w:noProof/>
              </w:rPr>
            </w:pPr>
            <w:r>
              <w:rPr>
                <w:noProof/>
              </w:rPr>
              <w:t>Broj</w:t>
            </w:r>
          </w:p>
        </w:tc>
        <w:tc>
          <w:tcPr>
            <w:tcW w:w="915" w:type="dxa"/>
            <w:shd w:val="clear" w:color="auto" w:fill="C6EFCE"/>
            <w:vAlign w:val="center"/>
            <w:hideMark/>
          </w:tcPr>
          <w:p w14:paraId="7A53921B" w14:textId="77777777" w:rsidR="008273B8" w:rsidRDefault="00B93063">
            <w:pPr>
              <w:pStyle w:val="P68B1DB1-Normal7"/>
              <w:spacing w:after="0" w:line="240" w:lineRule="auto"/>
              <w:jc w:val="center"/>
              <w:rPr>
                <w:rFonts w:eastAsia="Times New Roman" w:cs="Calibri"/>
                <w:noProof/>
              </w:rPr>
            </w:pPr>
            <w:r>
              <w:rPr>
                <w:noProof/>
              </w:rPr>
              <w:t>42</w:t>
            </w:r>
          </w:p>
        </w:tc>
        <w:tc>
          <w:tcPr>
            <w:tcW w:w="974" w:type="dxa"/>
            <w:shd w:val="clear" w:color="auto" w:fill="C6EFCE"/>
            <w:vAlign w:val="center"/>
            <w:hideMark/>
          </w:tcPr>
          <w:p w14:paraId="7A53921C" w14:textId="77777777" w:rsidR="008273B8" w:rsidRDefault="00B93063">
            <w:pPr>
              <w:pStyle w:val="P68B1DB1-Normal7"/>
              <w:spacing w:after="0" w:line="240" w:lineRule="auto"/>
              <w:jc w:val="center"/>
              <w:rPr>
                <w:rFonts w:eastAsia="Times New Roman" w:cs="Calibri"/>
                <w:noProof/>
              </w:rPr>
            </w:pPr>
            <w:r>
              <w:rPr>
                <w:noProof/>
              </w:rPr>
              <w:t xml:space="preserve">47 </w:t>
            </w:r>
          </w:p>
        </w:tc>
        <w:tc>
          <w:tcPr>
            <w:tcW w:w="709" w:type="dxa"/>
            <w:shd w:val="clear" w:color="auto" w:fill="C6EFCE"/>
            <w:vAlign w:val="center"/>
            <w:hideMark/>
          </w:tcPr>
          <w:p w14:paraId="7A53921D" w14:textId="77777777" w:rsidR="008273B8" w:rsidRDefault="00B93063">
            <w:pPr>
              <w:pStyle w:val="P68B1DB1-Normal7"/>
              <w:spacing w:after="0" w:line="240" w:lineRule="auto"/>
              <w:jc w:val="center"/>
              <w:rPr>
                <w:rFonts w:eastAsia="Times New Roman" w:cs="Calibri"/>
                <w:noProof/>
              </w:rPr>
            </w:pPr>
            <w:r>
              <w:rPr>
                <w:noProof/>
              </w:rPr>
              <w:t>Q2</w:t>
            </w:r>
          </w:p>
        </w:tc>
        <w:tc>
          <w:tcPr>
            <w:tcW w:w="709" w:type="dxa"/>
            <w:shd w:val="clear" w:color="auto" w:fill="C6EFCE"/>
            <w:vAlign w:val="center"/>
            <w:hideMark/>
          </w:tcPr>
          <w:p w14:paraId="7A53921E" w14:textId="77777777" w:rsidR="008273B8" w:rsidRDefault="00B93063">
            <w:pPr>
              <w:pStyle w:val="P68B1DB1-Normal7"/>
              <w:spacing w:after="0" w:line="240" w:lineRule="auto"/>
              <w:jc w:val="center"/>
              <w:rPr>
                <w:rFonts w:eastAsia="Times New Roman" w:cs="Calibri"/>
                <w:noProof/>
              </w:rPr>
            </w:pPr>
            <w:r>
              <w:rPr>
                <w:noProof/>
              </w:rPr>
              <w:t>2021</w:t>
            </w:r>
          </w:p>
        </w:tc>
        <w:tc>
          <w:tcPr>
            <w:tcW w:w="5074" w:type="dxa"/>
            <w:shd w:val="clear" w:color="auto" w:fill="C6EFCE"/>
            <w:vAlign w:val="center"/>
            <w:hideMark/>
          </w:tcPr>
          <w:p w14:paraId="7A53921F" w14:textId="77777777" w:rsidR="008273B8" w:rsidRDefault="00B93063">
            <w:pPr>
              <w:pStyle w:val="P68B1DB1-Normal7"/>
              <w:spacing w:after="0" w:line="240" w:lineRule="auto"/>
              <w:rPr>
                <w:rFonts w:eastAsia="Times New Roman" w:cs="Calibri"/>
                <w:noProof/>
              </w:rPr>
            </w:pPr>
            <w:r>
              <w:rPr>
                <w:noProof/>
              </w:rPr>
              <w:t xml:space="preserve">Nakon donošenja Zakona XLIII. iz 2020. u Službenom listu Vlade 12. veljače 2021. objavljen je poziv na podnošenje prijava za imenovanje četiriju sudaca koji su sredinom travnja 2021. imenovani u Bench, što je dovelo do povećanja broja sudaca za tri. Osim toga, poziv na podnošenje prijava za imenovanje četiriju sudaca objavljen je 20. travnja 2021., a imenovani su u lipnju 2021., što je dovelo do povećanja broja zaposlenih sudaca za dva. To dovodi do neto povećanja od pet članova sudstva. </w:t>
            </w:r>
          </w:p>
        </w:tc>
      </w:tr>
      <w:tr w:rsidR="008273B8" w14:paraId="7A53922C" w14:textId="77777777">
        <w:trPr>
          <w:cantSplit/>
          <w:jc w:val="center"/>
        </w:trPr>
        <w:tc>
          <w:tcPr>
            <w:tcW w:w="1150" w:type="dxa"/>
            <w:shd w:val="clear" w:color="auto" w:fill="C6EFCE"/>
            <w:vAlign w:val="center"/>
            <w:hideMark/>
          </w:tcPr>
          <w:p w14:paraId="7A539221" w14:textId="77777777" w:rsidR="008273B8" w:rsidRDefault="00B93063">
            <w:pPr>
              <w:pStyle w:val="P68B1DB1-Normal7"/>
              <w:spacing w:after="0" w:line="240" w:lineRule="auto"/>
              <w:rPr>
                <w:rFonts w:eastAsia="Times New Roman" w:cs="Calibri"/>
                <w:noProof/>
              </w:rPr>
            </w:pPr>
            <w:r>
              <w:rPr>
                <w:noProof/>
              </w:rPr>
              <w:t>6.3</w:t>
            </w:r>
          </w:p>
        </w:tc>
        <w:tc>
          <w:tcPr>
            <w:tcW w:w="1172" w:type="dxa"/>
            <w:shd w:val="clear" w:color="auto" w:fill="C6EFCE"/>
            <w:vAlign w:val="center"/>
            <w:hideMark/>
          </w:tcPr>
          <w:p w14:paraId="7A539222" w14:textId="77777777" w:rsidR="008273B8" w:rsidRDefault="00B93063">
            <w:pPr>
              <w:pStyle w:val="P68B1DB1-Normal7"/>
              <w:spacing w:after="0" w:line="240" w:lineRule="auto"/>
              <w:rPr>
                <w:rFonts w:eastAsia="Times New Roman" w:cs="Calibri"/>
                <w:noProof/>
              </w:rPr>
            </w:pPr>
            <w:r>
              <w:rPr>
                <w:noProof/>
              </w:rPr>
              <w:t xml:space="preserve">C6.R.1 </w:t>
            </w:r>
          </w:p>
        </w:tc>
        <w:tc>
          <w:tcPr>
            <w:tcW w:w="1015" w:type="dxa"/>
            <w:shd w:val="clear" w:color="auto" w:fill="C6EFCE"/>
            <w:vAlign w:val="center"/>
            <w:hideMark/>
          </w:tcPr>
          <w:p w14:paraId="7A539223"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224" w14:textId="77777777" w:rsidR="008273B8" w:rsidRDefault="00B93063">
            <w:pPr>
              <w:pStyle w:val="P68B1DB1-Normal7"/>
              <w:spacing w:after="0" w:line="240" w:lineRule="auto"/>
              <w:rPr>
                <w:rFonts w:eastAsia="Times New Roman" w:cs="Calibri"/>
                <w:noProof/>
              </w:rPr>
            </w:pPr>
            <w:r>
              <w:rPr>
                <w:noProof/>
              </w:rPr>
              <w:t>Neovisno preispitivanje neovisnosti specijaliziranih sudova</w:t>
            </w:r>
          </w:p>
        </w:tc>
        <w:tc>
          <w:tcPr>
            <w:tcW w:w="2031" w:type="dxa"/>
            <w:shd w:val="clear" w:color="auto" w:fill="C6EFCE"/>
            <w:vAlign w:val="center"/>
            <w:hideMark/>
          </w:tcPr>
          <w:p w14:paraId="7A539225" w14:textId="77777777" w:rsidR="008273B8" w:rsidRDefault="00B93063">
            <w:pPr>
              <w:pStyle w:val="P68B1DB1-Normal7"/>
              <w:spacing w:after="0" w:line="240" w:lineRule="auto"/>
              <w:rPr>
                <w:rFonts w:eastAsia="Times New Roman" w:cs="Calibri"/>
                <w:noProof/>
              </w:rPr>
            </w:pPr>
            <w:r>
              <w:rPr>
                <w:noProof/>
              </w:rPr>
              <w:t>Objava neovisnog preispitivanja specijaliziranih sudova na internetu</w:t>
            </w:r>
          </w:p>
        </w:tc>
        <w:tc>
          <w:tcPr>
            <w:tcW w:w="924" w:type="dxa"/>
            <w:shd w:val="clear" w:color="auto" w:fill="C6EFCE"/>
            <w:vAlign w:val="center"/>
            <w:hideMark/>
          </w:tcPr>
          <w:p w14:paraId="7A539226"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227"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228"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229"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09" w:type="dxa"/>
            <w:shd w:val="clear" w:color="auto" w:fill="C6EFCE"/>
            <w:vAlign w:val="center"/>
            <w:hideMark/>
          </w:tcPr>
          <w:p w14:paraId="7A53922A" w14:textId="77777777" w:rsidR="008273B8" w:rsidRDefault="00B93063">
            <w:pPr>
              <w:pStyle w:val="P68B1DB1-Normal7"/>
              <w:spacing w:after="0" w:line="240" w:lineRule="auto"/>
              <w:jc w:val="center"/>
              <w:rPr>
                <w:rFonts w:eastAsia="Times New Roman" w:cs="Calibri"/>
                <w:noProof/>
              </w:rPr>
            </w:pPr>
            <w:r>
              <w:rPr>
                <w:noProof/>
              </w:rPr>
              <w:t>2024</w:t>
            </w:r>
          </w:p>
        </w:tc>
        <w:tc>
          <w:tcPr>
            <w:tcW w:w="5074" w:type="dxa"/>
            <w:shd w:val="clear" w:color="auto" w:fill="C6EFCE"/>
            <w:vAlign w:val="center"/>
            <w:hideMark/>
          </w:tcPr>
          <w:p w14:paraId="7A53922B" w14:textId="77777777" w:rsidR="008273B8" w:rsidRDefault="00B93063">
            <w:pPr>
              <w:pStyle w:val="P68B1DB1-Normal7"/>
              <w:spacing w:after="0" w:line="240" w:lineRule="auto"/>
              <w:rPr>
                <w:rFonts w:eastAsia="Times New Roman" w:cs="Calibri"/>
                <w:noProof/>
              </w:rPr>
            </w:pPr>
            <w:r>
              <w:rPr>
                <w:noProof/>
              </w:rPr>
              <w:t xml:space="preserve">Neovisni izvođač angažira se u okviru postupaka javne nabave kako bi se ocijenila neovisnost specijaliziranih sudova na nacionalnoj razini. Ta se procjena provodi u komunikaciji s Venecijanskom komisijom Vijeća Europe. </w:t>
            </w:r>
          </w:p>
        </w:tc>
      </w:tr>
      <w:tr w:rsidR="008273B8" w14:paraId="7A539238" w14:textId="77777777">
        <w:trPr>
          <w:cantSplit/>
          <w:jc w:val="center"/>
        </w:trPr>
        <w:tc>
          <w:tcPr>
            <w:tcW w:w="1150" w:type="dxa"/>
            <w:shd w:val="clear" w:color="auto" w:fill="C6EFCE"/>
            <w:vAlign w:val="center"/>
            <w:hideMark/>
          </w:tcPr>
          <w:p w14:paraId="7A53922D" w14:textId="77777777" w:rsidR="008273B8" w:rsidRDefault="00B93063">
            <w:pPr>
              <w:pStyle w:val="P68B1DB1-Normal7"/>
              <w:spacing w:after="0" w:line="240" w:lineRule="auto"/>
              <w:rPr>
                <w:rFonts w:eastAsia="Times New Roman" w:cs="Calibri"/>
                <w:noProof/>
              </w:rPr>
            </w:pPr>
            <w:r>
              <w:rPr>
                <w:noProof/>
              </w:rPr>
              <w:t>6.4</w:t>
            </w:r>
          </w:p>
        </w:tc>
        <w:tc>
          <w:tcPr>
            <w:tcW w:w="1172" w:type="dxa"/>
            <w:shd w:val="clear" w:color="auto" w:fill="C6EFCE"/>
            <w:vAlign w:val="center"/>
            <w:hideMark/>
          </w:tcPr>
          <w:p w14:paraId="7A53922E" w14:textId="77777777" w:rsidR="008273B8" w:rsidRDefault="00B93063">
            <w:pPr>
              <w:pStyle w:val="P68B1DB1-Normal7"/>
              <w:spacing w:after="0" w:line="240" w:lineRule="auto"/>
              <w:rPr>
                <w:rFonts w:eastAsia="Times New Roman" w:cs="Calibri"/>
                <w:noProof/>
              </w:rPr>
            </w:pPr>
            <w:r>
              <w:rPr>
                <w:noProof/>
              </w:rPr>
              <w:t xml:space="preserve">C6.R.1 </w:t>
            </w:r>
          </w:p>
        </w:tc>
        <w:tc>
          <w:tcPr>
            <w:tcW w:w="1015" w:type="dxa"/>
            <w:shd w:val="clear" w:color="auto" w:fill="C6EFCE"/>
            <w:vAlign w:val="center"/>
            <w:hideMark/>
          </w:tcPr>
          <w:p w14:paraId="7A53922F"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230" w14:textId="77777777" w:rsidR="008273B8" w:rsidRDefault="00B93063">
            <w:pPr>
              <w:pStyle w:val="P68B1DB1-Normal7"/>
              <w:spacing w:after="0" w:line="240" w:lineRule="auto"/>
              <w:rPr>
                <w:rFonts w:eastAsia="Times New Roman" w:cs="Calibri"/>
                <w:noProof/>
              </w:rPr>
            </w:pPr>
            <w:r>
              <w:rPr>
                <w:noProof/>
              </w:rPr>
              <w:t>Stupanje na snagu zakonodavnih izmjena koje se smatraju potrebnima na temelju neovisnog preispitivanja neovisnosti specijaliziranih sudova</w:t>
            </w:r>
          </w:p>
        </w:tc>
        <w:tc>
          <w:tcPr>
            <w:tcW w:w="2031" w:type="dxa"/>
            <w:shd w:val="clear" w:color="auto" w:fill="C6EFCE"/>
            <w:vAlign w:val="center"/>
            <w:hideMark/>
          </w:tcPr>
          <w:p w14:paraId="7A539231" w14:textId="77777777" w:rsidR="008273B8" w:rsidRDefault="00B93063">
            <w:pPr>
              <w:pStyle w:val="P68B1DB1-Normal7"/>
              <w:spacing w:after="0" w:line="240" w:lineRule="auto"/>
              <w:rPr>
                <w:rFonts w:eastAsia="Times New Roman" w:cs="Calibri"/>
                <w:noProof/>
              </w:rPr>
            </w:pPr>
            <w:r>
              <w:rPr>
                <w:noProof/>
              </w:rPr>
              <w:t>Odredba zakona o stupanju na snagu zakona kojim se uvode zakonodavne promjene koje se smatraju potrebnima na temelju neovisnog preispitivanja specijaliziranih sudova</w:t>
            </w:r>
          </w:p>
        </w:tc>
        <w:tc>
          <w:tcPr>
            <w:tcW w:w="924" w:type="dxa"/>
            <w:shd w:val="clear" w:color="auto" w:fill="C6EFCE"/>
            <w:vAlign w:val="center"/>
            <w:hideMark/>
          </w:tcPr>
          <w:p w14:paraId="7A539232"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233"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234"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235" w14:textId="77777777" w:rsidR="008273B8" w:rsidRDefault="00B93063">
            <w:pPr>
              <w:pStyle w:val="P68B1DB1-Normal7"/>
              <w:spacing w:after="0" w:line="240" w:lineRule="auto"/>
              <w:jc w:val="center"/>
              <w:rPr>
                <w:rFonts w:eastAsia="Times New Roman" w:cs="Calibri"/>
                <w:noProof/>
              </w:rPr>
            </w:pPr>
            <w:r>
              <w:rPr>
                <w:noProof/>
              </w:rPr>
              <w:t>PRVO TROMJESEČJE</w:t>
            </w:r>
          </w:p>
        </w:tc>
        <w:tc>
          <w:tcPr>
            <w:tcW w:w="709" w:type="dxa"/>
            <w:shd w:val="clear" w:color="auto" w:fill="C6EFCE"/>
            <w:vAlign w:val="center"/>
            <w:hideMark/>
          </w:tcPr>
          <w:p w14:paraId="7A539236" w14:textId="77777777" w:rsidR="008273B8" w:rsidRDefault="00B93063">
            <w:pPr>
              <w:pStyle w:val="P68B1DB1-Normal7"/>
              <w:spacing w:after="0" w:line="240" w:lineRule="auto"/>
              <w:jc w:val="center"/>
              <w:rPr>
                <w:rFonts w:eastAsia="Times New Roman" w:cs="Calibri"/>
                <w:noProof/>
              </w:rPr>
            </w:pPr>
            <w:r>
              <w:rPr>
                <w:noProof/>
              </w:rPr>
              <w:t>2026</w:t>
            </w:r>
          </w:p>
        </w:tc>
        <w:tc>
          <w:tcPr>
            <w:tcW w:w="5074" w:type="dxa"/>
            <w:shd w:val="clear" w:color="auto" w:fill="C6EFCE"/>
            <w:vAlign w:val="center"/>
            <w:hideMark/>
          </w:tcPr>
          <w:p w14:paraId="7A539237" w14:textId="77777777" w:rsidR="008273B8" w:rsidRDefault="00B93063">
            <w:pPr>
              <w:pStyle w:val="P68B1DB1-Normal7"/>
              <w:spacing w:after="0" w:line="240" w:lineRule="auto"/>
              <w:rPr>
                <w:rFonts w:eastAsia="Times New Roman" w:cs="Calibri"/>
                <w:noProof/>
              </w:rPr>
            </w:pPr>
            <w:r>
              <w:rPr>
                <w:noProof/>
              </w:rPr>
              <w:t xml:space="preserve">Zakonodavnim izmjenama poduzimaju se korektivne mjere na temelju nalaza/preporuka neovisnog preispitivanja neovisnosti specijaliziranih sudova. </w:t>
            </w:r>
          </w:p>
        </w:tc>
      </w:tr>
      <w:tr w:rsidR="008273B8" w14:paraId="7A539244" w14:textId="77777777">
        <w:trPr>
          <w:cantSplit/>
          <w:jc w:val="center"/>
        </w:trPr>
        <w:tc>
          <w:tcPr>
            <w:tcW w:w="1150" w:type="dxa"/>
            <w:shd w:val="clear" w:color="auto" w:fill="C6EFCE"/>
            <w:vAlign w:val="center"/>
            <w:hideMark/>
          </w:tcPr>
          <w:p w14:paraId="7A539239" w14:textId="77777777" w:rsidR="008273B8" w:rsidRDefault="00B93063">
            <w:pPr>
              <w:pStyle w:val="P68B1DB1-Normal7"/>
              <w:spacing w:after="0" w:line="240" w:lineRule="auto"/>
              <w:rPr>
                <w:rFonts w:eastAsia="Times New Roman" w:cs="Calibri"/>
                <w:noProof/>
              </w:rPr>
            </w:pPr>
            <w:r>
              <w:rPr>
                <w:noProof/>
              </w:rPr>
              <w:t>6.5</w:t>
            </w:r>
          </w:p>
        </w:tc>
        <w:tc>
          <w:tcPr>
            <w:tcW w:w="1172" w:type="dxa"/>
            <w:shd w:val="clear" w:color="auto" w:fill="C6EFCE"/>
            <w:vAlign w:val="center"/>
            <w:hideMark/>
          </w:tcPr>
          <w:p w14:paraId="7A53923A" w14:textId="77777777" w:rsidR="008273B8" w:rsidRDefault="00B93063">
            <w:pPr>
              <w:pStyle w:val="P68B1DB1-Normal7"/>
              <w:spacing w:after="0" w:line="240" w:lineRule="auto"/>
              <w:rPr>
                <w:rFonts w:eastAsia="Times New Roman" w:cs="Calibri"/>
                <w:noProof/>
              </w:rPr>
            </w:pPr>
            <w:r>
              <w:rPr>
                <w:noProof/>
              </w:rPr>
              <w:t xml:space="preserve">C6.R.2 </w:t>
            </w:r>
          </w:p>
        </w:tc>
        <w:tc>
          <w:tcPr>
            <w:tcW w:w="1015" w:type="dxa"/>
            <w:shd w:val="clear" w:color="auto" w:fill="C6EFCE"/>
            <w:vAlign w:val="center"/>
            <w:hideMark/>
          </w:tcPr>
          <w:p w14:paraId="7A53923B"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23C" w14:textId="77777777" w:rsidR="008273B8" w:rsidRDefault="00B93063">
            <w:pPr>
              <w:pStyle w:val="P68B1DB1-Normal7"/>
              <w:spacing w:after="0" w:line="240" w:lineRule="auto"/>
              <w:rPr>
                <w:rFonts w:eastAsia="Times New Roman" w:cs="Calibri"/>
                <w:noProof/>
              </w:rPr>
            </w:pPr>
            <w:r>
              <w:rPr>
                <w:noProof/>
              </w:rPr>
              <w:t>Neovisno preispitivanje prijenosa skraćenih predmeta s policije na Ured glavnog državnog odvjetnika (AG)</w:t>
            </w:r>
          </w:p>
        </w:tc>
        <w:tc>
          <w:tcPr>
            <w:tcW w:w="2031" w:type="dxa"/>
            <w:shd w:val="clear" w:color="auto" w:fill="C6EFCE"/>
            <w:vAlign w:val="center"/>
            <w:hideMark/>
          </w:tcPr>
          <w:p w14:paraId="7A53923D" w14:textId="77777777" w:rsidR="008273B8" w:rsidRDefault="00B93063">
            <w:pPr>
              <w:pStyle w:val="P68B1DB1-Normal7"/>
              <w:spacing w:after="0" w:line="240" w:lineRule="auto"/>
              <w:rPr>
                <w:rFonts w:eastAsia="Times New Roman" w:cs="Calibri"/>
                <w:noProof/>
              </w:rPr>
            </w:pPr>
            <w:r>
              <w:rPr>
                <w:noProof/>
              </w:rPr>
              <w:t xml:space="preserve">Objava sažetka neovisnog pregleda o prijenosu skraćenih predmeta iz policije u Ured AG-a na internetu. </w:t>
            </w:r>
          </w:p>
        </w:tc>
        <w:tc>
          <w:tcPr>
            <w:tcW w:w="924" w:type="dxa"/>
            <w:shd w:val="clear" w:color="auto" w:fill="C6EFCE"/>
            <w:vAlign w:val="center"/>
            <w:hideMark/>
          </w:tcPr>
          <w:p w14:paraId="7A53923E"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23F"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240"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241"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09" w:type="dxa"/>
            <w:shd w:val="clear" w:color="auto" w:fill="C6EFCE"/>
            <w:vAlign w:val="center"/>
            <w:hideMark/>
          </w:tcPr>
          <w:p w14:paraId="7A539242" w14:textId="77777777" w:rsidR="008273B8" w:rsidRDefault="00B93063">
            <w:pPr>
              <w:pStyle w:val="P68B1DB1-Normal7"/>
              <w:spacing w:after="0" w:line="240" w:lineRule="auto"/>
              <w:jc w:val="center"/>
              <w:rPr>
                <w:rFonts w:eastAsia="Times New Roman" w:cs="Calibri"/>
                <w:noProof/>
              </w:rPr>
            </w:pPr>
            <w:r>
              <w:rPr>
                <w:noProof/>
              </w:rPr>
              <w:t>2024</w:t>
            </w:r>
          </w:p>
        </w:tc>
        <w:tc>
          <w:tcPr>
            <w:tcW w:w="5074" w:type="dxa"/>
            <w:shd w:val="clear" w:color="auto" w:fill="C6EFCE"/>
            <w:vAlign w:val="center"/>
            <w:hideMark/>
          </w:tcPr>
          <w:p w14:paraId="7A539243" w14:textId="77777777" w:rsidR="008273B8" w:rsidRDefault="00B93063">
            <w:pPr>
              <w:pStyle w:val="P68B1DB1-Normal9"/>
              <w:spacing w:after="0" w:line="240" w:lineRule="auto"/>
              <w:rPr>
                <w:rFonts w:eastAsia="Times New Roman"/>
                <w:noProof/>
              </w:rPr>
            </w:pPr>
            <w:r>
              <w:rPr>
                <w:noProof/>
              </w:rPr>
              <w:t xml:space="preserve">Neovisni ugovorni suradnik provodi preispitivanje prijenosa kaznenog progona manje teških kaznenih djela s policije na Ured glavnog državnog odvjetnika nakon stupanja na snagu </w:t>
            </w:r>
            <w:r>
              <w:rPr>
                <w:i/>
                <w:noProof/>
              </w:rPr>
              <w:t xml:space="preserve">Pravilnika o kaznenim djelima (prijelazne odredbe) </w:t>
            </w:r>
            <w:r>
              <w:rPr>
                <w:noProof/>
              </w:rPr>
              <w:t>iz 2020. (L.N. 378 iz 2020.). Preispitivanjem se oblikuju opcije politike i preporuke za premještanje preostalih slučajeva (tj. sažetih slučajeva). Dijeli se s Europskom komisijom.</w:t>
            </w:r>
          </w:p>
        </w:tc>
      </w:tr>
      <w:tr w:rsidR="008273B8" w14:paraId="7A539250" w14:textId="77777777">
        <w:trPr>
          <w:cantSplit/>
          <w:jc w:val="center"/>
        </w:trPr>
        <w:tc>
          <w:tcPr>
            <w:tcW w:w="1150" w:type="dxa"/>
            <w:shd w:val="clear" w:color="auto" w:fill="C6EFCE"/>
            <w:vAlign w:val="center"/>
            <w:hideMark/>
          </w:tcPr>
          <w:p w14:paraId="7A539245" w14:textId="77777777" w:rsidR="008273B8" w:rsidRDefault="00B93063">
            <w:pPr>
              <w:pStyle w:val="P68B1DB1-Normal7"/>
              <w:spacing w:after="0" w:line="240" w:lineRule="auto"/>
              <w:rPr>
                <w:rFonts w:eastAsia="Times New Roman" w:cs="Calibri"/>
                <w:noProof/>
              </w:rPr>
            </w:pPr>
            <w:r>
              <w:rPr>
                <w:noProof/>
              </w:rPr>
              <w:t>6.6</w:t>
            </w:r>
          </w:p>
        </w:tc>
        <w:tc>
          <w:tcPr>
            <w:tcW w:w="1172" w:type="dxa"/>
            <w:shd w:val="clear" w:color="auto" w:fill="C6EFCE"/>
            <w:vAlign w:val="center"/>
            <w:hideMark/>
          </w:tcPr>
          <w:p w14:paraId="7A539246" w14:textId="77777777" w:rsidR="008273B8" w:rsidRDefault="00B93063">
            <w:pPr>
              <w:pStyle w:val="P68B1DB1-Normal7"/>
              <w:spacing w:after="0" w:line="240" w:lineRule="auto"/>
              <w:rPr>
                <w:rFonts w:eastAsia="Times New Roman" w:cs="Calibri"/>
                <w:noProof/>
              </w:rPr>
            </w:pPr>
            <w:r>
              <w:rPr>
                <w:noProof/>
              </w:rPr>
              <w:t xml:space="preserve">C6.R.2 </w:t>
            </w:r>
          </w:p>
        </w:tc>
        <w:tc>
          <w:tcPr>
            <w:tcW w:w="1015" w:type="dxa"/>
            <w:shd w:val="clear" w:color="auto" w:fill="C6EFCE"/>
            <w:vAlign w:val="center"/>
            <w:hideMark/>
          </w:tcPr>
          <w:p w14:paraId="7A539247"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248" w14:textId="77777777" w:rsidR="008273B8" w:rsidRDefault="00B93063">
            <w:pPr>
              <w:pStyle w:val="P68B1DB1-Normal7"/>
              <w:spacing w:after="0" w:line="240" w:lineRule="auto"/>
              <w:rPr>
                <w:rFonts w:eastAsia="Times New Roman" w:cs="Calibri"/>
                <w:noProof/>
              </w:rPr>
            </w:pPr>
            <w:r>
              <w:rPr>
                <w:noProof/>
              </w:rPr>
              <w:t>Stupanje na snagu zakonodavnih izmjena koje se smatraju potrebnima na temelju neovisnog preispitivanja prijenosa skraćenih predmeta iz policije u Ured AG-a</w:t>
            </w:r>
          </w:p>
        </w:tc>
        <w:tc>
          <w:tcPr>
            <w:tcW w:w="2031" w:type="dxa"/>
            <w:shd w:val="clear" w:color="auto" w:fill="C6EFCE"/>
            <w:vAlign w:val="center"/>
            <w:hideMark/>
          </w:tcPr>
          <w:p w14:paraId="7A539249" w14:textId="77777777" w:rsidR="008273B8" w:rsidRDefault="00B93063">
            <w:pPr>
              <w:pStyle w:val="P68B1DB1-Normal7"/>
              <w:spacing w:after="0" w:line="240" w:lineRule="auto"/>
              <w:rPr>
                <w:rFonts w:eastAsia="Times New Roman" w:cs="Calibri"/>
                <w:noProof/>
              </w:rPr>
            </w:pPr>
            <w:r>
              <w:rPr>
                <w:noProof/>
              </w:rPr>
              <w:t>Stupanje na snagu pravnih izmjena koje se smatraju potrebnima na temelju neovisnog preispitivanja prijenosa skraćenih predmeta iz policije u Ured AG-a</w:t>
            </w:r>
          </w:p>
        </w:tc>
        <w:tc>
          <w:tcPr>
            <w:tcW w:w="924" w:type="dxa"/>
            <w:shd w:val="clear" w:color="auto" w:fill="C6EFCE"/>
            <w:vAlign w:val="center"/>
            <w:hideMark/>
          </w:tcPr>
          <w:p w14:paraId="7A53924A"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24B"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24C"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24D" w14:textId="77777777" w:rsidR="008273B8" w:rsidRDefault="00B93063">
            <w:pPr>
              <w:pStyle w:val="P68B1DB1-Normal7"/>
              <w:spacing w:after="0" w:line="240" w:lineRule="auto"/>
              <w:jc w:val="center"/>
              <w:rPr>
                <w:rFonts w:eastAsia="Times New Roman" w:cs="Calibri"/>
                <w:noProof/>
              </w:rPr>
            </w:pPr>
            <w:r>
              <w:rPr>
                <w:noProof/>
              </w:rPr>
              <w:t>PRVO TROMJESEČJE</w:t>
            </w:r>
          </w:p>
        </w:tc>
        <w:tc>
          <w:tcPr>
            <w:tcW w:w="709" w:type="dxa"/>
            <w:shd w:val="clear" w:color="auto" w:fill="C6EFCE"/>
            <w:vAlign w:val="center"/>
            <w:hideMark/>
          </w:tcPr>
          <w:p w14:paraId="7A53924E" w14:textId="77777777" w:rsidR="008273B8" w:rsidRDefault="00B93063">
            <w:pPr>
              <w:pStyle w:val="P68B1DB1-Normal7"/>
              <w:spacing w:after="0" w:line="240" w:lineRule="auto"/>
              <w:jc w:val="center"/>
              <w:rPr>
                <w:rFonts w:eastAsia="Times New Roman" w:cs="Calibri"/>
                <w:noProof/>
              </w:rPr>
            </w:pPr>
            <w:r>
              <w:rPr>
                <w:noProof/>
              </w:rPr>
              <w:t>2026</w:t>
            </w:r>
          </w:p>
        </w:tc>
        <w:tc>
          <w:tcPr>
            <w:tcW w:w="5074" w:type="dxa"/>
            <w:shd w:val="clear" w:color="auto" w:fill="C6EFCE"/>
            <w:vAlign w:val="center"/>
            <w:hideMark/>
          </w:tcPr>
          <w:p w14:paraId="7A53924F" w14:textId="77777777" w:rsidR="008273B8" w:rsidRDefault="00B93063">
            <w:pPr>
              <w:pStyle w:val="P68B1DB1-Normal7"/>
              <w:spacing w:after="0" w:line="240" w:lineRule="auto"/>
              <w:rPr>
                <w:rFonts w:eastAsia="Times New Roman" w:cs="Calibri"/>
                <w:noProof/>
              </w:rPr>
            </w:pPr>
            <w:r>
              <w:rPr>
                <w:noProof/>
              </w:rPr>
              <w:t>Zakonodavne izmjene temelje se na nalazima/preporukama iz neovisnog preispitivanja prijenosa skraćenih predmeta s policije na Ured glavnog državnog odvjetnika.</w:t>
            </w:r>
          </w:p>
        </w:tc>
      </w:tr>
      <w:tr w:rsidR="008273B8" w14:paraId="7A53925C" w14:textId="77777777">
        <w:trPr>
          <w:cantSplit/>
          <w:jc w:val="center"/>
        </w:trPr>
        <w:tc>
          <w:tcPr>
            <w:tcW w:w="1150" w:type="dxa"/>
            <w:shd w:val="clear" w:color="auto" w:fill="C6EFCE"/>
            <w:vAlign w:val="center"/>
            <w:hideMark/>
          </w:tcPr>
          <w:p w14:paraId="7A539251" w14:textId="77777777" w:rsidR="008273B8" w:rsidRDefault="00B93063">
            <w:pPr>
              <w:pStyle w:val="P68B1DB1-Normal7"/>
              <w:spacing w:after="0" w:line="240" w:lineRule="auto"/>
              <w:rPr>
                <w:rFonts w:eastAsia="Times New Roman" w:cs="Calibri"/>
                <w:noProof/>
              </w:rPr>
            </w:pPr>
            <w:r>
              <w:rPr>
                <w:noProof/>
              </w:rPr>
              <w:t>6.7</w:t>
            </w:r>
          </w:p>
        </w:tc>
        <w:tc>
          <w:tcPr>
            <w:tcW w:w="1172" w:type="dxa"/>
            <w:shd w:val="clear" w:color="auto" w:fill="C6EFCE"/>
            <w:vAlign w:val="center"/>
            <w:hideMark/>
          </w:tcPr>
          <w:p w14:paraId="7A539252" w14:textId="77777777" w:rsidR="008273B8" w:rsidRDefault="00B93063">
            <w:pPr>
              <w:pStyle w:val="P68B1DB1-Normal7"/>
              <w:spacing w:after="0" w:line="240" w:lineRule="auto"/>
              <w:rPr>
                <w:rFonts w:eastAsia="Times New Roman" w:cs="Calibri"/>
                <w:noProof/>
              </w:rPr>
            </w:pPr>
            <w:r>
              <w:rPr>
                <w:noProof/>
              </w:rPr>
              <w:t xml:space="preserve">C6.R.2 </w:t>
            </w:r>
          </w:p>
        </w:tc>
        <w:tc>
          <w:tcPr>
            <w:tcW w:w="1015" w:type="dxa"/>
            <w:shd w:val="clear" w:color="auto" w:fill="C6EFCE"/>
            <w:vAlign w:val="center"/>
            <w:hideMark/>
          </w:tcPr>
          <w:p w14:paraId="7A539253" w14:textId="77777777" w:rsidR="008273B8" w:rsidRDefault="00B93063">
            <w:pPr>
              <w:pStyle w:val="P68B1DB1-Normal7"/>
              <w:spacing w:after="0" w:line="240" w:lineRule="auto"/>
              <w:rPr>
                <w:rFonts w:eastAsia="Times New Roman" w:cs="Calibri"/>
                <w:noProof/>
              </w:rPr>
            </w:pPr>
            <w:r>
              <w:rPr>
                <w:noProof/>
              </w:rPr>
              <w:t>Ciljna vrijednost</w:t>
            </w:r>
          </w:p>
        </w:tc>
        <w:tc>
          <w:tcPr>
            <w:tcW w:w="1595" w:type="dxa"/>
            <w:shd w:val="clear" w:color="auto" w:fill="C6EFCE"/>
            <w:vAlign w:val="center"/>
            <w:hideMark/>
          </w:tcPr>
          <w:p w14:paraId="7A539254" w14:textId="77777777" w:rsidR="008273B8" w:rsidRDefault="00B93063">
            <w:pPr>
              <w:pStyle w:val="P68B1DB1-Normal7"/>
              <w:spacing w:after="0" w:line="240" w:lineRule="auto"/>
              <w:rPr>
                <w:rFonts w:eastAsia="Times New Roman" w:cs="Calibri"/>
                <w:noProof/>
              </w:rPr>
            </w:pPr>
            <w:r>
              <w:rPr>
                <w:noProof/>
              </w:rPr>
              <w:t>Izgradnja kapaciteta u Uredu AG-a</w:t>
            </w:r>
          </w:p>
        </w:tc>
        <w:tc>
          <w:tcPr>
            <w:tcW w:w="2031" w:type="dxa"/>
            <w:shd w:val="clear" w:color="auto" w:fill="C6EFCE"/>
            <w:vAlign w:val="center"/>
            <w:hideMark/>
          </w:tcPr>
          <w:p w14:paraId="7A539255" w14:textId="77777777" w:rsidR="008273B8" w:rsidRDefault="00B93063">
            <w:pPr>
              <w:pStyle w:val="P68B1DB1-Normal7"/>
              <w:spacing w:after="0" w:line="240" w:lineRule="auto"/>
              <w:rPr>
                <w:rFonts w:eastAsia="Times New Roman" w:cs="Calibri"/>
                <w:noProof/>
              </w:rPr>
            </w:pPr>
            <w:r>
              <w:rPr>
                <w:noProof/>
              </w:rPr>
              <w:t> </w:t>
            </w:r>
          </w:p>
        </w:tc>
        <w:tc>
          <w:tcPr>
            <w:tcW w:w="924" w:type="dxa"/>
            <w:shd w:val="clear" w:color="auto" w:fill="C6EFCE"/>
            <w:vAlign w:val="center"/>
            <w:hideMark/>
          </w:tcPr>
          <w:p w14:paraId="7A539256" w14:textId="77777777" w:rsidR="008273B8" w:rsidRDefault="00B93063">
            <w:pPr>
              <w:pStyle w:val="P68B1DB1-Normal7"/>
              <w:spacing w:after="0" w:line="240" w:lineRule="auto"/>
              <w:jc w:val="center"/>
              <w:rPr>
                <w:rFonts w:eastAsia="Times New Roman" w:cs="Calibri"/>
                <w:noProof/>
              </w:rPr>
            </w:pPr>
            <w:r>
              <w:rPr>
                <w:noProof/>
              </w:rPr>
              <w:t>Broj</w:t>
            </w:r>
          </w:p>
        </w:tc>
        <w:tc>
          <w:tcPr>
            <w:tcW w:w="915" w:type="dxa"/>
            <w:shd w:val="clear" w:color="auto" w:fill="C6EFCE"/>
            <w:vAlign w:val="center"/>
            <w:hideMark/>
          </w:tcPr>
          <w:p w14:paraId="7A539257" w14:textId="115A42B2" w:rsidR="008273B8" w:rsidRDefault="00B93063">
            <w:pPr>
              <w:pStyle w:val="P68B1DB1-Normal7"/>
              <w:spacing w:after="0" w:line="240" w:lineRule="auto"/>
              <w:jc w:val="center"/>
              <w:rPr>
                <w:rFonts w:eastAsia="Times New Roman" w:cs="Calibri"/>
                <w:noProof/>
              </w:rPr>
            </w:pPr>
            <w:r>
              <w:rPr>
                <w:noProof/>
              </w:rPr>
              <w:t>56</w:t>
            </w:r>
          </w:p>
        </w:tc>
        <w:tc>
          <w:tcPr>
            <w:tcW w:w="974" w:type="dxa"/>
            <w:shd w:val="clear" w:color="auto" w:fill="C6EFCE"/>
            <w:vAlign w:val="center"/>
            <w:hideMark/>
          </w:tcPr>
          <w:p w14:paraId="7A539258" w14:textId="4EBD52DF" w:rsidR="008273B8" w:rsidRDefault="00B93063">
            <w:pPr>
              <w:pStyle w:val="P68B1DB1-Normal7"/>
              <w:spacing w:after="0" w:line="240" w:lineRule="auto"/>
              <w:jc w:val="center"/>
              <w:rPr>
                <w:rFonts w:eastAsia="Times New Roman" w:cs="Calibri"/>
                <w:noProof/>
              </w:rPr>
            </w:pPr>
            <w:r>
              <w:rPr>
                <w:noProof/>
              </w:rPr>
              <w:t xml:space="preserve"> 87</w:t>
            </w:r>
          </w:p>
        </w:tc>
        <w:tc>
          <w:tcPr>
            <w:tcW w:w="709" w:type="dxa"/>
            <w:shd w:val="clear" w:color="auto" w:fill="C6EFCE"/>
            <w:vAlign w:val="center"/>
            <w:hideMark/>
          </w:tcPr>
          <w:p w14:paraId="7A539259"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09" w:type="dxa"/>
            <w:shd w:val="clear" w:color="auto" w:fill="C6EFCE"/>
            <w:vAlign w:val="center"/>
            <w:hideMark/>
          </w:tcPr>
          <w:p w14:paraId="7A53925A" w14:textId="77777777" w:rsidR="008273B8" w:rsidRDefault="00B93063">
            <w:pPr>
              <w:pStyle w:val="P68B1DB1-Normal7"/>
              <w:spacing w:after="0" w:line="240" w:lineRule="auto"/>
              <w:jc w:val="center"/>
              <w:rPr>
                <w:rFonts w:eastAsia="Times New Roman" w:cs="Calibri"/>
                <w:noProof/>
              </w:rPr>
            </w:pPr>
            <w:r>
              <w:rPr>
                <w:noProof/>
              </w:rPr>
              <w:t>2022</w:t>
            </w:r>
          </w:p>
        </w:tc>
        <w:tc>
          <w:tcPr>
            <w:tcW w:w="5074" w:type="dxa"/>
            <w:shd w:val="clear" w:color="auto" w:fill="C6EFCE"/>
            <w:vAlign w:val="center"/>
            <w:hideMark/>
          </w:tcPr>
          <w:p w14:paraId="7A53925B" w14:textId="77777777" w:rsidR="008273B8" w:rsidRDefault="00B93063">
            <w:pPr>
              <w:pStyle w:val="P68B1DB1-Normal7"/>
              <w:spacing w:after="0" w:line="240" w:lineRule="auto"/>
              <w:rPr>
                <w:rFonts w:eastAsia="Times New Roman" w:cs="Calibri"/>
                <w:noProof/>
              </w:rPr>
            </w:pPr>
            <w:r>
              <w:rPr>
                <w:noProof/>
              </w:rPr>
              <w:t xml:space="preserve">Prema Planu za ljudske resurse Ureda glavnog državnog odvjetnika (2021.), do kraja 2022. u Uredu će biti zaposlen ukupno 31 novi službenik. Oni uključuju dodavanje novih odvjetnika, pravnih službenika, rukovoditelja, uključujući više rukovoditelje, službenika za IKT te drugog administrativnog i pomoćnog osoblja. </w:t>
            </w:r>
          </w:p>
        </w:tc>
      </w:tr>
      <w:tr w:rsidR="008273B8" w14:paraId="7A539268" w14:textId="77777777">
        <w:trPr>
          <w:cantSplit/>
          <w:jc w:val="center"/>
        </w:trPr>
        <w:tc>
          <w:tcPr>
            <w:tcW w:w="1150" w:type="dxa"/>
            <w:shd w:val="clear" w:color="auto" w:fill="C6EFCE"/>
            <w:vAlign w:val="center"/>
            <w:hideMark/>
          </w:tcPr>
          <w:p w14:paraId="7A53925D" w14:textId="77777777" w:rsidR="008273B8" w:rsidRDefault="00B93063">
            <w:pPr>
              <w:pStyle w:val="P68B1DB1-Normal7"/>
              <w:spacing w:after="0" w:line="240" w:lineRule="auto"/>
              <w:rPr>
                <w:rFonts w:eastAsia="Times New Roman" w:cs="Calibri"/>
                <w:noProof/>
              </w:rPr>
            </w:pPr>
            <w:r>
              <w:rPr>
                <w:noProof/>
              </w:rPr>
              <w:t>6.8</w:t>
            </w:r>
          </w:p>
        </w:tc>
        <w:tc>
          <w:tcPr>
            <w:tcW w:w="1172" w:type="dxa"/>
            <w:shd w:val="clear" w:color="auto" w:fill="C6EFCE"/>
            <w:vAlign w:val="center"/>
            <w:hideMark/>
          </w:tcPr>
          <w:p w14:paraId="7A53925E" w14:textId="77777777" w:rsidR="008273B8" w:rsidRDefault="00B93063">
            <w:pPr>
              <w:pStyle w:val="P68B1DB1-Normal7"/>
              <w:spacing w:after="0" w:line="240" w:lineRule="auto"/>
              <w:rPr>
                <w:rFonts w:eastAsia="Times New Roman" w:cs="Calibri"/>
                <w:noProof/>
              </w:rPr>
            </w:pPr>
            <w:r>
              <w:rPr>
                <w:noProof/>
              </w:rPr>
              <w:t xml:space="preserve">C6.R.2 </w:t>
            </w:r>
          </w:p>
        </w:tc>
        <w:tc>
          <w:tcPr>
            <w:tcW w:w="1015" w:type="dxa"/>
            <w:shd w:val="clear" w:color="auto" w:fill="C6EFCE"/>
            <w:vAlign w:val="center"/>
            <w:hideMark/>
          </w:tcPr>
          <w:p w14:paraId="7A53925F"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260" w14:textId="77777777" w:rsidR="008273B8" w:rsidRDefault="00B93063">
            <w:pPr>
              <w:pStyle w:val="P68B1DB1-Normal7"/>
              <w:spacing w:after="0" w:line="240" w:lineRule="auto"/>
              <w:rPr>
                <w:rFonts w:eastAsia="Times New Roman" w:cs="Calibri"/>
                <w:noProof/>
              </w:rPr>
            </w:pPr>
            <w:r>
              <w:rPr>
                <w:noProof/>
              </w:rPr>
              <w:t>Prijenos svih predmeta koji nisu sažeti u Ured AG-a.</w:t>
            </w:r>
          </w:p>
        </w:tc>
        <w:tc>
          <w:tcPr>
            <w:tcW w:w="2031" w:type="dxa"/>
            <w:shd w:val="clear" w:color="auto" w:fill="C6EFCE"/>
            <w:vAlign w:val="center"/>
            <w:hideMark/>
          </w:tcPr>
          <w:p w14:paraId="7A539261" w14:textId="77777777" w:rsidR="008273B8" w:rsidRDefault="00B93063">
            <w:pPr>
              <w:pStyle w:val="P68B1DB1-Normal7"/>
              <w:spacing w:after="0" w:line="240" w:lineRule="auto"/>
              <w:rPr>
                <w:rFonts w:eastAsia="Times New Roman" w:cs="Calibri"/>
                <w:noProof/>
              </w:rPr>
            </w:pPr>
            <w:r>
              <w:rPr>
                <w:noProof/>
              </w:rPr>
              <w:t>Prijenos svih predmeta koji nisu sažeti u Ured AG-a.</w:t>
            </w:r>
          </w:p>
        </w:tc>
        <w:tc>
          <w:tcPr>
            <w:tcW w:w="924" w:type="dxa"/>
            <w:shd w:val="clear" w:color="auto" w:fill="C6EFCE"/>
            <w:vAlign w:val="center"/>
            <w:hideMark/>
          </w:tcPr>
          <w:p w14:paraId="7A539262"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263"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264"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265"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09" w:type="dxa"/>
            <w:shd w:val="clear" w:color="auto" w:fill="C6EFCE"/>
            <w:vAlign w:val="center"/>
            <w:hideMark/>
          </w:tcPr>
          <w:p w14:paraId="7A539266" w14:textId="77777777" w:rsidR="008273B8" w:rsidRDefault="00B93063">
            <w:pPr>
              <w:pStyle w:val="P68B1DB1-Normal7"/>
              <w:spacing w:after="0" w:line="240" w:lineRule="auto"/>
              <w:jc w:val="center"/>
              <w:rPr>
                <w:rFonts w:eastAsia="Times New Roman" w:cs="Calibri"/>
                <w:noProof/>
              </w:rPr>
            </w:pPr>
            <w:r>
              <w:rPr>
                <w:noProof/>
              </w:rPr>
              <w:t>2024</w:t>
            </w:r>
          </w:p>
        </w:tc>
        <w:tc>
          <w:tcPr>
            <w:tcW w:w="5074" w:type="dxa"/>
            <w:shd w:val="clear" w:color="auto" w:fill="C6EFCE"/>
            <w:vAlign w:val="center"/>
            <w:hideMark/>
          </w:tcPr>
          <w:p w14:paraId="7A539267" w14:textId="77777777" w:rsidR="008273B8" w:rsidRDefault="00B93063">
            <w:pPr>
              <w:pStyle w:val="P68B1DB1-Normal7"/>
              <w:spacing w:after="0" w:line="240" w:lineRule="auto"/>
              <w:rPr>
                <w:rFonts w:eastAsia="Times New Roman" w:cs="Calibri"/>
                <w:noProof/>
              </w:rPr>
            </w:pPr>
            <w:r>
              <w:rPr>
                <w:noProof/>
              </w:rPr>
              <w:t xml:space="preserve">Mora se dovršiti postupni prijelaz koji je započeo 2020. kako bi se svi predmeti koji nisu skraćeni prenijeli iz policijskih snaga u ured AG-a. </w:t>
            </w:r>
          </w:p>
        </w:tc>
      </w:tr>
      <w:tr w:rsidR="008273B8" w14:paraId="7A539274" w14:textId="77777777">
        <w:trPr>
          <w:cantSplit/>
          <w:jc w:val="center"/>
        </w:trPr>
        <w:tc>
          <w:tcPr>
            <w:tcW w:w="1150" w:type="dxa"/>
            <w:shd w:val="clear" w:color="auto" w:fill="C6EFCE"/>
            <w:vAlign w:val="center"/>
            <w:hideMark/>
          </w:tcPr>
          <w:p w14:paraId="7A539269" w14:textId="77777777" w:rsidR="008273B8" w:rsidRDefault="00B93063">
            <w:pPr>
              <w:pStyle w:val="P68B1DB1-Normal7"/>
              <w:spacing w:after="0" w:line="240" w:lineRule="auto"/>
              <w:rPr>
                <w:rFonts w:eastAsia="Times New Roman" w:cs="Calibri"/>
                <w:noProof/>
              </w:rPr>
            </w:pPr>
            <w:r>
              <w:rPr>
                <w:noProof/>
              </w:rPr>
              <w:t>6.9</w:t>
            </w:r>
          </w:p>
        </w:tc>
        <w:tc>
          <w:tcPr>
            <w:tcW w:w="1172" w:type="dxa"/>
            <w:shd w:val="clear" w:color="auto" w:fill="C6EFCE"/>
            <w:vAlign w:val="center"/>
            <w:hideMark/>
          </w:tcPr>
          <w:p w14:paraId="7A53926A" w14:textId="77777777" w:rsidR="008273B8" w:rsidRDefault="00B93063">
            <w:pPr>
              <w:pStyle w:val="P68B1DB1-Normal7"/>
              <w:spacing w:after="0" w:line="240" w:lineRule="auto"/>
              <w:rPr>
                <w:rFonts w:eastAsia="Times New Roman" w:cs="Calibri"/>
                <w:noProof/>
              </w:rPr>
            </w:pPr>
            <w:r>
              <w:rPr>
                <w:noProof/>
              </w:rPr>
              <w:t xml:space="preserve">C6.R.2 </w:t>
            </w:r>
          </w:p>
        </w:tc>
        <w:tc>
          <w:tcPr>
            <w:tcW w:w="1015" w:type="dxa"/>
            <w:shd w:val="clear" w:color="auto" w:fill="C6EFCE"/>
            <w:vAlign w:val="center"/>
            <w:hideMark/>
          </w:tcPr>
          <w:p w14:paraId="7A53926B"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26C" w14:textId="77777777" w:rsidR="008273B8" w:rsidRDefault="00B93063">
            <w:pPr>
              <w:pStyle w:val="P68B1DB1-Normal7"/>
              <w:spacing w:after="0" w:line="240" w:lineRule="auto"/>
              <w:rPr>
                <w:rFonts w:eastAsia="Times New Roman" w:cs="Calibri"/>
                <w:noProof/>
              </w:rPr>
            </w:pPr>
            <w:r>
              <w:rPr>
                <w:noProof/>
              </w:rPr>
              <w:t>Stupanje na snagu Zakona br. XXVIII iz 2021. pod naslovom Kazneni zakon (izmjena br. 5)</w:t>
            </w:r>
          </w:p>
        </w:tc>
        <w:tc>
          <w:tcPr>
            <w:tcW w:w="2031" w:type="dxa"/>
            <w:shd w:val="clear" w:color="auto" w:fill="C6EFCE"/>
            <w:vAlign w:val="center"/>
            <w:hideMark/>
          </w:tcPr>
          <w:p w14:paraId="7A53926D" w14:textId="77777777" w:rsidR="008273B8" w:rsidRDefault="00B93063">
            <w:pPr>
              <w:pStyle w:val="P68B1DB1-Normal7"/>
              <w:spacing w:after="0" w:line="240" w:lineRule="auto"/>
              <w:rPr>
                <w:rFonts w:eastAsia="Times New Roman" w:cs="Calibri"/>
                <w:noProof/>
              </w:rPr>
            </w:pPr>
            <w:r>
              <w:rPr>
                <w:noProof/>
              </w:rPr>
              <w:t>Odredba zakona o stupanju na snagu Zakona br. XXVIII iz 2021. pod naslovom Kazneni zakon (izmjena br. 5)</w:t>
            </w:r>
          </w:p>
        </w:tc>
        <w:tc>
          <w:tcPr>
            <w:tcW w:w="924" w:type="dxa"/>
            <w:shd w:val="clear" w:color="auto" w:fill="C6EFCE"/>
            <w:vAlign w:val="center"/>
            <w:hideMark/>
          </w:tcPr>
          <w:p w14:paraId="7A53926E"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26F"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270"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271" w14:textId="77777777" w:rsidR="008273B8" w:rsidRDefault="00B93063">
            <w:pPr>
              <w:pStyle w:val="P68B1DB1-Normal7"/>
              <w:spacing w:after="0" w:line="240" w:lineRule="auto"/>
              <w:jc w:val="center"/>
              <w:rPr>
                <w:rFonts w:eastAsia="Times New Roman" w:cs="Calibri"/>
                <w:noProof/>
              </w:rPr>
            </w:pPr>
            <w:r>
              <w:rPr>
                <w:noProof/>
              </w:rPr>
              <w:t xml:space="preserve">Q2 </w:t>
            </w:r>
          </w:p>
        </w:tc>
        <w:tc>
          <w:tcPr>
            <w:tcW w:w="709" w:type="dxa"/>
            <w:shd w:val="clear" w:color="auto" w:fill="C6EFCE"/>
            <w:vAlign w:val="center"/>
            <w:hideMark/>
          </w:tcPr>
          <w:p w14:paraId="7A539272" w14:textId="77777777" w:rsidR="008273B8" w:rsidRDefault="00B93063">
            <w:pPr>
              <w:pStyle w:val="P68B1DB1-Normal7"/>
              <w:spacing w:after="0" w:line="240" w:lineRule="auto"/>
              <w:jc w:val="center"/>
              <w:rPr>
                <w:rFonts w:eastAsia="Times New Roman" w:cs="Calibri"/>
                <w:noProof/>
              </w:rPr>
            </w:pPr>
            <w:r>
              <w:rPr>
                <w:noProof/>
              </w:rPr>
              <w:t>2021</w:t>
            </w:r>
          </w:p>
        </w:tc>
        <w:tc>
          <w:tcPr>
            <w:tcW w:w="5074" w:type="dxa"/>
            <w:shd w:val="clear" w:color="auto" w:fill="C6EFCE"/>
            <w:vAlign w:val="center"/>
            <w:hideMark/>
          </w:tcPr>
          <w:p w14:paraId="7A539273" w14:textId="77777777" w:rsidR="008273B8" w:rsidRDefault="00B93063">
            <w:pPr>
              <w:pStyle w:val="P68B1DB1-Normal7"/>
              <w:spacing w:after="0" w:line="240" w:lineRule="auto"/>
              <w:rPr>
                <w:rFonts w:eastAsia="Times New Roman" w:cs="Calibri"/>
                <w:noProof/>
              </w:rPr>
            </w:pPr>
            <w:r>
              <w:rPr>
                <w:noProof/>
              </w:rPr>
              <w:t xml:space="preserve">Zakonom br. XXVIII iz 2021. naslovljenim Zakon o Kaznenom zakonu (izmjena br. 5), koji je stupio na snagu 4. lipnja 2021., predviđene su potrebne izmjene Kaznenog zakona kako bi se osigurala veća zakonodavna jasnoća nakon što glavni državni odvjetnik preuzme kazneni progon za teška kaznena djela. </w:t>
            </w:r>
          </w:p>
        </w:tc>
      </w:tr>
      <w:tr w:rsidR="008273B8" w14:paraId="7A539280" w14:textId="77777777">
        <w:trPr>
          <w:cantSplit/>
          <w:jc w:val="center"/>
        </w:trPr>
        <w:tc>
          <w:tcPr>
            <w:tcW w:w="1150" w:type="dxa"/>
            <w:shd w:val="clear" w:color="auto" w:fill="C6EFCE"/>
            <w:vAlign w:val="center"/>
            <w:hideMark/>
          </w:tcPr>
          <w:p w14:paraId="7A539275" w14:textId="77777777" w:rsidR="008273B8" w:rsidRDefault="00B93063">
            <w:pPr>
              <w:pStyle w:val="P68B1DB1-Normal7"/>
              <w:spacing w:after="0" w:line="240" w:lineRule="auto"/>
              <w:rPr>
                <w:rFonts w:eastAsia="Times New Roman" w:cs="Calibri"/>
                <w:noProof/>
              </w:rPr>
            </w:pPr>
            <w:r>
              <w:rPr>
                <w:noProof/>
              </w:rPr>
              <w:t>6.10</w:t>
            </w:r>
          </w:p>
        </w:tc>
        <w:tc>
          <w:tcPr>
            <w:tcW w:w="1172" w:type="dxa"/>
            <w:shd w:val="clear" w:color="auto" w:fill="C6EFCE"/>
            <w:vAlign w:val="center"/>
            <w:hideMark/>
          </w:tcPr>
          <w:p w14:paraId="7A539276" w14:textId="77777777" w:rsidR="008273B8" w:rsidRDefault="00B93063">
            <w:pPr>
              <w:pStyle w:val="P68B1DB1-Normal7"/>
              <w:spacing w:after="0" w:line="240" w:lineRule="auto"/>
              <w:rPr>
                <w:rFonts w:eastAsia="Times New Roman" w:cs="Calibri"/>
                <w:noProof/>
              </w:rPr>
            </w:pPr>
            <w:r>
              <w:rPr>
                <w:noProof/>
              </w:rPr>
              <w:t xml:space="preserve">C6.R.3 </w:t>
            </w:r>
          </w:p>
        </w:tc>
        <w:tc>
          <w:tcPr>
            <w:tcW w:w="1015" w:type="dxa"/>
            <w:shd w:val="clear" w:color="auto" w:fill="C6EFCE"/>
            <w:vAlign w:val="center"/>
            <w:hideMark/>
          </w:tcPr>
          <w:p w14:paraId="7A539277"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278" w14:textId="77777777" w:rsidR="008273B8" w:rsidRDefault="00B93063">
            <w:pPr>
              <w:pStyle w:val="P68B1DB1-Normal7"/>
              <w:spacing w:after="0" w:line="240" w:lineRule="auto"/>
              <w:rPr>
                <w:rFonts w:eastAsia="Times New Roman" w:cs="Calibri"/>
                <w:noProof/>
              </w:rPr>
            </w:pPr>
            <w:r>
              <w:rPr>
                <w:noProof/>
              </w:rPr>
              <w:t xml:space="preserve">Ažuriranje Nacionalne strategije za borbu protiv prijevara i korupcije iz 2008. </w:t>
            </w:r>
          </w:p>
        </w:tc>
        <w:tc>
          <w:tcPr>
            <w:tcW w:w="2031" w:type="dxa"/>
            <w:shd w:val="clear" w:color="auto" w:fill="C6EFCE"/>
            <w:vAlign w:val="center"/>
            <w:hideMark/>
          </w:tcPr>
          <w:p w14:paraId="7A539279" w14:textId="77777777" w:rsidR="008273B8" w:rsidRDefault="00B93063">
            <w:pPr>
              <w:pStyle w:val="P68B1DB1-Normal7"/>
              <w:spacing w:after="0" w:line="240" w:lineRule="auto"/>
              <w:rPr>
                <w:rFonts w:eastAsia="Times New Roman" w:cs="Calibri"/>
                <w:noProof/>
              </w:rPr>
            </w:pPr>
            <w:r>
              <w:rPr>
                <w:noProof/>
              </w:rPr>
              <w:t xml:space="preserve">Internetska objava ažurirane nacionalne strategije za borbu protiv prijevara i korupcije </w:t>
            </w:r>
          </w:p>
        </w:tc>
        <w:tc>
          <w:tcPr>
            <w:tcW w:w="924" w:type="dxa"/>
            <w:shd w:val="clear" w:color="auto" w:fill="C6EFCE"/>
            <w:vAlign w:val="center"/>
            <w:hideMark/>
          </w:tcPr>
          <w:p w14:paraId="7A53927A"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27B"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27C"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27D" w14:textId="77777777" w:rsidR="008273B8" w:rsidRDefault="00B93063">
            <w:pPr>
              <w:pStyle w:val="P68B1DB1-Normal7"/>
              <w:spacing w:after="0" w:line="240" w:lineRule="auto"/>
              <w:jc w:val="center"/>
              <w:rPr>
                <w:rFonts w:eastAsia="Times New Roman" w:cs="Calibri"/>
                <w:noProof/>
              </w:rPr>
            </w:pPr>
            <w:r>
              <w:rPr>
                <w:noProof/>
              </w:rPr>
              <w:t>Q2</w:t>
            </w:r>
          </w:p>
        </w:tc>
        <w:tc>
          <w:tcPr>
            <w:tcW w:w="709" w:type="dxa"/>
            <w:shd w:val="clear" w:color="auto" w:fill="C6EFCE"/>
            <w:vAlign w:val="center"/>
            <w:hideMark/>
          </w:tcPr>
          <w:p w14:paraId="7A53927E" w14:textId="77777777" w:rsidR="008273B8" w:rsidRDefault="00B93063">
            <w:pPr>
              <w:pStyle w:val="P68B1DB1-Normal7"/>
              <w:spacing w:after="0" w:line="240" w:lineRule="auto"/>
              <w:jc w:val="center"/>
              <w:rPr>
                <w:rFonts w:eastAsia="Times New Roman" w:cs="Calibri"/>
                <w:noProof/>
              </w:rPr>
            </w:pPr>
            <w:r>
              <w:rPr>
                <w:noProof/>
              </w:rPr>
              <w:t>2021</w:t>
            </w:r>
          </w:p>
        </w:tc>
        <w:tc>
          <w:tcPr>
            <w:tcW w:w="5074" w:type="dxa"/>
            <w:shd w:val="clear" w:color="auto" w:fill="C6EFCE"/>
            <w:vAlign w:val="center"/>
            <w:hideMark/>
          </w:tcPr>
          <w:p w14:paraId="7A53927F" w14:textId="77777777" w:rsidR="008273B8" w:rsidRDefault="00B93063">
            <w:pPr>
              <w:pStyle w:val="P68B1DB1-Normal7"/>
              <w:spacing w:after="0" w:line="240" w:lineRule="auto"/>
              <w:rPr>
                <w:rFonts w:eastAsia="Times New Roman" w:cs="Calibri"/>
                <w:noProof/>
              </w:rPr>
            </w:pPr>
            <w:r>
              <w:rPr>
                <w:noProof/>
              </w:rPr>
              <w:t>Nacionalnom strategijom za borbu protiv prijevara i korupcije nastoji se osigurati normativni, institucionalni i operativni okvir za djelotvornu i učinkovitu borbu protiv prijevara i korupcije na Malti koji odražava lokalne zahtjeve i međunarodne obveze. Ažurirana strategija objavljena je kad je predstavljena u Parlamentu u drugom tromjesečju 2021.</w:t>
            </w:r>
          </w:p>
        </w:tc>
      </w:tr>
      <w:tr w:rsidR="008273B8" w14:paraId="7A53928C" w14:textId="77777777">
        <w:trPr>
          <w:cantSplit/>
          <w:jc w:val="center"/>
        </w:trPr>
        <w:tc>
          <w:tcPr>
            <w:tcW w:w="1150" w:type="dxa"/>
            <w:shd w:val="clear" w:color="auto" w:fill="C6EFCE"/>
            <w:vAlign w:val="center"/>
            <w:hideMark/>
          </w:tcPr>
          <w:p w14:paraId="7A539281" w14:textId="77777777" w:rsidR="008273B8" w:rsidRDefault="00B93063">
            <w:pPr>
              <w:pStyle w:val="P68B1DB1-Normal7"/>
              <w:spacing w:after="0" w:line="240" w:lineRule="auto"/>
              <w:rPr>
                <w:rFonts w:eastAsia="Times New Roman" w:cs="Calibri"/>
                <w:noProof/>
              </w:rPr>
            </w:pPr>
            <w:r>
              <w:rPr>
                <w:noProof/>
              </w:rPr>
              <w:t>6.11</w:t>
            </w:r>
          </w:p>
        </w:tc>
        <w:tc>
          <w:tcPr>
            <w:tcW w:w="1172" w:type="dxa"/>
            <w:shd w:val="clear" w:color="auto" w:fill="C6EFCE"/>
            <w:vAlign w:val="center"/>
            <w:hideMark/>
          </w:tcPr>
          <w:p w14:paraId="7A539282" w14:textId="77777777" w:rsidR="008273B8" w:rsidRDefault="00B93063">
            <w:pPr>
              <w:pStyle w:val="P68B1DB1-Normal7"/>
              <w:spacing w:after="0" w:line="240" w:lineRule="auto"/>
              <w:rPr>
                <w:rFonts w:eastAsia="Times New Roman" w:cs="Calibri"/>
                <w:noProof/>
              </w:rPr>
            </w:pPr>
            <w:r>
              <w:rPr>
                <w:noProof/>
              </w:rPr>
              <w:t xml:space="preserve">C6.R.3 </w:t>
            </w:r>
          </w:p>
        </w:tc>
        <w:tc>
          <w:tcPr>
            <w:tcW w:w="1015" w:type="dxa"/>
            <w:shd w:val="clear" w:color="auto" w:fill="C6EFCE"/>
            <w:vAlign w:val="center"/>
            <w:hideMark/>
          </w:tcPr>
          <w:p w14:paraId="7A539283"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284" w14:textId="77777777" w:rsidR="008273B8" w:rsidRDefault="00B93063">
            <w:pPr>
              <w:pStyle w:val="P68B1DB1-Normal7"/>
              <w:spacing w:after="0" w:line="240" w:lineRule="auto"/>
              <w:rPr>
                <w:rFonts w:eastAsia="Times New Roman" w:cs="Calibri"/>
                <w:noProof/>
              </w:rPr>
            </w:pPr>
            <w:r>
              <w:rPr>
                <w:noProof/>
              </w:rPr>
              <w:t>Nacionalna procjena rizika i strategija praćenja prijevara i korupcije.</w:t>
            </w:r>
          </w:p>
        </w:tc>
        <w:tc>
          <w:tcPr>
            <w:tcW w:w="2031" w:type="dxa"/>
            <w:shd w:val="clear" w:color="auto" w:fill="C6EFCE"/>
            <w:vAlign w:val="center"/>
            <w:hideMark/>
          </w:tcPr>
          <w:p w14:paraId="7A539285" w14:textId="77777777" w:rsidR="008273B8" w:rsidRDefault="00B93063">
            <w:pPr>
              <w:pStyle w:val="P68B1DB1-Normal7"/>
              <w:spacing w:after="0" w:line="240" w:lineRule="auto"/>
              <w:rPr>
                <w:rFonts w:eastAsia="Times New Roman" w:cs="Calibri"/>
                <w:noProof/>
              </w:rPr>
            </w:pPr>
            <w:r>
              <w:rPr>
                <w:noProof/>
              </w:rPr>
              <w:t>Internetska objava nacionalne procjene rizika od prijevara.</w:t>
            </w:r>
          </w:p>
        </w:tc>
        <w:tc>
          <w:tcPr>
            <w:tcW w:w="924" w:type="dxa"/>
            <w:shd w:val="clear" w:color="auto" w:fill="C6EFCE"/>
            <w:vAlign w:val="center"/>
            <w:hideMark/>
          </w:tcPr>
          <w:p w14:paraId="7A539286"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287"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288"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289" w14:textId="77777777" w:rsidR="008273B8" w:rsidRDefault="00B93063">
            <w:pPr>
              <w:pStyle w:val="P68B1DB1-Normal7"/>
              <w:spacing w:after="0" w:line="240" w:lineRule="auto"/>
              <w:jc w:val="center"/>
              <w:rPr>
                <w:rFonts w:eastAsia="Times New Roman" w:cs="Calibri"/>
                <w:noProof/>
              </w:rPr>
            </w:pPr>
            <w:r>
              <w:rPr>
                <w:noProof/>
              </w:rPr>
              <w:t>TROMJESEČJE</w:t>
            </w:r>
          </w:p>
        </w:tc>
        <w:tc>
          <w:tcPr>
            <w:tcW w:w="709" w:type="dxa"/>
            <w:shd w:val="clear" w:color="auto" w:fill="C6EFCE"/>
            <w:vAlign w:val="center"/>
            <w:hideMark/>
          </w:tcPr>
          <w:p w14:paraId="7A53928A" w14:textId="77777777" w:rsidR="008273B8" w:rsidRDefault="00B93063">
            <w:pPr>
              <w:pStyle w:val="P68B1DB1-Normal7"/>
              <w:spacing w:after="0" w:line="240" w:lineRule="auto"/>
              <w:jc w:val="center"/>
              <w:rPr>
                <w:rFonts w:eastAsia="Times New Roman" w:cs="Calibri"/>
                <w:noProof/>
              </w:rPr>
            </w:pPr>
            <w:r>
              <w:rPr>
                <w:noProof/>
              </w:rPr>
              <w:t>2022</w:t>
            </w:r>
          </w:p>
        </w:tc>
        <w:tc>
          <w:tcPr>
            <w:tcW w:w="5074" w:type="dxa"/>
            <w:shd w:val="clear" w:color="auto" w:fill="C6EFCE"/>
            <w:vAlign w:val="center"/>
            <w:hideMark/>
          </w:tcPr>
          <w:p w14:paraId="7A53928B" w14:textId="77777777" w:rsidR="008273B8" w:rsidRDefault="00B93063">
            <w:pPr>
              <w:pStyle w:val="P68B1DB1-Normal7"/>
              <w:spacing w:after="0" w:line="240" w:lineRule="auto"/>
              <w:rPr>
                <w:rFonts w:eastAsia="Times New Roman" w:cs="Calibri"/>
                <w:noProof/>
              </w:rPr>
            </w:pPr>
            <w:r>
              <w:rPr>
                <w:noProof/>
              </w:rPr>
              <w:t>U skladu s točkom 3. NAFCS-a, Koordinacijski odbor osnovan u skladu sa Zakonom o unutarnjoj reviziji i financijskim istragama (poglavlje 461. zakona Malte) provodi i objavljuje nacionalnu procjenu rizika. Cilj je nacionalnog regulatornog tijela i. održati učinkovit sustav za borbu protiv prijevara i korupcije koji se temelji na riziku; ii. odrediti prioritete i učinkovito raspodijeliti resurse javnog sektora; iii. pomaže nacionalnim tijelima da procijene prikladnost svojih kontrola i po potrebi ih ojača; iv. podizanje svijesti šire javnosti; i v. ažurirati postojeći akcijski plan koji je sastavni dio NAFCS-a</w:t>
            </w:r>
          </w:p>
        </w:tc>
      </w:tr>
      <w:tr w:rsidR="008273B8" w14:paraId="7A539298" w14:textId="77777777">
        <w:trPr>
          <w:cantSplit/>
          <w:jc w:val="center"/>
        </w:trPr>
        <w:tc>
          <w:tcPr>
            <w:tcW w:w="1150" w:type="dxa"/>
            <w:shd w:val="clear" w:color="auto" w:fill="C6EFCE"/>
            <w:vAlign w:val="center"/>
            <w:hideMark/>
          </w:tcPr>
          <w:p w14:paraId="7A53928D" w14:textId="77777777" w:rsidR="008273B8" w:rsidRDefault="00B93063">
            <w:pPr>
              <w:pStyle w:val="P68B1DB1-Normal7"/>
              <w:spacing w:after="0" w:line="240" w:lineRule="auto"/>
              <w:rPr>
                <w:rFonts w:eastAsia="Times New Roman" w:cs="Calibri"/>
                <w:noProof/>
              </w:rPr>
            </w:pPr>
            <w:r>
              <w:rPr>
                <w:noProof/>
              </w:rPr>
              <w:t>6.12</w:t>
            </w:r>
          </w:p>
        </w:tc>
        <w:tc>
          <w:tcPr>
            <w:tcW w:w="1172" w:type="dxa"/>
            <w:shd w:val="clear" w:color="auto" w:fill="C6EFCE"/>
            <w:vAlign w:val="center"/>
            <w:hideMark/>
          </w:tcPr>
          <w:p w14:paraId="7A53928E" w14:textId="77777777" w:rsidR="008273B8" w:rsidRDefault="00B93063">
            <w:pPr>
              <w:pStyle w:val="P68B1DB1-Normal7"/>
              <w:spacing w:after="0" w:line="240" w:lineRule="auto"/>
              <w:rPr>
                <w:rFonts w:eastAsia="Times New Roman" w:cs="Calibri"/>
                <w:noProof/>
              </w:rPr>
            </w:pPr>
            <w:r>
              <w:rPr>
                <w:noProof/>
              </w:rPr>
              <w:t xml:space="preserve">C6.R.3 </w:t>
            </w:r>
          </w:p>
        </w:tc>
        <w:tc>
          <w:tcPr>
            <w:tcW w:w="1015" w:type="dxa"/>
            <w:shd w:val="clear" w:color="auto" w:fill="C6EFCE"/>
            <w:vAlign w:val="center"/>
            <w:hideMark/>
          </w:tcPr>
          <w:p w14:paraId="7A53928F" w14:textId="77777777" w:rsidR="008273B8" w:rsidRDefault="00B93063">
            <w:pPr>
              <w:pStyle w:val="P68B1DB1-Normal7"/>
              <w:spacing w:after="0" w:line="240" w:lineRule="auto"/>
              <w:rPr>
                <w:rFonts w:eastAsia="Times New Roman" w:cs="Calibri"/>
                <w:noProof/>
              </w:rPr>
            </w:pPr>
            <w:r>
              <w:rPr>
                <w:noProof/>
              </w:rPr>
              <w:t>Ciljna vrijednost</w:t>
            </w:r>
          </w:p>
        </w:tc>
        <w:tc>
          <w:tcPr>
            <w:tcW w:w="1595" w:type="dxa"/>
            <w:shd w:val="clear" w:color="auto" w:fill="C6EFCE"/>
            <w:vAlign w:val="center"/>
            <w:hideMark/>
          </w:tcPr>
          <w:p w14:paraId="7A539290" w14:textId="77777777" w:rsidR="008273B8" w:rsidRDefault="00B93063">
            <w:pPr>
              <w:pStyle w:val="P68B1DB1-Normal7"/>
              <w:spacing w:after="0" w:line="240" w:lineRule="auto"/>
              <w:rPr>
                <w:rFonts w:eastAsia="Times New Roman" w:cs="Calibri"/>
                <w:noProof/>
              </w:rPr>
            </w:pPr>
            <w:r>
              <w:rPr>
                <w:noProof/>
              </w:rPr>
              <w:t>Dva programa osposobljavanja za imenovane službenike iz nacionalnih tijela</w:t>
            </w:r>
          </w:p>
        </w:tc>
        <w:tc>
          <w:tcPr>
            <w:tcW w:w="2031" w:type="dxa"/>
            <w:shd w:val="clear" w:color="auto" w:fill="C6EFCE"/>
            <w:vAlign w:val="center"/>
            <w:hideMark/>
          </w:tcPr>
          <w:p w14:paraId="7A539291" w14:textId="77777777" w:rsidR="008273B8" w:rsidRDefault="00B93063">
            <w:pPr>
              <w:pStyle w:val="P68B1DB1-Normal7"/>
              <w:spacing w:after="0" w:line="240" w:lineRule="auto"/>
              <w:rPr>
                <w:rFonts w:eastAsia="Times New Roman" w:cs="Calibri"/>
                <w:noProof/>
              </w:rPr>
            </w:pPr>
            <w:r>
              <w:rPr>
                <w:noProof/>
              </w:rPr>
              <w:t> </w:t>
            </w:r>
          </w:p>
        </w:tc>
        <w:tc>
          <w:tcPr>
            <w:tcW w:w="924" w:type="dxa"/>
            <w:shd w:val="clear" w:color="auto" w:fill="C6EFCE"/>
            <w:vAlign w:val="center"/>
            <w:hideMark/>
          </w:tcPr>
          <w:p w14:paraId="7A539292" w14:textId="77777777" w:rsidR="008273B8" w:rsidRDefault="00B93063">
            <w:pPr>
              <w:pStyle w:val="P68B1DB1-Normal7"/>
              <w:spacing w:after="0" w:line="240" w:lineRule="auto"/>
              <w:jc w:val="center"/>
              <w:rPr>
                <w:rFonts w:eastAsia="Times New Roman" w:cs="Calibri"/>
                <w:noProof/>
              </w:rPr>
            </w:pPr>
            <w:r>
              <w:rPr>
                <w:noProof/>
              </w:rPr>
              <w:t>Broj</w:t>
            </w:r>
          </w:p>
        </w:tc>
        <w:tc>
          <w:tcPr>
            <w:tcW w:w="915" w:type="dxa"/>
            <w:shd w:val="clear" w:color="auto" w:fill="C6EFCE"/>
            <w:vAlign w:val="center"/>
            <w:hideMark/>
          </w:tcPr>
          <w:p w14:paraId="7A539293" w14:textId="77777777" w:rsidR="008273B8" w:rsidRDefault="00B93063">
            <w:pPr>
              <w:pStyle w:val="P68B1DB1-Normal7"/>
              <w:spacing w:after="0" w:line="240" w:lineRule="auto"/>
              <w:jc w:val="center"/>
              <w:rPr>
                <w:rFonts w:eastAsia="Times New Roman" w:cs="Calibri"/>
                <w:noProof/>
              </w:rPr>
            </w:pPr>
            <w:r>
              <w:rPr>
                <w:noProof/>
              </w:rPr>
              <w:t>0</w:t>
            </w:r>
          </w:p>
        </w:tc>
        <w:tc>
          <w:tcPr>
            <w:tcW w:w="974" w:type="dxa"/>
            <w:shd w:val="clear" w:color="auto" w:fill="C6EFCE"/>
            <w:vAlign w:val="center"/>
            <w:hideMark/>
          </w:tcPr>
          <w:p w14:paraId="7A539294" w14:textId="77777777" w:rsidR="008273B8" w:rsidRDefault="00B93063">
            <w:pPr>
              <w:pStyle w:val="P68B1DB1-Normal7"/>
              <w:spacing w:after="0" w:line="240" w:lineRule="auto"/>
              <w:jc w:val="center"/>
              <w:rPr>
                <w:rFonts w:eastAsia="Times New Roman" w:cs="Calibri"/>
                <w:noProof/>
              </w:rPr>
            </w:pPr>
            <w:r>
              <w:rPr>
                <w:noProof/>
              </w:rPr>
              <w:t>52</w:t>
            </w:r>
          </w:p>
        </w:tc>
        <w:tc>
          <w:tcPr>
            <w:tcW w:w="709" w:type="dxa"/>
            <w:shd w:val="clear" w:color="auto" w:fill="C6EFCE"/>
            <w:vAlign w:val="center"/>
            <w:hideMark/>
          </w:tcPr>
          <w:p w14:paraId="7A539295" w14:textId="77777777" w:rsidR="008273B8" w:rsidRDefault="00B93063">
            <w:pPr>
              <w:pStyle w:val="P68B1DB1-Normal7"/>
              <w:spacing w:after="0" w:line="240" w:lineRule="auto"/>
              <w:jc w:val="center"/>
              <w:rPr>
                <w:rFonts w:eastAsia="Times New Roman" w:cs="Calibri"/>
                <w:noProof/>
              </w:rPr>
            </w:pPr>
            <w:r>
              <w:rPr>
                <w:noProof/>
              </w:rPr>
              <w:t>PRVO TROMJESEČJE</w:t>
            </w:r>
          </w:p>
        </w:tc>
        <w:tc>
          <w:tcPr>
            <w:tcW w:w="709" w:type="dxa"/>
            <w:shd w:val="clear" w:color="auto" w:fill="C6EFCE"/>
            <w:vAlign w:val="center"/>
            <w:hideMark/>
          </w:tcPr>
          <w:p w14:paraId="7A539296" w14:textId="77777777" w:rsidR="008273B8" w:rsidRDefault="00B93063">
            <w:pPr>
              <w:pStyle w:val="P68B1DB1-Normal7"/>
              <w:spacing w:after="0" w:line="240" w:lineRule="auto"/>
              <w:jc w:val="center"/>
              <w:rPr>
                <w:rFonts w:eastAsia="Times New Roman" w:cs="Calibri"/>
                <w:noProof/>
              </w:rPr>
            </w:pPr>
            <w:r>
              <w:rPr>
                <w:noProof/>
              </w:rPr>
              <w:t>2024</w:t>
            </w:r>
          </w:p>
        </w:tc>
        <w:tc>
          <w:tcPr>
            <w:tcW w:w="5074" w:type="dxa"/>
            <w:shd w:val="clear" w:color="auto" w:fill="C6EFCE"/>
            <w:vAlign w:val="center"/>
            <w:hideMark/>
          </w:tcPr>
          <w:p w14:paraId="7A539297" w14:textId="77777777" w:rsidR="008273B8" w:rsidRDefault="00B93063">
            <w:pPr>
              <w:pStyle w:val="P68B1DB1-Normal7"/>
              <w:spacing w:after="0" w:line="240" w:lineRule="auto"/>
              <w:rPr>
                <w:rFonts w:eastAsia="Times New Roman" w:cs="Calibri"/>
                <w:noProof/>
              </w:rPr>
            </w:pPr>
            <w:r>
              <w:rPr>
                <w:noProof/>
              </w:rPr>
              <w:t>U skladu s točkom 6. NAFCS-a u svakom od dvaju programa osposobljavanja sudjeluju najmanje dva sudionika iz 13 institucija koje su dio koordinacijskog odbora. Prvim osposobljavanjem osiguravaju se osnovni tečajevi za imenovane službenike iz nacionalnih tijela o pravnom kontekstu, istražnim tehnikama, obavještajnim podacima, analitičkim tehnikama, forenzičkom računovodstvu i alatima informacijskog sustava. Ti tečajevi osposobljavanja dio su programa osposobljavanja koji se zaključuje u roku od jedne godine. Drugo osposobljavanje temelji se na analizi potreba za osposobljavanjem.</w:t>
            </w:r>
          </w:p>
        </w:tc>
      </w:tr>
      <w:tr w:rsidR="008273B8" w14:paraId="7A5392A4" w14:textId="77777777">
        <w:trPr>
          <w:cantSplit/>
          <w:jc w:val="center"/>
        </w:trPr>
        <w:tc>
          <w:tcPr>
            <w:tcW w:w="1150" w:type="dxa"/>
            <w:shd w:val="clear" w:color="auto" w:fill="C6EFCE"/>
            <w:vAlign w:val="center"/>
            <w:hideMark/>
          </w:tcPr>
          <w:p w14:paraId="7A539299" w14:textId="77777777" w:rsidR="008273B8" w:rsidRDefault="00B93063">
            <w:pPr>
              <w:pStyle w:val="P68B1DB1-Normal7"/>
              <w:spacing w:after="0" w:line="240" w:lineRule="auto"/>
              <w:rPr>
                <w:rFonts w:eastAsia="Times New Roman" w:cs="Calibri"/>
                <w:noProof/>
              </w:rPr>
            </w:pPr>
            <w:r>
              <w:rPr>
                <w:noProof/>
              </w:rPr>
              <w:t>6.13</w:t>
            </w:r>
          </w:p>
        </w:tc>
        <w:tc>
          <w:tcPr>
            <w:tcW w:w="1172" w:type="dxa"/>
            <w:shd w:val="clear" w:color="auto" w:fill="C6EFCE"/>
            <w:vAlign w:val="center"/>
            <w:hideMark/>
          </w:tcPr>
          <w:p w14:paraId="7A53929A" w14:textId="77777777" w:rsidR="008273B8" w:rsidRDefault="00B93063">
            <w:pPr>
              <w:pStyle w:val="P68B1DB1-Normal7"/>
              <w:spacing w:after="0" w:line="240" w:lineRule="auto"/>
              <w:rPr>
                <w:rFonts w:eastAsia="Times New Roman" w:cs="Calibri"/>
                <w:noProof/>
              </w:rPr>
            </w:pPr>
            <w:r>
              <w:rPr>
                <w:noProof/>
              </w:rPr>
              <w:t xml:space="preserve">C6.R.3 </w:t>
            </w:r>
          </w:p>
        </w:tc>
        <w:tc>
          <w:tcPr>
            <w:tcW w:w="1015" w:type="dxa"/>
            <w:shd w:val="clear" w:color="auto" w:fill="C6EFCE"/>
            <w:vAlign w:val="center"/>
            <w:hideMark/>
          </w:tcPr>
          <w:p w14:paraId="7A53929B"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29C" w14:textId="77777777" w:rsidR="008273B8" w:rsidRDefault="00B93063">
            <w:pPr>
              <w:pStyle w:val="P68B1DB1-Normal7"/>
              <w:spacing w:after="0" w:line="240" w:lineRule="auto"/>
              <w:rPr>
                <w:rFonts w:eastAsia="Times New Roman" w:cs="Calibri"/>
                <w:noProof/>
              </w:rPr>
            </w:pPr>
            <w:r>
              <w:rPr>
                <w:noProof/>
              </w:rPr>
              <w:t>Središnji sustav arhiviranja dokumenata</w:t>
            </w:r>
          </w:p>
        </w:tc>
        <w:tc>
          <w:tcPr>
            <w:tcW w:w="2031" w:type="dxa"/>
            <w:shd w:val="clear" w:color="auto" w:fill="C6EFCE"/>
            <w:vAlign w:val="center"/>
            <w:hideMark/>
          </w:tcPr>
          <w:p w14:paraId="7A53929D" w14:textId="77777777" w:rsidR="008273B8" w:rsidRDefault="00B93063">
            <w:pPr>
              <w:pStyle w:val="P68B1DB1-Normal7"/>
              <w:spacing w:after="0" w:line="240" w:lineRule="auto"/>
              <w:rPr>
                <w:rFonts w:eastAsia="Times New Roman" w:cs="Calibri"/>
                <w:noProof/>
              </w:rPr>
            </w:pPr>
            <w:r>
              <w:rPr>
                <w:noProof/>
              </w:rPr>
              <w:t xml:space="preserve">Središnji sustav dokumentarnog repozitorija dostupan institucijama koje su dio koordinacijskog odbora </w:t>
            </w:r>
          </w:p>
        </w:tc>
        <w:tc>
          <w:tcPr>
            <w:tcW w:w="924" w:type="dxa"/>
            <w:shd w:val="clear" w:color="auto" w:fill="C6EFCE"/>
            <w:vAlign w:val="center"/>
            <w:hideMark/>
          </w:tcPr>
          <w:p w14:paraId="7A53929E"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29F"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2A0"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2A1"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09" w:type="dxa"/>
            <w:shd w:val="clear" w:color="auto" w:fill="C6EFCE"/>
            <w:vAlign w:val="center"/>
            <w:hideMark/>
          </w:tcPr>
          <w:p w14:paraId="7A5392A2" w14:textId="77777777" w:rsidR="008273B8" w:rsidRDefault="00B93063">
            <w:pPr>
              <w:pStyle w:val="P68B1DB1-Normal7"/>
              <w:spacing w:after="0" w:line="240" w:lineRule="auto"/>
              <w:jc w:val="center"/>
              <w:rPr>
                <w:rFonts w:eastAsia="Times New Roman" w:cs="Calibri"/>
                <w:noProof/>
              </w:rPr>
            </w:pPr>
            <w:r>
              <w:rPr>
                <w:noProof/>
              </w:rPr>
              <w:t>2024</w:t>
            </w:r>
          </w:p>
        </w:tc>
        <w:tc>
          <w:tcPr>
            <w:tcW w:w="5074" w:type="dxa"/>
            <w:shd w:val="clear" w:color="auto" w:fill="C6EFCE"/>
            <w:vAlign w:val="center"/>
            <w:hideMark/>
          </w:tcPr>
          <w:p w14:paraId="7A5392A3" w14:textId="77777777" w:rsidR="008273B8" w:rsidRDefault="00B93063">
            <w:pPr>
              <w:pStyle w:val="P68B1DB1-Normal7"/>
              <w:spacing w:after="0" w:line="240" w:lineRule="auto"/>
              <w:rPr>
                <w:rFonts w:eastAsia="Times New Roman" w:cs="Calibri"/>
                <w:noProof/>
              </w:rPr>
            </w:pPr>
            <w:r>
              <w:rPr>
                <w:noProof/>
              </w:rPr>
              <w:t>U skladu s mjerama 13. i 14. NAFCS-a uspostavlja se središnji repozitorij dokumenata. Time se i. pohranjuju elektronički dokumenti; ii. omogućiti centralizirani pristup dokumentima koje institucije koje čine koordinacijski odbor osnovan u skladu sa Zakonom o unutarnjoj reviziji i financijskim istragama mogu lako dobiti; i iii. osigurati potrebnu sigurnost osjetljivih informacija.</w:t>
            </w:r>
          </w:p>
        </w:tc>
      </w:tr>
      <w:tr w:rsidR="008273B8" w14:paraId="7A5392B0" w14:textId="77777777">
        <w:trPr>
          <w:cantSplit/>
          <w:jc w:val="center"/>
        </w:trPr>
        <w:tc>
          <w:tcPr>
            <w:tcW w:w="1150" w:type="dxa"/>
            <w:shd w:val="clear" w:color="auto" w:fill="C6EFCE"/>
            <w:vAlign w:val="center"/>
            <w:hideMark/>
          </w:tcPr>
          <w:p w14:paraId="7A5392A5" w14:textId="77777777" w:rsidR="008273B8" w:rsidRDefault="00B93063">
            <w:pPr>
              <w:pStyle w:val="P68B1DB1-Normal7"/>
              <w:spacing w:after="0" w:line="240" w:lineRule="auto"/>
              <w:rPr>
                <w:rFonts w:eastAsia="Times New Roman" w:cs="Calibri"/>
                <w:noProof/>
              </w:rPr>
            </w:pPr>
            <w:r>
              <w:rPr>
                <w:noProof/>
              </w:rPr>
              <w:t>6.14</w:t>
            </w:r>
          </w:p>
        </w:tc>
        <w:tc>
          <w:tcPr>
            <w:tcW w:w="1172" w:type="dxa"/>
            <w:shd w:val="clear" w:color="auto" w:fill="C6EFCE"/>
            <w:vAlign w:val="center"/>
            <w:hideMark/>
          </w:tcPr>
          <w:p w14:paraId="7A5392A6" w14:textId="77777777" w:rsidR="008273B8" w:rsidRDefault="00B93063">
            <w:pPr>
              <w:pStyle w:val="P68B1DB1-Normal7"/>
              <w:spacing w:after="0" w:line="240" w:lineRule="auto"/>
              <w:rPr>
                <w:rFonts w:eastAsia="Times New Roman" w:cs="Calibri"/>
                <w:noProof/>
              </w:rPr>
            </w:pPr>
            <w:r>
              <w:rPr>
                <w:noProof/>
              </w:rPr>
              <w:t xml:space="preserve">C6.R.3 </w:t>
            </w:r>
          </w:p>
        </w:tc>
        <w:tc>
          <w:tcPr>
            <w:tcW w:w="1015" w:type="dxa"/>
            <w:shd w:val="clear" w:color="auto" w:fill="C6EFCE"/>
            <w:vAlign w:val="center"/>
            <w:hideMark/>
          </w:tcPr>
          <w:p w14:paraId="7A5392A7"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2A8" w14:textId="77777777" w:rsidR="008273B8" w:rsidRDefault="00B93063">
            <w:pPr>
              <w:pStyle w:val="P68B1DB1-Normal7"/>
              <w:spacing w:after="0" w:line="240" w:lineRule="auto"/>
              <w:rPr>
                <w:rFonts w:eastAsia="Times New Roman" w:cs="Calibri"/>
                <w:noProof/>
              </w:rPr>
            </w:pPr>
            <w:r>
              <w:rPr>
                <w:noProof/>
              </w:rPr>
              <w:t>Baza podataka u kojoj se prikupljaju podaci o zviždačima</w:t>
            </w:r>
          </w:p>
        </w:tc>
        <w:tc>
          <w:tcPr>
            <w:tcW w:w="2031" w:type="dxa"/>
            <w:shd w:val="clear" w:color="auto" w:fill="C6EFCE"/>
            <w:vAlign w:val="center"/>
            <w:hideMark/>
          </w:tcPr>
          <w:p w14:paraId="7A5392A9" w14:textId="77777777" w:rsidR="008273B8" w:rsidRDefault="00B93063">
            <w:pPr>
              <w:pStyle w:val="P68B1DB1-Normal7"/>
              <w:spacing w:after="0" w:line="240" w:lineRule="auto"/>
              <w:rPr>
                <w:rFonts w:eastAsia="Times New Roman" w:cs="Calibri"/>
                <w:noProof/>
              </w:rPr>
            </w:pPr>
            <w:r>
              <w:rPr>
                <w:noProof/>
              </w:rPr>
              <w:t>Baza podataka/repozitorij podataka o zviždačima koji su operativni i dostupni svim tijelima za borbu protiv korupcije</w:t>
            </w:r>
          </w:p>
        </w:tc>
        <w:tc>
          <w:tcPr>
            <w:tcW w:w="924" w:type="dxa"/>
            <w:shd w:val="clear" w:color="auto" w:fill="C6EFCE"/>
            <w:vAlign w:val="center"/>
            <w:hideMark/>
          </w:tcPr>
          <w:p w14:paraId="7A5392AA"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2AB"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2AC"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2AD"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09" w:type="dxa"/>
            <w:shd w:val="clear" w:color="auto" w:fill="C6EFCE"/>
            <w:vAlign w:val="center"/>
            <w:hideMark/>
          </w:tcPr>
          <w:p w14:paraId="7A5392AE" w14:textId="77777777" w:rsidR="008273B8" w:rsidRDefault="00B93063">
            <w:pPr>
              <w:pStyle w:val="P68B1DB1-Normal7"/>
              <w:spacing w:after="0" w:line="240" w:lineRule="auto"/>
              <w:jc w:val="center"/>
              <w:rPr>
                <w:rFonts w:eastAsia="Times New Roman" w:cs="Calibri"/>
                <w:noProof/>
              </w:rPr>
            </w:pPr>
            <w:r>
              <w:rPr>
                <w:noProof/>
              </w:rPr>
              <w:t>2024</w:t>
            </w:r>
          </w:p>
        </w:tc>
        <w:tc>
          <w:tcPr>
            <w:tcW w:w="5074" w:type="dxa"/>
            <w:shd w:val="clear" w:color="auto" w:fill="C6EFCE"/>
            <w:vAlign w:val="center"/>
            <w:hideMark/>
          </w:tcPr>
          <w:p w14:paraId="7A5392AF" w14:textId="77777777" w:rsidR="008273B8" w:rsidRDefault="00B93063">
            <w:pPr>
              <w:pStyle w:val="P68B1DB1-Normal7"/>
              <w:spacing w:after="0" w:line="240" w:lineRule="auto"/>
              <w:rPr>
                <w:rFonts w:eastAsia="Times New Roman" w:cs="Calibri"/>
                <w:noProof/>
              </w:rPr>
            </w:pPr>
            <w:r>
              <w:rPr>
                <w:noProof/>
              </w:rPr>
              <w:t xml:space="preserve">Podacima/statistikama koje treba učiniti dostupnima redovitim objavljivanjem informacija o i. broju zaprimljenih pritužbi; ii. nakon primitka; iii. kada su liječeni; iv. kada je zviždač obaviješten o ishodu; i v. prijavljeni sektori. </w:t>
            </w:r>
          </w:p>
        </w:tc>
      </w:tr>
      <w:tr w:rsidR="008273B8" w14:paraId="7A5392BC" w14:textId="77777777">
        <w:trPr>
          <w:cantSplit/>
          <w:jc w:val="center"/>
        </w:trPr>
        <w:tc>
          <w:tcPr>
            <w:tcW w:w="1150" w:type="dxa"/>
            <w:shd w:val="clear" w:color="auto" w:fill="C6EFCE"/>
            <w:vAlign w:val="center"/>
            <w:hideMark/>
          </w:tcPr>
          <w:p w14:paraId="7A5392B1" w14:textId="77777777" w:rsidR="008273B8" w:rsidRDefault="00B93063">
            <w:pPr>
              <w:pStyle w:val="P68B1DB1-Normal7"/>
              <w:spacing w:after="0" w:line="240" w:lineRule="auto"/>
              <w:rPr>
                <w:rFonts w:eastAsia="Times New Roman" w:cs="Calibri"/>
                <w:noProof/>
              </w:rPr>
            </w:pPr>
            <w:r>
              <w:rPr>
                <w:noProof/>
              </w:rPr>
              <w:t>6.15</w:t>
            </w:r>
          </w:p>
        </w:tc>
        <w:tc>
          <w:tcPr>
            <w:tcW w:w="1172" w:type="dxa"/>
            <w:shd w:val="clear" w:color="auto" w:fill="C6EFCE"/>
            <w:vAlign w:val="center"/>
            <w:hideMark/>
          </w:tcPr>
          <w:p w14:paraId="7A5392B2" w14:textId="77777777" w:rsidR="008273B8" w:rsidRDefault="00B93063">
            <w:pPr>
              <w:pStyle w:val="P68B1DB1-Normal7"/>
              <w:spacing w:after="0" w:line="240" w:lineRule="auto"/>
              <w:rPr>
                <w:rFonts w:eastAsia="Times New Roman" w:cs="Calibri"/>
                <w:noProof/>
              </w:rPr>
            </w:pPr>
            <w:r>
              <w:rPr>
                <w:noProof/>
              </w:rPr>
              <w:t xml:space="preserve">C6.R.4 </w:t>
            </w:r>
          </w:p>
        </w:tc>
        <w:tc>
          <w:tcPr>
            <w:tcW w:w="1015" w:type="dxa"/>
            <w:shd w:val="clear" w:color="auto" w:fill="C6EFCE"/>
            <w:vAlign w:val="center"/>
            <w:hideMark/>
          </w:tcPr>
          <w:p w14:paraId="7A5392B3"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2B4" w14:textId="77777777" w:rsidR="008273B8" w:rsidRDefault="00B93063">
            <w:pPr>
              <w:pStyle w:val="P68B1DB1-Normal7"/>
              <w:spacing w:after="0" w:line="240" w:lineRule="auto"/>
              <w:rPr>
                <w:rFonts w:eastAsia="Times New Roman" w:cs="Calibri"/>
                <w:noProof/>
              </w:rPr>
            </w:pPr>
            <w:r>
              <w:rPr>
                <w:noProof/>
              </w:rPr>
              <w:t xml:space="preserve">Stupanje na snagu Zakona XLVI. iz 2020. </w:t>
            </w:r>
          </w:p>
        </w:tc>
        <w:tc>
          <w:tcPr>
            <w:tcW w:w="2031" w:type="dxa"/>
            <w:shd w:val="clear" w:color="auto" w:fill="C6EFCE"/>
            <w:vAlign w:val="center"/>
            <w:hideMark/>
          </w:tcPr>
          <w:p w14:paraId="7A5392B5" w14:textId="77777777" w:rsidR="008273B8" w:rsidRDefault="00B93063">
            <w:pPr>
              <w:pStyle w:val="P68B1DB1-Normal7"/>
              <w:spacing w:after="0" w:line="240" w:lineRule="auto"/>
              <w:rPr>
                <w:rFonts w:eastAsia="Times New Roman" w:cs="Calibri"/>
                <w:noProof/>
              </w:rPr>
            </w:pPr>
            <w:r>
              <w:rPr>
                <w:noProof/>
              </w:rPr>
              <w:t xml:space="preserve">Odredba zakona o stupanju na snagu Zakona XLVI. iz 2020. </w:t>
            </w:r>
          </w:p>
        </w:tc>
        <w:tc>
          <w:tcPr>
            <w:tcW w:w="924" w:type="dxa"/>
            <w:shd w:val="clear" w:color="auto" w:fill="C6EFCE"/>
            <w:vAlign w:val="center"/>
            <w:hideMark/>
          </w:tcPr>
          <w:p w14:paraId="7A5392B6"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2B7"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2B8"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2B9" w14:textId="77777777" w:rsidR="008273B8" w:rsidRDefault="00B93063">
            <w:pPr>
              <w:pStyle w:val="P68B1DB1-Normal7"/>
              <w:spacing w:after="0" w:line="240" w:lineRule="auto"/>
              <w:jc w:val="center"/>
              <w:rPr>
                <w:rFonts w:eastAsia="Times New Roman" w:cs="Calibri"/>
                <w:noProof/>
              </w:rPr>
            </w:pPr>
            <w:r>
              <w:rPr>
                <w:noProof/>
              </w:rPr>
              <w:t>TROMJESEČJE</w:t>
            </w:r>
          </w:p>
        </w:tc>
        <w:tc>
          <w:tcPr>
            <w:tcW w:w="709" w:type="dxa"/>
            <w:shd w:val="clear" w:color="auto" w:fill="C6EFCE"/>
            <w:vAlign w:val="center"/>
            <w:hideMark/>
          </w:tcPr>
          <w:p w14:paraId="7A5392BA" w14:textId="77777777" w:rsidR="008273B8" w:rsidRDefault="00B93063">
            <w:pPr>
              <w:pStyle w:val="P68B1DB1-Normal7"/>
              <w:spacing w:after="0" w:line="240" w:lineRule="auto"/>
              <w:jc w:val="center"/>
              <w:rPr>
                <w:rFonts w:eastAsia="Times New Roman" w:cs="Calibri"/>
                <w:noProof/>
              </w:rPr>
            </w:pPr>
            <w:r>
              <w:rPr>
                <w:noProof/>
              </w:rPr>
              <w:t>2020</w:t>
            </w:r>
          </w:p>
        </w:tc>
        <w:tc>
          <w:tcPr>
            <w:tcW w:w="5074" w:type="dxa"/>
            <w:shd w:val="clear" w:color="auto" w:fill="C6EFCE"/>
            <w:vAlign w:val="center"/>
            <w:hideMark/>
          </w:tcPr>
          <w:p w14:paraId="7A5392BB" w14:textId="77777777" w:rsidR="008273B8" w:rsidRDefault="00B93063">
            <w:pPr>
              <w:pStyle w:val="P68B1DB1-Normal7"/>
              <w:spacing w:after="0" w:line="240" w:lineRule="auto"/>
              <w:rPr>
                <w:rFonts w:eastAsia="Times New Roman" w:cs="Calibri"/>
                <w:noProof/>
              </w:rPr>
            </w:pPr>
            <w:r>
              <w:rPr>
                <w:noProof/>
              </w:rPr>
              <w:t>Zakonom XLVI. iz 2020. Stalnoj komisiji za borbu protiv korupcije dodjeljuje se dodatno zakonsko pojačanje. Zakonom se utvrđuju odredbe o imenovanju predsjednika i članova Povjerenstva. U Zakonu se navodi da ako PCAC smatra da je postupanje koje se istražuje korumpirano, povezano s korupcijom ili da potiče korupciju, izvješće se prosljeđuje glavnom državnom odvjetniku.</w:t>
            </w:r>
          </w:p>
        </w:tc>
      </w:tr>
      <w:tr w:rsidR="008273B8" w14:paraId="7A5392C8" w14:textId="77777777">
        <w:trPr>
          <w:cantSplit/>
          <w:jc w:val="center"/>
        </w:trPr>
        <w:tc>
          <w:tcPr>
            <w:tcW w:w="1150" w:type="dxa"/>
            <w:shd w:val="clear" w:color="auto" w:fill="C6EFCE"/>
            <w:vAlign w:val="center"/>
            <w:hideMark/>
          </w:tcPr>
          <w:p w14:paraId="7A5392BD" w14:textId="77777777" w:rsidR="008273B8" w:rsidRDefault="00B93063">
            <w:pPr>
              <w:pStyle w:val="P68B1DB1-Normal7"/>
              <w:spacing w:after="0" w:line="240" w:lineRule="auto"/>
              <w:rPr>
                <w:rFonts w:eastAsia="Times New Roman" w:cs="Calibri"/>
                <w:noProof/>
              </w:rPr>
            </w:pPr>
            <w:r>
              <w:rPr>
                <w:noProof/>
              </w:rPr>
              <w:t>6.16</w:t>
            </w:r>
          </w:p>
        </w:tc>
        <w:tc>
          <w:tcPr>
            <w:tcW w:w="1172" w:type="dxa"/>
            <w:shd w:val="clear" w:color="auto" w:fill="C6EFCE"/>
            <w:vAlign w:val="center"/>
            <w:hideMark/>
          </w:tcPr>
          <w:p w14:paraId="7A5392BE" w14:textId="77777777" w:rsidR="008273B8" w:rsidRDefault="00B93063">
            <w:pPr>
              <w:pStyle w:val="P68B1DB1-Normal7"/>
              <w:spacing w:after="0" w:line="240" w:lineRule="auto"/>
              <w:rPr>
                <w:rFonts w:eastAsia="Times New Roman" w:cs="Calibri"/>
                <w:noProof/>
              </w:rPr>
            </w:pPr>
            <w:r>
              <w:rPr>
                <w:noProof/>
              </w:rPr>
              <w:t xml:space="preserve">C6.R.4 </w:t>
            </w:r>
          </w:p>
        </w:tc>
        <w:tc>
          <w:tcPr>
            <w:tcW w:w="1015" w:type="dxa"/>
            <w:shd w:val="clear" w:color="auto" w:fill="C6EFCE"/>
            <w:vAlign w:val="center"/>
            <w:hideMark/>
          </w:tcPr>
          <w:p w14:paraId="7A5392BF"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2C0" w14:textId="77777777" w:rsidR="008273B8" w:rsidRDefault="00B93063">
            <w:pPr>
              <w:pStyle w:val="P68B1DB1-Normal7"/>
              <w:spacing w:after="0" w:line="240" w:lineRule="auto"/>
              <w:rPr>
                <w:rFonts w:eastAsia="Times New Roman" w:cs="Calibri"/>
                <w:noProof/>
              </w:rPr>
            </w:pPr>
            <w:r>
              <w:rPr>
                <w:noProof/>
              </w:rPr>
              <w:t>Planovi proračuna i ljudskih resursa PCAC-a</w:t>
            </w:r>
          </w:p>
        </w:tc>
        <w:tc>
          <w:tcPr>
            <w:tcW w:w="2031" w:type="dxa"/>
            <w:shd w:val="clear" w:color="auto" w:fill="C6EFCE"/>
            <w:vAlign w:val="center"/>
            <w:hideMark/>
          </w:tcPr>
          <w:p w14:paraId="7A5392C1" w14:textId="77777777" w:rsidR="008273B8" w:rsidRDefault="00B93063">
            <w:pPr>
              <w:pStyle w:val="P68B1DB1-Normal7"/>
              <w:spacing w:after="0" w:line="240" w:lineRule="auto"/>
              <w:rPr>
                <w:rFonts w:eastAsia="Times New Roman" w:cs="Calibri"/>
                <w:noProof/>
              </w:rPr>
            </w:pPr>
            <w:r>
              <w:rPr>
                <w:noProof/>
              </w:rPr>
              <w:t>Provedba proračunskih planova za ljudske resurse</w:t>
            </w:r>
          </w:p>
        </w:tc>
        <w:tc>
          <w:tcPr>
            <w:tcW w:w="924" w:type="dxa"/>
            <w:shd w:val="clear" w:color="auto" w:fill="C6EFCE"/>
            <w:vAlign w:val="center"/>
            <w:hideMark/>
          </w:tcPr>
          <w:p w14:paraId="7A5392C2"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2C3"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2C4"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2C5"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09" w:type="dxa"/>
            <w:shd w:val="clear" w:color="auto" w:fill="C6EFCE"/>
            <w:vAlign w:val="center"/>
            <w:hideMark/>
          </w:tcPr>
          <w:p w14:paraId="7A5392C6" w14:textId="77777777" w:rsidR="008273B8" w:rsidRDefault="00B93063">
            <w:pPr>
              <w:pStyle w:val="P68B1DB1-Normal7"/>
              <w:spacing w:after="0" w:line="240" w:lineRule="auto"/>
              <w:jc w:val="center"/>
              <w:rPr>
                <w:rFonts w:eastAsia="Times New Roman" w:cs="Calibri"/>
                <w:noProof/>
              </w:rPr>
            </w:pPr>
            <w:r>
              <w:rPr>
                <w:noProof/>
              </w:rPr>
              <w:t xml:space="preserve">2024 </w:t>
            </w:r>
          </w:p>
        </w:tc>
        <w:tc>
          <w:tcPr>
            <w:tcW w:w="5074" w:type="dxa"/>
            <w:shd w:val="clear" w:color="auto" w:fill="C6EFCE"/>
            <w:vAlign w:val="center"/>
            <w:hideMark/>
          </w:tcPr>
          <w:p w14:paraId="7A5392C7" w14:textId="77777777" w:rsidR="008273B8" w:rsidRDefault="00B93063">
            <w:pPr>
              <w:pStyle w:val="P68B1DB1-Normal7"/>
              <w:spacing w:after="0" w:line="240" w:lineRule="auto"/>
              <w:rPr>
                <w:rFonts w:eastAsia="Times New Roman" w:cs="Calibri"/>
                <w:noProof/>
              </w:rPr>
            </w:pPr>
            <w:r>
              <w:rPr>
                <w:noProof/>
              </w:rPr>
              <w:t>PCAC do 31. prosinca 2021. izrađuje proračunski plan i plan ljudskih resursa za sljedeće tri godine, čime se povećava kapacitet osoblja. Plan uključuje potrebe (proračun, operacije, ljudske resurse) i utvrđuje kako su potrebe ispunjene. Plan se u potpunosti provodi do četvrtog tromjesečja 2024.</w:t>
            </w:r>
          </w:p>
        </w:tc>
      </w:tr>
      <w:tr w:rsidR="008273B8" w14:paraId="7A5392D4" w14:textId="77777777">
        <w:trPr>
          <w:cantSplit/>
          <w:jc w:val="center"/>
        </w:trPr>
        <w:tc>
          <w:tcPr>
            <w:tcW w:w="1150" w:type="dxa"/>
            <w:shd w:val="clear" w:color="auto" w:fill="C6EFCE"/>
            <w:vAlign w:val="center"/>
            <w:hideMark/>
          </w:tcPr>
          <w:p w14:paraId="7A5392C9" w14:textId="77777777" w:rsidR="008273B8" w:rsidRDefault="00B93063">
            <w:pPr>
              <w:pStyle w:val="P68B1DB1-Normal7"/>
              <w:spacing w:after="0" w:line="240" w:lineRule="auto"/>
              <w:rPr>
                <w:rFonts w:eastAsia="Times New Roman" w:cs="Calibri"/>
                <w:noProof/>
              </w:rPr>
            </w:pPr>
            <w:r>
              <w:rPr>
                <w:noProof/>
              </w:rPr>
              <w:t>6.17</w:t>
            </w:r>
          </w:p>
        </w:tc>
        <w:tc>
          <w:tcPr>
            <w:tcW w:w="1172" w:type="dxa"/>
            <w:shd w:val="clear" w:color="auto" w:fill="C6EFCE"/>
            <w:vAlign w:val="center"/>
            <w:hideMark/>
          </w:tcPr>
          <w:p w14:paraId="7A5392CA" w14:textId="77777777" w:rsidR="008273B8" w:rsidRDefault="00B93063">
            <w:pPr>
              <w:pStyle w:val="P68B1DB1-Normal7"/>
              <w:spacing w:after="0" w:line="240" w:lineRule="auto"/>
              <w:rPr>
                <w:rFonts w:eastAsia="Times New Roman" w:cs="Calibri"/>
                <w:noProof/>
              </w:rPr>
            </w:pPr>
            <w:r>
              <w:rPr>
                <w:noProof/>
              </w:rPr>
              <w:t xml:space="preserve">C6.R.4 </w:t>
            </w:r>
          </w:p>
        </w:tc>
        <w:tc>
          <w:tcPr>
            <w:tcW w:w="1015" w:type="dxa"/>
            <w:shd w:val="clear" w:color="auto" w:fill="C6EFCE"/>
            <w:vAlign w:val="center"/>
            <w:hideMark/>
          </w:tcPr>
          <w:p w14:paraId="7A5392CB"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2CC" w14:textId="77777777" w:rsidR="008273B8" w:rsidRDefault="00B93063">
            <w:pPr>
              <w:pStyle w:val="P68B1DB1-Normal7"/>
              <w:spacing w:after="0" w:line="240" w:lineRule="auto"/>
              <w:rPr>
                <w:rFonts w:eastAsia="Times New Roman" w:cs="Calibri"/>
                <w:noProof/>
              </w:rPr>
            </w:pPr>
            <w:r>
              <w:rPr>
                <w:noProof/>
              </w:rPr>
              <w:t>Uspostava digitalnog registra informacija o korupcijskim predmetima kojima raspolaže PCAC</w:t>
            </w:r>
          </w:p>
        </w:tc>
        <w:tc>
          <w:tcPr>
            <w:tcW w:w="2031" w:type="dxa"/>
            <w:shd w:val="clear" w:color="auto" w:fill="C6EFCE"/>
            <w:vAlign w:val="center"/>
            <w:hideMark/>
          </w:tcPr>
          <w:p w14:paraId="7A5392CD" w14:textId="77777777" w:rsidR="008273B8" w:rsidRDefault="00B93063">
            <w:pPr>
              <w:pStyle w:val="P68B1DB1-Normal7"/>
              <w:spacing w:after="0" w:line="240" w:lineRule="auto"/>
              <w:rPr>
                <w:rFonts w:eastAsia="Times New Roman" w:cs="Calibri"/>
                <w:noProof/>
              </w:rPr>
            </w:pPr>
            <w:r>
              <w:rPr>
                <w:noProof/>
              </w:rPr>
              <w:t xml:space="preserve">Digitalni registar o korupcijskim predmetima PCAC-a operativan </w:t>
            </w:r>
          </w:p>
        </w:tc>
        <w:tc>
          <w:tcPr>
            <w:tcW w:w="924" w:type="dxa"/>
            <w:shd w:val="clear" w:color="auto" w:fill="C6EFCE"/>
            <w:vAlign w:val="center"/>
            <w:hideMark/>
          </w:tcPr>
          <w:p w14:paraId="7A5392CE"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2CF"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2D0"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2D1"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09" w:type="dxa"/>
            <w:shd w:val="clear" w:color="auto" w:fill="C6EFCE"/>
            <w:vAlign w:val="center"/>
            <w:hideMark/>
          </w:tcPr>
          <w:p w14:paraId="7A5392D2" w14:textId="77777777" w:rsidR="008273B8" w:rsidRDefault="00B93063">
            <w:pPr>
              <w:pStyle w:val="P68B1DB1-Normal7"/>
              <w:spacing w:after="0" w:line="240" w:lineRule="auto"/>
              <w:jc w:val="center"/>
              <w:rPr>
                <w:rFonts w:eastAsia="Times New Roman" w:cs="Calibri"/>
                <w:noProof/>
              </w:rPr>
            </w:pPr>
            <w:r>
              <w:rPr>
                <w:noProof/>
              </w:rPr>
              <w:t>2024</w:t>
            </w:r>
          </w:p>
        </w:tc>
        <w:tc>
          <w:tcPr>
            <w:tcW w:w="5074" w:type="dxa"/>
            <w:shd w:val="clear" w:color="auto" w:fill="C6EFCE"/>
            <w:vAlign w:val="center"/>
            <w:hideMark/>
          </w:tcPr>
          <w:p w14:paraId="7A5392D3" w14:textId="77777777" w:rsidR="008273B8" w:rsidRDefault="00B93063">
            <w:pPr>
              <w:pStyle w:val="P68B1DB1-Normal7"/>
              <w:spacing w:after="0" w:line="240" w:lineRule="auto"/>
              <w:rPr>
                <w:rFonts w:eastAsia="Times New Roman" w:cs="Calibri"/>
                <w:noProof/>
              </w:rPr>
            </w:pPr>
            <w:r>
              <w:rPr>
                <w:noProof/>
              </w:rPr>
              <w:t xml:space="preserve">Uspostavlja se digitalni registar za prikupljanje informacija o slučajevima korupcije, djelovanjima/postupcima kako bi se povećala učinkovitost djelovanja PCAC-a i podržao rad drugih javnih tijela u pitanjima koja su u nadležnosti PCAC-a. </w:t>
            </w:r>
          </w:p>
        </w:tc>
      </w:tr>
      <w:tr w:rsidR="008273B8" w14:paraId="7A5392E0" w14:textId="77777777">
        <w:trPr>
          <w:cantSplit/>
          <w:jc w:val="center"/>
        </w:trPr>
        <w:tc>
          <w:tcPr>
            <w:tcW w:w="1150" w:type="dxa"/>
            <w:shd w:val="clear" w:color="auto" w:fill="C6EFCE"/>
            <w:vAlign w:val="center"/>
            <w:hideMark/>
          </w:tcPr>
          <w:p w14:paraId="7A5392D5" w14:textId="77777777" w:rsidR="008273B8" w:rsidRDefault="00B93063">
            <w:pPr>
              <w:pStyle w:val="P68B1DB1-Normal7"/>
              <w:spacing w:after="0" w:line="240" w:lineRule="auto"/>
              <w:rPr>
                <w:rFonts w:eastAsia="Times New Roman" w:cs="Calibri"/>
                <w:noProof/>
              </w:rPr>
            </w:pPr>
            <w:r>
              <w:rPr>
                <w:noProof/>
              </w:rPr>
              <w:t>6.18</w:t>
            </w:r>
          </w:p>
        </w:tc>
        <w:tc>
          <w:tcPr>
            <w:tcW w:w="1172" w:type="dxa"/>
            <w:shd w:val="clear" w:color="auto" w:fill="C6EFCE"/>
            <w:vAlign w:val="center"/>
            <w:hideMark/>
          </w:tcPr>
          <w:p w14:paraId="7A5392D6" w14:textId="77777777" w:rsidR="008273B8" w:rsidRDefault="00B93063">
            <w:pPr>
              <w:pStyle w:val="P68B1DB1-Normal7"/>
              <w:spacing w:after="0" w:line="240" w:lineRule="auto"/>
              <w:rPr>
                <w:rFonts w:eastAsia="Times New Roman" w:cs="Calibri"/>
                <w:noProof/>
              </w:rPr>
            </w:pPr>
            <w:r>
              <w:rPr>
                <w:noProof/>
              </w:rPr>
              <w:t xml:space="preserve">C6.R.4 </w:t>
            </w:r>
          </w:p>
        </w:tc>
        <w:tc>
          <w:tcPr>
            <w:tcW w:w="1015" w:type="dxa"/>
            <w:shd w:val="clear" w:color="auto" w:fill="C6EFCE"/>
            <w:vAlign w:val="center"/>
            <w:hideMark/>
          </w:tcPr>
          <w:p w14:paraId="7A5392D7"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2D8" w14:textId="77777777" w:rsidR="008273B8" w:rsidRDefault="00B93063">
            <w:pPr>
              <w:pStyle w:val="P68B1DB1-Normal7"/>
              <w:spacing w:after="0" w:line="240" w:lineRule="auto"/>
              <w:rPr>
                <w:rFonts w:eastAsia="Times New Roman" w:cs="Calibri"/>
                <w:noProof/>
              </w:rPr>
            </w:pPr>
            <w:r>
              <w:rPr>
                <w:noProof/>
              </w:rPr>
              <w:t>Donošenje internog standardnog operativnog postupka od strane PCAC-a</w:t>
            </w:r>
          </w:p>
        </w:tc>
        <w:tc>
          <w:tcPr>
            <w:tcW w:w="2031" w:type="dxa"/>
            <w:shd w:val="clear" w:color="auto" w:fill="C6EFCE"/>
            <w:vAlign w:val="center"/>
            <w:hideMark/>
          </w:tcPr>
          <w:p w14:paraId="7A5392D9" w14:textId="77777777" w:rsidR="008273B8" w:rsidRDefault="00B93063">
            <w:pPr>
              <w:pStyle w:val="P68B1DB1-Normal7"/>
              <w:spacing w:after="0" w:line="240" w:lineRule="auto"/>
              <w:rPr>
                <w:rFonts w:eastAsia="Times New Roman" w:cs="Calibri"/>
                <w:noProof/>
              </w:rPr>
            </w:pPr>
            <w:r>
              <w:rPr>
                <w:noProof/>
              </w:rPr>
              <w:t xml:space="preserve">Primjenjuje se interni standardni operativni postupak </w:t>
            </w:r>
          </w:p>
        </w:tc>
        <w:tc>
          <w:tcPr>
            <w:tcW w:w="924" w:type="dxa"/>
            <w:shd w:val="clear" w:color="auto" w:fill="C6EFCE"/>
            <w:vAlign w:val="center"/>
            <w:hideMark/>
          </w:tcPr>
          <w:p w14:paraId="7A5392DA"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2DB"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2DC"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2DD"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09" w:type="dxa"/>
            <w:shd w:val="clear" w:color="auto" w:fill="C6EFCE"/>
            <w:vAlign w:val="center"/>
            <w:hideMark/>
          </w:tcPr>
          <w:p w14:paraId="7A5392DE" w14:textId="77777777" w:rsidR="008273B8" w:rsidRDefault="00B93063">
            <w:pPr>
              <w:pStyle w:val="P68B1DB1-Normal7"/>
              <w:spacing w:after="0" w:line="240" w:lineRule="auto"/>
              <w:jc w:val="center"/>
              <w:rPr>
                <w:rFonts w:eastAsia="Times New Roman" w:cs="Calibri"/>
                <w:noProof/>
              </w:rPr>
            </w:pPr>
            <w:r>
              <w:rPr>
                <w:noProof/>
              </w:rPr>
              <w:t>2024</w:t>
            </w:r>
          </w:p>
        </w:tc>
        <w:tc>
          <w:tcPr>
            <w:tcW w:w="5074" w:type="dxa"/>
            <w:shd w:val="clear" w:color="auto" w:fill="C6EFCE"/>
            <w:vAlign w:val="center"/>
            <w:hideMark/>
          </w:tcPr>
          <w:p w14:paraId="7A5392DF" w14:textId="77777777" w:rsidR="008273B8" w:rsidRDefault="00B93063">
            <w:pPr>
              <w:pStyle w:val="P68B1DB1-Normal7"/>
              <w:spacing w:after="0" w:line="240" w:lineRule="auto"/>
              <w:rPr>
                <w:rFonts w:eastAsia="Times New Roman" w:cs="Calibri"/>
                <w:noProof/>
              </w:rPr>
            </w:pPr>
            <w:r>
              <w:rPr>
                <w:noProof/>
              </w:rPr>
              <w:t xml:space="preserve">Unutarnjim standardnim operativnim postupkom osigurava se niz postupnih uputa za pomoć radnicima u obavljanju rutinskih radnji. To uključuje: (i) cilj; ii. zakonodavstvo, područje primjene i primjenjivost; iii. pojedinosti o politici; iv. definicije koje se odnose na korupciju, tajno dogovaranje i zaštitu zviždača; v. usklađenost s politikom; VI. vođenje evidencije/registracija; unutarnji postupci (faze, uredska nadležnost, međuinstitucijska suradnja); i viii. osposobljavanje i komunikacija. </w:t>
            </w:r>
          </w:p>
        </w:tc>
      </w:tr>
      <w:tr w:rsidR="008273B8" w14:paraId="7A5392EC" w14:textId="77777777">
        <w:trPr>
          <w:cantSplit/>
          <w:jc w:val="center"/>
        </w:trPr>
        <w:tc>
          <w:tcPr>
            <w:tcW w:w="1150" w:type="dxa"/>
            <w:shd w:val="clear" w:color="auto" w:fill="C6EFCE"/>
            <w:vAlign w:val="center"/>
            <w:hideMark/>
          </w:tcPr>
          <w:p w14:paraId="7A5392E1" w14:textId="77777777" w:rsidR="008273B8" w:rsidRDefault="00B93063">
            <w:pPr>
              <w:pStyle w:val="P68B1DB1-Normal7"/>
              <w:spacing w:after="0" w:line="240" w:lineRule="auto"/>
              <w:rPr>
                <w:rFonts w:eastAsia="Times New Roman" w:cs="Calibri"/>
                <w:noProof/>
              </w:rPr>
            </w:pPr>
            <w:r>
              <w:rPr>
                <w:noProof/>
              </w:rPr>
              <w:t>6.19</w:t>
            </w:r>
          </w:p>
        </w:tc>
        <w:tc>
          <w:tcPr>
            <w:tcW w:w="1172" w:type="dxa"/>
            <w:shd w:val="clear" w:color="auto" w:fill="C6EFCE"/>
            <w:vAlign w:val="center"/>
            <w:hideMark/>
          </w:tcPr>
          <w:p w14:paraId="7A5392E2" w14:textId="77777777" w:rsidR="008273B8" w:rsidRDefault="00B93063">
            <w:pPr>
              <w:pStyle w:val="P68B1DB1-Normal7"/>
              <w:spacing w:after="0" w:line="240" w:lineRule="auto"/>
              <w:rPr>
                <w:rFonts w:eastAsia="Times New Roman" w:cs="Calibri"/>
                <w:noProof/>
              </w:rPr>
            </w:pPr>
            <w:r>
              <w:rPr>
                <w:noProof/>
              </w:rPr>
              <w:t xml:space="preserve">C6.R.5 </w:t>
            </w:r>
          </w:p>
        </w:tc>
        <w:tc>
          <w:tcPr>
            <w:tcW w:w="1015" w:type="dxa"/>
            <w:shd w:val="clear" w:color="auto" w:fill="C6EFCE"/>
            <w:vAlign w:val="center"/>
            <w:hideMark/>
          </w:tcPr>
          <w:p w14:paraId="7A5392E3" w14:textId="77777777" w:rsidR="008273B8" w:rsidRDefault="00B93063">
            <w:pPr>
              <w:pStyle w:val="P68B1DB1-Normal7"/>
              <w:spacing w:after="0" w:line="240" w:lineRule="auto"/>
              <w:rPr>
                <w:rFonts w:eastAsia="Times New Roman" w:cs="Calibri"/>
                <w:noProof/>
              </w:rPr>
            </w:pPr>
            <w:r>
              <w:rPr>
                <w:noProof/>
              </w:rPr>
              <w:t>Ciljna vrijednost</w:t>
            </w:r>
          </w:p>
        </w:tc>
        <w:tc>
          <w:tcPr>
            <w:tcW w:w="1595" w:type="dxa"/>
            <w:shd w:val="clear" w:color="auto" w:fill="C6EFCE"/>
            <w:vAlign w:val="center"/>
            <w:hideMark/>
          </w:tcPr>
          <w:p w14:paraId="7A5392E4" w14:textId="77777777" w:rsidR="008273B8" w:rsidRDefault="00B93063">
            <w:pPr>
              <w:pStyle w:val="P68B1DB1-Normal7"/>
              <w:spacing w:after="0" w:line="240" w:lineRule="auto"/>
              <w:rPr>
                <w:rFonts w:eastAsia="Times New Roman" w:cs="Calibri"/>
                <w:noProof/>
              </w:rPr>
            </w:pPr>
            <w:r>
              <w:rPr>
                <w:noProof/>
              </w:rPr>
              <w:t>Povećati broj zaposlenika u Uredu za oduzimanje imovinske koristi</w:t>
            </w:r>
          </w:p>
        </w:tc>
        <w:tc>
          <w:tcPr>
            <w:tcW w:w="2031" w:type="dxa"/>
            <w:shd w:val="clear" w:color="auto" w:fill="C6EFCE"/>
            <w:vAlign w:val="center"/>
            <w:hideMark/>
          </w:tcPr>
          <w:p w14:paraId="7A5392E5" w14:textId="77777777" w:rsidR="008273B8" w:rsidRDefault="00B93063">
            <w:pPr>
              <w:pStyle w:val="P68B1DB1-Normal7"/>
              <w:spacing w:after="0" w:line="240" w:lineRule="auto"/>
              <w:rPr>
                <w:rFonts w:eastAsia="Times New Roman" w:cs="Calibri"/>
                <w:noProof/>
              </w:rPr>
            </w:pPr>
            <w:r>
              <w:rPr>
                <w:noProof/>
              </w:rPr>
              <w:t> </w:t>
            </w:r>
          </w:p>
        </w:tc>
        <w:tc>
          <w:tcPr>
            <w:tcW w:w="924" w:type="dxa"/>
            <w:shd w:val="clear" w:color="auto" w:fill="C6EFCE"/>
            <w:vAlign w:val="center"/>
            <w:hideMark/>
          </w:tcPr>
          <w:p w14:paraId="7A5392E6" w14:textId="77777777" w:rsidR="008273B8" w:rsidRDefault="00B93063">
            <w:pPr>
              <w:pStyle w:val="P68B1DB1-Normal7"/>
              <w:spacing w:after="0" w:line="240" w:lineRule="auto"/>
              <w:jc w:val="center"/>
              <w:rPr>
                <w:rFonts w:eastAsia="Times New Roman" w:cs="Calibri"/>
                <w:noProof/>
              </w:rPr>
            </w:pPr>
            <w:r>
              <w:rPr>
                <w:noProof/>
              </w:rPr>
              <w:t>Broj</w:t>
            </w:r>
          </w:p>
        </w:tc>
        <w:tc>
          <w:tcPr>
            <w:tcW w:w="915" w:type="dxa"/>
            <w:shd w:val="clear" w:color="auto" w:fill="C6EFCE"/>
            <w:vAlign w:val="center"/>
            <w:hideMark/>
          </w:tcPr>
          <w:p w14:paraId="7A5392E7" w14:textId="77777777" w:rsidR="008273B8" w:rsidRDefault="00B93063">
            <w:pPr>
              <w:pStyle w:val="P68B1DB1-Normal7"/>
              <w:spacing w:after="0" w:line="240" w:lineRule="auto"/>
              <w:jc w:val="center"/>
              <w:rPr>
                <w:rFonts w:eastAsia="Times New Roman" w:cs="Calibri"/>
                <w:noProof/>
              </w:rPr>
            </w:pPr>
            <w:r>
              <w:rPr>
                <w:noProof/>
              </w:rPr>
              <w:t>11</w:t>
            </w:r>
          </w:p>
        </w:tc>
        <w:tc>
          <w:tcPr>
            <w:tcW w:w="974" w:type="dxa"/>
            <w:shd w:val="clear" w:color="auto" w:fill="C6EFCE"/>
            <w:vAlign w:val="center"/>
            <w:hideMark/>
          </w:tcPr>
          <w:p w14:paraId="7A5392E8" w14:textId="77777777" w:rsidR="008273B8" w:rsidRDefault="00B93063">
            <w:pPr>
              <w:pStyle w:val="P68B1DB1-Normal7"/>
              <w:spacing w:after="0" w:line="240" w:lineRule="auto"/>
              <w:jc w:val="center"/>
              <w:rPr>
                <w:rFonts w:eastAsia="Times New Roman" w:cs="Calibri"/>
                <w:noProof/>
              </w:rPr>
            </w:pPr>
            <w:r>
              <w:rPr>
                <w:noProof/>
              </w:rPr>
              <w:t>45</w:t>
            </w:r>
          </w:p>
        </w:tc>
        <w:tc>
          <w:tcPr>
            <w:tcW w:w="709" w:type="dxa"/>
            <w:shd w:val="clear" w:color="auto" w:fill="C6EFCE"/>
            <w:vAlign w:val="center"/>
            <w:hideMark/>
          </w:tcPr>
          <w:p w14:paraId="7A5392E9"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09" w:type="dxa"/>
            <w:shd w:val="clear" w:color="auto" w:fill="C6EFCE"/>
            <w:vAlign w:val="center"/>
            <w:hideMark/>
          </w:tcPr>
          <w:p w14:paraId="7A5392EA" w14:textId="77777777" w:rsidR="008273B8" w:rsidRDefault="00B93063">
            <w:pPr>
              <w:pStyle w:val="P68B1DB1-Normal7"/>
              <w:spacing w:after="0" w:line="240" w:lineRule="auto"/>
              <w:jc w:val="center"/>
              <w:rPr>
                <w:rFonts w:eastAsia="Times New Roman" w:cs="Calibri"/>
                <w:noProof/>
              </w:rPr>
            </w:pPr>
            <w:r>
              <w:rPr>
                <w:noProof/>
              </w:rPr>
              <w:t>2023</w:t>
            </w:r>
          </w:p>
        </w:tc>
        <w:tc>
          <w:tcPr>
            <w:tcW w:w="5074" w:type="dxa"/>
            <w:shd w:val="clear" w:color="auto" w:fill="C6EFCE"/>
            <w:vAlign w:val="center"/>
            <w:hideMark/>
          </w:tcPr>
          <w:p w14:paraId="7A5392EB" w14:textId="77777777" w:rsidR="008273B8" w:rsidRDefault="00B93063">
            <w:pPr>
              <w:pStyle w:val="P68B1DB1-Normal7"/>
              <w:spacing w:after="0" w:line="240" w:lineRule="auto"/>
              <w:rPr>
                <w:rFonts w:eastAsia="Times New Roman" w:cs="Calibri"/>
                <w:noProof/>
              </w:rPr>
            </w:pPr>
            <w:r>
              <w:rPr>
                <w:noProof/>
              </w:rPr>
              <w:t>U skladu sa strategijom Ureda za oduzimanje imovinske koristi (2021. – 2023.) u Uredu za oduzimanje imovinske koristi zaposleno je ukupno 45 službenika (ekvivalent punog radnog vremena), uključujući službenike za istraživanje, dužnosnike na rukovodećoj razini te administrativno i pomoćno osoblje.</w:t>
            </w:r>
          </w:p>
        </w:tc>
      </w:tr>
      <w:tr w:rsidR="008273B8" w14:paraId="7A5392F8" w14:textId="77777777">
        <w:trPr>
          <w:cantSplit/>
          <w:jc w:val="center"/>
        </w:trPr>
        <w:tc>
          <w:tcPr>
            <w:tcW w:w="1150" w:type="dxa"/>
            <w:shd w:val="clear" w:color="auto" w:fill="C6EFCE"/>
            <w:vAlign w:val="center"/>
            <w:hideMark/>
          </w:tcPr>
          <w:p w14:paraId="7A5392ED" w14:textId="77777777" w:rsidR="008273B8" w:rsidRDefault="00B93063">
            <w:pPr>
              <w:pStyle w:val="P68B1DB1-Normal7"/>
              <w:spacing w:after="0" w:line="240" w:lineRule="auto"/>
              <w:rPr>
                <w:rFonts w:eastAsia="Times New Roman" w:cs="Calibri"/>
                <w:noProof/>
              </w:rPr>
            </w:pPr>
            <w:r>
              <w:rPr>
                <w:noProof/>
              </w:rPr>
              <w:t>6.20</w:t>
            </w:r>
          </w:p>
        </w:tc>
        <w:tc>
          <w:tcPr>
            <w:tcW w:w="1172" w:type="dxa"/>
            <w:shd w:val="clear" w:color="auto" w:fill="C6EFCE"/>
            <w:vAlign w:val="center"/>
            <w:hideMark/>
          </w:tcPr>
          <w:p w14:paraId="7A5392EE" w14:textId="77777777" w:rsidR="008273B8" w:rsidRDefault="00B93063">
            <w:pPr>
              <w:pStyle w:val="P68B1DB1-Normal7"/>
              <w:spacing w:after="0" w:line="240" w:lineRule="auto"/>
              <w:rPr>
                <w:rFonts w:eastAsia="Times New Roman" w:cs="Calibri"/>
                <w:noProof/>
              </w:rPr>
            </w:pPr>
            <w:r>
              <w:rPr>
                <w:noProof/>
              </w:rPr>
              <w:t xml:space="preserve">C6.R.5 </w:t>
            </w:r>
          </w:p>
        </w:tc>
        <w:tc>
          <w:tcPr>
            <w:tcW w:w="1015" w:type="dxa"/>
            <w:shd w:val="clear" w:color="auto" w:fill="C6EFCE"/>
            <w:vAlign w:val="center"/>
            <w:hideMark/>
          </w:tcPr>
          <w:p w14:paraId="7A5392EF"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2F0" w14:textId="77777777" w:rsidR="008273B8" w:rsidRDefault="00B93063">
            <w:pPr>
              <w:pStyle w:val="P68B1DB1-Normal7"/>
              <w:spacing w:after="0" w:line="240" w:lineRule="auto"/>
              <w:rPr>
                <w:rFonts w:eastAsia="Times New Roman" w:cs="Calibri"/>
                <w:noProof/>
              </w:rPr>
            </w:pPr>
            <w:r>
              <w:rPr>
                <w:noProof/>
              </w:rPr>
              <w:t>Stupanje na snagu Zakona o imovinskoj koristi ostvarenoj kaznenim djelom V. iz 2021.</w:t>
            </w:r>
          </w:p>
        </w:tc>
        <w:tc>
          <w:tcPr>
            <w:tcW w:w="2031" w:type="dxa"/>
            <w:shd w:val="clear" w:color="auto" w:fill="C6EFCE"/>
            <w:vAlign w:val="center"/>
            <w:hideMark/>
          </w:tcPr>
          <w:p w14:paraId="7A5392F1" w14:textId="77777777" w:rsidR="008273B8" w:rsidRDefault="00B93063">
            <w:pPr>
              <w:pStyle w:val="P68B1DB1-Normal7"/>
              <w:spacing w:after="0" w:line="240" w:lineRule="auto"/>
              <w:rPr>
                <w:rFonts w:eastAsia="Times New Roman" w:cs="Calibri"/>
                <w:noProof/>
              </w:rPr>
            </w:pPr>
            <w:r>
              <w:rPr>
                <w:noProof/>
              </w:rPr>
              <w:t>Odredba zakona o stupanju na snagu Zakona o imovinskoj koristi ostvarenoj kaznenim djelom V. iz 2021.</w:t>
            </w:r>
          </w:p>
        </w:tc>
        <w:tc>
          <w:tcPr>
            <w:tcW w:w="924" w:type="dxa"/>
            <w:shd w:val="clear" w:color="auto" w:fill="C6EFCE"/>
            <w:vAlign w:val="center"/>
            <w:hideMark/>
          </w:tcPr>
          <w:p w14:paraId="7A5392F2"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2F3"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2F4"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2F5" w14:textId="77777777" w:rsidR="008273B8" w:rsidRDefault="00B93063">
            <w:pPr>
              <w:pStyle w:val="P68B1DB1-Normal7"/>
              <w:spacing w:after="0" w:line="240" w:lineRule="auto"/>
              <w:jc w:val="center"/>
              <w:rPr>
                <w:rFonts w:eastAsia="Times New Roman" w:cs="Calibri"/>
                <w:noProof/>
              </w:rPr>
            </w:pPr>
            <w:r>
              <w:rPr>
                <w:noProof/>
              </w:rPr>
              <w:t>PRVO TROMJESEČJE</w:t>
            </w:r>
          </w:p>
        </w:tc>
        <w:tc>
          <w:tcPr>
            <w:tcW w:w="709" w:type="dxa"/>
            <w:shd w:val="clear" w:color="auto" w:fill="C6EFCE"/>
            <w:vAlign w:val="center"/>
            <w:hideMark/>
          </w:tcPr>
          <w:p w14:paraId="7A5392F6" w14:textId="77777777" w:rsidR="008273B8" w:rsidRDefault="00B93063">
            <w:pPr>
              <w:pStyle w:val="P68B1DB1-Normal7"/>
              <w:spacing w:after="0" w:line="240" w:lineRule="auto"/>
              <w:jc w:val="center"/>
              <w:rPr>
                <w:rFonts w:eastAsia="Times New Roman" w:cs="Calibri"/>
                <w:noProof/>
              </w:rPr>
            </w:pPr>
            <w:r>
              <w:rPr>
                <w:noProof/>
              </w:rPr>
              <w:t>2021</w:t>
            </w:r>
          </w:p>
        </w:tc>
        <w:tc>
          <w:tcPr>
            <w:tcW w:w="5074" w:type="dxa"/>
            <w:shd w:val="clear" w:color="auto" w:fill="C6EFCE"/>
            <w:vAlign w:val="center"/>
            <w:hideMark/>
          </w:tcPr>
          <w:p w14:paraId="7A5392F7" w14:textId="77777777" w:rsidR="008273B8" w:rsidRDefault="00B93063">
            <w:pPr>
              <w:pStyle w:val="P68B1DB1-Normal7"/>
              <w:spacing w:after="0" w:line="240" w:lineRule="auto"/>
              <w:rPr>
                <w:rFonts w:eastAsia="Times New Roman" w:cs="Calibri"/>
                <w:noProof/>
              </w:rPr>
            </w:pPr>
            <w:r>
              <w:rPr>
                <w:noProof/>
              </w:rPr>
              <w:t>Zakonom o imovinskoj koristi ostvarenom kaznenim djelom (Zakon br. V iz 2021.) ponovno se definira struktura Ureda za oduzimanje imovinske koristi te se opisuje njegov odnos s vladom i jača njegova neovisnost od vlade.</w:t>
            </w:r>
          </w:p>
        </w:tc>
      </w:tr>
      <w:tr w:rsidR="008273B8" w14:paraId="7A539304" w14:textId="77777777">
        <w:trPr>
          <w:cantSplit/>
          <w:jc w:val="center"/>
        </w:trPr>
        <w:tc>
          <w:tcPr>
            <w:tcW w:w="1150" w:type="dxa"/>
            <w:shd w:val="clear" w:color="auto" w:fill="C6EFCE"/>
            <w:vAlign w:val="center"/>
            <w:hideMark/>
          </w:tcPr>
          <w:p w14:paraId="7A5392F9" w14:textId="77777777" w:rsidR="008273B8" w:rsidRDefault="00B93063">
            <w:pPr>
              <w:pStyle w:val="P68B1DB1-Normal7"/>
              <w:spacing w:after="0" w:line="240" w:lineRule="auto"/>
              <w:rPr>
                <w:rFonts w:eastAsia="Times New Roman" w:cs="Calibri"/>
                <w:noProof/>
              </w:rPr>
            </w:pPr>
            <w:r>
              <w:rPr>
                <w:noProof/>
              </w:rPr>
              <w:t>6.21</w:t>
            </w:r>
          </w:p>
        </w:tc>
        <w:tc>
          <w:tcPr>
            <w:tcW w:w="1172" w:type="dxa"/>
            <w:shd w:val="clear" w:color="auto" w:fill="C6EFCE"/>
            <w:vAlign w:val="center"/>
            <w:hideMark/>
          </w:tcPr>
          <w:p w14:paraId="7A5392FA" w14:textId="77777777" w:rsidR="008273B8" w:rsidRDefault="00B93063">
            <w:pPr>
              <w:pStyle w:val="P68B1DB1-Normal7"/>
              <w:spacing w:after="0" w:line="240" w:lineRule="auto"/>
              <w:rPr>
                <w:rFonts w:eastAsia="Times New Roman" w:cs="Calibri"/>
                <w:noProof/>
              </w:rPr>
            </w:pPr>
            <w:r>
              <w:rPr>
                <w:noProof/>
              </w:rPr>
              <w:t xml:space="preserve">C6.R.6 </w:t>
            </w:r>
          </w:p>
        </w:tc>
        <w:tc>
          <w:tcPr>
            <w:tcW w:w="1015" w:type="dxa"/>
            <w:shd w:val="clear" w:color="auto" w:fill="C6EFCE"/>
            <w:vAlign w:val="center"/>
            <w:hideMark/>
          </w:tcPr>
          <w:p w14:paraId="7A5392FB"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2FC" w14:textId="77777777" w:rsidR="008273B8" w:rsidRDefault="00B93063">
            <w:pPr>
              <w:pStyle w:val="P68B1DB1-Normal7"/>
              <w:spacing w:after="0" w:line="240" w:lineRule="auto"/>
              <w:rPr>
                <w:rFonts w:eastAsia="Times New Roman" w:cs="Calibri"/>
                <w:noProof/>
              </w:rPr>
            </w:pPr>
            <w:r>
              <w:rPr>
                <w:noProof/>
              </w:rPr>
              <w:t xml:space="preserve">Stupanje na snagu Zakona XIX. iz 2020. o izmjeni Zakona o policiji </w:t>
            </w:r>
          </w:p>
        </w:tc>
        <w:tc>
          <w:tcPr>
            <w:tcW w:w="2031" w:type="dxa"/>
            <w:shd w:val="clear" w:color="auto" w:fill="C6EFCE"/>
            <w:vAlign w:val="center"/>
            <w:hideMark/>
          </w:tcPr>
          <w:p w14:paraId="7A5392FD" w14:textId="77777777" w:rsidR="008273B8" w:rsidRDefault="00B93063">
            <w:pPr>
              <w:pStyle w:val="P68B1DB1-Normal7"/>
              <w:spacing w:after="0" w:line="240" w:lineRule="auto"/>
              <w:rPr>
                <w:rFonts w:eastAsia="Times New Roman" w:cs="Calibri"/>
                <w:noProof/>
              </w:rPr>
            </w:pPr>
            <w:r>
              <w:rPr>
                <w:noProof/>
              </w:rPr>
              <w:t xml:space="preserve">Odredba zakona o stupanju na snagu Zakona XIX. iz 2020. o izmjenama i dopunama Zakona o policiji </w:t>
            </w:r>
          </w:p>
        </w:tc>
        <w:tc>
          <w:tcPr>
            <w:tcW w:w="924" w:type="dxa"/>
            <w:shd w:val="clear" w:color="auto" w:fill="C6EFCE"/>
            <w:vAlign w:val="center"/>
            <w:hideMark/>
          </w:tcPr>
          <w:p w14:paraId="7A5392FE"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2FF"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300"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301" w14:textId="77777777" w:rsidR="008273B8" w:rsidRDefault="00B93063">
            <w:pPr>
              <w:pStyle w:val="P68B1DB1-Normal7"/>
              <w:spacing w:after="0" w:line="240" w:lineRule="auto"/>
              <w:jc w:val="center"/>
              <w:rPr>
                <w:rFonts w:eastAsia="Times New Roman" w:cs="Calibri"/>
                <w:noProof/>
              </w:rPr>
            </w:pPr>
            <w:r>
              <w:rPr>
                <w:noProof/>
              </w:rPr>
              <w:t>Q2</w:t>
            </w:r>
          </w:p>
        </w:tc>
        <w:tc>
          <w:tcPr>
            <w:tcW w:w="709" w:type="dxa"/>
            <w:shd w:val="clear" w:color="auto" w:fill="C6EFCE"/>
            <w:vAlign w:val="center"/>
            <w:hideMark/>
          </w:tcPr>
          <w:p w14:paraId="7A539302" w14:textId="77777777" w:rsidR="008273B8" w:rsidRDefault="00B93063">
            <w:pPr>
              <w:pStyle w:val="P68B1DB1-Normal7"/>
              <w:spacing w:after="0" w:line="240" w:lineRule="auto"/>
              <w:jc w:val="center"/>
              <w:rPr>
                <w:rFonts w:eastAsia="Times New Roman" w:cs="Calibri"/>
                <w:noProof/>
              </w:rPr>
            </w:pPr>
            <w:r>
              <w:rPr>
                <w:noProof/>
              </w:rPr>
              <w:t>2020</w:t>
            </w:r>
          </w:p>
        </w:tc>
        <w:tc>
          <w:tcPr>
            <w:tcW w:w="5074" w:type="dxa"/>
            <w:shd w:val="clear" w:color="auto" w:fill="C6EFCE"/>
            <w:vAlign w:val="center"/>
            <w:hideMark/>
          </w:tcPr>
          <w:p w14:paraId="7A539303" w14:textId="77777777" w:rsidR="008273B8" w:rsidRDefault="00B93063">
            <w:pPr>
              <w:pStyle w:val="P68B1DB1-Normal7"/>
              <w:spacing w:after="0" w:line="240" w:lineRule="auto"/>
              <w:rPr>
                <w:rFonts w:eastAsia="Times New Roman" w:cs="Calibri"/>
                <w:noProof/>
              </w:rPr>
            </w:pPr>
            <w:r>
              <w:rPr>
                <w:noProof/>
              </w:rPr>
              <w:t xml:space="preserve">Zakonom XIX. iz 2020. mijenja se Zakon o policiji (poglavlje 164. Zakona Malte) i članak 92. malteškog Ustava kako bi se uspostavio transparentan i natjecateljski postupak imenovanja na dužnost ravnatelja policije. </w:t>
            </w:r>
          </w:p>
        </w:tc>
      </w:tr>
      <w:tr w:rsidR="008273B8" w14:paraId="7A539310" w14:textId="77777777">
        <w:trPr>
          <w:cantSplit/>
          <w:jc w:val="center"/>
        </w:trPr>
        <w:tc>
          <w:tcPr>
            <w:tcW w:w="1150" w:type="dxa"/>
            <w:shd w:val="clear" w:color="auto" w:fill="C6EFCE"/>
            <w:vAlign w:val="center"/>
            <w:hideMark/>
          </w:tcPr>
          <w:p w14:paraId="7A539305" w14:textId="77777777" w:rsidR="008273B8" w:rsidRDefault="00B93063">
            <w:pPr>
              <w:pStyle w:val="P68B1DB1-Normal7"/>
              <w:spacing w:after="0" w:line="240" w:lineRule="auto"/>
              <w:rPr>
                <w:rFonts w:eastAsia="Times New Roman" w:cs="Calibri"/>
                <w:noProof/>
              </w:rPr>
            </w:pPr>
            <w:r>
              <w:rPr>
                <w:noProof/>
              </w:rPr>
              <w:t>6.22</w:t>
            </w:r>
          </w:p>
        </w:tc>
        <w:tc>
          <w:tcPr>
            <w:tcW w:w="1172" w:type="dxa"/>
            <w:shd w:val="clear" w:color="auto" w:fill="C6EFCE"/>
            <w:vAlign w:val="center"/>
            <w:hideMark/>
          </w:tcPr>
          <w:p w14:paraId="7A539306" w14:textId="77777777" w:rsidR="008273B8" w:rsidRDefault="00B93063">
            <w:pPr>
              <w:pStyle w:val="P68B1DB1-Normal7"/>
              <w:spacing w:after="0" w:line="240" w:lineRule="auto"/>
              <w:rPr>
                <w:rFonts w:eastAsia="Times New Roman" w:cs="Calibri"/>
                <w:noProof/>
              </w:rPr>
            </w:pPr>
            <w:r>
              <w:rPr>
                <w:noProof/>
              </w:rPr>
              <w:t xml:space="preserve">C6.R.7 </w:t>
            </w:r>
          </w:p>
        </w:tc>
        <w:tc>
          <w:tcPr>
            <w:tcW w:w="1015" w:type="dxa"/>
            <w:shd w:val="clear" w:color="auto" w:fill="C6EFCE"/>
            <w:vAlign w:val="center"/>
            <w:hideMark/>
          </w:tcPr>
          <w:p w14:paraId="7A539307"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308" w14:textId="77777777" w:rsidR="008273B8" w:rsidRDefault="00B93063">
            <w:pPr>
              <w:pStyle w:val="P68B1DB1-Normal7"/>
              <w:spacing w:after="0" w:line="240" w:lineRule="auto"/>
              <w:rPr>
                <w:rFonts w:eastAsia="Times New Roman" w:cs="Calibri"/>
                <w:noProof/>
              </w:rPr>
            </w:pPr>
            <w:r>
              <w:rPr>
                <w:noProof/>
              </w:rPr>
              <w:t>Stupanje na snagu Zakona br. XLI iz 2020. o sudskom preispitivanju odluka o nepokretanju kaznenog progona od strane glavnog državnog odvjetnika</w:t>
            </w:r>
          </w:p>
        </w:tc>
        <w:tc>
          <w:tcPr>
            <w:tcW w:w="2031" w:type="dxa"/>
            <w:shd w:val="clear" w:color="auto" w:fill="C6EFCE"/>
            <w:vAlign w:val="center"/>
            <w:hideMark/>
          </w:tcPr>
          <w:p w14:paraId="7A539309" w14:textId="77777777" w:rsidR="008273B8" w:rsidRDefault="00B93063">
            <w:pPr>
              <w:pStyle w:val="P68B1DB1-Normal7"/>
              <w:spacing w:after="0" w:line="240" w:lineRule="auto"/>
              <w:rPr>
                <w:rFonts w:eastAsia="Times New Roman" w:cs="Calibri"/>
                <w:noProof/>
              </w:rPr>
            </w:pPr>
            <w:r>
              <w:rPr>
                <w:noProof/>
              </w:rPr>
              <w:t>Stupanje na snagu Zakona br. XLI. iz 2020.</w:t>
            </w:r>
          </w:p>
        </w:tc>
        <w:tc>
          <w:tcPr>
            <w:tcW w:w="924" w:type="dxa"/>
            <w:shd w:val="clear" w:color="auto" w:fill="C6EFCE"/>
            <w:vAlign w:val="center"/>
            <w:hideMark/>
          </w:tcPr>
          <w:p w14:paraId="7A53930A"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30B"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30C"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30D" w14:textId="77777777" w:rsidR="008273B8" w:rsidRDefault="00B93063">
            <w:pPr>
              <w:pStyle w:val="P68B1DB1-Normal7"/>
              <w:spacing w:after="0" w:line="240" w:lineRule="auto"/>
              <w:jc w:val="center"/>
              <w:rPr>
                <w:rFonts w:eastAsia="Times New Roman" w:cs="Calibri"/>
                <w:noProof/>
              </w:rPr>
            </w:pPr>
            <w:r>
              <w:rPr>
                <w:noProof/>
              </w:rPr>
              <w:t>TROMJESEČJE</w:t>
            </w:r>
          </w:p>
        </w:tc>
        <w:tc>
          <w:tcPr>
            <w:tcW w:w="709" w:type="dxa"/>
            <w:shd w:val="clear" w:color="auto" w:fill="C6EFCE"/>
            <w:vAlign w:val="center"/>
            <w:hideMark/>
          </w:tcPr>
          <w:p w14:paraId="7A53930E" w14:textId="77777777" w:rsidR="008273B8" w:rsidRDefault="00B93063">
            <w:pPr>
              <w:pStyle w:val="P68B1DB1-Normal7"/>
              <w:spacing w:after="0" w:line="240" w:lineRule="auto"/>
              <w:jc w:val="center"/>
              <w:rPr>
                <w:rFonts w:eastAsia="Times New Roman" w:cs="Calibri"/>
                <w:noProof/>
              </w:rPr>
            </w:pPr>
            <w:r>
              <w:rPr>
                <w:noProof/>
              </w:rPr>
              <w:t>2020</w:t>
            </w:r>
          </w:p>
        </w:tc>
        <w:tc>
          <w:tcPr>
            <w:tcW w:w="5074" w:type="dxa"/>
            <w:shd w:val="clear" w:color="auto" w:fill="C6EFCE"/>
            <w:vAlign w:val="center"/>
            <w:hideMark/>
          </w:tcPr>
          <w:p w14:paraId="7A53930F" w14:textId="77777777" w:rsidR="008273B8" w:rsidRDefault="00B93063">
            <w:pPr>
              <w:pStyle w:val="P68B1DB1-Normal7"/>
              <w:spacing w:after="0" w:line="240" w:lineRule="auto"/>
              <w:rPr>
                <w:rFonts w:eastAsia="Times New Roman" w:cs="Calibri"/>
                <w:noProof/>
              </w:rPr>
            </w:pPr>
            <w:r>
              <w:rPr>
                <w:noProof/>
              </w:rPr>
              <w:t>Zakonom XLI iz 2020. mijenjaju se Ustav, Kazneni zakon i Zakon o organizaciji i parničnom postupku. Njime se predviđa sudsko preispitivanje odluka glavnog državnog odvjetnika o nepokretanju kaznenog progona zbog nezakonitosti ili nerazumnosti. Stalna komisija za borbu protiv korupcije (PCAC), ombudsman, povjerenik za standarde javnog života i glavni revizor dobili su pravni status oštećene stranke. Te institucije stoga mogu pojedinačno zatražiti sudsko preispitivanje u predmetima koje su uputile glavnom državnom odvjetniku na isti način kao i oštećena stranka.</w:t>
            </w:r>
          </w:p>
        </w:tc>
      </w:tr>
      <w:tr w:rsidR="008273B8" w14:paraId="7A53931C" w14:textId="77777777">
        <w:trPr>
          <w:cantSplit/>
          <w:jc w:val="center"/>
        </w:trPr>
        <w:tc>
          <w:tcPr>
            <w:tcW w:w="1150" w:type="dxa"/>
            <w:shd w:val="clear" w:color="auto" w:fill="C6EFCE"/>
            <w:vAlign w:val="center"/>
            <w:hideMark/>
          </w:tcPr>
          <w:p w14:paraId="7A539311" w14:textId="77777777" w:rsidR="008273B8" w:rsidRDefault="00B93063">
            <w:pPr>
              <w:pStyle w:val="P68B1DB1-Normal7"/>
              <w:spacing w:after="0" w:line="240" w:lineRule="auto"/>
              <w:rPr>
                <w:rFonts w:eastAsia="Times New Roman" w:cs="Calibri"/>
                <w:noProof/>
              </w:rPr>
            </w:pPr>
            <w:r>
              <w:rPr>
                <w:noProof/>
              </w:rPr>
              <w:t>6.23</w:t>
            </w:r>
          </w:p>
        </w:tc>
        <w:tc>
          <w:tcPr>
            <w:tcW w:w="1172" w:type="dxa"/>
            <w:shd w:val="clear" w:color="auto" w:fill="C6EFCE"/>
            <w:vAlign w:val="center"/>
            <w:hideMark/>
          </w:tcPr>
          <w:p w14:paraId="7A539312" w14:textId="77777777" w:rsidR="008273B8" w:rsidRDefault="00B93063">
            <w:pPr>
              <w:pStyle w:val="P68B1DB1-Normal7"/>
              <w:spacing w:after="0" w:line="240" w:lineRule="auto"/>
              <w:rPr>
                <w:rFonts w:eastAsia="Times New Roman" w:cs="Calibri"/>
                <w:noProof/>
              </w:rPr>
            </w:pPr>
            <w:r>
              <w:rPr>
                <w:noProof/>
              </w:rPr>
              <w:t xml:space="preserve">C6.R.7 </w:t>
            </w:r>
          </w:p>
        </w:tc>
        <w:tc>
          <w:tcPr>
            <w:tcW w:w="1015" w:type="dxa"/>
            <w:shd w:val="clear" w:color="auto" w:fill="C6EFCE"/>
            <w:vAlign w:val="center"/>
            <w:hideMark/>
          </w:tcPr>
          <w:p w14:paraId="7A539313"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314" w14:textId="77777777" w:rsidR="008273B8" w:rsidRDefault="00B93063">
            <w:pPr>
              <w:pStyle w:val="P68B1DB1-Normal7"/>
              <w:spacing w:after="0" w:line="240" w:lineRule="auto"/>
              <w:rPr>
                <w:rFonts w:eastAsia="Times New Roman" w:cs="Calibri"/>
                <w:noProof/>
              </w:rPr>
            </w:pPr>
            <w:r>
              <w:rPr>
                <w:noProof/>
              </w:rPr>
              <w:t>Neovisno preispitivanje odredbe o tome da oštećene strane (Zakon XLI. iz 2020.) mogu podnijeti žalbu na odluku glavnog državnog odvjetnika o nepokretanju kaznenog progona.</w:t>
            </w:r>
          </w:p>
        </w:tc>
        <w:tc>
          <w:tcPr>
            <w:tcW w:w="2031" w:type="dxa"/>
            <w:shd w:val="clear" w:color="auto" w:fill="C6EFCE"/>
            <w:vAlign w:val="center"/>
            <w:hideMark/>
          </w:tcPr>
          <w:p w14:paraId="7A539315" w14:textId="77777777" w:rsidR="008273B8" w:rsidRDefault="00B93063">
            <w:pPr>
              <w:pStyle w:val="P68B1DB1-Normal7"/>
              <w:spacing w:after="0" w:line="240" w:lineRule="auto"/>
              <w:rPr>
                <w:rFonts w:eastAsia="Times New Roman" w:cs="Calibri"/>
                <w:noProof/>
              </w:rPr>
            </w:pPr>
            <w:r>
              <w:rPr>
                <w:noProof/>
              </w:rPr>
              <w:t>Dovršetak neovisnog preispitivanja odredbe o tome da oštećene strane (Zakon XLI. iz 2020.) mogu podnijeti žalbu na odluku glavnog državnog odvjetnika o nepokretanju kaznenog progona.</w:t>
            </w:r>
          </w:p>
        </w:tc>
        <w:tc>
          <w:tcPr>
            <w:tcW w:w="924" w:type="dxa"/>
            <w:shd w:val="clear" w:color="auto" w:fill="C6EFCE"/>
            <w:vAlign w:val="center"/>
            <w:hideMark/>
          </w:tcPr>
          <w:p w14:paraId="7A539316"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317"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318"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319" w14:textId="77777777" w:rsidR="008273B8" w:rsidRDefault="00B93063">
            <w:pPr>
              <w:pStyle w:val="P68B1DB1-Normal7"/>
              <w:spacing w:after="0" w:line="240" w:lineRule="auto"/>
              <w:jc w:val="center"/>
              <w:rPr>
                <w:rFonts w:eastAsia="Times New Roman" w:cs="Calibri"/>
                <w:noProof/>
              </w:rPr>
            </w:pPr>
            <w:r>
              <w:rPr>
                <w:noProof/>
              </w:rPr>
              <w:t>Q2</w:t>
            </w:r>
          </w:p>
        </w:tc>
        <w:tc>
          <w:tcPr>
            <w:tcW w:w="709" w:type="dxa"/>
            <w:shd w:val="clear" w:color="auto" w:fill="C6EFCE"/>
            <w:vAlign w:val="center"/>
            <w:hideMark/>
          </w:tcPr>
          <w:p w14:paraId="7A53931A" w14:textId="77777777" w:rsidR="008273B8" w:rsidRDefault="00B93063">
            <w:pPr>
              <w:pStyle w:val="P68B1DB1-Normal7"/>
              <w:spacing w:after="0" w:line="240" w:lineRule="auto"/>
              <w:jc w:val="center"/>
              <w:rPr>
                <w:rFonts w:eastAsia="Times New Roman" w:cs="Calibri"/>
                <w:noProof/>
              </w:rPr>
            </w:pPr>
            <w:r>
              <w:rPr>
                <w:noProof/>
              </w:rPr>
              <w:t>2024</w:t>
            </w:r>
          </w:p>
        </w:tc>
        <w:tc>
          <w:tcPr>
            <w:tcW w:w="5074" w:type="dxa"/>
            <w:shd w:val="clear" w:color="auto" w:fill="C6EFCE"/>
            <w:vAlign w:val="center"/>
            <w:hideMark/>
          </w:tcPr>
          <w:p w14:paraId="7A53931B" w14:textId="77777777" w:rsidR="008273B8" w:rsidRDefault="00B93063">
            <w:pPr>
              <w:pStyle w:val="P68B1DB1-Normal9"/>
              <w:spacing w:after="0" w:line="240" w:lineRule="auto"/>
              <w:rPr>
                <w:rFonts w:ascii="Calibri" w:eastAsia="Times New Roman" w:hAnsi="Calibri" w:cs="Calibri"/>
                <w:noProof/>
              </w:rPr>
            </w:pPr>
            <w:r>
              <w:rPr>
                <w:rFonts w:ascii="Calibri" w:hAnsi="Calibri"/>
                <w:noProof/>
              </w:rPr>
              <w:t>Kvalitativnim preispitivanjem ocjenjuje se provedba reforme sudskog preispitivanja. Provodi ga neovisni izvođač angažiran u okviru postupka javne nabave. Preispitivanjem se procjenjuju učinci Zakona XLI iz 2020. te treba li biti moguća i žalba protiv nepokretanja kaznenog progona AG-a ili policije ako se kazneni progon ne pokrene u razumnom roku. Preispitivanjem se</w:t>
            </w:r>
            <w:r>
              <w:rPr>
                <w:rFonts w:ascii="Times New Roman" w:hAnsi="Times New Roman"/>
                <w:noProof/>
              </w:rPr>
              <w:t xml:space="preserve"> </w:t>
            </w:r>
            <w:r>
              <w:rPr>
                <w:rFonts w:ascii="Calibri" w:hAnsi="Calibri"/>
                <w:noProof/>
              </w:rPr>
              <w:t xml:space="preserve">ocjenjuje i bi li „oštećene stranke” navedene u Zakonu XLI. iz 2020. također trebale moći podnijeti žalbu protiv nepokretanja kaznenog progona u </w:t>
            </w:r>
            <w:r>
              <w:rPr>
                <w:noProof/>
              </w:rPr>
              <w:t>svim slučajevima, a ne samo kada su te radnje prijavile glavnom državnom odvjetniku. Studija se dijeli s Europskom komisijom.</w:t>
            </w:r>
          </w:p>
        </w:tc>
      </w:tr>
      <w:tr w:rsidR="008273B8" w14:paraId="7A539328" w14:textId="77777777">
        <w:trPr>
          <w:cantSplit/>
          <w:jc w:val="center"/>
        </w:trPr>
        <w:tc>
          <w:tcPr>
            <w:tcW w:w="1150" w:type="dxa"/>
            <w:shd w:val="clear" w:color="auto" w:fill="C6EFCE"/>
            <w:vAlign w:val="center"/>
            <w:hideMark/>
          </w:tcPr>
          <w:p w14:paraId="7A53931D" w14:textId="77777777" w:rsidR="008273B8" w:rsidRDefault="00B93063">
            <w:pPr>
              <w:pStyle w:val="P68B1DB1-Normal7"/>
              <w:spacing w:after="0" w:line="240" w:lineRule="auto"/>
              <w:rPr>
                <w:rFonts w:eastAsia="Times New Roman" w:cs="Calibri"/>
                <w:noProof/>
              </w:rPr>
            </w:pPr>
            <w:r>
              <w:rPr>
                <w:noProof/>
              </w:rPr>
              <w:t>6.24</w:t>
            </w:r>
          </w:p>
        </w:tc>
        <w:tc>
          <w:tcPr>
            <w:tcW w:w="1172" w:type="dxa"/>
            <w:shd w:val="clear" w:color="auto" w:fill="C6EFCE"/>
            <w:vAlign w:val="center"/>
            <w:hideMark/>
          </w:tcPr>
          <w:p w14:paraId="7A53931E" w14:textId="77777777" w:rsidR="008273B8" w:rsidRDefault="00B93063">
            <w:pPr>
              <w:pStyle w:val="P68B1DB1-Normal7"/>
              <w:spacing w:after="0" w:line="240" w:lineRule="auto"/>
              <w:rPr>
                <w:rFonts w:eastAsia="Times New Roman" w:cs="Calibri"/>
                <w:noProof/>
              </w:rPr>
            </w:pPr>
            <w:r>
              <w:rPr>
                <w:noProof/>
              </w:rPr>
              <w:t xml:space="preserve">C6.R.7 </w:t>
            </w:r>
          </w:p>
        </w:tc>
        <w:tc>
          <w:tcPr>
            <w:tcW w:w="1015" w:type="dxa"/>
            <w:shd w:val="clear" w:color="auto" w:fill="C6EFCE"/>
            <w:vAlign w:val="center"/>
            <w:hideMark/>
          </w:tcPr>
          <w:p w14:paraId="7A53931F"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320" w14:textId="77777777" w:rsidR="008273B8" w:rsidRDefault="00B93063">
            <w:pPr>
              <w:pStyle w:val="P68B1DB1-Normal7"/>
              <w:spacing w:after="0" w:line="240" w:lineRule="auto"/>
              <w:rPr>
                <w:rFonts w:eastAsia="Times New Roman" w:cs="Calibri"/>
                <w:noProof/>
              </w:rPr>
            </w:pPr>
            <w:r>
              <w:rPr>
                <w:noProof/>
              </w:rPr>
              <w:t>Stupanje na snagu zakonodavnih izmjena kojima se mijenja sudsko preispitivanje kako bi oštećene stranke mogle uložiti žalbu na odluku glavnog državnog odvjetnika o nepokretanju kaznenog progona</w:t>
            </w:r>
          </w:p>
        </w:tc>
        <w:tc>
          <w:tcPr>
            <w:tcW w:w="2031" w:type="dxa"/>
            <w:shd w:val="clear" w:color="auto" w:fill="C6EFCE"/>
            <w:vAlign w:val="center"/>
            <w:hideMark/>
          </w:tcPr>
          <w:p w14:paraId="7A539321" w14:textId="77777777" w:rsidR="008273B8" w:rsidRDefault="00B93063">
            <w:pPr>
              <w:pStyle w:val="P68B1DB1-Normal7"/>
              <w:spacing w:after="0" w:line="240" w:lineRule="auto"/>
              <w:rPr>
                <w:rFonts w:eastAsia="Times New Roman" w:cs="Calibri"/>
                <w:noProof/>
              </w:rPr>
            </w:pPr>
            <w:r>
              <w:rPr>
                <w:noProof/>
              </w:rPr>
              <w:t>Stupanje na snagu zakonodavnih izmjena kojima se mijenja sudsko preispitivanje kako bi oštećene stranke mogle uložiti žalbu na odluku glavnog državnog odvjetnika o nepokretanju kaznenog progona</w:t>
            </w:r>
          </w:p>
        </w:tc>
        <w:tc>
          <w:tcPr>
            <w:tcW w:w="924" w:type="dxa"/>
            <w:shd w:val="clear" w:color="auto" w:fill="C6EFCE"/>
            <w:vAlign w:val="center"/>
            <w:hideMark/>
          </w:tcPr>
          <w:p w14:paraId="7A539322"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323"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324"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325" w14:textId="77777777" w:rsidR="008273B8" w:rsidRDefault="00B93063">
            <w:pPr>
              <w:pStyle w:val="P68B1DB1-Normal7"/>
              <w:spacing w:after="0" w:line="240" w:lineRule="auto"/>
              <w:jc w:val="center"/>
              <w:rPr>
                <w:rFonts w:eastAsia="Times New Roman" w:cs="Calibri"/>
                <w:noProof/>
              </w:rPr>
            </w:pPr>
            <w:r>
              <w:rPr>
                <w:noProof/>
              </w:rPr>
              <w:t>PRVO TROMJESEČJE</w:t>
            </w:r>
          </w:p>
        </w:tc>
        <w:tc>
          <w:tcPr>
            <w:tcW w:w="709" w:type="dxa"/>
            <w:shd w:val="clear" w:color="auto" w:fill="C6EFCE"/>
            <w:vAlign w:val="center"/>
            <w:hideMark/>
          </w:tcPr>
          <w:p w14:paraId="7A539326" w14:textId="77777777" w:rsidR="008273B8" w:rsidRDefault="00B93063">
            <w:pPr>
              <w:pStyle w:val="P68B1DB1-Normal7"/>
              <w:spacing w:after="0" w:line="240" w:lineRule="auto"/>
              <w:jc w:val="center"/>
              <w:rPr>
                <w:rFonts w:eastAsia="Times New Roman" w:cs="Calibri"/>
                <w:noProof/>
              </w:rPr>
            </w:pPr>
            <w:r>
              <w:rPr>
                <w:noProof/>
              </w:rPr>
              <w:t>2026</w:t>
            </w:r>
          </w:p>
        </w:tc>
        <w:tc>
          <w:tcPr>
            <w:tcW w:w="5074" w:type="dxa"/>
            <w:shd w:val="clear" w:color="auto" w:fill="C6EFCE"/>
            <w:vAlign w:val="center"/>
            <w:hideMark/>
          </w:tcPr>
          <w:p w14:paraId="7A539327" w14:textId="77777777" w:rsidR="008273B8" w:rsidRDefault="00B93063">
            <w:pPr>
              <w:pStyle w:val="P68B1DB1-Normal7"/>
              <w:spacing w:after="0" w:line="240" w:lineRule="auto"/>
              <w:rPr>
                <w:rFonts w:eastAsia="Times New Roman" w:cs="Calibri"/>
                <w:noProof/>
              </w:rPr>
            </w:pPr>
            <w:r>
              <w:rPr>
                <w:noProof/>
              </w:rPr>
              <w:t>Na temelju nalaza/preporuka neovisnog preispitivanja odredbe o tome da oštećene stranke (Zakon XLI. iz 2020.) mogu podnijeti žalbu na odluku državnog odvjetnika o nepokretanju kaznenog progona, zakonodavne izmjene stupaju na snagu kako bi se prilagodila mogućnost da „oštećene stranke” navedene u Zakonu XLI. iz 2020. mogu: i. žalbu protiv nepokretanja kaznenog progona od strane AG-a i policije ako ne postoji kazneni progon u razumnom roku; ii. žalba protiv nepokretanja kaznenog progona u svim predmetima, a ne samo kada su ta djela prijavljena glavnom državnom odvjetniku.</w:t>
            </w:r>
          </w:p>
        </w:tc>
      </w:tr>
      <w:tr w:rsidR="008273B8" w14:paraId="7A539334" w14:textId="77777777">
        <w:trPr>
          <w:cantSplit/>
          <w:jc w:val="center"/>
        </w:trPr>
        <w:tc>
          <w:tcPr>
            <w:tcW w:w="1150" w:type="dxa"/>
            <w:shd w:val="clear" w:color="auto" w:fill="C6EFCE"/>
            <w:vAlign w:val="center"/>
            <w:hideMark/>
          </w:tcPr>
          <w:p w14:paraId="7A539329" w14:textId="77777777" w:rsidR="008273B8" w:rsidRDefault="00B93063">
            <w:pPr>
              <w:pStyle w:val="P68B1DB1-Normal7"/>
              <w:spacing w:after="0" w:line="240" w:lineRule="auto"/>
              <w:rPr>
                <w:rFonts w:eastAsia="Times New Roman" w:cs="Calibri"/>
                <w:noProof/>
              </w:rPr>
            </w:pPr>
            <w:r>
              <w:rPr>
                <w:noProof/>
              </w:rPr>
              <w:t>6.25</w:t>
            </w:r>
          </w:p>
        </w:tc>
        <w:tc>
          <w:tcPr>
            <w:tcW w:w="1172" w:type="dxa"/>
            <w:shd w:val="clear" w:color="auto" w:fill="C6EFCE"/>
            <w:vAlign w:val="center"/>
            <w:hideMark/>
          </w:tcPr>
          <w:p w14:paraId="7A53932A" w14:textId="77777777" w:rsidR="008273B8" w:rsidRDefault="00B93063">
            <w:pPr>
              <w:pStyle w:val="P68B1DB1-Normal7"/>
              <w:spacing w:after="0" w:line="240" w:lineRule="auto"/>
              <w:rPr>
                <w:rFonts w:eastAsia="Times New Roman" w:cs="Calibri"/>
                <w:noProof/>
              </w:rPr>
            </w:pPr>
            <w:r>
              <w:rPr>
                <w:noProof/>
              </w:rPr>
              <w:t xml:space="preserve">C6.R.8 </w:t>
            </w:r>
          </w:p>
        </w:tc>
        <w:tc>
          <w:tcPr>
            <w:tcW w:w="1015" w:type="dxa"/>
            <w:shd w:val="clear" w:color="auto" w:fill="C6EFCE"/>
            <w:vAlign w:val="center"/>
            <w:hideMark/>
          </w:tcPr>
          <w:p w14:paraId="7A53932B"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32C" w14:textId="77777777" w:rsidR="008273B8" w:rsidRDefault="00B93063">
            <w:pPr>
              <w:pStyle w:val="P68B1DB1-Normal7"/>
              <w:spacing w:after="0" w:line="240" w:lineRule="auto"/>
              <w:rPr>
                <w:rFonts w:eastAsia="Times New Roman" w:cs="Calibri"/>
                <w:noProof/>
              </w:rPr>
            </w:pPr>
            <w:r>
              <w:rPr>
                <w:noProof/>
              </w:rPr>
              <w:t xml:space="preserve">Dovršetak provedbe akcijskog plana nacionalne strategije za sprečavanje pranja novca/borbu protiv financiranja terorizma/ciljanih financijskih sankcija (SPNFT/TFS) i akcijskog plana za razdoblje 2021. – 2023. </w:t>
            </w:r>
          </w:p>
        </w:tc>
        <w:tc>
          <w:tcPr>
            <w:tcW w:w="2031" w:type="dxa"/>
            <w:shd w:val="clear" w:color="auto" w:fill="C6EFCE"/>
            <w:vAlign w:val="center"/>
            <w:hideMark/>
          </w:tcPr>
          <w:p w14:paraId="7A53932D" w14:textId="77777777" w:rsidR="008273B8" w:rsidRDefault="00B93063">
            <w:pPr>
              <w:pStyle w:val="P68B1DB1-Normal7"/>
              <w:spacing w:after="0" w:line="240" w:lineRule="auto"/>
              <w:rPr>
                <w:rFonts w:eastAsia="Times New Roman" w:cs="Calibri"/>
                <w:noProof/>
              </w:rPr>
            </w:pPr>
            <w:r>
              <w:rPr>
                <w:noProof/>
              </w:rPr>
              <w:t>Objava završnog izvješća na internetu kojim se dokazuje da su akcijski plan iz nacionalne strategije za sprečavanje pranja novca, borbe protiv pranja novca, borbe protiv pranja novca i borbe protiv terorizma te akcijski plan za razdoblje 2021. – 2023. u potpunosti provedeni.</w:t>
            </w:r>
          </w:p>
        </w:tc>
        <w:tc>
          <w:tcPr>
            <w:tcW w:w="924" w:type="dxa"/>
            <w:shd w:val="clear" w:color="auto" w:fill="C6EFCE"/>
            <w:vAlign w:val="center"/>
            <w:hideMark/>
          </w:tcPr>
          <w:p w14:paraId="7A53932E"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32F"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330"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331"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09" w:type="dxa"/>
            <w:shd w:val="clear" w:color="auto" w:fill="C6EFCE"/>
            <w:vAlign w:val="center"/>
            <w:hideMark/>
          </w:tcPr>
          <w:p w14:paraId="7A539332" w14:textId="77777777" w:rsidR="008273B8" w:rsidRDefault="00B93063">
            <w:pPr>
              <w:pStyle w:val="P68B1DB1-Normal7"/>
              <w:spacing w:after="0" w:line="240" w:lineRule="auto"/>
              <w:jc w:val="center"/>
              <w:rPr>
                <w:rFonts w:eastAsia="Times New Roman" w:cs="Calibri"/>
                <w:noProof/>
              </w:rPr>
            </w:pPr>
            <w:r>
              <w:rPr>
                <w:noProof/>
              </w:rPr>
              <w:t>2023</w:t>
            </w:r>
          </w:p>
        </w:tc>
        <w:tc>
          <w:tcPr>
            <w:tcW w:w="5074" w:type="dxa"/>
            <w:shd w:val="clear" w:color="auto" w:fill="C6EFCE"/>
            <w:vAlign w:val="center"/>
            <w:hideMark/>
          </w:tcPr>
          <w:p w14:paraId="7A539333" w14:textId="77777777" w:rsidR="008273B8" w:rsidRDefault="00B93063">
            <w:pPr>
              <w:pStyle w:val="P68B1DB1-Normal7"/>
              <w:spacing w:after="0" w:line="240" w:lineRule="auto"/>
              <w:rPr>
                <w:rFonts w:eastAsia="Times New Roman" w:cs="Calibri"/>
                <w:noProof/>
              </w:rPr>
            </w:pPr>
            <w:r>
              <w:rPr>
                <w:noProof/>
              </w:rPr>
              <w:t>U potpunosti su provedene sve mjere u okviru sedam ciljeva politike utvrđenih u nacionalnoj strategiji i akcijskom planu za sprečavanje pranja novca, borbu protiv pranja novca i borbe protiv terorizma te akcijski plan za razdoblje 2021. – 2023. (uključujući novu verziju nacionalne procjene rizika). To će se prikazati u završnom izvješću koje je pripremilo Tajništvo Nacionalnog koordinacijskog odbora za borbu protiv pranja novca i financiranja terorizma (NCC), a potvrdio Odbor nacionalnih koordinacijskih centara nakon savjetovanja s glavnim dionicima. Glavni dionici uključuju ministarstva nadležna za financije, unutarnje poslove i pravosuđe, Ured za oduzimanje imovinske koristi, Središnju banku Malte, povjerenika za prihode, financijsko-obavještajnu analizu (FIAU), malteško tijelo za financijske usluge (MFSA), malteško tijelo za igre na sreću (MGA), malteške policijske snage i glavnog državnog odvjetnika.</w:t>
            </w:r>
          </w:p>
        </w:tc>
      </w:tr>
      <w:tr w:rsidR="008273B8" w14:paraId="7A53934C" w14:textId="77777777">
        <w:trPr>
          <w:cantSplit/>
          <w:jc w:val="center"/>
        </w:trPr>
        <w:tc>
          <w:tcPr>
            <w:tcW w:w="1150" w:type="dxa"/>
            <w:shd w:val="clear" w:color="auto" w:fill="C6EFCE"/>
            <w:vAlign w:val="center"/>
            <w:hideMark/>
          </w:tcPr>
          <w:p w14:paraId="7A539335" w14:textId="77777777" w:rsidR="008273B8" w:rsidRDefault="00B93063">
            <w:pPr>
              <w:pStyle w:val="P68B1DB1-Normal7"/>
              <w:spacing w:after="0" w:line="240" w:lineRule="auto"/>
              <w:rPr>
                <w:rFonts w:eastAsia="Times New Roman" w:cs="Calibri"/>
                <w:noProof/>
              </w:rPr>
            </w:pPr>
            <w:r>
              <w:rPr>
                <w:noProof/>
              </w:rPr>
              <w:t>6.26</w:t>
            </w:r>
          </w:p>
        </w:tc>
        <w:tc>
          <w:tcPr>
            <w:tcW w:w="1172" w:type="dxa"/>
            <w:shd w:val="clear" w:color="auto" w:fill="C6EFCE"/>
            <w:vAlign w:val="center"/>
            <w:hideMark/>
          </w:tcPr>
          <w:p w14:paraId="7A539336" w14:textId="77777777" w:rsidR="008273B8" w:rsidRDefault="00B93063">
            <w:pPr>
              <w:pStyle w:val="P68B1DB1-Normal7"/>
              <w:spacing w:after="0" w:line="240" w:lineRule="auto"/>
              <w:rPr>
                <w:rFonts w:eastAsia="Times New Roman" w:cs="Calibri"/>
                <w:noProof/>
              </w:rPr>
            </w:pPr>
            <w:r>
              <w:rPr>
                <w:noProof/>
              </w:rPr>
              <w:t xml:space="preserve">C6.R.8 </w:t>
            </w:r>
          </w:p>
        </w:tc>
        <w:tc>
          <w:tcPr>
            <w:tcW w:w="1015" w:type="dxa"/>
            <w:shd w:val="clear" w:color="auto" w:fill="C6EFCE"/>
            <w:vAlign w:val="center"/>
            <w:hideMark/>
          </w:tcPr>
          <w:p w14:paraId="7A539337" w14:textId="77777777" w:rsidR="008273B8" w:rsidRDefault="00B93063">
            <w:pPr>
              <w:pStyle w:val="P68B1DB1-Normal7"/>
              <w:spacing w:after="0" w:line="240" w:lineRule="auto"/>
              <w:rPr>
                <w:rFonts w:eastAsia="Times New Roman" w:cs="Calibri"/>
                <w:noProof/>
              </w:rPr>
            </w:pPr>
            <w:r>
              <w:rPr>
                <w:noProof/>
              </w:rPr>
              <w:t>Ciljna vrijednost</w:t>
            </w:r>
          </w:p>
        </w:tc>
        <w:tc>
          <w:tcPr>
            <w:tcW w:w="1595" w:type="dxa"/>
            <w:shd w:val="clear" w:color="auto" w:fill="C6EFCE"/>
            <w:vAlign w:val="center"/>
            <w:hideMark/>
          </w:tcPr>
          <w:p w14:paraId="7A539338" w14:textId="77777777" w:rsidR="008273B8" w:rsidRDefault="00B93063">
            <w:pPr>
              <w:pStyle w:val="P68B1DB1-Normal7"/>
              <w:spacing w:after="0" w:line="240" w:lineRule="auto"/>
              <w:rPr>
                <w:rFonts w:eastAsia="Times New Roman" w:cs="Calibri"/>
                <w:noProof/>
              </w:rPr>
            </w:pPr>
            <w:r>
              <w:rPr>
                <w:noProof/>
              </w:rPr>
              <w:t>Broj godišnjih osposobljavanja u području SPNFT-a</w:t>
            </w:r>
          </w:p>
        </w:tc>
        <w:tc>
          <w:tcPr>
            <w:tcW w:w="2031" w:type="dxa"/>
            <w:shd w:val="clear" w:color="auto" w:fill="C6EFCE"/>
            <w:vAlign w:val="center"/>
            <w:hideMark/>
          </w:tcPr>
          <w:p w14:paraId="7A539339" w14:textId="77777777" w:rsidR="008273B8" w:rsidRDefault="00B93063">
            <w:pPr>
              <w:pStyle w:val="P68B1DB1-Normal7"/>
              <w:spacing w:after="0" w:line="240" w:lineRule="auto"/>
              <w:rPr>
                <w:rFonts w:eastAsia="Times New Roman" w:cs="Calibri"/>
                <w:noProof/>
              </w:rPr>
            </w:pPr>
            <w:r>
              <w:rPr>
                <w:noProof/>
              </w:rPr>
              <w:t> </w:t>
            </w:r>
          </w:p>
        </w:tc>
        <w:tc>
          <w:tcPr>
            <w:tcW w:w="924" w:type="dxa"/>
            <w:shd w:val="clear" w:color="auto" w:fill="C6EFCE"/>
            <w:vAlign w:val="center"/>
            <w:hideMark/>
          </w:tcPr>
          <w:p w14:paraId="7A53933A" w14:textId="77777777" w:rsidR="008273B8" w:rsidRDefault="00B93063">
            <w:pPr>
              <w:pStyle w:val="P68B1DB1-Normal7"/>
              <w:spacing w:after="0" w:line="240" w:lineRule="auto"/>
              <w:jc w:val="center"/>
              <w:rPr>
                <w:rFonts w:eastAsia="Times New Roman" w:cs="Calibri"/>
                <w:noProof/>
              </w:rPr>
            </w:pPr>
            <w:r>
              <w:rPr>
                <w:noProof/>
              </w:rPr>
              <w:t>Broj</w:t>
            </w:r>
          </w:p>
        </w:tc>
        <w:tc>
          <w:tcPr>
            <w:tcW w:w="915" w:type="dxa"/>
            <w:shd w:val="clear" w:color="auto" w:fill="C6EFCE"/>
            <w:vAlign w:val="center"/>
            <w:hideMark/>
          </w:tcPr>
          <w:p w14:paraId="7A53933B" w14:textId="77777777" w:rsidR="008273B8" w:rsidRDefault="00B93063">
            <w:pPr>
              <w:pStyle w:val="P68B1DB1-Normal7"/>
              <w:spacing w:after="0" w:line="240" w:lineRule="auto"/>
              <w:jc w:val="center"/>
              <w:rPr>
                <w:rFonts w:eastAsia="Times New Roman" w:cs="Calibri"/>
                <w:noProof/>
              </w:rPr>
            </w:pPr>
            <w:r>
              <w:rPr>
                <w:noProof/>
              </w:rPr>
              <w:t>5</w:t>
            </w:r>
          </w:p>
        </w:tc>
        <w:tc>
          <w:tcPr>
            <w:tcW w:w="974" w:type="dxa"/>
            <w:shd w:val="clear" w:color="auto" w:fill="C6EFCE"/>
            <w:vAlign w:val="center"/>
            <w:hideMark/>
          </w:tcPr>
          <w:p w14:paraId="7A53933C" w14:textId="77777777" w:rsidR="008273B8" w:rsidRDefault="00B93063">
            <w:pPr>
              <w:pStyle w:val="P68B1DB1-Normal7"/>
              <w:spacing w:after="0" w:line="240" w:lineRule="auto"/>
              <w:jc w:val="center"/>
              <w:rPr>
                <w:rFonts w:eastAsia="Times New Roman" w:cs="Calibri"/>
                <w:noProof/>
              </w:rPr>
            </w:pPr>
            <w:r>
              <w:rPr>
                <w:noProof/>
              </w:rPr>
              <w:t>10</w:t>
            </w:r>
          </w:p>
        </w:tc>
        <w:tc>
          <w:tcPr>
            <w:tcW w:w="709" w:type="dxa"/>
            <w:shd w:val="clear" w:color="auto" w:fill="C6EFCE"/>
            <w:vAlign w:val="center"/>
            <w:hideMark/>
          </w:tcPr>
          <w:p w14:paraId="7A53933D" w14:textId="77777777" w:rsidR="008273B8" w:rsidRDefault="00B93063">
            <w:pPr>
              <w:pStyle w:val="P68B1DB1-Normal7"/>
              <w:spacing w:after="0" w:line="240" w:lineRule="auto"/>
              <w:jc w:val="center"/>
              <w:rPr>
                <w:rFonts w:eastAsia="Times New Roman" w:cs="Calibri"/>
                <w:noProof/>
              </w:rPr>
            </w:pPr>
            <w:r>
              <w:rPr>
                <w:noProof/>
              </w:rPr>
              <w:t>Q2</w:t>
            </w:r>
          </w:p>
        </w:tc>
        <w:tc>
          <w:tcPr>
            <w:tcW w:w="709" w:type="dxa"/>
            <w:shd w:val="clear" w:color="auto" w:fill="C6EFCE"/>
            <w:vAlign w:val="center"/>
            <w:hideMark/>
          </w:tcPr>
          <w:p w14:paraId="7A53933E" w14:textId="77777777" w:rsidR="008273B8" w:rsidRDefault="00B93063">
            <w:pPr>
              <w:pStyle w:val="P68B1DB1-Normal7"/>
              <w:spacing w:after="0" w:line="240" w:lineRule="auto"/>
              <w:jc w:val="center"/>
              <w:rPr>
                <w:rFonts w:eastAsia="Times New Roman" w:cs="Calibri"/>
                <w:noProof/>
              </w:rPr>
            </w:pPr>
            <w:r>
              <w:rPr>
                <w:noProof/>
              </w:rPr>
              <w:t>2022</w:t>
            </w:r>
          </w:p>
        </w:tc>
        <w:tc>
          <w:tcPr>
            <w:tcW w:w="5074" w:type="dxa"/>
            <w:shd w:val="clear" w:color="auto" w:fill="C6EFCE"/>
            <w:vAlign w:val="center"/>
            <w:hideMark/>
          </w:tcPr>
          <w:p w14:paraId="7A53933F" w14:textId="77777777" w:rsidR="008273B8" w:rsidRDefault="00B93063">
            <w:pPr>
              <w:spacing w:after="0" w:line="240" w:lineRule="auto"/>
              <w:rPr>
                <w:rFonts w:ascii="Calibri" w:eastAsia="Times New Roman" w:hAnsi="Calibri" w:cs="Calibri"/>
                <w:noProof/>
                <w:sz w:val="18"/>
              </w:rPr>
            </w:pPr>
            <w:r>
              <w:rPr>
                <w:rFonts w:ascii="Calibri" w:hAnsi="Calibri"/>
                <w:noProof/>
                <w:sz w:val="18"/>
              </w:rPr>
              <w:t xml:space="preserve">10 osposobljavanja u području SPNFT-a pruža se 2021. Konkretan sadržaj tečajeva određuje se na temelju potreba za osposobljavanjem koje je utvrdio poseban pododbor nacionalnog koordinacijskog centra koji koordinira osposobljavanje i inicijative za informiranje o SPNFT-u/CPF-u. Osposobljavanje je posebno otvoreno članovima istog pododbora. </w:t>
            </w:r>
            <w:r>
              <w:rPr>
                <w:rFonts w:ascii="Times New Roman" w:hAnsi="Times New Roman"/>
                <w:noProof/>
                <w:sz w:val="24"/>
              </w:rPr>
              <w:br/>
            </w:r>
            <w:r>
              <w:rPr>
                <w:rFonts w:ascii="Calibri" w:hAnsi="Calibri"/>
                <w:noProof/>
                <w:sz w:val="18"/>
              </w:rPr>
              <w:t>Članovi ovog pododbora su:</w:t>
            </w:r>
          </w:p>
          <w:p w14:paraId="7A539340" w14:textId="77777777" w:rsidR="008273B8" w:rsidRDefault="00B93063">
            <w:pPr>
              <w:pStyle w:val="P68B1DB1-Normal7"/>
              <w:spacing w:after="0" w:line="240" w:lineRule="auto"/>
              <w:rPr>
                <w:rFonts w:eastAsia="Times New Roman" w:cs="Calibri"/>
                <w:noProof/>
              </w:rPr>
            </w:pPr>
            <w:r>
              <w:rPr>
                <w:noProof/>
              </w:rPr>
              <w:t>— Financijsko-obavještajna jedinica (FIAU)</w:t>
            </w:r>
          </w:p>
          <w:p w14:paraId="7A539341" w14:textId="77777777" w:rsidR="008273B8" w:rsidRDefault="00B93063">
            <w:pPr>
              <w:pStyle w:val="P68B1DB1-Normal7"/>
              <w:spacing w:after="0" w:line="240" w:lineRule="auto"/>
              <w:rPr>
                <w:rFonts w:eastAsia="Times New Roman" w:cs="Calibri"/>
                <w:noProof/>
              </w:rPr>
            </w:pPr>
            <w:r>
              <w:rPr>
                <w:noProof/>
              </w:rPr>
              <w:t>Malteško tijelo za financijske usluge (MFSA)</w:t>
            </w:r>
          </w:p>
          <w:p w14:paraId="7A539342" w14:textId="77777777" w:rsidR="008273B8" w:rsidRDefault="00B93063">
            <w:pPr>
              <w:pStyle w:val="P68B1DB1-Normal7"/>
              <w:spacing w:after="0" w:line="240" w:lineRule="auto"/>
              <w:rPr>
                <w:rFonts w:eastAsia="Times New Roman" w:cs="Calibri"/>
                <w:noProof/>
              </w:rPr>
            </w:pPr>
            <w:r>
              <w:rPr>
                <w:noProof/>
              </w:rPr>
              <w:t>Malteško tijelo za igre na sreću (MGA)</w:t>
            </w:r>
          </w:p>
          <w:p w14:paraId="7A539343" w14:textId="77777777" w:rsidR="008273B8" w:rsidRDefault="00B93063">
            <w:pPr>
              <w:pStyle w:val="P68B1DB1-Normal7"/>
              <w:spacing w:after="0" w:line="240" w:lineRule="auto"/>
              <w:rPr>
                <w:rFonts w:eastAsia="Times New Roman" w:cs="Calibri"/>
                <w:noProof/>
              </w:rPr>
            </w:pPr>
            <w:r>
              <w:rPr>
                <w:noProof/>
              </w:rPr>
              <w:t>Malteške policijske snage (MPF)</w:t>
            </w:r>
          </w:p>
          <w:p w14:paraId="7A539344" w14:textId="77777777" w:rsidR="008273B8" w:rsidRDefault="00B93063">
            <w:pPr>
              <w:pStyle w:val="P68B1DB1-Normal7"/>
              <w:spacing w:after="0" w:line="240" w:lineRule="auto"/>
              <w:rPr>
                <w:rFonts w:eastAsia="Times New Roman" w:cs="Calibri"/>
                <w:noProof/>
              </w:rPr>
            </w:pPr>
            <w:r>
              <w:rPr>
                <w:noProof/>
              </w:rPr>
              <w:t>Ured glavnog državnog odvjetnika (AGO)</w:t>
            </w:r>
          </w:p>
          <w:p w14:paraId="7A539345" w14:textId="77777777" w:rsidR="008273B8" w:rsidRDefault="00B93063">
            <w:pPr>
              <w:pStyle w:val="P68B1DB1-Normal7"/>
              <w:spacing w:after="0" w:line="240" w:lineRule="auto"/>
              <w:rPr>
                <w:rFonts w:eastAsia="Times New Roman" w:cs="Calibri"/>
                <w:noProof/>
              </w:rPr>
            </w:pPr>
            <w:r>
              <w:rPr>
                <w:noProof/>
              </w:rPr>
              <w:t>Ured povjerenika za prihode (OCfR)</w:t>
            </w:r>
          </w:p>
          <w:p w14:paraId="7A539346" w14:textId="77777777" w:rsidR="008273B8" w:rsidRDefault="00B93063">
            <w:pPr>
              <w:pStyle w:val="P68B1DB1-Normal7"/>
              <w:spacing w:after="0" w:line="240" w:lineRule="auto"/>
              <w:rPr>
                <w:rFonts w:eastAsia="Times New Roman" w:cs="Calibri"/>
                <w:noProof/>
              </w:rPr>
            </w:pPr>
            <w:r>
              <w:rPr>
                <w:noProof/>
              </w:rPr>
              <w:t>Malteške sigurnosne službe (MSS)</w:t>
            </w:r>
          </w:p>
          <w:p w14:paraId="7A539347" w14:textId="77777777" w:rsidR="008273B8" w:rsidRDefault="00B93063">
            <w:pPr>
              <w:pStyle w:val="P68B1DB1-Normal7"/>
              <w:spacing w:after="0" w:line="240" w:lineRule="auto"/>
              <w:rPr>
                <w:rFonts w:eastAsia="Times New Roman" w:cs="Calibri"/>
                <w:noProof/>
              </w:rPr>
            </w:pPr>
            <w:r>
              <w:rPr>
                <w:noProof/>
              </w:rPr>
              <w:t>—Registar poslovanja Malte (MBR)</w:t>
            </w:r>
          </w:p>
          <w:p w14:paraId="7A539348" w14:textId="77777777" w:rsidR="008273B8" w:rsidRDefault="00B93063">
            <w:pPr>
              <w:pStyle w:val="P68B1DB1-Normal7"/>
              <w:spacing w:after="0" w:line="240" w:lineRule="auto"/>
              <w:rPr>
                <w:rFonts w:eastAsia="Times New Roman" w:cs="Calibri"/>
                <w:noProof/>
              </w:rPr>
            </w:pPr>
            <w:r>
              <w:rPr>
                <w:noProof/>
              </w:rPr>
              <w:t>Odjel za carinu</w:t>
            </w:r>
          </w:p>
          <w:p w14:paraId="7A539349" w14:textId="77777777" w:rsidR="008273B8" w:rsidRDefault="00B93063">
            <w:pPr>
              <w:pStyle w:val="P68B1DB1-Normal7"/>
              <w:spacing w:after="0" w:line="240" w:lineRule="auto"/>
              <w:rPr>
                <w:rFonts w:eastAsia="Times New Roman" w:cs="Calibri"/>
                <w:noProof/>
              </w:rPr>
            </w:pPr>
            <w:r>
              <w:rPr>
                <w:noProof/>
              </w:rPr>
              <w:t>Ured za povrat imovine (ARB)</w:t>
            </w:r>
          </w:p>
          <w:p w14:paraId="7A53934A" w14:textId="77777777" w:rsidR="008273B8" w:rsidRDefault="00B93063">
            <w:pPr>
              <w:pStyle w:val="P68B1DB1-Normal7"/>
              <w:spacing w:after="0" w:line="240" w:lineRule="auto"/>
              <w:rPr>
                <w:rFonts w:eastAsia="Times New Roman" w:cs="Calibri"/>
                <w:noProof/>
              </w:rPr>
            </w:pPr>
            <w:r>
              <w:rPr>
                <w:noProof/>
              </w:rPr>
              <w:t>Ured povjerenika za volonterske organizacije (OCVO)</w:t>
            </w:r>
          </w:p>
          <w:p w14:paraId="7A53934B" w14:textId="77777777" w:rsidR="008273B8" w:rsidRDefault="00B93063">
            <w:pPr>
              <w:pStyle w:val="P68B1DB1-Normal7"/>
              <w:spacing w:after="0" w:line="240" w:lineRule="auto"/>
              <w:rPr>
                <w:rFonts w:eastAsia="Times New Roman" w:cs="Calibri"/>
                <w:noProof/>
              </w:rPr>
            </w:pPr>
            <w:r>
              <w:rPr>
                <w:noProof/>
              </w:rPr>
              <w:t>—Odbor za praćenje sankcija (SMB).</w:t>
            </w:r>
          </w:p>
        </w:tc>
      </w:tr>
      <w:tr w:rsidR="008273B8" w14:paraId="7A539358" w14:textId="77777777">
        <w:trPr>
          <w:cantSplit/>
          <w:jc w:val="center"/>
        </w:trPr>
        <w:tc>
          <w:tcPr>
            <w:tcW w:w="1150" w:type="dxa"/>
            <w:shd w:val="clear" w:color="auto" w:fill="C6EFCE"/>
            <w:vAlign w:val="center"/>
            <w:hideMark/>
          </w:tcPr>
          <w:p w14:paraId="7A53934D" w14:textId="77777777" w:rsidR="008273B8" w:rsidRDefault="00B93063">
            <w:pPr>
              <w:pStyle w:val="P68B1DB1-Normal7"/>
              <w:spacing w:after="0" w:line="240" w:lineRule="auto"/>
              <w:rPr>
                <w:rFonts w:eastAsia="Times New Roman" w:cs="Calibri"/>
                <w:noProof/>
              </w:rPr>
            </w:pPr>
            <w:r>
              <w:rPr>
                <w:noProof/>
              </w:rPr>
              <w:t>6.27</w:t>
            </w:r>
          </w:p>
        </w:tc>
        <w:tc>
          <w:tcPr>
            <w:tcW w:w="1172" w:type="dxa"/>
            <w:shd w:val="clear" w:color="auto" w:fill="C6EFCE"/>
            <w:vAlign w:val="center"/>
            <w:hideMark/>
          </w:tcPr>
          <w:p w14:paraId="7A53934E" w14:textId="77777777" w:rsidR="008273B8" w:rsidRDefault="00B93063">
            <w:pPr>
              <w:pStyle w:val="P68B1DB1-Normal7"/>
              <w:spacing w:after="0" w:line="240" w:lineRule="auto"/>
              <w:rPr>
                <w:rFonts w:eastAsia="Times New Roman" w:cs="Calibri"/>
                <w:noProof/>
              </w:rPr>
            </w:pPr>
            <w:r>
              <w:rPr>
                <w:noProof/>
              </w:rPr>
              <w:t xml:space="preserve">C6.R.8 </w:t>
            </w:r>
          </w:p>
        </w:tc>
        <w:tc>
          <w:tcPr>
            <w:tcW w:w="1015" w:type="dxa"/>
            <w:shd w:val="clear" w:color="auto" w:fill="C6EFCE"/>
            <w:vAlign w:val="center"/>
            <w:hideMark/>
          </w:tcPr>
          <w:p w14:paraId="7A53934F"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350" w14:textId="77777777" w:rsidR="008273B8" w:rsidRDefault="00B93063">
            <w:pPr>
              <w:pStyle w:val="P68B1DB1-Normal7"/>
              <w:spacing w:after="0" w:line="240" w:lineRule="auto"/>
              <w:rPr>
                <w:rFonts w:eastAsia="Times New Roman" w:cs="Calibri"/>
                <w:noProof/>
              </w:rPr>
            </w:pPr>
            <w:r>
              <w:rPr>
                <w:noProof/>
              </w:rPr>
              <w:t xml:space="preserve">Provedba svih aktivnosti potrebnih nakon evaluacije FATF-a, među ostalim putem pravnih mjera </w:t>
            </w:r>
          </w:p>
        </w:tc>
        <w:tc>
          <w:tcPr>
            <w:tcW w:w="2031" w:type="dxa"/>
            <w:shd w:val="clear" w:color="auto" w:fill="C6EFCE"/>
            <w:vAlign w:val="center"/>
            <w:hideMark/>
          </w:tcPr>
          <w:p w14:paraId="7A539351" w14:textId="77777777" w:rsidR="008273B8" w:rsidRDefault="00B93063">
            <w:pPr>
              <w:pStyle w:val="P68B1DB1-Normal7"/>
              <w:spacing w:after="0" w:line="240" w:lineRule="auto"/>
              <w:rPr>
                <w:rFonts w:eastAsia="Times New Roman" w:cs="Calibri"/>
                <w:noProof/>
              </w:rPr>
            </w:pPr>
            <w:r>
              <w:rPr>
                <w:noProof/>
              </w:rPr>
              <w:t>Provedbu svih aktivnosti potrebnih nakon evaluacije FATF-a, među ostalim putem pravnih mjera</w:t>
            </w:r>
          </w:p>
        </w:tc>
        <w:tc>
          <w:tcPr>
            <w:tcW w:w="924" w:type="dxa"/>
            <w:shd w:val="clear" w:color="auto" w:fill="C6EFCE"/>
            <w:vAlign w:val="center"/>
            <w:hideMark/>
          </w:tcPr>
          <w:p w14:paraId="7A539352"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353"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354"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355"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09" w:type="dxa"/>
            <w:shd w:val="clear" w:color="auto" w:fill="C6EFCE"/>
            <w:vAlign w:val="center"/>
            <w:hideMark/>
          </w:tcPr>
          <w:p w14:paraId="7A539356" w14:textId="77777777" w:rsidR="008273B8" w:rsidRDefault="00B93063">
            <w:pPr>
              <w:pStyle w:val="P68B1DB1-Normal7"/>
              <w:spacing w:after="0" w:line="240" w:lineRule="auto"/>
              <w:jc w:val="center"/>
              <w:rPr>
                <w:rFonts w:eastAsia="Times New Roman" w:cs="Calibri"/>
                <w:noProof/>
              </w:rPr>
            </w:pPr>
            <w:r>
              <w:rPr>
                <w:noProof/>
              </w:rPr>
              <w:t>2023</w:t>
            </w:r>
          </w:p>
        </w:tc>
        <w:tc>
          <w:tcPr>
            <w:tcW w:w="5074" w:type="dxa"/>
            <w:shd w:val="clear" w:color="auto" w:fill="C6EFCE"/>
            <w:vAlign w:val="center"/>
            <w:hideMark/>
          </w:tcPr>
          <w:p w14:paraId="7A539357" w14:textId="77777777" w:rsidR="008273B8" w:rsidRDefault="00B93063">
            <w:pPr>
              <w:pStyle w:val="P68B1DB1-Normal7"/>
              <w:spacing w:after="0" w:line="240" w:lineRule="auto"/>
              <w:rPr>
                <w:rFonts w:eastAsia="Times New Roman" w:cs="Calibri"/>
                <w:noProof/>
              </w:rPr>
            </w:pPr>
            <w:r>
              <w:rPr>
                <w:noProof/>
              </w:rPr>
              <w:t>Radna skupina za financijsko djelovanje provela je evaluaciju malteškog okvira za sprečavanje pranja novca u lipnju 2021. Malta se obvezuje da će do prosinca 2023. provesti sve preporuke FATF-a, među ostalim putem zakonodavstva i propisa. Ključna etapa zahtijeva da sve mjere potrebne za uklanjanje svih nedostataka koje je utvrdio FATF stupe na snagu i/ili budu potpuno operativne i sposobne ostvariti potrebne učinke.</w:t>
            </w:r>
          </w:p>
        </w:tc>
      </w:tr>
      <w:tr w:rsidR="008273B8" w14:paraId="7A539364" w14:textId="77777777">
        <w:trPr>
          <w:cantSplit/>
          <w:jc w:val="center"/>
        </w:trPr>
        <w:tc>
          <w:tcPr>
            <w:tcW w:w="1150" w:type="dxa"/>
            <w:shd w:val="clear" w:color="auto" w:fill="C6EFCE"/>
            <w:vAlign w:val="center"/>
            <w:hideMark/>
          </w:tcPr>
          <w:p w14:paraId="7A539359" w14:textId="77777777" w:rsidR="008273B8" w:rsidRDefault="00B93063">
            <w:pPr>
              <w:pStyle w:val="P68B1DB1-Normal7"/>
              <w:spacing w:after="0" w:line="240" w:lineRule="auto"/>
              <w:rPr>
                <w:rFonts w:eastAsia="Times New Roman" w:cs="Calibri"/>
                <w:noProof/>
              </w:rPr>
            </w:pPr>
            <w:r>
              <w:rPr>
                <w:noProof/>
              </w:rPr>
              <w:t>6.28</w:t>
            </w:r>
          </w:p>
        </w:tc>
        <w:tc>
          <w:tcPr>
            <w:tcW w:w="1172" w:type="dxa"/>
            <w:shd w:val="clear" w:color="auto" w:fill="C6EFCE"/>
            <w:vAlign w:val="center"/>
            <w:hideMark/>
          </w:tcPr>
          <w:p w14:paraId="7A53935A" w14:textId="77777777" w:rsidR="008273B8" w:rsidRDefault="00B93063">
            <w:pPr>
              <w:pStyle w:val="P68B1DB1-Normal7"/>
              <w:spacing w:after="0" w:line="240" w:lineRule="auto"/>
              <w:rPr>
                <w:rFonts w:eastAsia="Times New Roman" w:cs="Calibri"/>
                <w:noProof/>
              </w:rPr>
            </w:pPr>
            <w:r>
              <w:rPr>
                <w:noProof/>
              </w:rPr>
              <w:t xml:space="preserve">C6.R.9 </w:t>
            </w:r>
          </w:p>
        </w:tc>
        <w:tc>
          <w:tcPr>
            <w:tcW w:w="1015" w:type="dxa"/>
            <w:shd w:val="clear" w:color="auto" w:fill="C6EFCE"/>
            <w:vAlign w:val="center"/>
            <w:hideMark/>
          </w:tcPr>
          <w:p w14:paraId="7A53935B"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35C" w14:textId="77777777" w:rsidR="008273B8" w:rsidRDefault="00B93063">
            <w:pPr>
              <w:pStyle w:val="P68B1DB1-Normal7"/>
              <w:spacing w:after="0" w:line="240" w:lineRule="auto"/>
              <w:rPr>
                <w:rFonts w:eastAsia="Times New Roman" w:cs="Calibri"/>
                <w:noProof/>
              </w:rPr>
            </w:pPr>
            <w:r>
              <w:rPr>
                <w:noProof/>
              </w:rPr>
              <w:t>Stupanje na snagu revidirane prijave poreza na dobit radi prikupljanja informacija o dividendama koje potječu od tijela osoba rezidenata u jurisdikcijama navedenima na popisu nekooperativnih jurisdikcija iz Skupine za Kodeks o postupanju.</w:t>
            </w:r>
          </w:p>
        </w:tc>
        <w:tc>
          <w:tcPr>
            <w:tcW w:w="2031" w:type="dxa"/>
            <w:shd w:val="clear" w:color="auto" w:fill="C6EFCE"/>
            <w:vAlign w:val="center"/>
            <w:hideMark/>
          </w:tcPr>
          <w:p w14:paraId="7A53935D" w14:textId="77777777" w:rsidR="008273B8" w:rsidRDefault="00B93063">
            <w:pPr>
              <w:pStyle w:val="P68B1DB1-Normal7"/>
              <w:spacing w:after="0" w:line="240" w:lineRule="auto"/>
              <w:rPr>
                <w:rFonts w:eastAsia="Times New Roman" w:cs="Calibri"/>
                <w:noProof/>
              </w:rPr>
            </w:pPr>
            <w:r>
              <w:rPr>
                <w:noProof/>
              </w:rPr>
              <w:t xml:space="preserve">Stupanje na snagu revidirane prijave poreza na dobit </w:t>
            </w:r>
          </w:p>
        </w:tc>
        <w:tc>
          <w:tcPr>
            <w:tcW w:w="924" w:type="dxa"/>
            <w:shd w:val="clear" w:color="auto" w:fill="C6EFCE"/>
            <w:vAlign w:val="center"/>
            <w:hideMark/>
          </w:tcPr>
          <w:p w14:paraId="7A53935E"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35F"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360"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361" w14:textId="77777777" w:rsidR="008273B8" w:rsidRDefault="00B93063">
            <w:pPr>
              <w:pStyle w:val="P68B1DB1-Normal7"/>
              <w:spacing w:after="0" w:line="240" w:lineRule="auto"/>
              <w:jc w:val="center"/>
              <w:rPr>
                <w:rFonts w:eastAsia="Times New Roman" w:cs="Calibri"/>
                <w:noProof/>
              </w:rPr>
            </w:pPr>
            <w:r>
              <w:rPr>
                <w:noProof/>
              </w:rPr>
              <w:t>Q2</w:t>
            </w:r>
          </w:p>
        </w:tc>
        <w:tc>
          <w:tcPr>
            <w:tcW w:w="709" w:type="dxa"/>
            <w:shd w:val="clear" w:color="auto" w:fill="C6EFCE"/>
            <w:vAlign w:val="center"/>
            <w:hideMark/>
          </w:tcPr>
          <w:p w14:paraId="7A539362" w14:textId="77777777" w:rsidR="008273B8" w:rsidRDefault="00B93063">
            <w:pPr>
              <w:pStyle w:val="P68B1DB1-Normal7"/>
              <w:spacing w:after="0" w:line="240" w:lineRule="auto"/>
              <w:jc w:val="center"/>
              <w:rPr>
                <w:rFonts w:eastAsia="Times New Roman" w:cs="Calibri"/>
                <w:noProof/>
              </w:rPr>
            </w:pPr>
            <w:r>
              <w:rPr>
                <w:noProof/>
              </w:rPr>
              <w:t>2022</w:t>
            </w:r>
          </w:p>
        </w:tc>
        <w:tc>
          <w:tcPr>
            <w:tcW w:w="5074" w:type="dxa"/>
            <w:shd w:val="clear" w:color="auto" w:fill="C6EFCE"/>
            <w:vAlign w:val="center"/>
            <w:hideMark/>
          </w:tcPr>
          <w:p w14:paraId="7A539363" w14:textId="77777777" w:rsidR="008273B8" w:rsidRDefault="00B93063">
            <w:pPr>
              <w:pStyle w:val="P68B1DB1-Normal7"/>
              <w:spacing w:after="0" w:line="240" w:lineRule="auto"/>
              <w:rPr>
                <w:rFonts w:eastAsia="Times New Roman" w:cs="Calibri"/>
                <w:noProof/>
              </w:rPr>
            </w:pPr>
            <w:r>
              <w:rPr>
                <w:noProof/>
              </w:rPr>
              <w:t>Stupanje na snagu revidirane prijave poreza na dobit za fiskalnu godinu 2021. Riječ je o administrativnoj mjeri kojom se u poreznoj prijavi traže podaci o dividendama koje potječu od tijela osoba koje su rezidenti u jurisdikcijama navedenima na popisu nekooperativnih jurisdikcija Skupine za Kodeks o postupanju.</w:t>
            </w:r>
          </w:p>
        </w:tc>
      </w:tr>
      <w:tr w:rsidR="008273B8" w14:paraId="7A539370" w14:textId="77777777">
        <w:trPr>
          <w:cantSplit/>
          <w:jc w:val="center"/>
        </w:trPr>
        <w:tc>
          <w:tcPr>
            <w:tcW w:w="1150" w:type="dxa"/>
            <w:shd w:val="clear" w:color="auto" w:fill="C6EFCE"/>
            <w:vAlign w:val="center"/>
            <w:hideMark/>
          </w:tcPr>
          <w:p w14:paraId="7A539365" w14:textId="77777777" w:rsidR="008273B8" w:rsidRDefault="00B93063">
            <w:pPr>
              <w:pStyle w:val="P68B1DB1-Normal7"/>
              <w:spacing w:after="0" w:line="240" w:lineRule="auto"/>
              <w:rPr>
                <w:rFonts w:eastAsia="Times New Roman" w:cs="Calibri"/>
                <w:noProof/>
              </w:rPr>
            </w:pPr>
            <w:r>
              <w:rPr>
                <w:noProof/>
              </w:rPr>
              <w:t>6.29</w:t>
            </w:r>
          </w:p>
        </w:tc>
        <w:tc>
          <w:tcPr>
            <w:tcW w:w="1172" w:type="dxa"/>
            <w:shd w:val="clear" w:color="auto" w:fill="C6EFCE"/>
            <w:vAlign w:val="center"/>
            <w:hideMark/>
          </w:tcPr>
          <w:p w14:paraId="7A539366" w14:textId="77777777" w:rsidR="008273B8" w:rsidRDefault="00B93063">
            <w:pPr>
              <w:pStyle w:val="P68B1DB1-Normal7"/>
              <w:spacing w:after="0" w:line="240" w:lineRule="auto"/>
              <w:rPr>
                <w:rFonts w:eastAsia="Times New Roman" w:cs="Calibri"/>
                <w:noProof/>
              </w:rPr>
            </w:pPr>
            <w:r>
              <w:rPr>
                <w:noProof/>
              </w:rPr>
              <w:t xml:space="preserve">C6.R.9 </w:t>
            </w:r>
          </w:p>
        </w:tc>
        <w:tc>
          <w:tcPr>
            <w:tcW w:w="1015" w:type="dxa"/>
            <w:shd w:val="clear" w:color="auto" w:fill="C6EFCE"/>
            <w:vAlign w:val="center"/>
            <w:hideMark/>
          </w:tcPr>
          <w:p w14:paraId="7A539367" w14:textId="77777777" w:rsidR="008273B8" w:rsidRDefault="00B93063">
            <w:pPr>
              <w:pStyle w:val="P68B1DB1-Normal7"/>
              <w:spacing w:after="0" w:line="240" w:lineRule="auto"/>
              <w:rPr>
                <w:rFonts w:eastAsia="Times New Roman" w:cs="Calibri"/>
                <w:noProof/>
              </w:rPr>
            </w:pPr>
            <w:r>
              <w:rPr>
                <w:noProof/>
              </w:rPr>
              <w:t>Ciljna vrijednost</w:t>
            </w:r>
          </w:p>
        </w:tc>
        <w:tc>
          <w:tcPr>
            <w:tcW w:w="1595" w:type="dxa"/>
            <w:shd w:val="clear" w:color="auto" w:fill="C6EFCE"/>
            <w:vAlign w:val="center"/>
            <w:hideMark/>
          </w:tcPr>
          <w:p w14:paraId="7A539368" w14:textId="77777777" w:rsidR="008273B8" w:rsidRDefault="00B93063">
            <w:pPr>
              <w:pStyle w:val="P68B1DB1-Normal7"/>
              <w:spacing w:after="0" w:line="240" w:lineRule="auto"/>
              <w:rPr>
                <w:rFonts w:eastAsia="Times New Roman" w:cs="Calibri"/>
                <w:noProof/>
              </w:rPr>
            </w:pPr>
            <w:r>
              <w:rPr>
                <w:noProof/>
              </w:rPr>
              <w:t>Raspoređivanje posebnog osoblja za nadzor poreznih obveznika u tom području oporezivanja</w:t>
            </w:r>
          </w:p>
        </w:tc>
        <w:tc>
          <w:tcPr>
            <w:tcW w:w="2031" w:type="dxa"/>
            <w:shd w:val="clear" w:color="auto" w:fill="C6EFCE"/>
            <w:vAlign w:val="center"/>
            <w:hideMark/>
          </w:tcPr>
          <w:p w14:paraId="7A539369" w14:textId="77777777" w:rsidR="008273B8" w:rsidRDefault="00B93063">
            <w:pPr>
              <w:pStyle w:val="P68B1DB1-Normal7"/>
              <w:spacing w:after="0" w:line="240" w:lineRule="auto"/>
              <w:rPr>
                <w:rFonts w:eastAsia="Times New Roman" w:cs="Calibri"/>
                <w:noProof/>
              </w:rPr>
            </w:pPr>
            <w:r>
              <w:rPr>
                <w:noProof/>
              </w:rPr>
              <w:t>Raspoređivanje posebnog osoblja za nadzor poreznih obveznika u tom području oporezivanja</w:t>
            </w:r>
          </w:p>
        </w:tc>
        <w:tc>
          <w:tcPr>
            <w:tcW w:w="924" w:type="dxa"/>
            <w:shd w:val="clear" w:color="auto" w:fill="C6EFCE"/>
            <w:vAlign w:val="center"/>
            <w:hideMark/>
          </w:tcPr>
          <w:p w14:paraId="7A53936A" w14:textId="77777777" w:rsidR="008273B8" w:rsidRDefault="00B93063">
            <w:pPr>
              <w:pStyle w:val="P68B1DB1-Normal7"/>
              <w:spacing w:after="0" w:line="240" w:lineRule="auto"/>
              <w:jc w:val="center"/>
              <w:rPr>
                <w:rFonts w:eastAsia="Times New Roman" w:cs="Calibri"/>
                <w:noProof/>
              </w:rPr>
            </w:pPr>
            <w:r>
              <w:rPr>
                <w:noProof/>
              </w:rPr>
              <w:t>Broj</w:t>
            </w:r>
          </w:p>
        </w:tc>
        <w:tc>
          <w:tcPr>
            <w:tcW w:w="915" w:type="dxa"/>
            <w:shd w:val="clear" w:color="auto" w:fill="C6EFCE"/>
            <w:vAlign w:val="center"/>
            <w:hideMark/>
          </w:tcPr>
          <w:p w14:paraId="7A53936B" w14:textId="77777777" w:rsidR="008273B8" w:rsidRDefault="00B93063">
            <w:pPr>
              <w:pStyle w:val="P68B1DB1-Normal7"/>
              <w:spacing w:after="0" w:line="240" w:lineRule="auto"/>
              <w:jc w:val="center"/>
              <w:rPr>
                <w:rFonts w:eastAsia="Times New Roman" w:cs="Calibri"/>
                <w:noProof/>
              </w:rPr>
            </w:pPr>
            <w:r>
              <w:rPr>
                <w:noProof/>
              </w:rPr>
              <w:t>0</w:t>
            </w:r>
          </w:p>
        </w:tc>
        <w:tc>
          <w:tcPr>
            <w:tcW w:w="974" w:type="dxa"/>
            <w:shd w:val="clear" w:color="auto" w:fill="C6EFCE"/>
            <w:vAlign w:val="center"/>
            <w:hideMark/>
          </w:tcPr>
          <w:p w14:paraId="7A53936C" w14:textId="77777777" w:rsidR="008273B8" w:rsidRDefault="00B93063">
            <w:pPr>
              <w:pStyle w:val="P68B1DB1-Normal7"/>
              <w:spacing w:after="0" w:line="240" w:lineRule="auto"/>
              <w:jc w:val="center"/>
              <w:rPr>
                <w:rFonts w:eastAsia="Times New Roman" w:cs="Calibri"/>
                <w:noProof/>
              </w:rPr>
            </w:pPr>
            <w:r>
              <w:rPr>
                <w:noProof/>
              </w:rPr>
              <w:t>2</w:t>
            </w:r>
          </w:p>
        </w:tc>
        <w:tc>
          <w:tcPr>
            <w:tcW w:w="709" w:type="dxa"/>
            <w:shd w:val="clear" w:color="auto" w:fill="C6EFCE"/>
            <w:vAlign w:val="center"/>
            <w:hideMark/>
          </w:tcPr>
          <w:p w14:paraId="7A53936D" w14:textId="77777777" w:rsidR="008273B8" w:rsidRDefault="00B93063">
            <w:pPr>
              <w:pStyle w:val="P68B1DB1-Normal7"/>
              <w:spacing w:after="0" w:line="240" w:lineRule="auto"/>
              <w:jc w:val="center"/>
              <w:rPr>
                <w:rFonts w:eastAsia="Times New Roman" w:cs="Calibri"/>
                <w:noProof/>
              </w:rPr>
            </w:pPr>
            <w:r>
              <w:rPr>
                <w:noProof/>
              </w:rPr>
              <w:t>TROMJESEČJE</w:t>
            </w:r>
          </w:p>
        </w:tc>
        <w:tc>
          <w:tcPr>
            <w:tcW w:w="709" w:type="dxa"/>
            <w:shd w:val="clear" w:color="auto" w:fill="C6EFCE"/>
            <w:vAlign w:val="center"/>
            <w:hideMark/>
          </w:tcPr>
          <w:p w14:paraId="7A53936E" w14:textId="77777777" w:rsidR="008273B8" w:rsidRDefault="00B93063">
            <w:pPr>
              <w:pStyle w:val="P68B1DB1-Normal7"/>
              <w:spacing w:after="0" w:line="240" w:lineRule="auto"/>
              <w:jc w:val="center"/>
              <w:rPr>
                <w:rFonts w:eastAsia="Times New Roman" w:cs="Calibri"/>
                <w:noProof/>
              </w:rPr>
            </w:pPr>
            <w:r>
              <w:rPr>
                <w:noProof/>
              </w:rPr>
              <w:t>2022</w:t>
            </w:r>
          </w:p>
        </w:tc>
        <w:tc>
          <w:tcPr>
            <w:tcW w:w="5074" w:type="dxa"/>
            <w:shd w:val="clear" w:color="auto" w:fill="C6EFCE"/>
            <w:vAlign w:val="center"/>
            <w:hideMark/>
          </w:tcPr>
          <w:p w14:paraId="7A53936F" w14:textId="77777777" w:rsidR="008273B8" w:rsidRDefault="00B93063">
            <w:pPr>
              <w:pStyle w:val="P68B1DB1-Normal7"/>
              <w:spacing w:after="0" w:line="240" w:lineRule="auto"/>
              <w:rPr>
                <w:rFonts w:eastAsia="Times New Roman" w:cs="Calibri"/>
                <w:noProof/>
              </w:rPr>
            </w:pPr>
            <w:r>
              <w:rPr>
                <w:noProof/>
              </w:rPr>
              <w:t>Dva istražitelja zadužena su za puno radno vrijeme za kontrolu poreznih obveznika u pogledu udjela u tijelima osoba s boravištem u jurisdikcijama navedenima na popisu nekooperativnih jurisdikcija Skupine za Kodeks o postupanju.</w:t>
            </w:r>
          </w:p>
        </w:tc>
      </w:tr>
      <w:tr w:rsidR="008273B8" w14:paraId="7A53937C" w14:textId="77777777">
        <w:trPr>
          <w:cantSplit/>
          <w:jc w:val="center"/>
        </w:trPr>
        <w:tc>
          <w:tcPr>
            <w:tcW w:w="1150" w:type="dxa"/>
            <w:shd w:val="clear" w:color="auto" w:fill="C6EFCE"/>
            <w:vAlign w:val="center"/>
            <w:hideMark/>
          </w:tcPr>
          <w:p w14:paraId="7A539371" w14:textId="77777777" w:rsidR="008273B8" w:rsidRDefault="00B93063">
            <w:pPr>
              <w:pStyle w:val="P68B1DB1-Normal7"/>
              <w:spacing w:after="0" w:line="240" w:lineRule="auto"/>
              <w:rPr>
                <w:rFonts w:eastAsia="Times New Roman" w:cs="Calibri"/>
                <w:noProof/>
              </w:rPr>
            </w:pPr>
            <w:r>
              <w:rPr>
                <w:noProof/>
              </w:rPr>
              <w:t>6.30</w:t>
            </w:r>
          </w:p>
        </w:tc>
        <w:tc>
          <w:tcPr>
            <w:tcW w:w="1172" w:type="dxa"/>
            <w:shd w:val="clear" w:color="auto" w:fill="C6EFCE"/>
            <w:vAlign w:val="center"/>
            <w:hideMark/>
          </w:tcPr>
          <w:p w14:paraId="7A539372" w14:textId="77777777" w:rsidR="008273B8" w:rsidRDefault="00B93063">
            <w:pPr>
              <w:pStyle w:val="P68B1DB1-Normal7"/>
              <w:spacing w:after="0" w:line="240" w:lineRule="auto"/>
              <w:rPr>
                <w:rFonts w:eastAsia="Times New Roman" w:cs="Calibri"/>
                <w:noProof/>
              </w:rPr>
            </w:pPr>
            <w:r>
              <w:rPr>
                <w:noProof/>
              </w:rPr>
              <w:t xml:space="preserve">C6.R.10 </w:t>
            </w:r>
          </w:p>
        </w:tc>
        <w:tc>
          <w:tcPr>
            <w:tcW w:w="1015" w:type="dxa"/>
            <w:shd w:val="clear" w:color="auto" w:fill="C6EFCE"/>
            <w:vAlign w:val="center"/>
            <w:hideMark/>
          </w:tcPr>
          <w:p w14:paraId="7A539373"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374" w14:textId="77777777" w:rsidR="008273B8" w:rsidRDefault="00B93063">
            <w:pPr>
              <w:pStyle w:val="P68B1DB1-Normal7"/>
              <w:spacing w:after="0" w:line="240" w:lineRule="auto"/>
              <w:rPr>
                <w:rFonts w:eastAsia="Times New Roman" w:cs="Calibri"/>
                <w:noProof/>
              </w:rPr>
            </w:pPr>
            <w:r>
              <w:rPr>
                <w:noProof/>
              </w:rPr>
              <w:t xml:space="preserve">Stupanje na snagu relevantne odredbe kojom se omogućuje uvođenje pravila o transfernim cijenama </w:t>
            </w:r>
          </w:p>
        </w:tc>
        <w:tc>
          <w:tcPr>
            <w:tcW w:w="2031" w:type="dxa"/>
            <w:shd w:val="clear" w:color="auto" w:fill="C6EFCE"/>
            <w:vAlign w:val="center"/>
            <w:hideMark/>
          </w:tcPr>
          <w:p w14:paraId="7A539375" w14:textId="4F891851" w:rsidR="008273B8" w:rsidRDefault="00B93063">
            <w:pPr>
              <w:pStyle w:val="P68B1DB1-Normal7"/>
              <w:spacing w:after="0" w:line="240" w:lineRule="auto"/>
              <w:rPr>
                <w:rFonts w:eastAsia="Times New Roman" w:cs="Calibri"/>
                <w:noProof/>
              </w:rPr>
            </w:pPr>
            <w:r>
              <w:rPr>
                <w:noProof/>
              </w:rPr>
              <w:t xml:space="preserve">Odredba zakona o stupanju na snagu relevantne odredbe koja omogućuje uvođenje pravila o transfernim cijenama </w:t>
            </w:r>
          </w:p>
        </w:tc>
        <w:tc>
          <w:tcPr>
            <w:tcW w:w="924" w:type="dxa"/>
            <w:shd w:val="clear" w:color="auto" w:fill="C6EFCE"/>
            <w:vAlign w:val="center"/>
            <w:hideMark/>
          </w:tcPr>
          <w:p w14:paraId="7A539376"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377"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378"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379" w14:textId="77777777" w:rsidR="008273B8" w:rsidRDefault="00B93063">
            <w:pPr>
              <w:pStyle w:val="P68B1DB1-Normal7"/>
              <w:spacing w:after="0" w:line="240" w:lineRule="auto"/>
              <w:jc w:val="center"/>
              <w:rPr>
                <w:rFonts w:eastAsia="Times New Roman" w:cs="Calibri"/>
                <w:noProof/>
              </w:rPr>
            </w:pPr>
            <w:r>
              <w:rPr>
                <w:noProof/>
              </w:rPr>
              <w:t>Q2</w:t>
            </w:r>
          </w:p>
        </w:tc>
        <w:tc>
          <w:tcPr>
            <w:tcW w:w="709" w:type="dxa"/>
            <w:shd w:val="clear" w:color="auto" w:fill="C6EFCE"/>
            <w:vAlign w:val="center"/>
            <w:hideMark/>
          </w:tcPr>
          <w:p w14:paraId="7A53937A" w14:textId="77777777" w:rsidR="008273B8" w:rsidRDefault="00B93063">
            <w:pPr>
              <w:pStyle w:val="P68B1DB1-Normal7"/>
              <w:spacing w:after="0" w:line="240" w:lineRule="auto"/>
              <w:jc w:val="center"/>
              <w:rPr>
                <w:rFonts w:eastAsia="Times New Roman" w:cs="Calibri"/>
                <w:noProof/>
              </w:rPr>
            </w:pPr>
            <w:r>
              <w:rPr>
                <w:noProof/>
              </w:rPr>
              <w:t>2021</w:t>
            </w:r>
          </w:p>
        </w:tc>
        <w:tc>
          <w:tcPr>
            <w:tcW w:w="5074" w:type="dxa"/>
            <w:shd w:val="clear" w:color="auto" w:fill="C6EFCE"/>
            <w:vAlign w:val="center"/>
            <w:hideMark/>
          </w:tcPr>
          <w:p w14:paraId="7A53937B" w14:textId="77777777" w:rsidR="008273B8" w:rsidRDefault="00B93063">
            <w:pPr>
              <w:pStyle w:val="P68B1DB1-Normal7"/>
              <w:spacing w:after="0" w:line="240" w:lineRule="auto"/>
              <w:rPr>
                <w:rFonts w:eastAsia="Times New Roman" w:cs="Calibri"/>
                <w:noProof/>
              </w:rPr>
            </w:pPr>
            <w:r>
              <w:rPr>
                <w:noProof/>
              </w:rPr>
              <w:t>Zakonske odredbe (Provedbeni zakon o proračunskim mjerama) potrebne za uvođenje transfernih cijena donesene su i u potpunosti su na snazi.</w:t>
            </w:r>
          </w:p>
        </w:tc>
      </w:tr>
      <w:tr w:rsidR="008273B8" w14:paraId="7A539388" w14:textId="77777777">
        <w:trPr>
          <w:cantSplit/>
          <w:jc w:val="center"/>
        </w:trPr>
        <w:tc>
          <w:tcPr>
            <w:tcW w:w="1150" w:type="dxa"/>
            <w:shd w:val="clear" w:color="auto" w:fill="C6EFCE"/>
            <w:vAlign w:val="center"/>
            <w:hideMark/>
          </w:tcPr>
          <w:p w14:paraId="7A53937D" w14:textId="77777777" w:rsidR="008273B8" w:rsidRDefault="00B93063">
            <w:pPr>
              <w:pStyle w:val="P68B1DB1-Normal7"/>
              <w:spacing w:after="0" w:line="240" w:lineRule="auto"/>
              <w:rPr>
                <w:rFonts w:eastAsia="Times New Roman" w:cs="Calibri"/>
                <w:noProof/>
              </w:rPr>
            </w:pPr>
            <w:r>
              <w:rPr>
                <w:noProof/>
              </w:rPr>
              <w:t>6.31</w:t>
            </w:r>
          </w:p>
        </w:tc>
        <w:tc>
          <w:tcPr>
            <w:tcW w:w="1172" w:type="dxa"/>
            <w:shd w:val="clear" w:color="auto" w:fill="C6EFCE"/>
            <w:vAlign w:val="center"/>
            <w:hideMark/>
          </w:tcPr>
          <w:p w14:paraId="7A53937E" w14:textId="77777777" w:rsidR="008273B8" w:rsidRDefault="00B93063">
            <w:pPr>
              <w:pStyle w:val="P68B1DB1-Normal7"/>
              <w:spacing w:after="0" w:line="240" w:lineRule="auto"/>
              <w:rPr>
                <w:rFonts w:eastAsia="Times New Roman" w:cs="Calibri"/>
                <w:noProof/>
              </w:rPr>
            </w:pPr>
            <w:r>
              <w:rPr>
                <w:noProof/>
              </w:rPr>
              <w:t xml:space="preserve">C6.R.10 </w:t>
            </w:r>
          </w:p>
        </w:tc>
        <w:tc>
          <w:tcPr>
            <w:tcW w:w="1015" w:type="dxa"/>
            <w:shd w:val="clear" w:color="auto" w:fill="C6EFCE"/>
            <w:vAlign w:val="center"/>
            <w:hideMark/>
          </w:tcPr>
          <w:p w14:paraId="7A53937F"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380" w14:textId="77777777" w:rsidR="008273B8" w:rsidRDefault="00B93063">
            <w:pPr>
              <w:pStyle w:val="P68B1DB1-Normal7"/>
              <w:spacing w:after="0" w:line="240" w:lineRule="auto"/>
              <w:rPr>
                <w:rFonts w:eastAsia="Times New Roman" w:cs="Calibri"/>
                <w:noProof/>
              </w:rPr>
            </w:pPr>
            <w:r>
              <w:rPr>
                <w:noProof/>
              </w:rPr>
              <w:t>Savjetovanje s dionicima i izrada posebnih pravila o transfernim cijenama</w:t>
            </w:r>
          </w:p>
        </w:tc>
        <w:tc>
          <w:tcPr>
            <w:tcW w:w="2031" w:type="dxa"/>
            <w:shd w:val="clear" w:color="auto" w:fill="C6EFCE"/>
            <w:vAlign w:val="center"/>
            <w:hideMark/>
          </w:tcPr>
          <w:p w14:paraId="7A539381" w14:textId="77777777" w:rsidR="008273B8" w:rsidRDefault="00B93063">
            <w:pPr>
              <w:pStyle w:val="P68B1DB1-Normal7"/>
              <w:spacing w:after="0" w:line="240" w:lineRule="auto"/>
              <w:rPr>
                <w:rFonts w:eastAsia="Times New Roman" w:cs="Calibri"/>
                <w:noProof/>
              </w:rPr>
            </w:pPr>
            <w:r>
              <w:rPr>
                <w:noProof/>
              </w:rPr>
              <w:t>Dovršeno savjetovanje s dionicima i izrada posebnih pravila o transfernim cijenama te nacrt pravne obavijesti proslijeđen kabinetu na odobrenje</w:t>
            </w:r>
          </w:p>
        </w:tc>
        <w:tc>
          <w:tcPr>
            <w:tcW w:w="924" w:type="dxa"/>
            <w:shd w:val="clear" w:color="auto" w:fill="C6EFCE"/>
            <w:vAlign w:val="center"/>
            <w:hideMark/>
          </w:tcPr>
          <w:p w14:paraId="7A539382"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383"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384"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385" w14:textId="77777777" w:rsidR="008273B8" w:rsidRDefault="00B93063">
            <w:pPr>
              <w:pStyle w:val="P68B1DB1-Normal7"/>
              <w:spacing w:after="0" w:line="240" w:lineRule="auto"/>
              <w:jc w:val="center"/>
              <w:rPr>
                <w:rFonts w:eastAsia="Times New Roman" w:cs="Calibri"/>
                <w:noProof/>
              </w:rPr>
            </w:pPr>
            <w:r>
              <w:rPr>
                <w:noProof/>
              </w:rPr>
              <w:t>Q2</w:t>
            </w:r>
          </w:p>
        </w:tc>
        <w:tc>
          <w:tcPr>
            <w:tcW w:w="709" w:type="dxa"/>
            <w:shd w:val="clear" w:color="auto" w:fill="C6EFCE"/>
            <w:vAlign w:val="center"/>
            <w:hideMark/>
          </w:tcPr>
          <w:p w14:paraId="7A539386" w14:textId="77777777" w:rsidR="008273B8" w:rsidRDefault="00B93063">
            <w:pPr>
              <w:pStyle w:val="P68B1DB1-Normal7"/>
              <w:spacing w:after="0" w:line="240" w:lineRule="auto"/>
              <w:jc w:val="center"/>
              <w:rPr>
                <w:rFonts w:eastAsia="Times New Roman" w:cs="Calibri"/>
                <w:noProof/>
              </w:rPr>
            </w:pPr>
            <w:r>
              <w:rPr>
                <w:noProof/>
              </w:rPr>
              <w:t>2022</w:t>
            </w:r>
          </w:p>
        </w:tc>
        <w:tc>
          <w:tcPr>
            <w:tcW w:w="5074" w:type="dxa"/>
            <w:shd w:val="clear" w:color="auto" w:fill="C6EFCE"/>
            <w:vAlign w:val="center"/>
            <w:hideMark/>
          </w:tcPr>
          <w:p w14:paraId="7A539387" w14:textId="77777777" w:rsidR="008273B8" w:rsidRDefault="00B93063">
            <w:pPr>
              <w:pStyle w:val="P68B1DB1-Normal7"/>
              <w:spacing w:after="0" w:line="240" w:lineRule="auto"/>
              <w:rPr>
                <w:rFonts w:eastAsia="Times New Roman" w:cs="Calibri"/>
                <w:noProof/>
              </w:rPr>
            </w:pPr>
            <w:r>
              <w:rPr>
                <w:noProof/>
              </w:rPr>
              <w:t>Završeno je savjetovanje s dionicima. Nacrt pravne obavijesti o posebnim pravilima o transfernim cijenama prosljeđuje se kabinetu na odobrenje. Cilj je savjetovanja prikupiti informacije koje su relevantne za područje primjene i postupak koji se odnosi na prethodne sporazume o transfernim cijenama. Glavni dionici sastoje se od predstavničkih tijela stručnjaka koja se bave pitanjima oporezivanja i uključuju računovođe, odvjetnike i druge porezne djelatnike.</w:t>
            </w:r>
          </w:p>
        </w:tc>
      </w:tr>
      <w:tr w:rsidR="008273B8" w14:paraId="7A539394" w14:textId="77777777">
        <w:trPr>
          <w:cantSplit/>
          <w:jc w:val="center"/>
        </w:trPr>
        <w:tc>
          <w:tcPr>
            <w:tcW w:w="1150" w:type="dxa"/>
            <w:shd w:val="clear" w:color="auto" w:fill="C6EFCE"/>
            <w:vAlign w:val="center"/>
            <w:hideMark/>
          </w:tcPr>
          <w:p w14:paraId="7A539389" w14:textId="77777777" w:rsidR="008273B8" w:rsidRDefault="00B93063">
            <w:pPr>
              <w:pStyle w:val="P68B1DB1-Normal7"/>
              <w:spacing w:after="0" w:line="240" w:lineRule="auto"/>
              <w:rPr>
                <w:rFonts w:eastAsia="Times New Roman" w:cs="Calibri"/>
                <w:noProof/>
              </w:rPr>
            </w:pPr>
            <w:r>
              <w:rPr>
                <w:noProof/>
              </w:rPr>
              <w:t>6.32</w:t>
            </w:r>
          </w:p>
        </w:tc>
        <w:tc>
          <w:tcPr>
            <w:tcW w:w="1172" w:type="dxa"/>
            <w:shd w:val="clear" w:color="auto" w:fill="C6EFCE"/>
            <w:vAlign w:val="center"/>
            <w:hideMark/>
          </w:tcPr>
          <w:p w14:paraId="7A53938A" w14:textId="77777777" w:rsidR="008273B8" w:rsidRDefault="00B93063">
            <w:pPr>
              <w:pStyle w:val="P68B1DB1-Normal7"/>
              <w:spacing w:after="0" w:line="240" w:lineRule="auto"/>
              <w:rPr>
                <w:rFonts w:eastAsia="Times New Roman" w:cs="Calibri"/>
                <w:noProof/>
              </w:rPr>
            </w:pPr>
            <w:r>
              <w:rPr>
                <w:noProof/>
              </w:rPr>
              <w:t xml:space="preserve">C6.R.10 </w:t>
            </w:r>
          </w:p>
        </w:tc>
        <w:tc>
          <w:tcPr>
            <w:tcW w:w="1015" w:type="dxa"/>
            <w:shd w:val="clear" w:color="auto" w:fill="C6EFCE"/>
            <w:vAlign w:val="center"/>
            <w:hideMark/>
          </w:tcPr>
          <w:p w14:paraId="7A53938B"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38C" w14:textId="77777777" w:rsidR="008273B8" w:rsidRDefault="00B93063">
            <w:pPr>
              <w:pStyle w:val="P68B1DB1-Normal7"/>
              <w:spacing w:after="0" w:line="240" w:lineRule="auto"/>
              <w:rPr>
                <w:rFonts w:eastAsia="Times New Roman" w:cs="Calibri"/>
                <w:noProof/>
              </w:rPr>
            </w:pPr>
            <w:r>
              <w:rPr>
                <w:noProof/>
              </w:rPr>
              <w:t xml:space="preserve">Stupanje na snagu posebnih pravila o transfernim cijenama </w:t>
            </w:r>
          </w:p>
        </w:tc>
        <w:tc>
          <w:tcPr>
            <w:tcW w:w="2031" w:type="dxa"/>
            <w:shd w:val="clear" w:color="auto" w:fill="C6EFCE"/>
            <w:vAlign w:val="center"/>
            <w:hideMark/>
          </w:tcPr>
          <w:p w14:paraId="7A53938D" w14:textId="77777777" w:rsidR="008273B8" w:rsidRDefault="00B93063">
            <w:pPr>
              <w:pStyle w:val="P68B1DB1-Normal7"/>
              <w:spacing w:after="0" w:line="240" w:lineRule="auto"/>
              <w:rPr>
                <w:rFonts w:eastAsia="Times New Roman" w:cs="Calibri"/>
                <w:noProof/>
              </w:rPr>
            </w:pPr>
            <w:r>
              <w:rPr>
                <w:noProof/>
              </w:rPr>
              <w:t>Stupanje na snagu posebnih pravila o transfernim cijenama</w:t>
            </w:r>
          </w:p>
        </w:tc>
        <w:tc>
          <w:tcPr>
            <w:tcW w:w="924" w:type="dxa"/>
            <w:shd w:val="clear" w:color="auto" w:fill="C6EFCE"/>
            <w:vAlign w:val="center"/>
            <w:hideMark/>
          </w:tcPr>
          <w:p w14:paraId="7A53938E"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38F"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390"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391"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09" w:type="dxa"/>
            <w:shd w:val="clear" w:color="auto" w:fill="C6EFCE"/>
            <w:vAlign w:val="center"/>
            <w:hideMark/>
          </w:tcPr>
          <w:p w14:paraId="7A539392" w14:textId="77777777" w:rsidR="008273B8" w:rsidRDefault="00B93063">
            <w:pPr>
              <w:pStyle w:val="P68B1DB1-Normal7"/>
              <w:spacing w:after="0" w:line="240" w:lineRule="auto"/>
              <w:jc w:val="center"/>
              <w:rPr>
                <w:rFonts w:eastAsia="Times New Roman" w:cs="Calibri"/>
                <w:noProof/>
              </w:rPr>
            </w:pPr>
            <w:r>
              <w:rPr>
                <w:noProof/>
              </w:rPr>
              <w:t>2022</w:t>
            </w:r>
          </w:p>
        </w:tc>
        <w:tc>
          <w:tcPr>
            <w:tcW w:w="5074" w:type="dxa"/>
            <w:shd w:val="clear" w:color="auto" w:fill="C6EFCE"/>
            <w:vAlign w:val="center"/>
            <w:hideMark/>
          </w:tcPr>
          <w:p w14:paraId="7A539393" w14:textId="77777777" w:rsidR="008273B8" w:rsidRDefault="00B93063">
            <w:pPr>
              <w:pStyle w:val="P68B1DB1-Normal7"/>
              <w:spacing w:after="0" w:line="240" w:lineRule="auto"/>
              <w:rPr>
                <w:rFonts w:eastAsia="Times New Roman" w:cs="Calibri"/>
                <w:noProof/>
              </w:rPr>
            </w:pPr>
            <w:r>
              <w:rPr>
                <w:noProof/>
              </w:rPr>
              <w:t xml:space="preserve">Stupanje na snagu posebnih pravila koja se odnose na načelo nepristrane transakcije i napredne sporazume o određivanju cijena. Ta se pravila počinju primjenjivati od prvog tromjesečja 2024. </w:t>
            </w:r>
          </w:p>
        </w:tc>
      </w:tr>
      <w:tr w:rsidR="008273B8" w14:paraId="7A5393A0" w14:textId="77777777">
        <w:trPr>
          <w:cantSplit/>
          <w:jc w:val="center"/>
        </w:trPr>
        <w:tc>
          <w:tcPr>
            <w:tcW w:w="1150" w:type="dxa"/>
            <w:shd w:val="clear" w:color="auto" w:fill="C6EFCE"/>
            <w:vAlign w:val="center"/>
            <w:hideMark/>
          </w:tcPr>
          <w:p w14:paraId="7A539395" w14:textId="77777777" w:rsidR="008273B8" w:rsidRDefault="00B93063">
            <w:pPr>
              <w:pStyle w:val="P68B1DB1-Normal7"/>
              <w:spacing w:after="0" w:line="240" w:lineRule="auto"/>
              <w:rPr>
                <w:rFonts w:eastAsia="Times New Roman" w:cs="Calibri"/>
                <w:noProof/>
              </w:rPr>
            </w:pPr>
            <w:r>
              <w:rPr>
                <w:noProof/>
              </w:rPr>
              <w:t>6.33</w:t>
            </w:r>
          </w:p>
        </w:tc>
        <w:tc>
          <w:tcPr>
            <w:tcW w:w="1172" w:type="dxa"/>
            <w:shd w:val="clear" w:color="auto" w:fill="C6EFCE"/>
            <w:vAlign w:val="center"/>
            <w:hideMark/>
          </w:tcPr>
          <w:p w14:paraId="7A539396" w14:textId="77777777" w:rsidR="008273B8" w:rsidRDefault="00B93063">
            <w:pPr>
              <w:pStyle w:val="P68B1DB1-Normal7"/>
              <w:spacing w:after="0" w:line="240" w:lineRule="auto"/>
              <w:rPr>
                <w:rFonts w:eastAsia="Times New Roman" w:cs="Calibri"/>
                <w:noProof/>
              </w:rPr>
            </w:pPr>
            <w:r>
              <w:rPr>
                <w:noProof/>
              </w:rPr>
              <w:t xml:space="preserve">C6.R.10 </w:t>
            </w:r>
          </w:p>
        </w:tc>
        <w:tc>
          <w:tcPr>
            <w:tcW w:w="1015" w:type="dxa"/>
            <w:shd w:val="clear" w:color="auto" w:fill="C6EFCE"/>
            <w:vAlign w:val="center"/>
            <w:hideMark/>
          </w:tcPr>
          <w:p w14:paraId="7A539397" w14:textId="77777777" w:rsidR="008273B8" w:rsidRDefault="00B93063">
            <w:pPr>
              <w:pStyle w:val="P68B1DB1-Normal7"/>
              <w:spacing w:after="0" w:line="240" w:lineRule="auto"/>
              <w:rPr>
                <w:rFonts w:eastAsia="Times New Roman" w:cs="Calibri"/>
                <w:noProof/>
              </w:rPr>
            </w:pPr>
            <w:r>
              <w:rPr>
                <w:noProof/>
              </w:rPr>
              <w:t>Ciljna vrijednost</w:t>
            </w:r>
          </w:p>
        </w:tc>
        <w:tc>
          <w:tcPr>
            <w:tcW w:w="1595" w:type="dxa"/>
            <w:shd w:val="clear" w:color="auto" w:fill="C6EFCE"/>
            <w:vAlign w:val="center"/>
            <w:hideMark/>
          </w:tcPr>
          <w:p w14:paraId="7A539398" w14:textId="77777777" w:rsidR="008273B8" w:rsidRDefault="00B93063">
            <w:pPr>
              <w:pStyle w:val="P68B1DB1-Normal7"/>
              <w:spacing w:after="0" w:line="240" w:lineRule="auto"/>
              <w:rPr>
                <w:rFonts w:eastAsia="Times New Roman" w:cs="Calibri"/>
                <w:noProof/>
              </w:rPr>
            </w:pPr>
            <w:r>
              <w:rPr>
                <w:noProof/>
              </w:rPr>
              <w:t>Zapošljavanje i osposobljavanje osoblja koje provode porezna tijela kako bi se specijalizirali za primjenu pravila o transfernim cijenama.</w:t>
            </w:r>
          </w:p>
        </w:tc>
        <w:tc>
          <w:tcPr>
            <w:tcW w:w="2031" w:type="dxa"/>
            <w:shd w:val="clear" w:color="auto" w:fill="C6EFCE"/>
            <w:vAlign w:val="center"/>
            <w:hideMark/>
          </w:tcPr>
          <w:p w14:paraId="7A539399" w14:textId="77777777" w:rsidR="008273B8" w:rsidRDefault="00B93063">
            <w:pPr>
              <w:pStyle w:val="P68B1DB1-Normal7"/>
              <w:spacing w:after="0" w:line="240" w:lineRule="auto"/>
              <w:rPr>
                <w:rFonts w:eastAsia="Times New Roman" w:cs="Calibri"/>
                <w:noProof/>
              </w:rPr>
            </w:pPr>
            <w:r>
              <w:rPr>
                <w:noProof/>
              </w:rPr>
              <w:t> </w:t>
            </w:r>
          </w:p>
        </w:tc>
        <w:tc>
          <w:tcPr>
            <w:tcW w:w="924" w:type="dxa"/>
            <w:shd w:val="clear" w:color="auto" w:fill="C6EFCE"/>
            <w:vAlign w:val="center"/>
            <w:hideMark/>
          </w:tcPr>
          <w:p w14:paraId="7A53939A" w14:textId="77777777" w:rsidR="008273B8" w:rsidRDefault="00B93063">
            <w:pPr>
              <w:pStyle w:val="P68B1DB1-Normal7"/>
              <w:spacing w:after="0" w:line="240" w:lineRule="auto"/>
              <w:jc w:val="center"/>
              <w:rPr>
                <w:rFonts w:eastAsia="Times New Roman" w:cs="Calibri"/>
                <w:noProof/>
              </w:rPr>
            </w:pPr>
            <w:r>
              <w:rPr>
                <w:noProof/>
              </w:rPr>
              <w:t>Broj</w:t>
            </w:r>
          </w:p>
        </w:tc>
        <w:tc>
          <w:tcPr>
            <w:tcW w:w="915" w:type="dxa"/>
            <w:shd w:val="clear" w:color="auto" w:fill="C6EFCE"/>
            <w:vAlign w:val="center"/>
            <w:hideMark/>
          </w:tcPr>
          <w:p w14:paraId="7A53939B" w14:textId="77777777" w:rsidR="008273B8" w:rsidRDefault="00B93063">
            <w:pPr>
              <w:pStyle w:val="P68B1DB1-Normal7"/>
              <w:spacing w:after="0" w:line="240" w:lineRule="auto"/>
              <w:jc w:val="center"/>
              <w:rPr>
                <w:rFonts w:eastAsia="Times New Roman" w:cs="Calibri"/>
                <w:noProof/>
              </w:rPr>
            </w:pPr>
            <w:r>
              <w:rPr>
                <w:noProof/>
              </w:rPr>
              <w:t>2</w:t>
            </w:r>
          </w:p>
        </w:tc>
        <w:tc>
          <w:tcPr>
            <w:tcW w:w="974" w:type="dxa"/>
            <w:shd w:val="clear" w:color="auto" w:fill="C6EFCE"/>
            <w:vAlign w:val="center"/>
            <w:hideMark/>
          </w:tcPr>
          <w:p w14:paraId="7A53939C" w14:textId="77777777" w:rsidR="008273B8" w:rsidRDefault="00B93063">
            <w:pPr>
              <w:pStyle w:val="P68B1DB1-Normal7"/>
              <w:spacing w:after="0" w:line="240" w:lineRule="auto"/>
              <w:jc w:val="center"/>
              <w:rPr>
                <w:rFonts w:eastAsia="Times New Roman" w:cs="Calibri"/>
                <w:noProof/>
              </w:rPr>
            </w:pPr>
            <w:r>
              <w:rPr>
                <w:noProof/>
              </w:rPr>
              <w:t>8</w:t>
            </w:r>
          </w:p>
        </w:tc>
        <w:tc>
          <w:tcPr>
            <w:tcW w:w="709" w:type="dxa"/>
            <w:shd w:val="clear" w:color="auto" w:fill="C6EFCE"/>
            <w:vAlign w:val="center"/>
            <w:hideMark/>
          </w:tcPr>
          <w:p w14:paraId="7A53939D" w14:textId="77777777" w:rsidR="008273B8" w:rsidRDefault="00B93063">
            <w:pPr>
              <w:pStyle w:val="P68B1DB1-Normal7"/>
              <w:spacing w:after="0" w:line="240" w:lineRule="auto"/>
              <w:jc w:val="center"/>
              <w:rPr>
                <w:rFonts w:eastAsia="Times New Roman" w:cs="Calibri"/>
                <w:noProof/>
              </w:rPr>
            </w:pPr>
            <w:r>
              <w:rPr>
                <w:noProof/>
              </w:rPr>
              <w:t>Q2</w:t>
            </w:r>
          </w:p>
        </w:tc>
        <w:tc>
          <w:tcPr>
            <w:tcW w:w="709" w:type="dxa"/>
            <w:shd w:val="clear" w:color="auto" w:fill="C6EFCE"/>
            <w:vAlign w:val="center"/>
            <w:hideMark/>
          </w:tcPr>
          <w:p w14:paraId="7A53939E" w14:textId="77777777" w:rsidR="008273B8" w:rsidRDefault="00B93063">
            <w:pPr>
              <w:pStyle w:val="P68B1DB1-Normal7"/>
              <w:spacing w:after="0" w:line="240" w:lineRule="auto"/>
              <w:jc w:val="center"/>
              <w:rPr>
                <w:rFonts w:eastAsia="Times New Roman" w:cs="Calibri"/>
                <w:noProof/>
              </w:rPr>
            </w:pPr>
            <w:r>
              <w:rPr>
                <w:noProof/>
              </w:rPr>
              <w:t>2023</w:t>
            </w:r>
          </w:p>
        </w:tc>
        <w:tc>
          <w:tcPr>
            <w:tcW w:w="5074" w:type="dxa"/>
            <w:shd w:val="clear" w:color="auto" w:fill="C6EFCE"/>
            <w:vAlign w:val="center"/>
            <w:hideMark/>
          </w:tcPr>
          <w:p w14:paraId="7A53939F" w14:textId="77777777" w:rsidR="008273B8" w:rsidRDefault="00B93063">
            <w:pPr>
              <w:pStyle w:val="P68B1DB1-Normal7"/>
              <w:spacing w:after="0" w:line="240" w:lineRule="auto"/>
              <w:rPr>
                <w:rFonts w:eastAsia="Times New Roman" w:cs="Calibri"/>
                <w:noProof/>
              </w:rPr>
            </w:pPr>
            <w:r>
              <w:rPr>
                <w:noProof/>
              </w:rPr>
              <w:t>Zapošljava se još šest dužnosnika. Svih osam službenika koji rade na primjeni pravila o transfernim cijenama osposobljeno je za suradnju s nadležnim tijelom i Odjelom za istrage u području transfernih cijena. Predviđeno je da osposobljavanje bude u obliku tečajeva u kojima svaki službenik dobiva najmanje 80 sati osposobljavanja, uključujući o načelu nepristrane transakcije, konceptu usporedivosti i metodama određivanja transfernih cijena iz Smjernica OECD-a o transfernim cijenama, dokumentaciji o transfernim cijenama i rješavanju sporova, posebno u dijelu u kojem se odnose na objavljena pravila o transfernim cijenama.</w:t>
            </w:r>
          </w:p>
        </w:tc>
      </w:tr>
      <w:tr w:rsidR="008273B8" w14:paraId="7A5393AC" w14:textId="77777777">
        <w:trPr>
          <w:cantSplit/>
          <w:jc w:val="center"/>
        </w:trPr>
        <w:tc>
          <w:tcPr>
            <w:tcW w:w="1150" w:type="dxa"/>
            <w:shd w:val="clear" w:color="auto" w:fill="C6EFCE"/>
            <w:vAlign w:val="center"/>
            <w:hideMark/>
          </w:tcPr>
          <w:p w14:paraId="7A5393A1" w14:textId="77777777" w:rsidR="008273B8" w:rsidRDefault="00B93063">
            <w:pPr>
              <w:pStyle w:val="P68B1DB1-Normal7"/>
              <w:spacing w:after="0" w:line="240" w:lineRule="auto"/>
              <w:rPr>
                <w:rFonts w:eastAsia="Times New Roman" w:cs="Calibri"/>
                <w:noProof/>
              </w:rPr>
            </w:pPr>
            <w:r>
              <w:rPr>
                <w:noProof/>
              </w:rPr>
              <w:t>6.34</w:t>
            </w:r>
          </w:p>
        </w:tc>
        <w:tc>
          <w:tcPr>
            <w:tcW w:w="1172" w:type="dxa"/>
            <w:shd w:val="clear" w:color="auto" w:fill="C6EFCE"/>
            <w:vAlign w:val="center"/>
            <w:hideMark/>
          </w:tcPr>
          <w:p w14:paraId="7A5393A2" w14:textId="77777777" w:rsidR="008273B8" w:rsidRDefault="00B93063">
            <w:pPr>
              <w:pStyle w:val="P68B1DB1-Normal7"/>
              <w:spacing w:after="0" w:line="240" w:lineRule="auto"/>
              <w:rPr>
                <w:rFonts w:eastAsia="Times New Roman" w:cs="Calibri"/>
                <w:noProof/>
              </w:rPr>
            </w:pPr>
            <w:r>
              <w:rPr>
                <w:noProof/>
              </w:rPr>
              <w:t xml:space="preserve">C6.R.10 </w:t>
            </w:r>
          </w:p>
        </w:tc>
        <w:tc>
          <w:tcPr>
            <w:tcW w:w="1015" w:type="dxa"/>
            <w:shd w:val="clear" w:color="auto" w:fill="C6EFCE"/>
            <w:vAlign w:val="center"/>
            <w:hideMark/>
          </w:tcPr>
          <w:p w14:paraId="7A5393A3" w14:textId="77777777" w:rsidR="008273B8" w:rsidRDefault="00B93063">
            <w:pPr>
              <w:pStyle w:val="P68B1DB1-Normal7"/>
              <w:spacing w:after="0" w:line="240" w:lineRule="auto"/>
              <w:rPr>
                <w:rFonts w:eastAsia="Times New Roman" w:cs="Calibri"/>
                <w:noProof/>
              </w:rPr>
            </w:pPr>
            <w:r>
              <w:rPr>
                <w:noProof/>
              </w:rPr>
              <w:t>Ciljna vrijednost</w:t>
            </w:r>
          </w:p>
        </w:tc>
        <w:tc>
          <w:tcPr>
            <w:tcW w:w="1595" w:type="dxa"/>
            <w:shd w:val="clear" w:color="auto" w:fill="C6EFCE"/>
            <w:vAlign w:val="center"/>
            <w:hideMark/>
          </w:tcPr>
          <w:p w14:paraId="7A5393A4" w14:textId="77777777" w:rsidR="008273B8" w:rsidRDefault="00B93063">
            <w:pPr>
              <w:pStyle w:val="P68B1DB1-Normal7"/>
              <w:spacing w:after="0" w:line="240" w:lineRule="auto"/>
              <w:rPr>
                <w:rFonts w:eastAsia="Times New Roman" w:cs="Calibri"/>
                <w:noProof/>
              </w:rPr>
            </w:pPr>
            <w:r>
              <w:rPr>
                <w:noProof/>
              </w:rPr>
              <w:t xml:space="preserve">Osposobljavanja za porezne djelatnike i predstavnike poduzeća </w:t>
            </w:r>
          </w:p>
        </w:tc>
        <w:tc>
          <w:tcPr>
            <w:tcW w:w="2031" w:type="dxa"/>
            <w:shd w:val="clear" w:color="auto" w:fill="C6EFCE"/>
            <w:vAlign w:val="center"/>
            <w:hideMark/>
          </w:tcPr>
          <w:p w14:paraId="7A5393A5" w14:textId="77777777" w:rsidR="008273B8" w:rsidRDefault="00B93063">
            <w:pPr>
              <w:pStyle w:val="P68B1DB1-Normal7"/>
              <w:spacing w:after="0" w:line="240" w:lineRule="auto"/>
              <w:rPr>
                <w:rFonts w:eastAsia="Times New Roman" w:cs="Calibri"/>
                <w:noProof/>
              </w:rPr>
            </w:pPr>
            <w:r>
              <w:rPr>
                <w:noProof/>
              </w:rPr>
              <w:t> </w:t>
            </w:r>
          </w:p>
        </w:tc>
        <w:tc>
          <w:tcPr>
            <w:tcW w:w="924" w:type="dxa"/>
            <w:shd w:val="clear" w:color="auto" w:fill="C6EFCE"/>
            <w:vAlign w:val="center"/>
            <w:hideMark/>
          </w:tcPr>
          <w:p w14:paraId="7A5393A6" w14:textId="77777777" w:rsidR="008273B8" w:rsidRDefault="00B93063">
            <w:pPr>
              <w:pStyle w:val="P68B1DB1-Normal7"/>
              <w:spacing w:after="0" w:line="240" w:lineRule="auto"/>
              <w:jc w:val="center"/>
              <w:rPr>
                <w:rFonts w:eastAsia="Times New Roman" w:cs="Calibri"/>
                <w:noProof/>
              </w:rPr>
            </w:pPr>
            <w:r>
              <w:rPr>
                <w:noProof/>
              </w:rPr>
              <w:t>Broj</w:t>
            </w:r>
          </w:p>
        </w:tc>
        <w:tc>
          <w:tcPr>
            <w:tcW w:w="915" w:type="dxa"/>
            <w:shd w:val="clear" w:color="auto" w:fill="C6EFCE"/>
            <w:vAlign w:val="center"/>
            <w:hideMark/>
          </w:tcPr>
          <w:p w14:paraId="7A5393A7" w14:textId="77777777" w:rsidR="008273B8" w:rsidRDefault="00B93063">
            <w:pPr>
              <w:pStyle w:val="P68B1DB1-Normal7"/>
              <w:spacing w:after="0" w:line="240" w:lineRule="auto"/>
              <w:jc w:val="center"/>
              <w:rPr>
                <w:rFonts w:eastAsia="Times New Roman" w:cs="Calibri"/>
                <w:noProof/>
              </w:rPr>
            </w:pPr>
            <w:r>
              <w:rPr>
                <w:noProof/>
              </w:rPr>
              <w:t>0</w:t>
            </w:r>
          </w:p>
        </w:tc>
        <w:tc>
          <w:tcPr>
            <w:tcW w:w="974" w:type="dxa"/>
            <w:shd w:val="clear" w:color="auto" w:fill="C6EFCE"/>
            <w:vAlign w:val="center"/>
            <w:hideMark/>
          </w:tcPr>
          <w:p w14:paraId="7A5393A8" w14:textId="77777777" w:rsidR="008273B8" w:rsidRDefault="00B93063">
            <w:pPr>
              <w:pStyle w:val="P68B1DB1-Normal7"/>
              <w:spacing w:after="0" w:line="240" w:lineRule="auto"/>
              <w:jc w:val="center"/>
              <w:rPr>
                <w:rFonts w:eastAsia="Times New Roman" w:cs="Calibri"/>
                <w:noProof/>
              </w:rPr>
            </w:pPr>
            <w:r>
              <w:rPr>
                <w:noProof/>
              </w:rPr>
              <w:t>2</w:t>
            </w:r>
          </w:p>
        </w:tc>
        <w:tc>
          <w:tcPr>
            <w:tcW w:w="709" w:type="dxa"/>
            <w:shd w:val="clear" w:color="auto" w:fill="C6EFCE"/>
            <w:vAlign w:val="center"/>
            <w:hideMark/>
          </w:tcPr>
          <w:p w14:paraId="7A5393A9"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09" w:type="dxa"/>
            <w:shd w:val="clear" w:color="auto" w:fill="C6EFCE"/>
            <w:vAlign w:val="center"/>
            <w:hideMark/>
          </w:tcPr>
          <w:p w14:paraId="7A5393AA" w14:textId="77777777" w:rsidR="008273B8" w:rsidRDefault="00B93063">
            <w:pPr>
              <w:pStyle w:val="P68B1DB1-Normal7"/>
              <w:spacing w:after="0" w:line="240" w:lineRule="auto"/>
              <w:jc w:val="center"/>
              <w:rPr>
                <w:rFonts w:eastAsia="Times New Roman" w:cs="Calibri"/>
                <w:noProof/>
              </w:rPr>
            </w:pPr>
            <w:r>
              <w:rPr>
                <w:noProof/>
              </w:rPr>
              <w:t>2023</w:t>
            </w:r>
          </w:p>
        </w:tc>
        <w:tc>
          <w:tcPr>
            <w:tcW w:w="5074" w:type="dxa"/>
            <w:shd w:val="clear" w:color="auto" w:fill="C6EFCE"/>
            <w:vAlign w:val="center"/>
            <w:hideMark/>
          </w:tcPr>
          <w:p w14:paraId="7A5393AB" w14:textId="77777777" w:rsidR="008273B8" w:rsidRDefault="00B93063">
            <w:pPr>
              <w:pStyle w:val="P68B1DB1-Normal7"/>
              <w:spacing w:after="0" w:line="240" w:lineRule="auto"/>
              <w:rPr>
                <w:rFonts w:eastAsia="Times New Roman" w:cs="Calibri"/>
                <w:noProof/>
              </w:rPr>
            </w:pPr>
            <w:r>
              <w:rPr>
                <w:noProof/>
              </w:rPr>
              <w:t>Dva tečaja osposobljavanja organizira povjerenik za prihode, prema potrebi u suradnji s dionicima iz industrije. Osposobljavanje traje 12 sati i obuhvaća teme kao što su područje primjene, prethodni sporazumi o transfernim cijenama i metode određivanja transfernih cijena. Ti su događaji usmjereni na najmanje 250 poreznih djelatnika i predstavnika poduzeća koji se bave prekograničnim poslovanjem.</w:t>
            </w:r>
          </w:p>
        </w:tc>
      </w:tr>
      <w:tr w:rsidR="008273B8" w14:paraId="7A5393B8" w14:textId="77777777">
        <w:trPr>
          <w:cantSplit/>
          <w:jc w:val="center"/>
        </w:trPr>
        <w:tc>
          <w:tcPr>
            <w:tcW w:w="1150" w:type="dxa"/>
            <w:shd w:val="clear" w:color="auto" w:fill="C6EFCE"/>
            <w:vAlign w:val="center"/>
            <w:hideMark/>
          </w:tcPr>
          <w:p w14:paraId="7A5393AD" w14:textId="77777777" w:rsidR="008273B8" w:rsidRDefault="00B93063">
            <w:pPr>
              <w:pStyle w:val="P68B1DB1-Normal7"/>
              <w:spacing w:after="0" w:line="240" w:lineRule="auto"/>
              <w:rPr>
                <w:rFonts w:eastAsia="Times New Roman" w:cs="Calibri"/>
                <w:noProof/>
              </w:rPr>
            </w:pPr>
            <w:r>
              <w:rPr>
                <w:noProof/>
              </w:rPr>
              <w:t>6.35</w:t>
            </w:r>
          </w:p>
        </w:tc>
        <w:tc>
          <w:tcPr>
            <w:tcW w:w="1172" w:type="dxa"/>
            <w:shd w:val="clear" w:color="auto" w:fill="C6EFCE"/>
            <w:vAlign w:val="center"/>
            <w:hideMark/>
          </w:tcPr>
          <w:p w14:paraId="7A5393AE" w14:textId="77777777" w:rsidR="008273B8" w:rsidRDefault="00B93063">
            <w:pPr>
              <w:pStyle w:val="P68B1DB1-Normal7"/>
              <w:spacing w:after="0" w:line="240" w:lineRule="auto"/>
              <w:rPr>
                <w:rFonts w:eastAsia="Times New Roman" w:cs="Calibri"/>
                <w:noProof/>
              </w:rPr>
            </w:pPr>
            <w:r>
              <w:rPr>
                <w:noProof/>
              </w:rPr>
              <w:t xml:space="preserve">C6.R.11 </w:t>
            </w:r>
          </w:p>
        </w:tc>
        <w:tc>
          <w:tcPr>
            <w:tcW w:w="1015" w:type="dxa"/>
            <w:shd w:val="clear" w:color="auto" w:fill="C6EFCE"/>
            <w:vAlign w:val="center"/>
            <w:hideMark/>
          </w:tcPr>
          <w:p w14:paraId="7A5393AF"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3B0" w14:textId="77777777" w:rsidR="008273B8" w:rsidRDefault="00B93063">
            <w:pPr>
              <w:pStyle w:val="P68B1DB1-Normal7"/>
              <w:spacing w:after="0" w:line="240" w:lineRule="auto"/>
              <w:rPr>
                <w:rFonts w:eastAsia="Times New Roman" w:cs="Calibri"/>
                <w:noProof/>
              </w:rPr>
            </w:pPr>
            <w:r>
              <w:rPr>
                <w:noProof/>
              </w:rPr>
              <w:t>Studija o mjerama koje se odnose na isplate ulaznih i izlaznih dividendi, kamata i naknada za licenciju</w:t>
            </w:r>
          </w:p>
        </w:tc>
        <w:tc>
          <w:tcPr>
            <w:tcW w:w="2031" w:type="dxa"/>
            <w:shd w:val="clear" w:color="auto" w:fill="C6EFCE"/>
            <w:vAlign w:val="center"/>
            <w:hideMark/>
          </w:tcPr>
          <w:p w14:paraId="7A5393B1" w14:textId="77777777" w:rsidR="008273B8" w:rsidRDefault="00B93063">
            <w:pPr>
              <w:pStyle w:val="P68B1DB1-Normal7"/>
              <w:spacing w:after="0" w:line="240" w:lineRule="auto"/>
              <w:rPr>
                <w:rFonts w:eastAsia="Times New Roman" w:cs="Calibri"/>
                <w:noProof/>
              </w:rPr>
            </w:pPr>
            <w:r>
              <w:rPr>
                <w:noProof/>
              </w:rPr>
              <w:t>Cjelovita studija o mjerama koje se odnose na isplate ulaznih i izlaznih dividendi, kamata i naknada za licenciju dijeli se s Europskom komisijom.</w:t>
            </w:r>
          </w:p>
        </w:tc>
        <w:tc>
          <w:tcPr>
            <w:tcW w:w="924" w:type="dxa"/>
            <w:shd w:val="clear" w:color="auto" w:fill="C6EFCE"/>
            <w:vAlign w:val="center"/>
            <w:hideMark/>
          </w:tcPr>
          <w:p w14:paraId="7A5393B2"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3B3"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3B4"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3B5"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09" w:type="dxa"/>
            <w:shd w:val="clear" w:color="auto" w:fill="C6EFCE"/>
            <w:vAlign w:val="center"/>
            <w:hideMark/>
          </w:tcPr>
          <w:p w14:paraId="7A5393B6" w14:textId="77777777" w:rsidR="008273B8" w:rsidRDefault="00B93063">
            <w:pPr>
              <w:pStyle w:val="P68B1DB1-Normal7"/>
              <w:spacing w:after="0" w:line="240" w:lineRule="auto"/>
              <w:jc w:val="center"/>
              <w:rPr>
                <w:rFonts w:eastAsia="Times New Roman" w:cs="Calibri"/>
                <w:noProof/>
              </w:rPr>
            </w:pPr>
            <w:r>
              <w:rPr>
                <w:noProof/>
              </w:rPr>
              <w:t>2022</w:t>
            </w:r>
          </w:p>
        </w:tc>
        <w:tc>
          <w:tcPr>
            <w:tcW w:w="5074" w:type="dxa"/>
            <w:shd w:val="clear" w:color="auto" w:fill="C6EFCE"/>
            <w:vAlign w:val="center"/>
            <w:hideMark/>
          </w:tcPr>
          <w:p w14:paraId="7A5393B7" w14:textId="77777777" w:rsidR="008273B8" w:rsidRDefault="00B93063">
            <w:pPr>
              <w:pStyle w:val="P68B1DB1-Normal7"/>
              <w:spacing w:after="0" w:line="240" w:lineRule="auto"/>
              <w:rPr>
                <w:rFonts w:eastAsia="Times New Roman" w:cs="Calibri"/>
                <w:noProof/>
              </w:rPr>
            </w:pPr>
            <w:r>
              <w:rPr>
                <w:noProof/>
              </w:rPr>
              <w:t>Studiju pruža neovisni izvođač angažiran u okviru postupaka javne nabave. U studiji se analizira trenutačno stanje i daju preporuke za pravne mjere potrebne za rješavanje pitanja izlaznih i ulaznih isplata dividendi, kamata i licencijskih naknada između društava s poslovnim nastanom na Malti i povezanih društava s poslovnim nastanom u jurisdikcijama koje su dio EU-ova popisa nekooperativnih jurisdikcija ili koje se smatraju jurisdikcijama s nultom ili niskom poreznom stopom. Preporuke sadržavaju analizu i konkretne prijedloge za jačanje mjera za suzbijanje smanjenja porezne osnovice i premještanja dobiti kako bi se spriječile porezne prijevare i utaja poreza. Sažetak se objavljuje na internetskim stranicama vlade, a cjelovita studija dijeli se s Europskom komisijom.</w:t>
            </w:r>
          </w:p>
        </w:tc>
      </w:tr>
      <w:tr w:rsidR="008273B8" w14:paraId="7A5393C4" w14:textId="77777777">
        <w:trPr>
          <w:cantSplit/>
          <w:jc w:val="center"/>
        </w:trPr>
        <w:tc>
          <w:tcPr>
            <w:tcW w:w="1150" w:type="dxa"/>
            <w:shd w:val="clear" w:color="auto" w:fill="C6EFCE"/>
            <w:vAlign w:val="center"/>
            <w:hideMark/>
          </w:tcPr>
          <w:p w14:paraId="7A5393B9" w14:textId="77777777" w:rsidR="008273B8" w:rsidRDefault="00B93063">
            <w:pPr>
              <w:pStyle w:val="P68B1DB1-Normal7"/>
              <w:spacing w:after="0" w:line="240" w:lineRule="auto"/>
              <w:rPr>
                <w:rFonts w:eastAsia="Times New Roman" w:cs="Calibri"/>
                <w:noProof/>
              </w:rPr>
            </w:pPr>
            <w:r>
              <w:rPr>
                <w:noProof/>
              </w:rPr>
              <w:t>6.36</w:t>
            </w:r>
          </w:p>
        </w:tc>
        <w:tc>
          <w:tcPr>
            <w:tcW w:w="1172" w:type="dxa"/>
            <w:shd w:val="clear" w:color="auto" w:fill="C6EFCE"/>
            <w:vAlign w:val="center"/>
            <w:hideMark/>
          </w:tcPr>
          <w:p w14:paraId="7A5393BA" w14:textId="77777777" w:rsidR="008273B8" w:rsidRDefault="00B93063">
            <w:pPr>
              <w:pStyle w:val="P68B1DB1-Normal7"/>
              <w:spacing w:after="0" w:line="240" w:lineRule="auto"/>
              <w:rPr>
                <w:rFonts w:eastAsia="Times New Roman" w:cs="Calibri"/>
                <w:noProof/>
              </w:rPr>
            </w:pPr>
            <w:r>
              <w:rPr>
                <w:noProof/>
              </w:rPr>
              <w:t xml:space="preserve">C6.R.11 </w:t>
            </w:r>
          </w:p>
        </w:tc>
        <w:tc>
          <w:tcPr>
            <w:tcW w:w="1015" w:type="dxa"/>
            <w:shd w:val="clear" w:color="auto" w:fill="C6EFCE"/>
            <w:vAlign w:val="center"/>
            <w:hideMark/>
          </w:tcPr>
          <w:p w14:paraId="7A5393BB"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3BC" w14:textId="77777777" w:rsidR="008273B8" w:rsidRDefault="00B93063">
            <w:pPr>
              <w:pStyle w:val="P68B1DB1-Normal7"/>
              <w:spacing w:after="0" w:line="240" w:lineRule="auto"/>
              <w:rPr>
                <w:rFonts w:eastAsia="Times New Roman" w:cs="Calibri"/>
                <w:noProof/>
              </w:rPr>
            </w:pPr>
            <w:r>
              <w:rPr>
                <w:noProof/>
              </w:rPr>
              <w:t>Stupanje na snagu zakonodavstva o ulaznim i izlaznim plaćanjima</w:t>
            </w:r>
          </w:p>
        </w:tc>
        <w:tc>
          <w:tcPr>
            <w:tcW w:w="2031" w:type="dxa"/>
            <w:shd w:val="clear" w:color="auto" w:fill="C6EFCE"/>
            <w:vAlign w:val="center"/>
            <w:hideMark/>
          </w:tcPr>
          <w:p w14:paraId="7A5393BD" w14:textId="77777777" w:rsidR="008273B8" w:rsidRDefault="00B93063">
            <w:pPr>
              <w:pStyle w:val="P68B1DB1-Normal7"/>
              <w:spacing w:after="0" w:line="240" w:lineRule="auto"/>
              <w:rPr>
                <w:rFonts w:eastAsia="Times New Roman" w:cs="Calibri"/>
                <w:noProof/>
              </w:rPr>
            </w:pPr>
            <w:r>
              <w:rPr>
                <w:noProof/>
              </w:rPr>
              <w:t>Stupanje na snagu zakonodavstva o ulaznim i izlaznim plaćanjima</w:t>
            </w:r>
          </w:p>
        </w:tc>
        <w:tc>
          <w:tcPr>
            <w:tcW w:w="924" w:type="dxa"/>
            <w:shd w:val="clear" w:color="auto" w:fill="C6EFCE"/>
            <w:vAlign w:val="center"/>
            <w:hideMark/>
          </w:tcPr>
          <w:p w14:paraId="7A5393BE"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3BF"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3C0"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3C1" w14:textId="77777777" w:rsidR="008273B8" w:rsidRDefault="00B93063">
            <w:pPr>
              <w:pStyle w:val="P68B1DB1-Normal7"/>
              <w:spacing w:after="0" w:line="240" w:lineRule="auto"/>
              <w:jc w:val="center"/>
              <w:rPr>
                <w:rFonts w:eastAsia="Times New Roman" w:cs="Calibri"/>
                <w:noProof/>
              </w:rPr>
            </w:pPr>
            <w:r>
              <w:rPr>
                <w:noProof/>
              </w:rPr>
              <w:t>TROMJESEČJE</w:t>
            </w:r>
          </w:p>
        </w:tc>
        <w:tc>
          <w:tcPr>
            <w:tcW w:w="709" w:type="dxa"/>
            <w:shd w:val="clear" w:color="auto" w:fill="C6EFCE"/>
            <w:vAlign w:val="center"/>
            <w:hideMark/>
          </w:tcPr>
          <w:p w14:paraId="7A5393C2" w14:textId="77777777" w:rsidR="008273B8" w:rsidRDefault="00B93063">
            <w:pPr>
              <w:pStyle w:val="P68B1DB1-Normal7"/>
              <w:spacing w:after="0" w:line="240" w:lineRule="auto"/>
              <w:jc w:val="center"/>
              <w:rPr>
                <w:rFonts w:eastAsia="Times New Roman" w:cs="Calibri"/>
                <w:noProof/>
              </w:rPr>
            </w:pPr>
            <w:r>
              <w:rPr>
                <w:noProof/>
              </w:rPr>
              <w:t>2024</w:t>
            </w:r>
          </w:p>
        </w:tc>
        <w:tc>
          <w:tcPr>
            <w:tcW w:w="5074" w:type="dxa"/>
            <w:shd w:val="clear" w:color="auto" w:fill="C6EFCE"/>
            <w:vAlign w:val="center"/>
            <w:hideMark/>
          </w:tcPr>
          <w:p w14:paraId="7A5393C3" w14:textId="77777777" w:rsidR="008273B8" w:rsidRDefault="00B93063">
            <w:pPr>
              <w:pStyle w:val="P68B1DB1-Normal7"/>
              <w:spacing w:after="0" w:line="240" w:lineRule="auto"/>
              <w:rPr>
                <w:rFonts w:eastAsia="Times New Roman" w:cs="Calibri"/>
                <w:noProof/>
              </w:rPr>
            </w:pPr>
            <w:r>
              <w:rPr>
                <w:noProof/>
              </w:rPr>
              <w:t xml:space="preserve">To se zakonodavstvo uvodi s ciljem ublažavanja rizika utvrđenih u studiji o ulaznim i izlaznim plaćanjima (kao što su dividende, kamate i licencije). </w:t>
            </w:r>
          </w:p>
        </w:tc>
      </w:tr>
      <w:tr w:rsidR="008273B8" w14:paraId="7A5393D0" w14:textId="77777777">
        <w:trPr>
          <w:cantSplit/>
          <w:jc w:val="center"/>
        </w:trPr>
        <w:tc>
          <w:tcPr>
            <w:tcW w:w="1150" w:type="dxa"/>
            <w:shd w:val="clear" w:color="auto" w:fill="C6EFCE"/>
            <w:vAlign w:val="center"/>
            <w:hideMark/>
          </w:tcPr>
          <w:p w14:paraId="7A5393C5" w14:textId="77777777" w:rsidR="008273B8" w:rsidRDefault="00B93063">
            <w:pPr>
              <w:pStyle w:val="P68B1DB1-Normal7"/>
              <w:spacing w:after="0" w:line="240" w:lineRule="auto"/>
              <w:rPr>
                <w:rFonts w:eastAsia="Times New Roman" w:cs="Calibri"/>
                <w:noProof/>
              </w:rPr>
            </w:pPr>
            <w:r>
              <w:rPr>
                <w:noProof/>
              </w:rPr>
              <w:t>6.37</w:t>
            </w:r>
          </w:p>
        </w:tc>
        <w:tc>
          <w:tcPr>
            <w:tcW w:w="1172" w:type="dxa"/>
            <w:shd w:val="clear" w:color="auto" w:fill="C6EFCE"/>
            <w:vAlign w:val="center"/>
            <w:hideMark/>
          </w:tcPr>
          <w:p w14:paraId="7A5393C6" w14:textId="77777777" w:rsidR="008273B8" w:rsidRDefault="00B93063">
            <w:pPr>
              <w:pStyle w:val="P68B1DB1-Normal7"/>
              <w:spacing w:after="0" w:line="240" w:lineRule="auto"/>
              <w:rPr>
                <w:rFonts w:eastAsia="Times New Roman" w:cs="Calibri"/>
                <w:noProof/>
              </w:rPr>
            </w:pPr>
            <w:r>
              <w:rPr>
                <w:noProof/>
              </w:rPr>
              <w:t xml:space="preserve">C6.R.12 </w:t>
            </w:r>
          </w:p>
        </w:tc>
        <w:tc>
          <w:tcPr>
            <w:tcW w:w="1015" w:type="dxa"/>
            <w:shd w:val="clear" w:color="auto" w:fill="C6EFCE"/>
            <w:vAlign w:val="center"/>
            <w:hideMark/>
          </w:tcPr>
          <w:p w14:paraId="7A5393C7"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3C8" w14:textId="77777777" w:rsidR="008273B8" w:rsidRDefault="00B93063">
            <w:pPr>
              <w:pStyle w:val="P68B1DB1-Normal7"/>
              <w:spacing w:after="0" w:line="240" w:lineRule="auto"/>
              <w:rPr>
                <w:rFonts w:eastAsia="Times New Roman" w:cs="Calibri"/>
                <w:noProof/>
              </w:rPr>
            </w:pPr>
            <w:r>
              <w:rPr>
                <w:noProof/>
              </w:rPr>
              <w:t xml:space="preserve">Stupanje na snagu spontane razmjene informacija (SEOI) </w:t>
            </w:r>
          </w:p>
        </w:tc>
        <w:tc>
          <w:tcPr>
            <w:tcW w:w="2031" w:type="dxa"/>
            <w:shd w:val="clear" w:color="auto" w:fill="C6EFCE"/>
            <w:vAlign w:val="center"/>
            <w:hideMark/>
          </w:tcPr>
          <w:p w14:paraId="7A5393C9" w14:textId="77777777" w:rsidR="008273B8" w:rsidRDefault="00B93063">
            <w:pPr>
              <w:pStyle w:val="P68B1DB1-Normal7"/>
              <w:spacing w:after="0" w:line="240" w:lineRule="auto"/>
              <w:rPr>
                <w:rFonts w:eastAsia="Times New Roman" w:cs="Calibri"/>
                <w:noProof/>
              </w:rPr>
            </w:pPr>
            <w:r>
              <w:rPr>
                <w:noProof/>
              </w:rPr>
              <w:t>Objava smjernica i obrazaca za prijavu koji zahtijevaju spontanu razmjenu informacija</w:t>
            </w:r>
          </w:p>
        </w:tc>
        <w:tc>
          <w:tcPr>
            <w:tcW w:w="924" w:type="dxa"/>
            <w:shd w:val="clear" w:color="auto" w:fill="C6EFCE"/>
            <w:vAlign w:val="center"/>
            <w:hideMark/>
          </w:tcPr>
          <w:p w14:paraId="7A5393CA"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3CB"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3CC"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3CD" w14:textId="77777777" w:rsidR="008273B8" w:rsidRDefault="00B93063">
            <w:pPr>
              <w:pStyle w:val="P68B1DB1-Normal7"/>
              <w:spacing w:after="0" w:line="240" w:lineRule="auto"/>
              <w:jc w:val="center"/>
              <w:rPr>
                <w:rFonts w:eastAsia="Times New Roman" w:cs="Calibri"/>
                <w:noProof/>
              </w:rPr>
            </w:pPr>
            <w:r>
              <w:rPr>
                <w:noProof/>
              </w:rPr>
              <w:t>PRVO TROMJESEČJE</w:t>
            </w:r>
          </w:p>
        </w:tc>
        <w:tc>
          <w:tcPr>
            <w:tcW w:w="709" w:type="dxa"/>
            <w:shd w:val="clear" w:color="auto" w:fill="C6EFCE"/>
            <w:vAlign w:val="center"/>
            <w:hideMark/>
          </w:tcPr>
          <w:p w14:paraId="7A5393CE" w14:textId="77777777" w:rsidR="008273B8" w:rsidRDefault="00B93063">
            <w:pPr>
              <w:pStyle w:val="P68B1DB1-Normal7"/>
              <w:spacing w:after="0" w:line="240" w:lineRule="auto"/>
              <w:jc w:val="center"/>
              <w:rPr>
                <w:rFonts w:eastAsia="Times New Roman" w:cs="Calibri"/>
                <w:noProof/>
              </w:rPr>
            </w:pPr>
            <w:r>
              <w:rPr>
                <w:noProof/>
              </w:rPr>
              <w:t>2022</w:t>
            </w:r>
          </w:p>
        </w:tc>
        <w:tc>
          <w:tcPr>
            <w:tcW w:w="5074" w:type="dxa"/>
            <w:shd w:val="clear" w:color="auto" w:fill="C6EFCE"/>
            <w:vAlign w:val="center"/>
            <w:hideMark/>
          </w:tcPr>
          <w:p w14:paraId="7A5393CF" w14:textId="77777777" w:rsidR="008273B8" w:rsidRDefault="00B93063">
            <w:pPr>
              <w:spacing w:after="0" w:line="240" w:lineRule="auto"/>
              <w:rPr>
                <w:rFonts w:ascii="Calibri" w:eastAsia="Times New Roman" w:hAnsi="Calibri" w:cs="Calibri"/>
                <w:noProof/>
                <w:sz w:val="18"/>
              </w:rPr>
            </w:pPr>
            <w:r>
              <w:rPr>
                <w:rFonts w:ascii="Calibri" w:hAnsi="Calibri"/>
                <w:noProof/>
                <w:sz w:val="18"/>
              </w:rPr>
              <w:t>Stupanje na snagu mehanizma za spontanu razmjenu informacija, u okviru kojeg malteška porezna tijela razmjenjuju informacije s izvornim jurisdikcijama</w:t>
            </w:r>
            <w:r>
              <w:rPr>
                <w:rFonts w:ascii="Times New Roman" w:hAnsi="Times New Roman"/>
                <w:noProof/>
                <w:sz w:val="24"/>
              </w:rPr>
              <w:t xml:space="preserve"> </w:t>
            </w:r>
            <w:r>
              <w:rPr>
                <w:rFonts w:ascii="Calibri" w:hAnsi="Calibri"/>
                <w:noProof/>
                <w:sz w:val="18"/>
              </w:rPr>
              <w:t xml:space="preserve">porezne rezidentnosti uspješnih podnositelja zahtjeva državljanstva kao državljanstva za izvanredne usluge izravnim ulaganjima (propisi o građanstvu) koji su stranke Konvencije OECD-a o uzajamnoj pomoći u poreznim stvarima i s drugim jurisdikcijama koje nisu stranke ove Konvencije, ali s kojima Malta ima uspostavljen bilateralni mehanizam za razmjenu informacija, o osobama kojima će se u budućnosti dodijeliti državljanstvo u okviru tog programa. Stupanje na snagu određuje se objavom odgovarajućih revidiranih smjernica i obrazaca za prijavu. </w:t>
            </w:r>
          </w:p>
        </w:tc>
      </w:tr>
      <w:tr w:rsidR="008273B8" w14:paraId="7A5393DC" w14:textId="77777777">
        <w:trPr>
          <w:cantSplit/>
          <w:jc w:val="center"/>
        </w:trPr>
        <w:tc>
          <w:tcPr>
            <w:tcW w:w="1150" w:type="dxa"/>
            <w:shd w:val="clear" w:color="auto" w:fill="C6EFCE"/>
            <w:vAlign w:val="center"/>
            <w:hideMark/>
          </w:tcPr>
          <w:p w14:paraId="7A5393D1" w14:textId="77777777" w:rsidR="008273B8" w:rsidRDefault="00B93063">
            <w:pPr>
              <w:pStyle w:val="P68B1DB1-Normal7"/>
              <w:spacing w:after="0" w:line="240" w:lineRule="auto"/>
              <w:rPr>
                <w:rFonts w:eastAsia="Times New Roman" w:cs="Calibri"/>
                <w:noProof/>
              </w:rPr>
            </w:pPr>
            <w:r>
              <w:rPr>
                <w:noProof/>
              </w:rPr>
              <w:t>6.38</w:t>
            </w:r>
          </w:p>
        </w:tc>
        <w:tc>
          <w:tcPr>
            <w:tcW w:w="1172" w:type="dxa"/>
            <w:shd w:val="clear" w:color="auto" w:fill="C6EFCE"/>
            <w:vAlign w:val="center"/>
            <w:hideMark/>
          </w:tcPr>
          <w:p w14:paraId="7A5393D2" w14:textId="77777777" w:rsidR="008273B8" w:rsidRDefault="00B93063">
            <w:pPr>
              <w:pStyle w:val="P68B1DB1-Normal7"/>
              <w:spacing w:after="0" w:line="240" w:lineRule="auto"/>
              <w:rPr>
                <w:rFonts w:eastAsia="Times New Roman" w:cs="Calibri"/>
                <w:noProof/>
              </w:rPr>
            </w:pPr>
            <w:r>
              <w:rPr>
                <w:noProof/>
              </w:rPr>
              <w:t xml:space="preserve">C6.I.1. </w:t>
            </w:r>
          </w:p>
        </w:tc>
        <w:tc>
          <w:tcPr>
            <w:tcW w:w="1015" w:type="dxa"/>
            <w:shd w:val="clear" w:color="auto" w:fill="C6EFCE"/>
            <w:vAlign w:val="center"/>
            <w:hideMark/>
          </w:tcPr>
          <w:p w14:paraId="7A5393D3"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3D4" w14:textId="5021154B" w:rsidR="008273B8" w:rsidRDefault="00B93063">
            <w:pPr>
              <w:pStyle w:val="P68B1DB1-Normal7"/>
              <w:spacing w:after="0" w:line="240" w:lineRule="auto"/>
              <w:rPr>
                <w:rFonts w:eastAsia="Times New Roman" w:cs="Calibri"/>
                <w:noProof/>
              </w:rPr>
            </w:pPr>
            <w:r>
              <w:rPr>
                <w:noProof/>
              </w:rPr>
              <w:t xml:space="preserve">Stupanje na snagu i. Zakona br. LIII iz 2020. (izmjena br. 2); i ii. Zakona br. III iz 2021. (izmjena br. 2) o digitalizaciji sudova. </w:t>
            </w:r>
          </w:p>
        </w:tc>
        <w:tc>
          <w:tcPr>
            <w:tcW w:w="2031" w:type="dxa"/>
            <w:shd w:val="clear" w:color="auto" w:fill="C6EFCE"/>
            <w:vAlign w:val="center"/>
            <w:hideMark/>
          </w:tcPr>
          <w:p w14:paraId="7A5393D5" w14:textId="203AC7BF" w:rsidR="008273B8" w:rsidRDefault="00B93063">
            <w:pPr>
              <w:pStyle w:val="P68B1DB1-Normal7"/>
              <w:spacing w:after="0" w:line="240" w:lineRule="auto"/>
              <w:rPr>
                <w:rFonts w:eastAsia="Times New Roman" w:cs="Calibri"/>
                <w:noProof/>
              </w:rPr>
            </w:pPr>
            <w:r>
              <w:rPr>
                <w:noProof/>
              </w:rPr>
              <w:t>Stupanje na snagu i. Zakona br. LIII iz 2020. (izmjena br. 2</w:t>
            </w:r>
            <w:r>
              <w:rPr>
                <w:noProof/>
                <w:color w:val="2B579A"/>
                <w:shd w:val="clear" w:color="auto" w:fill="E6E6E6"/>
              </w:rPr>
              <w:t>)</w:t>
            </w:r>
            <w:r>
              <w:rPr>
                <w:noProof/>
              </w:rPr>
              <w:t xml:space="preserve">i ii. Zakona br. III iz 2021. (izmjena br. 2) o digitalizaciji sudova </w:t>
            </w:r>
          </w:p>
        </w:tc>
        <w:tc>
          <w:tcPr>
            <w:tcW w:w="924" w:type="dxa"/>
            <w:shd w:val="clear" w:color="auto" w:fill="C6EFCE"/>
            <w:vAlign w:val="center"/>
            <w:hideMark/>
          </w:tcPr>
          <w:p w14:paraId="7A5393D6"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3D7"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3D8"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3D9" w14:textId="77777777" w:rsidR="008273B8" w:rsidRDefault="00B93063">
            <w:pPr>
              <w:pStyle w:val="P68B1DB1-Normal7"/>
              <w:spacing w:after="0" w:line="240" w:lineRule="auto"/>
              <w:jc w:val="center"/>
              <w:rPr>
                <w:rFonts w:eastAsia="Times New Roman" w:cs="Calibri"/>
                <w:noProof/>
              </w:rPr>
            </w:pPr>
            <w:r>
              <w:rPr>
                <w:noProof/>
              </w:rPr>
              <w:t>PRVO TROMJESEČJE</w:t>
            </w:r>
          </w:p>
        </w:tc>
        <w:tc>
          <w:tcPr>
            <w:tcW w:w="709" w:type="dxa"/>
            <w:shd w:val="clear" w:color="auto" w:fill="C6EFCE"/>
            <w:vAlign w:val="center"/>
            <w:hideMark/>
          </w:tcPr>
          <w:p w14:paraId="7A5393DA" w14:textId="77777777" w:rsidR="008273B8" w:rsidRDefault="00B93063">
            <w:pPr>
              <w:pStyle w:val="P68B1DB1-Normal7"/>
              <w:spacing w:after="0" w:line="240" w:lineRule="auto"/>
              <w:jc w:val="center"/>
              <w:rPr>
                <w:rFonts w:eastAsia="Times New Roman" w:cs="Calibri"/>
                <w:noProof/>
              </w:rPr>
            </w:pPr>
            <w:r>
              <w:rPr>
                <w:noProof/>
              </w:rPr>
              <w:t>2021</w:t>
            </w:r>
          </w:p>
        </w:tc>
        <w:tc>
          <w:tcPr>
            <w:tcW w:w="5074" w:type="dxa"/>
            <w:shd w:val="clear" w:color="auto" w:fill="C6EFCE"/>
            <w:vAlign w:val="center"/>
            <w:hideMark/>
          </w:tcPr>
          <w:p w14:paraId="7A5393DB" w14:textId="0A0DBAA3" w:rsidR="008273B8" w:rsidRDefault="00B93063">
            <w:pPr>
              <w:pStyle w:val="P68B1DB1-Normal7"/>
              <w:spacing w:after="0" w:line="240" w:lineRule="auto"/>
              <w:rPr>
                <w:rFonts w:eastAsia="Times New Roman" w:cs="Calibri"/>
                <w:noProof/>
              </w:rPr>
            </w:pPr>
            <w:r>
              <w:rPr>
                <w:noProof/>
              </w:rPr>
              <w:t xml:space="preserve">Zakonom LIII iz 2020. (izmjena </w:t>
            </w:r>
            <w:r>
              <w:rPr>
                <w:noProof/>
                <w:color w:val="2B579A"/>
                <w:shd w:val="clear" w:color="auto" w:fill="E6E6E6"/>
              </w:rPr>
              <w:t>br. 2)</w:t>
            </w:r>
            <w:r>
              <w:rPr>
                <w:noProof/>
              </w:rPr>
              <w:t>izmijenjen je Zakon o organizaciji i parničnom postupku te je omogućeno vođenje građanskih postupaka putem opreme za videokonferencije uživo. Zakonom III. iz 2021. (izmjena br. 2) izmijenjen je Kazneni zakon i omogućeno elektroničko podnošenje kaznenih sudskih akata.</w:t>
            </w:r>
          </w:p>
        </w:tc>
      </w:tr>
      <w:tr w:rsidR="008273B8" w14:paraId="7A5393E8" w14:textId="77777777">
        <w:trPr>
          <w:cantSplit/>
          <w:jc w:val="center"/>
        </w:trPr>
        <w:tc>
          <w:tcPr>
            <w:tcW w:w="1150" w:type="dxa"/>
            <w:shd w:val="clear" w:color="auto" w:fill="C6EFCE"/>
            <w:vAlign w:val="center"/>
            <w:hideMark/>
          </w:tcPr>
          <w:p w14:paraId="7A5393DD" w14:textId="77777777" w:rsidR="008273B8" w:rsidRDefault="00B93063">
            <w:pPr>
              <w:pStyle w:val="P68B1DB1-Normal7"/>
              <w:spacing w:after="0" w:line="240" w:lineRule="auto"/>
              <w:rPr>
                <w:rFonts w:eastAsia="Times New Roman" w:cs="Calibri"/>
                <w:noProof/>
              </w:rPr>
            </w:pPr>
            <w:r>
              <w:rPr>
                <w:noProof/>
              </w:rPr>
              <w:t>6.39</w:t>
            </w:r>
          </w:p>
        </w:tc>
        <w:tc>
          <w:tcPr>
            <w:tcW w:w="1172" w:type="dxa"/>
            <w:shd w:val="clear" w:color="auto" w:fill="C6EFCE"/>
            <w:vAlign w:val="center"/>
            <w:hideMark/>
          </w:tcPr>
          <w:p w14:paraId="7A5393DE" w14:textId="77777777" w:rsidR="008273B8" w:rsidRDefault="00B93063">
            <w:pPr>
              <w:pStyle w:val="P68B1DB1-Normal7"/>
              <w:spacing w:after="0" w:line="240" w:lineRule="auto"/>
              <w:rPr>
                <w:rFonts w:eastAsia="Times New Roman" w:cs="Calibri"/>
                <w:noProof/>
              </w:rPr>
            </w:pPr>
            <w:r>
              <w:rPr>
                <w:noProof/>
              </w:rPr>
              <w:t xml:space="preserve">C6.I.1. </w:t>
            </w:r>
          </w:p>
        </w:tc>
        <w:tc>
          <w:tcPr>
            <w:tcW w:w="1015" w:type="dxa"/>
            <w:shd w:val="clear" w:color="auto" w:fill="C6EFCE"/>
            <w:vAlign w:val="center"/>
            <w:hideMark/>
          </w:tcPr>
          <w:p w14:paraId="7A5393DF" w14:textId="77777777" w:rsidR="008273B8" w:rsidRDefault="00B93063">
            <w:pPr>
              <w:pStyle w:val="P68B1DB1-Normal7"/>
              <w:spacing w:after="0" w:line="240" w:lineRule="auto"/>
              <w:rPr>
                <w:rFonts w:eastAsia="Times New Roman" w:cs="Calibri"/>
                <w:noProof/>
              </w:rPr>
            </w:pPr>
            <w:r>
              <w:rPr>
                <w:noProof/>
              </w:rPr>
              <w:t>Ciljna vrijednost</w:t>
            </w:r>
          </w:p>
        </w:tc>
        <w:tc>
          <w:tcPr>
            <w:tcW w:w="1595" w:type="dxa"/>
            <w:shd w:val="clear" w:color="auto" w:fill="C6EFCE"/>
            <w:vAlign w:val="center"/>
            <w:hideMark/>
          </w:tcPr>
          <w:p w14:paraId="7A5393E0" w14:textId="77777777" w:rsidR="008273B8" w:rsidRDefault="00B93063">
            <w:pPr>
              <w:pStyle w:val="P68B1DB1-Normal7"/>
              <w:spacing w:after="0" w:line="240" w:lineRule="auto"/>
              <w:rPr>
                <w:rFonts w:eastAsia="Times New Roman" w:cs="Calibri"/>
                <w:noProof/>
              </w:rPr>
            </w:pPr>
            <w:r>
              <w:rPr>
                <w:noProof/>
              </w:rPr>
              <w:t xml:space="preserve">Rashodi nastali za digitalizaciju pravosudnog sustava </w:t>
            </w:r>
          </w:p>
        </w:tc>
        <w:tc>
          <w:tcPr>
            <w:tcW w:w="2031" w:type="dxa"/>
            <w:shd w:val="clear" w:color="auto" w:fill="C6EFCE"/>
            <w:vAlign w:val="center"/>
            <w:hideMark/>
          </w:tcPr>
          <w:p w14:paraId="7A5393E1" w14:textId="77777777" w:rsidR="008273B8" w:rsidRDefault="00B93063">
            <w:pPr>
              <w:pStyle w:val="P68B1DB1-Normal7"/>
              <w:spacing w:after="0" w:line="240" w:lineRule="auto"/>
              <w:rPr>
                <w:rFonts w:eastAsia="Times New Roman" w:cs="Calibri"/>
                <w:noProof/>
              </w:rPr>
            </w:pPr>
            <w:r>
              <w:rPr>
                <w:noProof/>
              </w:rPr>
              <w:t> </w:t>
            </w:r>
          </w:p>
        </w:tc>
        <w:tc>
          <w:tcPr>
            <w:tcW w:w="924" w:type="dxa"/>
            <w:shd w:val="clear" w:color="auto" w:fill="C6EFCE"/>
            <w:vAlign w:val="center"/>
            <w:hideMark/>
          </w:tcPr>
          <w:p w14:paraId="7A5393E2" w14:textId="77777777" w:rsidR="008273B8" w:rsidRDefault="00B93063">
            <w:pPr>
              <w:pStyle w:val="P68B1DB1-Normal7"/>
              <w:spacing w:after="0" w:line="240" w:lineRule="auto"/>
              <w:jc w:val="center"/>
              <w:rPr>
                <w:rFonts w:eastAsia="Times New Roman" w:cs="Calibri"/>
                <w:noProof/>
              </w:rPr>
            </w:pPr>
            <w:r>
              <w:rPr>
                <w:noProof/>
              </w:rPr>
              <w:t>EUR</w:t>
            </w:r>
          </w:p>
        </w:tc>
        <w:tc>
          <w:tcPr>
            <w:tcW w:w="915" w:type="dxa"/>
            <w:shd w:val="clear" w:color="auto" w:fill="C6EFCE"/>
            <w:vAlign w:val="center"/>
            <w:hideMark/>
          </w:tcPr>
          <w:p w14:paraId="7A5393E3" w14:textId="77777777" w:rsidR="008273B8" w:rsidRDefault="00B93063">
            <w:pPr>
              <w:pStyle w:val="P68B1DB1-Normal7"/>
              <w:spacing w:after="0" w:line="240" w:lineRule="auto"/>
              <w:jc w:val="center"/>
              <w:rPr>
                <w:rFonts w:eastAsia="Times New Roman" w:cs="Calibri"/>
                <w:noProof/>
              </w:rPr>
            </w:pPr>
            <w:r>
              <w:rPr>
                <w:noProof/>
              </w:rPr>
              <w:t>0</w:t>
            </w:r>
          </w:p>
        </w:tc>
        <w:tc>
          <w:tcPr>
            <w:tcW w:w="974" w:type="dxa"/>
            <w:shd w:val="clear" w:color="auto" w:fill="C6EFCE"/>
            <w:vAlign w:val="center"/>
            <w:hideMark/>
          </w:tcPr>
          <w:p w14:paraId="7A5393E4" w14:textId="77777777" w:rsidR="008273B8" w:rsidRDefault="00B93063">
            <w:pPr>
              <w:pStyle w:val="P68B1DB1-Normal7"/>
              <w:spacing w:after="0" w:line="240" w:lineRule="auto"/>
              <w:jc w:val="center"/>
              <w:rPr>
                <w:rFonts w:eastAsia="Times New Roman" w:cs="Calibri"/>
                <w:noProof/>
              </w:rPr>
            </w:pPr>
            <w:r>
              <w:rPr>
                <w:noProof/>
              </w:rPr>
              <w:t>2 000 000</w:t>
            </w:r>
          </w:p>
        </w:tc>
        <w:tc>
          <w:tcPr>
            <w:tcW w:w="709" w:type="dxa"/>
            <w:shd w:val="clear" w:color="auto" w:fill="C6EFCE"/>
            <w:vAlign w:val="center"/>
            <w:hideMark/>
          </w:tcPr>
          <w:p w14:paraId="7A5393E5"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709" w:type="dxa"/>
            <w:shd w:val="clear" w:color="auto" w:fill="C6EFCE"/>
            <w:vAlign w:val="center"/>
            <w:hideMark/>
          </w:tcPr>
          <w:p w14:paraId="7A5393E6" w14:textId="77777777" w:rsidR="008273B8" w:rsidRDefault="00B93063">
            <w:pPr>
              <w:pStyle w:val="P68B1DB1-Normal7"/>
              <w:spacing w:after="0" w:line="240" w:lineRule="auto"/>
              <w:jc w:val="center"/>
              <w:rPr>
                <w:rFonts w:eastAsia="Times New Roman" w:cs="Calibri"/>
                <w:noProof/>
              </w:rPr>
            </w:pPr>
            <w:r>
              <w:rPr>
                <w:noProof/>
              </w:rPr>
              <w:t>2023</w:t>
            </w:r>
          </w:p>
        </w:tc>
        <w:tc>
          <w:tcPr>
            <w:tcW w:w="5074" w:type="dxa"/>
            <w:shd w:val="clear" w:color="auto" w:fill="C6EFCE"/>
            <w:vAlign w:val="center"/>
            <w:hideMark/>
          </w:tcPr>
          <w:p w14:paraId="7A5393E7" w14:textId="77777777" w:rsidR="008273B8" w:rsidRDefault="00B93063">
            <w:pPr>
              <w:pStyle w:val="P68B1DB1-Normal7"/>
              <w:spacing w:after="0" w:line="240" w:lineRule="auto"/>
              <w:rPr>
                <w:rFonts w:eastAsia="Times New Roman" w:cs="Calibri"/>
                <w:noProof/>
              </w:rPr>
            </w:pPr>
            <w:r>
              <w:rPr>
                <w:noProof/>
              </w:rPr>
              <w:t>Isplaćeno je najmanje 2 000 000 EUR u skladu s ugovornim obvezama povezanima s digitalizacijom pravosudnog sustava.</w:t>
            </w:r>
          </w:p>
        </w:tc>
      </w:tr>
      <w:tr w:rsidR="008273B8" w14:paraId="7A5393F4" w14:textId="77777777">
        <w:trPr>
          <w:cantSplit/>
          <w:jc w:val="center"/>
        </w:trPr>
        <w:tc>
          <w:tcPr>
            <w:tcW w:w="1150" w:type="dxa"/>
            <w:shd w:val="clear" w:color="auto" w:fill="C6EFCE"/>
            <w:vAlign w:val="center"/>
            <w:hideMark/>
          </w:tcPr>
          <w:p w14:paraId="7A5393E9" w14:textId="77777777" w:rsidR="008273B8" w:rsidRDefault="00B93063">
            <w:pPr>
              <w:pStyle w:val="P68B1DB1-Normal7"/>
              <w:spacing w:after="0" w:line="240" w:lineRule="auto"/>
              <w:rPr>
                <w:rFonts w:eastAsia="Times New Roman" w:cs="Calibri"/>
                <w:noProof/>
              </w:rPr>
            </w:pPr>
            <w:r>
              <w:rPr>
                <w:noProof/>
              </w:rPr>
              <w:t>6.40</w:t>
            </w:r>
          </w:p>
        </w:tc>
        <w:tc>
          <w:tcPr>
            <w:tcW w:w="1172" w:type="dxa"/>
            <w:shd w:val="clear" w:color="auto" w:fill="C6EFCE"/>
            <w:vAlign w:val="center"/>
            <w:hideMark/>
          </w:tcPr>
          <w:p w14:paraId="7A5393EA" w14:textId="77777777" w:rsidR="008273B8" w:rsidRDefault="00B93063">
            <w:pPr>
              <w:pStyle w:val="P68B1DB1-Normal7"/>
              <w:spacing w:after="0" w:line="240" w:lineRule="auto"/>
              <w:rPr>
                <w:rFonts w:eastAsia="Times New Roman" w:cs="Calibri"/>
                <w:noProof/>
              </w:rPr>
            </w:pPr>
            <w:r>
              <w:rPr>
                <w:noProof/>
              </w:rPr>
              <w:t xml:space="preserve">C6.I.1. </w:t>
            </w:r>
          </w:p>
        </w:tc>
        <w:tc>
          <w:tcPr>
            <w:tcW w:w="1015" w:type="dxa"/>
            <w:shd w:val="clear" w:color="auto" w:fill="C6EFCE"/>
            <w:vAlign w:val="center"/>
            <w:hideMark/>
          </w:tcPr>
          <w:p w14:paraId="7A5393EB" w14:textId="77777777" w:rsidR="008273B8" w:rsidRDefault="00B93063">
            <w:pPr>
              <w:pStyle w:val="P68B1DB1-Normal7"/>
              <w:spacing w:after="0" w:line="240" w:lineRule="auto"/>
              <w:rPr>
                <w:rFonts w:eastAsia="Times New Roman" w:cs="Calibri"/>
                <w:noProof/>
              </w:rPr>
            </w:pPr>
            <w:r>
              <w:rPr>
                <w:noProof/>
              </w:rPr>
              <w:t>Ključna etapa</w:t>
            </w:r>
          </w:p>
        </w:tc>
        <w:tc>
          <w:tcPr>
            <w:tcW w:w="1595" w:type="dxa"/>
            <w:shd w:val="clear" w:color="auto" w:fill="C6EFCE"/>
            <w:vAlign w:val="center"/>
            <w:hideMark/>
          </w:tcPr>
          <w:p w14:paraId="7A5393EC" w14:textId="77777777" w:rsidR="008273B8" w:rsidRDefault="00B93063">
            <w:pPr>
              <w:pStyle w:val="P68B1DB1-Normal7"/>
              <w:spacing w:after="0" w:line="240" w:lineRule="auto"/>
              <w:rPr>
                <w:rFonts w:eastAsia="Times New Roman" w:cs="Calibri"/>
                <w:noProof/>
              </w:rPr>
            </w:pPr>
            <w:r>
              <w:rPr>
                <w:noProof/>
              </w:rPr>
              <w:t xml:space="preserve">Pokretanje i dostupnost za korisnike razvijenih informatičkih alata i sustava </w:t>
            </w:r>
          </w:p>
        </w:tc>
        <w:tc>
          <w:tcPr>
            <w:tcW w:w="2031" w:type="dxa"/>
            <w:shd w:val="clear" w:color="auto" w:fill="C6EFCE"/>
            <w:vAlign w:val="center"/>
            <w:hideMark/>
          </w:tcPr>
          <w:p w14:paraId="7A5393ED" w14:textId="77777777" w:rsidR="008273B8" w:rsidRDefault="00B93063">
            <w:pPr>
              <w:pStyle w:val="P68B1DB1-Normal7"/>
              <w:spacing w:after="0" w:line="240" w:lineRule="auto"/>
              <w:rPr>
                <w:rFonts w:eastAsia="Times New Roman" w:cs="Calibri"/>
                <w:noProof/>
              </w:rPr>
            </w:pPr>
            <w:r>
              <w:rPr>
                <w:noProof/>
              </w:rPr>
              <w:t xml:space="preserve">Pokretanje i dostupnost za korisnike razvijenih informatičkih alata i sustava </w:t>
            </w:r>
          </w:p>
        </w:tc>
        <w:tc>
          <w:tcPr>
            <w:tcW w:w="924" w:type="dxa"/>
            <w:shd w:val="clear" w:color="auto" w:fill="C6EFCE"/>
            <w:vAlign w:val="center"/>
            <w:hideMark/>
          </w:tcPr>
          <w:p w14:paraId="7A5393EE" w14:textId="77777777" w:rsidR="008273B8" w:rsidRDefault="008273B8">
            <w:pPr>
              <w:spacing w:after="0" w:line="240" w:lineRule="auto"/>
              <w:jc w:val="center"/>
              <w:rPr>
                <w:rFonts w:ascii="Calibri" w:eastAsia="Times New Roman" w:hAnsi="Calibri" w:cs="Calibri"/>
                <w:noProof/>
                <w:sz w:val="18"/>
              </w:rPr>
            </w:pPr>
          </w:p>
        </w:tc>
        <w:tc>
          <w:tcPr>
            <w:tcW w:w="915" w:type="dxa"/>
            <w:shd w:val="clear" w:color="auto" w:fill="C6EFCE"/>
            <w:vAlign w:val="center"/>
            <w:hideMark/>
          </w:tcPr>
          <w:p w14:paraId="7A5393EF" w14:textId="77777777" w:rsidR="008273B8" w:rsidRDefault="008273B8">
            <w:pPr>
              <w:spacing w:after="0" w:line="240" w:lineRule="auto"/>
              <w:jc w:val="center"/>
              <w:rPr>
                <w:rFonts w:ascii="Calibri" w:eastAsia="Times New Roman" w:hAnsi="Calibri" w:cs="Calibri"/>
                <w:noProof/>
                <w:sz w:val="18"/>
              </w:rPr>
            </w:pPr>
          </w:p>
        </w:tc>
        <w:tc>
          <w:tcPr>
            <w:tcW w:w="974" w:type="dxa"/>
            <w:shd w:val="clear" w:color="auto" w:fill="C6EFCE"/>
            <w:vAlign w:val="center"/>
            <w:hideMark/>
          </w:tcPr>
          <w:p w14:paraId="7A5393F0" w14:textId="77777777" w:rsidR="008273B8" w:rsidRDefault="008273B8">
            <w:pPr>
              <w:spacing w:after="0" w:line="240" w:lineRule="auto"/>
              <w:jc w:val="center"/>
              <w:rPr>
                <w:rFonts w:ascii="Calibri" w:eastAsia="Times New Roman" w:hAnsi="Calibri" w:cs="Calibri"/>
                <w:noProof/>
                <w:sz w:val="18"/>
              </w:rPr>
            </w:pPr>
          </w:p>
        </w:tc>
        <w:tc>
          <w:tcPr>
            <w:tcW w:w="709" w:type="dxa"/>
            <w:shd w:val="clear" w:color="auto" w:fill="C6EFCE"/>
            <w:vAlign w:val="center"/>
            <w:hideMark/>
          </w:tcPr>
          <w:p w14:paraId="7A5393F1" w14:textId="77777777" w:rsidR="008273B8" w:rsidRDefault="00B93063">
            <w:pPr>
              <w:pStyle w:val="P68B1DB1-Normal7"/>
              <w:spacing w:after="0" w:line="240" w:lineRule="auto"/>
              <w:jc w:val="center"/>
              <w:rPr>
                <w:rFonts w:eastAsia="Times New Roman" w:cs="Calibri"/>
                <w:noProof/>
              </w:rPr>
            </w:pPr>
            <w:r>
              <w:rPr>
                <w:noProof/>
              </w:rPr>
              <w:t>Q2</w:t>
            </w:r>
          </w:p>
        </w:tc>
        <w:tc>
          <w:tcPr>
            <w:tcW w:w="709" w:type="dxa"/>
            <w:shd w:val="clear" w:color="auto" w:fill="C6EFCE"/>
            <w:vAlign w:val="center"/>
            <w:hideMark/>
          </w:tcPr>
          <w:p w14:paraId="7A5393F2" w14:textId="77777777" w:rsidR="008273B8" w:rsidRDefault="00B93063">
            <w:pPr>
              <w:pStyle w:val="P68B1DB1-Normal7"/>
              <w:spacing w:after="0" w:line="240" w:lineRule="auto"/>
              <w:jc w:val="center"/>
              <w:rPr>
                <w:rFonts w:eastAsia="Times New Roman" w:cs="Calibri"/>
                <w:noProof/>
              </w:rPr>
            </w:pPr>
            <w:r>
              <w:rPr>
                <w:noProof/>
              </w:rPr>
              <w:t>2026</w:t>
            </w:r>
          </w:p>
        </w:tc>
        <w:tc>
          <w:tcPr>
            <w:tcW w:w="5074" w:type="dxa"/>
            <w:shd w:val="clear" w:color="auto" w:fill="C6EFCE"/>
            <w:vAlign w:val="center"/>
            <w:hideMark/>
          </w:tcPr>
          <w:p w14:paraId="7A5393F3" w14:textId="77777777" w:rsidR="008273B8" w:rsidRDefault="00B93063">
            <w:pPr>
              <w:pStyle w:val="P68B1DB1-Normal7"/>
              <w:spacing w:after="0" w:line="240" w:lineRule="auto"/>
              <w:rPr>
                <w:rFonts w:eastAsia="Times New Roman" w:cs="Calibri"/>
                <w:noProof/>
              </w:rPr>
            </w:pPr>
            <w:r>
              <w:rPr>
                <w:noProof/>
              </w:rPr>
              <w:t xml:space="preserve">Dovršen je, pokrenut i stavljen na raspolaganje primarnim dionicima razvoj svih informatičkih alata i sustava. </w:t>
            </w:r>
          </w:p>
        </w:tc>
      </w:tr>
    </w:tbl>
    <w:p w14:paraId="7A5393F5" w14:textId="77777777" w:rsidR="008273B8" w:rsidRDefault="008273B8">
      <w:pPr>
        <w:spacing w:before="120" w:after="120" w:line="240" w:lineRule="auto"/>
        <w:ind w:left="709"/>
        <w:jc w:val="both"/>
        <w:rPr>
          <w:rFonts w:ascii="Times New Roman" w:hAnsi="Times New Roman" w:cs="Times New Roman"/>
          <w:noProof/>
          <w:sz w:val="24"/>
        </w:rPr>
      </w:pPr>
    </w:p>
    <w:p w14:paraId="7A5393F6" w14:textId="77777777" w:rsidR="008273B8" w:rsidRDefault="008273B8">
      <w:pPr>
        <w:spacing w:before="120" w:after="120" w:line="240" w:lineRule="auto"/>
        <w:ind w:left="850"/>
        <w:jc w:val="both"/>
        <w:rPr>
          <w:rFonts w:ascii="Times New Roman" w:hAnsi="Times New Roman" w:cs="Times New Roman"/>
          <w:b/>
          <w:noProof/>
          <w:sz w:val="24"/>
          <w:u w:val="single"/>
        </w:rPr>
        <w:sectPr w:rsidR="008273B8">
          <w:headerReference w:type="even" r:id="rId84"/>
          <w:headerReference w:type="default" r:id="rId85"/>
          <w:footerReference w:type="even" r:id="rId86"/>
          <w:footerReference w:type="default" r:id="rId87"/>
          <w:headerReference w:type="first" r:id="rId88"/>
          <w:footerReference w:type="first" r:id="rId89"/>
          <w:pgSz w:w="16839" w:h="11907" w:orient="landscape"/>
          <w:pgMar w:top="1134" w:right="1134" w:bottom="1134" w:left="1134" w:header="567" w:footer="567" w:gutter="0"/>
          <w:cols w:space="720"/>
          <w:docGrid w:linePitch="360"/>
        </w:sectPr>
      </w:pPr>
    </w:p>
    <w:p w14:paraId="7A5393F7" w14:textId="20CFCEDD" w:rsidR="008273B8" w:rsidRDefault="00B93063">
      <w:pPr>
        <w:pStyle w:val="ManualHeading2"/>
        <w:spacing w:before="360" w:after="360"/>
        <w:ind w:left="0" w:firstLine="0"/>
        <w:rPr>
          <w:noProof/>
        </w:rPr>
      </w:pPr>
      <w:r>
        <w:rPr>
          <w:noProof/>
        </w:rPr>
        <w:t xml:space="preserve">G. Sastavnica 7.: Plan REPowerEU </w:t>
      </w:r>
    </w:p>
    <w:p w14:paraId="7A5393F8" w14:textId="77777777" w:rsidR="008273B8" w:rsidRDefault="00B93063">
      <w:pPr>
        <w:pStyle w:val="P68B1DB1-Normal3"/>
        <w:spacing w:line="240" w:lineRule="auto"/>
        <w:jc w:val="both"/>
        <w:rPr>
          <w:rFonts w:cs="Times New Roman"/>
          <w:noProof/>
          <w:highlight w:val="yellow"/>
        </w:rPr>
      </w:pPr>
      <w:r>
        <w:rPr>
          <w:noProof/>
        </w:rPr>
        <w:t>Poglavlje o planu REPowerEU bavi se izazovom smanjenja ovisnosti o fosilnim gorivima. Ciljevi su komponente olakšati uvođenje obnovljivih izvora energije i povećati kapacitet mreže za distribuciju električne energije te istodobno pomoći u integraciji obnovljivih izvora energije.</w:t>
      </w:r>
    </w:p>
    <w:p w14:paraId="7A5393F9" w14:textId="125D6B6F" w:rsidR="008273B8" w:rsidRDefault="00B93063">
      <w:pPr>
        <w:pStyle w:val="P68B1DB1-Normal3"/>
        <w:spacing w:line="240" w:lineRule="auto"/>
        <w:jc w:val="both"/>
        <w:rPr>
          <w:rFonts w:eastAsia="Times New Roman" w:cs="Times New Roman"/>
          <w:noProof/>
        </w:rPr>
      </w:pPr>
      <w:r>
        <w:rPr>
          <w:noProof/>
        </w:rPr>
        <w:t>Ulaganje u jačanje i širenje elektroenergetske mreže ima prekograničnu dimenziju, posebno u mediteranskoj regiji. Očekuje se da će se ulaganjem omogućiti izgradnja napajajuće veze s drugim elektroenergetskim spojnim vodom između Malte i Italije, čime će se doprinijeti integriranijem zajedničkom energetskom tržištu, osigurati opskrba energijom u cijeloj Uniji i stvoriti europska dodana vrijednost.</w:t>
      </w:r>
    </w:p>
    <w:p w14:paraId="7A5393FA" w14:textId="77777777" w:rsidR="008273B8" w:rsidRDefault="00B93063">
      <w:pPr>
        <w:pStyle w:val="P68B1DB1-Normal3"/>
        <w:spacing w:line="240" w:lineRule="auto"/>
        <w:jc w:val="both"/>
        <w:rPr>
          <w:rFonts w:cs="Times New Roman"/>
          <w:noProof/>
          <w:color w:val="2B579A"/>
        </w:rPr>
      </w:pPr>
      <w:r>
        <w:rPr>
          <w:noProof/>
        </w:rPr>
        <w:t xml:space="preserve">Poglavljem koje se odnosi na plan REPowerEU pridonosi se provedbi preporuke za pojedinu zemlju (4. preporuka za pojedinu zemlju 2022.), a posebno smanjenju ukupne ovisnosti o fosilnim gorivima ubrzavanjem uvođenja obnovljivih izvora energije, promicanjem i omogućivanjem ulaganja u energiju vjetra i solarnu energiju, daljnjom modernizacijom malteške mreže za prijenos i distribuciju električne energije te stvaranjem poticaja za skladištenje električne energije za opskrbu čvrste, fleksibilne i brze opskrbe energijom. </w:t>
      </w:r>
    </w:p>
    <w:p w14:paraId="7A5393FB" w14:textId="77777777" w:rsidR="008273B8" w:rsidRDefault="00B93063">
      <w:pPr>
        <w:pStyle w:val="P68B1DB1-Normal3"/>
        <w:spacing w:line="240" w:lineRule="auto"/>
        <w:jc w:val="both"/>
        <w:rPr>
          <w:rFonts w:cs="Times New Roman"/>
          <w:noProof/>
        </w:rPr>
      </w:pPr>
      <w:r>
        <w:rPr>
          <w:noProof/>
        </w:rPr>
        <w:t>Očekuje se da se nijednom mjerom u ovoj komponenti ne nanosi bitna šteta okolišnim ciljevima u smislu članka 17. Uredbe (EU) 2020/852, uzimajući u obzir opis mjera i koraka ublažavanja utvrđenih u planu za oporavak i otpornost u skladu s Tehničkim smjernicama o nenanošenju bitne štete (2021/C58/01).</w:t>
      </w:r>
    </w:p>
    <w:p w14:paraId="7A5393FC" w14:textId="77777777" w:rsidR="008273B8" w:rsidRDefault="008273B8">
      <w:pPr>
        <w:spacing w:line="240" w:lineRule="auto"/>
        <w:jc w:val="both"/>
        <w:rPr>
          <w:rFonts w:ascii="Times New Roman" w:hAnsi="Times New Roman" w:cs="Times New Roman"/>
          <w:noProof/>
          <w:sz w:val="24"/>
        </w:rPr>
      </w:pPr>
    </w:p>
    <w:p w14:paraId="7A5393FD" w14:textId="77777777" w:rsidR="008273B8" w:rsidRDefault="00B93063">
      <w:pPr>
        <w:spacing w:line="240" w:lineRule="auto"/>
        <w:jc w:val="both"/>
        <w:rPr>
          <w:rFonts w:ascii="Times New Roman" w:hAnsi="Times New Roman" w:cs="Times New Roman"/>
          <w:b/>
          <w:noProof/>
          <w:color w:val="4F81BD" w:themeColor="accent1"/>
          <w:sz w:val="24"/>
          <w:u w:val="single"/>
        </w:rPr>
      </w:pPr>
      <w:r>
        <w:rPr>
          <w:rFonts w:ascii="Times New Roman" w:hAnsi="Times New Roman"/>
          <w:b/>
          <w:noProof/>
          <w:sz w:val="24"/>
          <w:u w:val="single"/>
        </w:rPr>
        <w:t xml:space="preserve">G.1. </w:t>
      </w:r>
      <w:r>
        <w:rPr>
          <w:noProof/>
        </w:rPr>
        <w:tab/>
      </w:r>
      <w:r>
        <w:rPr>
          <w:rFonts w:ascii="Times New Roman" w:hAnsi="Times New Roman"/>
          <w:b/>
          <w:noProof/>
          <w:sz w:val="24"/>
          <w:u w:val="single"/>
        </w:rPr>
        <w:t>Opis reformi i ulaganja za bespovratnu financijsku potporu</w:t>
      </w:r>
    </w:p>
    <w:p w14:paraId="7A5393FE" w14:textId="77777777" w:rsidR="008273B8" w:rsidRDefault="00B93063">
      <w:pPr>
        <w:pStyle w:val="P68B1DB1-Normal5"/>
        <w:spacing w:line="240" w:lineRule="auto"/>
        <w:jc w:val="both"/>
        <w:rPr>
          <w:rFonts w:eastAsia="Times New Roman" w:cs="Times New Roman"/>
          <w:noProof/>
          <w:highlight w:val="yellow"/>
        </w:rPr>
      </w:pPr>
      <w:r>
        <w:rPr>
          <w:noProof/>
        </w:rPr>
        <w:t>Reforma C7-R1: Preispitivanje postojećih sustava izdavanja dozvola kako bi se pojednostavnili procesi i ubrzali postupci izdavanja dozvola za projekte u području energije iz obnovljivih izvora</w:t>
      </w:r>
    </w:p>
    <w:p w14:paraId="7A5393FF" w14:textId="2DEF7799" w:rsidR="008273B8" w:rsidRDefault="00B93063">
      <w:pPr>
        <w:spacing w:line="240" w:lineRule="auto"/>
        <w:jc w:val="both"/>
        <w:rPr>
          <w:rFonts w:ascii="Times New Roman" w:eastAsia="Times New Roman" w:hAnsi="Times New Roman" w:cs="Times New Roman"/>
          <w:noProof/>
          <w:sz w:val="24"/>
        </w:rPr>
      </w:pPr>
      <w:r>
        <w:rPr>
          <w:rFonts w:ascii="Times New Roman" w:hAnsi="Times New Roman"/>
          <w:noProof/>
          <w:sz w:val="24"/>
        </w:rPr>
        <w:t xml:space="preserve">Cilj je te reforme </w:t>
      </w:r>
      <w:r>
        <w:rPr>
          <w:rStyle w:val="normaltextrun"/>
          <w:rFonts w:ascii="Times New Roman" w:hAnsi="Times New Roman"/>
          <w:noProof/>
          <w:color w:val="000000" w:themeColor="text1"/>
          <w:sz w:val="24"/>
        </w:rPr>
        <w:t>ubrzati postupke izdavanja dozvola za projekte u području energije iz obnovljivih izvora i uvesti obvezu ugradnje krovnih solarnih ploča na određene nove zgrade. Cilj je te reforme povećati udio obnovljivih izvora energije u mješavini izvora energije Malte, čime se doprinosi zelenoj tranziciji.</w:t>
      </w:r>
    </w:p>
    <w:p w14:paraId="7A539400" w14:textId="4B136BAA" w:rsidR="008273B8" w:rsidRDefault="00B93063">
      <w:pPr>
        <w:spacing w:line="240" w:lineRule="auto"/>
        <w:jc w:val="both"/>
        <w:rPr>
          <w:rStyle w:val="normaltextrun"/>
          <w:rFonts w:ascii="Times New Roman" w:hAnsi="Times New Roman" w:cs="Times New Roman"/>
          <w:noProof/>
          <w:color w:val="000000" w:themeColor="text1"/>
          <w:sz w:val="24"/>
        </w:rPr>
      </w:pPr>
      <w:r>
        <w:rPr>
          <w:rFonts w:ascii="Times New Roman" w:hAnsi="Times New Roman"/>
          <w:noProof/>
          <w:sz w:val="24"/>
        </w:rPr>
        <w:t xml:space="preserve">Reforma se sastoji </w:t>
      </w:r>
      <w:r>
        <w:rPr>
          <w:rStyle w:val="normaltextrun"/>
          <w:rFonts w:ascii="Times New Roman" w:hAnsi="Times New Roman"/>
          <w:noProof/>
          <w:color w:val="000000" w:themeColor="text1"/>
          <w:sz w:val="24"/>
        </w:rPr>
        <w:t>od preispitivanja okvira za izdavanje dozvola i: (1) zakonodavne izmjene kojima se obvezuje na ugradnju solarnih ploča na nove stambene i nestambene zgrade koje dosežu svoju maksimalnu visinu utvrđenu u lokalnim planovima i politici projektiranja, smjernicama i standardima kontrole razvoja (Prilog 2.) koje je odobrilo tijelo nadležno za planiranje (osim zgrada na područjima očuvanja urbanističkih područja i zgrada s planiranim rasporedom); (2) objava na internetu obvezujućih skraćenih rokova za primjenu i postupke izdavanja dozvola za postrojenja za proizvodnju energije iz obnovljivih izvora na staklenicima; (3) objava na internetu obvezujućih skraćenih rokova za postupke podnošenja zahtjeva i izdavanja dozvola za projekte u području energije iz obnovljivih izvora.</w:t>
      </w:r>
    </w:p>
    <w:p w14:paraId="7A539401" w14:textId="77777777" w:rsidR="008273B8" w:rsidRDefault="00B93063">
      <w:pPr>
        <w:pStyle w:val="P68B1DB1-Normal3"/>
        <w:spacing w:line="240" w:lineRule="auto"/>
        <w:jc w:val="both"/>
        <w:rPr>
          <w:rFonts w:eastAsia="Times New Roman" w:cs="Times New Roman"/>
          <w:noProof/>
        </w:rPr>
      </w:pPr>
      <w:r>
        <w:rPr>
          <w:noProof/>
        </w:rPr>
        <w:t>Reforma se provodi do 31. prosinca 2024.</w:t>
      </w:r>
    </w:p>
    <w:p w14:paraId="7A539402" w14:textId="77777777" w:rsidR="008273B8" w:rsidRDefault="00B93063">
      <w:pPr>
        <w:pStyle w:val="P68B1DB1-Normal5"/>
        <w:spacing w:line="240" w:lineRule="auto"/>
        <w:jc w:val="both"/>
        <w:rPr>
          <w:rFonts w:eastAsia="Times New Roman" w:cs="Times New Roman"/>
          <w:noProof/>
        </w:rPr>
      </w:pPr>
      <w:r>
        <w:rPr>
          <w:noProof/>
        </w:rPr>
        <w:t xml:space="preserve">Ulaganje C7-I1: Jačanje i širenje mreže za distribuciju električne energije ulaganjima u mrežu, distribucijske usluge i baterijsko skladištenje </w:t>
      </w:r>
    </w:p>
    <w:p w14:paraId="7A539403" w14:textId="2F2C1299" w:rsidR="008273B8" w:rsidRDefault="00B93063">
      <w:pPr>
        <w:spacing w:line="240" w:lineRule="auto"/>
        <w:jc w:val="both"/>
        <w:rPr>
          <w:rStyle w:val="normaltextrun"/>
          <w:rFonts w:ascii="Times New Roman" w:hAnsi="Times New Roman" w:cs="Times New Roman"/>
          <w:noProof/>
          <w:color w:val="000000" w:themeColor="text1"/>
          <w:sz w:val="24"/>
        </w:rPr>
      </w:pPr>
      <w:r>
        <w:rPr>
          <w:rFonts w:ascii="Times New Roman" w:hAnsi="Times New Roman"/>
          <w:noProof/>
          <w:sz w:val="24"/>
        </w:rPr>
        <w:t xml:space="preserve">Cilj je tog ulaganja </w:t>
      </w:r>
      <w:r>
        <w:rPr>
          <w:rStyle w:val="normaltextrun"/>
          <w:rFonts w:ascii="Times New Roman" w:hAnsi="Times New Roman"/>
          <w:noProof/>
          <w:color w:val="000000" w:themeColor="text1"/>
          <w:sz w:val="24"/>
        </w:rPr>
        <w:t>ojačati i proširiti mrežu za distribuciju električne energije ulaganjima u mrežu, usluge distribucije i skladištenje baterija. Cilj je ulaganja pridonijeti rješavanju uskih grla u unutarnjoj distribuciji prijenosa električne energije, olakšavajući integraciju energije iz obnovljivih izvora s pomoću prikladnije mreže.</w:t>
      </w:r>
    </w:p>
    <w:p w14:paraId="7A539404" w14:textId="6329B84B" w:rsidR="008273B8" w:rsidRDefault="00B93063">
      <w:pPr>
        <w:spacing w:line="240" w:lineRule="auto"/>
        <w:jc w:val="both"/>
        <w:rPr>
          <w:rStyle w:val="normaltextrun"/>
          <w:rFonts w:ascii="Times New Roman" w:hAnsi="Times New Roman" w:cs="Times New Roman"/>
          <w:noProof/>
          <w:color w:val="000000" w:themeColor="text1"/>
          <w:sz w:val="24"/>
        </w:rPr>
      </w:pPr>
      <w:r>
        <w:rPr>
          <w:rStyle w:val="normaltextrun"/>
          <w:rFonts w:ascii="Times New Roman" w:hAnsi="Times New Roman"/>
          <w:noProof/>
          <w:color w:val="000000" w:themeColor="text1"/>
          <w:sz w:val="24"/>
        </w:rPr>
        <w:t>Ulaganje se sastoji od puštanja u rad sljedećih instrumenata: 1) novi priključni vod od 132 kV između Maghtaba i Mosta, u pripremi za drugi spojni vod sa Sicilijom (Italija); 2) nova primarna podstanica 33 kV/11kV u Naxxaru; 3) nova primarna podstanica 33 kV/11kV u Siggiewiju; Nadogradnju postojećeg centra za distribuciju bolnice od 33 kV/11kV u Msidi; Nadogradnja postojećeg distribucijskog centra sv. Andrewa u Pembrokeu; 15 novih podstanica 11 kV/415V i pojačanje od 15 km; 7) oprema za baterijsko skladištenje.</w:t>
      </w:r>
    </w:p>
    <w:p w14:paraId="7A539405" w14:textId="77777777" w:rsidR="008273B8" w:rsidRDefault="00B93063">
      <w:pPr>
        <w:pStyle w:val="P68B1DB1-Normal3"/>
        <w:spacing w:line="240" w:lineRule="auto"/>
        <w:jc w:val="both"/>
        <w:rPr>
          <w:rFonts w:eastAsia="Times New Roman" w:cs="Times New Roman"/>
          <w:noProof/>
        </w:rPr>
      </w:pPr>
      <w:r>
        <w:rPr>
          <w:noProof/>
        </w:rPr>
        <w:t>Ulaganje se provodi do 30. lipnja 2026.</w:t>
      </w:r>
    </w:p>
    <w:p w14:paraId="7A539406" w14:textId="77777777" w:rsidR="008273B8" w:rsidRDefault="008273B8">
      <w:pPr>
        <w:spacing w:line="240" w:lineRule="auto"/>
        <w:jc w:val="both"/>
        <w:rPr>
          <w:rFonts w:ascii="Times New Roman" w:eastAsia="Times New Roman" w:hAnsi="Times New Roman" w:cs="Times New Roman"/>
          <w:noProof/>
          <w:sz w:val="24"/>
        </w:rPr>
      </w:pPr>
    </w:p>
    <w:p w14:paraId="7A539407" w14:textId="77777777" w:rsidR="008273B8" w:rsidRDefault="008273B8">
      <w:pPr>
        <w:spacing w:line="240" w:lineRule="auto"/>
        <w:jc w:val="both"/>
        <w:rPr>
          <w:rFonts w:ascii="Times New Roman" w:eastAsia="Times New Roman" w:hAnsi="Times New Roman" w:cs="Times New Roman"/>
          <w:noProof/>
          <w:sz w:val="24"/>
        </w:rPr>
        <w:sectPr w:rsidR="008273B8">
          <w:headerReference w:type="even" r:id="rId90"/>
          <w:headerReference w:type="default" r:id="rId91"/>
          <w:footerReference w:type="even" r:id="rId92"/>
          <w:footerReference w:type="default" r:id="rId93"/>
          <w:headerReference w:type="first" r:id="rId94"/>
          <w:footerReference w:type="first" r:id="rId95"/>
          <w:pgSz w:w="11907" w:h="16839"/>
          <w:pgMar w:top="1134" w:right="1134" w:bottom="1134" w:left="1134" w:header="567" w:footer="567" w:gutter="0"/>
          <w:cols w:space="720"/>
          <w:docGrid w:linePitch="360"/>
        </w:sectPr>
      </w:pPr>
    </w:p>
    <w:p w14:paraId="7A539408" w14:textId="77777777" w:rsidR="008273B8" w:rsidRDefault="00B93063">
      <w:pPr>
        <w:pStyle w:val="ManualHeading3"/>
        <w:spacing w:before="240" w:after="240"/>
        <w:rPr>
          <w:b/>
          <w:i w:val="0"/>
          <w:noProof/>
          <w:u w:val="single"/>
        </w:rPr>
      </w:pPr>
      <w:r>
        <w:rPr>
          <w:b/>
          <w:i w:val="0"/>
          <w:noProof/>
        </w:rPr>
        <w:t xml:space="preserve">G.2. </w:t>
      </w:r>
      <w:r>
        <w:rPr>
          <w:noProof/>
        </w:rPr>
        <w:tab/>
      </w:r>
      <w:r>
        <w:rPr>
          <w:b/>
          <w:i w:val="0"/>
          <w:noProof/>
          <w:u w:val="single"/>
        </w:rPr>
        <w:t>Ključne etape, ciljne vrijednosti, pokazatelji i rokovi za praćenje i provedbu bespovratne financijske potpore</w:t>
      </w:r>
    </w:p>
    <w:tbl>
      <w:tblPr>
        <w:tblW w:w="16160" w:type="dxa"/>
        <w:tblInd w:w="-836" w:type="dxa"/>
        <w:tblLayout w:type="fixed"/>
        <w:tblLook w:val="06A0" w:firstRow="1" w:lastRow="0" w:firstColumn="1" w:lastColumn="0" w:noHBand="1" w:noVBand="1"/>
      </w:tblPr>
      <w:tblGrid>
        <w:gridCol w:w="1135"/>
        <w:gridCol w:w="1134"/>
        <w:gridCol w:w="992"/>
        <w:gridCol w:w="1559"/>
        <w:gridCol w:w="1985"/>
        <w:gridCol w:w="1134"/>
        <w:gridCol w:w="850"/>
        <w:gridCol w:w="973"/>
        <w:gridCol w:w="708"/>
        <w:gridCol w:w="567"/>
        <w:gridCol w:w="5123"/>
      </w:tblGrid>
      <w:tr w:rsidR="008273B8" w14:paraId="7A539411" w14:textId="77777777">
        <w:trPr>
          <w:trHeight w:val="20"/>
          <w:tblHeader/>
        </w:trPr>
        <w:tc>
          <w:tcPr>
            <w:tcW w:w="1135" w:type="dxa"/>
            <w:vMerge w:val="restart"/>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center"/>
          </w:tcPr>
          <w:p w14:paraId="7A539409" w14:textId="77777777" w:rsidR="008273B8" w:rsidRDefault="00B93063">
            <w:pPr>
              <w:pStyle w:val="P68B1DB1-Normal15"/>
              <w:jc w:val="center"/>
              <w:rPr>
                <w:rFonts w:eastAsiaTheme="minorEastAsia"/>
                <w:noProof/>
              </w:rPr>
            </w:pPr>
            <w:r>
              <w:rPr>
                <w:noProof/>
              </w:rPr>
              <w:t>Redni broj</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center"/>
          </w:tcPr>
          <w:p w14:paraId="7A53940A" w14:textId="77777777" w:rsidR="008273B8" w:rsidRDefault="00B93063">
            <w:pPr>
              <w:pStyle w:val="P68B1DB1-Normal15"/>
              <w:jc w:val="center"/>
              <w:rPr>
                <w:rFonts w:eastAsiaTheme="minorEastAsia"/>
                <w:noProof/>
              </w:rPr>
            </w:pPr>
            <w:r>
              <w:rPr>
                <w:noProof/>
              </w:rPr>
              <w:t>Povezana mjera (reforma ili ulaganje)</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center"/>
          </w:tcPr>
          <w:p w14:paraId="7A53940B" w14:textId="77777777" w:rsidR="008273B8" w:rsidRDefault="00B93063">
            <w:pPr>
              <w:pStyle w:val="P68B1DB1-Normal15"/>
              <w:jc w:val="center"/>
              <w:rPr>
                <w:rFonts w:eastAsiaTheme="minorEastAsia"/>
                <w:noProof/>
              </w:rPr>
            </w:pPr>
            <w:r>
              <w:rPr>
                <w:noProof/>
              </w:rPr>
              <w:t>Ključna etapa/cilj</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center"/>
          </w:tcPr>
          <w:p w14:paraId="7A53940C" w14:textId="77777777" w:rsidR="008273B8" w:rsidRDefault="00B93063">
            <w:pPr>
              <w:pStyle w:val="P68B1DB1-Normal15"/>
              <w:jc w:val="center"/>
              <w:rPr>
                <w:rFonts w:eastAsiaTheme="minorEastAsia"/>
                <w:noProof/>
              </w:rPr>
            </w:pPr>
            <w:r>
              <w:rPr>
                <w:noProof/>
              </w:rPr>
              <w:t>Ime</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center"/>
          </w:tcPr>
          <w:p w14:paraId="7A53940D" w14:textId="77777777" w:rsidR="008273B8" w:rsidRDefault="00B93063">
            <w:pPr>
              <w:jc w:val="center"/>
              <w:rPr>
                <w:rFonts w:eastAsiaTheme="minorEastAsia"/>
                <w:b/>
                <w:noProof/>
                <w:sz w:val="18"/>
              </w:rPr>
            </w:pPr>
            <w:r>
              <w:rPr>
                <w:b/>
                <w:noProof/>
                <w:sz w:val="18"/>
              </w:rPr>
              <w:t>Kvalitativni pokazatelji</w:t>
            </w:r>
            <w:r>
              <w:rPr>
                <w:noProof/>
              </w:rPr>
              <w:br/>
            </w:r>
            <w:r>
              <w:rPr>
                <w:b/>
                <w:noProof/>
                <w:sz w:val="18"/>
              </w:rPr>
              <w:t>(za ključne etape)</w:t>
            </w:r>
          </w:p>
        </w:tc>
        <w:tc>
          <w:tcPr>
            <w:tcW w:w="2957" w:type="dxa"/>
            <w:gridSpan w:val="3"/>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center"/>
          </w:tcPr>
          <w:p w14:paraId="7A53940E" w14:textId="77777777" w:rsidR="008273B8" w:rsidRDefault="00B93063">
            <w:pPr>
              <w:jc w:val="center"/>
              <w:rPr>
                <w:rFonts w:eastAsiaTheme="minorEastAsia"/>
                <w:b/>
                <w:noProof/>
                <w:sz w:val="18"/>
              </w:rPr>
            </w:pPr>
            <w:r>
              <w:rPr>
                <w:b/>
                <w:noProof/>
                <w:sz w:val="18"/>
              </w:rPr>
              <w:t>Kvantitativni pokazatelji</w:t>
            </w:r>
            <w:r>
              <w:rPr>
                <w:noProof/>
              </w:rPr>
              <w:br/>
            </w:r>
            <w:r>
              <w:rPr>
                <w:b/>
                <w:noProof/>
                <w:sz w:val="18"/>
              </w:rPr>
              <w:t>(za ciljne vrijednosti)</w:t>
            </w:r>
          </w:p>
        </w:tc>
        <w:tc>
          <w:tcPr>
            <w:tcW w:w="1275" w:type="dxa"/>
            <w:gridSpan w:val="2"/>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center"/>
          </w:tcPr>
          <w:p w14:paraId="7A53940F" w14:textId="77777777" w:rsidR="008273B8" w:rsidRDefault="00B93063">
            <w:pPr>
              <w:jc w:val="center"/>
              <w:rPr>
                <w:rFonts w:eastAsiaTheme="minorEastAsia"/>
                <w:b/>
                <w:noProof/>
                <w:sz w:val="18"/>
              </w:rPr>
            </w:pPr>
            <w:r>
              <w:rPr>
                <w:b/>
                <w:noProof/>
                <w:sz w:val="18"/>
              </w:rPr>
              <w:t>Vremenski okvir za dovršetak</w:t>
            </w:r>
            <w:r>
              <w:rPr>
                <w:noProof/>
              </w:rPr>
              <w:br/>
            </w:r>
          </w:p>
        </w:tc>
        <w:tc>
          <w:tcPr>
            <w:tcW w:w="5123" w:type="dxa"/>
            <w:vMerge w:val="restart"/>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center"/>
          </w:tcPr>
          <w:p w14:paraId="7A539410" w14:textId="77777777" w:rsidR="008273B8" w:rsidRDefault="00B93063">
            <w:pPr>
              <w:pStyle w:val="P68B1DB1-Normal15"/>
              <w:jc w:val="center"/>
              <w:rPr>
                <w:rFonts w:eastAsiaTheme="minorEastAsia"/>
                <w:noProof/>
              </w:rPr>
            </w:pPr>
            <w:r>
              <w:rPr>
                <w:noProof/>
              </w:rPr>
              <w:t>Opis svake ključne etape i ciljne vrijednosti</w:t>
            </w:r>
          </w:p>
        </w:tc>
      </w:tr>
      <w:tr w:rsidR="008273B8" w14:paraId="7A53941D" w14:textId="77777777">
        <w:trPr>
          <w:trHeight w:val="660"/>
          <w:tblHeader/>
        </w:trPr>
        <w:tc>
          <w:tcPr>
            <w:tcW w:w="1135" w:type="dxa"/>
            <w:vMerge/>
            <w:tcBorders>
              <w:top w:val="single" w:sz="4" w:space="0" w:color="auto"/>
              <w:left w:val="single" w:sz="4" w:space="0" w:color="auto"/>
              <w:bottom w:val="single" w:sz="4" w:space="0" w:color="auto"/>
              <w:right w:val="single" w:sz="4" w:space="0" w:color="auto"/>
            </w:tcBorders>
            <w:vAlign w:val="center"/>
          </w:tcPr>
          <w:p w14:paraId="7A539412" w14:textId="77777777" w:rsidR="008273B8" w:rsidRDefault="008273B8">
            <w:pPr>
              <w:rPr>
                <w:noProof/>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7A539413" w14:textId="77777777" w:rsidR="008273B8" w:rsidRDefault="008273B8">
            <w:pPr>
              <w:rPr>
                <w:noProof/>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7A539414" w14:textId="77777777" w:rsidR="008273B8" w:rsidRDefault="008273B8">
            <w:pPr>
              <w:rPr>
                <w:noProof/>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A539415" w14:textId="77777777" w:rsidR="008273B8" w:rsidRDefault="008273B8">
            <w:pPr>
              <w:rPr>
                <w:noProof/>
              </w:rPr>
            </w:pPr>
          </w:p>
        </w:tc>
        <w:tc>
          <w:tcPr>
            <w:tcW w:w="1985" w:type="dxa"/>
            <w:vMerge/>
            <w:tcBorders>
              <w:top w:val="single" w:sz="4" w:space="0" w:color="auto"/>
              <w:left w:val="single" w:sz="4" w:space="0" w:color="auto"/>
              <w:bottom w:val="single" w:sz="4" w:space="0" w:color="auto"/>
              <w:right w:val="single" w:sz="4" w:space="0" w:color="auto"/>
            </w:tcBorders>
            <w:vAlign w:val="center"/>
          </w:tcPr>
          <w:p w14:paraId="7A539416" w14:textId="77777777" w:rsidR="008273B8" w:rsidRDefault="008273B8">
            <w:pPr>
              <w:rPr>
                <w:noProof/>
              </w:rPr>
            </w:pPr>
          </w:p>
        </w:tc>
        <w:tc>
          <w:tcPr>
            <w:tcW w:w="1134" w:type="dxa"/>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center"/>
          </w:tcPr>
          <w:p w14:paraId="7A539417" w14:textId="77777777" w:rsidR="008273B8" w:rsidRDefault="00B93063">
            <w:pPr>
              <w:pStyle w:val="P68B1DB1-Normal15"/>
              <w:jc w:val="center"/>
              <w:rPr>
                <w:rFonts w:eastAsiaTheme="minorEastAsia"/>
                <w:noProof/>
              </w:rPr>
            </w:pPr>
            <w:r>
              <w:rPr>
                <w:noProof/>
              </w:rPr>
              <w:t>Jedinica mjere</w:t>
            </w:r>
          </w:p>
        </w:tc>
        <w:tc>
          <w:tcPr>
            <w:tcW w:w="850" w:type="dxa"/>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center"/>
          </w:tcPr>
          <w:p w14:paraId="7A539418" w14:textId="77777777" w:rsidR="008273B8" w:rsidRDefault="00B93063">
            <w:pPr>
              <w:pStyle w:val="P68B1DB1-Normal15"/>
              <w:jc w:val="center"/>
              <w:rPr>
                <w:rFonts w:eastAsiaTheme="minorEastAsia"/>
                <w:noProof/>
              </w:rPr>
            </w:pPr>
            <w:r>
              <w:rPr>
                <w:noProof/>
              </w:rPr>
              <w:t xml:space="preserve">Polazna vrijednost </w:t>
            </w:r>
          </w:p>
        </w:tc>
        <w:tc>
          <w:tcPr>
            <w:tcW w:w="973" w:type="dxa"/>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center"/>
          </w:tcPr>
          <w:p w14:paraId="7A539419" w14:textId="77777777" w:rsidR="008273B8" w:rsidRDefault="00B93063">
            <w:pPr>
              <w:pStyle w:val="P68B1DB1-Normal15"/>
              <w:jc w:val="center"/>
              <w:rPr>
                <w:rFonts w:eastAsiaTheme="minorEastAsia"/>
                <w:noProof/>
              </w:rPr>
            </w:pPr>
            <w:r>
              <w:rPr>
                <w:noProof/>
              </w:rPr>
              <w:t xml:space="preserve">Cilj </w:t>
            </w:r>
          </w:p>
        </w:tc>
        <w:tc>
          <w:tcPr>
            <w:tcW w:w="708" w:type="dxa"/>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center"/>
          </w:tcPr>
          <w:p w14:paraId="7A53941A" w14:textId="77777777" w:rsidR="008273B8" w:rsidRDefault="00B93063">
            <w:pPr>
              <w:pStyle w:val="P68B1DB1-Normal15"/>
              <w:jc w:val="center"/>
              <w:rPr>
                <w:rFonts w:eastAsiaTheme="minorEastAsia"/>
                <w:noProof/>
              </w:rPr>
            </w:pPr>
            <w:r>
              <w:rPr>
                <w:noProof/>
              </w:rPr>
              <w:t>Tromjesečja</w:t>
            </w:r>
          </w:p>
        </w:tc>
        <w:tc>
          <w:tcPr>
            <w:tcW w:w="567" w:type="dxa"/>
            <w:tcBorders>
              <w:top w:val="single" w:sz="4" w:space="0" w:color="auto"/>
              <w:left w:val="single" w:sz="4" w:space="0" w:color="auto"/>
              <w:bottom w:val="single" w:sz="4" w:space="0" w:color="auto"/>
              <w:right w:val="single" w:sz="4" w:space="0" w:color="auto"/>
            </w:tcBorders>
            <w:shd w:val="clear" w:color="auto" w:fill="BDD7EE"/>
            <w:tcMar>
              <w:top w:w="15" w:type="dxa"/>
              <w:left w:w="15" w:type="dxa"/>
              <w:right w:w="15" w:type="dxa"/>
            </w:tcMar>
            <w:vAlign w:val="center"/>
          </w:tcPr>
          <w:p w14:paraId="7A53941B" w14:textId="77777777" w:rsidR="008273B8" w:rsidRDefault="00B93063">
            <w:pPr>
              <w:pStyle w:val="P68B1DB1-Normal15"/>
              <w:jc w:val="center"/>
              <w:rPr>
                <w:rFonts w:eastAsiaTheme="minorEastAsia"/>
                <w:noProof/>
              </w:rPr>
            </w:pPr>
            <w:r>
              <w:rPr>
                <w:noProof/>
              </w:rPr>
              <w:t>Godina</w:t>
            </w:r>
          </w:p>
        </w:tc>
        <w:tc>
          <w:tcPr>
            <w:tcW w:w="5123" w:type="dxa"/>
            <w:vMerge/>
            <w:tcBorders>
              <w:top w:val="single" w:sz="4" w:space="0" w:color="auto"/>
              <w:left w:val="single" w:sz="4" w:space="0" w:color="auto"/>
              <w:bottom w:val="single" w:sz="4" w:space="0" w:color="auto"/>
              <w:right w:val="single" w:sz="4" w:space="0" w:color="auto"/>
            </w:tcBorders>
            <w:vAlign w:val="center"/>
          </w:tcPr>
          <w:p w14:paraId="7A53941C" w14:textId="77777777" w:rsidR="008273B8" w:rsidRDefault="008273B8">
            <w:pPr>
              <w:rPr>
                <w:noProof/>
              </w:rPr>
            </w:pPr>
          </w:p>
        </w:tc>
      </w:tr>
      <w:tr w:rsidR="008273B8" w14:paraId="7A539429" w14:textId="77777777">
        <w:tc>
          <w:tcPr>
            <w:tcW w:w="1135"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1E" w14:textId="77777777" w:rsidR="008273B8" w:rsidRDefault="00B93063">
            <w:pPr>
              <w:pStyle w:val="P68B1DB1-Normal7"/>
              <w:spacing w:after="0" w:line="240" w:lineRule="auto"/>
              <w:ind w:left="131"/>
              <w:rPr>
                <w:rFonts w:eastAsia="Times New Roman" w:cs="Calibri"/>
                <w:noProof/>
              </w:rPr>
            </w:pPr>
            <w:r>
              <w:rPr>
                <w:noProof/>
              </w:rPr>
              <w:t>7.1</w:t>
            </w:r>
          </w:p>
        </w:tc>
        <w:tc>
          <w:tcPr>
            <w:tcW w:w="1134"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1F" w14:textId="77777777" w:rsidR="008273B8" w:rsidRDefault="00B93063">
            <w:pPr>
              <w:pStyle w:val="P68B1DB1-Normal7"/>
              <w:spacing w:after="0" w:line="240" w:lineRule="auto"/>
              <w:ind w:left="126"/>
              <w:rPr>
                <w:rFonts w:eastAsia="Times New Roman" w:cs="Calibri"/>
                <w:noProof/>
              </w:rPr>
            </w:pPr>
            <w:r>
              <w:rPr>
                <w:noProof/>
              </w:rPr>
              <w:t>C7.R1</w:t>
            </w:r>
          </w:p>
        </w:tc>
        <w:tc>
          <w:tcPr>
            <w:tcW w:w="992"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20" w14:textId="77777777" w:rsidR="008273B8" w:rsidRDefault="00B93063">
            <w:pPr>
              <w:pStyle w:val="P68B1DB1-Normal7"/>
              <w:spacing w:after="0" w:line="240" w:lineRule="auto"/>
              <w:ind w:left="131"/>
              <w:rPr>
                <w:rFonts w:eastAsia="Times New Roman" w:cs="Calibri"/>
                <w:noProof/>
              </w:rPr>
            </w:pPr>
            <w:r>
              <w:rPr>
                <w:noProof/>
              </w:rPr>
              <w:t>Ključna etapa</w:t>
            </w:r>
          </w:p>
        </w:tc>
        <w:tc>
          <w:tcPr>
            <w:tcW w:w="1559"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21" w14:textId="77777777" w:rsidR="008273B8" w:rsidRDefault="00B93063">
            <w:pPr>
              <w:pStyle w:val="P68B1DB1-Normal7"/>
              <w:spacing w:after="0" w:line="240" w:lineRule="auto"/>
              <w:ind w:left="121"/>
              <w:rPr>
                <w:rFonts w:eastAsia="Times New Roman" w:cs="Calibri"/>
                <w:noProof/>
              </w:rPr>
            </w:pPr>
            <w:r>
              <w:rPr>
                <w:noProof/>
              </w:rPr>
              <w:t>Stupanje na snagu zakonodavstva kojim se propisuje ugradnja solarnih ploča na određene nove zgrade</w:t>
            </w:r>
          </w:p>
        </w:tc>
        <w:tc>
          <w:tcPr>
            <w:tcW w:w="1985"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22" w14:textId="54B1DA30" w:rsidR="008273B8" w:rsidRDefault="00B93063">
            <w:pPr>
              <w:pStyle w:val="P68B1DB1-Normal7"/>
              <w:spacing w:after="0" w:line="240" w:lineRule="auto"/>
              <w:ind w:left="124"/>
              <w:rPr>
                <w:rFonts w:eastAsia="Times New Roman" w:cs="Calibri"/>
                <w:noProof/>
              </w:rPr>
            </w:pPr>
            <w:r>
              <w:rPr>
                <w:noProof/>
              </w:rPr>
              <w:t>Odredba zakona o stupanju na snagu zakonodavstva kojim se propisuje ugradnja solarnih ploča na određenim novim zgradama</w:t>
            </w:r>
          </w:p>
        </w:tc>
        <w:tc>
          <w:tcPr>
            <w:tcW w:w="1134"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23" w14:textId="77777777" w:rsidR="008273B8" w:rsidRDefault="008273B8">
            <w:pPr>
              <w:spacing w:after="0" w:line="240" w:lineRule="auto"/>
              <w:jc w:val="center"/>
              <w:rPr>
                <w:rFonts w:ascii="Calibri" w:eastAsia="Times New Roman" w:hAnsi="Calibri" w:cs="Calibri"/>
                <w:noProof/>
                <w:sz w:val="18"/>
              </w:rPr>
            </w:pPr>
          </w:p>
        </w:tc>
        <w:tc>
          <w:tcPr>
            <w:tcW w:w="850"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24" w14:textId="77777777" w:rsidR="008273B8" w:rsidRDefault="008273B8">
            <w:pPr>
              <w:spacing w:after="0" w:line="240" w:lineRule="auto"/>
              <w:jc w:val="center"/>
              <w:rPr>
                <w:rFonts w:ascii="Calibri" w:eastAsia="Times New Roman" w:hAnsi="Calibri" w:cs="Calibri"/>
                <w:noProof/>
                <w:sz w:val="18"/>
              </w:rPr>
            </w:pPr>
          </w:p>
        </w:tc>
        <w:tc>
          <w:tcPr>
            <w:tcW w:w="973"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25" w14:textId="77777777" w:rsidR="008273B8" w:rsidRDefault="008273B8">
            <w:pPr>
              <w:spacing w:after="0" w:line="240" w:lineRule="auto"/>
              <w:jc w:val="center"/>
              <w:rPr>
                <w:rFonts w:ascii="Calibri" w:eastAsia="Times New Roman" w:hAnsi="Calibri" w:cs="Calibri"/>
                <w:noProof/>
                <w:sz w:val="18"/>
              </w:rPr>
            </w:pPr>
          </w:p>
        </w:tc>
        <w:tc>
          <w:tcPr>
            <w:tcW w:w="708"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26" w14:textId="77777777" w:rsidR="008273B8" w:rsidRDefault="00B93063">
            <w:pPr>
              <w:pStyle w:val="P68B1DB1-Normal7"/>
              <w:spacing w:after="0" w:line="240" w:lineRule="auto"/>
              <w:jc w:val="center"/>
              <w:rPr>
                <w:rFonts w:eastAsia="Times New Roman" w:cs="Calibri"/>
                <w:noProof/>
              </w:rPr>
            </w:pPr>
            <w:r>
              <w:rPr>
                <w:noProof/>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27" w14:textId="77777777" w:rsidR="008273B8" w:rsidRDefault="00B93063">
            <w:pPr>
              <w:pStyle w:val="P68B1DB1-Normal7"/>
              <w:spacing w:after="0" w:line="240" w:lineRule="auto"/>
              <w:jc w:val="center"/>
              <w:rPr>
                <w:rFonts w:eastAsia="Times New Roman" w:cs="Calibri"/>
                <w:noProof/>
              </w:rPr>
            </w:pPr>
            <w:r>
              <w:rPr>
                <w:noProof/>
              </w:rPr>
              <w:t>2024</w:t>
            </w:r>
          </w:p>
        </w:tc>
        <w:tc>
          <w:tcPr>
            <w:tcW w:w="5123"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28" w14:textId="07240EFE" w:rsidR="008273B8" w:rsidRDefault="00B93063">
            <w:pPr>
              <w:pStyle w:val="P68B1DB1-Normal7"/>
              <w:spacing w:after="0" w:line="240" w:lineRule="auto"/>
              <w:ind w:left="125"/>
              <w:rPr>
                <w:rFonts w:eastAsia="Times New Roman" w:cs="Calibri"/>
                <w:noProof/>
              </w:rPr>
            </w:pPr>
            <w:r>
              <w:rPr>
                <w:noProof/>
              </w:rPr>
              <w:t xml:space="preserve">Okvir za izdavanje dozvola preispitan je te su stupile na snagu zakonodavstvo i smjernice za planiranje kojima se obvezuje postavljanje solarnih ploča na nove stambene i nestambene zgrade koje dosežu svoju najveću dopuštenu visinu utvrđenu u lokalnim planovima </w:t>
            </w:r>
            <w:bookmarkStart w:id="2" w:name="_Hlk136840142"/>
            <w:r>
              <w:rPr>
                <w:noProof/>
              </w:rPr>
              <w:t xml:space="preserve">i politici, smjernicama i standardima projektiranja kontrole razvoja </w:t>
            </w:r>
            <w:bookmarkEnd w:id="2"/>
            <w:r>
              <w:rPr>
                <w:noProof/>
              </w:rPr>
              <w:t>(Prilog 2.) koje je odobrilo tijelo za planiranje (osim zgrada u područjima očuvanja urbanističkih područja i planiranih zgrada).</w:t>
            </w:r>
          </w:p>
        </w:tc>
      </w:tr>
      <w:tr w:rsidR="008273B8" w14:paraId="7A539435" w14:textId="77777777">
        <w:tc>
          <w:tcPr>
            <w:tcW w:w="1135"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2A" w14:textId="77777777" w:rsidR="008273B8" w:rsidRDefault="00B93063">
            <w:pPr>
              <w:pStyle w:val="P68B1DB1-Normal7"/>
              <w:spacing w:after="0" w:line="240" w:lineRule="auto"/>
              <w:ind w:left="131"/>
              <w:rPr>
                <w:rFonts w:eastAsia="Times New Roman" w:cs="Calibri"/>
                <w:noProof/>
              </w:rPr>
            </w:pPr>
            <w:r>
              <w:rPr>
                <w:noProof/>
              </w:rPr>
              <w:t>7.2</w:t>
            </w:r>
          </w:p>
        </w:tc>
        <w:tc>
          <w:tcPr>
            <w:tcW w:w="1134"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2B" w14:textId="77777777" w:rsidR="008273B8" w:rsidRDefault="00B93063">
            <w:pPr>
              <w:pStyle w:val="P68B1DB1-Normal7"/>
              <w:spacing w:after="0" w:line="240" w:lineRule="auto"/>
              <w:ind w:left="126"/>
              <w:rPr>
                <w:rFonts w:eastAsia="Times New Roman" w:cs="Calibri"/>
                <w:noProof/>
              </w:rPr>
            </w:pPr>
            <w:r>
              <w:rPr>
                <w:noProof/>
              </w:rPr>
              <w:t xml:space="preserve">C7.R1 </w:t>
            </w:r>
          </w:p>
        </w:tc>
        <w:tc>
          <w:tcPr>
            <w:tcW w:w="992"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2C" w14:textId="77777777" w:rsidR="008273B8" w:rsidRDefault="00B93063">
            <w:pPr>
              <w:pStyle w:val="P68B1DB1-Normal7"/>
              <w:spacing w:after="0" w:line="240" w:lineRule="auto"/>
              <w:ind w:left="131"/>
              <w:rPr>
                <w:rFonts w:eastAsia="Times New Roman" w:cs="Calibri"/>
                <w:noProof/>
              </w:rPr>
            </w:pPr>
            <w:r>
              <w:rPr>
                <w:noProof/>
              </w:rPr>
              <w:t>Ključna etapa</w:t>
            </w:r>
          </w:p>
        </w:tc>
        <w:tc>
          <w:tcPr>
            <w:tcW w:w="1559"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2D" w14:textId="49034F5E" w:rsidR="008273B8" w:rsidRDefault="00B93063">
            <w:pPr>
              <w:pStyle w:val="P68B1DB1-Normal7"/>
              <w:spacing w:after="0" w:line="240" w:lineRule="auto"/>
              <w:ind w:left="121"/>
              <w:rPr>
                <w:rFonts w:eastAsia="Times New Roman" w:cs="Calibri"/>
                <w:noProof/>
              </w:rPr>
            </w:pPr>
            <w:r>
              <w:rPr>
                <w:noProof/>
              </w:rPr>
              <w:t>Internetska objava skraćenih rokova za postupke podnošenja zahtjeva i izdavanja dozvola za postrojenja za proizvodnju energije iz obnovljivih izvora na staklenicima</w:t>
            </w:r>
          </w:p>
        </w:tc>
        <w:tc>
          <w:tcPr>
            <w:tcW w:w="1985"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2E" w14:textId="1F08AA42" w:rsidR="008273B8" w:rsidRDefault="00B93063">
            <w:pPr>
              <w:pStyle w:val="P68B1DB1-Normal7"/>
              <w:spacing w:after="0" w:line="240" w:lineRule="auto"/>
              <w:ind w:left="124"/>
              <w:rPr>
                <w:rFonts w:eastAsia="Times New Roman" w:cs="Calibri"/>
                <w:noProof/>
              </w:rPr>
            </w:pPr>
            <w:r>
              <w:rPr>
                <w:noProof/>
              </w:rPr>
              <w:t>Internetska objava skraćenih rokova za postupke podnošenja zahtjeva i izdavanja dozvola za postrojenja za proizvodnju energije iz obnovljivih izvora na staklenicima</w:t>
            </w:r>
          </w:p>
        </w:tc>
        <w:tc>
          <w:tcPr>
            <w:tcW w:w="1134"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2F" w14:textId="77777777" w:rsidR="008273B8" w:rsidRDefault="008273B8">
            <w:pPr>
              <w:spacing w:after="0" w:line="240" w:lineRule="auto"/>
              <w:jc w:val="center"/>
              <w:rPr>
                <w:rFonts w:ascii="Calibri" w:eastAsia="Times New Roman" w:hAnsi="Calibri" w:cs="Calibri"/>
                <w:noProof/>
                <w:sz w:val="18"/>
              </w:rPr>
            </w:pPr>
          </w:p>
        </w:tc>
        <w:tc>
          <w:tcPr>
            <w:tcW w:w="850"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30" w14:textId="77777777" w:rsidR="008273B8" w:rsidRDefault="008273B8">
            <w:pPr>
              <w:spacing w:after="0" w:line="240" w:lineRule="auto"/>
              <w:jc w:val="center"/>
              <w:rPr>
                <w:rFonts w:ascii="Calibri" w:eastAsia="Times New Roman" w:hAnsi="Calibri" w:cs="Calibri"/>
                <w:noProof/>
                <w:sz w:val="18"/>
              </w:rPr>
            </w:pPr>
          </w:p>
        </w:tc>
        <w:tc>
          <w:tcPr>
            <w:tcW w:w="973"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31" w14:textId="77777777" w:rsidR="008273B8" w:rsidRDefault="008273B8">
            <w:pPr>
              <w:spacing w:after="0" w:line="240" w:lineRule="auto"/>
              <w:jc w:val="center"/>
              <w:rPr>
                <w:rFonts w:ascii="Calibri" w:eastAsia="Times New Roman" w:hAnsi="Calibri" w:cs="Calibri"/>
                <w:noProof/>
                <w:sz w:val="18"/>
              </w:rPr>
            </w:pPr>
          </w:p>
        </w:tc>
        <w:tc>
          <w:tcPr>
            <w:tcW w:w="708"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32" w14:textId="77777777" w:rsidR="008273B8" w:rsidRDefault="00B93063">
            <w:pPr>
              <w:pStyle w:val="P68B1DB1-Normal7"/>
              <w:spacing w:after="0" w:line="240" w:lineRule="auto"/>
              <w:jc w:val="center"/>
              <w:rPr>
                <w:rFonts w:eastAsia="Times New Roman" w:cs="Calibri"/>
                <w:noProof/>
              </w:rPr>
            </w:pPr>
            <w:r>
              <w:rPr>
                <w:noProof/>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33" w14:textId="77777777" w:rsidR="008273B8" w:rsidRDefault="00B93063">
            <w:pPr>
              <w:pStyle w:val="P68B1DB1-Normal7"/>
              <w:spacing w:after="0" w:line="240" w:lineRule="auto"/>
              <w:jc w:val="center"/>
              <w:rPr>
                <w:rFonts w:eastAsia="Times New Roman" w:cs="Calibri"/>
                <w:noProof/>
              </w:rPr>
            </w:pPr>
            <w:r>
              <w:rPr>
                <w:noProof/>
              </w:rPr>
              <w:t>2024</w:t>
            </w:r>
          </w:p>
        </w:tc>
        <w:tc>
          <w:tcPr>
            <w:tcW w:w="5123"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34" w14:textId="528FF754" w:rsidR="008273B8" w:rsidRDefault="00B93063">
            <w:pPr>
              <w:spacing w:after="0" w:line="240" w:lineRule="auto"/>
              <w:ind w:left="125"/>
              <w:rPr>
                <w:rFonts w:ascii="Calibri" w:eastAsia="Times New Roman" w:hAnsi="Calibri" w:cs="Calibri"/>
                <w:noProof/>
                <w:sz w:val="18"/>
              </w:rPr>
            </w:pPr>
            <w:r>
              <w:rPr>
                <w:rFonts w:ascii="Calibri" w:hAnsi="Calibri"/>
                <w:noProof/>
                <w:sz w:val="18"/>
              </w:rPr>
              <w:t xml:space="preserve">Obvezujući, skraćeni rokovi za postupke podnošenja zahtjeva i izdavanja dozvola za postrojenja za proizvodnju energije iz obnovljivih izvora na staklenicima objavljuju se na internetskim stranicama tijela za planiranje na temelju </w:t>
            </w:r>
            <w:r>
              <w:rPr>
                <w:noProof/>
              </w:rPr>
              <w:t xml:space="preserve"> </w:t>
            </w:r>
            <w:r>
              <w:rPr>
                <w:rFonts w:ascii="Calibri" w:hAnsi="Calibri"/>
                <w:noProof/>
                <w:sz w:val="18"/>
              </w:rPr>
              <w:t>procjene koju provodi stručna skupina, uključujući predstavnike svih subjekata uključenih u postupak izdavanja dozvola, procjenu učinkovitosti postojećih postupaka i predlaganje preporuka za reformu.</w:t>
            </w:r>
          </w:p>
        </w:tc>
      </w:tr>
      <w:tr w:rsidR="008273B8" w14:paraId="7A539441" w14:textId="77777777">
        <w:tc>
          <w:tcPr>
            <w:tcW w:w="1135"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36" w14:textId="77777777" w:rsidR="008273B8" w:rsidRDefault="00B93063">
            <w:pPr>
              <w:pStyle w:val="P68B1DB1-Normal7"/>
              <w:spacing w:after="0" w:line="240" w:lineRule="auto"/>
              <w:ind w:left="131"/>
              <w:rPr>
                <w:rFonts w:eastAsia="Times New Roman" w:cs="Calibri"/>
                <w:noProof/>
              </w:rPr>
            </w:pPr>
            <w:r>
              <w:rPr>
                <w:noProof/>
              </w:rPr>
              <w:t>7.3</w:t>
            </w:r>
          </w:p>
        </w:tc>
        <w:tc>
          <w:tcPr>
            <w:tcW w:w="1134"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37" w14:textId="77777777" w:rsidR="008273B8" w:rsidRDefault="00B93063">
            <w:pPr>
              <w:pStyle w:val="P68B1DB1-Normal7"/>
              <w:spacing w:after="0" w:line="240" w:lineRule="auto"/>
              <w:ind w:left="126"/>
              <w:rPr>
                <w:rFonts w:eastAsia="Times New Roman" w:cs="Calibri"/>
                <w:noProof/>
              </w:rPr>
            </w:pPr>
            <w:r>
              <w:rPr>
                <w:noProof/>
              </w:rPr>
              <w:t xml:space="preserve">C7.R1 </w:t>
            </w:r>
          </w:p>
        </w:tc>
        <w:tc>
          <w:tcPr>
            <w:tcW w:w="992"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38" w14:textId="77777777" w:rsidR="008273B8" w:rsidRDefault="00B93063">
            <w:pPr>
              <w:pStyle w:val="P68B1DB1-Normal7"/>
              <w:spacing w:after="0" w:line="240" w:lineRule="auto"/>
              <w:ind w:left="131"/>
              <w:rPr>
                <w:rFonts w:eastAsia="Times New Roman" w:cs="Calibri"/>
                <w:noProof/>
              </w:rPr>
            </w:pPr>
            <w:r>
              <w:rPr>
                <w:noProof/>
              </w:rPr>
              <w:t>Ključna etapa</w:t>
            </w:r>
          </w:p>
        </w:tc>
        <w:tc>
          <w:tcPr>
            <w:tcW w:w="1559"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39" w14:textId="77777777" w:rsidR="008273B8" w:rsidRDefault="00B93063">
            <w:pPr>
              <w:pStyle w:val="P68B1DB1-Normal7"/>
              <w:spacing w:after="0" w:line="240" w:lineRule="auto"/>
              <w:ind w:left="121"/>
              <w:rPr>
                <w:rFonts w:eastAsia="Times New Roman" w:cs="Calibri"/>
                <w:noProof/>
              </w:rPr>
            </w:pPr>
            <w:r>
              <w:rPr>
                <w:noProof/>
              </w:rPr>
              <w:t>Internetska objava skraćenih rokova za podnošenje zahtjeva i postupke izdavanja dozvola za projekte u području energije iz obnovljivih izvora</w:t>
            </w:r>
          </w:p>
        </w:tc>
        <w:tc>
          <w:tcPr>
            <w:tcW w:w="1985"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3A" w14:textId="77777777" w:rsidR="008273B8" w:rsidRDefault="00B93063">
            <w:pPr>
              <w:pStyle w:val="P68B1DB1-Normal7"/>
              <w:spacing w:after="0" w:line="240" w:lineRule="auto"/>
              <w:ind w:left="124"/>
              <w:rPr>
                <w:rFonts w:eastAsia="Times New Roman" w:cs="Calibri"/>
                <w:noProof/>
              </w:rPr>
            </w:pPr>
            <w:r>
              <w:rPr>
                <w:noProof/>
              </w:rPr>
              <w:t>Internetska objava skraćenih rokova za podnošenje zahtjeva i postupke izdavanja dozvola za projekte u području energije iz obnovljivih izvora</w:t>
            </w:r>
          </w:p>
        </w:tc>
        <w:tc>
          <w:tcPr>
            <w:tcW w:w="1134"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3B" w14:textId="77777777" w:rsidR="008273B8" w:rsidRDefault="008273B8">
            <w:pPr>
              <w:spacing w:after="0" w:line="240" w:lineRule="auto"/>
              <w:jc w:val="center"/>
              <w:rPr>
                <w:rFonts w:ascii="Calibri" w:eastAsia="Times New Roman" w:hAnsi="Calibri" w:cs="Calibri"/>
                <w:noProof/>
                <w:sz w:val="18"/>
              </w:rPr>
            </w:pPr>
          </w:p>
        </w:tc>
        <w:tc>
          <w:tcPr>
            <w:tcW w:w="850"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3C" w14:textId="77777777" w:rsidR="008273B8" w:rsidRDefault="008273B8">
            <w:pPr>
              <w:spacing w:after="0" w:line="240" w:lineRule="auto"/>
              <w:jc w:val="center"/>
              <w:rPr>
                <w:rFonts w:ascii="Calibri" w:eastAsia="Times New Roman" w:hAnsi="Calibri" w:cs="Calibri"/>
                <w:noProof/>
                <w:sz w:val="18"/>
              </w:rPr>
            </w:pPr>
          </w:p>
        </w:tc>
        <w:tc>
          <w:tcPr>
            <w:tcW w:w="973"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3D" w14:textId="77777777" w:rsidR="008273B8" w:rsidRDefault="008273B8">
            <w:pPr>
              <w:spacing w:after="0" w:line="240" w:lineRule="auto"/>
              <w:jc w:val="center"/>
              <w:rPr>
                <w:rFonts w:ascii="Calibri" w:eastAsia="Times New Roman" w:hAnsi="Calibri" w:cs="Calibri"/>
                <w:noProof/>
                <w:sz w:val="18"/>
              </w:rPr>
            </w:pPr>
          </w:p>
        </w:tc>
        <w:tc>
          <w:tcPr>
            <w:tcW w:w="708"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3E"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567"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3F" w14:textId="77777777" w:rsidR="008273B8" w:rsidRDefault="00B93063">
            <w:pPr>
              <w:pStyle w:val="P68B1DB1-Normal7"/>
              <w:spacing w:after="0" w:line="240" w:lineRule="auto"/>
              <w:jc w:val="center"/>
              <w:rPr>
                <w:rFonts w:eastAsia="Times New Roman" w:cs="Calibri"/>
                <w:noProof/>
              </w:rPr>
            </w:pPr>
            <w:r>
              <w:rPr>
                <w:noProof/>
              </w:rPr>
              <w:t>2024</w:t>
            </w:r>
          </w:p>
        </w:tc>
        <w:tc>
          <w:tcPr>
            <w:tcW w:w="5123"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40" w14:textId="7810226F" w:rsidR="008273B8" w:rsidRDefault="00B93063">
            <w:pPr>
              <w:pStyle w:val="P68B1DB1-Normal7"/>
              <w:spacing w:after="0" w:line="240" w:lineRule="auto"/>
              <w:ind w:left="125"/>
              <w:rPr>
                <w:rFonts w:eastAsia="Times New Roman" w:cs="Calibri"/>
                <w:noProof/>
              </w:rPr>
            </w:pPr>
            <w:r>
              <w:rPr>
                <w:noProof/>
              </w:rPr>
              <w:t>Obvezujući, skraćeni rokovi za postupke podnošenja zahtjeva i izdavanja dozvola za projekte u području energije iz obnovljivih izvora stupili su na snagu i objavljeni na internetskim stranicama tijela za planiranje na temelju procjene koju je provela stručna skupina, uključujući predstavnike svih subjekata uključenih u postupak izdavanja dozvola, procjenu učinkovitosti postojećih postupaka i predlaganje preporuka za reformu.</w:t>
            </w:r>
          </w:p>
        </w:tc>
      </w:tr>
      <w:tr w:rsidR="008273B8" w14:paraId="7A53944D" w14:textId="77777777">
        <w:trPr>
          <w:cantSplit/>
        </w:trPr>
        <w:tc>
          <w:tcPr>
            <w:tcW w:w="1135"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42" w14:textId="77777777" w:rsidR="008273B8" w:rsidRDefault="00B93063">
            <w:pPr>
              <w:pStyle w:val="P68B1DB1-Normal7"/>
              <w:spacing w:after="0" w:line="240" w:lineRule="auto"/>
              <w:ind w:left="131"/>
              <w:rPr>
                <w:rFonts w:eastAsia="Times New Roman" w:cs="Calibri"/>
                <w:noProof/>
              </w:rPr>
            </w:pPr>
            <w:r>
              <w:rPr>
                <w:noProof/>
              </w:rPr>
              <w:t>7.4</w:t>
            </w:r>
          </w:p>
        </w:tc>
        <w:tc>
          <w:tcPr>
            <w:tcW w:w="1134"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43" w14:textId="77777777" w:rsidR="008273B8" w:rsidRDefault="00B93063">
            <w:pPr>
              <w:pStyle w:val="P68B1DB1-Normal7"/>
              <w:spacing w:after="0" w:line="240" w:lineRule="auto"/>
              <w:ind w:left="126"/>
              <w:rPr>
                <w:rFonts w:eastAsia="Times New Roman" w:cs="Calibri"/>
                <w:noProof/>
              </w:rPr>
            </w:pPr>
            <w:r>
              <w:rPr>
                <w:noProof/>
              </w:rPr>
              <w:t>C7.I1</w:t>
            </w:r>
          </w:p>
        </w:tc>
        <w:tc>
          <w:tcPr>
            <w:tcW w:w="992"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44" w14:textId="77777777" w:rsidR="008273B8" w:rsidRDefault="00B93063">
            <w:pPr>
              <w:pStyle w:val="P68B1DB1-Normal7"/>
              <w:spacing w:after="0" w:line="240" w:lineRule="auto"/>
              <w:ind w:left="131"/>
              <w:rPr>
                <w:rFonts w:eastAsia="Times New Roman" w:cs="Calibri"/>
                <w:noProof/>
              </w:rPr>
            </w:pPr>
            <w:r>
              <w:rPr>
                <w:noProof/>
              </w:rPr>
              <w:t>Ključna etapa</w:t>
            </w:r>
          </w:p>
        </w:tc>
        <w:tc>
          <w:tcPr>
            <w:tcW w:w="1559"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45" w14:textId="3987E9B6" w:rsidR="008273B8" w:rsidRDefault="00B93063">
            <w:pPr>
              <w:pStyle w:val="P68B1DB1-Normal7"/>
              <w:spacing w:after="0" w:line="240" w:lineRule="auto"/>
              <w:ind w:left="121"/>
              <w:rPr>
                <w:rFonts w:eastAsia="Times New Roman" w:cs="Calibri"/>
                <w:noProof/>
              </w:rPr>
            </w:pPr>
            <w:r>
              <w:rPr>
                <w:noProof/>
              </w:rPr>
              <w:t>Potpisivanje ugovora za a) nabavu radova/usluga za jačanje i širenje mreže za distribuciju električne energije ulaganjem u mrežu, usluge distribucije i b) projektiranje baterijskog skladištenja</w:t>
            </w:r>
          </w:p>
        </w:tc>
        <w:tc>
          <w:tcPr>
            <w:tcW w:w="1985"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46" w14:textId="3B6554FE" w:rsidR="008273B8" w:rsidRDefault="00B93063">
            <w:pPr>
              <w:pStyle w:val="P68B1DB1-Normal7"/>
              <w:spacing w:after="0" w:line="240" w:lineRule="auto"/>
              <w:ind w:left="124"/>
              <w:rPr>
                <w:rFonts w:eastAsia="Times New Roman" w:cs="Calibri"/>
                <w:noProof/>
              </w:rPr>
            </w:pPr>
            <w:r>
              <w:rPr>
                <w:noProof/>
              </w:rPr>
              <w:t>Potpisivanje ugovora za a) nabavu radova/usluga za jačanje i širenje mreže za distribuciju električne energije ulaganjem u mrežu, usluge distribucije i b) projektiranje baterijskog postrojenja za skladištenje od najmanje 10 MWh</w:t>
            </w:r>
          </w:p>
        </w:tc>
        <w:tc>
          <w:tcPr>
            <w:tcW w:w="1134"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47" w14:textId="77777777" w:rsidR="008273B8" w:rsidRDefault="008273B8">
            <w:pPr>
              <w:spacing w:after="0" w:line="240" w:lineRule="auto"/>
              <w:jc w:val="center"/>
              <w:rPr>
                <w:rFonts w:ascii="Calibri" w:eastAsia="Times New Roman" w:hAnsi="Calibri" w:cs="Calibri"/>
                <w:noProof/>
                <w:sz w:val="18"/>
              </w:rPr>
            </w:pPr>
          </w:p>
        </w:tc>
        <w:tc>
          <w:tcPr>
            <w:tcW w:w="850"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48" w14:textId="77777777" w:rsidR="008273B8" w:rsidRDefault="008273B8">
            <w:pPr>
              <w:spacing w:after="0" w:line="240" w:lineRule="auto"/>
              <w:jc w:val="center"/>
              <w:rPr>
                <w:rFonts w:ascii="Calibri" w:eastAsia="Times New Roman" w:hAnsi="Calibri" w:cs="Calibri"/>
                <w:noProof/>
                <w:sz w:val="18"/>
              </w:rPr>
            </w:pPr>
          </w:p>
        </w:tc>
        <w:tc>
          <w:tcPr>
            <w:tcW w:w="973"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49" w14:textId="77777777" w:rsidR="008273B8" w:rsidRDefault="008273B8">
            <w:pPr>
              <w:spacing w:after="0" w:line="240" w:lineRule="auto"/>
              <w:jc w:val="center"/>
              <w:rPr>
                <w:rFonts w:ascii="Calibri" w:eastAsia="Times New Roman" w:hAnsi="Calibri" w:cs="Calibri"/>
                <w:noProof/>
                <w:sz w:val="18"/>
              </w:rPr>
            </w:pPr>
          </w:p>
        </w:tc>
        <w:tc>
          <w:tcPr>
            <w:tcW w:w="708"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4A" w14:textId="77777777" w:rsidR="008273B8" w:rsidRDefault="00B93063">
            <w:pPr>
              <w:pStyle w:val="P68B1DB1-Normal7"/>
              <w:spacing w:after="0" w:line="240" w:lineRule="auto"/>
              <w:jc w:val="center"/>
              <w:rPr>
                <w:rFonts w:eastAsia="Times New Roman" w:cs="Calibri"/>
                <w:noProof/>
              </w:rPr>
            </w:pPr>
            <w:r>
              <w:rPr>
                <w:noProof/>
              </w:rPr>
              <w:t>ČETVRTO TROMJESEČJE</w:t>
            </w:r>
          </w:p>
        </w:tc>
        <w:tc>
          <w:tcPr>
            <w:tcW w:w="567"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4B" w14:textId="77777777" w:rsidR="008273B8" w:rsidRDefault="00B93063">
            <w:pPr>
              <w:pStyle w:val="P68B1DB1-Normal7"/>
              <w:spacing w:after="0" w:line="240" w:lineRule="auto"/>
              <w:jc w:val="center"/>
              <w:rPr>
                <w:rFonts w:eastAsia="Times New Roman" w:cs="Calibri"/>
                <w:noProof/>
              </w:rPr>
            </w:pPr>
            <w:r>
              <w:rPr>
                <w:noProof/>
              </w:rPr>
              <w:t>2024</w:t>
            </w:r>
          </w:p>
        </w:tc>
        <w:tc>
          <w:tcPr>
            <w:tcW w:w="5123"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52E36E22" w14:textId="77777777" w:rsidR="008273B8" w:rsidRDefault="00B93063">
            <w:pPr>
              <w:pStyle w:val="P68B1DB1-Normal7"/>
              <w:spacing w:after="0" w:line="240" w:lineRule="auto"/>
              <w:ind w:left="125"/>
              <w:rPr>
                <w:rFonts w:eastAsia="Times New Roman" w:cs="Calibri"/>
                <w:noProof/>
              </w:rPr>
            </w:pPr>
            <w:r>
              <w:rPr>
                <w:noProof/>
              </w:rPr>
              <w:t>Ugovori potpisani za:</w:t>
            </w:r>
          </w:p>
          <w:p w14:paraId="7A9CEEC0" w14:textId="71802818" w:rsidR="008273B8" w:rsidRDefault="00B93063">
            <w:pPr>
              <w:pStyle w:val="P68B1DB1-ListParagraph10"/>
              <w:numPr>
                <w:ilvl w:val="0"/>
                <w:numId w:val="47"/>
              </w:numPr>
              <w:spacing w:after="0" w:line="240" w:lineRule="auto"/>
              <w:rPr>
                <w:rFonts w:eastAsia="Times New Roman" w:cs="Calibri"/>
                <w:noProof/>
              </w:rPr>
            </w:pPr>
            <w:r>
              <w:rPr>
                <w:noProof/>
              </w:rPr>
              <w:t xml:space="preserve">izgradnja sljedećih objekata: 1) novi priključni vod od 132 kV između Maghtaba i Mosta, u pripremi za drugi spojni vod sa Sicilijom (Italija); 2) nova primarna podstanica 33 kV/11kV u Naxxaru; 3) nova primarna podstanica 33 kV/11kV u Siggiewiju; 4) nadogradnja postojećeg centra za distribuciju bolnice od 33 kV/11kV u Msidi; 5) nadogradnja postojećeg distribucijskog centra St.Andrewa u Pembrokeu; 15 novih podstanica 11 kV/415V i 15 km pojačanja; </w:t>
            </w:r>
          </w:p>
          <w:p w14:paraId="7A53944C" w14:textId="1D7EE94F" w:rsidR="008273B8" w:rsidRDefault="00B93063">
            <w:pPr>
              <w:pStyle w:val="P68B1DB1-ListParagraph10"/>
              <w:numPr>
                <w:ilvl w:val="0"/>
                <w:numId w:val="47"/>
              </w:numPr>
              <w:spacing w:after="0" w:line="240" w:lineRule="auto"/>
              <w:rPr>
                <w:rFonts w:eastAsia="Times New Roman" w:cs="Calibri"/>
                <w:noProof/>
              </w:rPr>
            </w:pPr>
            <w:r>
              <w:rPr>
                <w:noProof/>
              </w:rPr>
              <w:t>projektiranje postrojenja za skladištenje baterija od najmanje 10 MWh.</w:t>
            </w:r>
          </w:p>
        </w:tc>
      </w:tr>
      <w:tr w:rsidR="008273B8" w14:paraId="7A539459" w14:textId="77777777">
        <w:trPr>
          <w:cantSplit/>
        </w:trPr>
        <w:tc>
          <w:tcPr>
            <w:tcW w:w="1135"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4E" w14:textId="77777777" w:rsidR="008273B8" w:rsidRDefault="00B93063">
            <w:pPr>
              <w:pStyle w:val="P68B1DB1-Normal9"/>
              <w:spacing w:line="240" w:lineRule="auto"/>
              <w:ind w:left="131"/>
              <w:rPr>
                <w:rFonts w:eastAsiaTheme="minorEastAsia"/>
                <w:noProof/>
              </w:rPr>
            </w:pPr>
            <w:r>
              <w:rPr>
                <w:noProof/>
              </w:rPr>
              <w:t>7.5</w:t>
            </w:r>
          </w:p>
        </w:tc>
        <w:tc>
          <w:tcPr>
            <w:tcW w:w="1134"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4F" w14:textId="77777777" w:rsidR="008273B8" w:rsidRDefault="00B93063">
            <w:pPr>
              <w:pStyle w:val="P68B1DB1-Normal9"/>
              <w:spacing w:line="240" w:lineRule="auto"/>
              <w:ind w:left="126"/>
              <w:rPr>
                <w:rFonts w:eastAsiaTheme="minorEastAsia"/>
                <w:noProof/>
              </w:rPr>
            </w:pPr>
            <w:r>
              <w:rPr>
                <w:noProof/>
              </w:rPr>
              <w:t>C7.I1</w:t>
            </w:r>
          </w:p>
        </w:tc>
        <w:tc>
          <w:tcPr>
            <w:tcW w:w="992"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50" w14:textId="77777777" w:rsidR="008273B8" w:rsidRDefault="00B93063">
            <w:pPr>
              <w:pStyle w:val="P68B1DB1-Normal9"/>
              <w:spacing w:line="240" w:lineRule="auto"/>
              <w:ind w:left="131"/>
              <w:rPr>
                <w:rFonts w:eastAsiaTheme="minorEastAsia"/>
                <w:noProof/>
              </w:rPr>
            </w:pPr>
            <w:r>
              <w:rPr>
                <w:noProof/>
              </w:rPr>
              <w:t>Ciljna vrijednost</w:t>
            </w:r>
          </w:p>
        </w:tc>
        <w:tc>
          <w:tcPr>
            <w:tcW w:w="1559"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51" w14:textId="0A2D52D8" w:rsidR="008273B8" w:rsidRDefault="00B93063">
            <w:pPr>
              <w:pStyle w:val="P68B1DB1-Normal9"/>
              <w:spacing w:line="240" w:lineRule="auto"/>
              <w:ind w:left="121"/>
              <w:rPr>
                <w:rFonts w:eastAsiaTheme="minorEastAsia"/>
                <w:noProof/>
              </w:rPr>
            </w:pPr>
            <w:r>
              <w:rPr>
                <w:noProof/>
              </w:rPr>
              <w:t>Rashodi nastali u vezi s a) radovima/uslugama za jačanje i širenje mreže za distribuciju električne energije i b) opremom za baterijsko skladištenje</w:t>
            </w:r>
          </w:p>
        </w:tc>
        <w:tc>
          <w:tcPr>
            <w:tcW w:w="1985"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52" w14:textId="77777777" w:rsidR="008273B8" w:rsidRDefault="008273B8">
            <w:pPr>
              <w:spacing w:line="240" w:lineRule="auto"/>
              <w:ind w:left="124"/>
              <w:rPr>
                <w:rFonts w:eastAsiaTheme="minorEastAsia"/>
                <w:noProof/>
                <w:sz w:val="18"/>
              </w:rPr>
            </w:pPr>
          </w:p>
        </w:tc>
        <w:tc>
          <w:tcPr>
            <w:tcW w:w="1134"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53" w14:textId="77777777" w:rsidR="008273B8" w:rsidRDefault="00B93063">
            <w:pPr>
              <w:pStyle w:val="P68B1DB1-Normal9"/>
              <w:spacing w:line="240" w:lineRule="auto"/>
              <w:jc w:val="center"/>
              <w:rPr>
                <w:rFonts w:eastAsiaTheme="minorEastAsia"/>
                <w:noProof/>
              </w:rPr>
            </w:pPr>
            <w:r>
              <w:rPr>
                <w:noProof/>
              </w:rPr>
              <w:t>EUR</w:t>
            </w:r>
          </w:p>
        </w:tc>
        <w:tc>
          <w:tcPr>
            <w:tcW w:w="850"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54" w14:textId="77777777" w:rsidR="008273B8" w:rsidRDefault="00B93063">
            <w:pPr>
              <w:pStyle w:val="P68B1DB1-Normal9"/>
              <w:spacing w:line="240" w:lineRule="auto"/>
              <w:jc w:val="center"/>
              <w:rPr>
                <w:rFonts w:eastAsiaTheme="minorEastAsia"/>
                <w:noProof/>
              </w:rPr>
            </w:pPr>
            <w:r>
              <w:rPr>
                <w:noProof/>
              </w:rPr>
              <w:t>0</w:t>
            </w:r>
          </w:p>
        </w:tc>
        <w:tc>
          <w:tcPr>
            <w:tcW w:w="973"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55" w14:textId="1301FA63" w:rsidR="008273B8" w:rsidRDefault="00B93063">
            <w:pPr>
              <w:pStyle w:val="P68B1DB1-Normal9"/>
              <w:spacing w:line="240" w:lineRule="auto"/>
              <w:jc w:val="center"/>
              <w:rPr>
                <w:rFonts w:eastAsiaTheme="minorEastAsia"/>
                <w:noProof/>
              </w:rPr>
            </w:pPr>
            <w:r>
              <w:rPr>
                <w:noProof/>
              </w:rPr>
              <w:t>19 000 000</w:t>
            </w:r>
          </w:p>
        </w:tc>
        <w:tc>
          <w:tcPr>
            <w:tcW w:w="708"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56" w14:textId="77777777" w:rsidR="008273B8" w:rsidRDefault="00B93063">
            <w:pPr>
              <w:pStyle w:val="P68B1DB1-Normal9"/>
              <w:spacing w:line="240" w:lineRule="auto"/>
              <w:jc w:val="center"/>
              <w:rPr>
                <w:rFonts w:eastAsiaTheme="minorEastAsia"/>
                <w:noProof/>
              </w:rPr>
            </w:pPr>
            <w:r>
              <w:rPr>
                <w:noProof/>
              </w:rPr>
              <w:t>TROMJESEČJE</w:t>
            </w:r>
          </w:p>
        </w:tc>
        <w:tc>
          <w:tcPr>
            <w:tcW w:w="567"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57" w14:textId="77777777" w:rsidR="008273B8" w:rsidRDefault="00B93063">
            <w:pPr>
              <w:pStyle w:val="P68B1DB1-Normal9"/>
              <w:spacing w:line="240" w:lineRule="auto"/>
              <w:jc w:val="center"/>
              <w:rPr>
                <w:rFonts w:eastAsiaTheme="minorEastAsia"/>
                <w:noProof/>
              </w:rPr>
            </w:pPr>
            <w:r>
              <w:rPr>
                <w:noProof/>
              </w:rPr>
              <w:t>2025</w:t>
            </w:r>
          </w:p>
        </w:tc>
        <w:tc>
          <w:tcPr>
            <w:tcW w:w="5123"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58" w14:textId="77777777" w:rsidR="008273B8" w:rsidRDefault="00B93063">
            <w:pPr>
              <w:pStyle w:val="P68B1DB1-Normal9"/>
              <w:spacing w:line="240" w:lineRule="auto"/>
              <w:ind w:left="125"/>
              <w:rPr>
                <w:rFonts w:eastAsiaTheme="minorEastAsia"/>
                <w:noProof/>
              </w:rPr>
            </w:pPr>
            <w:r>
              <w:rPr>
                <w:noProof/>
              </w:rPr>
              <w:t>Za ugovorne obveze povezane s instrumentima navedenima u ključnoj etapi 7.4. plaćeno je najmanje 19 000 000 EUR.</w:t>
            </w:r>
          </w:p>
        </w:tc>
      </w:tr>
      <w:tr w:rsidR="008273B8" w14:paraId="7A539465" w14:textId="77777777">
        <w:tc>
          <w:tcPr>
            <w:tcW w:w="1135"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5A" w14:textId="77777777" w:rsidR="008273B8" w:rsidRDefault="00B93063">
            <w:pPr>
              <w:pStyle w:val="P68B1DB1-Normal9"/>
              <w:spacing w:line="240" w:lineRule="auto"/>
              <w:ind w:left="131"/>
              <w:rPr>
                <w:rFonts w:eastAsiaTheme="minorEastAsia"/>
                <w:noProof/>
              </w:rPr>
            </w:pPr>
            <w:r>
              <w:rPr>
                <w:noProof/>
              </w:rPr>
              <w:t>7.6</w:t>
            </w:r>
          </w:p>
        </w:tc>
        <w:tc>
          <w:tcPr>
            <w:tcW w:w="1134"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5B" w14:textId="1015D28A" w:rsidR="008273B8" w:rsidRDefault="00B93063">
            <w:pPr>
              <w:pStyle w:val="P68B1DB1-Normal9"/>
              <w:spacing w:line="240" w:lineRule="auto"/>
              <w:ind w:left="126"/>
              <w:rPr>
                <w:rFonts w:eastAsiaTheme="minorEastAsia"/>
                <w:noProof/>
              </w:rPr>
            </w:pPr>
            <w:r>
              <w:rPr>
                <w:noProof/>
              </w:rPr>
              <w:t>C7.I1</w:t>
            </w:r>
          </w:p>
        </w:tc>
        <w:tc>
          <w:tcPr>
            <w:tcW w:w="992"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5C" w14:textId="77777777" w:rsidR="008273B8" w:rsidRDefault="00B93063">
            <w:pPr>
              <w:pStyle w:val="P68B1DB1-Normal9"/>
              <w:spacing w:line="240" w:lineRule="auto"/>
              <w:jc w:val="center"/>
              <w:rPr>
                <w:rFonts w:eastAsiaTheme="minorEastAsia"/>
                <w:noProof/>
              </w:rPr>
            </w:pPr>
            <w:r>
              <w:rPr>
                <w:noProof/>
              </w:rPr>
              <w:t>Ključna etapa</w:t>
            </w:r>
          </w:p>
        </w:tc>
        <w:tc>
          <w:tcPr>
            <w:tcW w:w="1559"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5D" w14:textId="77777777" w:rsidR="008273B8" w:rsidRDefault="00B93063">
            <w:pPr>
              <w:pStyle w:val="P68B1DB1-Normal9"/>
              <w:spacing w:line="240" w:lineRule="auto"/>
              <w:ind w:left="121"/>
              <w:rPr>
                <w:rFonts w:eastAsiaTheme="minorEastAsia"/>
                <w:noProof/>
              </w:rPr>
            </w:pPr>
            <w:r>
              <w:rPr>
                <w:noProof/>
              </w:rPr>
              <w:t>Početak rada postrojenja za jačanje i proširenje elektroenergetske distribucijske mreže</w:t>
            </w:r>
          </w:p>
        </w:tc>
        <w:tc>
          <w:tcPr>
            <w:tcW w:w="1985"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5E" w14:textId="77777777" w:rsidR="008273B8" w:rsidRDefault="00B93063">
            <w:pPr>
              <w:pStyle w:val="P68B1DB1-Normal9"/>
              <w:spacing w:line="240" w:lineRule="auto"/>
              <w:ind w:left="124"/>
              <w:rPr>
                <w:rFonts w:eastAsiaTheme="minorEastAsia"/>
                <w:noProof/>
              </w:rPr>
            </w:pPr>
            <w:r>
              <w:rPr>
                <w:noProof/>
              </w:rPr>
              <w:t>Početak rada postrojenja za jačanje i proširenje elektroenergetske distribucijske mreže</w:t>
            </w:r>
          </w:p>
        </w:tc>
        <w:tc>
          <w:tcPr>
            <w:tcW w:w="1134"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5F" w14:textId="77777777" w:rsidR="008273B8" w:rsidRDefault="008273B8">
            <w:pPr>
              <w:spacing w:line="240" w:lineRule="auto"/>
              <w:jc w:val="center"/>
              <w:rPr>
                <w:rFonts w:eastAsiaTheme="minorEastAsia"/>
                <w:noProof/>
                <w:sz w:val="18"/>
              </w:rPr>
            </w:pPr>
          </w:p>
        </w:tc>
        <w:tc>
          <w:tcPr>
            <w:tcW w:w="850"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60" w14:textId="77777777" w:rsidR="008273B8" w:rsidRDefault="008273B8">
            <w:pPr>
              <w:spacing w:line="240" w:lineRule="auto"/>
              <w:jc w:val="center"/>
              <w:rPr>
                <w:rFonts w:eastAsiaTheme="minorEastAsia"/>
                <w:noProof/>
                <w:sz w:val="18"/>
              </w:rPr>
            </w:pPr>
          </w:p>
        </w:tc>
        <w:tc>
          <w:tcPr>
            <w:tcW w:w="973"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61" w14:textId="77777777" w:rsidR="008273B8" w:rsidRDefault="008273B8">
            <w:pPr>
              <w:spacing w:line="240" w:lineRule="auto"/>
              <w:jc w:val="center"/>
              <w:rPr>
                <w:rFonts w:eastAsiaTheme="minorEastAsia"/>
                <w:noProof/>
                <w:sz w:val="18"/>
              </w:rPr>
            </w:pPr>
          </w:p>
        </w:tc>
        <w:tc>
          <w:tcPr>
            <w:tcW w:w="708"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62" w14:textId="77777777" w:rsidR="008273B8" w:rsidRDefault="00B93063">
            <w:pPr>
              <w:pStyle w:val="P68B1DB1-Normal9"/>
              <w:spacing w:line="240" w:lineRule="auto"/>
              <w:jc w:val="center"/>
              <w:rPr>
                <w:rFonts w:eastAsiaTheme="minorEastAsia"/>
                <w:noProof/>
              </w:rPr>
            </w:pPr>
            <w:r>
              <w:rPr>
                <w:noProof/>
              </w:rPr>
              <w:t>Q2</w:t>
            </w:r>
          </w:p>
        </w:tc>
        <w:tc>
          <w:tcPr>
            <w:tcW w:w="567"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63" w14:textId="77777777" w:rsidR="008273B8" w:rsidRDefault="00B93063">
            <w:pPr>
              <w:pStyle w:val="P68B1DB1-Normal9"/>
              <w:spacing w:line="240" w:lineRule="auto"/>
              <w:jc w:val="center"/>
              <w:rPr>
                <w:rFonts w:eastAsiaTheme="minorEastAsia"/>
                <w:noProof/>
              </w:rPr>
            </w:pPr>
            <w:r>
              <w:rPr>
                <w:noProof/>
              </w:rPr>
              <w:t>2026</w:t>
            </w:r>
          </w:p>
        </w:tc>
        <w:tc>
          <w:tcPr>
            <w:tcW w:w="5123" w:type="dxa"/>
            <w:tcBorders>
              <w:top w:val="single" w:sz="4" w:space="0" w:color="auto"/>
              <w:left w:val="single" w:sz="4" w:space="0" w:color="auto"/>
              <w:bottom w:val="single" w:sz="4" w:space="0" w:color="auto"/>
              <w:right w:val="single" w:sz="4" w:space="0" w:color="auto"/>
            </w:tcBorders>
            <w:shd w:val="clear" w:color="auto" w:fill="C6EFCE"/>
            <w:tcMar>
              <w:top w:w="15" w:type="dxa"/>
              <w:left w:w="15" w:type="dxa"/>
              <w:right w:w="15" w:type="dxa"/>
            </w:tcMar>
            <w:vAlign w:val="center"/>
          </w:tcPr>
          <w:p w14:paraId="7A539464" w14:textId="1EF2FA3B" w:rsidR="008273B8" w:rsidRDefault="00B93063">
            <w:pPr>
              <w:pStyle w:val="P68B1DB1-Normal9"/>
              <w:spacing w:line="240" w:lineRule="auto"/>
              <w:ind w:left="125"/>
              <w:rPr>
                <w:rFonts w:eastAsiaTheme="minorEastAsia"/>
                <w:noProof/>
              </w:rPr>
            </w:pPr>
            <w:r>
              <w:rPr>
                <w:noProof/>
              </w:rPr>
              <w:t>Sljedeći objekti počinju s radom: 1) novi priključni vod od 132 kV između Maghtaba i Mosta, u pripremi za drugi spojni vod sa Sicilijom (Italija); 2) nova primarna podstanica 33 kV/11kV u Naxxaru; 3) nova primarna podstanica 33 kV/11kV u Siggiewiju; 4) nadogradnju centra za distribuciju bolnice od 33 kV/11kV u Msidi; Nadogradnja distribucijskog centra St.Andrewa u Pembrokeu; 15 novih podstanica 11 kV/415V i 15 km pojačanja; 7) postrojenje za skladištenje baterija od najmanje 10 MWh.</w:t>
            </w:r>
          </w:p>
        </w:tc>
      </w:tr>
    </w:tbl>
    <w:p w14:paraId="7A539466" w14:textId="77777777" w:rsidR="008273B8" w:rsidRDefault="008273B8">
      <w:pPr>
        <w:rPr>
          <w:noProof/>
        </w:rPr>
      </w:pPr>
    </w:p>
    <w:p w14:paraId="7A539467" w14:textId="77777777" w:rsidR="008273B8" w:rsidRDefault="008273B8">
      <w:pPr>
        <w:rPr>
          <w:noProof/>
        </w:rPr>
      </w:pPr>
    </w:p>
    <w:p w14:paraId="7A539468" w14:textId="77777777" w:rsidR="008273B8" w:rsidRDefault="008273B8">
      <w:pPr>
        <w:rPr>
          <w:noProof/>
        </w:rPr>
      </w:pPr>
    </w:p>
    <w:p w14:paraId="7A539469" w14:textId="77777777" w:rsidR="008273B8" w:rsidRDefault="008273B8">
      <w:pPr>
        <w:rPr>
          <w:noProof/>
        </w:rPr>
      </w:pPr>
    </w:p>
    <w:p w14:paraId="7A53946A" w14:textId="77777777" w:rsidR="008273B8" w:rsidRDefault="008273B8">
      <w:pPr>
        <w:rPr>
          <w:noProof/>
        </w:rPr>
        <w:sectPr w:rsidR="008273B8">
          <w:headerReference w:type="even" r:id="rId96"/>
          <w:headerReference w:type="default" r:id="rId97"/>
          <w:footerReference w:type="even" r:id="rId98"/>
          <w:footerReference w:type="default" r:id="rId99"/>
          <w:headerReference w:type="first" r:id="rId100"/>
          <w:footerReference w:type="first" r:id="rId101"/>
          <w:pgSz w:w="16839" w:h="11907" w:orient="landscape"/>
          <w:pgMar w:top="1134" w:right="1134" w:bottom="1134" w:left="1134" w:header="567" w:footer="567" w:gutter="0"/>
          <w:cols w:space="720"/>
          <w:docGrid w:linePitch="360"/>
        </w:sectPr>
      </w:pPr>
    </w:p>
    <w:p w14:paraId="7A53946B" w14:textId="77777777" w:rsidR="008273B8" w:rsidRDefault="00B93063">
      <w:pPr>
        <w:pStyle w:val="ManualHeading1"/>
        <w:tabs>
          <w:tab w:val="clear" w:pos="850"/>
          <w:tab w:val="left" w:pos="720"/>
        </w:tabs>
        <w:spacing w:after="360"/>
        <w:rPr>
          <w:noProof/>
        </w:rPr>
      </w:pPr>
      <w:r>
        <w:rPr>
          <w:noProof/>
        </w:rPr>
        <w:t>2.  Procijenjeni ukupni troškovi plana za oporavak i otpornost</w:t>
      </w:r>
    </w:p>
    <w:p w14:paraId="7A53946C" w14:textId="1C117A3E" w:rsidR="008273B8" w:rsidRDefault="00B93063">
      <w:pPr>
        <w:pStyle w:val="P68B1DB1-Normal3"/>
        <w:spacing w:before="120" w:after="120" w:line="240" w:lineRule="auto"/>
        <w:jc w:val="both"/>
        <w:rPr>
          <w:rFonts w:cs="Times New Roman"/>
          <w:noProof/>
        </w:rPr>
      </w:pPr>
      <w:r>
        <w:rPr>
          <w:noProof/>
        </w:rPr>
        <w:t>Procijenjeni ukupni troškovi izmijenjenog plana za oporavak i otpornost, uključujući poglavlje Malte koje se odnosi na plan REPowerEU, iznose 336 319 658 EUR.</w:t>
      </w:r>
    </w:p>
    <w:p w14:paraId="7A53946D" w14:textId="25EEE0EE" w:rsidR="008273B8" w:rsidRDefault="00B93063">
      <w:pPr>
        <w:pStyle w:val="P68B1DB1-Normal3"/>
        <w:jc w:val="both"/>
        <w:rPr>
          <w:rFonts w:eastAsia="Times New Roman" w:cs="Times New Roman"/>
          <w:noProof/>
        </w:rPr>
      </w:pPr>
      <w:r>
        <w:rPr>
          <w:noProof/>
        </w:rPr>
        <w:t>Procijenjeni ukupni troškovi poglavlja koje se odnosi na plan REPowerEU iznose 69 955 027 EUR. Konkretno, procijenjeni ukupni troškovi mjera iz članka 21.c stavka 3. točke (a) Uredbe (EU) 2023/435 iznose 0 EUR, dok troškovi drugih mjera iz poglavlja koje se odnosi na plan REPowerEU iznose 69 955 027 EUR.</w:t>
      </w:r>
    </w:p>
    <w:p w14:paraId="7A53946E" w14:textId="77777777" w:rsidR="008273B8" w:rsidRDefault="00B93063">
      <w:pPr>
        <w:pStyle w:val="Heading1"/>
        <w:numPr>
          <w:ilvl w:val="0"/>
          <w:numId w:val="0"/>
        </w:numPr>
        <w:spacing w:after="360"/>
        <w:ind w:left="850" w:hanging="850"/>
        <w:rPr>
          <w:noProof/>
        </w:rPr>
      </w:pPr>
      <w:r>
        <w:rPr>
          <w:noProof/>
        </w:rPr>
        <w:t xml:space="preserve">ODJELJAK 2.: FINANCIJSKA POTPORA </w:t>
      </w:r>
    </w:p>
    <w:p w14:paraId="7A53946F" w14:textId="77777777" w:rsidR="008273B8" w:rsidRDefault="00B93063">
      <w:pPr>
        <w:pStyle w:val="P68B1DB1-NumPar116"/>
        <w:numPr>
          <w:ilvl w:val="0"/>
          <w:numId w:val="44"/>
        </w:numPr>
        <w:spacing w:before="240"/>
        <w:ind w:left="360"/>
        <w:rPr>
          <w:noProof/>
        </w:rPr>
      </w:pPr>
      <w:r>
        <w:rPr>
          <w:noProof/>
        </w:rPr>
        <w:t xml:space="preserve">Financijski doprinos </w:t>
      </w:r>
    </w:p>
    <w:p w14:paraId="7A539470" w14:textId="77777777" w:rsidR="008273B8" w:rsidRDefault="00B93063">
      <w:pPr>
        <w:pStyle w:val="P68B1DB1-Normal3"/>
        <w:spacing w:before="240" w:after="120" w:line="240" w:lineRule="auto"/>
        <w:jc w:val="both"/>
        <w:rPr>
          <w:rFonts w:cs="Times New Roman"/>
          <w:noProof/>
        </w:rPr>
      </w:pPr>
      <w:r>
        <w:rPr>
          <w:noProof/>
        </w:rPr>
        <w:t>Obroci iz članka 2. stavka 2. organiziraju se na sljedeći način:</w:t>
      </w:r>
    </w:p>
    <w:p w14:paraId="7A539471" w14:textId="1D23E08A" w:rsidR="008273B8" w:rsidRDefault="00B93063">
      <w:pPr>
        <w:pStyle w:val="P68B1DB1-ListParagraph17"/>
        <w:numPr>
          <w:ilvl w:val="1"/>
          <w:numId w:val="43"/>
        </w:numPr>
        <w:tabs>
          <w:tab w:val="num" w:pos="850"/>
        </w:tabs>
        <w:spacing w:before="240" w:after="240" w:line="240" w:lineRule="auto"/>
        <w:jc w:val="both"/>
        <w:rPr>
          <w:rFonts w:cs="Times New Roman"/>
          <w:noProof/>
        </w:rPr>
      </w:pPr>
      <w:r>
        <w:rPr>
          <w:noProof/>
        </w:rPr>
        <w:t xml:space="preserve">Prvo postrojenje (nepovratna potpora): </w:t>
      </w:r>
    </w:p>
    <w:tbl>
      <w:tblPr>
        <w:tblW w:w="8359" w:type="dxa"/>
        <w:jc w:val="center"/>
        <w:tblLook w:val="04A0" w:firstRow="1" w:lastRow="0" w:firstColumn="1" w:lastColumn="0" w:noHBand="0" w:noVBand="1"/>
      </w:tblPr>
      <w:tblGrid>
        <w:gridCol w:w="1027"/>
        <w:gridCol w:w="1159"/>
        <w:gridCol w:w="1116"/>
        <w:gridCol w:w="5057"/>
      </w:tblGrid>
      <w:tr w:rsidR="008273B8" w14:paraId="7A539476" w14:textId="77777777">
        <w:trPr>
          <w:trHeight w:val="912"/>
          <w:tblHeader/>
          <w:jc w:val="center"/>
        </w:trPr>
        <w:tc>
          <w:tcPr>
            <w:tcW w:w="102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472" w14:textId="77777777" w:rsidR="008273B8" w:rsidRDefault="00B93063">
            <w:pPr>
              <w:pStyle w:val="P68B1DB1-Normal18"/>
              <w:spacing w:after="0" w:line="240" w:lineRule="auto"/>
              <w:jc w:val="center"/>
              <w:rPr>
                <w:rFonts w:eastAsia="Times New Roman" w:cs="Times New Roman"/>
                <w:noProof/>
              </w:rPr>
            </w:pPr>
            <w:r>
              <w:rPr>
                <w:noProof/>
              </w:rPr>
              <w:t>Redni broj</w:t>
            </w:r>
          </w:p>
        </w:tc>
        <w:tc>
          <w:tcPr>
            <w:tcW w:w="1159"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473" w14:textId="77777777" w:rsidR="008273B8" w:rsidRDefault="00B93063">
            <w:pPr>
              <w:pStyle w:val="P68B1DB1-Normal18"/>
              <w:spacing w:after="0" w:line="240" w:lineRule="auto"/>
              <w:jc w:val="center"/>
              <w:rPr>
                <w:rFonts w:eastAsia="Times New Roman" w:cs="Times New Roman"/>
                <w:noProof/>
              </w:rPr>
            </w:pPr>
            <w:r>
              <w:rPr>
                <w:noProof/>
              </w:rPr>
              <w:t>Povezana mjera (reforma ili ulaganje)</w:t>
            </w:r>
          </w:p>
        </w:tc>
        <w:tc>
          <w:tcPr>
            <w:tcW w:w="111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474" w14:textId="77777777" w:rsidR="008273B8" w:rsidRDefault="00B93063">
            <w:pPr>
              <w:pStyle w:val="P68B1DB1-Normal18"/>
              <w:spacing w:after="0" w:line="240" w:lineRule="auto"/>
              <w:jc w:val="center"/>
              <w:rPr>
                <w:rFonts w:eastAsia="Times New Roman" w:cs="Times New Roman"/>
                <w:noProof/>
              </w:rPr>
            </w:pPr>
            <w:r>
              <w:rPr>
                <w:noProof/>
              </w:rPr>
              <w:t>Ključna etapa/cilj</w:t>
            </w:r>
          </w:p>
        </w:tc>
        <w:tc>
          <w:tcPr>
            <w:tcW w:w="505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475" w14:textId="77777777" w:rsidR="008273B8" w:rsidRDefault="00B93063">
            <w:pPr>
              <w:pStyle w:val="P68B1DB1-Normal18"/>
              <w:spacing w:after="0" w:line="240" w:lineRule="auto"/>
              <w:jc w:val="center"/>
              <w:rPr>
                <w:rFonts w:eastAsia="Times New Roman" w:cs="Times New Roman"/>
                <w:noProof/>
              </w:rPr>
            </w:pPr>
            <w:r>
              <w:rPr>
                <w:noProof/>
              </w:rPr>
              <w:t>Ime</w:t>
            </w:r>
          </w:p>
        </w:tc>
      </w:tr>
      <w:tr w:rsidR="008273B8" w14:paraId="7A53947B" w14:textId="77777777">
        <w:trPr>
          <w:cantSplit/>
          <w:trHeight w:val="288"/>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hideMark/>
          </w:tcPr>
          <w:p w14:paraId="7A539477" w14:textId="4AE53A5D" w:rsidR="008273B8" w:rsidRDefault="00B93063">
            <w:pPr>
              <w:pStyle w:val="P68B1DB1-Normal19"/>
              <w:spacing w:after="0" w:line="240" w:lineRule="auto"/>
              <w:jc w:val="center"/>
              <w:rPr>
                <w:rFonts w:eastAsia="Times New Roman" w:cs="Times New Roman"/>
                <w:noProof/>
              </w:rPr>
            </w:pPr>
            <w:r>
              <w:rPr>
                <w:noProof/>
              </w:rPr>
              <w:t>1.1</w:t>
            </w:r>
          </w:p>
        </w:tc>
        <w:tc>
          <w:tcPr>
            <w:tcW w:w="1159" w:type="dxa"/>
            <w:tcBorders>
              <w:top w:val="single" w:sz="4" w:space="0" w:color="auto"/>
              <w:left w:val="nil"/>
              <w:bottom w:val="single" w:sz="4" w:space="0" w:color="auto"/>
              <w:right w:val="single" w:sz="4" w:space="0" w:color="auto"/>
            </w:tcBorders>
            <w:shd w:val="clear" w:color="auto" w:fill="C6EFCE"/>
            <w:hideMark/>
          </w:tcPr>
          <w:p w14:paraId="7A539478" w14:textId="77777777" w:rsidR="008273B8" w:rsidRDefault="00B93063">
            <w:pPr>
              <w:pStyle w:val="P68B1DB1-Normal19"/>
              <w:spacing w:after="0" w:line="240" w:lineRule="auto"/>
              <w:jc w:val="center"/>
              <w:rPr>
                <w:rFonts w:eastAsia="Times New Roman" w:cs="Times New Roman"/>
                <w:noProof/>
              </w:rPr>
            </w:pPr>
            <w:r>
              <w:rPr>
                <w:noProof/>
              </w:rPr>
              <w:t xml:space="preserve">C1.R.1 </w:t>
            </w:r>
          </w:p>
        </w:tc>
        <w:tc>
          <w:tcPr>
            <w:tcW w:w="1116" w:type="dxa"/>
            <w:tcBorders>
              <w:top w:val="single" w:sz="4" w:space="0" w:color="auto"/>
              <w:left w:val="nil"/>
              <w:bottom w:val="single" w:sz="4" w:space="0" w:color="auto"/>
              <w:right w:val="single" w:sz="4" w:space="0" w:color="auto"/>
            </w:tcBorders>
            <w:shd w:val="clear" w:color="auto" w:fill="C6EFCE"/>
            <w:hideMark/>
          </w:tcPr>
          <w:p w14:paraId="7A539479"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57" w:type="dxa"/>
            <w:tcBorders>
              <w:top w:val="single" w:sz="4" w:space="0" w:color="auto"/>
              <w:left w:val="nil"/>
              <w:bottom w:val="single" w:sz="4" w:space="0" w:color="auto"/>
              <w:right w:val="single" w:sz="4" w:space="0" w:color="auto"/>
            </w:tcBorders>
            <w:shd w:val="clear" w:color="auto" w:fill="C6EFCE"/>
            <w:hideMark/>
          </w:tcPr>
          <w:p w14:paraId="7A53947A" w14:textId="77777777" w:rsidR="008273B8" w:rsidRDefault="00B93063">
            <w:pPr>
              <w:pStyle w:val="P68B1DB1-Normal19"/>
              <w:spacing w:after="0" w:line="240" w:lineRule="auto"/>
              <w:rPr>
                <w:rFonts w:eastAsia="Times New Roman" w:cs="Times New Roman"/>
                <w:noProof/>
              </w:rPr>
            </w:pPr>
            <w:r>
              <w:rPr>
                <w:noProof/>
              </w:rPr>
              <w:t xml:space="preserve">Stupanje na snagu Zakona o nadležnom tijelu za gradnju i gradnju </w:t>
            </w:r>
          </w:p>
        </w:tc>
      </w:tr>
      <w:tr w:rsidR="008273B8" w14:paraId="7A539480" w14:textId="77777777">
        <w:trPr>
          <w:cantSplit/>
          <w:trHeight w:val="341"/>
          <w:jc w:val="center"/>
        </w:trPr>
        <w:tc>
          <w:tcPr>
            <w:tcW w:w="1027" w:type="dxa"/>
            <w:tcBorders>
              <w:top w:val="nil"/>
              <w:left w:val="single" w:sz="4" w:space="0" w:color="auto"/>
              <w:bottom w:val="single" w:sz="4" w:space="0" w:color="auto"/>
              <w:right w:val="single" w:sz="4" w:space="0" w:color="auto"/>
            </w:tcBorders>
            <w:shd w:val="clear" w:color="auto" w:fill="C6EFCE"/>
          </w:tcPr>
          <w:p w14:paraId="7A53947C" w14:textId="77777777" w:rsidR="008273B8" w:rsidRDefault="00B93063">
            <w:pPr>
              <w:pStyle w:val="P68B1DB1-Normal19"/>
              <w:spacing w:after="0" w:line="240" w:lineRule="auto"/>
              <w:jc w:val="center"/>
              <w:rPr>
                <w:rFonts w:cs="Times New Roman"/>
                <w:noProof/>
              </w:rPr>
            </w:pPr>
            <w:r>
              <w:rPr>
                <w:noProof/>
              </w:rPr>
              <w:t>1.5</w:t>
            </w:r>
          </w:p>
        </w:tc>
        <w:tc>
          <w:tcPr>
            <w:tcW w:w="1159" w:type="dxa"/>
            <w:tcBorders>
              <w:top w:val="nil"/>
              <w:left w:val="nil"/>
              <w:bottom w:val="single" w:sz="4" w:space="0" w:color="auto"/>
              <w:right w:val="single" w:sz="4" w:space="0" w:color="auto"/>
            </w:tcBorders>
            <w:shd w:val="clear" w:color="auto" w:fill="C6EFCE"/>
          </w:tcPr>
          <w:p w14:paraId="7A53947D" w14:textId="77777777" w:rsidR="008273B8" w:rsidRDefault="00B93063">
            <w:pPr>
              <w:pStyle w:val="P68B1DB1-Normal19"/>
              <w:spacing w:after="0" w:line="240" w:lineRule="auto"/>
              <w:jc w:val="center"/>
              <w:rPr>
                <w:rFonts w:cs="Times New Roman"/>
                <w:noProof/>
              </w:rPr>
            </w:pPr>
            <w:r>
              <w:rPr>
                <w:noProof/>
              </w:rPr>
              <w:t xml:space="preserve">C1.R.2 </w:t>
            </w:r>
          </w:p>
        </w:tc>
        <w:tc>
          <w:tcPr>
            <w:tcW w:w="1116" w:type="dxa"/>
            <w:tcBorders>
              <w:top w:val="nil"/>
              <w:left w:val="nil"/>
              <w:bottom w:val="single" w:sz="4" w:space="0" w:color="auto"/>
              <w:right w:val="single" w:sz="4" w:space="0" w:color="auto"/>
            </w:tcBorders>
            <w:shd w:val="clear" w:color="auto" w:fill="C6EFCE"/>
          </w:tcPr>
          <w:p w14:paraId="7A53947E" w14:textId="77777777" w:rsidR="008273B8" w:rsidRDefault="00B93063">
            <w:pPr>
              <w:pStyle w:val="P68B1DB1-Normal19"/>
              <w:spacing w:after="0" w:line="240" w:lineRule="auto"/>
              <w:jc w:val="center"/>
              <w:rPr>
                <w:rFonts w:cs="Times New Roman"/>
                <w:noProof/>
              </w:rPr>
            </w:pPr>
            <w:r>
              <w:rPr>
                <w:noProof/>
              </w:rPr>
              <w:t>Ključna etapa</w:t>
            </w:r>
          </w:p>
        </w:tc>
        <w:tc>
          <w:tcPr>
            <w:tcW w:w="5057" w:type="dxa"/>
            <w:tcBorders>
              <w:top w:val="nil"/>
              <w:left w:val="nil"/>
              <w:bottom w:val="single" w:sz="4" w:space="0" w:color="auto"/>
              <w:right w:val="single" w:sz="4" w:space="0" w:color="auto"/>
            </w:tcBorders>
            <w:shd w:val="clear" w:color="auto" w:fill="C6EFCE"/>
          </w:tcPr>
          <w:p w14:paraId="7A53947F" w14:textId="77777777" w:rsidR="008273B8" w:rsidRDefault="00B93063">
            <w:pPr>
              <w:pStyle w:val="P68B1DB1-Normal19"/>
              <w:spacing w:after="0" w:line="240" w:lineRule="auto"/>
              <w:rPr>
                <w:rFonts w:cs="Times New Roman"/>
                <w:noProof/>
              </w:rPr>
            </w:pPr>
            <w:r>
              <w:rPr>
                <w:noProof/>
              </w:rPr>
              <w:t xml:space="preserve">Stupanje na snagu ažuriranog Zakona o zaštiti okoliša </w:t>
            </w:r>
          </w:p>
        </w:tc>
      </w:tr>
      <w:tr w:rsidR="008273B8" w14:paraId="7A539485" w14:textId="77777777">
        <w:trPr>
          <w:cantSplit/>
          <w:trHeight w:val="416"/>
          <w:jc w:val="center"/>
        </w:trPr>
        <w:tc>
          <w:tcPr>
            <w:tcW w:w="1027" w:type="dxa"/>
            <w:tcBorders>
              <w:top w:val="nil"/>
              <w:left w:val="single" w:sz="4" w:space="0" w:color="auto"/>
              <w:bottom w:val="single" w:sz="4" w:space="0" w:color="auto"/>
              <w:right w:val="single" w:sz="4" w:space="0" w:color="auto"/>
            </w:tcBorders>
            <w:shd w:val="clear" w:color="auto" w:fill="C6EFCE"/>
          </w:tcPr>
          <w:p w14:paraId="7A539481" w14:textId="77777777" w:rsidR="008273B8" w:rsidRDefault="00B93063">
            <w:pPr>
              <w:pStyle w:val="P68B1DB1-Normal19"/>
              <w:spacing w:after="0" w:line="240" w:lineRule="auto"/>
              <w:jc w:val="center"/>
              <w:rPr>
                <w:rFonts w:cs="Times New Roman"/>
                <w:noProof/>
              </w:rPr>
            </w:pPr>
            <w:r>
              <w:rPr>
                <w:noProof/>
              </w:rPr>
              <w:t>1.8</w:t>
            </w:r>
          </w:p>
        </w:tc>
        <w:tc>
          <w:tcPr>
            <w:tcW w:w="1159" w:type="dxa"/>
            <w:tcBorders>
              <w:top w:val="nil"/>
              <w:left w:val="nil"/>
              <w:bottom w:val="single" w:sz="4" w:space="0" w:color="auto"/>
              <w:right w:val="single" w:sz="4" w:space="0" w:color="auto"/>
            </w:tcBorders>
            <w:shd w:val="clear" w:color="auto" w:fill="C6EFCE"/>
          </w:tcPr>
          <w:p w14:paraId="7A539482" w14:textId="77777777" w:rsidR="008273B8" w:rsidRDefault="00B93063">
            <w:pPr>
              <w:pStyle w:val="P68B1DB1-Normal19"/>
              <w:spacing w:after="0" w:line="240" w:lineRule="auto"/>
              <w:jc w:val="center"/>
              <w:rPr>
                <w:rFonts w:cs="Times New Roman"/>
                <w:noProof/>
              </w:rPr>
            </w:pPr>
            <w:r>
              <w:rPr>
                <w:noProof/>
              </w:rPr>
              <w:t xml:space="preserve">C1.R.2 </w:t>
            </w:r>
          </w:p>
        </w:tc>
        <w:tc>
          <w:tcPr>
            <w:tcW w:w="1116" w:type="dxa"/>
            <w:tcBorders>
              <w:top w:val="nil"/>
              <w:left w:val="nil"/>
              <w:bottom w:val="single" w:sz="4" w:space="0" w:color="auto"/>
              <w:right w:val="single" w:sz="4" w:space="0" w:color="auto"/>
            </w:tcBorders>
            <w:shd w:val="clear" w:color="auto" w:fill="C6EFCE"/>
          </w:tcPr>
          <w:p w14:paraId="7A539483" w14:textId="77777777" w:rsidR="008273B8" w:rsidRDefault="00B93063">
            <w:pPr>
              <w:pStyle w:val="P68B1DB1-Normal19"/>
              <w:spacing w:after="0" w:line="240" w:lineRule="auto"/>
              <w:jc w:val="center"/>
              <w:rPr>
                <w:rFonts w:cs="Times New Roman"/>
                <w:noProof/>
              </w:rPr>
            </w:pPr>
            <w:r>
              <w:rPr>
                <w:noProof/>
              </w:rPr>
              <w:t>Ključna etapa</w:t>
            </w:r>
          </w:p>
        </w:tc>
        <w:tc>
          <w:tcPr>
            <w:tcW w:w="5057" w:type="dxa"/>
            <w:tcBorders>
              <w:top w:val="nil"/>
              <w:left w:val="nil"/>
              <w:bottom w:val="single" w:sz="4" w:space="0" w:color="auto"/>
              <w:right w:val="single" w:sz="4" w:space="0" w:color="auto"/>
            </w:tcBorders>
            <w:shd w:val="clear" w:color="auto" w:fill="C6EFCE"/>
          </w:tcPr>
          <w:p w14:paraId="7A539484" w14:textId="77777777" w:rsidR="008273B8" w:rsidRDefault="00B93063">
            <w:pPr>
              <w:pStyle w:val="P68B1DB1-Normal19"/>
              <w:spacing w:after="0" w:line="240" w:lineRule="auto"/>
              <w:rPr>
                <w:rFonts w:cs="Times New Roman"/>
                <w:noProof/>
              </w:rPr>
            </w:pPr>
            <w:r>
              <w:rPr>
                <w:noProof/>
              </w:rPr>
              <w:t>Donošenje strategije Malte za građevinski otpad i otpad od rušenja</w:t>
            </w:r>
          </w:p>
        </w:tc>
      </w:tr>
      <w:tr w:rsidR="008273B8" w14:paraId="7A53948A" w14:textId="77777777">
        <w:trPr>
          <w:cantSplit/>
          <w:trHeight w:val="395"/>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86" w14:textId="77777777" w:rsidR="008273B8" w:rsidRDefault="00B93063">
            <w:pPr>
              <w:pStyle w:val="P68B1DB1-Normal19"/>
              <w:spacing w:after="0" w:line="240" w:lineRule="auto"/>
              <w:jc w:val="center"/>
              <w:rPr>
                <w:rFonts w:eastAsia="Times New Roman" w:cs="Times New Roman"/>
                <w:noProof/>
              </w:rPr>
            </w:pPr>
            <w:r>
              <w:rPr>
                <w:noProof/>
              </w:rPr>
              <w:t>1.22</w:t>
            </w:r>
          </w:p>
        </w:tc>
        <w:tc>
          <w:tcPr>
            <w:tcW w:w="1159" w:type="dxa"/>
            <w:tcBorders>
              <w:top w:val="nil"/>
              <w:left w:val="nil"/>
              <w:bottom w:val="single" w:sz="4" w:space="0" w:color="auto"/>
              <w:right w:val="single" w:sz="4" w:space="0" w:color="auto"/>
            </w:tcBorders>
            <w:shd w:val="clear" w:color="auto" w:fill="C6EFCE"/>
            <w:hideMark/>
          </w:tcPr>
          <w:p w14:paraId="7A539487" w14:textId="77777777" w:rsidR="008273B8" w:rsidRDefault="00B93063">
            <w:pPr>
              <w:pStyle w:val="P68B1DB1-Normal19"/>
              <w:spacing w:after="0" w:line="240" w:lineRule="auto"/>
              <w:jc w:val="center"/>
              <w:rPr>
                <w:rFonts w:eastAsia="Times New Roman" w:cs="Times New Roman"/>
                <w:noProof/>
              </w:rPr>
            </w:pPr>
            <w:r>
              <w:rPr>
                <w:noProof/>
              </w:rPr>
              <w:t xml:space="preserve">C1.I.3. </w:t>
            </w:r>
          </w:p>
        </w:tc>
        <w:tc>
          <w:tcPr>
            <w:tcW w:w="1116" w:type="dxa"/>
            <w:tcBorders>
              <w:top w:val="nil"/>
              <w:left w:val="nil"/>
              <w:bottom w:val="single" w:sz="4" w:space="0" w:color="auto"/>
              <w:right w:val="single" w:sz="4" w:space="0" w:color="auto"/>
            </w:tcBorders>
            <w:shd w:val="clear" w:color="auto" w:fill="C6EFCE"/>
            <w:hideMark/>
          </w:tcPr>
          <w:p w14:paraId="7A539488"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57" w:type="dxa"/>
            <w:tcBorders>
              <w:top w:val="nil"/>
              <w:left w:val="nil"/>
              <w:bottom w:val="single" w:sz="4" w:space="0" w:color="auto"/>
              <w:right w:val="single" w:sz="4" w:space="0" w:color="auto"/>
            </w:tcBorders>
            <w:shd w:val="clear" w:color="auto" w:fill="C6EFCE"/>
            <w:hideMark/>
          </w:tcPr>
          <w:p w14:paraId="7A539489" w14:textId="77777777" w:rsidR="008273B8" w:rsidRDefault="00B93063">
            <w:pPr>
              <w:pStyle w:val="P68B1DB1-Normal19"/>
              <w:spacing w:after="0" w:line="240" w:lineRule="auto"/>
              <w:rPr>
                <w:rFonts w:eastAsia="Times New Roman" w:cs="Times New Roman"/>
                <w:noProof/>
              </w:rPr>
            </w:pPr>
            <w:r>
              <w:rPr>
                <w:noProof/>
              </w:rPr>
              <w:t>Revizija energetske učinkovitosti dviju javnih škola</w:t>
            </w:r>
          </w:p>
        </w:tc>
      </w:tr>
      <w:tr w:rsidR="008273B8" w14:paraId="7A53948F"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8B" w14:textId="77777777" w:rsidR="008273B8" w:rsidRDefault="00B93063">
            <w:pPr>
              <w:pStyle w:val="P68B1DB1-Normal19"/>
              <w:spacing w:after="0" w:line="240" w:lineRule="auto"/>
              <w:jc w:val="center"/>
              <w:rPr>
                <w:rFonts w:eastAsia="Times New Roman" w:cs="Times New Roman"/>
                <w:noProof/>
              </w:rPr>
            </w:pPr>
            <w:r>
              <w:rPr>
                <w:noProof/>
              </w:rPr>
              <w:t>2.1</w:t>
            </w:r>
          </w:p>
        </w:tc>
        <w:tc>
          <w:tcPr>
            <w:tcW w:w="1159" w:type="dxa"/>
            <w:tcBorders>
              <w:top w:val="nil"/>
              <w:left w:val="nil"/>
              <w:bottom w:val="single" w:sz="4" w:space="0" w:color="auto"/>
              <w:right w:val="single" w:sz="4" w:space="0" w:color="auto"/>
            </w:tcBorders>
            <w:shd w:val="clear" w:color="auto" w:fill="C6EFCE"/>
            <w:hideMark/>
          </w:tcPr>
          <w:p w14:paraId="7A53948C" w14:textId="77777777" w:rsidR="008273B8" w:rsidRDefault="00B93063">
            <w:pPr>
              <w:pStyle w:val="P68B1DB1-Normal19"/>
              <w:spacing w:after="0" w:line="240" w:lineRule="auto"/>
              <w:jc w:val="center"/>
              <w:rPr>
                <w:rFonts w:eastAsia="Times New Roman" w:cs="Times New Roman"/>
                <w:noProof/>
              </w:rPr>
            </w:pPr>
            <w:r>
              <w:rPr>
                <w:noProof/>
              </w:rPr>
              <w:t xml:space="preserve">C2.R.1 </w:t>
            </w:r>
          </w:p>
        </w:tc>
        <w:tc>
          <w:tcPr>
            <w:tcW w:w="1116" w:type="dxa"/>
            <w:tcBorders>
              <w:top w:val="nil"/>
              <w:left w:val="nil"/>
              <w:bottom w:val="single" w:sz="4" w:space="0" w:color="auto"/>
              <w:right w:val="single" w:sz="4" w:space="0" w:color="auto"/>
            </w:tcBorders>
            <w:shd w:val="clear" w:color="auto" w:fill="C6EFCE"/>
            <w:hideMark/>
          </w:tcPr>
          <w:p w14:paraId="7A53948D"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57" w:type="dxa"/>
            <w:tcBorders>
              <w:top w:val="nil"/>
              <w:left w:val="nil"/>
              <w:bottom w:val="single" w:sz="4" w:space="0" w:color="auto"/>
              <w:right w:val="single" w:sz="4" w:space="0" w:color="auto"/>
            </w:tcBorders>
            <w:shd w:val="clear" w:color="auto" w:fill="C6EFCE"/>
            <w:hideMark/>
          </w:tcPr>
          <w:p w14:paraId="7A53948E" w14:textId="77777777" w:rsidR="008273B8" w:rsidRDefault="00B93063">
            <w:pPr>
              <w:pStyle w:val="P68B1DB1-Normal19"/>
              <w:spacing w:after="0" w:line="240" w:lineRule="auto"/>
              <w:rPr>
                <w:rFonts w:eastAsia="Times New Roman" w:cs="Times New Roman"/>
                <w:noProof/>
              </w:rPr>
            </w:pPr>
            <w:r>
              <w:rPr>
                <w:noProof/>
              </w:rPr>
              <w:t>Nacionalno istraživanje o putovanjima kućanstava</w:t>
            </w:r>
          </w:p>
        </w:tc>
      </w:tr>
      <w:tr w:rsidR="008273B8" w14:paraId="7A539494"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90" w14:textId="77777777" w:rsidR="008273B8" w:rsidRDefault="00B93063">
            <w:pPr>
              <w:pStyle w:val="P68B1DB1-Normal19"/>
              <w:spacing w:after="0" w:line="240" w:lineRule="auto"/>
              <w:jc w:val="center"/>
              <w:rPr>
                <w:rFonts w:eastAsia="Times New Roman" w:cs="Times New Roman"/>
                <w:noProof/>
              </w:rPr>
            </w:pPr>
            <w:r>
              <w:rPr>
                <w:noProof/>
              </w:rPr>
              <w:t>2.6</w:t>
            </w:r>
          </w:p>
        </w:tc>
        <w:tc>
          <w:tcPr>
            <w:tcW w:w="1159" w:type="dxa"/>
            <w:tcBorders>
              <w:top w:val="nil"/>
              <w:left w:val="nil"/>
              <w:bottom w:val="single" w:sz="4" w:space="0" w:color="auto"/>
              <w:right w:val="single" w:sz="4" w:space="0" w:color="auto"/>
            </w:tcBorders>
            <w:shd w:val="clear" w:color="auto" w:fill="C6EFCE"/>
            <w:hideMark/>
          </w:tcPr>
          <w:p w14:paraId="7A539491" w14:textId="77777777" w:rsidR="008273B8" w:rsidRDefault="00B93063">
            <w:pPr>
              <w:pStyle w:val="P68B1DB1-Normal19"/>
              <w:spacing w:after="0" w:line="240" w:lineRule="auto"/>
              <w:jc w:val="center"/>
              <w:rPr>
                <w:rFonts w:eastAsia="Times New Roman" w:cs="Times New Roman"/>
                <w:noProof/>
              </w:rPr>
            </w:pPr>
            <w:r>
              <w:rPr>
                <w:noProof/>
              </w:rPr>
              <w:t xml:space="preserve">C2.R.4 </w:t>
            </w:r>
          </w:p>
        </w:tc>
        <w:tc>
          <w:tcPr>
            <w:tcW w:w="1116" w:type="dxa"/>
            <w:tcBorders>
              <w:top w:val="nil"/>
              <w:left w:val="nil"/>
              <w:bottom w:val="single" w:sz="4" w:space="0" w:color="auto"/>
              <w:right w:val="single" w:sz="4" w:space="0" w:color="auto"/>
            </w:tcBorders>
            <w:shd w:val="clear" w:color="auto" w:fill="C6EFCE"/>
            <w:hideMark/>
          </w:tcPr>
          <w:p w14:paraId="7A539492"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57" w:type="dxa"/>
            <w:tcBorders>
              <w:top w:val="nil"/>
              <w:left w:val="nil"/>
              <w:bottom w:val="single" w:sz="4" w:space="0" w:color="auto"/>
              <w:right w:val="single" w:sz="4" w:space="0" w:color="auto"/>
            </w:tcBorders>
            <w:shd w:val="clear" w:color="auto" w:fill="C6EFCE"/>
            <w:hideMark/>
          </w:tcPr>
          <w:p w14:paraId="7A539493" w14:textId="77777777" w:rsidR="008273B8" w:rsidRDefault="00B93063">
            <w:pPr>
              <w:pStyle w:val="P68B1DB1-Normal19"/>
              <w:spacing w:after="0" w:line="240" w:lineRule="auto"/>
              <w:rPr>
                <w:rFonts w:eastAsia="Times New Roman" w:cs="Times New Roman"/>
                <w:noProof/>
              </w:rPr>
            </w:pPr>
            <w:r>
              <w:rPr>
                <w:noProof/>
              </w:rPr>
              <w:t xml:space="preserve">Sporazum s Udruženjem lokalnih vijeća o obnovi urbanih područja </w:t>
            </w:r>
          </w:p>
        </w:tc>
      </w:tr>
      <w:tr w:rsidR="008273B8" w14:paraId="7A539499"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95" w14:textId="77777777" w:rsidR="008273B8" w:rsidRDefault="00B93063">
            <w:pPr>
              <w:pStyle w:val="P68B1DB1-Normal19"/>
              <w:spacing w:after="0" w:line="240" w:lineRule="auto"/>
              <w:jc w:val="center"/>
              <w:rPr>
                <w:rFonts w:eastAsia="Times New Roman" w:cs="Times New Roman"/>
                <w:noProof/>
              </w:rPr>
            </w:pPr>
            <w:r>
              <w:rPr>
                <w:noProof/>
              </w:rPr>
              <w:t>2.9</w:t>
            </w:r>
          </w:p>
        </w:tc>
        <w:tc>
          <w:tcPr>
            <w:tcW w:w="1159" w:type="dxa"/>
            <w:tcBorders>
              <w:top w:val="nil"/>
              <w:left w:val="nil"/>
              <w:bottom w:val="single" w:sz="4" w:space="0" w:color="auto"/>
              <w:right w:val="single" w:sz="4" w:space="0" w:color="auto"/>
            </w:tcBorders>
            <w:shd w:val="clear" w:color="auto" w:fill="C6EFCE"/>
            <w:hideMark/>
          </w:tcPr>
          <w:p w14:paraId="7A539496" w14:textId="77777777" w:rsidR="008273B8" w:rsidRDefault="00B93063">
            <w:pPr>
              <w:pStyle w:val="P68B1DB1-Normal19"/>
              <w:spacing w:after="0" w:line="240" w:lineRule="auto"/>
              <w:jc w:val="center"/>
              <w:rPr>
                <w:rFonts w:eastAsia="Times New Roman" w:cs="Times New Roman"/>
                <w:noProof/>
              </w:rPr>
            </w:pPr>
            <w:r>
              <w:rPr>
                <w:noProof/>
              </w:rPr>
              <w:t xml:space="preserve">C2.R.5 </w:t>
            </w:r>
          </w:p>
        </w:tc>
        <w:tc>
          <w:tcPr>
            <w:tcW w:w="1116" w:type="dxa"/>
            <w:tcBorders>
              <w:top w:val="nil"/>
              <w:left w:val="nil"/>
              <w:bottom w:val="single" w:sz="4" w:space="0" w:color="auto"/>
              <w:right w:val="single" w:sz="4" w:space="0" w:color="auto"/>
            </w:tcBorders>
            <w:shd w:val="clear" w:color="auto" w:fill="C6EFCE"/>
            <w:hideMark/>
          </w:tcPr>
          <w:p w14:paraId="7A539497"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5057" w:type="dxa"/>
            <w:tcBorders>
              <w:top w:val="nil"/>
              <w:left w:val="nil"/>
              <w:bottom w:val="single" w:sz="4" w:space="0" w:color="auto"/>
              <w:right w:val="single" w:sz="4" w:space="0" w:color="auto"/>
            </w:tcBorders>
            <w:shd w:val="clear" w:color="auto" w:fill="C6EFCE"/>
            <w:hideMark/>
          </w:tcPr>
          <w:p w14:paraId="7A539498" w14:textId="77777777" w:rsidR="008273B8" w:rsidRDefault="00B93063">
            <w:pPr>
              <w:pStyle w:val="P68B1DB1-Normal19"/>
              <w:spacing w:after="0" w:line="240" w:lineRule="auto"/>
              <w:rPr>
                <w:rFonts w:eastAsia="Times New Roman" w:cs="Times New Roman"/>
                <w:noProof/>
              </w:rPr>
            </w:pPr>
            <w:r>
              <w:rPr>
                <w:noProof/>
              </w:rPr>
              <w:t>15 uredskih objekata koji omogućuju rad na daljinu za javne službenike na svim malteškim otocima</w:t>
            </w:r>
          </w:p>
        </w:tc>
      </w:tr>
      <w:tr w:rsidR="008273B8" w14:paraId="7A53949E"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9A" w14:textId="77777777" w:rsidR="008273B8" w:rsidRDefault="00B93063">
            <w:pPr>
              <w:pStyle w:val="P68B1DB1-Normal19"/>
              <w:spacing w:after="0" w:line="240" w:lineRule="auto"/>
              <w:jc w:val="center"/>
              <w:rPr>
                <w:rFonts w:eastAsia="Times New Roman" w:cs="Times New Roman"/>
                <w:noProof/>
              </w:rPr>
            </w:pPr>
            <w:r>
              <w:rPr>
                <w:noProof/>
              </w:rPr>
              <w:t>3.3</w:t>
            </w:r>
          </w:p>
        </w:tc>
        <w:tc>
          <w:tcPr>
            <w:tcW w:w="1159" w:type="dxa"/>
            <w:tcBorders>
              <w:top w:val="nil"/>
              <w:left w:val="nil"/>
              <w:bottom w:val="single" w:sz="4" w:space="0" w:color="auto"/>
              <w:right w:val="single" w:sz="4" w:space="0" w:color="auto"/>
            </w:tcBorders>
            <w:shd w:val="clear" w:color="auto" w:fill="C6EFCE"/>
            <w:hideMark/>
          </w:tcPr>
          <w:p w14:paraId="7A53949B" w14:textId="77777777" w:rsidR="008273B8" w:rsidRDefault="00B93063">
            <w:pPr>
              <w:pStyle w:val="P68B1DB1-Normal19"/>
              <w:spacing w:after="0" w:line="240" w:lineRule="auto"/>
              <w:jc w:val="center"/>
              <w:rPr>
                <w:rFonts w:eastAsia="Times New Roman" w:cs="Times New Roman"/>
                <w:noProof/>
              </w:rPr>
            </w:pPr>
            <w:r>
              <w:rPr>
                <w:noProof/>
              </w:rPr>
              <w:t xml:space="preserve">C3.R.2 </w:t>
            </w:r>
          </w:p>
        </w:tc>
        <w:tc>
          <w:tcPr>
            <w:tcW w:w="1116" w:type="dxa"/>
            <w:tcBorders>
              <w:top w:val="nil"/>
              <w:left w:val="nil"/>
              <w:bottom w:val="single" w:sz="4" w:space="0" w:color="auto"/>
              <w:right w:val="single" w:sz="4" w:space="0" w:color="auto"/>
            </w:tcBorders>
            <w:shd w:val="clear" w:color="auto" w:fill="C6EFCE"/>
            <w:hideMark/>
          </w:tcPr>
          <w:p w14:paraId="7A53949C"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57" w:type="dxa"/>
            <w:tcBorders>
              <w:top w:val="nil"/>
              <w:left w:val="nil"/>
              <w:bottom w:val="single" w:sz="4" w:space="0" w:color="auto"/>
              <w:right w:val="single" w:sz="4" w:space="0" w:color="auto"/>
            </w:tcBorders>
            <w:shd w:val="clear" w:color="auto" w:fill="C6EFCE"/>
            <w:hideMark/>
          </w:tcPr>
          <w:p w14:paraId="7A53949D" w14:textId="77777777" w:rsidR="008273B8" w:rsidRDefault="00B93063">
            <w:pPr>
              <w:pStyle w:val="P68B1DB1-Normal19"/>
              <w:spacing w:after="0" w:line="240" w:lineRule="auto"/>
              <w:rPr>
                <w:rFonts w:eastAsia="Times New Roman" w:cs="Times New Roman"/>
                <w:noProof/>
              </w:rPr>
            </w:pPr>
            <w:r>
              <w:rPr>
                <w:noProof/>
              </w:rPr>
              <w:t>Donošenje malteške strategije pametne specijalizacije</w:t>
            </w:r>
          </w:p>
        </w:tc>
      </w:tr>
      <w:tr w:rsidR="008273B8" w14:paraId="7A5394A3"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9F" w14:textId="77777777" w:rsidR="008273B8" w:rsidRDefault="00B93063">
            <w:pPr>
              <w:pStyle w:val="P68B1DB1-Normal19"/>
              <w:spacing w:after="0" w:line="240" w:lineRule="auto"/>
              <w:jc w:val="center"/>
              <w:rPr>
                <w:rFonts w:eastAsia="Times New Roman" w:cs="Times New Roman"/>
                <w:noProof/>
              </w:rPr>
            </w:pPr>
            <w:r>
              <w:rPr>
                <w:noProof/>
              </w:rPr>
              <w:t>5.8</w:t>
            </w:r>
          </w:p>
        </w:tc>
        <w:tc>
          <w:tcPr>
            <w:tcW w:w="1159" w:type="dxa"/>
            <w:tcBorders>
              <w:top w:val="nil"/>
              <w:left w:val="nil"/>
              <w:bottom w:val="single" w:sz="4" w:space="0" w:color="auto"/>
              <w:right w:val="single" w:sz="4" w:space="0" w:color="auto"/>
            </w:tcBorders>
            <w:shd w:val="clear" w:color="auto" w:fill="C6EFCE"/>
            <w:hideMark/>
          </w:tcPr>
          <w:p w14:paraId="7A5394A0" w14:textId="77777777" w:rsidR="008273B8" w:rsidRDefault="00B93063">
            <w:pPr>
              <w:pStyle w:val="P68B1DB1-Normal19"/>
              <w:spacing w:after="0" w:line="240" w:lineRule="auto"/>
              <w:jc w:val="center"/>
              <w:rPr>
                <w:rFonts w:eastAsia="Times New Roman" w:cs="Times New Roman"/>
                <w:noProof/>
              </w:rPr>
            </w:pPr>
            <w:r>
              <w:rPr>
                <w:noProof/>
              </w:rPr>
              <w:t xml:space="preserve">C5.R.3 </w:t>
            </w:r>
          </w:p>
        </w:tc>
        <w:tc>
          <w:tcPr>
            <w:tcW w:w="1116" w:type="dxa"/>
            <w:tcBorders>
              <w:top w:val="nil"/>
              <w:left w:val="nil"/>
              <w:bottom w:val="single" w:sz="4" w:space="0" w:color="auto"/>
              <w:right w:val="single" w:sz="4" w:space="0" w:color="auto"/>
            </w:tcBorders>
            <w:shd w:val="clear" w:color="auto" w:fill="C6EFCE"/>
            <w:hideMark/>
          </w:tcPr>
          <w:p w14:paraId="7A5394A1"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5057" w:type="dxa"/>
            <w:tcBorders>
              <w:top w:val="nil"/>
              <w:left w:val="nil"/>
              <w:bottom w:val="single" w:sz="4" w:space="0" w:color="auto"/>
              <w:right w:val="single" w:sz="4" w:space="0" w:color="auto"/>
            </w:tcBorders>
            <w:shd w:val="clear" w:color="auto" w:fill="C6EFCE"/>
            <w:hideMark/>
          </w:tcPr>
          <w:p w14:paraId="7A5394A2" w14:textId="77777777" w:rsidR="008273B8" w:rsidRDefault="00B93063">
            <w:pPr>
              <w:pStyle w:val="P68B1DB1-Normal19"/>
              <w:spacing w:after="0" w:line="240" w:lineRule="auto"/>
              <w:rPr>
                <w:rFonts w:eastAsia="Times New Roman" w:cs="Times New Roman"/>
                <w:noProof/>
              </w:rPr>
            </w:pPr>
            <w:r>
              <w:rPr>
                <w:noProof/>
              </w:rPr>
              <w:t xml:space="preserve">Uspostava dviju jedinica za autizam (fizički prostori opremljeni opremom i osposobljenim obrazovnim osobljem) u srednjim školama </w:t>
            </w:r>
          </w:p>
        </w:tc>
      </w:tr>
      <w:tr w:rsidR="008273B8" w14:paraId="7A5394A8"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A4" w14:textId="77777777" w:rsidR="008273B8" w:rsidRDefault="00B93063">
            <w:pPr>
              <w:pStyle w:val="P68B1DB1-Normal19"/>
              <w:spacing w:after="0" w:line="240" w:lineRule="auto"/>
              <w:jc w:val="center"/>
              <w:rPr>
                <w:rFonts w:eastAsia="Times New Roman" w:cs="Times New Roman"/>
                <w:noProof/>
              </w:rPr>
            </w:pPr>
            <w:r>
              <w:rPr>
                <w:noProof/>
              </w:rPr>
              <w:t>6.1</w:t>
            </w:r>
          </w:p>
        </w:tc>
        <w:tc>
          <w:tcPr>
            <w:tcW w:w="1159" w:type="dxa"/>
            <w:tcBorders>
              <w:top w:val="nil"/>
              <w:left w:val="nil"/>
              <w:bottom w:val="single" w:sz="4" w:space="0" w:color="auto"/>
              <w:right w:val="single" w:sz="4" w:space="0" w:color="auto"/>
            </w:tcBorders>
            <w:shd w:val="clear" w:color="auto" w:fill="C6EFCE"/>
            <w:hideMark/>
          </w:tcPr>
          <w:p w14:paraId="7A5394A5" w14:textId="77777777" w:rsidR="008273B8" w:rsidRDefault="00B93063">
            <w:pPr>
              <w:pStyle w:val="P68B1DB1-Normal19"/>
              <w:spacing w:after="0" w:line="240" w:lineRule="auto"/>
              <w:jc w:val="center"/>
              <w:rPr>
                <w:rFonts w:eastAsia="Times New Roman" w:cs="Times New Roman"/>
                <w:noProof/>
              </w:rPr>
            </w:pPr>
            <w:r>
              <w:rPr>
                <w:noProof/>
              </w:rPr>
              <w:t xml:space="preserve">C6.R.1 </w:t>
            </w:r>
          </w:p>
        </w:tc>
        <w:tc>
          <w:tcPr>
            <w:tcW w:w="1116" w:type="dxa"/>
            <w:tcBorders>
              <w:top w:val="nil"/>
              <w:left w:val="nil"/>
              <w:bottom w:val="single" w:sz="4" w:space="0" w:color="auto"/>
              <w:right w:val="single" w:sz="4" w:space="0" w:color="auto"/>
            </w:tcBorders>
            <w:shd w:val="clear" w:color="auto" w:fill="C6EFCE"/>
            <w:hideMark/>
          </w:tcPr>
          <w:p w14:paraId="7A5394A6"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57" w:type="dxa"/>
            <w:tcBorders>
              <w:top w:val="nil"/>
              <w:left w:val="nil"/>
              <w:bottom w:val="single" w:sz="4" w:space="0" w:color="auto"/>
              <w:right w:val="single" w:sz="4" w:space="0" w:color="auto"/>
            </w:tcBorders>
            <w:shd w:val="clear" w:color="auto" w:fill="C6EFCE"/>
            <w:hideMark/>
          </w:tcPr>
          <w:p w14:paraId="7A5394A7" w14:textId="77777777" w:rsidR="008273B8" w:rsidRDefault="00B93063">
            <w:pPr>
              <w:pStyle w:val="P68B1DB1-Normal19"/>
              <w:spacing w:after="0" w:line="240" w:lineRule="auto"/>
              <w:rPr>
                <w:rFonts w:eastAsia="Times New Roman" w:cs="Times New Roman"/>
                <w:noProof/>
              </w:rPr>
            </w:pPr>
            <w:r>
              <w:rPr>
                <w:noProof/>
              </w:rPr>
              <w:t>Stupanje na snagu Zakona XLV iz 2020.; i Zakon XLIII. iz 2020.</w:t>
            </w:r>
          </w:p>
        </w:tc>
      </w:tr>
      <w:tr w:rsidR="008273B8" w14:paraId="7A5394AD"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A9" w14:textId="77777777" w:rsidR="008273B8" w:rsidRDefault="00B93063">
            <w:pPr>
              <w:pStyle w:val="P68B1DB1-Normal19"/>
              <w:spacing w:after="0" w:line="240" w:lineRule="auto"/>
              <w:jc w:val="center"/>
              <w:rPr>
                <w:rFonts w:eastAsia="Times New Roman" w:cs="Times New Roman"/>
                <w:noProof/>
              </w:rPr>
            </w:pPr>
            <w:r>
              <w:rPr>
                <w:noProof/>
              </w:rPr>
              <w:t>6.2</w:t>
            </w:r>
          </w:p>
        </w:tc>
        <w:tc>
          <w:tcPr>
            <w:tcW w:w="1159" w:type="dxa"/>
            <w:tcBorders>
              <w:top w:val="nil"/>
              <w:left w:val="nil"/>
              <w:bottom w:val="single" w:sz="4" w:space="0" w:color="auto"/>
              <w:right w:val="single" w:sz="4" w:space="0" w:color="auto"/>
            </w:tcBorders>
            <w:shd w:val="clear" w:color="auto" w:fill="C6EFCE"/>
            <w:hideMark/>
          </w:tcPr>
          <w:p w14:paraId="7A5394AA" w14:textId="77777777" w:rsidR="008273B8" w:rsidRDefault="00B93063">
            <w:pPr>
              <w:pStyle w:val="P68B1DB1-Normal19"/>
              <w:spacing w:after="0" w:line="240" w:lineRule="auto"/>
              <w:jc w:val="center"/>
              <w:rPr>
                <w:rFonts w:eastAsia="Times New Roman" w:cs="Times New Roman"/>
                <w:noProof/>
              </w:rPr>
            </w:pPr>
            <w:r>
              <w:rPr>
                <w:noProof/>
              </w:rPr>
              <w:t xml:space="preserve">C6.R.1 </w:t>
            </w:r>
          </w:p>
        </w:tc>
        <w:tc>
          <w:tcPr>
            <w:tcW w:w="1116" w:type="dxa"/>
            <w:tcBorders>
              <w:top w:val="nil"/>
              <w:left w:val="nil"/>
              <w:bottom w:val="single" w:sz="4" w:space="0" w:color="auto"/>
              <w:right w:val="single" w:sz="4" w:space="0" w:color="auto"/>
            </w:tcBorders>
            <w:shd w:val="clear" w:color="auto" w:fill="C6EFCE"/>
            <w:hideMark/>
          </w:tcPr>
          <w:p w14:paraId="7A5394AB"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5057" w:type="dxa"/>
            <w:tcBorders>
              <w:top w:val="nil"/>
              <w:left w:val="nil"/>
              <w:bottom w:val="single" w:sz="4" w:space="0" w:color="auto"/>
              <w:right w:val="single" w:sz="4" w:space="0" w:color="auto"/>
            </w:tcBorders>
            <w:shd w:val="clear" w:color="auto" w:fill="C6EFCE"/>
            <w:hideMark/>
          </w:tcPr>
          <w:p w14:paraId="7A5394AC" w14:textId="77777777" w:rsidR="008273B8" w:rsidRDefault="00B93063">
            <w:pPr>
              <w:pStyle w:val="P68B1DB1-Normal19"/>
              <w:spacing w:after="0" w:line="240" w:lineRule="auto"/>
              <w:rPr>
                <w:rFonts w:eastAsia="Times New Roman" w:cs="Times New Roman"/>
                <w:noProof/>
              </w:rPr>
            </w:pPr>
            <w:r>
              <w:rPr>
                <w:noProof/>
              </w:rPr>
              <w:t xml:space="preserve">Dodatni članovi sudstva </w:t>
            </w:r>
          </w:p>
        </w:tc>
      </w:tr>
      <w:tr w:rsidR="008273B8" w14:paraId="7A5394B2" w14:textId="77777777">
        <w:trPr>
          <w:cantSplit/>
          <w:trHeight w:val="569"/>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AE" w14:textId="77777777" w:rsidR="008273B8" w:rsidRDefault="00B93063">
            <w:pPr>
              <w:pStyle w:val="P68B1DB1-Normal19"/>
              <w:spacing w:after="0" w:line="240" w:lineRule="auto"/>
              <w:jc w:val="center"/>
              <w:rPr>
                <w:rFonts w:eastAsia="Times New Roman" w:cs="Times New Roman"/>
                <w:noProof/>
              </w:rPr>
            </w:pPr>
            <w:r>
              <w:rPr>
                <w:noProof/>
              </w:rPr>
              <w:t>6.9</w:t>
            </w:r>
          </w:p>
        </w:tc>
        <w:tc>
          <w:tcPr>
            <w:tcW w:w="1159" w:type="dxa"/>
            <w:tcBorders>
              <w:top w:val="nil"/>
              <w:left w:val="nil"/>
              <w:bottom w:val="single" w:sz="4" w:space="0" w:color="auto"/>
              <w:right w:val="single" w:sz="4" w:space="0" w:color="auto"/>
            </w:tcBorders>
            <w:shd w:val="clear" w:color="auto" w:fill="C6EFCE"/>
            <w:hideMark/>
          </w:tcPr>
          <w:p w14:paraId="7A5394AF" w14:textId="77777777" w:rsidR="008273B8" w:rsidRDefault="00B93063">
            <w:pPr>
              <w:pStyle w:val="P68B1DB1-Normal19"/>
              <w:spacing w:after="0" w:line="240" w:lineRule="auto"/>
              <w:jc w:val="center"/>
              <w:rPr>
                <w:rFonts w:eastAsia="Times New Roman" w:cs="Times New Roman"/>
                <w:noProof/>
              </w:rPr>
            </w:pPr>
            <w:r>
              <w:rPr>
                <w:noProof/>
              </w:rPr>
              <w:t xml:space="preserve">C6.R.2 </w:t>
            </w:r>
          </w:p>
        </w:tc>
        <w:tc>
          <w:tcPr>
            <w:tcW w:w="1116" w:type="dxa"/>
            <w:tcBorders>
              <w:top w:val="nil"/>
              <w:left w:val="nil"/>
              <w:bottom w:val="single" w:sz="4" w:space="0" w:color="auto"/>
              <w:right w:val="single" w:sz="4" w:space="0" w:color="auto"/>
            </w:tcBorders>
            <w:shd w:val="clear" w:color="auto" w:fill="C6EFCE"/>
            <w:hideMark/>
          </w:tcPr>
          <w:p w14:paraId="7A5394B0"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57" w:type="dxa"/>
            <w:tcBorders>
              <w:top w:val="nil"/>
              <w:left w:val="nil"/>
              <w:bottom w:val="single" w:sz="4" w:space="0" w:color="auto"/>
              <w:right w:val="single" w:sz="4" w:space="0" w:color="auto"/>
            </w:tcBorders>
            <w:shd w:val="clear" w:color="auto" w:fill="C6EFCE"/>
            <w:hideMark/>
          </w:tcPr>
          <w:p w14:paraId="7A5394B1" w14:textId="77777777" w:rsidR="008273B8" w:rsidRDefault="00B93063">
            <w:pPr>
              <w:pStyle w:val="P68B1DB1-Normal19"/>
              <w:spacing w:after="0" w:line="240" w:lineRule="auto"/>
              <w:rPr>
                <w:rFonts w:eastAsia="Times New Roman" w:cs="Times New Roman"/>
                <w:noProof/>
              </w:rPr>
            </w:pPr>
            <w:r>
              <w:rPr>
                <w:noProof/>
              </w:rPr>
              <w:t>Stupanje na snagu Zakona br. XXVIII iz 2021. pod naslovom Kazneni zakon (izmjena br. 5)</w:t>
            </w:r>
          </w:p>
        </w:tc>
      </w:tr>
      <w:tr w:rsidR="008273B8" w14:paraId="7A5394B7"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B3" w14:textId="77777777" w:rsidR="008273B8" w:rsidRDefault="00B93063">
            <w:pPr>
              <w:pStyle w:val="P68B1DB1-Normal19"/>
              <w:spacing w:after="0" w:line="240" w:lineRule="auto"/>
              <w:jc w:val="center"/>
              <w:rPr>
                <w:rFonts w:eastAsia="Times New Roman" w:cs="Times New Roman"/>
                <w:noProof/>
              </w:rPr>
            </w:pPr>
            <w:r>
              <w:rPr>
                <w:noProof/>
              </w:rPr>
              <w:t>6.10</w:t>
            </w:r>
          </w:p>
        </w:tc>
        <w:tc>
          <w:tcPr>
            <w:tcW w:w="1159" w:type="dxa"/>
            <w:tcBorders>
              <w:top w:val="nil"/>
              <w:left w:val="nil"/>
              <w:bottom w:val="single" w:sz="4" w:space="0" w:color="auto"/>
              <w:right w:val="single" w:sz="4" w:space="0" w:color="auto"/>
            </w:tcBorders>
            <w:shd w:val="clear" w:color="auto" w:fill="C6EFCE"/>
            <w:hideMark/>
          </w:tcPr>
          <w:p w14:paraId="7A5394B4" w14:textId="77777777" w:rsidR="008273B8" w:rsidRDefault="00B93063">
            <w:pPr>
              <w:pStyle w:val="P68B1DB1-Normal19"/>
              <w:spacing w:after="0" w:line="240" w:lineRule="auto"/>
              <w:jc w:val="center"/>
              <w:rPr>
                <w:rFonts w:eastAsia="Times New Roman" w:cs="Times New Roman"/>
                <w:noProof/>
              </w:rPr>
            </w:pPr>
            <w:r>
              <w:rPr>
                <w:noProof/>
              </w:rPr>
              <w:t xml:space="preserve">C6.R.3 </w:t>
            </w:r>
          </w:p>
        </w:tc>
        <w:tc>
          <w:tcPr>
            <w:tcW w:w="1116" w:type="dxa"/>
            <w:tcBorders>
              <w:top w:val="nil"/>
              <w:left w:val="nil"/>
              <w:bottom w:val="single" w:sz="4" w:space="0" w:color="auto"/>
              <w:right w:val="single" w:sz="4" w:space="0" w:color="auto"/>
            </w:tcBorders>
            <w:shd w:val="clear" w:color="auto" w:fill="C6EFCE"/>
            <w:hideMark/>
          </w:tcPr>
          <w:p w14:paraId="7A5394B5"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57" w:type="dxa"/>
            <w:tcBorders>
              <w:top w:val="nil"/>
              <w:left w:val="nil"/>
              <w:bottom w:val="single" w:sz="4" w:space="0" w:color="auto"/>
              <w:right w:val="single" w:sz="4" w:space="0" w:color="auto"/>
            </w:tcBorders>
            <w:shd w:val="clear" w:color="auto" w:fill="C6EFCE"/>
            <w:hideMark/>
          </w:tcPr>
          <w:p w14:paraId="7A5394B6" w14:textId="77777777" w:rsidR="008273B8" w:rsidRDefault="00B93063">
            <w:pPr>
              <w:pStyle w:val="P68B1DB1-Normal19"/>
              <w:spacing w:after="0" w:line="240" w:lineRule="auto"/>
              <w:rPr>
                <w:rFonts w:eastAsia="Times New Roman" w:cs="Times New Roman"/>
                <w:noProof/>
              </w:rPr>
            </w:pPr>
            <w:r>
              <w:rPr>
                <w:noProof/>
              </w:rPr>
              <w:t xml:space="preserve">Ažuriranje Nacionalne strategije za borbu protiv prijevara i korupcije iz 2008. </w:t>
            </w:r>
          </w:p>
        </w:tc>
      </w:tr>
      <w:tr w:rsidR="008273B8" w14:paraId="7A5394BC"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B8" w14:textId="77777777" w:rsidR="008273B8" w:rsidRDefault="00B93063">
            <w:pPr>
              <w:pStyle w:val="P68B1DB1-Normal19"/>
              <w:spacing w:after="0" w:line="240" w:lineRule="auto"/>
              <w:jc w:val="center"/>
              <w:rPr>
                <w:rFonts w:eastAsia="Times New Roman" w:cs="Times New Roman"/>
                <w:noProof/>
              </w:rPr>
            </w:pPr>
            <w:r>
              <w:rPr>
                <w:noProof/>
              </w:rPr>
              <w:t>6.15</w:t>
            </w:r>
          </w:p>
        </w:tc>
        <w:tc>
          <w:tcPr>
            <w:tcW w:w="1159" w:type="dxa"/>
            <w:tcBorders>
              <w:top w:val="nil"/>
              <w:left w:val="nil"/>
              <w:bottom w:val="single" w:sz="4" w:space="0" w:color="auto"/>
              <w:right w:val="single" w:sz="4" w:space="0" w:color="auto"/>
            </w:tcBorders>
            <w:shd w:val="clear" w:color="auto" w:fill="C6EFCE"/>
            <w:hideMark/>
          </w:tcPr>
          <w:p w14:paraId="7A5394B9" w14:textId="77777777" w:rsidR="008273B8" w:rsidRDefault="00B93063">
            <w:pPr>
              <w:pStyle w:val="P68B1DB1-Normal19"/>
              <w:spacing w:after="0" w:line="240" w:lineRule="auto"/>
              <w:jc w:val="center"/>
              <w:rPr>
                <w:rFonts w:eastAsia="Times New Roman" w:cs="Times New Roman"/>
                <w:noProof/>
              </w:rPr>
            </w:pPr>
            <w:r>
              <w:rPr>
                <w:noProof/>
              </w:rPr>
              <w:t xml:space="preserve">C6.R.4 </w:t>
            </w:r>
          </w:p>
        </w:tc>
        <w:tc>
          <w:tcPr>
            <w:tcW w:w="1116" w:type="dxa"/>
            <w:tcBorders>
              <w:top w:val="nil"/>
              <w:left w:val="nil"/>
              <w:bottom w:val="single" w:sz="4" w:space="0" w:color="auto"/>
              <w:right w:val="single" w:sz="4" w:space="0" w:color="auto"/>
            </w:tcBorders>
            <w:shd w:val="clear" w:color="auto" w:fill="C6EFCE"/>
            <w:hideMark/>
          </w:tcPr>
          <w:p w14:paraId="7A5394BA"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57" w:type="dxa"/>
            <w:tcBorders>
              <w:top w:val="nil"/>
              <w:left w:val="nil"/>
              <w:bottom w:val="single" w:sz="4" w:space="0" w:color="auto"/>
              <w:right w:val="single" w:sz="4" w:space="0" w:color="auto"/>
            </w:tcBorders>
            <w:shd w:val="clear" w:color="auto" w:fill="C6EFCE"/>
            <w:hideMark/>
          </w:tcPr>
          <w:p w14:paraId="7A5394BB" w14:textId="77777777" w:rsidR="008273B8" w:rsidRDefault="00B93063">
            <w:pPr>
              <w:pStyle w:val="P68B1DB1-Normal19"/>
              <w:spacing w:after="0" w:line="240" w:lineRule="auto"/>
              <w:rPr>
                <w:rFonts w:eastAsia="Times New Roman" w:cs="Times New Roman"/>
                <w:noProof/>
              </w:rPr>
            </w:pPr>
            <w:r>
              <w:rPr>
                <w:noProof/>
              </w:rPr>
              <w:t xml:space="preserve">Stupanje na snagu Zakona XLVI. iz 2020. </w:t>
            </w:r>
          </w:p>
        </w:tc>
      </w:tr>
      <w:tr w:rsidR="008273B8" w14:paraId="7A5394C1"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BD" w14:textId="77777777" w:rsidR="008273B8" w:rsidRDefault="00B93063">
            <w:pPr>
              <w:pStyle w:val="P68B1DB1-Normal19"/>
              <w:spacing w:after="0" w:line="240" w:lineRule="auto"/>
              <w:jc w:val="center"/>
              <w:rPr>
                <w:rFonts w:eastAsia="Times New Roman" w:cs="Times New Roman"/>
                <w:noProof/>
              </w:rPr>
            </w:pPr>
            <w:r>
              <w:rPr>
                <w:noProof/>
              </w:rPr>
              <w:t>6.20</w:t>
            </w:r>
          </w:p>
        </w:tc>
        <w:tc>
          <w:tcPr>
            <w:tcW w:w="1159" w:type="dxa"/>
            <w:tcBorders>
              <w:top w:val="nil"/>
              <w:left w:val="nil"/>
              <w:bottom w:val="single" w:sz="4" w:space="0" w:color="auto"/>
              <w:right w:val="single" w:sz="4" w:space="0" w:color="auto"/>
            </w:tcBorders>
            <w:shd w:val="clear" w:color="auto" w:fill="C6EFCE"/>
            <w:hideMark/>
          </w:tcPr>
          <w:p w14:paraId="7A5394BE" w14:textId="77777777" w:rsidR="008273B8" w:rsidRDefault="00B93063">
            <w:pPr>
              <w:pStyle w:val="P68B1DB1-Normal19"/>
              <w:spacing w:after="0" w:line="240" w:lineRule="auto"/>
              <w:jc w:val="center"/>
              <w:rPr>
                <w:rFonts w:eastAsia="Times New Roman" w:cs="Times New Roman"/>
                <w:noProof/>
              </w:rPr>
            </w:pPr>
            <w:r>
              <w:rPr>
                <w:noProof/>
              </w:rPr>
              <w:t xml:space="preserve">C6.R.5 </w:t>
            </w:r>
          </w:p>
        </w:tc>
        <w:tc>
          <w:tcPr>
            <w:tcW w:w="1116" w:type="dxa"/>
            <w:tcBorders>
              <w:top w:val="nil"/>
              <w:left w:val="nil"/>
              <w:bottom w:val="single" w:sz="4" w:space="0" w:color="auto"/>
              <w:right w:val="single" w:sz="4" w:space="0" w:color="auto"/>
            </w:tcBorders>
            <w:shd w:val="clear" w:color="auto" w:fill="C6EFCE"/>
            <w:hideMark/>
          </w:tcPr>
          <w:p w14:paraId="7A5394BF"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57" w:type="dxa"/>
            <w:tcBorders>
              <w:top w:val="nil"/>
              <w:left w:val="nil"/>
              <w:bottom w:val="single" w:sz="4" w:space="0" w:color="auto"/>
              <w:right w:val="single" w:sz="4" w:space="0" w:color="auto"/>
            </w:tcBorders>
            <w:shd w:val="clear" w:color="auto" w:fill="C6EFCE"/>
            <w:hideMark/>
          </w:tcPr>
          <w:p w14:paraId="7A5394C0" w14:textId="77777777" w:rsidR="008273B8" w:rsidRDefault="00B93063">
            <w:pPr>
              <w:pStyle w:val="P68B1DB1-Normal19"/>
              <w:spacing w:after="0" w:line="240" w:lineRule="auto"/>
              <w:rPr>
                <w:rFonts w:eastAsia="Times New Roman" w:cs="Times New Roman"/>
                <w:noProof/>
              </w:rPr>
            </w:pPr>
            <w:r>
              <w:rPr>
                <w:noProof/>
              </w:rPr>
              <w:t>Stupanje na snagu Zakona o imovinskoj koristi ostvarenoj kaznenim djelom V. iz 2021.</w:t>
            </w:r>
          </w:p>
        </w:tc>
      </w:tr>
      <w:tr w:rsidR="008273B8" w14:paraId="7A5394C6"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C2" w14:textId="77777777" w:rsidR="008273B8" w:rsidRDefault="00B93063">
            <w:pPr>
              <w:pStyle w:val="P68B1DB1-Normal19"/>
              <w:spacing w:after="0" w:line="240" w:lineRule="auto"/>
              <w:jc w:val="center"/>
              <w:rPr>
                <w:rFonts w:eastAsia="Times New Roman" w:cs="Times New Roman"/>
                <w:noProof/>
              </w:rPr>
            </w:pPr>
            <w:r>
              <w:rPr>
                <w:noProof/>
              </w:rPr>
              <w:t>6.21</w:t>
            </w:r>
          </w:p>
        </w:tc>
        <w:tc>
          <w:tcPr>
            <w:tcW w:w="1159" w:type="dxa"/>
            <w:tcBorders>
              <w:top w:val="nil"/>
              <w:left w:val="nil"/>
              <w:bottom w:val="single" w:sz="4" w:space="0" w:color="auto"/>
              <w:right w:val="single" w:sz="4" w:space="0" w:color="auto"/>
            </w:tcBorders>
            <w:shd w:val="clear" w:color="auto" w:fill="C6EFCE"/>
            <w:hideMark/>
          </w:tcPr>
          <w:p w14:paraId="7A5394C3" w14:textId="77777777" w:rsidR="008273B8" w:rsidRDefault="00B93063">
            <w:pPr>
              <w:pStyle w:val="P68B1DB1-Normal19"/>
              <w:spacing w:after="0" w:line="240" w:lineRule="auto"/>
              <w:jc w:val="center"/>
              <w:rPr>
                <w:rFonts w:eastAsia="Times New Roman" w:cs="Times New Roman"/>
                <w:noProof/>
              </w:rPr>
            </w:pPr>
            <w:r>
              <w:rPr>
                <w:noProof/>
              </w:rPr>
              <w:t xml:space="preserve">C6.R.6 </w:t>
            </w:r>
          </w:p>
        </w:tc>
        <w:tc>
          <w:tcPr>
            <w:tcW w:w="1116" w:type="dxa"/>
            <w:tcBorders>
              <w:top w:val="nil"/>
              <w:left w:val="nil"/>
              <w:bottom w:val="single" w:sz="4" w:space="0" w:color="auto"/>
              <w:right w:val="single" w:sz="4" w:space="0" w:color="auto"/>
            </w:tcBorders>
            <w:shd w:val="clear" w:color="auto" w:fill="C6EFCE"/>
            <w:hideMark/>
          </w:tcPr>
          <w:p w14:paraId="7A5394C4"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57" w:type="dxa"/>
            <w:tcBorders>
              <w:top w:val="nil"/>
              <w:left w:val="nil"/>
              <w:bottom w:val="single" w:sz="4" w:space="0" w:color="auto"/>
              <w:right w:val="single" w:sz="4" w:space="0" w:color="auto"/>
            </w:tcBorders>
            <w:shd w:val="clear" w:color="auto" w:fill="C6EFCE"/>
            <w:hideMark/>
          </w:tcPr>
          <w:p w14:paraId="7A5394C5" w14:textId="77777777" w:rsidR="008273B8" w:rsidRDefault="00B93063">
            <w:pPr>
              <w:pStyle w:val="P68B1DB1-Normal19"/>
              <w:spacing w:after="0" w:line="240" w:lineRule="auto"/>
              <w:rPr>
                <w:rFonts w:eastAsia="Times New Roman" w:cs="Times New Roman"/>
                <w:noProof/>
              </w:rPr>
            </w:pPr>
            <w:r>
              <w:rPr>
                <w:noProof/>
              </w:rPr>
              <w:t xml:space="preserve">Stupanje na snagu Zakona XIX. iz 2020. o izmjeni Zakona o policiji </w:t>
            </w:r>
          </w:p>
        </w:tc>
      </w:tr>
      <w:tr w:rsidR="008273B8" w14:paraId="7A5394CB"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C7" w14:textId="77777777" w:rsidR="008273B8" w:rsidRDefault="00B93063">
            <w:pPr>
              <w:pStyle w:val="P68B1DB1-Normal19"/>
              <w:spacing w:after="0" w:line="240" w:lineRule="auto"/>
              <w:jc w:val="center"/>
              <w:rPr>
                <w:rFonts w:eastAsia="Times New Roman" w:cs="Times New Roman"/>
                <w:noProof/>
              </w:rPr>
            </w:pPr>
            <w:r>
              <w:rPr>
                <w:noProof/>
              </w:rPr>
              <w:t>6.22</w:t>
            </w:r>
          </w:p>
        </w:tc>
        <w:tc>
          <w:tcPr>
            <w:tcW w:w="1159" w:type="dxa"/>
            <w:tcBorders>
              <w:top w:val="nil"/>
              <w:left w:val="nil"/>
              <w:bottom w:val="single" w:sz="4" w:space="0" w:color="auto"/>
              <w:right w:val="single" w:sz="4" w:space="0" w:color="auto"/>
            </w:tcBorders>
            <w:shd w:val="clear" w:color="auto" w:fill="C6EFCE"/>
            <w:hideMark/>
          </w:tcPr>
          <w:p w14:paraId="7A5394C8" w14:textId="77777777" w:rsidR="008273B8" w:rsidRDefault="00B93063">
            <w:pPr>
              <w:pStyle w:val="P68B1DB1-Normal19"/>
              <w:spacing w:after="0" w:line="240" w:lineRule="auto"/>
              <w:jc w:val="center"/>
              <w:rPr>
                <w:rFonts w:eastAsia="Times New Roman" w:cs="Times New Roman"/>
                <w:noProof/>
              </w:rPr>
            </w:pPr>
            <w:r>
              <w:rPr>
                <w:noProof/>
              </w:rPr>
              <w:t xml:space="preserve">C6.R.7 </w:t>
            </w:r>
          </w:p>
        </w:tc>
        <w:tc>
          <w:tcPr>
            <w:tcW w:w="1116" w:type="dxa"/>
            <w:tcBorders>
              <w:top w:val="nil"/>
              <w:left w:val="nil"/>
              <w:bottom w:val="single" w:sz="4" w:space="0" w:color="auto"/>
              <w:right w:val="single" w:sz="4" w:space="0" w:color="auto"/>
            </w:tcBorders>
            <w:shd w:val="clear" w:color="auto" w:fill="C6EFCE"/>
            <w:hideMark/>
          </w:tcPr>
          <w:p w14:paraId="7A5394C9"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57" w:type="dxa"/>
            <w:tcBorders>
              <w:top w:val="nil"/>
              <w:left w:val="nil"/>
              <w:bottom w:val="single" w:sz="4" w:space="0" w:color="auto"/>
              <w:right w:val="single" w:sz="4" w:space="0" w:color="auto"/>
            </w:tcBorders>
            <w:shd w:val="clear" w:color="auto" w:fill="C6EFCE"/>
            <w:hideMark/>
          </w:tcPr>
          <w:p w14:paraId="7A5394CA" w14:textId="77777777" w:rsidR="008273B8" w:rsidRDefault="00B93063">
            <w:pPr>
              <w:pStyle w:val="P68B1DB1-Normal19"/>
              <w:spacing w:after="0" w:line="240" w:lineRule="auto"/>
              <w:rPr>
                <w:rFonts w:eastAsia="Times New Roman" w:cs="Times New Roman"/>
                <w:noProof/>
              </w:rPr>
            </w:pPr>
            <w:r>
              <w:rPr>
                <w:noProof/>
              </w:rPr>
              <w:t>Stupanje na snagu Zakona br. XLI iz 2020. o sudskom preispitivanju odluka o nepokretanju kaznenog progona od strane glavnog državnog odvjetnika</w:t>
            </w:r>
          </w:p>
        </w:tc>
      </w:tr>
      <w:tr w:rsidR="008273B8" w14:paraId="7A5394D0"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CC" w14:textId="77777777" w:rsidR="008273B8" w:rsidRDefault="00B93063">
            <w:pPr>
              <w:pStyle w:val="P68B1DB1-Normal19"/>
              <w:spacing w:after="0" w:line="240" w:lineRule="auto"/>
              <w:jc w:val="center"/>
              <w:rPr>
                <w:rFonts w:eastAsia="Times New Roman" w:cs="Times New Roman"/>
                <w:noProof/>
              </w:rPr>
            </w:pPr>
            <w:r>
              <w:rPr>
                <w:noProof/>
              </w:rPr>
              <w:t>6.30</w:t>
            </w:r>
          </w:p>
        </w:tc>
        <w:tc>
          <w:tcPr>
            <w:tcW w:w="1159" w:type="dxa"/>
            <w:tcBorders>
              <w:top w:val="nil"/>
              <w:left w:val="nil"/>
              <w:bottom w:val="single" w:sz="4" w:space="0" w:color="auto"/>
              <w:right w:val="single" w:sz="4" w:space="0" w:color="auto"/>
            </w:tcBorders>
            <w:shd w:val="clear" w:color="auto" w:fill="C6EFCE"/>
            <w:hideMark/>
          </w:tcPr>
          <w:p w14:paraId="7A5394CD" w14:textId="77777777" w:rsidR="008273B8" w:rsidRDefault="00B93063">
            <w:pPr>
              <w:pStyle w:val="P68B1DB1-Normal19"/>
              <w:spacing w:after="0" w:line="240" w:lineRule="auto"/>
              <w:jc w:val="center"/>
              <w:rPr>
                <w:rFonts w:eastAsia="Times New Roman" w:cs="Times New Roman"/>
                <w:noProof/>
              </w:rPr>
            </w:pPr>
            <w:r>
              <w:rPr>
                <w:noProof/>
              </w:rPr>
              <w:t xml:space="preserve">C6.R.10 </w:t>
            </w:r>
          </w:p>
        </w:tc>
        <w:tc>
          <w:tcPr>
            <w:tcW w:w="1116" w:type="dxa"/>
            <w:tcBorders>
              <w:top w:val="nil"/>
              <w:left w:val="nil"/>
              <w:bottom w:val="single" w:sz="4" w:space="0" w:color="auto"/>
              <w:right w:val="single" w:sz="4" w:space="0" w:color="auto"/>
            </w:tcBorders>
            <w:shd w:val="clear" w:color="auto" w:fill="C6EFCE"/>
            <w:hideMark/>
          </w:tcPr>
          <w:p w14:paraId="7A5394CE"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57" w:type="dxa"/>
            <w:tcBorders>
              <w:top w:val="nil"/>
              <w:left w:val="nil"/>
              <w:bottom w:val="single" w:sz="4" w:space="0" w:color="auto"/>
              <w:right w:val="single" w:sz="4" w:space="0" w:color="auto"/>
            </w:tcBorders>
            <w:shd w:val="clear" w:color="auto" w:fill="C6EFCE"/>
            <w:hideMark/>
          </w:tcPr>
          <w:p w14:paraId="7A5394CF" w14:textId="77777777" w:rsidR="008273B8" w:rsidRDefault="00B93063">
            <w:pPr>
              <w:pStyle w:val="P68B1DB1-Normal19"/>
              <w:spacing w:after="0" w:line="240" w:lineRule="auto"/>
              <w:rPr>
                <w:rFonts w:eastAsia="Times New Roman" w:cs="Times New Roman"/>
                <w:noProof/>
              </w:rPr>
            </w:pPr>
            <w:r>
              <w:rPr>
                <w:noProof/>
              </w:rPr>
              <w:t xml:space="preserve">Stupanje na snagu relevantne odredbe kojom se omogućuje uvođenje pravila o transfernim cijenama </w:t>
            </w:r>
          </w:p>
        </w:tc>
      </w:tr>
      <w:tr w:rsidR="008273B8" w14:paraId="7A5394D5"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D1" w14:textId="77777777" w:rsidR="008273B8" w:rsidRDefault="00B93063">
            <w:pPr>
              <w:pStyle w:val="P68B1DB1-Normal19"/>
              <w:spacing w:after="0" w:line="240" w:lineRule="auto"/>
              <w:jc w:val="center"/>
              <w:rPr>
                <w:rFonts w:eastAsia="Times New Roman" w:cs="Times New Roman"/>
                <w:noProof/>
                <w:color w:val="000000"/>
              </w:rPr>
            </w:pPr>
            <w:r>
              <w:rPr>
                <w:noProof/>
              </w:rPr>
              <w:t>6.38</w:t>
            </w:r>
          </w:p>
        </w:tc>
        <w:tc>
          <w:tcPr>
            <w:tcW w:w="1159" w:type="dxa"/>
            <w:tcBorders>
              <w:top w:val="nil"/>
              <w:left w:val="nil"/>
              <w:bottom w:val="single" w:sz="4" w:space="0" w:color="auto"/>
              <w:right w:val="single" w:sz="4" w:space="0" w:color="auto"/>
            </w:tcBorders>
            <w:shd w:val="clear" w:color="auto" w:fill="C6EFCE"/>
            <w:hideMark/>
          </w:tcPr>
          <w:p w14:paraId="7A5394D2"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C6.I.1. </w:t>
            </w:r>
          </w:p>
        </w:tc>
        <w:tc>
          <w:tcPr>
            <w:tcW w:w="1116" w:type="dxa"/>
            <w:tcBorders>
              <w:top w:val="nil"/>
              <w:left w:val="nil"/>
              <w:bottom w:val="single" w:sz="4" w:space="0" w:color="auto"/>
              <w:right w:val="single" w:sz="4" w:space="0" w:color="auto"/>
            </w:tcBorders>
            <w:shd w:val="clear" w:color="auto" w:fill="C6EFCE"/>
            <w:hideMark/>
          </w:tcPr>
          <w:p w14:paraId="7A5394D3" w14:textId="77777777" w:rsidR="008273B8" w:rsidRDefault="00B93063">
            <w:pPr>
              <w:pStyle w:val="P68B1DB1-Normal19"/>
              <w:spacing w:after="0" w:line="240" w:lineRule="auto"/>
              <w:jc w:val="center"/>
              <w:rPr>
                <w:rFonts w:eastAsia="Times New Roman" w:cs="Times New Roman"/>
                <w:noProof/>
                <w:color w:val="000000"/>
              </w:rPr>
            </w:pPr>
            <w:r>
              <w:rPr>
                <w:noProof/>
              </w:rPr>
              <w:t>Ključna etapa</w:t>
            </w:r>
          </w:p>
        </w:tc>
        <w:tc>
          <w:tcPr>
            <w:tcW w:w="5057" w:type="dxa"/>
            <w:tcBorders>
              <w:top w:val="nil"/>
              <w:left w:val="nil"/>
              <w:bottom w:val="single" w:sz="4" w:space="0" w:color="auto"/>
              <w:right w:val="single" w:sz="4" w:space="0" w:color="auto"/>
            </w:tcBorders>
            <w:shd w:val="clear" w:color="auto" w:fill="C6EFCE"/>
            <w:hideMark/>
          </w:tcPr>
          <w:p w14:paraId="7A5394D4" w14:textId="6A766839" w:rsidR="008273B8" w:rsidRDefault="00B93063">
            <w:pPr>
              <w:pStyle w:val="P68B1DB1-Normal19"/>
              <w:spacing w:after="0" w:line="240" w:lineRule="auto"/>
              <w:rPr>
                <w:rFonts w:eastAsia="Times New Roman" w:cs="Times New Roman"/>
                <w:noProof/>
                <w:color w:val="000000"/>
              </w:rPr>
            </w:pPr>
            <w:r>
              <w:rPr>
                <w:noProof/>
              </w:rPr>
              <w:t xml:space="preserve">Stupanje na snagu i. Zakona br. LIII iz 2020. (izmjena br. 2); i ii. Zakona br. III iz 2021. (izmjena br. 2) o digitalizaciji sudova. </w:t>
            </w:r>
          </w:p>
        </w:tc>
      </w:tr>
      <w:tr w:rsidR="008273B8" w14:paraId="7A5394DA" w14:textId="77777777">
        <w:trPr>
          <w:cantSplit/>
          <w:trHeight w:val="506"/>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vAlign w:val="center"/>
          </w:tcPr>
          <w:p w14:paraId="7A5394D6" w14:textId="77777777" w:rsidR="008273B8" w:rsidRDefault="008273B8">
            <w:pPr>
              <w:spacing w:after="0" w:line="240" w:lineRule="auto"/>
              <w:jc w:val="center"/>
              <w:rPr>
                <w:rFonts w:ascii="Times New Roman" w:eastAsia="Times New Roman" w:hAnsi="Times New Roman" w:cs="Times New Roman"/>
                <w:noProof/>
                <w:color w:val="000000"/>
                <w:sz w:val="18"/>
              </w:rPr>
            </w:pPr>
          </w:p>
        </w:tc>
        <w:tc>
          <w:tcPr>
            <w:tcW w:w="1159" w:type="dxa"/>
            <w:tcBorders>
              <w:top w:val="single" w:sz="4" w:space="0" w:color="auto"/>
              <w:left w:val="nil"/>
              <w:bottom w:val="single" w:sz="4" w:space="0" w:color="auto"/>
              <w:right w:val="single" w:sz="4" w:space="0" w:color="auto"/>
            </w:tcBorders>
            <w:shd w:val="clear" w:color="auto" w:fill="C6EFCE"/>
            <w:vAlign w:val="center"/>
          </w:tcPr>
          <w:p w14:paraId="7A5394D7" w14:textId="77777777" w:rsidR="008273B8" w:rsidRDefault="008273B8">
            <w:pPr>
              <w:spacing w:after="0" w:line="240" w:lineRule="auto"/>
              <w:jc w:val="center"/>
              <w:rPr>
                <w:rFonts w:ascii="Times New Roman" w:eastAsia="Times New Roman" w:hAnsi="Times New Roman" w:cs="Times New Roman"/>
                <w:noProof/>
                <w:color w:val="000000"/>
                <w:sz w:val="18"/>
              </w:rPr>
            </w:pPr>
          </w:p>
        </w:tc>
        <w:tc>
          <w:tcPr>
            <w:tcW w:w="1116" w:type="dxa"/>
            <w:tcBorders>
              <w:top w:val="single" w:sz="4" w:space="0" w:color="auto"/>
              <w:left w:val="nil"/>
              <w:bottom w:val="single" w:sz="4" w:space="0" w:color="auto"/>
              <w:right w:val="single" w:sz="4" w:space="0" w:color="auto"/>
            </w:tcBorders>
            <w:shd w:val="clear" w:color="auto" w:fill="C6EFCE"/>
            <w:vAlign w:val="bottom"/>
          </w:tcPr>
          <w:p w14:paraId="7A5394D8" w14:textId="77777777" w:rsidR="008273B8" w:rsidRDefault="00B93063">
            <w:pPr>
              <w:pStyle w:val="P68B1DB1-Normal20"/>
              <w:spacing w:after="0" w:line="240" w:lineRule="auto"/>
              <w:jc w:val="center"/>
              <w:rPr>
                <w:rFonts w:eastAsia="Times New Roman" w:cs="Times New Roman"/>
                <w:noProof/>
              </w:rPr>
            </w:pPr>
            <w:r>
              <w:rPr>
                <w:noProof/>
              </w:rPr>
              <w:t>Iznos obroka</w:t>
            </w:r>
          </w:p>
        </w:tc>
        <w:tc>
          <w:tcPr>
            <w:tcW w:w="5057" w:type="dxa"/>
            <w:tcBorders>
              <w:top w:val="single" w:sz="4" w:space="0" w:color="auto"/>
              <w:left w:val="nil"/>
              <w:bottom w:val="single" w:sz="4" w:space="0" w:color="auto"/>
              <w:right w:val="single" w:sz="4" w:space="0" w:color="auto"/>
            </w:tcBorders>
            <w:shd w:val="clear" w:color="auto" w:fill="C6EFCE"/>
            <w:vAlign w:val="bottom"/>
          </w:tcPr>
          <w:p w14:paraId="7A5394D9" w14:textId="5F3EF94A" w:rsidR="008273B8" w:rsidRDefault="00B93063">
            <w:pPr>
              <w:pStyle w:val="P68B1DB1-Normal20"/>
              <w:spacing w:after="0" w:line="240" w:lineRule="auto"/>
              <w:rPr>
                <w:rFonts w:eastAsia="Times New Roman" w:cs="Times New Roman"/>
                <w:noProof/>
              </w:rPr>
            </w:pPr>
            <w:r>
              <w:rPr>
                <w:noProof/>
              </w:rPr>
              <w:t>60116664 EURA</w:t>
            </w:r>
          </w:p>
        </w:tc>
      </w:tr>
    </w:tbl>
    <w:p w14:paraId="7A5394DC" w14:textId="77777777" w:rsidR="008273B8" w:rsidRDefault="00B93063">
      <w:pPr>
        <w:pStyle w:val="P68B1DB1-ListParagraph17"/>
        <w:numPr>
          <w:ilvl w:val="1"/>
          <w:numId w:val="43"/>
        </w:numPr>
        <w:tabs>
          <w:tab w:val="num" w:pos="850"/>
        </w:tabs>
        <w:spacing w:before="240" w:after="240" w:line="240" w:lineRule="auto"/>
        <w:jc w:val="both"/>
        <w:rPr>
          <w:rFonts w:cs="Times New Roman"/>
          <w:noProof/>
        </w:rPr>
      </w:pPr>
      <w:r>
        <w:rPr>
          <w:noProof/>
        </w:rPr>
        <w:t xml:space="preserve">Drugo postrojenje (nepovratna potpora): </w:t>
      </w:r>
    </w:p>
    <w:tbl>
      <w:tblPr>
        <w:tblW w:w="8359" w:type="dxa"/>
        <w:jc w:val="center"/>
        <w:tblLook w:val="04A0" w:firstRow="1" w:lastRow="0" w:firstColumn="1" w:lastColumn="0" w:noHBand="0" w:noVBand="1"/>
      </w:tblPr>
      <w:tblGrid>
        <w:gridCol w:w="1027"/>
        <w:gridCol w:w="1156"/>
        <w:gridCol w:w="1146"/>
        <w:gridCol w:w="5030"/>
      </w:tblGrid>
      <w:tr w:rsidR="008273B8" w14:paraId="7A5394E1" w14:textId="77777777">
        <w:trPr>
          <w:cantSplit/>
          <w:trHeight w:val="912"/>
          <w:tblHeader/>
          <w:jc w:val="center"/>
        </w:trPr>
        <w:tc>
          <w:tcPr>
            <w:tcW w:w="102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4DD" w14:textId="77777777" w:rsidR="008273B8" w:rsidRDefault="00B93063">
            <w:pPr>
              <w:pStyle w:val="P68B1DB1-Normal18"/>
              <w:spacing w:after="0" w:line="240" w:lineRule="auto"/>
              <w:jc w:val="center"/>
              <w:rPr>
                <w:rFonts w:eastAsia="Times New Roman" w:cs="Times New Roman"/>
                <w:noProof/>
              </w:rPr>
            </w:pPr>
            <w:r>
              <w:rPr>
                <w:noProof/>
              </w:rPr>
              <w:t>Redni broj</w:t>
            </w:r>
          </w:p>
        </w:tc>
        <w:tc>
          <w:tcPr>
            <w:tcW w:w="115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4DE" w14:textId="77777777" w:rsidR="008273B8" w:rsidRDefault="00B93063">
            <w:pPr>
              <w:pStyle w:val="P68B1DB1-Normal18"/>
              <w:spacing w:after="0" w:line="240" w:lineRule="auto"/>
              <w:jc w:val="center"/>
              <w:rPr>
                <w:rFonts w:eastAsia="Times New Roman" w:cs="Times New Roman"/>
                <w:noProof/>
              </w:rPr>
            </w:pPr>
            <w:r>
              <w:rPr>
                <w:noProof/>
              </w:rPr>
              <w:t>Povezana mjera (reforma ili ulaganje)</w:t>
            </w:r>
          </w:p>
        </w:tc>
        <w:tc>
          <w:tcPr>
            <w:tcW w:w="114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4DF" w14:textId="77777777" w:rsidR="008273B8" w:rsidRDefault="00B93063">
            <w:pPr>
              <w:pStyle w:val="P68B1DB1-Normal18"/>
              <w:spacing w:after="0" w:line="240" w:lineRule="auto"/>
              <w:jc w:val="center"/>
              <w:rPr>
                <w:rFonts w:eastAsia="Times New Roman" w:cs="Times New Roman"/>
                <w:noProof/>
              </w:rPr>
            </w:pPr>
            <w:r>
              <w:rPr>
                <w:noProof/>
              </w:rPr>
              <w:t>Ključna etapa/cilj</w:t>
            </w:r>
          </w:p>
        </w:tc>
        <w:tc>
          <w:tcPr>
            <w:tcW w:w="5030"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4E0" w14:textId="77777777" w:rsidR="008273B8" w:rsidRDefault="00B93063">
            <w:pPr>
              <w:pStyle w:val="P68B1DB1-Normal18"/>
              <w:spacing w:after="0" w:line="240" w:lineRule="auto"/>
              <w:jc w:val="center"/>
              <w:rPr>
                <w:rFonts w:eastAsia="Times New Roman" w:cs="Times New Roman"/>
                <w:noProof/>
              </w:rPr>
            </w:pPr>
            <w:r>
              <w:rPr>
                <w:noProof/>
              </w:rPr>
              <w:t>Ime</w:t>
            </w:r>
          </w:p>
        </w:tc>
      </w:tr>
      <w:tr w:rsidR="008273B8" w14:paraId="7A5394E6" w14:textId="77777777">
        <w:trPr>
          <w:cantSplit/>
          <w:trHeight w:val="486"/>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hideMark/>
          </w:tcPr>
          <w:p w14:paraId="7A5394E2" w14:textId="3DBBD836" w:rsidR="008273B8" w:rsidRDefault="00B93063">
            <w:pPr>
              <w:pStyle w:val="P68B1DB1-Normal19"/>
              <w:spacing w:after="0" w:line="240" w:lineRule="auto"/>
              <w:jc w:val="center"/>
              <w:rPr>
                <w:rFonts w:eastAsia="Times New Roman" w:cs="Times New Roman"/>
                <w:noProof/>
              </w:rPr>
            </w:pPr>
            <w:r>
              <w:rPr>
                <w:noProof/>
              </w:rPr>
              <w:t>1.3</w:t>
            </w:r>
          </w:p>
        </w:tc>
        <w:tc>
          <w:tcPr>
            <w:tcW w:w="1156" w:type="dxa"/>
            <w:tcBorders>
              <w:top w:val="single" w:sz="4" w:space="0" w:color="auto"/>
              <w:left w:val="nil"/>
              <w:bottom w:val="single" w:sz="4" w:space="0" w:color="auto"/>
              <w:right w:val="single" w:sz="4" w:space="0" w:color="auto"/>
            </w:tcBorders>
            <w:shd w:val="clear" w:color="auto" w:fill="C6EFCE"/>
            <w:hideMark/>
          </w:tcPr>
          <w:p w14:paraId="7A5394E3" w14:textId="77777777" w:rsidR="008273B8" w:rsidRDefault="00B93063">
            <w:pPr>
              <w:pStyle w:val="P68B1DB1-Normal19"/>
              <w:spacing w:after="0" w:line="240" w:lineRule="auto"/>
              <w:jc w:val="center"/>
              <w:rPr>
                <w:rFonts w:eastAsia="Times New Roman" w:cs="Times New Roman"/>
                <w:noProof/>
              </w:rPr>
            </w:pPr>
            <w:r>
              <w:rPr>
                <w:noProof/>
              </w:rPr>
              <w:t xml:space="preserve">C1.R.1 </w:t>
            </w:r>
          </w:p>
        </w:tc>
        <w:tc>
          <w:tcPr>
            <w:tcW w:w="1146" w:type="dxa"/>
            <w:tcBorders>
              <w:top w:val="single" w:sz="4" w:space="0" w:color="auto"/>
              <w:left w:val="nil"/>
              <w:bottom w:val="single" w:sz="4" w:space="0" w:color="auto"/>
              <w:right w:val="single" w:sz="4" w:space="0" w:color="auto"/>
            </w:tcBorders>
            <w:shd w:val="clear" w:color="auto" w:fill="C6EFCE"/>
            <w:hideMark/>
          </w:tcPr>
          <w:p w14:paraId="7A5394E4"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single" w:sz="4" w:space="0" w:color="auto"/>
              <w:left w:val="nil"/>
              <w:bottom w:val="single" w:sz="4" w:space="0" w:color="auto"/>
              <w:right w:val="single" w:sz="4" w:space="0" w:color="auto"/>
            </w:tcBorders>
            <w:shd w:val="clear" w:color="auto" w:fill="C6EFCE"/>
            <w:hideMark/>
          </w:tcPr>
          <w:p w14:paraId="7A5394E5" w14:textId="77777777" w:rsidR="008273B8" w:rsidRDefault="00B93063">
            <w:pPr>
              <w:pStyle w:val="P68B1DB1-Normal19"/>
              <w:spacing w:after="0" w:line="240" w:lineRule="auto"/>
              <w:rPr>
                <w:rFonts w:eastAsia="Times New Roman" w:cs="Times New Roman"/>
                <w:noProof/>
              </w:rPr>
            </w:pPr>
            <w:r>
              <w:rPr>
                <w:noProof/>
              </w:rPr>
              <w:t>Osposobljavanje i certificiranje stručnjaka u građevinskoj industriji</w:t>
            </w:r>
          </w:p>
        </w:tc>
      </w:tr>
      <w:tr w:rsidR="008273B8" w14:paraId="7A5394EB"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E7" w14:textId="5B88C9C7" w:rsidR="008273B8" w:rsidRDefault="00B93063">
            <w:pPr>
              <w:pStyle w:val="P68B1DB1-Normal19"/>
              <w:spacing w:after="0" w:line="240" w:lineRule="auto"/>
              <w:jc w:val="center"/>
              <w:rPr>
                <w:rFonts w:eastAsia="Times New Roman" w:cs="Times New Roman"/>
                <w:noProof/>
              </w:rPr>
            </w:pPr>
            <w:r>
              <w:rPr>
                <w:noProof/>
              </w:rPr>
              <w:t>1.9</w:t>
            </w:r>
          </w:p>
        </w:tc>
        <w:tc>
          <w:tcPr>
            <w:tcW w:w="1156" w:type="dxa"/>
            <w:tcBorders>
              <w:top w:val="nil"/>
              <w:left w:val="nil"/>
              <w:bottom w:val="single" w:sz="4" w:space="0" w:color="auto"/>
              <w:right w:val="single" w:sz="4" w:space="0" w:color="auto"/>
            </w:tcBorders>
            <w:shd w:val="clear" w:color="auto" w:fill="C6EFCE"/>
            <w:hideMark/>
          </w:tcPr>
          <w:p w14:paraId="7A5394E8" w14:textId="77777777" w:rsidR="008273B8" w:rsidRDefault="00B93063">
            <w:pPr>
              <w:pStyle w:val="P68B1DB1-Normal19"/>
              <w:spacing w:after="0" w:line="240" w:lineRule="auto"/>
              <w:jc w:val="center"/>
              <w:rPr>
                <w:rFonts w:eastAsia="Times New Roman" w:cs="Times New Roman"/>
                <w:noProof/>
              </w:rPr>
            </w:pPr>
            <w:r>
              <w:rPr>
                <w:noProof/>
              </w:rPr>
              <w:t>C1.R.2</w:t>
            </w:r>
          </w:p>
        </w:tc>
        <w:tc>
          <w:tcPr>
            <w:tcW w:w="1146" w:type="dxa"/>
            <w:tcBorders>
              <w:top w:val="nil"/>
              <w:left w:val="nil"/>
              <w:bottom w:val="single" w:sz="4" w:space="0" w:color="auto"/>
              <w:right w:val="single" w:sz="4" w:space="0" w:color="auto"/>
            </w:tcBorders>
            <w:shd w:val="clear" w:color="auto" w:fill="C6EFCE"/>
            <w:hideMark/>
          </w:tcPr>
          <w:p w14:paraId="7A5394E9"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4EA" w14:textId="77777777" w:rsidR="008273B8" w:rsidRDefault="00B93063">
            <w:pPr>
              <w:pStyle w:val="P68B1DB1-Normal19"/>
              <w:spacing w:after="0" w:line="240" w:lineRule="auto"/>
              <w:rPr>
                <w:rFonts w:eastAsia="Times New Roman" w:cs="Times New Roman"/>
                <w:noProof/>
              </w:rPr>
            </w:pPr>
            <w:r>
              <w:rPr>
                <w:noProof/>
              </w:rPr>
              <w:t>Donošenje standarda za građevinsku industriju</w:t>
            </w:r>
          </w:p>
        </w:tc>
      </w:tr>
      <w:tr w:rsidR="008273B8" w14:paraId="7A5394F0"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EC" w14:textId="257A0243" w:rsidR="008273B8" w:rsidRDefault="00B93063">
            <w:pPr>
              <w:pStyle w:val="P68B1DB1-Normal19"/>
              <w:spacing w:after="0" w:line="240" w:lineRule="auto"/>
              <w:jc w:val="center"/>
              <w:rPr>
                <w:rFonts w:eastAsia="Times New Roman" w:cs="Times New Roman"/>
                <w:noProof/>
              </w:rPr>
            </w:pPr>
            <w:r>
              <w:rPr>
                <w:noProof/>
              </w:rPr>
              <w:t>1.11</w:t>
            </w:r>
          </w:p>
        </w:tc>
        <w:tc>
          <w:tcPr>
            <w:tcW w:w="1156" w:type="dxa"/>
            <w:tcBorders>
              <w:top w:val="nil"/>
              <w:left w:val="nil"/>
              <w:bottom w:val="single" w:sz="4" w:space="0" w:color="auto"/>
              <w:right w:val="single" w:sz="4" w:space="0" w:color="auto"/>
            </w:tcBorders>
            <w:shd w:val="clear" w:color="auto" w:fill="C6EFCE"/>
            <w:hideMark/>
          </w:tcPr>
          <w:p w14:paraId="7A5394ED" w14:textId="77777777" w:rsidR="008273B8" w:rsidRDefault="00B93063">
            <w:pPr>
              <w:pStyle w:val="P68B1DB1-Normal19"/>
              <w:spacing w:after="0" w:line="240" w:lineRule="auto"/>
              <w:jc w:val="center"/>
              <w:rPr>
                <w:rFonts w:eastAsia="Times New Roman" w:cs="Times New Roman"/>
                <w:noProof/>
              </w:rPr>
            </w:pPr>
            <w:r>
              <w:rPr>
                <w:noProof/>
              </w:rPr>
              <w:t>C1.R.2</w:t>
            </w:r>
          </w:p>
        </w:tc>
        <w:tc>
          <w:tcPr>
            <w:tcW w:w="1146" w:type="dxa"/>
            <w:tcBorders>
              <w:top w:val="nil"/>
              <w:left w:val="nil"/>
              <w:bottom w:val="single" w:sz="4" w:space="0" w:color="auto"/>
              <w:right w:val="single" w:sz="4" w:space="0" w:color="auto"/>
            </w:tcBorders>
            <w:shd w:val="clear" w:color="auto" w:fill="C6EFCE"/>
            <w:hideMark/>
          </w:tcPr>
          <w:p w14:paraId="7A5394EE"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4EF" w14:textId="77777777" w:rsidR="008273B8" w:rsidRDefault="00B93063">
            <w:pPr>
              <w:pStyle w:val="P68B1DB1-Normal19"/>
              <w:spacing w:after="0" w:line="240" w:lineRule="auto"/>
              <w:rPr>
                <w:rFonts w:eastAsia="Times New Roman" w:cs="Times New Roman"/>
                <w:noProof/>
              </w:rPr>
            </w:pPr>
            <w:r>
              <w:rPr>
                <w:noProof/>
              </w:rPr>
              <w:t>Oporaba građevinskog otpada i otpada od rušenja kroz nasipavanje praznih prostora (kvaričara)</w:t>
            </w:r>
          </w:p>
        </w:tc>
      </w:tr>
      <w:tr w:rsidR="008273B8" w14:paraId="7A5394F5"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F1" w14:textId="51AE13FE" w:rsidR="008273B8" w:rsidRDefault="00B93063">
            <w:pPr>
              <w:pStyle w:val="P68B1DB1-Normal19"/>
              <w:spacing w:after="0" w:line="240" w:lineRule="auto"/>
              <w:jc w:val="center"/>
              <w:rPr>
                <w:rFonts w:eastAsia="Times New Roman" w:cs="Times New Roman"/>
                <w:noProof/>
              </w:rPr>
            </w:pPr>
            <w:r>
              <w:rPr>
                <w:noProof/>
              </w:rPr>
              <w:t>1.12</w:t>
            </w:r>
          </w:p>
        </w:tc>
        <w:tc>
          <w:tcPr>
            <w:tcW w:w="1156" w:type="dxa"/>
            <w:tcBorders>
              <w:top w:val="nil"/>
              <w:left w:val="nil"/>
              <w:bottom w:val="single" w:sz="4" w:space="0" w:color="auto"/>
              <w:right w:val="single" w:sz="4" w:space="0" w:color="auto"/>
            </w:tcBorders>
            <w:shd w:val="clear" w:color="auto" w:fill="C6EFCE"/>
            <w:hideMark/>
          </w:tcPr>
          <w:p w14:paraId="7A5394F2" w14:textId="77777777" w:rsidR="008273B8" w:rsidRDefault="00B93063">
            <w:pPr>
              <w:pStyle w:val="P68B1DB1-Normal19"/>
              <w:spacing w:after="0" w:line="240" w:lineRule="auto"/>
              <w:jc w:val="center"/>
              <w:rPr>
                <w:rFonts w:eastAsia="Times New Roman" w:cs="Times New Roman"/>
                <w:noProof/>
              </w:rPr>
            </w:pPr>
            <w:r>
              <w:rPr>
                <w:noProof/>
              </w:rPr>
              <w:t xml:space="preserve">C1.R.2 </w:t>
            </w:r>
          </w:p>
        </w:tc>
        <w:tc>
          <w:tcPr>
            <w:tcW w:w="1146" w:type="dxa"/>
            <w:tcBorders>
              <w:top w:val="nil"/>
              <w:left w:val="nil"/>
              <w:bottom w:val="single" w:sz="4" w:space="0" w:color="auto"/>
              <w:right w:val="single" w:sz="4" w:space="0" w:color="auto"/>
            </w:tcBorders>
            <w:shd w:val="clear" w:color="auto" w:fill="C6EFCE"/>
            <w:hideMark/>
          </w:tcPr>
          <w:p w14:paraId="7A5394F3"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4F4" w14:textId="77777777" w:rsidR="008273B8" w:rsidRDefault="00B93063">
            <w:pPr>
              <w:pStyle w:val="P68B1DB1-Normal19"/>
              <w:spacing w:after="0" w:line="240" w:lineRule="auto"/>
              <w:rPr>
                <w:rFonts w:eastAsia="Times New Roman" w:cs="Times New Roman"/>
                <w:noProof/>
              </w:rPr>
            </w:pPr>
            <w:r>
              <w:rPr>
                <w:noProof/>
              </w:rPr>
              <w:t>Osnivanje pet općinskih regionalnih tijela nadležnih za prikupljanje otpada diljem Malte i Goza</w:t>
            </w:r>
          </w:p>
        </w:tc>
      </w:tr>
      <w:tr w:rsidR="008273B8" w14:paraId="7A5394FA"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F6" w14:textId="5F088B4F" w:rsidR="008273B8" w:rsidRDefault="00B93063">
            <w:pPr>
              <w:pStyle w:val="P68B1DB1-Normal19"/>
              <w:spacing w:after="0" w:line="240" w:lineRule="auto"/>
              <w:jc w:val="center"/>
              <w:rPr>
                <w:rFonts w:eastAsia="Times New Roman" w:cs="Times New Roman"/>
                <w:noProof/>
              </w:rPr>
            </w:pPr>
            <w:r>
              <w:rPr>
                <w:noProof/>
              </w:rPr>
              <w:t>1.13</w:t>
            </w:r>
          </w:p>
        </w:tc>
        <w:tc>
          <w:tcPr>
            <w:tcW w:w="1156" w:type="dxa"/>
            <w:tcBorders>
              <w:top w:val="nil"/>
              <w:left w:val="nil"/>
              <w:bottom w:val="single" w:sz="4" w:space="0" w:color="auto"/>
              <w:right w:val="single" w:sz="4" w:space="0" w:color="auto"/>
            </w:tcBorders>
            <w:shd w:val="clear" w:color="auto" w:fill="C6EFCE"/>
            <w:hideMark/>
          </w:tcPr>
          <w:p w14:paraId="7A5394F7" w14:textId="77777777" w:rsidR="008273B8" w:rsidRDefault="00B93063">
            <w:pPr>
              <w:pStyle w:val="P68B1DB1-Normal19"/>
              <w:spacing w:after="0" w:line="240" w:lineRule="auto"/>
              <w:jc w:val="center"/>
              <w:rPr>
                <w:rFonts w:eastAsia="Times New Roman" w:cs="Times New Roman"/>
                <w:noProof/>
              </w:rPr>
            </w:pPr>
            <w:r>
              <w:rPr>
                <w:noProof/>
              </w:rPr>
              <w:t xml:space="preserve">C1.R.2 </w:t>
            </w:r>
          </w:p>
        </w:tc>
        <w:tc>
          <w:tcPr>
            <w:tcW w:w="1146" w:type="dxa"/>
            <w:tcBorders>
              <w:top w:val="nil"/>
              <w:left w:val="nil"/>
              <w:bottom w:val="single" w:sz="4" w:space="0" w:color="auto"/>
              <w:right w:val="single" w:sz="4" w:space="0" w:color="auto"/>
            </w:tcBorders>
            <w:shd w:val="clear" w:color="auto" w:fill="C6EFCE"/>
            <w:hideMark/>
          </w:tcPr>
          <w:p w14:paraId="7A5394F8"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4F9" w14:textId="653F864D" w:rsidR="008273B8" w:rsidRDefault="00B93063">
            <w:pPr>
              <w:pStyle w:val="P68B1DB1-Normal19"/>
              <w:spacing w:after="0" w:line="240" w:lineRule="auto"/>
              <w:rPr>
                <w:rFonts w:eastAsia="Times New Roman" w:cs="Times New Roman"/>
                <w:noProof/>
              </w:rPr>
            </w:pPr>
            <w:r>
              <w:rPr>
                <w:noProof/>
              </w:rPr>
              <w:t>Stupanje na snagu revidiranog zakonodavstva o ambalažnom materijalu kako bi se omogućilo regionalno prikupljanje ambalažnog otpada</w:t>
            </w:r>
          </w:p>
        </w:tc>
      </w:tr>
      <w:tr w:rsidR="008273B8" w14:paraId="7A5394FF" w14:textId="77777777">
        <w:trPr>
          <w:cantSplit/>
          <w:trHeight w:val="335"/>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4FB" w14:textId="6801FB3A" w:rsidR="008273B8" w:rsidRDefault="008273B8">
            <w:pPr>
              <w:spacing w:after="0" w:line="240" w:lineRule="auto"/>
              <w:jc w:val="center"/>
              <w:rPr>
                <w:rFonts w:ascii="Times New Roman" w:eastAsia="Times New Roman" w:hAnsi="Times New Roman" w:cs="Times New Roman"/>
                <w:noProof/>
                <w:sz w:val="18"/>
              </w:rPr>
            </w:pPr>
          </w:p>
        </w:tc>
        <w:tc>
          <w:tcPr>
            <w:tcW w:w="1156" w:type="dxa"/>
            <w:tcBorders>
              <w:top w:val="nil"/>
              <w:left w:val="nil"/>
              <w:bottom w:val="single" w:sz="4" w:space="0" w:color="auto"/>
              <w:right w:val="single" w:sz="4" w:space="0" w:color="auto"/>
            </w:tcBorders>
            <w:shd w:val="clear" w:color="auto" w:fill="C6EFCE"/>
            <w:hideMark/>
          </w:tcPr>
          <w:p w14:paraId="7A5394FC" w14:textId="2F0FD050" w:rsidR="008273B8" w:rsidRDefault="008273B8">
            <w:pPr>
              <w:spacing w:after="0" w:line="240" w:lineRule="auto"/>
              <w:jc w:val="center"/>
              <w:rPr>
                <w:rFonts w:ascii="Times New Roman" w:eastAsia="Times New Roman" w:hAnsi="Times New Roman" w:cs="Times New Roman"/>
                <w:noProof/>
                <w:sz w:val="18"/>
              </w:rPr>
            </w:pPr>
          </w:p>
        </w:tc>
        <w:tc>
          <w:tcPr>
            <w:tcW w:w="1146" w:type="dxa"/>
            <w:tcBorders>
              <w:top w:val="nil"/>
              <w:left w:val="nil"/>
              <w:bottom w:val="single" w:sz="4" w:space="0" w:color="auto"/>
              <w:right w:val="single" w:sz="4" w:space="0" w:color="auto"/>
            </w:tcBorders>
            <w:shd w:val="clear" w:color="auto" w:fill="C6EFCE"/>
            <w:hideMark/>
          </w:tcPr>
          <w:p w14:paraId="7A5394FD" w14:textId="0CB76AA7" w:rsidR="008273B8" w:rsidRDefault="008273B8">
            <w:pPr>
              <w:spacing w:after="0" w:line="240" w:lineRule="auto"/>
              <w:jc w:val="center"/>
              <w:rPr>
                <w:rFonts w:ascii="Times New Roman" w:eastAsia="Times New Roman" w:hAnsi="Times New Roman" w:cs="Times New Roman"/>
                <w:noProof/>
                <w:sz w:val="18"/>
              </w:rPr>
            </w:pPr>
          </w:p>
        </w:tc>
        <w:tc>
          <w:tcPr>
            <w:tcW w:w="5030" w:type="dxa"/>
            <w:tcBorders>
              <w:top w:val="nil"/>
              <w:left w:val="nil"/>
              <w:bottom w:val="single" w:sz="4" w:space="0" w:color="auto"/>
              <w:right w:val="single" w:sz="4" w:space="0" w:color="auto"/>
            </w:tcBorders>
            <w:shd w:val="clear" w:color="auto" w:fill="C6EFCE"/>
            <w:hideMark/>
          </w:tcPr>
          <w:p w14:paraId="7A5394FE" w14:textId="7383371F" w:rsidR="008273B8" w:rsidRDefault="008273B8">
            <w:pPr>
              <w:spacing w:after="0" w:line="240" w:lineRule="auto"/>
              <w:rPr>
                <w:rFonts w:ascii="Times New Roman" w:eastAsia="Times New Roman" w:hAnsi="Times New Roman" w:cs="Times New Roman"/>
                <w:noProof/>
                <w:sz w:val="18"/>
              </w:rPr>
            </w:pPr>
          </w:p>
        </w:tc>
      </w:tr>
      <w:tr w:rsidR="008273B8" w14:paraId="7A539504"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00" w14:textId="77777777" w:rsidR="008273B8" w:rsidRDefault="00B93063">
            <w:pPr>
              <w:pStyle w:val="P68B1DB1-Normal19"/>
              <w:spacing w:after="0" w:line="240" w:lineRule="auto"/>
              <w:jc w:val="center"/>
              <w:rPr>
                <w:rFonts w:eastAsia="Times New Roman" w:cs="Times New Roman"/>
                <w:noProof/>
              </w:rPr>
            </w:pPr>
            <w:r>
              <w:rPr>
                <w:noProof/>
              </w:rPr>
              <w:t xml:space="preserve"> 1.17</w:t>
            </w:r>
          </w:p>
        </w:tc>
        <w:tc>
          <w:tcPr>
            <w:tcW w:w="1156" w:type="dxa"/>
            <w:tcBorders>
              <w:top w:val="nil"/>
              <w:left w:val="nil"/>
              <w:bottom w:val="single" w:sz="4" w:space="0" w:color="auto"/>
              <w:right w:val="single" w:sz="4" w:space="0" w:color="auto"/>
            </w:tcBorders>
            <w:shd w:val="clear" w:color="auto" w:fill="C6EFCE"/>
            <w:hideMark/>
          </w:tcPr>
          <w:p w14:paraId="7A539501" w14:textId="77777777" w:rsidR="008273B8" w:rsidRDefault="00B93063">
            <w:pPr>
              <w:pStyle w:val="P68B1DB1-Normal19"/>
              <w:spacing w:after="0" w:line="240" w:lineRule="auto"/>
              <w:jc w:val="center"/>
              <w:rPr>
                <w:rFonts w:eastAsia="Times New Roman" w:cs="Times New Roman"/>
                <w:noProof/>
              </w:rPr>
            </w:pPr>
            <w:r>
              <w:rPr>
                <w:noProof/>
              </w:rPr>
              <w:t xml:space="preserve">C1.I.1 </w:t>
            </w:r>
          </w:p>
        </w:tc>
        <w:tc>
          <w:tcPr>
            <w:tcW w:w="1146" w:type="dxa"/>
            <w:tcBorders>
              <w:top w:val="nil"/>
              <w:left w:val="nil"/>
              <w:bottom w:val="single" w:sz="4" w:space="0" w:color="auto"/>
              <w:right w:val="single" w:sz="4" w:space="0" w:color="auto"/>
            </w:tcBorders>
            <w:shd w:val="clear" w:color="auto" w:fill="C6EFCE"/>
            <w:hideMark/>
          </w:tcPr>
          <w:p w14:paraId="7A539502"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03" w14:textId="77777777" w:rsidR="008273B8" w:rsidRDefault="00B93063">
            <w:pPr>
              <w:pStyle w:val="P68B1DB1-Normal19"/>
              <w:spacing w:after="0" w:line="240" w:lineRule="auto"/>
              <w:rPr>
                <w:rFonts w:eastAsia="Times New Roman" w:cs="Times New Roman"/>
                <w:noProof/>
              </w:rPr>
            </w:pPr>
            <w:r>
              <w:rPr>
                <w:noProof/>
              </w:rPr>
              <w:t>Objava poziva na podnošenje prijava za bespovratna sredstva za obnovu zgrada privatnog sektora</w:t>
            </w:r>
          </w:p>
        </w:tc>
      </w:tr>
      <w:tr w:rsidR="008273B8" w14:paraId="7A539509"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05" w14:textId="77777777" w:rsidR="008273B8" w:rsidRDefault="00B93063">
            <w:pPr>
              <w:pStyle w:val="P68B1DB1-Normal19"/>
              <w:spacing w:after="0" w:line="240" w:lineRule="auto"/>
              <w:jc w:val="center"/>
              <w:rPr>
                <w:rFonts w:eastAsia="Times New Roman" w:cs="Times New Roman"/>
                <w:noProof/>
              </w:rPr>
            </w:pPr>
            <w:r>
              <w:rPr>
                <w:noProof/>
              </w:rPr>
              <w:t xml:space="preserve"> 1.19</w:t>
            </w:r>
          </w:p>
        </w:tc>
        <w:tc>
          <w:tcPr>
            <w:tcW w:w="1156" w:type="dxa"/>
            <w:tcBorders>
              <w:top w:val="nil"/>
              <w:left w:val="nil"/>
              <w:bottom w:val="single" w:sz="4" w:space="0" w:color="auto"/>
              <w:right w:val="single" w:sz="4" w:space="0" w:color="auto"/>
            </w:tcBorders>
            <w:shd w:val="clear" w:color="auto" w:fill="C6EFCE"/>
            <w:hideMark/>
          </w:tcPr>
          <w:p w14:paraId="7A539506" w14:textId="77777777" w:rsidR="008273B8" w:rsidRDefault="00B93063">
            <w:pPr>
              <w:pStyle w:val="P68B1DB1-Normal19"/>
              <w:spacing w:after="0" w:line="240" w:lineRule="auto"/>
              <w:jc w:val="center"/>
              <w:rPr>
                <w:rFonts w:eastAsia="Times New Roman" w:cs="Times New Roman"/>
                <w:noProof/>
              </w:rPr>
            </w:pPr>
            <w:r>
              <w:rPr>
                <w:noProof/>
              </w:rPr>
              <w:t xml:space="preserve">C1.I.2. </w:t>
            </w:r>
          </w:p>
        </w:tc>
        <w:tc>
          <w:tcPr>
            <w:tcW w:w="1146" w:type="dxa"/>
            <w:tcBorders>
              <w:top w:val="nil"/>
              <w:left w:val="nil"/>
              <w:bottom w:val="single" w:sz="4" w:space="0" w:color="auto"/>
              <w:right w:val="single" w:sz="4" w:space="0" w:color="auto"/>
            </w:tcBorders>
            <w:shd w:val="clear" w:color="auto" w:fill="C6EFCE"/>
            <w:hideMark/>
          </w:tcPr>
          <w:p w14:paraId="7A539507"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08" w14:textId="77777777" w:rsidR="008273B8" w:rsidRDefault="00B93063">
            <w:pPr>
              <w:pStyle w:val="P68B1DB1-Normal19"/>
              <w:spacing w:after="0" w:line="240" w:lineRule="auto"/>
              <w:rPr>
                <w:rFonts w:eastAsia="Times New Roman" w:cs="Times New Roman"/>
                <w:noProof/>
              </w:rPr>
            </w:pPr>
            <w:r>
              <w:rPr>
                <w:noProof/>
              </w:rPr>
              <w:t>Revizija energetske učinkovitosti javne bolnice Carmel</w:t>
            </w:r>
          </w:p>
        </w:tc>
      </w:tr>
      <w:tr w:rsidR="008273B8" w14:paraId="7A53950E"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0A" w14:textId="77777777" w:rsidR="008273B8" w:rsidRDefault="00B93063">
            <w:pPr>
              <w:pStyle w:val="P68B1DB1-Normal19"/>
              <w:spacing w:after="0" w:line="240" w:lineRule="auto"/>
              <w:jc w:val="center"/>
              <w:rPr>
                <w:rFonts w:eastAsia="Times New Roman" w:cs="Times New Roman"/>
                <w:noProof/>
              </w:rPr>
            </w:pPr>
            <w:r>
              <w:rPr>
                <w:noProof/>
              </w:rPr>
              <w:t xml:space="preserve"> 1.23</w:t>
            </w:r>
          </w:p>
        </w:tc>
        <w:tc>
          <w:tcPr>
            <w:tcW w:w="1156" w:type="dxa"/>
            <w:tcBorders>
              <w:top w:val="nil"/>
              <w:left w:val="nil"/>
              <w:bottom w:val="single" w:sz="4" w:space="0" w:color="auto"/>
              <w:right w:val="single" w:sz="4" w:space="0" w:color="auto"/>
            </w:tcBorders>
            <w:shd w:val="clear" w:color="auto" w:fill="C6EFCE"/>
            <w:hideMark/>
          </w:tcPr>
          <w:p w14:paraId="7A53950B" w14:textId="77777777" w:rsidR="008273B8" w:rsidRDefault="00B93063">
            <w:pPr>
              <w:pStyle w:val="P68B1DB1-Normal19"/>
              <w:spacing w:after="0" w:line="240" w:lineRule="auto"/>
              <w:jc w:val="center"/>
              <w:rPr>
                <w:rFonts w:eastAsia="Times New Roman" w:cs="Times New Roman"/>
                <w:noProof/>
              </w:rPr>
            </w:pPr>
            <w:r>
              <w:rPr>
                <w:noProof/>
              </w:rPr>
              <w:t xml:space="preserve">C1.I.3. </w:t>
            </w:r>
          </w:p>
        </w:tc>
        <w:tc>
          <w:tcPr>
            <w:tcW w:w="1146" w:type="dxa"/>
            <w:tcBorders>
              <w:top w:val="nil"/>
              <w:left w:val="nil"/>
              <w:bottom w:val="single" w:sz="4" w:space="0" w:color="auto"/>
              <w:right w:val="single" w:sz="4" w:space="0" w:color="auto"/>
            </w:tcBorders>
            <w:shd w:val="clear" w:color="auto" w:fill="C6EFCE"/>
            <w:hideMark/>
          </w:tcPr>
          <w:p w14:paraId="7A53950C"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0D" w14:textId="77777777" w:rsidR="008273B8" w:rsidRDefault="00B93063">
            <w:pPr>
              <w:pStyle w:val="P68B1DB1-Normal19"/>
              <w:spacing w:after="0" w:line="240" w:lineRule="auto"/>
              <w:rPr>
                <w:rFonts w:eastAsia="Times New Roman" w:cs="Times New Roman"/>
                <w:noProof/>
              </w:rPr>
            </w:pPr>
            <w:r>
              <w:rPr>
                <w:noProof/>
              </w:rPr>
              <w:t>Ugovorene usluge obnove dviju javnih škola</w:t>
            </w:r>
          </w:p>
        </w:tc>
      </w:tr>
      <w:tr w:rsidR="008273B8" w14:paraId="7A539513"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0F" w14:textId="77777777" w:rsidR="008273B8" w:rsidRDefault="00B93063">
            <w:pPr>
              <w:pStyle w:val="P68B1DB1-Normal19"/>
              <w:spacing w:after="0" w:line="240" w:lineRule="auto"/>
              <w:jc w:val="center"/>
              <w:rPr>
                <w:rFonts w:eastAsia="Times New Roman" w:cs="Times New Roman"/>
                <w:noProof/>
              </w:rPr>
            </w:pPr>
            <w:r>
              <w:rPr>
                <w:noProof/>
              </w:rPr>
              <w:t xml:space="preserve"> 1.25</w:t>
            </w:r>
          </w:p>
        </w:tc>
        <w:tc>
          <w:tcPr>
            <w:tcW w:w="1156" w:type="dxa"/>
            <w:tcBorders>
              <w:top w:val="nil"/>
              <w:left w:val="nil"/>
              <w:bottom w:val="single" w:sz="4" w:space="0" w:color="auto"/>
              <w:right w:val="single" w:sz="4" w:space="0" w:color="auto"/>
            </w:tcBorders>
            <w:shd w:val="clear" w:color="auto" w:fill="C6EFCE"/>
            <w:hideMark/>
          </w:tcPr>
          <w:p w14:paraId="7A539510" w14:textId="77777777" w:rsidR="008273B8" w:rsidRDefault="00B93063">
            <w:pPr>
              <w:pStyle w:val="P68B1DB1-Normal19"/>
              <w:spacing w:after="0" w:line="240" w:lineRule="auto"/>
              <w:jc w:val="center"/>
              <w:rPr>
                <w:rFonts w:eastAsia="Times New Roman" w:cs="Times New Roman"/>
                <w:noProof/>
              </w:rPr>
            </w:pPr>
            <w:r>
              <w:rPr>
                <w:noProof/>
              </w:rPr>
              <w:t xml:space="preserve">C1.I.4 </w:t>
            </w:r>
          </w:p>
        </w:tc>
        <w:tc>
          <w:tcPr>
            <w:tcW w:w="1146" w:type="dxa"/>
            <w:tcBorders>
              <w:top w:val="nil"/>
              <w:left w:val="nil"/>
              <w:bottom w:val="single" w:sz="4" w:space="0" w:color="auto"/>
              <w:right w:val="single" w:sz="4" w:space="0" w:color="auto"/>
            </w:tcBorders>
            <w:shd w:val="clear" w:color="auto" w:fill="C6EFCE"/>
            <w:hideMark/>
          </w:tcPr>
          <w:p w14:paraId="7A539511"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12" w14:textId="77777777" w:rsidR="008273B8" w:rsidRDefault="00B93063">
            <w:pPr>
              <w:pStyle w:val="P68B1DB1-Normal19"/>
              <w:spacing w:after="0" w:line="240" w:lineRule="auto"/>
              <w:rPr>
                <w:rFonts w:eastAsia="Times New Roman" w:cs="Times New Roman"/>
                <w:noProof/>
              </w:rPr>
            </w:pPr>
            <w:r>
              <w:rPr>
                <w:noProof/>
              </w:rPr>
              <w:t>Ugovorene usluge za građevinske radove blizu ugljično neutralne škole</w:t>
            </w:r>
          </w:p>
        </w:tc>
      </w:tr>
      <w:tr w:rsidR="008273B8" w14:paraId="7A539518"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14" w14:textId="77777777" w:rsidR="008273B8" w:rsidRDefault="00B93063">
            <w:pPr>
              <w:pStyle w:val="P68B1DB1-Normal19"/>
              <w:spacing w:after="0" w:line="240" w:lineRule="auto"/>
              <w:jc w:val="center"/>
              <w:rPr>
                <w:rFonts w:eastAsia="Times New Roman" w:cs="Times New Roman"/>
                <w:noProof/>
              </w:rPr>
            </w:pPr>
            <w:r>
              <w:rPr>
                <w:noProof/>
              </w:rPr>
              <w:t xml:space="preserve"> 2.4</w:t>
            </w:r>
          </w:p>
        </w:tc>
        <w:tc>
          <w:tcPr>
            <w:tcW w:w="1156" w:type="dxa"/>
            <w:tcBorders>
              <w:top w:val="nil"/>
              <w:left w:val="nil"/>
              <w:bottom w:val="single" w:sz="4" w:space="0" w:color="auto"/>
              <w:right w:val="single" w:sz="4" w:space="0" w:color="auto"/>
            </w:tcBorders>
            <w:shd w:val="clear" w:color="auto" w:fill="C6EFCE"/>
            <w:hideMark/>
          </w:tcPr>
          <w:p w14:paraId="7A539515" w14:textId="77777777" w:rsidR="008273B8" w:rsidRDefault="00B93063">
            <w:pPr>
              <w:pStyle w:val="P68B1DB1-Normal19"/>
              <w:spacing w:after="0" w:line="240" w:lineRule="auto"/>
              <w:jc w:val="center"/>
              <w:rPr>
                <w:rFonts w:eastAsia="Times New Roman" w:cs="Times New Roman"/>
                <w:noProof/>
              </w:rPr>
            </w:pPr>
            <w:r>
              <w:rPr>
                <w:noProof/>
              </w:rPr>
              <w:t xml:space="preserve">C2.R.3 </w:t>
            </w:r>
          </w:p>
        </w:tc>
        <w:tc>
          <w:tcPr>
            <w:tcW w:w="1146" w:type="dxa"/>
            <w:tcBorders>
              <w:top w:val="nil"/>
              <w:left w:val="nil"/>
              <w:bottom w:val="single" w:sz="4" w:space="0" w:color="auto"/>
              <w:right w:val="single" w:sz="4" w:space="0" w:color="auto"/>
            </w:tcBorders>
            <w:shd w:val="clear" w:color="auto" w:fill="C6EFCE"/>
            <w:hideMark/>
          </w:tcPr>
          <w:p w14:paraId="7A539516"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17" w14:textId="77777777" w:rsidR="008273B8" w:rsidRDefault="00B93063">
            <w:pPr>
              <w:pStyle w:val="P68B1DB1-Normal19"/>
              <w:spacing w:after="0" w:line="240" w:lineRule="auto"/>
              <w:rPr>
                <w:rFonts w:eastAsia="Times New Roman" w:cs="Times New Roman"/>
                <w:noProof/>
              </w:rPr>
            </w:pPr>
            <w:r>
              <w:rPr>
                <w:noProof/>
              </w:rPr>
              <w:t xml:space="preserve">Objava plana održive gradske mobilnosti za regiju Valletta </w:t>
            </w:r>
          </w:p>
        </w:tc>
      </w:tr>
      <w:tr w:rsidR="008273B8" w14:paraId="7A53951D" w14:textId="77777777">
        <w:trPr>
          <w:cantSplit/>
          <w:trHeight w:val="57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19" w14:textId="51102E0F" w:rsidR="008273B8" w:rsidRDefault="00B93063">
            <w:pPr>
              <w:pStyle w:val="P68B1DB1-Normal19"/>
              <w:spacing w:after="0" w:line="240" w:lineRule="auto"/>
              <w:jc w:val="center"/>
              <w:rPr>
                <w:rFonts w:eastAsia="Times New Roman" w:cs="Times New Roman"/>
                <w:noProof/>
              </w:rPr>
            </w:pPr>
            <w:r>
              <w:rPr>
                <w:noProof/>
              </w:rPr>
              <w:t xml:space="preserve"> 2.8</w:t>
            </w:r>
          </w:p>
        </w:tc>
        <w:tc>
          <w:tcPr>
            <w:tcW w:w="1156" w:type="dxa"/>
            <w:tcBorders>
              <w:top w:val="nil"/>
              <w:left w:val="nil"/>
              <w:bottom w:val="single" w:sz="4" w:space="0" w:color="auto"/>
              <w:right w:val="single" w:sz="4" w:space="0" w:color="auto"/>
            </w:tcBorders>
            <w:shd w:val="clear" w:color="auto" w:fill="C6EFCE"/>
            <w:hideMark/>
          </w:tcPr>
          <w:p w14:paraId="7A53951A" w14:textId="77777777" w:rsidR="008273B8" w:rsidRDefault="00B93063">
            <w:pPr>
              <w:pStyle w:val="P68B1DB1-Normal19"/>
              <w:spacing w:after="0" w:line="240" w:lineRule="auto"/>
              <w:jc w:val="center"/>
              <w:rPr>
                <w:rFonts w:eastAsia="Times New Roman" w:cs="Times New Roman"/>
                <w:noProof/>
              </w:rPr>
            </w:pPr>
            <w:r>
              <w:rPr>
                <w:noProof/>
              </w:rPr>
              <w:t xml:space="preserve">C2.R.5 </w:t>
            </w:r>
          </w:p>
        </w:tc>
        <w:tc>
          <w:tcPr>
            <w:tcW w:w="1146" w:type="dxa"/>
            <w:tcBorders>
              <w:top w:val="nil"/>
              <w:left w:val="nil"/>
              <w:bottom w:val="single" w:sz="4" w:space="0" w:color="auto"/>
              <w:right w:val="single" w:sz="4" w:space="0" w:color="auto"/>
            </w:tcBorders>
            <w:shd w:val="clear" w:color="auto" w:fill="C6EFCE"/>
            <w:hideMark/>
          </w:tcPr>
          <w:p w14:paraId="7A53951B"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1C" w14:textId="77777777" w:rsidR="008273B8" w:rsidRDefault="00B93063">
            <w:pPr>
              <w:pStyle w:val="P68B1DB1-Normal19"/>
              <w:spacing w:after="0" w:line="240" w:lineRule="auto"/>
              <w:rPr>
                <w:rFonts w:eastAsia="Times New Roman" w:cs="Times New Roman"/>
                <w:noProof/>
              </w:rPr>
            </w:pPr>
            <w:r>
              <w:rPr>
                <w:noProof/>
              </w:rPr>
              <w:t>Objava politike rada na daljinu za vladine zaposlenike</w:t>
            </w:r>
          </w:p>
        </w:tc>
      </w:tr>
      <w:tr w:rsidR="008273B8" w14:paraId="7A53952C"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28" w14:textId="77777777" w:rsidR="008273B8" w:rsidRDefault="00B93063">
            <w:pPr>
              <w:pStyle w:val="P68B1DB1-Normal19"/>
              <w:spacing w:after="0" w:line="240" w:lineRule="auto"/>
              <w:jc w:val="center"/>
              <w:rPr>
                <w:rFonts w:eastAsia="Times New Roman" w:cs="Times New Roman"/>
                <w:noProof/>
              </w:rPr>
            </w:pPr>
            <w:r>
              <w:rPr>
                <w:noProof/>
              </w:rPr>
              <w:t xml:space="preserve"> 2.15</w:t>
            </w:r>
          </w:p>
        </w:tc>
        <w:tc>
          <w:tcPr>
            <w:tcW w:w="1156" w:type="dxa"/>
            <w:tcBorders>
              <w:top w:val="nil"/>
              <w:left w:val="nil"/>
              <w:bottom w:val="single" w:sz="4" w:space="0" w:color="auto"/>
              <w:right w:val="single" w:sz="4" w:space="0" w:color="auto"/>
            </w:tcBorders>
            <w:shd w:val="clear" w:color="auto" w:fill="C6EFCE"/>
            <w:hideMark/>
          </w:tcPr>
          <w:p w14:paraId="7A539529" w14:textId="77777777" w:rsidR="008273B8" w:rsidRDefault="00B93063">
            <w:pPr>
              <w:pStyle w:val="P68B1DB1-Normal19"/>
              <w:spacing w:after="0" w:line="240" w:lineRule="auto"/>
              <w:jc w:val="center"/>
              <w:rPr>
                <w:rFonts w:eastAsia="Times New Roman" w:cs="Times New Roman"/>
                <w:noProof/>
              </w:rPr>
            </w:pPr>
            <w:r>
              <w:rPr>
                <w:noProof/>
              </w:rPr>
              <w:t xml:space="preserve">C2.I.2. </w:t>
            </w:r>
          </w:p>
        </w:tc>
        <w:tc>
          <w:tcPr>
            <w:tcW w:w="1146" w:type="dxa"/>
            <w:tcBorders>
              <w:top w:val="nil"/>
              <w:left w:val="nil"/>
              <w:bottom w:val="single" w:sz="4" w:space="0" w:color="auto"/>
              <w:right w:val="single" w:sz="4" w:space="0" w:color="auto"/>
            </w:tcBorders>
            <w:shd w:val="clear" w:color="auto" w:fill="C6EFCE"/>
            <w:hideMark/>
          </w:tcPr>
          <w:p w14:paraId="7A53952A"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2B" w14:textId="77777777" w:rsidR="008273B8" w:rsidRDefault="00B93063">
            <w:pPr>
              <w:pStyle w:val="P68B1DB1-Normal19"/>
              <w:spacing w:after="0" w:line="240" w:lineRule="auto"/>
              <w:rPr>
                <w:rFonts w:eastAsia="Times New Roman" w:cs="Times New Roman"/>
                <w:noProof/>
              </w:rPr>
            </w:pPr>
            <w:r>
              <w:rPr>
                <w:noProof/>
              </w:rPr>
              <w:t>Otvoreni poziv na podnošenje prijava za električna vozila i bicikle u privatnom sektoru, uključujući program odlaganja</w:t>
            </w:r>
          </w:p>
        </w:tc>
      </w:tr>
      <w:tr w:rsidR="008273B8" w14:paraId="7A539531"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2D" w14:textId="77777777" w:rsidR="008273B8" w:rsidRDefault="00B93063">
            <w:pPr>
              <w:pStyle w:val="P68B1DB1-Normal19"/>
              <w:spacing w:after="0" w:line="240" w:lineRule="auto"/>
              <w:jc w:val="center"/>
              <w:rPr>
                <w:rFonts w:eastAsia="Times New Roman" w:cs="Times New Roman"/>
                <w:noProof/>
              </w:rPr>
            </w:pPr>
            <w:r>
              <w:rPr>
                <w:noProof/>
              </w:rPr>
              <w:t xml:space="preserve"> 2.20</w:t>
            </w:r>
          </w:p>
        </w:tc>
        <w:tc>
          <w:tcPr>
            <w:tcW w:w="1156" w:type="dxa"/>
            <w:tcBorders>
              <w:top w:val="nil"/>
              <w:left w:val="nil"/>
              <w:bottom w:val="single" w:sz="4" w:space="0" w:color="auto"/>
              <w:right w:val="single" w:sz="4" w:space="0" w:color="auto"/>
            </w:tcBorders>
            <w:shd w:val="clear" w:color="auto" w:fill="C6EFCE"/>
            <w:hideMark/>
          </w:tcPr>
          <w:p w14:paraId="7A53952E" w14:textId="77777777" w:rsidR="008273B8" w:rsidRDefault="00B93063">
            <w:pPr>
              <w:pStyle w:val="P68B1DB1-Normal19"/>
              <w:spacing w:after="0" w:line="240" w:lineRule="auto"/>
              <w:jc w:val="center"/>
              <w:rPr>
                <w:rFonts w:eastAsia="Times New Roman" w:cs="Times New Roman"/>
                <w:noProof/>
              </w:rPr>
            </w:pPr>
            <w:r>
              <w:rPr>
                <w:noProof/>
              </w:rPr>
              <w:t xml:space="preserve">C2.I.4 </w:t>
            </w:r>
          </w:p>
        </w:tc>
        <w:tc>
          <w:tcPr>
            <w:tcW w:w="1146" w:type="dxa"/>
            <w:tcBorders>
              <w:top w:val="nil"/>
              <w:left w:val="nil"/>
              <w:bottom w:val="single" w:sz="4" w:space="0" w:color="auto"/>
              <w:right w:val="single" w:sz="4" w:space="0" w:color="auto"/>
            </w:tcBorders>
            <w:shd w:val="clear" w:color="auto" w:fill="C6EFCE"/>
            <w:hideMark/>
          </w:tcPr>
          <w:p w14:paraId="7A53952F"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30" w14:textId="77777777" w:rsidR="008273B8" w:rsidRDefault="00B93063">
            <w:pPr>
              <w:pStyle w:val="P68B1DB1-Normal19"/>
              <w:spacing w:after="0" w:line="240" w:lineRule="auto"/>
              <w:rPr>
                <w:rFonts w:eastAsia="Times New Roman" w:cs="Times New Roman"/>
                <w:noProof/>
              </w:rPr>
            </w:pPr>
            <w:r>
              <w:rPr>
                <w:noProof/>
              </w:rPr>
              <w:t xml:space="preserve">Memorandum o razumijevanju za zamjenu malteške flote javnog prijevoza </w:t>
            </w:r>
          </w:p>
        </w:tc>
      </w:tr>
      <w:tr w:rsidR="008273B8" w14:paraId="7A539536"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32" w14:textId="77777777" w:rsidR="008273B8" w:rsidRDefault="00B93063">
            <w:pPr>
              <w:pStyle w:val="P68B1DB1-Normal19"/>
              <w:spacing w:after="0" w:line="240" w:lineRule="auto"/>
              <w:jc w:val="center"/>
              <w:rPr>
                <w:rFonts w:eastAsia="Times New Roman" w:cs="Times New Roman"/>
                <w:noProof/>
              </w:rPr>
            </w:pPr>
            <w:r>
              <w:rPr>
                <w:noProof/>
              </w:rPr>
              <w:t xml:space="preserve"> 3.1</w:t>
            </w:r>
          </w:p>
        </w:tc>
        <w:tc>
          <w:tcPr>
            <w:tcW w:w="1156" w:type="dxa"/>
            <w:tcBorders>
              <w:top w:val="nil"/>
              <w:left w:val="nil"/>
              <w:bottom w:val="single" w:sz="4" w:space="0" w:color="auto"/>
              <w:right w:val="single" w:sz="4" w:space="0" w:color="auto"/>
            </w:tcBorders>
            <w:shd w:val="clear" w:color="auto" w:fill="C6EFCE"/>
            <w:hideMark/>
          </w:tcPr>
          <w:p w14:paraId="7A539533" w14:textId="77777777" w:rsidR="008273B8" w:rsidRDefault="00B93063">
            <w:pPr>
              <w:pStyle w:val="P68B1DB1-Normal19"/>
              <w:spacing w:after="0" w:line="240" w:lineRule="auto"/>
              <w:jc w:val="center"/>
              <w:rPr>
                <w:rFonts w:eastAsia="Times New Roman" w:cs="Times New Roman"/>
                <w:noProof/>
              </w:rPr>
            </w:pPr>
            <w:r>
              <w:rPr>
                <w:noProof/>
              </w:rPr>
              <w:t xml:space="preserve">C3.R.1 </w:t>
            </w:r>
          </w:p>
        </w:tc>
        <w:tc>
          <w:tcPr>
            <w:tcW w:w="1146" w:type="dxa"/>
            <w:tcBorders>
              <w:top w:val="nil"/>
              <w:left w:val="nil"/>
              <w:bottom w:val="single" w:sz="4" w:space="0" w:color="auto"/>
              <w:right w:val="single" w:sz="4" w:space="0" w:color="auto"/>
            </w:tcBorders>
            <w:shd w:val="clear" w:color="auto" w:fill="C6EFCE"/>
            <w:hideMark/>
          </w:tcPr>
          <w:p w14:paraId="7A539534"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35" w14:textId="77777777" w:rsidR="008273B8" w:rsidRDefault="00B93063">
            <w:pPr>
              <w:pStyle w:val="P68B1DB1-Normal19"/>
              <w:spacing w:after="0" w:line="240" w:lineRule="auto"/>
              <w:rPr>
                <w:rFonts w:eastAsia="Times New Roman" w:cs="Times New Roman"/>
                <w:noProof/>
              </w:rPr>
            </w:pPr>
            <w:r>
              <w:rPr>
                <w:noProof/>
              </w:rPr>
              <w:t xml:space="preserve">Pokretanje programa stipendija za studente koji će postati stručnjaci u području IKT-a </w:t>
            </w:r>
          </w:p>
        </w:tc>
      </w:tr>
      <w:tr w:rsidR="008273B8" w14:paraId="7A53953B"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37" w14:textId="77777777" w:rsidR="008273B8" w:rsidRDefault="00B93063">
            <w:pPr>
              <w:pStyle w:val="P68B1DB1-Normal19"/>
              <w:spacing w:after="0" w:line="240" w:lineRule="auto"/>
              <w:jc w:val="center"/>
              <w:rPr>
                <w:rFonts w:eastAsia="Times New Roman" w:cs="Times New Roman"/>
                <w:noProof/>
              </w:rPr>
            </w:pPr>
            <w:r>
              <w:rPr>
                <w:noProof/>
              </w:rPr>
              <w:t xml:space="preserve"> 3.10</w:t>
            </w:r>
          </w:p>
        </w:tc>
        <w:tc>
          <w:tcPr>
            <w:tcW w:w="1156" w:type="dxa"/>
            <w:tcBorders>
              <w:top w:val="nil"/>
              <w:left w:val="nil"/>
              <w:bottom w:val="single" w:sz="4" w:space="0" w:color="auto"/>
              <w:right w:val="single" w:sz="4" w:space="0" w:color="auto"/>
            </w:tcBorders>
            <w:shd w:val="clear" w:color="auto" w:fill="C6EFCE"/>
            <w:hideMark/>
          </w:tcPr>
          <w:p w14:paraId="7A539538" w14:textId="77777777" w:rsidR="008273B8" w:rsidRDefault="00B93063">
            <w:pPr>
              <w:pStyle w:val="P68B1DB1-Normal19"/>
              <w:spacing w:after="0" w:line="240" w:lineRule="auto"/>
              <w:jc w:val="center"/>
              <w:rPr>
                <w:rFonts w:eastAsia="Times New Roman" w:cs="Times New Roman"/>
                <w:noProof/>
              </w:rPr>
            </w:pPr>
            <w:r>
              <w:rPr>
                <w:noProof/>
              </w:rPr>
              <w:t xml:space="preserve">C3.I.3. </w:t>
            </w:r>
          </w:p>
        </w:tc>
        <w:tc>
          <w:tcPr>
            <w:tcW w:w="1146" w:type="dxa"/>
            <w:tcBorders>
              <w:top w:val="nil"/>
              <w:left w:val="nil"/>
              <w:bottom w:val="single" w:sz="4" w:space="0" w:color="auto"/>
              <w:right w:val="single" w:sz="4" w:space="0" w:color="auto"/>
            </w:tcBorders>
            <w:shd w:val="clear" w:color="auto" w:fill="C6EFCE"/>
            <w:hideMark/>
          </w:tcPr>
          <w:p w14:paraId="7A539539"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5030" w:type="dxa"/>
            <w:tcBorders>
              <w:top w:val="nil"/>
              <w:left w:val="nil"/>
              <w:bottom w:val="single" w:sz="4" w:space="0" w:color="auto"/>
              <w:right w:val="single" w:sz="4" w:space="0" w:color="auto"/>
            </w:tcBorders>
            <w:shd w:val="clear" w:color="auto" w:fill="C6EFCE"/>
            <w:hideMark/>
          </w:tcPr>
          <w:p w14:paraId="7A53953A" w14:textId="77777777" w:rsidR="008273B8" w:rsidRDefault="00B93063">
            <w:pPr>
              <w:pStyle w:val="P68B1DB1-Normal19"/>
              <w:spacing w:after="0" w:line="240" w:lineRule="auto"/>
              <w:rPr>
                <w:rFonts w:eastAsia="Times New Roman" w:cs="Times New Roman"/>
                <w:noProof/>
              </w:rPr>
            </w:pPr>
            <w:r>
              <w:rPr>
                <w:noProof/>
              </w:rPr>
              <w:t xml:space="preserve">Rashodi nastali u vezi s modernim digitalnim radnim mjestom i rješenjima za poboljšanje iskustva krajnjih kupaca </w:t>
            </w:r>
          </w:p>
        </w:tc>
      </w:tr>
      <w:tr w:rsidR="008273B8" w14:paraId="7A539540"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3C" w14:textId="77777777" w:rsidR="008273B8" w:rsidRDefault="00B93063">
            <w:pPr>
              <w:pStyle w:val="P68B1DB1-Normal19"/>
              <w:spacing w:after="0" w:line="240" w:lineRule="auto"/>
              <w:jc w:val="center"/>
              <w:rPr>
                <w:rFonts w:eastAsia="Times New Roman" w:cs="Times New Roman"/>
                <w:noProof/>
              </w:rPr>
            </w:pPr>
            <w:r>
              <w:rPr>
                <w:noProof/>
              </w:rPr>
              <w:t xml:space="preserve"> 3.14</w:t>
            </w:r>
          </w:p>
        </w:tc>
        <w:tc>
          <w:tcPr>
            <w:tcW w:w="1156" w:type="dxa"/>
            <w:tcBorders>
              <w:top w:val="nil"/>
              <w:left w:val="nil"/>
              <w:bottom w:val="single" w:sz="4" w:space="0" w:color="auto"/>
              <w:right w:val="single" w:sz="4" w:space="0" w:color="auto"/>
            </w:tcBorders>
            <w:shd w:val="clear" w:color="auto" w:fill="C6EFCE"/>
            <w:hideMark/>
          </w:tcPr>
          <w:p w14:paraId="7A53953D" w14:textId="77777777" w:rsidR="008273B8" w:rsidRDefault="00B93063">
            <w:pPr>
              <w:pStyle w:val="P68B1DB1-Normal19"/>
              <w:spacing w:after="0" w:line="240" w:lineRule="auto"/>
              <w:jc w:val="center"/>
              <w:rPr>
                <w:rFonts w:eastAsia="Times New Roman" w:cs="Times New Roman"/>
                <w:noProof/>
              </w:rPr>
            </w:pPr>
            <w:r>
              <w:rPr>
                <w:noProof/>
              </w:rPr>
              <w:t xml:space="preserve">C3.I.4 </w:t>
            </w:r>
          </w:p>
        </w:tc>
        <w:tc>
          <w:tcPr>
            <w:tcW w:w="1146" w:type="dxa"/>
            <w:tcBorders>
              <w:top w:val="nil"/>
              <w:left w:val="nil"/>
              <w:bottom w:val="single" w:sz="4" w:space="0" w:color="auto"/>
              <w:right w:val="single" w:sz="4" w:space="0" w:color="auto"/>
            </w:tcBorders>
            <w:shd w:val="clear" w:color="auto" w:fill="C6EFCE"/>
            <w:hideMark/>
          </w:tcPr>
          <w:p w14:paraId="7A53953E"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3F" w14:textId="77777777" w:rsidR="008273B8" w:rsidRDefault="00B93063">
            <w:pPr>
              <w:pStyle w:val="P68B1DB1-Normal19"/>
              <w:spacing w:after="0" w:line="240" w:lineRule="auto"/>
              <w:rPr>
                <w:rFonts w:eastAsia="Times New Roman" w:cs="Times New Roman"/>
                <w:noProof/>
              </w:rPr>
            </w:pPr>
            <w:r>
              <w:rPr>
                <w:noProof/>
              </w:rPr>
              <w:t>Objava poziva na podnošenje prijava</w:t>
            </w:r>
          </w:p>
        </w:tc>
      </w:tr>
      <w:tr w:rsidR="008273B8" w14:paraId="7A539545"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41" w14:textId="77777777" w:rsidR="008273B8" w:rsidRDefault="00B93063">
            <w:pPr>
              <w:pStyle w:val="P68B1DB1-Normal19"/>
              <w:spacing w:after="0" w:line="240" w:lineRule="auto"/>
              <w:jc w:val="center"/>
              <w:rPr>
                <w:rFonts w:eastAsia="Times New Roman" w:cs="Times New Roman"/>
                <w:noProof/>
              </w:rPr>
            </w:pPr>
            <w:r>
              <w:rPr>
                <w:noProof/>
              </w:rPr>
              <w:t xml:space="preserve"> 4.1</w:t>
            </w:r>
          </w:p>
        </w:tc>
        <w:tc>
          <w:tcPr>
            <w:tcW w:w="1156" w:type="dxa"/>
            <w:tcBorders>
              <w:top w:val="nil"/>
              <w:left w:val="nil"/>
              <w:bottom w:val="single" w:sz="4" w:space="0" w:color="auto"/>
              <w:right w:val="single" w:sz="4" w:space="0" w:color="auto"/>
            </w:tcBorders>
            <w:shd w:val="clear" w:color="auto" w:fill="C6EFCE"/>
            <w:hideMark/>
          </w:tcPr>
          <w:p w14:paraId="7A539542" w14:textId="77777777" w:rsidR="008273B8" w:rsidRDefault="00B93063">
            <w:pPr>
              <w:pStyle w:val="P68B1DB1-Normal19"/>
              <w:spacing w:after="0" w:line="240" w:lineRule="auto"/>
              <w:jc w:val="center"/>
              <w:rPr>
                <w:rFonts w:eastAsia="Times New Roman" w:cs="Times New Roman"/>
                <w:noProof/>
              </w:rPr>
            </w:pPr>
            <w:r>
              <w:rPr>
                <w:noProof/>
              </w:rPr>
              <w:t xml:space="preserve">C4.R.1 </w:t>
            </w:r>
          </w:p>
        </w:tc>
        <w:tc>
          <w:tcPr>
            <w:tcW w:w="1146" w:type="dxa"/>
            <w:tcBorders>
              <w:top w:val="nil"/>
              <w:left w:val="nil"/>
              <w:bottom w:val="single" w:sz="4" w:space="0" w:color="auto"/>
              <w:right w:val="single" w:sz="4" w:space="0" w:color="auto"/>
            </w:tcBorders>
            <w:shd w:val="clear" w:color="auto" w:fill="C6EFCE"/>
            <w:hideMark/>
          </w:tcPr>
          <w:p w14:paraId="7A539543"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44" w14:textId="77777777" w:rsidR="008273B8" w:rsidRDefault="00B93063">
            <w:pPr>
              <w:pStyle w:val="P68B1DB1-Normal19"/>
              <w:spacing w:after="0" w:line="240" w:lineRule="auto"/>
              <w:rPr>
                <w:rFonts w:eastAsia="Times New Roman" w:cs="Times New Roman"/>
                <w:noProof/>
              </w:rPr>
            </w:pPr>
            <w:r>
              <w:rPr>
                <w:noProof/>
              </w:rPr>
              <w:t xml:space="preserve">Studija o preprekama i poticajima za bolju integraciju i dobrobit strane radne snage </w:t>
            </w:r>
          </w:p>
        </w:tc>
      </w:tr>
      <w:tr w:rsidR="008273B8" w14:paraId="7A53954A"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46" w14:textId="77777777" w:rsidR="008273B8" w:rsidRDefault="00B93063">
            <w:pPr>
              <w:pStyle w:val="P68B1DB1-Normal19"/>
              <w:spacing w:after="0" w:line="240" w:lineRule="auto"/>
              <w:jc w:val="center"/>
              <w:rPr>
                <w:rFonts w:eastAsia="Times New Roman" w:cs="Times New Roman"/>
                <w:noProof/>
              </w:rPr>
            </w:pPr>
            <w:r>
              <w:rPr>
                <w:noProof/>
              </w:rPr>
              <w:t xml:space="preserve"> 4.5</w:t>
            </w:r>
          </w:p>
        </w:tc>
        <w:tc>
          <w:tcPr>
            <w:tcW w:w="1156" w:type="dxa"/>
            <w:tcBorders>
              <w:top w:val="nil"/>
              <w:left w:val="nil"/>
              <w:bottom w:val="single" w:sz="4" w:space="0" w:color="auto"/>
              <w:right w:val="single" w:sz="4" w:space="0" w:color="auto"/>
            </w:tcBorders>
            <w:shd w:val="clear" w:color="auto" w:fill="C6EFCE"/>
            <w:hideMark/>
          </w:tcPr>
          <w:p w14:paraId="7A539547" w14:textId="77777777" w:rsidR="008273B8" w:rsidRDefault="00B93063">
            <w:pPr>
              <w:pStyle w:val="P68B1DB1-Normal19"/>
              <w:spacing w:after="0" w:line="240" w:lineRule="auto"/>
              <w:jc w:val="center"/>
              <w:rPr>
                <w:rFonts w:eastAsia="Times New Roman" w:cs="Times New Roman"/>
                <w:noProof/>
              </w:rPr>
            </w:pPr>
            <w:r>
              <w:rPr>
                <w:noProof/>
              </w:rPr>
              <w:t xml:space="preserve">C4.R.1 </w:t>
            </w:r>
          </w:p>
        </w:tc>
        <w:tc>
          <w:tcPr>
            <w:tcW w:w="1146" w:type="dxa"/>
            <w:tcBorders>
              <w:top w:val="nil"/>
              <w:left w:val="nil"/>
              <w:bottom w:val="single" w:sz="4" w:space="0" w:color="auto"/>
              <w:right w:val="single" w:sz="4" w:space="0" w:color="auto"/>
            </w:tcBorders>
            <w:shd w:val="clear" w:color="auto" w:fill="C6EFCE"/>
            <w:hideMark/>
          </w:tcPr>
          <w:p w14:paraId="7A539548"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49" w14:textId="77777777" w:rsidR="008273B8" w:rsidRDefault="00B93063">
            <w:pPr>
              <w:pStyle w:val="P68B1DB1-Normal19"/>
              <w:spacing w:after="0" w:line="240" w:lineRule="auto"/>
              <w:rPr>
                <w:rFonts w:eastAsia="Times New Roman" w:cs="Times New Roman"/>
                <w:noProof/>
              </w:rPr>
            </w:pPr>
            <w:r>
              <w:rPr>
                <w:noProof/>
              </w:rPr>
              <w:t>Izvješće o pretilosti među osobama u dobi od 4 do 5 godina u malteškom stanovništvu</w:t>
            </w:r>
          </w:p>
        </w:tc>
      </w:tr>
      <w:tr w:rsidR="008273B8" w14:paraId="7A53954F"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4B" w14:textId="77777777" w:rsidR="008273B8" w:rsidRDefault="00B93063">
            <w:pPr>
              <w:pStyle w:val="P68B1DB1-Normal19"/>
              <w:spacing w:after="0" w:line="240" w:lineRule="auto"/>
              <w:jc w:val="center"/>
              <w:rPr>
                <w:rFonts w:eastAsia="Times New Roman" w:cs="Times New Roman"/>
                <w:noProof/>
              </w:rPr>
            </w:pPr>
            <w:r>
              <w:rPr>
                <w:noProof/>
              </w:rPr>
              <w:t xml:space="preserve"> 4.7</w:t>
            </w:r>
          </w:p>
        </w:tc>
        <w:tc>
          <w:tcPr>
            <w:tcW w:w="1156" w:type="dxa"/>
            <w:tcBorders>
              <w:top w:val="nil"/>
              <w:left w:val="nil"/>
              <w:bottom w:val="single" w:sz="4" w:space="0" w:color="auto"/>
              <w:right w:val="single" w:sz="4" w:space="0" w:color="auto"/>
            </w:tcBorders>
            <w:shd w:val="clear" w:color="auto" w:fill="C6EFCE"/>
            <w:hideMark/>
          </w:tcPr>
          <w:p w14:paraId="7A53954C" w14:textId="77777777" w:rsidR="008273B8" w:rsidRDefault="00B93063">
            <w:pPr>
              <w:pStyle w:val="P68B1DB1-Normal19"/>
              <w:spacing w:after="0" w:line="240" w:lineRule="auto"/>
              <w:jc w:val="center"/>
              <w:rPr>
                <w:rFonts w:eastAsia="Times New Roman" w:cs="Times New Roman"/>
                <w:noProof/>
              </w:rPr>
            </w:pPr>
            <w:r>
              <w:rPr>
                <w:noProof/>
              </w:rPr>
              <w:t xml:space="preserve">C4.R.2 </w:t>
            </w:r>
          </w:p>
        </w:tc>
        <w:tc>
          <w:tcPr>
            <w:tcW w:w="1146" w:type="dxa"/>
            <w:tcBorders>
              <w:top w:val="nil"/>
              <w:left w:val="nil"/>
              <w:bottom w:val="single" w:sz="4" w:space="0" w:color="auto"/>
              <w:right w:val="single" w:sz="4" w:space="0" w:color="auto"/>
            </w:tcBorders>
            <w:shd w:val="clear" w:color="auto" w:fill="C6EFCE"/>
            <w:hideMark/>
          </w:tcPr>
          <w:p w14:paraId="7A53954D"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4E" w14:textId="77777777" w:rsidR="008273B8" w:rsidRDefault="00B93063">
            <w:pPr>
              <w:pStyle w:val="P68B1DB1-Normal19"/>
              <w:spacing w:after="0" w:line="240" w:lineRule="auto"/>
              <w:rPr>
                <w:rFonts w:eastAsia="Times New Roman" w:cs="Times New Roman"/>
                <w:noProof/>
              </w:rPr>
            </w:pPr>
            <w:r>
              <w:rPr>
                <w:noProof/>
              </w:rPr>
              <w:t xml:space="preserve">Revizija regulatornog okvira koji se odnosi na Banku za krv, tkivo i stanice </w:t>
            </w:r>
          </w:p>
        </w:tc>
      </w:tr>
      <w:tr w:rsidR="008273B8" w14:paraId="7A539554" w14:textId="77777777">
        <w:trPr>
          <w:cantSplit/>
          <w:trHeight w:val="74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50" w14:textId="77777777" w:rsidR="008273B8" w:rsidRDefault="00B93063">
            <w:pPr>
              <w:pStyle w:val="P68B1DB1-Normal19"/>
              <w:spacing w:after="0" w:line="240" w:lineRule="auto"/>
              <w:jc w:val="center"/>
              <w:rPr>
                <w:rFonts w:eastAsia="Times New Roman" w:cs="Times New Roman"/>
                <w:noProof/>
              </w:rPr>
            </w:pPr>
            <w:r>
              <w:rPr>
                <w:noProof/>
              </w:rPr>
              <w:t xml:space="preserve"> 4.11</w:t>
            </w:r>
          </w:p>
        </w:tc>
        <w:tc>
          <w:tcPr>
            <w:tcW w:w="1156" w:type="dxa"/>
            <w:tcBorders>
              <w:top w:val="nil"/>
              <w:left w:val="nil"/>
              <w:bottom w:val="single" w:sz="4" w:space="0" w:color="auto"/>
              <w:right w:val="single" w:sz="4" w:space="0" w:color="auto"/>
            </w:tcBorders>
            <w:shd w:val="clear" w:color="auto" w:fill="C6EFCE"/>
            <w:hideMark/>
          </w:tcPr>
          <w:p w14:paraId="7A539551" w14:textId="77777777" w:rsidR="008273B8" w:rsidRDefault="00B93063">
            <w:pPr>
              <w:pStyle w:val="P68B1DB1-Normal19"/>
              <w:spacing w:after="0" w:line="240" w:lineRule="auto"/>
              <w:jc w:val="center"/>
              <w:rPr>
                <w:rFonts w:eastAsia="Times New Roman" w:cs="Times New Roman"/>
                <w:noProof/>
              </w:rPr>
            </w:pPr>
            <w:r>
              <w:rPr>
                <w:noProof/>
              </w:rPr>
              <w:t xml:space="preserve">C4.I.2. </w:t>
            </w:r>
          </w:p>
        </w:tc>
        <w:tc>
          <w:tcPr>
            <w:tcW w:w="1146" w:type="dxa"/>
            <w:tcBorders>
              <w:top w:val="nil"/>
              <w:left w:val="nil"/>
              <w:bottom w:val="single" w:sz="4" w:space="0" w:color="auto"/>
              <w:right w:val="single" w:sz="4" w:space="0" w:color="auto"/>
            </w:tcBorders>
            <w:shd w:val="clear" w:color="auto" w:fill="C6EFCE"/>
            <w:hideMark/>
          </w:tcPr>
          <w:p w14:paraId="7A539552"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53" w14:textId="77777777" w:rsidR="008273B8" w:rsidRDefault="00B93063">
            <w:pPr>
              <w:pStyle w:val="P68B1DB1-Normal19"/>
              <w:spacing w:after="0" w:line="240" w:lineRule="auto"/>
              <w:rPr>
                <w:rFonts w:eastAsia="Times New Roman" w:cs="Times New Roman"/>
                <w:noProof/>
              </w:rPr>
            </w:pPr>
            <w:r>
              <w:rPr>
                <w:noProof/>
              </w:rPr>
              <w:t>Potpisan ugovor za nabavu rješenja opreme za magnetsku rezonanciju linearne akceleratora u onkološkom centru Sir Anthony Mamo</w:t>
            </w:r>
          </w:p>
        </w:tc>
      </w:tr>
      <w:tr w:rsidR="008273B8" w14:paraId="7A539559"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55" w14:textId="77777777" w:rsidR="008273B8" w:rsidRDefault="00B93063">
            <w:pPr>
              <w:pStyle w:val="P68B1DB1-Normal19"/>
              <w:spacing w:after="0" w:line="240" w:lineRule="auto"/>
              <w:jc w:val="center"/>
              <w:rPr>
                <w:rFonts w:eastAsia="Times New Roman" w:cs="Times New Roman"/>
                <w:noProof/>
              </w:rPr>
            </w:pPr>
            <w:r>
              <w:rPr>
                <w:noProof/>
              </w:rPr>
              <w:t xml:space="preserve"> 4.13</w:t>
            </w:r>
          </w:p>
        </w:tc>
        <w:tc>
          <w:tcPr>
            <w:tcW w:w="1156" w:type="dxa"/>
            <w:tcBorders>
              <w:top w:val="nil"/>
              <w:left w:val="nil"/>
              <w:bottom w:val="single" w:sz="4" w:space="0" w:color="auto"/>
              <w:right w:val="single" w:sz="4" w:space="0" w:color="auto"/>
            </w:tcBorders>
            <w:shd w:val="clear" w:color="auto" w:fill="C6EFCE"/>
            <w:hideMark/>
          </w:tcPr>
          <w:p w14:paraId="7A539556" w14:textId="77777777" w:rsidR="008273B8" w:rsidRDefault="00B93063">
            <w:pPr>
              <w:pStyle w:val="P68B1DB1-Normal19"/>
              <w:spacing w:after="0" w:line="240" w:lineRule="auto"/>
              <w:jc w:val="center"/>
              <w:rPr>
                <w:rFonts w:eastAsia="Times New Roman" w:cs="Times New Roman"/>
                <w:noProof/>
              </w:rPr>
            </w:pPr>
            <w:r>
              <w:rPr>
                <w:noProof/>
              </w:rPr>
              <w:t xml:space="preserve">C4.I.2. </w:t>
            </w:r>
          </w:p>
        </w:tc>
        <w:tc>
          <w:tcPr>
            <w:tcW w:w="1146" w:type="dxa"/>
            <w:tcBorders>
              <w:top w:val="nil"/>
              <w:left w:val="nil"/>
              <w:bottom w:val="single" w:sz="4" w:space="0" w:color="auto"/>
              <w:right w:val="single" w:sz="4" w:space="0" w:color="auto"/>
            </w:tcBorders>
            <w:shd w:val="clear" w:color="auto" w:fill="C6EFCE"/>
            <w:hideMark/>
          </w:tcPr>
          <w:p w14:paraId="7A539557"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58" w14:textId="74C3D97A" w:rsidR="008273B8" w:rsidRDefault="00B93063">
            <w:pPr>
              <w:pStyle w:val="P68B1DB1-Normal19"/>
              <w:spacing w:after="0" w:line="240" w:lineRule="auto"/>
              <w:rPr>
                <w:rFonts w:eastAsia="Times New Roman" w:cs="Times New Roman"/>
                <w:noProof/>
              </w:rPr>
            </w:pPr>
            <w:r>
              <w:rPr>
                <w:noProof/>
              </w:rPr>
              <w:t>Svi potpisani ugovori za usluge digitalne patologije u histopatološkom odjelu u bolnici Mater Dei</w:t>
            </w:r>
          </w:p>
        </w:tc>
      </w:tr>
      <w:tr w:rsidR="008273B8" w14:paraId="7A53955E"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5A" w14:textId="0BE691C8" w:rsidR="008273B8" w:rsidRDefault="008273B8">
            <w:pPr>
              <w:spacing w:after="0" w:line="240" w:lineRule="auto"/>
              <w:jc w:val="center"/>
              <w:rPr>
                <w:rFonts w:ascii="Times New Roman" w:eastAsia="Times New Roman" w:hAnsi="Times New Roman" w:cs="Times New Roman"/>
                <w:noProof/>
                <w:sz w:val="18"/>
              </w:rPr>
            </w:pPr>
          </w:p>
        </w:tc>
        <w:tc>
          <w:tcPr>
            <w:tcW w:w="1156" w:type="dxa"/>
            <w:tcBorders>
              <w:top w:val="nil"/>
              <w:left w:val="nil"/>
              <w:bottom w:val="single" w:sz="4" w:space="0" w:color="auto"/>
              <w:right w:val="single" w:sz="4" w:space="0" w:color="auto"/>
            </w:tcBorders>
            <w:shd w:val="clear" w:color="auto" w:fill="C6EFCE"/>
            <w:hideMark/>
          </w:tcPr>
          <w:p w14:paraId="7A53955B" w14:textId="27736054" w:rsidR="008273B8" w:rsidRDefault="008273B8">
            <w:pPr>
              <w:spacing w:after="0" w:line="240" w:lineRule="auto"/>
              <w:jc w:val="center"/>
              <w:rPr>
                <w:rFonts w:ascii="Times New Roman" w:eastAsia="Times New Roman" w:hAnsi="Times New Roman" w:cs="Times New Roman"/>
                <w:noProof/>
                <w:sz w:val="18"/>
              </w:rPr>
            </w:pPr>
          </w:p>
        </w:tc>
        <w:tc>
          <w:tcPr>
            <w:tcW w:w="1146" w:type="dxa"/>
            <w:tcBorders>
              <w:top w:val="nil"/>
              <w:left w:val="nil"/>
              <w:bottom w:val="single" w:sz="4" w:space="0" w:color="auto"/>
              <w:right w:val="single" w:sz="4" w:space="0" w:color="auto"/>
            </w:tcBorders>
            <w:shd w:val="clear" w:color="auto" w:fill="C6EFCE"/>
            <w:hideMark/>
          </w:tcPr>
          <w:p w14:paraId="7A53955C" w14:textId="1043329D" w:rsidR="008273B8" w:rsidRDefault="008273B8">
            <w:pPr>
              <w:spacing w:after="0" w:line="240" w:lineRule="auto"/>
              <w:jc w:val="center"/>
              <w:rPr>
                <w:rFonts w:ascii="Times New Roman" w:eastAsia="Times New Roman" w:hAnsi="Times New Roman" w:cs="Times New Roman"/>
                <w:noProof/>
                <w:sz w:val="18"/>
              </w:rPr>
            </w:pPr>
          </w:p>
        </w:tc>
        <w:tc>
          <w:tcPr>
            <w:tcW w:w="5030" w:type="dxa"/>
            <w:tcBorders>
              <w:top w:val="nil"/>
              <w:left w:val="nil"/>
              <w:bottom w:val="single" w:sz="4" w:space="0" w:color="auto"/>
              <w:right w:val="single" w:sz="4" w:space="0" w:color="auto"/>
            </w:tcBorders>
            <w:shd w:val="clear" w:color="auto" w:fill="C6EFCE"/>
            <w:hideMark/>
          </w:tcPr>
          <w:p w14:paraId="7A53955D" w14:textId="04B49CBC" w:rsidR="008273B8" w:rsidRDefault="008273B8">
            <w:pPr>
              <w:spacing w:after="0" w:line="240" w:lineRule="auto"/>
              <w:rPr>
                <w:rFonts w:ascii="Times New Roman" w:eastAsia="Times New Roman" w:hAnsi="Times New Roman" w:cs="Times New Roman"/>
                <w:noProof/>
                <w:sz w:val="18"/>
              </w:rPr>
            </w:pPr>
          </w:p>
        </w:tc>
      </w:tr>
      <w:tr w:rsidR="008273B8" w14:paraId="7A539563" w14:textId="77777777">
        <w:trPr>
          <w:cantSplit/>
          <w:trHeight w:val="425"/>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5F" w14:textId="77777777" w:rsidR="008273B8" w:rsidRDefault="00B93063">
            <w:pPr>
              <w:pStyle w:val="P68B1DB1-Normal19"/>
              <w:spacing w:after="0" w:line="240" w:lineRule="auto"/>
              <w:jc w:val="center"/>
              <w:rPr>
                <w:rFonts w:eastAsia="Times New Roman" w:cs="Times New Roman"/>
                <w:noProof/>
              </w:rPr>
            </w:pPr>
            <w:r>
              <w:rPr>
                <w:noProof/>
              </w:rPr>
              <w:t xml:space="preserve"> 5.6</w:t>
            </w:r>
          </w:p>
        </w:tc>
        <w:tc>
          <w:tcPr>
            <w:tcW w:w="1156" w:type="dxa"/>
            <w:tcBorders>
              <w:top w:val="nil"/>
              <w:left w:val="nil"/>
              <w:bottom w:val="single" w:sz="4" w:space="0" w:color="auto"/>
              <w:right w:val="single" w:sz="4" w:space="0" w:color="auto"/>
            </w:tcBorders>
            <w:shd w:val="clear" w:color="auto" w:fill="C6EFCE"/>
            <w:hideMark/>
          </w:tcPr>
          <w:p w14:paraId="7A539560" w14:textId="77777777" w:rsidR="008273B8" w:rsidRDefault="00B93063">
            <w:pPr>
              <w:pStyle w:val="P68B1DB1-Normal19"/>
              <w:spacing w:after="0" w:line="240" w:lineRule="auto"/>
              <w:jc w:val="center"/>
              <w:rPr>
                <w:rFonts w:eastAsia="Times New Roman" w:cs="Times New Roman"/>
                <w:noProof/>
              </w:rPr>
            </w:pPr>
            <w:r>
              <w:rPr>
                <w:noProof/>
              </w:rPr>
              <w:t xml:space="preserve">C5.R.2 </w:t>
            </w:r>
          </w:p>
        </w:tc>
        <w:tc>
          <w:tcPr>
            <w:tcW w:w="1146" w:type="dxa"/>
            <w:tcBorders>
              <w:top w:val="nil"/>
              <w:left w:val="nil"/>
              <w:bottom w:val="single" w:sz="4" w:space="0" w:color="auto"/>
              <w:right w:val="single" w:sz="4" w:space="0" w:color="auto"/>
            </w:tcBorders>
            <w:shd w:val="clear" w:color="auto" w:fill="C6EFCE"/>
            <w:hideMark/>
          </w:tcPr>
          <w:p w14:paraId="7A539561"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62" w14:textId="77777777" w:rsidR="008273B8" w:rsidRDefault="00B93063">
            <w:pPr>
              <w:pStyle w:val="P68B1DB1-Normal19"/>
              <w:spacing w:after="0" w:line="240" w:lineRule="auto"/>
              <w:rPr>
                <w:rFonts w:eastAsia="Times New Roman" w:cs="Times New Roman"/>
                <w:noProof/>
              </w:rPr>
            </w:pPr>
            <w:r>
              <w:rPr>
                <w:noProof/>
              </w:rPr>
              <w:t>Pokretanje e-kolegije</w:t>
            </w:r>
          </w:p>
        </w:tc>
      </w:tr>
      <w:tr w:rsidR="008273B8" w14:paraId="7A539568"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64" w14:textId="77777777" w:rsidR="008273B8" w:rsidRDefault="00B93063">
            <w:pPr>
              <w:pStyle w:val="P68B1DB1-Normal19"/>
              <w:spacing w:after="0" w:line="240" w:lineRule="auto"/>
              <w:jc w:val="center"/>
              <w:rPr>
                <w:rFonts w:eastAsia="Times New Roman" w:cs="Times New Roman"/>
                <w:noProof/>
              </w:rPr>
            </w:pPr>
            <w:r>
              <w:rPr>
                <w:noProof/>
              </w:rPr>
              <w:t xml:space="preserve"> 5.9</w:t>
            </w:r>
          </w:p>
        </w:tc>
        <w:tc>
          <w:tcPr>
            <w:tcW w:w="1156" w:type="dxa"/>
            <w:tcBorders>
              <w:top w:val="nil"/>
              <w:left w:val="nil"/>
              <w:bottom w:val="single" w:sz="4" w:space="0" w:color="auto"/>
              <w:right w:val="single" w:sz="4" w:space="0" w:color="auto"/>
            </w:tcBorders>
            <w:shd w:val="clear" w:color="auto" w:fill="C6EFCE"/>
            <w:hideMark/>
          </w:tcPr>
          <w:p w14:paraId="7A539565" w14:textId="77777777" w:rsidR="008273B8" w:rsidRDefault="00B93063">
            <w:pPr>
              <w:pStyle w:val="P68B1DB1-Normal19"/>
              <w:spacing w:after="0" w:line="240" w:lineRule="auto"/>
              <w:jc w:val="center"/>
              <w:rPr>
                <w:rFonts w:eastAsia="Times New Roman" w:cs="Times New Roman"/>
                <w:noProof/>
              </w:rPr>
            </w:pPr>
            <w:r>
              <w:rPr>
                <w:noProof/>
              </w:rPr>
              <w:t xml:space="preserve">C5.R.3 </w:t>
            </w:r>
          </w:p>
        </w:tc>
        <w:tc>
          <w:tcPr>
            <w:tcW w:w="1146" w:type="dxa"/>
            <w:tcBorders>
              <w:top w:val="nil"/>
              <w:left w:val="nil"/>
              <w:bottom w:val="single" w:sz="4" w:space="0" w:color="auto"/>
              <w:right w:val="single" w:sz="4" w:space="0" w:color="auto"/>
            </w:tcBorders>
            <w:shd w:val="clear" w:color="auto" w:fill="C6EFCE"/>
            <w:hideMark/>
          </w:tcPr>
          <w:p w14:paraId="7A539566"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5030" w:type="dxa"/>
            <w:tcBorders>
              <w:top w:val="nil"/>
              <w:left w:val="nil"/>
              <w:bottom w:val="single" w:sz="4" w:space="0" w:color="auto"/>
              <w:right w:val="single" w:sz="4" w:space="0" w:color="auto"/>
            </w:tcBorders>
            <w:shd w:val="clear" w:color="auto" w:fill="C6EFCE"/>
            <w:hideMark/>
          </w:tcPr>
          <w:p w14:paraId="7A539567" w14:textId="77777777" w:rsidR="008273B8" w:rsidRDefault="00B93063">
            <w:pPr>
              <w:pStyle w:val="P68B1DB1-Normal19"/>
              <w:spacing w:after="0" w:line="240" w:lineRule="auto"/>
              <w:rPr>
                <w:rFonts w:eastAsia="Times New Roman" w:cs="Times New Roman"/>
                <w:noProof/>
              </w:rPr>
            </w:pPr>
            <w:r>
              <w:rPr>
                <w:noProof/>
              </w:rPr>
              <w:t xml:space="preserve">Uspostava dviju novih višesenzijskih soba za učenje (MSLR) (fizički prostori opremljeni opremom i osposobljenim obrazovnim osobljem) na fakultetima </w:t>
            </w:r>
          </w:p>
        </w:tc>
      </w:tr>
      <w:tr w:rsidR="008273B8" w14:paraId="7A53956D"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69" w14:textId="77777777" w:rsidR="008273B8" w:rsidRDefault="00B93063">
            <w:pPr>
              <w:pStyle w:val="P68B1DB1-Normal19"/>
              <w:spacing w:after="0" w:line="240" w:lineRule="auto"/>
              <w:jc w:val="center"/>
              <w:rPr>
                <w:rFonts w:eastAsia="Times New Roman" w:cs="Times New Roman"/>
                <w:noProof/>
              </w:rPr>
            </w:pPr>
            <w:r>
              <w:rPr>
                <w:noProof/>
              </w:rPr>
              <w:t xml:space="preserve"> 5.12</w:t>
            </w:r>
          </w:p>
        </w:tc>
        <w:tc>
          <w:tcPr>
            <w:tcW w:w="1156" w:type="dxa"/>
            <w:tcBorders>
              <w:top w:val="nil"/>
              <w:left w:val="nil"/>
              <w:bottom w:val="single" w:sz="4" w:space="0" w:color="auto"/>
              <w:right w:val="single" w:sz="4" w:space="0" w:color="auto"/>
            </w:tcBorders>
            <w:shd w:val="clear" w:color="auto" w:fill="C6EFCE"/>
            <w:hideMark/>
          </w:tcPr>
          <w:p w14:paraId="7A53956A" w14:textId="77777777" w:rsidR="008273B8" w:rsidRDefault="00B93063">
            <w:pPr>
              <w:pStyle w:val="P68B1DB1-Normal19"/>
              <w:spacing w:after="0" w:line="240" w:lineRule="auto"/>
              <w:jc w:val="center"/>
              <w:rPr>
                <w:rFonts w:eastAsia="Times New Roman" w:cs="Times New Roman"/>
                <w:noProof/>
              </w:rPr>
            </w:pPr>
            <w:r>
              <w:rPr>
                <w:noProof/>
              </w:rPr>
              <w:t xml:space="preserve">C5.R.5 </w:t>
            </w:r>
          </w:p>
        </w:tc>
        <w:tc>
          <w:tcPr>
            <w:tcW w:w="1146" w:type="dxa"/>
            <w:tcBorders>
              <w:top w:val="nil"/>
              <w:left w:val="nil"/>
              <w:bottom w:val="single" w:sz="4" w:space="0" w:color="auto"/>
              <w:right w:val="single" w:sz="4" w:space="0" w:color="auto"/>
            </w:tcBorders>
            <w:shd w:val="clear" w:color="auto" w:fill="C6EFCE"/>
            <w:hideMark/>
          </w:tcPr>
          <w:p w14:paraId="7A53956B"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6C" w14:textId="77777777" w:rsidR="008273B8" w:rsidRDefault="00B93063">
            <w:pPr>
              <w:pStyle w:val="P68B1DB1-Normal19"/>
              <w:spacing w:after="0" w:line="240" w:lineRule="auto"/>
              <w:rPr>
                <w:rFonts w:eastAsia="Times New Roman" w:cs="Times New Roman"/>
                <w:noProof/>
              </w:rPr>
            </w:pPr>
            <w:r>
              <w:rPr>
                <w:noProof/>
              </w:rPr>
              <w:t>Procjena davanja za nezaposlenost</w:t>
            </w:r>
          </w:p>
        </w:tc>
      </w:tr>
      <w:tr w:rsidR="008273B8" w14:paraId="7A539572"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6E" w14:textId="77777777" w:rsidR="008273B8" w:rsidRDefault="00B93063">
            <w:pPr>
              <w:pStyle w:val="P68B1DB1-Normal19"/>
              <w:spacing w:after="0" w:line="240" w:lineRule="auto"/>
              <w:jc w:val="center"/>
              <w:rPr>
                <w:rFonts w:eastAsia="Times New Roman" w:cs="Times New Roman"/>
                <w:noProof/>
              </w:rPr>
            </w:pPr>
            <w:r>
              <w:rPr>
                <w:noProof/>
              </w:rPr>
              <w:t xml:space="preserve"> 5.16</w:t>
            </w:r>
          </w:p>
        </w:tc>
        <w:tc>
          <w:tcPr>
            <w:tcW w:w="1156" w:type="dxa"/>
            <w:tcBorders>
              <w:top w:val="nil"/>
              <w:left w:val="nil"/>
              <w:bottom w:val="single" w:sz="4" w:space="0" w:color="auto"/>
              <w:right w:val="single" w:sz="4" w:space="0" w:color="auto"/>
            </w:tcBorders>
            <w:shd w:val="clear" w:color="auto" w:fill="C6EFCE"/>
            <w:hideMark/>
          </w:tcPr>
          <w:p w14:paraId="7A53956F" w14:textId="77777777" w:rsidR="008273B8" w:rsidRDefault="00B93063">
            <w:pPr>
              <w:pStyle w:val="P68B1DB1-Normal19"/>
              <w:spacing w:after="0" w:line="240" w:lineRule="auto"/>
              <w:jc w:val="center"/>
              <w:rPr>
                <w:rFonts w:eastAsia="Times New Roman" w:cs="Times New Roman"/>
                <w:noProof/>
              </w:rPr>
            </w:pPr>
            <w:r>
              <w:rPr>
                <w:noProof/>
              </w:rPr>
              <w:t xml:space="preserve">C5.R.6 </w:t>
            </w:r>
          </w:p>
        </w:tc>
        <w:tc>
          <w:tcPr>
            <w:tcW w:w="1146" w:type="dxa"/>
            <w:tcBorders>
              <w:top w:val="nil"/>
              <w:left w:val="nil"/>
              <w:bottom w:val="single" w:sz="4" w:space="0" w:color="auto"/>
              <w:right w:val="single" w:sz="4" w:space="0" w:color="auto"/>
            </w:tcBorders>
            <w:shd w:val="clear" w:color="auto" w:fill="C6EFCE"/>
            <w:hideMark/>
          </w:tcPr>
          <w:p w14:paraId="7A539570"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71" w14:textId="77777777" w:rsidR="008273B8" w:rsidRDefault="00B93063">
            <w:pPr>
              <w:pStyle w:val="P68B1DB1-Normal19"/>
              <w:spacing w:after="0" w:line="240" w:lineRule="auto"/>
              <w:rPr>
                <w:rFonts w:eastAsia="Times New Roman" w:cs="Times New Roman"/>
                <w:noProof/>
              </w:rPr>
            </w:pPr>
            <w:r>
              <w:rPr>
                <w:noProof/>
              </w:rPr>
              <w:t>Daljnje postupanje u vezi s izvješćem o preispitivanju mirovina s prijedlozima politika</w:t>
            </w:r>
          </w:p>
        </w:tc>
      </w:tr>
      <w:tr w:rsidR="008273B8" w14:paraId="7A539577" w14:textId="77777777">
        <w:trPr>
          <w:cantSplit/>
          <w:trHeight w:val="355"/>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73" w14:textId="77777777" w:rsidR="008273B8" w:rsidRDefault="00B93063">
            <w:pPr>
              <w:pStyle w:val="P68B1DB1-Normal19"/>
              <w:spacing w:after="0" w:line="240" w:lineRule="auto"/>
              <w:jc w:val="center"/>
              <w:rPr>
                <w:rFonts w:eastAsia="Times New Roman" w:cs="Times New Roman"/>
                <w:noProof/>
              </w:rPr>
            </w:pPr>
            <w:r>
              <w:rPr>
                <w:noProof/>
              </w:rPr>
              <w:t xml:space="preserve"> 6.7</w:t>
            </w:r>
          </w:p>
        </w:tc>
        <w:tc>
          <w:tcPr>
            <w:tcW w:w="1156" w:type="dxa"/>
            <w:tcBorders>
              <w:top w:val="nil"/>
              <w:left w:val="nil"/>
              <w:bottom w:val="single" w:sz="4" w:space="0" w:color="auto"/>
              <w:right w:val="single" w:sz="4" w:space="0" w:color="auto"/>
            </w:tcBorders>
            <w:shd w:val="clear" w:color="auto" w:fill="C6EFCE"/>
            <w:hideMark/>
          </w:tcPr>
          <w:p w14:paraId="7A539574" w14:textId="77777777" w:rsidR="008273B8" w:rsidRDefault="00B93063">
            <w:pPr>
              <w:pStyle w:val="P68B1DB1-Normal19"/>
              <w:spacing w:after="0" w:line="240" w:lineRule="auto"/>
              <w:jc w:val="center"/>
              <w:rPr>
                <w:rFonts w:eastAsia="Times New Roman" w:cs="Times New Roman"/>
                <w:noProof/>
              </w:rPr>
            </w:pPr>
            <w:r>
              <w:rPr>
                <w:noProof/>
              </w:rPr>
              <w:t xml:space="preserve">C6.R.2 </w:t>
            </w:r>
          </w:p>
        </w:tc>
        <w:tc>
          <w:tcPr>
            <w:tcW w:w="1146" w:type="dxa"/>
            <w:tcBorders>
              <w:top w:val="nil"/>
              <w:left w:val="nil"/>
              <w:bottom w:val="single" w:sz="4" w:space="0" w:color="auto"/>
              <w:right w:val="single" w:sz="4" w:space="0" w:color="auto"/>
            </w:tcBorders>
            <w:shd w:val="clear" w:color="auto" w:fill="C6EFCE"/>
            <w:hideMark/>
          </w:tcPr>
          <w:p w14:paraId="7A539575"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5030" w:type="dxa"/>
            <w:tcBorders>
              <w:top w:val="nil"/>
              <w:left w:val="nil"/>
              <w:bottom w:val="single" w:sz="4" w:space="0" w:color="auto"/>
              <w:right w:val="single" w:sz="4" w:space="0" w:color="auto"/>
            </w:tcBorders>
            <w:shd w:val="clear" w:color="auto" w:fill="C6EFCE"/>
            <w:hideMark/>
          </w:tcPr>
          <w:p w14:paraId="7A539576" w14:textId="77777777" w:rsidR="008273B8" w:rsidRDefault="00B93063">
            <w:pPr>
              <w:pStyle w:val="P68B1DB1-Normal19"/>
              <w:spacing w:after="0" w:line="240" w:lineRule="auto"/>
              <w:rPr>
                <w:rFonts w:eastAsia="Times New Roman" w:cs="Times New Roman"/>
                <w:noProof/>
              </w:rPr>
            </w:pPr>
            <w:r>
              <w:rPr>
                <w:noProof/>
              </w:rPr>
              <w:t>Izgradnja kapaciteta u Uredu AG-a</w:t>
            </w:r>
          </w:p>
        </w:tc>
      </w:tr>
      <w:tr w:rsidR="008273B8" w14:paraId="7A53957C"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78" w14:textId="77777777" w:rsidR="008273B8" w:rsidRDefault="00B93063">
            <w:pPr>
              <w:pStyle w:val="P68B1DB1-Normal19"/>
              <w:spacing w:after="0" w:line="240" w:lineRule="auto"/>
              <w:jc w:val="center"/>
              <w:rPr>
                <w:rFonts w:eastAsia="Times New Roman" w:cs="Times New Roman"/>
                <w:noProof/>
              </w:rPr>
            </w:pPr>
            <w:r>
              <w:rPr>
                <w:noProof/>
              </w:rPr>
              <w:t xml:space="preserve"> 6.11</w:t>
            </w:r>
          </w:p>
        </w:tc>
        <w:tc>
          <w:tcPr>
            <w:tcW w:w="1156" w:type="dxa"/>
            <w:tcBorders>
              <w:top w:val="nil"/>
              <w:left w:val="nil"/>
              <w:bottom w:val="single" w:sz="4" w:space="0" w:color="auto"/>
              <w:right w:val="single" w:sz="4" w:space="0" w:color="auto"/>
            </w:tcBorders>
            <w:shd w:val="clear" w:color="auto" w:fill="C6EFCE"/>
            <w:hideMark/>
          </w:tcPr>
          <w:p w14:paraId="7A539579" w14:textId="77777777" w:rsidR="008273B8" w:rsidRDefault="00B93063">
            <w:pPr>
              <w:pStyle w:val="P68B1DB1-Normal19"/>
              <w:spacing w:after="0" w:line="240" w:lineRule="auto"/>
              <w:jc w:val="center"/>
              <w:rPr>
                <w:rFonts w:eastAsia="Times New Roman" w:cs="Times New Roman"/>
                <w:noProof/>
              </w:rPr>
            </w:pPr>
            <w:r>
              <w:rPr>
                <w:noProof/>
              </w:rPr>
              <w:t xml:space="preserve">C6.R.3 </w:t>
            </w:r>
          </w:p>
        </w:tc>
        <w:tc>
          <w:tcPr>
            <w:tcW w:w="1146" w:type="dxa"/>
            <w:tcBorders>
              <w:top w:val="nil"/>
              <w:left w:val="nil"/>
              <w:bottom w:val="single" w:sz="4" w:space="0" w:color="auto"/>
              <w:right w:val="single" w:sz="4" w:space="0" w:color="auto"/>
            </w:tcBorders>
            <w:shd w:val="clear" w:color="auto" w:fill="C6EFCE"/>
            <w:hideMark/>
          </w:tcPr>
          <w:p w14:paraId="7A53957A"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7B" w14:textId="77777777" w:rsidR="008273B8" w:rsidRDefault="00B93063">
            <w:pPr>
              <w:pStyle w:val="P68B1DB1-Normal19"/>
              <w:spacing w:after="0" w:line="240" w:lineRule="auto"/>
              <w:rPr>
                <w:rFonts w:eastAsia="Times New Roman" w:cs="Times New Roman"/>
                <w:noProof/>
              </w:rPr>
            </w:pPr>
            <w:r>
              <w:rPr>
                <w:noProof/>
              </w:rPr>
              <w:t>Nacionalna procjena rizika i strategija praćenja prijevara i korupcije.</w:t>
            </w:r>
          </w:p>
        </w:tc>
      </w:tr>
      <w:tr w:rsidR="008273B8" w14:paraId="7A539581" w14:textId="77777777">
        <w:trPr>
          <w:cantSplit/>
          <w:trHeight w:val="339"/>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7D" w14:textId="77777777" w:rsidR="008273B8" w:rsidRDefault="00B93063">
            <w:pPr>
              <w:pStyle w:val="P68B1DB1-Normal19"/>
              <w:spacing w:after="0" w:line="240" w:lineRule="auto"/>
              <w:jc w:val="center"/>
              <w:rPr>
                <w:rFonts w:eastAsia="Times New Roman" w:cs="Times New Roman"/>
                <w:noProof/>
              </w:rPr>
            </w:pPr>
            <w:r>
              <w:rPr>
                <w:noProof/>
              </w:rPr>
              <w:t xml:space="preserve"> 6.26</w:t>
            </w:r>
          </w:p>
        </w:tc>
        <w:tc>
          <w:tcPr>
            <w:tcW w:w="1156" w:type="dxa"/>
            <w:tcBorders>
              <w:top w:val="nil"/>
              <w:left w:val="nil"/>
              <w:bottom w:val="single" w:sz="4" w:space="0" w:color="auto"/>
              <w:right w:val="single" w:sz="4" w:space="0" w:color="auto"/>
            </w:tcBorders>
            <w:shd w:val="clear" w:color="auto" w:fill="C6EFCE"/>
            <w:hideMark/>
          </w:tcPr>
          <w:p w14:paraId="7A53957E" w14:textId="77777777" w:rsidR="008273B8" w:rsidRDefault="00B93063">
            <w:pPr>
              <w:pStyle w:val="P68B1DB1-Normal19"/>
              <w:spacing w:after="0" w:line="240" w:lineRule="auto"/>
              <w:jc w:val="center"/>
              <w:rPr>
                <w:rFonts w:eastAsia="Times New Roman" w:cs="Times New Roman"/>
                <w:noProof/>
              </w:rPr>
            </w:pPr>
            <w:r>
              <w:rPr>
                <w:noProof/>
              </w:rPr>
              <w:t xml:space="preserve">C6.R.8 </w:t>
            </w:r>
          </w:p>
        </w:tc>
        <w:tc>
          <w:tcPr>
            <w:tcW w:w="1146" w:type="dxa"/>
            <w:tcBorders>
              <w:top w:val="nil"/>
              <w:left w:val="nil"/>
              <w:bottom w:val="single" w:sz="4" w:space="0" w:color="auto"/>
              <w:right w:val="single" w:sz="4" w:space="0" w:color="auto"/>
            </w:tcBorders>
            <w:shd w:val="clear" w:color="auto" w:fill="C6EFCE"/>
            <w:hideMark/>
          </w:tcPr>
          <w:p w14:paraId="7A53957F"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5030" w:type="dxa"/>
            <w:tcBorders>
              <w:top w:val="nil"/>
              <w:left w:val="nil"/>
              <w:bottom w:val="single" w:sz="4" w:space="0" w:color="auto"/>
              <w:right w:val="single" w:sz="4" w:space="0" w:color="auto"/>
            </w:tcBorders>
            <w:shd w:val="clear" w:color="auto" w:fill="C6EFCE"/>
            <w:hideMark/>
          </w:tcPr>
          <w:p w14:paraId="7A539580" w14:textId="77777777" w:rsidR="008273B8" w:rsidRDefault="00B93063">
            <w:pPr>
              <w:pStyle w:val="P68B1DB1-Normal19"/>
              <w:spacing w:after="0" w:line="240" w:lineRule="auto"/>
              <w:rPr>
                <w:rFonts w:eastAsia="Times New Roman" w:cs="Times New Roman"/>
                <w:noProof/>
              </w:rPr>
            </w:pPr>
            <w:r>
              <w:rPr>
                <w:noProof/>
              </w:rPr>
              <w:t>Broj godišnjih osposobljavanja u području SPNFT-a</w:t>
            </w:r>
          </w:p>
        </w:tc>
      </w:tr>
      <w:tr w:rsidR="008273B8" w14:paraId="7A539586" w14:textId="77777777">
        <w:trPr>
          <w:cantSplit/>
          <w:trHeight w:val="72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82" w14:textId="77777777" w:rsidR="008273B8" w:rsidRDefault="00B93063">
            <w:pPr>
              <w:pStyle w:val="P68B1DB1-Normal19"/>
              <w:spacing w:after="0" w:line="240" w:lineRule="auto"/>
              <w:jc w:val="center"/>
              <w:rPr>
                <w:rFonts w:eastAsia="Times New Roman" w:cs="Times New Roman"/>
                <w:noProof/>
              </w:rPr>
            </w:pPr>
            <w:r>
              <w:rPr>
                <w:noProof/>
              </w:rPr>
              <w:t xml:space="preserve"> 6.28</w:t>
            </w:r>
          </w:p>
        </w:tc>
        <w:tc>
          <w:tcPr>
            <w:tcW w:w="1156" w:type="dxa"/>
            <w:tcBorders>
              <w:top w:val="nil"/>
              <w:left w:val="nil"/>
              <w:bottom w:val="single" w:sz="4" w:space="0" w:color="auto"/>
              <w:right w:val="single" w:sz="4" w:space="0" w:color="auto"/>
            </w:tcBorders>
            <w:shd w:val="clear" w:color="auto" w:fill="C6EFCE"/>
            <w:hideMark/>
          </w:tcPr>
          <w:p w14:paraId="7A539583" w14:textId="77777777" w:rsidR="008273B8" w:rsidRDefault="00B93063">
            <w:pPr>
              <w:pStyle w:val="P68B1DB1-Normal19"/>
              <w:spacing w:after="0" w:line="240" w:lineRule="auto"/>
              <w:jc w:val="center"/>
              <w:rPr>
                <w:rFonts w:eastAsia="Times New Roman" w:cs="Times New Roman"/>
                <w:noProof/>
              </w:rPr>
            </w:pPr>
            <w:r>
              <w:rPr>
                <w:noProof/>
              </w:rPr>
              <w:t xml:space="preserve">C6.R.9 </w:t>
            </w:r>
          </w:p>
        </w:tc>
        <w:tc>
          <w:tcPr>
            <w:tcW w:w="1146" w:type="dxa"/>
            <w:tcBorders>
              <w:top w:val="nil"/>
              <w:left w:val="nil"/>
              <w:bottom w:val="single" w:sz="4" w:space="0" w:color="auto"/>
              <w:right w:val="single" w:sz="4" w:space="0" w:color="auto"/>
            </w:tcBorders>
            <w:shd w:val="clear" w:color="auto" w:fill="C6EFCE"/>
            <w:hideMark/>
          </w:tcPr>
          <w:p w14:paraId="7A539584"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85" w14:textId="77777777" w:rsidR="008273B8" w:rsidRDefault="00B93063">
            <w:pPr>
              <w:pStyle w:val="P68B1DB1-Normal19"/>
              <w:spacing w:after="0" w:line="240" w:lineRule="auto"/>
              <w:rPr>
                <w:rFonts w:eastAsia="Times New Roman" w:cs="Times New Roman"/>
                <w:noProof/>
              </w:rPr>
            </w:pPr>
            <w:r>
              <w:rPr>
                <w:noProof/>
              </w:rPr>
              <w:t>Stupanje na snagu revidirane prijave poreza na dobit radi prikupljanja informacija o dividendama koje potječu od tijela osoba rezidenata u jurisdikcijama navedenima na popisu nekooperativnih jurisdikcija iz Skupine za Kodeks o postupanju.</w:t>
            </w:r>
          </w:p>
        </w:tc>
      </w:tr>
      <w:tr w:rsidR="008273B8" w14:paraId="7A53958B"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87" w14:textId="77777777" w:rsidR="008273B8" w:rsidRDefault="00B93063">
            <w:pPr>
              <w:pStyle w:val="P68B1DB1-Normal19"/>
              <w:spacing w:after="0" w:line="240" w:lineRule="auto"/>
              <w:jc w:val="center"/>
              <w:rPr>
                <w:rFonts w:eastAsia="Times New Roman" w:cs="Times New Roman"/>
                <w:noProof/>
              </w:rPr>
            </w:pPr>
            <w:r>
              <w:rPr>
                <w:noProof/>
              </w:rPr>
              <w:t xml:space="preserve"> 6.29</w:t>
            </w:r>
          </w:p>
        </w:tc>
        <w:tc>
          <w:tcPr>
            <w:tcW w:w="1156" w:type="dxa"/>
            <w:tcBorders>
              <w:top w:val="nil"/>
              <w:left w:val="nil"/>
              <w:bottom w:val="single" w:sz="4" w:space="0" w:color="auto"/>
              <w:right w:val="single" w:sz="4" w:space="0" w:color="auto"/>
            </w:tcBorders>
            <w:shd w:val="clear" w:color="auto" w:fill="C6EFCE"/>
            <w:hideMark/>
          </w:tcPr>
          <w:p w14:paraId="7A539588" w14:textId="77777777" w:rsidR="008273B8" w:rsidRDefault="00B93063">
            <w:pPr>
              <w:pStyle w:val="P68B1DB1-Normal19"/>
              <w:spacing w:after="0" w:line="240" w:lineRule="auto"/>
              <w:jc w:val="center"/>
              <w:rPr>
                <w:rFonts w:eastAsia="Times New Roman" w:cs="Times New Roman"/>
                <w:noProof/>
              </w:rPr>
            </w:pPr>
            <w:r>
              <w:rPr>
                <w:noProof/>
              </w:rPr>
              <w:t xml:space="preserve">C6.R.9 </w:t>
            </w:r>
          </w:p>
        </w:tc>
        <w:tc>
          <w:tcPr>
            <w:tcW w:w="1146" w:type="dxa"/>
            <w:tcBorders>
              <w:top w:val="nil"/>
              <w:left w:val="nil"/>
              <w:bottom w:val="single" w:sz="4" w:space="0" w:color="auto"/>
              <w:right w:val="single" w:sz="4" w:space="0" w:color="auto"/>
            </w:tcBorders>
            <w:shd w:val="clear" w:color="auto" w:fill="C6EFCE"/>
            <w:hideMark/>
          </w:tcPr>
          <w:p w14:paraId="7A539589"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5030" w:type="dxa"/>
            <w:tcBorders>
              <w:top w:val="nil"/>
              <w:left w:val="nil"/>
              <w:bottom w:val="single" w:sz="4" w:space="0" w:color="auto"/>
              <w:right w:val="single" w:sz="4" w:space="0" w:color="auto"/>
            </w:tcBorders>
            <w:shd w:val="clear" w:color="auto" w:fill="C6EFCE"/>
            <w:hideMark/>
          </w:tcPr>
          <w:p w14:paraId="7A53958A" w14:textId="77777777" w:rsidR="008273B8" w:rsidRDefault="00B93063">
            <w:pPr>
              <w:pStyle w:val="P68B1DB1-Normal19"/>
              <w:spacing w:after="0" w:line="240" w:lineRule="auto"/>
              <w:rPr>
                <w:rFonts w:eastAsia="Times New Roman" w:cs="Times New Roman"/>
                <w:noProof/>
              </w:rPr>
            </w:pPr>
            <w:r>
              <w:rPr>
                <w:noProof/>
              </w:rPr>
              <w:t>Raspoređivanje posebnog osoblja za nadzor poreznih obveznika u tom području oporezivanja</w:t>
            </w:r>
          </w:p>
        </w:tc>
      </w:tr>
      <w:tr w:rsidR="008273B8" w14:paraId="7A539590"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8C" w14:textId="77777777" w:rsidR="008273B8" w:rsidRDefault="00B93063">
            <w:pPr>
              <w:pStyle w:val="P68B1DB1-Normal19"/>
              <w:spacing w:after="0" w:line="240" w:lineRule="auto"/>
              <w:jc w:val="center"/>
              <w:rPr>
                <w:rFonts w:eastAsia="Times New Roman" w:cs="Times New Roman"/>
                <w:noProof/>
              </w:rPr>
            </w:pPr>
            <w:r>
              <w:rPr>
                <w:noProof/>
              </w:rPr>
              <w:t xml:space="preserve"> 6.31</w:t>
            </w:r>
          </w:p>
        </w:tc>
        <w:tc>
          <w:tcPr>
            <w:tcW w:w="1156" w:type="dxa"/>
            <w:tcBorders>
              <w:top w:val="nil"/>
              <w:left w:val="nil"/>
              <w:bottom w:val="single" w:sz="4" w:space="0" w:color="auto"/>
              <w:right w:val="single" w:sz="4" w:space="0" w:color="auto"/>
            </w:tcBorders>
            <w:shd w:val="clear" w:color="auto" w:fill="C6EFCE"/>
            <w:hideMark/>
          </w:tcPr>
          <w:p w14:paraId="7A53958D" w14:textId="77777777" w:rsidR="008273B8" w:rsidRDefault="00B93063">
            <w:pPr>
              <w:pStyle w:val="P68B1DB1-Normal19"/>
              <w:spacing w:after="0" w:line="240" w:lineRule="auto"/>
              <w:jc w:val="center"/>
              <w:rPr>
                <w:rFonts w:eastAsia="Times New Roman" w:cs="Times New Roman"/>
                <w:noProof/>
              </w:rPr>
            </w:pPr>
            <w:r>
              <w:rPr>
                <w:noProof/>
              </w:rPr>
              <w:t xml:space="preserve">C6.R.10 </w:t>
            </w:r>
          </w:p>
        </w:tc>
        <w:tc>
          <w:tcPr>
            <w:tcW w:w="1146" w:type="dxa"/>
            <w:tcBorders>
              <w:top w:val="nil"/>
              <w:left w:val="nil"/>
              <w:bottom w:val="single" w:sz="4" w:space="0" w:color="auto"/>
              <w:right w:val="single" w:sz="4" w:space="0" w:color="auto"/>
            </w:tcBorders>
            <w:shd w:val="clear" w:color="auto" w:fill="C6EFCE"/>
            <w:hideMark/>
          </w:tcPr>
          <w:p w14:paraId="7A53958E"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8F" w14:textId="77777777" w:rsidR="008273B8" w:rsidRDefault="00B93063">
            <w:pPr>
              <w:pStyle w:val="P68B1DB1-Normal19"/>
              <w:spacing w:after="0" w:line="240" w:lineRule="auto"/>
              <w:rPr>
                <w:rFonts w:eastAsia="Times New Roman" w:cs="Times New Roman"/>
                <w:noProof/>
              </w:rPr>
            </w:pPr>
            <w:r>
              <w:rPr>
                <w:noProof/>
              </w:rPr>
              <w:t>Savjetovanje s dionicima i izrada posebnih pravila o transfernim cijenama</w:t>
            </w:r>
          </w:p>
        </w:tc>
      </w:tr>
      <w:tr w:rsidR="008273B8" w14:paraId="7A539595"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91" w14:textId="77777777" w:rsidR="008273B8" w:rsidRDefault="00B93063">
            <w:pPr>
              <w:pStyle w:val="P68B1DB1-Normal19"/>
              <w:spacing w:after="0" w:line="240" w:lineRule="auto"/>
              <w:jc w:val="center"/>
              <w:rPr>
                <w:rFonts w:eastAsia="Times New Roman" w:cs="Times New Roman"/>
                <w:noProof/>
              </w:rPr>
            </w:pPr>
            <w:r>
              <w:rPr>
                <w:noProof/>
              </w:rPr>
              <w:t xml:space="preserve"> 6.32</w:t>
            </w:r>
          </w:p>
        </w:tc>
        <w:tc>
          <w:tcPr>
            <w:tcW w:w="1156" w:type="dxa"/>
            <w:tcBorders>
              <w:top w:val="nil"/>
              <w:left w:val="nil"/>
              <w:bottom w:val="single" w:sz="4" w:space="0" w:color="auto"/>
              <w:right w:val="single" w:sz="4" w:space="0" w:color="auto"/>
            </w:tcBorders>
            <w:shd w:val="clear" w:color="auto" w:fill="C6EFCE"/>
            <w:hideMark/>
          </w:tcPr>
          <w:p w14:paraId="7A539592" w14:textId="77777777" w:rsidR="008273B8" w:rsidRDefault="00B93063">
            <w:pPr>
              <w:pStyle w:val="P68B1DB1-Normal19"/>
              <w:spacing w:after="0" w:line="240" w:lineRule="auto"/>
              <w:jc w:val="center"/>
              <w:rPr>
                <w:rFonts w:eastAsia="Times New Roman" w:cs="Times New Roman"/>
                <w:noProof/>
              </w:rPr>
            </w:pPr>
            <w:r>
              <w:rPr>
                <w:noProof/>
              </w:rPr>
              <w:t xml:space="preserve">C6.R.10 </w:t>
            </w:r>
          </w:p>
        </w:tc>
        <w:tc>
          <w:tcPr>
            <w:tcW w:w="1146" w:type="dxa"/>
            <w:tcBorders>
              <w:top w:val="nil"/>
              <w:left w:val="nil"/>
              <w:bottom w:val="single" w:sz="4" w:space="0" w:color="auto"/>
              <w:right w:val="single" w:sz="4" w:space="0" w:color="auto"/>
            </w:tcBorders>
            <w:shd w:val="clear" w:color="auto" w:fill="C6EFCE"/>
            <w:hideMark/>
          </w:tcPr>
          <w:p w14:paraId="7A539593"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94" w14:textId="77777777" w:rsidR="008273B8" w:rsidRDefault="00B93063">
            <w:pPr>
              <w:pStyle w:val="P68B1DB1-Normal19"/>
              <w:spacing w:after="0" w:line="240" w:lineRule="auto"/>
              <w:rPr>
                <w:rFonts w:eastAsia="Times New Roman" w:cs="Times New Roman"/>
                <w:noProof/>
              </w:rPr>
            </w:pPr>
            <w:r>
              <w:rPr>
                <w:noProof/>
              </w:rPr>
              <w:t xml:space="preserve">Stupanje na snagu posebnih pravila o transfernim cijenama </w:t>
            </w:r>
          </w:p>
        </w:tc>
      </w:tr>
      <w:tr w:rsidR="008273B8" w14:paraId="7A53959A"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96" w14:textId="77777777" w:rsidR="008273B8" w:rsidRDefault="00B93063">
            <w:pPr>
              <w:pStyle w:val="P68B1DB1-Normal19"/>
              <w:spacing w:after="0" w:line="240" w:lineRule="auto"/>
              <w:jc w:val="center"/>
              <w:rPr>
                <w:rFonts w:eastAsia="Times New Roman" w:cs="Times New Roman"/>
                <w:noProof/>
              </w:rPr>
            </w:pPr>
            <w:r>
              <w:rPr>
                <w:noProof/>
              </w:rPr>
              <w:t xml:space="preserve"> 6.35</w:t>
            </w:r>
          </w:p>
        </w:tc>
        <w:tc>
          <w:tcPr>
            <w:tcW w:w="1156" w:type="dxa"/>
            <w:tcBorders>
              <w:top w:val="nil"/>
              <w:left w:val="nil"/>
              <w:bottom w:val="single" w:sz="4" w:space="0" w:color="auto"/>
              <w:right w:val="single" w:sz="4" w:space="0" w:color="auto"/>
            </w:tcBorders>
            <w:shd w:val="clear" w:color="auto" w:fill="C6EFCE"/>
            <w:hideMark/>
          </w:tcPr>
          <w:p w14:paraId="7A539597" w14:textId="77777777" w:rsidR="008273B8" w:rsidRDefault="00B93063">
            <w:pPr>
              <w:pStyle w:val="P68B1DB1-Normal19"/>
              <w:spacing w:after="0" w:line="240" w:lineRule="auto"/>
              <w:jc w:val="center"/>
              <w:rPr>
                <w:rFonts w:eastAsia="Times New Roman" w:cs="Times New Roman"/>
                <w:noProof/>
              </w:rPr>
            </w:pPr>
            <w:r>
              <w:rPr>
                <w:noProof/>
              </w:rPr>
              <w:t xml:space="preserve">C6.R.11 </w:t>
            </w:r>
          </w:p>
        </w:tc>
        <w:tc>
          <w:tcPr>
            <w:tcW w:w="1146" w:type="dxa"/>
            <w:tcBorders>
              <w:top w:val="nil"/>
              <w:left w:val="nil"/>
              <w:bottom w:val="single" w:sz="4" w:space="0" w:color="auto"/>
              <w:right w:val="single" w:sz="4" w:space="0" w:color="auto"/>
            </w:tcBorders>
            <w:shd w:val="clear" w:color="auto" w:fill="C6EFCE"/>
            <w:hideMark/>
          </w:tcPr>
          <w:p w14:paraId="7A539598"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99" w14:textId="77777777" w:rsidR="008273B8" w:rsidRDefault="00B93063">
            <w:pPr>
              <w:pStyle w:val="P68B1DB1-Normal19"/>
              <w:spacing w:after="0" w:line="240" w:lineRule="auto"/>
              <w:rPr>
                <w:rFonts w:eastAsia="Times New Roman" w:cs="Times New Roman"/>
                <w:noProof/>
              </w:rPr>
            </w:pPr>
            <w:r>
              <w:rPr>
                <w:noProof/>
              </w:rPr>
              <w:t>Studija o mjerama koje se odnose na isplate ulaznih i izlaznih dividendi, kamata i naknada za licenciju</w:t>
            </w:r>
          </w:p>
        </w:tc>
      </w:tr>
      <w:tr w:rsidR="008273B8" w14:paraId="7A53959F"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9B" w14:textId="77777777" w:rsidR="008273B8" w:rsidRDefault="00B93063">
            <w:pPr>
              <w:pStyle w:val="P68B1DB1-Normal19"/>
              <w:spacing w:after="0" w:line="240" w:lineRule="auto"/>
              <w:jc w:val="center"/>
              <w:rPr>
                <w:rFonts w:eastAsia="Times New Roman" w:cs="Times New Roman"/>
                <w:noProof/>
              </w:rPr>
            </w:pPr>
            <w:r>
              <w:rPr>
                <w:noProof/>
              </w:rPr>
              <w:t xml:space="preserve"> 6.37</w:t>
            </w:r>
          </w:p>
        </w:tc>
        <w:tc>
          <w:tcPr>
            <w:tcW w:w="1156" w:type="dxa"/>
            <w:tcBorders>
              <w:top w:val="nil"/>
              <w:left w:val="nil"/>
              <w:bottom w:val="single" w:sz="4" w:space="0" w:color="auto"/>
              <w:right w:val="single" w:sz="4" w:space="0" w:color="auto"/>
            </w:tcBorders>
            <w:shd w:val="clear" w:color="auto" w:fill="C6EFCE"/>
            <w:hideMark/>
          </w:tcPr>
          <w:p w14:paraId="7A53959C" w14:textId="77777777" w:rsidR="008273B8" w:rsidRDefault="00B93063">
            <w:pPr>
              <w:pStyle w:val="P68B1DB1-Normal19"/>
              <w:spacing w:after="0" w:line="240" w:lineRule="auto"/>
              <w:jc w:val="center"/>
              <w:rPr>
                <w:rFonts w:eastAsia="Times New Roman" w:cs="Times New Roman"/>
                <w:noProof/>
              </w:rPr>
            </w:pPr>
            <w:r>
              <w:rPr>
                <w:noProof/>
              </w:rPr>
              <w:t xml:space="preserve">C6.R.12 </w:t>
            </w:r>
          </w:p>
        </w:tc>
        <w:tc>
          <w:tcPr>
            <w:tcW w:w="1146" w:type="dxa"/>
            <w:tcBorders>
              <w:top w:val="nil"/>
              <w:left w:val="nil"/>
              <w:bottom w:val="single" w:sz="4" w:space="0" w:color="auto"/>
              <w:right w:val="single" w:sz="4" w:space="0" w:color="auto"/>
            </w:tcBorders>
            <w:shd w:val="clear" w:color="auto" w:fill="C6EFCE"/>
            <w:hideMark/>
          </w:tcPr>
          <w:p w14:paraId="7A53959D"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30" w:type="dxa"/>
            <w:tcBorders>
              <w:top w:val="nil"/>
              <w:left w:val="nil"/>
              <w:bottom w:val="single" w:sz="4" w:space="0" w:color="auto"/>
              <w:right w:val="single" w:sz="4" w:space="0" w:color="auto"/>
            </w:tcBorders>
            <w:shd w:val="clear" w:color="auto" w:fill="C6EFCE"/>
            <w:hideMark/>
          </w:tcPr>
          <w:p w14:paraId="7A53959E" w14:textId="77777777" w:rsidR="008273B8" w:rsidRDefault="00B93063">
            <w:pPr>
              <w:pStyle w:val="P68B1DB1-Normal19"/>
              <w:spacing w:after="0" w:line="240" w:lineRule="auto"/>
              <w:rPr>
                <w:rFonts w:eastAsia="Times New Roman" w:cs="Times New Roman"/>
                <w:noProof/>
              </w:rPr>
            </w:pPr>
            <w:r>
              <w:rPr>
                <w:noProof/>
              </w:rPr>
              <w:t xml:space="preserve">Stupanje na snagu spontane razmjene informacija (SEOI) </w:t>
            </w:r>
          </w:p>
        </w:tc>
      </w:tr>
      <w:tr w:rsidR="008273B8" w14:paraId="7A5395A4" w14:textId="77777777">
        <w:trPr>
          <w:cantSplit/>
          <w:trHeight w:val="480"/>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vAlign w:val="center"/>
          </w:tcPr>
          <w:p w14:paraId="7A5395A0" w14:textId="77777777" w:rsidR="008273B8" w:rsidRDefault="008273B8">
            <w:pPr>
              <w:spacing w:after="0" w:line="240" w:lineRule="auto"/>
              <w:jc w:val="center"/>
              <w:rPr>
                <w:rFonts w:ascii="Times New Roman" w:eastAsia="Times New Roman" w:hAnsi="Times New Roman" w:cs="Times New Roman"/>
                <w:noProof/>
                <w:sz w:val="18"/>
              </w:rPr>
            </w:pPr>
          </w:p>
        </w:tc>
        <w:tc>
          <w:tcPr>
            <w:tcW w:w="1156" w:type="dxa"/>
            <w:tcBorders>
              <w:top w:val="single" w:sz="4" w:space="0" w:color="auto"/>
              <w:left w:val="nil"/>
              <w:bottom w:val="single" w:sz="4" w:space="0" w:color="auto"/>
              <w:right w:val="single" w:sz="4" w:space="0" w:color="auto"/>
            </w:tcBorders>
            <w:shd w:val="clear" w:color="auto" w:fill="C6EFCE"/>
            <w:vAlign w:val="center"/>
          </w:tcPr>
          <w:p w14:paraId="7A5395A1" w14:textId="77777777" w:rsidR="008273B8" w:rsidRDefault="008273B8">
            <w:pPr>
              <w:spacing w:after="0" w:line="240" w:lineRule="auto"/>
              <w:jc w:val="center"/>
              <w:rPr>
                <w:rFonts w:ascii="Times New Roman" w:eastAsia="Times New Roman" w:hAnsi="Times New Roman" w:cs="Times New Roman"/>
                <w:noProof/>
                <w:sz w:val="18"/>
              </w:rPr>
            </w:pPr>
          </w:p>
        </w:tc>
        <w:tc>
          <w:tcPr>
            <w:tcW w:w="1146" w:type="dxa"/>
            <w:tcBorders>
              <w:top w:val="single" w:sz="4" w:space="0" w:color="auto"/>
              <w:left w:val="nil"/>
              <w:bottom w:val="single" w:sz="4" w:space="0" w:color="auto"/>
              <w:right w:val="single" w:sz="4" w:space="0" w:color="auto"/>
            </w:tcBorders>
            <w:shd w:val="clear" w:color="auto" w:fill="C6EFCE"/>
            <w:vAlign w:val="bottom"/>
          </w:tcPr>
          <w:p w14:paraId="7A5395A2" w14:textId="77777777" w:rsidR="008273B8" w:rsidRDefault="00B93063">
            <w:pPr>
              <w:pStyle w:val="P68B1DB1-Normal19"/>
              <w:spacing w:after="0" w:line="240" w:lineRule="auto"/>
              <w:jc w:val="center"/>
              <w:rPr>
                <w:rFonts w:eastAsia="Times New Roman" w:cs="Times New Roman"/>
                <w:noProof/>
              </w:rPr>
            </w:pPr>
            <w:r>
              <w:rPr>
                <w:noProof/>
              </w:rPr>
              <w:t>Iznos obroka</w:t>
            </w:r>
          </w:p>
        </w:tc>
        <w:tc>
          <w:tcPr>
            <w:tcW w:w="5030" w:type="dxa"/>
            <w:tcBorders>
              <w:top w:val="single" w:sz="4" w:space="0" w:color="auto"/>
              <w:left w:val="nil"/>
              <w:bottom w:val="single" w:sz="4" w:space="0" w:color="auto"/>
              <w:right w:val="single" w:sz="4" w:space="0" w:color="auto"/>
            </w:tcBorders>
            <w:shd w:val="clear" w:color="auto" w:fill="C6EFCE"/>
            <w:vAlign w:val="bottom"/>
          </w:tcPr>
          <w:p w14:paraId="7A5395A3" w14:textId="4CF46B65" w:rsidR="008273B8" w:rsidRDefault="00B93063">
            <w:pPr>
              <w:pStyle w:val="P68B1DB1-Normal19"/>
              <w:spacing w:after="0" w:line="240" w:lineRule="auto"/>
              <w:rPr>
                <w:rFonts w:eastAsia="Times New Roman" w:cs="Times New Roman"/>
                <w:noProof/>
              </w:rPr>
            </w:pPr>
            <w:r>
              <w:rPr>
                <w:noProof/>
              </w:rPr>
              <w:t xml:space="preserve">78055270 EURA </w:t>
            </w:r>
          </w:p>
        </w:tc>
      </w:tr>
    </w:tbl>
    <w:p w14:paraId="7A5395A5" w14:textId="77777777" w:rsidR="008273B8" w:rsidRDefault="008273B8">
      <w:pPr>
        <w:spacing w:before="240" w:after="240" w:line="240" w:lineRule="auto"/>
        <w:ind w:left="360"/>
        <w:jc w:val="both"/>
        <w:rPr>
          <w:rFonts w:ascii="Times New Roman" w:hAnsi="Times New Roman" w:cs="Times New Roman"/>
          <w:noProof/>
          <w:sz w:val="24"/>
        </w:rPr>
      </w:pPr>
    </w:p>
    <w:p w14:paraId="7A5395A6" w14:textId="77777777" w:rsidR="008273B8" w:rsidRDefault="00B93063">
      <w:pPr>
        <w:pStyle w:val="P68B1DB1-ListParagraph17"/>
        <w:numPr>
          <w:ilvl w:val="1"/>
          <w:numId w:val="43"/>
        </w:numPr>
        <w:tabs>
          <w:tab w:val="num" w:pos="850"/>
        </w:tabs>
        <w:spacing w:before="240" w:after="240" w:line="240" w:lineRule="auto"/>
        <w:jc w:val="both"/>
        <w:rPr>
          <w:rFonts w:cs="Times New Roman"/>
          <w:noProof/>
        </w:rPr>
      </w:pPr>
      <w:r>
        <w:rPr>
          <w:noProof/>
        </w:rPr>
        <w:t xml:space="preserve">Treći obrok (nepovratna potpora): </w:t>
      </w:r>
    </w:p>
    <w:tbl>
      <w:tblPr>
        <w:tblW w:w="8359" w:type="dxa"/>
        <w:jc w:val="center"/>
        <w:tblLook w:val="04A0" w:firstRow="1" w:lastRow="0" w:firstColumn="1" w:lastColumn="0" w:noHBand="0" w:noVBand="1"/>
      </w:tblPr>
      <w:tblGrid>
        <w:gridCol w:w="1027"/>
        <w:gridCol w:w="1158"/>
        <w:gridCol w:w="1116"/>
        <w:gridCol w:w="5058"/>
      </w:tblGrid>
      <w:tr w:rsidR="008273B8" w14:paraId="7A5395AB" w14:textId="77777777">
        <w:trPr>
          <w:trHeight w:val="912"/>
          <w:tblHeader/>
          <w:jc w:val="center"/>
        </w:trPr>
        <w:tc>
          <w:tcPr>
            <w:tcW w:w="102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5A7" w14:textId="77777777" w:rsidR="008273B8" w:rsidRDefault="00B93063">
            <w:pPr>
              <w:pStyle w:val="P68B1DB1-Normal18"/>
              <w:spacing w:after="0" w:line="240" w:lineRule="auto"/>
              <w:jc w:val="center"/>
              <w:rPr>
                <w:rFonts w:eastAsia="Times New Roman" w:cs="Times New Roman"/>
                <w:noProof/>
              </w:rPr>
            </w:pPr>
            <w:r>
              <w:rPr>
                <w:noProof/>
              </w:rPr>
              <w:t>Redni broj</w:t>
            </w:r>
          </w:p>
        </w:tc>
        <w:tc>
          <w:tcPr>
            <w:tcW w:w="115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5A8" w14:textId="77777777" w:rsidR="008273B8" w:rsidRDefault="00B93063">
            <w:pPr>
              <w:pStyle w:val="P68B1DB1-Normal18"/>
              <w:spacing w:after="0" w:line="240" w:lineRule="auto"/>
              <w:jc w:val="center"/>
              <w:rPr>
                <w:rFonts w:eastAsia="Times New Roman" w:cs="Times New Roman"/>
                <w:noProof/>
              </w:rPr>
            </w:pPr>
            <w:r>
              <w:rPr>
                <w:noProof/>
              </w:rPr>
              <w:t>Povezana mjera (reforma ili ulaganje)</w:t>
            </w:r>
          </w:p>
        </w:tc>
        <w:tc>
          <w:tcPr>
            <w:tcW w:w="111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5A9" w14:textId="77777777" w:rsidR="008273B8" w:rsidRDefault="00B93063">
            <w:pPr>
              <w:pStyle w:val="P68B1DB1-Normal18"/>
              <w:spacing w:after="0" w:line="240" w:lineRule="auto"/>
              <w:jc w:val="center"/>
              <w:rPr>
                <w:rFonts w:eastAsia="Times New Roman" w:cs="Times New Roman"/>
                <w:noProof/>
              </w:rPr>
            </w:pPr>
            <w:r>
              <w:rPr>
                <w:noProof/>
              </w:rPr>
              <w:t>Ključna etapa/cilj</w:t>
            </w:r>
          </w:p>
        </w:tc>
        <w:tc>
          <w:tcPr>
            <w:tcW w:w="505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5AA" w14:textId="77777777" w:rsidR="008273B8" w:rsidRDefault="00B93063">
            <w:pPr>
              <w:pStyle w:val="P68B1DB1-Normal18"/>
              <w:spacing w:after="0" w:line="240" w:lineRule="auto"/>
              <w:jc w:val="center"/>
              <w:rPr>
                <w:rFonts w:eastAsia="Times New Roman" w:cs="Times New Roman"/>
                <w:noProof/>
              </w:rPr>
            </w:pPr>
            <w:r>
              <w:rPr>
                <w:noProof/>
              </w:rPr>
              <w:t>Ime</w:t>
            </w:r>
          </w:p>
        </w:tc>
      </w:tr>
      <w:tr w:rsidR="008273B8" w14:paraId="7A5395B0" w14:textId="77777777">
        <w:trPr>
          <w:cantSplit/>
          <w:trHeight w:val="288"/>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hideMark/>
          </w:tcPr>
          <w:p w14:paraId="7A5395AC" w14:textId="77777777" w:rsidR="008273B8" w:rsidRDefault="00B93063">
            <w:pPr>
              <w:pStyle w:val="P68B1DB1-Normal19"/>
              <w:spacing w:after="0" w:line="240" w:lineRule="auto"/>
              <w:jc w:val="center"/>
              <w:rPr>
                <w:rFonts w:eastAsia="Times New Roman" w:cs="Times New Roman"/>
                <w:noProof/>
              </w:rPr>
            </w:pPr>
            <w:r>
              <w:rPr>
                <w:noProof/>
              </w:rPr>
              <w:t xml:space="preserve"> 1.2</w:t>
            </w:r>
          </w:p>
        </w:tc>
        <w:tc>
          <w:tcPr>
            <w:tcW w:w="1158" w:type="dxa"/>
            <w:tcBorders>
              <w:top w:val="single" w:sz="4" w:space="0" w:color="auto"/>
              <w:left w:val="nil"/>
              <w:bottom w:val="single" w:sz="4" w:space="0" w:color="auto"/>
              <w:right w:val="single" w:sz="4" w:space="0" w:color="auto"/>
            </w:tcBorders>
            <w:shd w:val="clear" w:color="auto" w:fill="C6EFCE"/>
            <w:hideMark/>
          </w:tcPr>
          <w:p w14:paraId="7A5395AD" w14:textId="77777777" w:rsidR="008273B8" w:rsidRDefault="00B93063">
            <w:pPr>
              <w:pStyle w:val="P68B1DB1-Normal19"/>
              <w:spacing w:after="0" w:line="240" w:lineRule="auto"/>
              <w:jc w:val="center"/>
              <w:rPr>
                <w:rFonts w:eastAsia="Times New Roman" w:cs="Times New Roman"/>
                <w:noProof/>
              </w:rPr>
            </w:pPr>
            <w:r>
              <w:rPr>
                <w:noProof/>
              </w:rPr>
              <w:t xml:space="preserve">C1.R.1 </w:t>
            </w:r>
          </w:p>
        </w:tc>
        <w:tc>
          <w:tcPr>
            <w:tcW w:w="1116" w:type="dxa"/>
            <w:tcBorders>
              <w:top w:val="single" w:sz="4" w:space="0" w:color="auto"/>
              <w:left w:val="nil"/>
              <w:bottom w:val="single" w:sz="4" w:space="0" w:color="auto"/>
              <w:right w:val="single" w:sz="4" w:space="0" w:color="auto"/>
            </w:tcBorders>
            <w:shd w:val="clear" w:color="auto" w:fill="C6EFCE"/>
            <w:hideMark/>
          </w:tcPr>
          <w:p w14:paraId="7A5395AE"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58" w:type="dxa"/>
            <w:tcBorders>
              <w:top w:val="single" w:sz="4" w:space="0" w:color="auto"/>
              <w:left w:val="nil"/>
              <w:bottom w:val="single" w:sz="4" w:space="0" w:color="auto"/>
              <w:right w:val="single" w:sz="4" w:space="0" w:color="auto"/>
            </w:tcBorders>
            <w:shd w:val="clear" w:color="auto" w:fill="C6EFCE"/>
            <w:hideMark/>
          </w:tcPr>
          <w:p w14:paraId="7A5395AF" w14:textId="77777777" w:rsidR="008273B8" w:rsidRDefault="00B93063">
            <w:pPr>
              <w:pStyle w:val="P68B1DB1-Normal19"/>
              <w:spacing w:after="0" w:line="240" w:lineRule="auto"/>
              <w:rPr>
                <w:rFonts w:eastAsia="Times New Roman" w:cs="Times New Roman"/>
                <w:noProof/>
              </w:rPr>
            </w:pPr>
            <w:r>
              <w:rPr>
                <w:noProof/>
              </w:rPr>
              <w:t>Tijelo nadležno za gradnju i gradnju – potpuno operativno</w:t>
            </w:r>
          </w:p>
        </w:tc>
      </w:tr>
      <w:tr w:rsidR="008273B8" w14:paraId="7A5395B5" w14:textId="77777777">
        <w:trPr>
          <w:cantSplit/>
          <w:trHeight w:val="275"/>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B1" w14:textId="77777777" w:rsidR="008273B8" w:rsidRDefault="00B93063">
            <w:pPr>
              <w:pStyle w:val="P68B1DB1-Normal19"/>
              <w:spacing w:after="0" w:line="240" w:lineRule="auto"/>
              <w:jc w:val="center"/>
              <w:rPr>
                <w:rFonts w:eastAsia="Times New Roman" w:cs="Times New Roman"/>
                <w:noProof/>
              </w:rPr>
            </w:pPr>
            <w:r>
              <w:rPr>
                <w:noProof/>
              </w:rPr>
              <w:t xml:space="preserve"> 1.4</w:t>
            </w:r>
          </w:p>
        </w:tc>
        <w:tc>
          <w:tcPr>
            <w:tcW w:w="1158" w:type="dxa"/>
            <w:tcBorders>
              <w:top w:val="nil"/>
              <w:left w:val="nil"/>
              <w:bottom w:val="single" w:sz="4" w:space="0" w:color="auto"/>
              <w:right w:val="single" w:sz="4" w:space="0" w:color="auto"/>
            </w:tcBorders>
            <w:shd w:val="clear" w:color="auto" w:fill="C6EFCE"/>
            <w:hideMark/>
          </w:tcPr>
          <w:p w14:paraId="7A5395B2" w14:textId="77777777" w:rsidR="008273B8" w:rsidRDefault="00B93063">
            <w:pPr>
              <w:pStyle w:val="P68B1DB1-Normal19"/>
              <w:spacing w:after="0" w:line="240" w:lineRule="auto"/>
              <w:jc w:val="center"/>
              <w:rPr>
                <w:rFonts w:eastAsia="Times New Roman" w:cs="Times New Roman"/>
                <w:noProof/>
              </w:rPr>
            </w:pPr>
            <w:r>
              <w:rPr>
                <w:noProof/>
              </w:rPr>
              <w:t xml:space="preserve">C1.R.1 </w:t>
            </w:r>
          </w:p>
        </w:tc>
        <w:tc>
          <w:tcPr>
            <w:tcW w:w="1116" w:type="dxa"/>
            <w:tcBorders>
              <w:top w:val="nil"/>
              <w:left w:val="nil"/>
              <w:bottom w:val="single" w:sz="4" w:space="0" w:color="auto"/>
              <w:right w:val="single" w:sz="4" w:space="0" w:color="auto"/>
            </w:tcBorders>
            <w:shd w:val="clear" w:color="auto" w:fill="C6EFCE"/>
            <w:hideMark/>
          </w:tcPr>
          <w:p w14:paraId="7A5395B3"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5058" w:type="dxa"/>
            <w:tcBorders>
              <w:top w:val="nil"/>
              <w:left w:val="nil"/>
              <w:bottom w:val="single" w:sz="4" w:space="0" w:color="auto"/>
              <w:right w:val="single" w:sz="4" w:space="0" w:color="auto"/>
            </w:tcBorders>
            <w:shd w:val="clear" w:color="auto" w:fill="C6EFCE"/>
            <w:hideMark/>
          </w:tcPr>
          <w:p w14:paraId="7A5395B4" w14:textId="77777777" w:rsidR="008273B8" w:rsidRDefault="00B93063">
            <w:pPr>
              <w:pStyle w:val="P68B1DB1-Normal19"/>
              <w:spacing w:after="0" w:line="240" w:lineRule="auto"/>
              <w:rPr>
                <w:rFonts w:eastAsia="Times New Roman" w:cs="Times New Roman"/>
                <w:noProof/>
              </w:rPr>
            </w:pPr>
            <w:r>
              <w:rPr>
                <w:noProof/>
              </w:rPr>
              <w:t>Osposobljeni i certificirani stručnjaci u građevinskoj industriji</w:t>
            </w:r>
          </w:p>
        </w:tc>
      </w:tr>
      <w:tr w:rsidR="008273B8" w14:paraId="7A5395BA"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B6" w14:textId="77777777" w:rsidR="008273B8" w:rsidRDefault="00B93063">
            <w:pPr>
              <w:pStyle w:val="P68B1DB1-Normal19"/>
              <w:spacing w:after="0" w:line="240" w:lineRule="auto"/>
              <w:jc w:val="center"/>
              <w:rPr>
                <w:rFonts w:eastAsia="Times New Roman" w:cs="Times New Roman"/>
                <w:noProof/>
              </w:rPr>
            </w:pPr>
            <w:r>
              <w:rPr>
                <w:noProof/>
              </w:rPr>
              <w:t xml:space="preserve"> 1.10</w:t>
            </w:r>
          </w:p>
        </w:tc>
        <w:tc>
          <w:tcPr>
            <w:tcW w:w="1158" w:type="dxa"/>
            <w:tcBorders>
              <w:top w:val="nil"/>
              <w:left w:val="nil"/>
              <w:bottom w:val="single" w:sz="4" w:space="0" w:color="auto"/>
              <w:right w:val="single" w:sz="4" w:space="0" w:color="auto"/>
            </w:tcBorders>
            <w:shd w:val="clear" w:color="auto" w:fill="C6EFCE"/>
            <w:hideMark/>
          </w:tcPr>
          <w:p w14:paraId="7A5395B7" w14:textId="77777777" w:rsidR="008273B8" w:rsidRDefault="00B93063">
            <w:pPr>
              <w:pStyle w:val="P68B1DB1-Normal19"/>
              <w:spacing w:after="0" w:line="240" w:lineRule="auto"/>
              <w:jc w:val="center"/>
              <w:rPr>
                <w:rFonts w:eastAsia="Times New Roman" w:cs="Times New Roman"/>
                <w:noProof/>
              </w:rPr>
            </w:pPr>
            <w:r>
              <w:rPr>
                <w:noProof/>
              </w:rPr>
              <w:t>C1.R.2</w:t>
            </w:r>
          </w:p>
        </w:tc>
        <w:tc>
          <w:tcPr>
            <w:tcW w:w="1116" w:type="dxa"/>
            <w:tcBorders>
              <w:top w:val="nil"/>
              <w:left w:val="nil"/>
              <w:bottom w:val="single" w:sz="4" w:space="0" w:color="auto"/>
              <w:right w:val="single" w:sz="4" w:space="0" w:color="auto"/>
            </w:tcBorders>
            <w:shd w:val="clear" w:color="auto" w:fill="C6EFCE"/>
            <w:hideMark/>
          </w:tcPr>
          <w:p w14:paraId="7A5395B8"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58" w:type="dxa"/>
            <w:tcBorders>
              <w:top w:val="nil"/>
              <w:left w:val="nil"/>
              <w:bottom w:val="single" w:sz="4" w:space="0" w:color="auto"/>
              <w:right w:val="single" w:sz="4" w:space="0" w:color="auto"/>
            </w:tcBorders>
            <w:shd w:val="clear" w:color="auto" w:fill="C6EFCE"/>
            <w:hideMark/>
          </w:tcPr>
          <w:p w14:paraId="7A5395B9" w14:textId="77777777" w:rsidR="008273B8" w:rsidRDefault="00B93063">
            <w:pPr>
              <w:pStyle w:val="P68B1DB1-Normal19"/>
              <w:spacing w:after="0" w:line="240" w:lineRule="auto"/>
              <w:rPr>
                <w:rFonts w:eastAsia="Times New Roman" w:cs="Times New Roman"/>
                <w:noProof/>
              </w:rPr>
            </w:pPr>
            <w:r>
              <w:rPr>
                <w:noProof/>
              </w:rPr>
              <w:t>Stupanje na snagu novog regulatornog okvira za gospodarenje građevinskim otpadom i otpadom od rušenja</w:t>
            </w:r>
          </w:p>
        </w:tc>
      </w:tr>
      <w:tr w:rsidR="008273B8" w14:paraId="7A5395BF" w14:textId="77777777">
        <w:trPr>
          <w:cantSplit/>
          <w:trHeight w:val="243"/>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BB" w14:textId="77777777" w:rsidR="008273B8" w:rsidRDefault="00B93063">
            <w:pPr>
              <w:pStyle w:val="P68B1DB1-Normal19"/>
              <w:spacing w:after="0" w:line="240" w:lineRule="auto"/>
              <w:jc w:val="center"/>
              <w:rPr>
                <w:rFonts w:eastAsia="Times New Roman" w:cs="Times New Roman"/>
                <w:noProof/>
              </w:rPr>
            </w:pPr>
            <w:r>
              <w:rPr>
                <w:noProof/>
              </w:rPr>
              <w:t xml:space="preserve"> 1.15</w:t>
            </w:r>
          </w:p>
        </w:tc>
        <w:tc>
          <w:tcPr>
            <w:tcW w:w="1158" w:type="dxa"/>
            <w:tcBorders>
              <w:top w:val="nil"/>
              <w:left w:val="nil"/>
              <w:bottom w:val="single" w:sz="4" w:space="0" w:color="auto"/>
              <w:right w:val="single" w:sz="4" w:space="0" w:color="auto"/>
            </w:tcBorders>
            <w:shd w:val="clear" w:color="auto" w:fill="C6EFCE"/>
            <w:hideMark/>
          </w:tcPr>
          <w:p w14:paraId="7A5395BC" w14:textId="77777777" w:rsidR="008273B8" w:rsidRDefault="00B93063">
            <w:pPr>
              <w:pStyle w:val="P68B1DB1-Normal19"/>
              <w:spacing w:after="0" w:line="240" w:lineRule="auto"/>
              <w:jc w:val="center"/>
              <w:rPr>
                <w:rFonts w:eastAsia="Times New Roman" w:cs="Times New Roman"/>
                <w:noProof/>
              </w:rPr>
            </w:pPr>
            <w:r>
              <w:rPr>
                <w:noProof/>
              </w:rPr>
              <w:t xml:space="preserve">C1.I.1 </w:t>
            </w:r>
          </w:p>
        </w:tc>
        <w:tc>
          <w:tcPr>
            <w:tcW w:w="1116" w:type="dxa"/>
            <w:tcBorders>
              <w:top w:val="nil"/>
              <w:left w:val="nil"/>
              <w:bottom w:val="single" w:sz="4" w:space="0" w:color="auto"/>
              <w:right w:val="single" w:sz="4" w:space="0" w:color="auto"/>
            </w:tcBorders>
            <w:shd w:val="clear" w:color="auto" w:fill="C6EFCE"/>
            <w:hideMark/>
          </w:tcPr>
          <w:p w14:paraId="7A5395BD"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58" w:type="dxa"/>
            <w:tcBorders>
              <w:top w:val="nil"/>
              <w:left w:val="nil"/>
              <w:bottom w:val="single" w:sz="4" w:space="0" w:color="auto"/>
              <w:right w:val="single" w:sz="4" w:space="0" w:color="auto"/>
            </w:tcBorders>
            <w:shd w:val="clear" w:color="auto" w:fill="C6EFCE"/>
            <w:hideMark/>
          </w:tcPr>
          <w:p w14:paraId="7A5395BE" w14:textId="187B09F8" w:rsidR="008273B8" w:rsidRDefault="00B93063">
            <w:pPr>
              <w:pStyle w:val="P68B1DB1-Normal19"/>
              <w:spacing w:after="0" w:line="240" w:lineRule="auto"/>
              <w:rPr>
                <w:rFonts w:eastAsia="Times New Roman" w:cs="Times New Roman"/>
                <w:noProof/>
              </w:rPr>
            </w:pPr>
            <w:r>
              <w:rPr>
                <w:noProof/>
              </w:rPr>
              <w:t>Ugovorene usluge obnove javnih zgrada</w:t>
            </w:r>
          </w:p>
        </w:tc>
      </w:tr>
      <w:tr w:rsidR="008273B8" w14:paraId="7A5395C4"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C0" w14:textId="57C8D3E3" w:rsidR="008273B8" w:rsidRDefault="008273B8">
            <w:pPr>
              <w:spacing w:after="0" w:line="240" w:lineRule="auto"/>
              <w:jc w:val="center"/>
              <w:rPr>
                <w:rFonts w:ascii="Times New Roman" w:eastAsia="Times New Roman" w:hAnsi="Times New Roman" w:cs="Times New Roman"/>
                <w:noProof/>
                <w:sz w:val="18"/>
              </w:rPr>
            </w:pPr>
          </w:p>
        </w:tc>
        <w:tc>
          <w:tcPr>
            <w:tcW w:w="1158" w:type="dxa"/>
            <w:tcBorders>
              <w:top w:val="nil"/>
              <w:left w:val="nil"/>
              <w:bottom w:val="single" w:sz="4" w:space="0" w:color="auto"/>
              <w:right w:val="single" w:sz="4" w:space="0" w:color="auto"/>
            </w:tcBorders>
            <w:shd w:val="clear" w:color="auto" w:fill="C6EFCE"/>
            <w:hideMark/>
          </w:tcPr>
          <w:p w14:paraId="7A5395C1" w14:textId="4E758F45" w:rsidR="008273B8" w:rsidRDefault="008273B8">
            <w:pPr>
              <w:spacing w:after="0" w:line="240" w:lineRule="auto"/>
              <w:jc w:val="center"/>
              <w:rPr>
                <w:rFonts w:ascii="Times New Roman" w:eastAsia="Times New Roman" w:hAnsi="Times New Roman" w:cs="Times New Roman"/>
                <w:noProof/>
                <w:sz w:val="18"/>
              </w:rPr>
            </w:pPr>
          </w:p>
        </w:tc>
        <w:tc>
          <w:tcPr>
            <w:tcW w:w="1116" w:type="dxa"/>
            <w:tcBorders>
              <w:top w:val="nil"/>
              <w:left w:val="nil"/>
              <w:bottom w:val="single" w:sz="4" w:space="0" w:color="auto"/>
              <w:right w:val="single" w:sz="4" w:space="0" w:color="auto"/>
            </w:tcBorders>
            <w:shd w:val="clear" w:color="auto" w:fill="C6EFCE"/>
            <w:hideMark/>
          </w:tcPr>
          <w:p w14:paraId="7A5395C2" w14:textId="0F0621D0" w:rsidR="008273B8" w:rsidRDefault="008273B8">
            <w:pPr>
              <w:spacing w:after="0" w:line="240" w:lineRule="auto"/>
              <w:jc w:val="center"/>
              <w:rPr>
                <w:rFonts w:ascii="Times New Roman" w:eastAsia="Times New Roman" w:hAnsi="Times New Roman" w:cs="Times New Roman"/>
                <w:noProof/>
                <w:sz w:val="18"/>
              </w:rPr>
            </w:pPr>
          </w:p>
        </w:tc>
        <w:tc>
          <w:tcPr>
            <w:tcW w:w="5058" w:type="dxa"/>
            <w:tcBorders>
              <w:top w:val="nil"/>
              <w:left w:val="nil"/>
              <w:bottom w:val="single" w:sz="4" w:space="0" w:color="auto"/>
              <w:right w:val="single" w:sz="4" w:space="0" w:color="auto"/>
            </w:tcBorders>
            <w:shd w:val="clear" w:color="auto" w:fill="C6EFCE"/>
            <w:hideMark/>
          </w:tcPr>
          <w:p w14:paraId="7A5395C3" w14:textId="794BD092" w:rsidR="008273B8" w:rsidRDefault="008273B8">
            <w:pPr>
              <w:spacing w:after="0" w:line="240" w:lineRule="auto"/>
              <w:rPr>
                <w:rFonts w:ascii="Times New Roman" w:eastAsia="Times New Roman" w:hAnsi="Times New Roman" w:cs="Times New Roman"/>
                <w:noProof/>
                <w:sz w:val="18"/>
              </w:rPr>
            </w:pPr>
          </w:p>
        </w:tc>
      </w:tr>
      <w:tr w:rsidR="008273B8" w14:paraId="7A5395C9" w14:textId="77777777">
        <w:trPr>
          <w:cantSplit/>
          <w:trHeight w:val="353"/>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C5" w14:textId="77777777" w:rsidR="008273B8" w:rsidRDefault="00B93063">
            <w:pPr>
              <w:pStyle w:val="P68B1DB1-Normal19"/>
              <w:spacing w:after="0" w:line="240" w:lineRule="auto"/>
              <w:jc w:val="center"/>
              <w:rPr>
                <w:rFonts w:eastAsia="Times New Roman" w:cs="Times New Roman"/>
                <w:noProof/>
              </w:rPr>
            </w:pPr>
            <w:r>
              <w:rPr>
                <w:noProof/>
              </w:rPr>
              <w:t xml:space="preserve"> 1.24</w:t>
            </w:r>
          </w:p>
        </w:tc>
        <w:tc>
          <w:tcPr>
            <w:tcW w:w="1158" w:type="dxa"/>
            <w:tcBorders>
              <w:top w:val="nil"/>
              <w:left w:val="nil"/>
              <w:bottom w:val="single" w:sz="4" w:space="0" w:color="auto"/>
              <w:right w:val="single" w:sz="4" w:space="0" w:color="auto"/>
            </w:tcBorders>
            <w:shd w:val="clear" w:color="auto" w:fill="C6EFCE"/>
            <w:hideMark/>
          </w:tcPr>
          <w:p w14:paraId="7A5395C6" w14:textId="77777777" w:rsidR="008273B8" w:rsidRDefault="00B93063">
            <w:pPr>
              <w:pStyle w:val="P68B1DB1-Normal19"/>
              <w:spacing w:after="0" w:line="240" w:lineRule="auto"/>
              <w:jc w:val="center"/>
              <w:rPr>
                <w:rFonts w:eastAsia="Times New Roman" w:cs="Times New Roman"/>
                <w:noProof/>
              </w:rPr>
            </w:pPr>
            <w:r>
              <w:rPr>
                <w:noProof/>
              </w:rPr>
              <w:t xml:space="preserve">C1.I.3. </w:t>
            </w:r>
          </w:p>
        </w:tc>
        <w:tc>
          <w:tcPr>
            <w:tcW w:w="1116" w:type="dxa"/>
            <w:tcBorders>
              <w:top w:val="nil"/>
              <w:left w:val="nil"/>
              <w:bottom w:val="single" w:sz="4" w:space="0" w:color="auto"/>
              <w:right w:val="single" w:sz="4" w:space="0" w:color="auto"/>
            </w:tcBorders>
            <w:shd w:val="clear" w:color="auto" w:fill="C6EFCE"/>
            <w:hideMark/>
          </w:tcPr>
          <w:p w14:paraId="7A5395C7" w14:textId="77777777" w:rsidR="008273B8" w:rsidRDefault="00B93063">
            <w:pPr>
              <w:pStyle w:val="P68B1DB1-Normal19"/>
              <w:spacing w:after="0" w:line="240" w:lineRule="auto"/>
              <w:jc w:val="center"/>
              <w:rPr>
                <w:rFonts w:eastAsia="Times New Roman" w:cs="Times New Roman"/>
                <w:noProof/>
              </w:rPr>
            </w:pPr>
            <w:r>
              <w:rPr>
                <w:noProof/>
              </w:rPr>
              <w:t xml:space="preserve">Ciljna vrijednost </w:t>
            </w:r>
          </w:p>
        </w:tc>
        <w:tc>
          <w:tcPr>
            <w:tcW w:w="5058" w:type="dxa"/>
            <w:tcBorders>
              <w:top w:val="nil"/>
              <w:left w:val="nil"/>
              <w:bottom w:val="single" w:sz="4" w:space="0" w:color="auto"/>
              <w:right w:val="single" w:sz="4" w:space="0" w:color="auto"/>
            </w:tcBorders>
            <w:shd w:val="clear" w:color="auto" w:fill="C6EFCE"/>
            <w:hideMark/>
          </w:tcPr>
          <w:p w14:paraId="7A5395C8" w14:textId="77777777" w:rsidR="008273B8" w:rsidRDefault="00B93063">
            <w:pPr>
              <w:pStyle w:val="P68B1DB1-Normal19"/>
              <w:spacing w:after="0" w:line="240" w:lineRule="auto"/>
              <w:rPr>
                <w:rFonts w:eastAsia="Times New Roman" w:cs="Times New Roman"/>
                <w:noProof/>
              </w:rPr>
            </w:pPr>
            <w:r>
              <w:rPr>
                <w:noProof/>
              </w:rPr>
              <w:t xml:space="preserve">Dvije javne škole obnovljene </w:t>
            </w:r>
          </w:p>
        </w:tc>
      </w:tr>
      <w:tr w:rsidR="008273B8" w14:paraId="7A5395CE"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CA" w14:textId="77777777" w:rsidR="008273B8" w:rsidRDefault="00B93063">
            <w:pPr>
              <w:pStyle w:val="P68B1DB1-Normal19"/>
              <w:spacing w:after="0" w:line="240" w:lineRule="auto"/>
              <w:jc w:val="center"/>
              <w:rPr>
                <w:rFonts w:eastAsia="Times New Roman" w:cs="Times New Roman"/>
                <w:noProof/>
              </w:rPr>
            </w:pPr>
            <w:r>
              <w:rPr>
                <w:noProof/>
              </w:rPr>
              <w:t xml:space="preserve"> 1.26</w:t>
            </w:r>
          </w:p>
        </w:tc>
        <w:tc>
          <w:tcPr>
            <w:tcW w:w="1158" w:type="dxa"/>
            <w:tcBorders>
              <w:top w:val="nil"/>
              <w:left w:val="nil"/>
              <w:bottom w:val="single" w:sz="4" w:space="0" w:color="auto"/>
              <w:right w:val="single" w:sz="4" w:space="0" w:color="auto"/>
            </w:tcBorders>
            <w:shd w:val="clear" w:color="auto" w:fill="C6EFCE"/>
            <w:hideMark/>
          </w:tcPr>
          <w:p w14:paraId="7A5395CB" w14:textId="77777777" w:rsidR="008273B8" w:rsidRDefault="00B93063">
            <w:pPr>
              <w:pStyle w:val="P68B1DB1-Normal19"/>
              <w:spacing w:after="0" w:line="240" w:lineRule="auto"/>
              <w:jc w:val="center"/>
              <w:rPr>
                <w:rFonts w:eastAsia="Times New Roman" w:cs="Times New Roman"/>
                <w:noProof/>
              </w:rPr>
            </w:pPr>
            <w:r>
              <w:rPr>
                <w:noProof/>
              </w:rPr>
              <w:t xml:space="preserve">C1.I.4 </w:t>
            </w:r>
          </w:p>
        </w:tc>
        <w:tc>
          <w:tcPr>
            <w:tcW w:w="1116" w:type="dxa"/>
            <w:tcBorders>
              <w:top w:val="nil"/>
              <w:left w:val="nil"/>
              <w:bottom w:val="single" w:sz="4" w:space="0" w:color="auto"/>
              <w:right w:val="single" w:sz="4" w:space="0" w:color="auto"/>
            </w:tcBorders>
            <w:shd w:val="clear" w:color="auto" w:fill="C6EFCE"/>
            <w:hideMark/>
          </w:tcPr>
          <w:p w14:paraId="7A5395CC" w14:textId="77777777" w:rsidR="008273B8" w:rsidRDefault="00B93063">
            <w:pPr>
              <w:pStyle w:val="P68B1DB1-Normal19"/>
              <w:spacing w:after="0" w:line="240" w:lineRule="auto"/>
              <w:jc w:val="center"/>
              <w:rPr>
                <w:rFonts w:eastAsia="Times New Roman" w:cs="Times New Roman"/>
                <w:noProof/>
              </w:rPr>
            </w:pPr>
            <w:r>
              <w:rPr>
                <w:noProof/>
              </w:rPr>
              <w:t xml:space="preserve">Ciljna vrijednost </w:t>
            </w:r>
          </w:p>
        </w:tc>
        <w:tc>
          <w:tcPr>
            <w:tcW w:w="5058" w:type="dxa"/>
            <w:tcBorders>
              <w:top w:val="nil"/>
              <w:left w:val="nil"/>
              <w:bottom w:val="single" w:sz="4" w:space="0" w:color="auto"/>
              <w:right w:val="single" w:sz="4" w:space="0" w:color="auto"/>
            </w:tcBorders>
            <w:shd w:val="clear" w:color="auto" w:fill="C6EFCE"/>
            <w:hideMark/>
          </w:tcPr>
          <w:p w14:paraId="7A5395CD" w14:textId="77777777" w:rsidR="008273B8" w:rsidRDefault="00B93063">
            <w:pPr>
              <w:pStyle w:val="P68B1DB1-Normal19"/>
              <w:spacing w:after="0" w:line="240" w:lineRule="auto"/>
              <w:rPr>
                <w:rFonts w:eastAsia="Times New Roman" w:cs="Times New Roman"/>
                <w:noProof/>
              </w:rPr>
            </w:pPr>
            <w:r>
              <w:rPr>
                <w:noProof/>
              </w:rPr>
              <w:t>Završena izgradnja gotovo ugljično neutralne škole</w:t>
            </w:r>
          </w:p>
        </w:tc>
      </w:tr>
      <w:tr w:rsidR="008273B8" w14:paraId="7A5395D3"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CF" w14:textId="77777777" w:rsidR="008273B8" w:rsidRDefault="00B93063">
            <w:pPr>
              <w:pStyle w:val="P68B1DB1-Normal19"/>
              <w:spacing w:after="0" w:line="240" w:lineRule="auto"/>
              <w:jc w:val="center"/>
              <w:rPr>
                <w:rFonts w:eastAsia="Times New Roman" w:cs="Times New Roman"/>
                <w:noProof/>
              </w:rPr>
            </w:pPr>
            <w:r>
              <w:rPr>
                <w:noProof/>
              </w:rPr>
              <w:t xml:space="preserve"> 2.3</w:t>
            </w:r>
          </w:p>
        </w:tc>
        <w:tc>
          <w:tcPr>
            <w:tcW w:w="1158" w:type="dxa"/>
            <w:tcBorders>
              <w:top w:val="nil"/>
              <w:left w:val="nil"/>
              <w:bottom w:val="single" w:sz="4" w:space="0" w:color="auto"/>
              <w:right w:val="single" w:sz="4" w:space="0" w:color="auto"/>
            </w:tcBorders>
            <w:shd w:val="clear" w:color="auto" w:fill="C6EFCE"/>
            <w:hideMark/>
          </w:tcPr>
          <w:p w14:paraId="7A5395D0" w14:textId="77777777" w:rsidR="008273B8" w:rsidRDefault="00B93063">
            <w:pPr>
              <w:pStyle w:val="P68B1DB1-Normal19"/>
              <w:spacing w:after="0" w:line="240" w:lineRule="auto"/>
              <w:jc w:val="center"/>
              <w:rPr>
                <w:rFonts w:eastAsia="Times New Roman" w:cs="Times New Roman"/>
                <w:noProof/>
              </w:rPr>
            </w:pPr>
            <w:r>
              <w:rPr>
                <w:noProof/>
              </w:rPr>
              <w:t xml:space="preserve">C2.R.2 </w:t>
            </w:r>
          </w:p>
        </w:tc>
        <w:tc>
          <w:tcPr>
            <w:tcW w:w="1116" w:type="dxa"/>
            <w:tcBorders>
              <w:top w:val="nil"/>
              <w:left w:val="nil"/>
              <w:bottom w:val="single" w:sz="4" w:space="0" w:color="auto"/>
              <w:right w:val="single" w:sz="4" w:space="0" w:color="auto"/>
            </w:tcBorders>
            <w:shd w:val="clear" w:color="auto" w:fill="C6EFCE"/>
            <w:hideMark/>
          </w:tcPr>
          <w:p w14:paraId="7A5395D1"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5058" w:type="dxa"/>
            <w:tcBorders>
              <w:top w:val="nil"/>
              <w:left w:val="nil"/>
              <w:bottom w:val="single" w:sz="4" w:space="0" w:color="auto"/>
              <w:right w:val="single" w:sz="4" w:space="0" w:color="auto"/>
            </w:tcBorders>
            <w:shd w:val="clear" w:color="auto" w:fill="C6EFCE"/>
            <w:hideMark/>
          </w:tcPr>
          <w:p w14:paraId="7A5395D2" w14:textId="77777777" w:rsidR="008273B8" w:rsidRDefault="00B93063">
            <w:pPr>
              <w:pStyle w:val="P68B1DB1-Normal19"/>
              <w:spacing w:after="0" w:line="240" w:lineRule="auto"/>
              <w:rPr>
                <w:rFonts w:eastAsia="Times New Roman" w:cs="Times New Roman"/>
                <w:noProof/>
              </w:rPr>
            </w:pPr>
            <w:r>
              <w:rPr>
                <w:noProof/>
              </w:rPr>
              <w:t>Broj osoba u novim skupinama s pristupom besplatnom javnom prijevozu</w:t>
            </w:r>
          </w:p>
        </w:tc>
      </w:tr>
      <w:tr w:rsidR="008273B8" w14:paraId="7A5395D8"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D4" w14:textId="77777777" w:rsidR="008273B8" w:rsidRDefault="00B93063">
            <w:pPr>
              <w:pStyle w:val="P68B1DB1-Normal19"/>
              <w:spacing w:after="0" w:line="240" w:lineRule="auto"/>
              <w:jc w:val="center"/>
              <w:rPr>
                <w:rFonts w:eastAsia="Times New Roman" w:cs="Times New Roman"/>
                <w:noProof/>
              </w:rPr>
            </w:pPr>
            <w:r>
              <w:rPr>
                <w:noProof/>
              </w:rPr>
              <w:t xml:space="preserve"> 2.10</w:t>
            </w:r>
          </w:p>
        </w:tc>
        <w:tc>
          <w:tcPr>
            <w:tcW w:w="1158" w:type="dxa"/>
            <w:tcBorders>
              <w:top w:val="nil"/>
              <w:left w:val="nil"/>
              <w:bottom w:val="single" w:sz="4" w:space="0" w:color="auto"/>
              <w:right w:val="single" w:sz="4" w:space="0" w:color="auto"/>
            </w:tcBorders>
            <w:shd w:val="clear" w:color="auto" w:fill="C6EFCE"/>
            <w:hideMark/>
          </w:tcPr>
          <w:p w14:paraId="7A5395D5" w14:textId="77777777" w:rsidR="008273B8" w:rsidRDefault="00B93063">
            <w:pPr>
              <w:pStyle w:val="P68B1DB1-Normal19"/>
              <w:spacing w:after="0" w:line="240" w:lineRule="auto"/>
              <w:jc w:val="center"/>
              <w:rPr>
                <w:rFonts w:eastAsia="Times New Roman" w:cs="Times New Roman"/>
                <w:noProof/>
              </w:rPr>
            </w:pPr>
            <w:r>
              <w:rPr>
                <w:noProof/>
              </w:rPr>
              <w:t xml:space="preserve">C2.R.6 </w:t>
            </w:r>
          </w:p>
        </w:tc>
        <w:tc>
          <w:tcPr>
            <w:tcW w:w="1116" w:type="dxa"/>
            <w:tcBorders>
              <w:top w:val="nil"/>
              <w:left w:val="nil"/>
              <w:bottom w:val="single" w:sz="4" w:space="0" w:color="auto"/>
              <w:right w:val="single" w:sz="4" w:space="0" w:color="auto"/>
            </w:tcBorders>
            <w:shd w:val="clear" w:color="auto" w:fill="C6EFCE"/>
            <w:hideMark/>
          </w:tcPr>
          <w:p w14:paraId="7A5395D6"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58" w:type="dxa"/>
            <w:tcBorders>
              <w:top w:val="nil"/>
              <w:left w:val="nil"/>
              <w:bottom w:val="single" w:sz="4" w:space="0" w:color="auto"/>
              <w:right w:val="single" w:sz="4" w:space="0" w:color="auto"/>
            </w:tcBorders>
            <w:shd w:val="clear" w:color="auto" w:fill="C6EFCE"/>
            <w:hideMark/>
          </w:tcPr>
          <w:p w14:paraId="7A5395D7" w14:textId="77777777" w:rsidR="008273B8" w:rsidRDefault="00B93063">
            <w:pPr>
              <w:pStyle w:val="P68B1DB1-Normal19"/>
              <w:spacing w:after="0" w:line="240" w:lineRule="auto"/>
              <w:rPr>
                <w:rFonts w:eastAsia="Times New Roman" w:cs="Times New Roman"/>
                <w:noProof/>
              </w:rPr>
            </w:pPr>
            <w:r>
              <w:rPr>
                <w:noProof/>
              </w:rPr>
              <w:t>Završetak studije o boljem upravljanju mobilnošću u malteškoj javnoj službi</w:t>
            </w:r>
          </w:p>
        </w:tc>
      </w:tr>
      <w:tr w:rsidR="008273B8" w14:paraId="7A5395DD"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D9" w14:textId="77777777" w:rsidR="008273B8" w:rsidRDefault="00B93063">
            <w:pPr>
              <w:pStyle w:val="P68B1DB1-Normal19"/>
              <w:spacing w:after="0" w:line="240" w:lineRule="auto"/>
              <w:jc w:val="center"/>
              <w:rPr>
                <w:rFonts w:eastAsia="Times New Roman" w:cs="Times New Roman"/>
                <w:noProof/>
              </w:rPr>
            </w:pPr>
            <w:r>
              <w:rPr>
                <w:noProof/>
              </w:rPr>
              <w:t xml:space="preserve"> 2.16</w:t>
            </w:r>
          </w:p>
        </w:tc>
        <w:tc>
          <w:tcPr>
            <w:tcW w:w="1158" w:type="dxa"/>
            <w:tcBorders>
              <w:top w:val="nil"/>
              <w:left w:val="nil"/>
              <w:bottom w:val="single" w:sz="4" w:space="0" w:color="auto"/>
              <w:right w:val="single" w:sz="4" w:space="0" w:color="auto"/>
            </w:tcBorders>
            <w:shd w:val="clear" w:color="auto" w:fill="C6EFCE"/>
            <w:hideMark/>
          </w:tcPr>
          <w:p w14:paraId="7A5395DA" w14:textId="77777777" w:rsidR="008273B8" w:rsidRDefault="00B93063">
            <w:pPr>
              <w:pStyle w:val="P68B1DB1-Normal19"/>
              <w:spacing w:after="0" w:line="240" w:lineRule="auto"/>
              <w:jc w:val="center"/>
              <w:rPr>
                <w:rFonts w:eastAsia="Times New Roman" w:cs="Times New Roman"/>
                <w:noProof/>
              </w:rPr>
            </w:pPr>
            <w:r>
              <w:rPr>
                <w:noProof/>
              </w:rPr>
              <w:t xml:space="preserve">C2.I.2. </w:t>
            </w:r>
          </w:p>
        </w:tc>
        <w:tc>
          <w:tcPr>
            <w:tcW w:w="1116" w:type="dxa"/>
            <w:tcBorders>
              <w:top w:val="nil"/>
              <w:left w:val="nil"/>
              <w:bottom w:val="single" w:sz="4" w:space="0" w:color="auto"/>
              <w:right w:val="single" w:sz="4" w:space="0" w:color="auto"/>
            </w:tcBorders>
            <w:shd w:val="clear" w:color="auto" w:fill="C6EFCE"/>
            <w:hideMark/>
          </w:tcPr>
          <w:p w14:paraId="7A5395DB"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5058" w:type="dxa"/>
            <w:tcBorders>
              <w:top w:val="nil"/>
              <w:left w:val="nil"/>
              <w:bottom w:val="single" w:sz="4" w:space="0" w:color="auto"/>
              <w:right w:val="single" w:sz="4" w:space="0" w:color="auto"/>
            </w:tcBorders>
            <w:shd w:val="clear" w:color="auto" w:fill="C6EFCE"/>
            <w:hideMark/>
          </w:tcPr>
          <w:p w14:paraId="7A5395DC" w14:textId="77777777" w:rsidR="008273B8" w:rsidRDefault="00B93063">
            <w:pPr>
              <w:pStyle w:val="P68B1DB1-Normal19"/>
              <w:spacing w:after="0" w:line="240" w:lineRule="auto"/>
              <w:rPr>
                <w:rFonts w:eastAsia="Times New Roman" w:cs="Times New Roman"/>
                <w:noProof/>
              </w:rPr>
            </w:pPr>
            <w:r>
              <w:rPr>
                <w:noProof/>
              </w:rPr>
              <w:t xml:space="preserve">Broj bespovratnih sredstava dodijeljenih za električna vozila u okviru programa za privatni sektor </w:t>
            </w:r>
          </w:p>
        </w:tc>
      </w:tr>
      <w:tr w:rsidR="008273B8" w14:paraId="7A5395E2" w14:textId="77777777">
        <w:trPr>
          <w:cantSplit/>
          <w:trHeight w:val="525"/>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DE" w14:textId="77777777" w:rsidR="008273B8" w:rsidRDefault="00B93063">
            <w:pPr>
              <w:pStyle w:val="P68B1DB1-Normal19"/>
              <w:spacing w:after="0" w:line="240" w:lineRule="auto"/>
              <w:jc w:val="center"/>
              <w:rPr>
                <w:rFonts w:eastAsia="Times New Roman" w:cs="Times New Roman"/>
                <w:noProof/>
              </w:rPr>
            </w:pPr>
            <w:r>
              <w:rPr>
                <w:noProof/>
              </w:rPr>
              <w:t xml:space="preserve"> 2.18</w:t>
            </w:r>
          </w:p>
        </w:tc>
        <w:tc>
          <w:tcPr>
            <w:tcW w:w="1158" w:type="dxa"/>
            <w:tcBorders>
              <w:top w:val="nil"/>
              <w:left w:val="nil"/>
              <w:bottom w:val="single" w:sz="4" w:space="0" w:color="auto"/>
              <w:right w:val="single" w:sz="4" w:space="0" w:color="auto"/>
            </w:tcBorders>
            <w:shd w:val="clear" w:color="auto" w:fill="C6EFCE"/>
            <w:hideMark/>
          </w:tcPr>
          <w:p w14:paraId="7A5395DF" w14:textId="77777777" w:rsidR="008273B8" w:rsidRDefault="00B93063">
            <w:pPr>
              <w:pStyle w:val="P68B1DB1-Normal19"/>
              <w:spacing w:after="0" w:line="240" w:lineRule="auto"/>
              <w:jc w:val="center"/>
              <w:rPr>
                <w:rFonts w:eastAsia="Times New Roman" w:cs="Times New Roman"/>
                <w:noProof/>
              </w:rPr>
            </w:pPr>
            <w:r>
              <w:rPr>
                <w:noProof/>
              </w:rPr>
              <w:t xml:space="preserve">C2.I.3. </w:t>
            </w:r>
          </w:p>
        </w:tc>
        <w:tc>
          <w:tcPr>
            <w:tcW w:w="1116" w:type="dxa"/>
            <w:tcBorders>
              <w:top w:val="nil"/>
              <w:left w:val="nil"/>
              <w:bottom w:val="single" w:sz="4" w:space="0" w:color="auto"/>
              <w:right w:val="single" w:sz="4" w:space="0" w:color="auto"/>
            </w:tcBorders>
            <w:shd w:val="clear" w:color="auto" w:fill="C6EFCE"/>
            <w:hideMark/>
          </w:tcPr>
          <w:p w14:paraId="7A5395E0"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58" w:type="dxa"/>
            <w:tcBorders>
              <w:top w:val="nil"/>
              <w:left w:val="nil"/>
              <w:bottom w:val="single" w:sz="4" w:space="0" w:color="auto"/>
              <w:right w:val="single" w:sz="4" w:space="0" w:color="auto"/>
            </w:tcBorders>
            <w:shd w:val="clear" w:color="auto" w:fill="C6EFCE"/>
            <w:hideMark/>
          </w:tcPr>
          <w:p w14:paraId="7A5395E1" w14:textId="77777777" w:rsidR="008273B8" w:rsidRDefault="00B93063">
            <w:pPr>
              <w:pStyle w:val="P68B1DB1-Normal19"/>
              <w:spacing w:after="0" w:line="240" w:lineRule="auto"/>
              <w:rPr>
                <w:rFonts w:eastAsia="Times New Roman" w:cs="Times New Roman"/>
                <w:noProof/>
              </w:rPr>
            </w:pPr>
            <w:r>
              <w:rPr>
                <w:noProof/>
              </w:rPr>
              <w:t xml:space="preserve">Ugovorene usluge za nabavu električnih vozila za vozni park javnih službi </w:t>
            </w:r>
          </w:p>
        </w:tc>
      </w:tr>
      <w:tr w:rsidR="008273B8" w14:paraId="7A5395E7" w14:textId="77777777">
        <w:trPr>
          <w:cantSplit/>
          <w:trHeight w:val="41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E3" w14:textId="77777777" w:rsidR="008273B8" w:rsidRDefault="00B93063">
            <w:pPr>
              <w:pStyle w:val="P68B1DB1-Normal19"/>
              <w:spacing w:after="0" w:line="240" w:lineRule="auto"/>
              <w:jc w:val="center"/>
              <w:rPr>
                <w:rFonts w:eastAsia="Times New Roman" w:cs="Times New Roman"/>
                <w:noProof/>
              </w:rPr>
            </w:pPr>
            <w:r>
              <w:rPr>
                <w:noProof/>
              </w:rPr>
              <w:t xml:space="preserve"> 3.2</w:t>
            </w:r>
          </w:p>
        </w:tc>
        <w:tc>
          <w:tcPr>
            <w:tcW w:w="1158" w:type="dxa"/>
            <w:tcBorders>
              <w:top w:val="nil"/>
              <w:left w:val="nil"/>
              <w:bottom w:val="single" w:sz="4" w:space="0" w:color="auto"/>
              <w:right w:val="single" w:sz="4" w:space="0" w:color="auto"/>
            </w:tcBorders>
            <w:shd w:val="clear" w:color="auto" w:fill="C6EFCE"/>
            <w:hideMark/>
          </w:tcPr>
          <w:p w14:paraId="7A5395E4" w14:textId="77777777" w:rsidR="008273B8" w:rsidRDefault="00B93063">
            <w:pPr>
              <w:pStyle w:val="P68B1DB1-Normal19"/>
              <w:spacing w:after="0" w:line="240" w:lineRule="auto"/>
              <w:jc w:val="center"/>
              <w:rPr>
                <w:rFonts w:eastAsia="Times New Roman" w:cs="Times New Roman"/>
                <w:noProof/>
              </w:rPr>
            </w:pPr>
            <w:r>
              <w:rPr>
                <w:noProof/>
              </w:rPr>
              <w:t xml:space="preserve">C3.R.1 </w:t>
            </w:r>
          </w:p>
        </w:tc>
        <w:tc>
          <w:tcPr>
            <w:tcW w:w="1116" w:type="dxa"/>
            <w:tcBorders>
              <w:top w:val="nil"/>
              <w:left w:val="nil"/>
              <w:bottom w:val="single" w:sz="4" w:space="0" w:color="auto"/>
              <w:right w:val="single" w:sz="4" w:space="0" w:color="auto"/>
            </w:tcBorders>
            <w:shd w:val="clear" w:color="auto" w:fill="C6EFCE"/>
            <w:hideMark/>
          </w:tcPr>
          <w:p w14:paraId="7A5395E5"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5058" w:type="dxa"/>
            <w:tcBorders>
              <w:top w:val="nil"/>
              <w:left w:val="nil"/>
              <w:bottom w:val="single" w:sz="4" w:space="0" w:color="auto"/>
              <w:right w:val="single" w:sz="4" w:space="0" w:color="auto"/>
            </w:tcBorders>
            <w:shd w:val="clear" w:color="auto" w:fill="C6EFCE"/>
            <w:hideMark/>
          </w:tcPr>
          <w:p w14:paraId="7A5395E6" w14:textId="77777777" w:rsidR="008273B8" w:rsidRDefault="00B93063">
            <w:pPr>
              <w:pStyle w:val="P68B1DB1-Normal19"/>
              <w:spacing w:after="0" w:line="240" w:lineRule="auto"/>
              <w:rPr>
                <w:rFonts w:eastAsia="Times New Roman" w:cs="Times New Roman"/>
                <w:noProof/>
              </w:rPr>
            </w:pPr>
            <w:r>
              <w:rPr>
                <w:noProof/>
              </w:rPr>
              <w:t xml:space="preserve">Pojedinci koji primaju potporu za ublažavanje digitalnog jaza </w:t>
            </w:r>
          </w:p>
        </w:tc>
      </w:tr>
      <w:tr w:rsidR="008273B8" w14:paraId="7A5395EC" w14:textId="77777777">
        <w:trPr>
          <w:cantSplit/>
          <w:trHeight w:val="425"/>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E8" w14:textId="77777777" w:rsidR="008273B8" w:rsidRDefault="00B93063">
            <w:pPr>
              <w:pStyle w:val="P68B1DB1-Normal19"/>
              <w:spacing w:after="0" w:line="240" w:lineRule="auto"/>
              <w:jc w:val="center"/>
              <w:rPr>
                <w:rFonts w:eastAsia="Times New Roman" w:cs="Times New Roman"/>
                <w:noProof/>
              </w:rPr>
            </w:pPr>
            <w:r>
              <w:rPr>
                <w:noProof/>
              </w:rPr>
              <w:t xml:space="preserve"> 3.5</w:t>
            </w:r>
          </w:p>
        </w:tc>
        <w:tc>
          <w:tcPr>
            <w:tcW w:w="1158" w:type="dxa"/>
            <w:tcBorders>
              <w:top w:val="nil"/>
              <w:left w:val="nil"/>
              <w:bottom w:val="single" w:sz="4" w:space="0" w:color="auto"/>
              <w:right w:val="single" w:sz="4" w:space="0" w:color="auto"/>
            </w:tcBorders>
            <w:shd w:val="clear" w:color="auto" w:fill="C6EFCE"/>
            <w:hideMark/>
          </w:tcPr>
          <w:p w14:paraId="7A5395E9" w14:textId="77777777" w:rsidR="008273B8" w:rsidRDefault="00B93063">
            <w:pPr>
              <w:pStyle w:val="P68B1DB1-Normal19"/>
              <w:spacing w:after="0" w:line="240" w:lineRule="auto"/>
              <w:jc w:val="center"/>
              <w:rPr>
                <w:rFonts w:eastAsia="Times New Roman" w:cs="Times New Roman"/>
                <w:noProof/>
              </w:rPr>
            </w:pPr>
            <w:r>
              <w:rPr>
                <w:noProof/>
              </w:rPr>
              <w:t xml:space="preserve">C3.I.1 </w:t>
            </w:r>
          </w:p>
        </w:tc>
        <w:tc>
          <w:tcPr>
            <w:tcW w:w="1116" w:type="dxa"/>
            <w:tcBorders>
              <w:top w:val="nil"/>
              <w:left w:val="nil"/>
              <w:bottom w:val="single" w:sz="4" w:space="0" w:color="auto"/>
              <w:right w:val="single" w:sz="4" w:space="0" w:color="auto"/>
            </w:tcBorders>
            <w:shd w:val="clear" w:color="auto" w:fill="C6EFCE"/>
            <w:hideMark/>
          </w:tcPr>
          <w:p w14:paraId="7A5395EA"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5058" w:type="dxa"/>
            <w:tcBorders>
              <w:top w:val="nil"/>
              <w:left w:val="nil"/>
              <w:bottom w:val="single" w:sz="4" w:space="0" w:color="auto"/>
              <w:right w:val="single" w:sz="4" w:space="0" w:color="auto"/>
            </w:tcBorders>
            <w:shd w:val="clear" w:color="auto" w:fill="C6EFCE"/>
            <w:hideMark/>
          </w:tcPr>
          <w:p w14:paraId="7A5395EB" w14:textId="77777777" w:rsidR="008273B8" w:rsidRDefault="00B93063">
            <w:pPr>
              <w:pStyle w:val="P68B1DB1-Normal19"/>
              <w:spacing w:after="0" w:line="240" w:lineRule="auto"/>
              <w:rPr>
                <w:rFonts w:eastAsia="Times New Roman" w:cs="Times New Roman"/>
                <w:noProof/>
              </w:rPr>
            </w:pPr>
            <w:r>
              <w:rPr>
                <w:noProof/>
              </w:rPr>
              <w:t xml:space="preserve">Produljeno vrijeme za razvoj digitalne bazene </w:t>
            </w:r>
          </w:p>
        </w:tc>
      </w:tr>
      <w:tr w:rsidR="008273B8" w14:paraId="7A5395F1"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ED" w14:textId="77777777" w:rsidR="008273B8" w:rsidRDefault="00B93063">
            <w:pPr>
              <w:pStyle w:val="P68B1DB1-Normal19"/>
              <w:spacing w:after="0" w:line="240" w:lineRule="auto"/>
              <w:jc w:val="center"/>
              <w:rPr>
                <w:rFonts w:eastAsia="Times New Roman" w:cs="Times New Roman"/>
                <w:noProof/>
              </w:rPr>
            </w:pPr>
            <w:r>
              <w:rPr>
                <w:noProof/>
              </w:rPr>
              <w:t xml:space="preserve"> 4.2</w:t>
            </w:r>
          </w:p>
        </w:tc>
        <w:tc>
          <w:tcPr>
            <w:tcW w:w="1158" w:type="dxa"/>
            <w:tcBorders>
              <w:top w:val="nil"/>
              <w:left w:val="nil"/>
              <w:bottom w:val="single" w:sz="4" w:space="0" w:color="auto"/>
              <w:right w:val="single" w:sz="4" w:space="0" w:color="auto"/>
            </w:tcBorders>
            <w:shd w:val="clear" w:color="auto" w:fill="C6EFCE"/>
            <w:hideMark/>
          </w:tcPr>
          <w:p w14:paraId="7A5395EE" w14:textId="77777777" w:rsidR="008273B8" w:rsidRDefault="00B93063">
            <w:pPr>
              <w:pStyle w:val="P68B1DB1-Normal19"/>
              <w:spacing w:after="0" w:line="240" w:lineRule="auto"/>
              <w:jc w:val="center"/>
              <w:rPr>
                <w:rFonts w:eastAsia="Times New Roman" w:cs="Times New Roman"/>
                <w:noProof/>
              </w:rPr>
            </w:pPr>
            <w:r>
              <w:rPr>
                <w:noProof/>
              </w:rPr>
              <w:t xml:space="preserve">C4.R.1 </w:t>
            </w:r>
          </w:p>
        </w:tc>
        <w:tc>
          <w:tcPr>
            <w:tcW w:w="1116" w:type="dxa"/>
            <w:tcBorders>
              <w:top w:val="nil"/>
              <w:left w:val="nil"/>
              <w:bottom w:val="single" w:sz="4" w:space="0" w:color="auto"/>
              <w:right w:val="single" w:sz="4" w:space="0" w:color="auto"/>
            </w:tcBorders>
            <w:shd w:val="clear" w:color="auto" w:fill="C6EFCE"/>
            <w:hideMark/>
          </w:tcPr>
          <w:p w14:paraId="7A5395EF"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58" w:type="dxa"/>
            <w:tcBorders>
              <w:top w:val="nil"/>
              <w:left w:val="nil"/>
              <w:bottom w:val="single" w:sz="4" w:space="0" w:color="auto"/>
              <w:right w:val="single" w:sz="4" w:space="0" w:color="auto"/>
            </w:tcBorders>
            <w:shd w:val="clear" w:color="auto" w:fill="C6EFCE"/>
            <w:hideMark/>
          </w:tcPr>
          <w:p w14:paraId="7A5395F0" w14:textId="77777777" w:rsidR="008273B8" w:rsidRDefault="00B93063">
            <w:pPr>
              <w:pStyle w:val="P68B1DB1-Normal19"/>
              <w:spacing w:after="0" w:line="240" w:lineRule="auto"/>
              <w:rPr>
                <w:rFonts w:eastAsia="Times New Roman" w:cs="Times New Roman"/>
                <w:noProof/>
              </w:rPr>
            </w:pPr>
            <w:r>
              <w:rPr>
                <w:noProof/>
              </w:rPr>
              <w:t>Prilagođeni alat za planiranje radne snage</w:t>
            </w:r>
          </w:p>
        </w:tc>
      </w:tr>
      <w:tr w:rsidR="008273B8" w14:paraId="7A5395F6"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F2" w14:textId="77777777" w:rsidR="008273B8" w:rsidRDefault="00B93063">
            <w:pPr>
              <w:pStyle w:val="P68B1DB1-Normal19"/>
              <w:spacing w:after="0" w:line="240" w:lineRule="auto"/>
              <w:jc w:val="center"/>
              <w:rPr>
                <w:rFonts w:eastAsia="Times New Roman" w:cs="Times New Roman"/>
                <w:noProof/>
              </w:rPr>
            </w:pPr>
            <w:r>
              <w:rPr>
                <w:noProof/>
              </w:rPr>
              <w:t xml:space="preserve"> 4.6</w:t>
            </w:r>
          </w:p>
        </w:tc>
        <w:tc>
          <w:tcPr>
            <w:tcW w:w="1158" w:type="dxa"/>
            <w:tcBorders>
              <w:top w:val="nil"/>
              <w:left w:val="nil"/>
              <w:bottom w:val="single" w:sz="4" w:space="0" w:color="auto"/>
              <w:right w:val="single" w:sz="4" w:space="0" w:color="auto"/>
            </w:tcBorders>
            <w:shd w:val="clear" w:color="auto" w:fill="C6EFCE"/>
            <w:hideMark/>
          </w:tcPr>
          <w:p w14:paraId="7A5395F3" w14:textId="77777777" w:rsidR="008273B8" w:rsidRDefault="00B93063">
            <w:pPr>
              <w:pStyle w:val="P68B1DB1-Normal19"/>
              <w:spacing w:after="0" w:line="240" w:lineRule="auto"/>
              <w:jc w:val="center"/>
              <w:rPr>
                <w:rFonts w:eastAsia="Times New Roman" w:cs="Times New Roman"/>
                <w:noProof/>
              </w:rPr>
            </w:pPr>
            <w:r>
              <w:rPr>
                <w:noProof/>
              </w:rPr>
              <w:t xml:space="preserve">C4.R.1 </w:t>
            </w:r>
          </w:p>
        </w:tc>
        <w:tc>
          <w:tcPr>
            <w:tcW w:w="1116" w:type="dxa"/>
            <w:tcBorders>
              <w:top w:val="nil"/>
              <w:left w:val="nil"/>
              <w:bottom w:val="single" w:sz="4" w:space="0" w:color="auto"/>
              <w:right w:val="single" w:sz="4" w:space="0" w:color="auto"/>
            </w:tcBorders>
            <w:shd w:val="clear" w:color="auto" w:fill="C6EFCE"/>
            <w:hideMark/>
          </w:tcPr>
          <w:p w14:paraId="7A5395F4"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5058" w:type="dxa"/>
            <w:tcBorders>
              <w:top w:val="nil"/>
              <w:left w:val="nil"/>
              <w:bottom w:val="single" w:sz="4" w:space="0" w:color="auto"/>
              <w:right w:val="single" w:sz="4" w:space="0" w:color="auto"/>
            </w:tcBorders>
            <w:shd w:val="clear" w:color="auto" w:fill="C6EFCE"/>
            <w:hideMark/>
          </w:tcPr>
          <w:p w14:paraId="7A5395F5" w14:textId="77777777" w:rsidR="008273B8" w:rsidRDefault="00B93063">
            <w:pPr>
              <w:pStyle w:val="P68B1DB1-Normal19"/>
              <w:spacing w:after="0" w:line="240" w:lineRule="auto"/>
              <w:rPr>
                <w:rFonts w:eastAsia="Times New Roman" w:cs="Times New Roman"/>
                <w:noProof/>
              </w:rPr>
            </w:pPr>
            <w:r>
              <w:rPr>
                <w:noProof/>
              </w:rPr>
              <w:t>Provedba programa probira neonatalnih saslušanja</w:t>
            </w:r>
          </w:p>
        </w:tc>
      </w:tr>
      <w:tr w:rsidR="008273B8" w14:paraId="7A5395FB"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F7" w14:textId="77777777" w:rsidR="008273B8" w:rsidRDefault="00B93063">
            <w:pPr>
              <w:pStyle w:val="P68B1DB1-Normal19"/>
              <w:spacing w:after="0" w:line="240" w:lineRule="auto"/>
              <w:jc w:val="center"/>
              <w:rPr>
                <w:rFonts w:eastAsia="Times New Roman" w:cs="Times New Roman"/>
                <w:noProof/>
              </w:rPr>
            </w:pPr>
            <w:r>
              <w:rPr>
                <w:noProof/>
              </w:rPr>
              <w:t xml:space="preserve"> 4.9</w:t>
            </w:r>
          </w:p>
        </w:tc>
        <w:tc>
          <w:tcPr>
            <w:tcW w:w="1158" w:type="dxa"/>
            <w:tcBorders>
              <w:top w:val="nil"/>
              <w:left w:val="nil"/>
              <w:bottom w:val="single" w:sz="4" w:space="0" w:color="auto"/>
              <w:right w:val="single" w:sz="4" w:space="0" w:color="auto"/>
            </w:tcBorders>
            <w:shd w:val="clear" w:color="auto" w:fill="C6EFCE"/>
            <w:hideMark/>
          </w:tcPr>
          <w:p w14:paraId="7A5395F8" w14:textId="77777777" w:rsidR="008273B8" w:rsidRDefault="00B93063">
            <w:pPr>
              <w:pStyle w:val="P68B1DB1-Normal19"/>
              <w:spacing w:after="0" w:line="240" w:lineRule="auto"/>
              <w:jc w:val="center"/>
              <w:rPr>
                <w:rFonts w:eastAsia="Times New Roman" w:cs="Times New Roman"/>
                <w:noProof/>
              </w:rPr>
            </w:pPr>
            <w:r>
              <w:rPr>
                <w:noProof/>
              </w:rPr>
              <w:t xml:space="preserve">C4.I.1 </w:t>
            </w:r>
          </w:p>
        </w:tc>
        <w:tc>
          <w:tcPr>
            <w:tcW w:w="1116" w:type="dxa"/>
            <w:tcBorders>
              <w:top w:val="nil"/>
              <w:left w:val="nil"/>
              <w:bottom w:val="single" w:sz="4" w:space="0" w:color="auto"/>
              <w:right w:val="single" w:sz="4" w:space="0" w:color="auto"/>
            </w:tcBorders>
            <w:shd w:val="clear" w:color="auto" w:fill="C6EFCE"/>
            <w:hideMark/>
          </w:tcPr>
          <w:p w14:paraId="7A5395F9"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58" w:type="dxa"/>
            <w:tcBorders>
              <w:top w:val="nil"/>
              <w:left w:val="nil"/>
              <w:bottom w:val="single" w:sz="4" w:space="0" w:color="auto"/>
              <w:right w:val="single" w:sz="4" w:space="0" w:color="auto"/>
            </w:tcBorders>
            <w:shd w:val="clear" w:color="auto" w:fill="C6EFCE"/>
            <w:hideMark/>
          </w:tcPr>
          <w:p w14:paraId="7A5395FA" w14:textId="77777777" w:rsidR="008273B8" w:rsidRDefault="00B93063">
            <w:pPr>
              <w:pStyle w:val="P68B1DB1-Normal19"/>
              <w:spacing w:after="0" w:line="240" w:lineRule="auto"/>
              <w:rPr>
                <w:rFonts w:eastAsia="Times New Roman" w:cs="Times New Roman"/>
                <w:noProof/>
              </w:rPr>
            </w:pPr>
            <w:r>
              <w:rPr>
                <w:noProof/>
              </w:rPr>
              <w:t>Ugovorene usluge za izgradnju centra za krv, tkivo i stanice</w:t>
            </w:r>
          </w:p>
        </w:tc>
      </w:tr>
      <w:tr w:rsidR="008273B8" w14:paraId="7A539600"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5FC"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4.12</w:t>
            </w:r>
          </w:p>
        </w:tc>
        <w:tc>
          <w:tcPr>
            <w:tcW w:w="1158" w:type="dxa"/>
            <w:tcBorders>
              <w:top w:val="nil"/>
              <w:left w:val="nil"/>
              <w:bottom w:val="single" w:sz="4" w:space="0" w:color="auto"/>
              <w:right w:val="single" w:sz="4" w:space="0" w:color="auto"/>
            </w:tcBorders>
            <w:shd w:val="clear" w:color="auto" w:fill="C6EFCE"/>
            <w:hideMark/>
          </w:tcPr>
          <w:p w14:paraId="7A5395FD"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C4.I.2. </w:t>
            </w:r>
          </w:p>
        </w:tc>
        <w:tc>
          <w:tcPr>
            <w:tcW w:w="1116" w:type="dxa"/>
            <w:tcBorders>
              <w:top w:val="nil"/>
              <w:left w:val="nil"/>
              <w:bottom w:val="single" w:sz="4" w:space="0" w:color="auto"/>
              <w:right w:val="single" w:sz="4" w:space="0" w:color="auto"/>
            </w:tcBorders>
            <w:shd w:val="clear" w:color="auto" w:fill="C6EFCE"/>
            <w:hideMark/>
          </w:tcPr>
          <w:p w14:paraId="7A5395FE" w14:textId="77777777" w:rsidR="008273B8" w:rsidRDefault="00B93063">
            <w:pPr>
              <w:pStyle w:val="P68B1DB1-Normal19"/>
              <w:spacing w:after="0" w:line="240" w:lineRule="auto"/>
              <w:jc w:val="center"/>
              <w:rPr>
                <w:rFonts w:eastAsia="Times New Roman" w:cs="Times New Roman"/>
                <w:noProof/>
                <w:color w:val="000000"/>
              </w:rPr>
            </w:pPr>
            <w:r>
              <w:rPr>
                <w:noProof/>
              </w:rPr>
              <w:t>Ključna etapa</w:t>
            </w:r>
          </w:p>
        </w:tc>
        <w:tc>
          <w:tcPr>
            <w:tcW w:w="5058" w:type="dxa"/>
            <w:tcBorders>
              <w:top w:val="nil"/>
              <w:left w:val="nil"/>
              <w:bottom w:val="single" w:sz="4" w:space="0" w:color="auto"/>
              <w:right w:val="single" w:sz="4" w:space="0" w:color="auto"/>
            </w:tcBorders>
            <w:shd w:val="clear" w:color="auto" w:fill="C6EFCE"/>
            <w:hideMark/>
          </w:tcPr>
          <w:p w14:paraId="7A5395FF" w14:textId="77777777" w:rsidR="008273B8" w:rsidRDefault="00B93063">
            <w:pPr>
              <w:pStyle w:val="P68B1DB1-Normal19"/>
              <w:spacing w:after="0" w:line="240" w:lineRule="auto"/>
              <w:rPr>
                <w:rFonts w:eastAsia="Times New Roman" w:cs="Times New Roman"/>
                <w:noProof/>
                <w:color w:val="000000"/>
              </w:rPr>
            </w:pPr>
            <w:r>
              <w:rPr>
                <w:noProof/>
              </w:rPr>
              <w:t>Oprema za linearno ubrzanje magnetne rezonancije radi i otvorena korisnicima</w:t>
            </w:r>
          </w:p>
        </w:tc>
      </w:tr>
      <w:tr w:rsidR="008273B8" w14:paraId="7A539605"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601"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5.2</w:t>
            </w:r>
          </w:p>
        </w:tc>
        <w:tc>
          <w:tcPr>
            <w:tcW w:w="1158" w:type="dxa"/>
            <w:tcBorders>
              <w:top w:val="nil"/>
              <w:left w:val="nil"/>
              <w:bottom w:val="single" w:sz="4" w:space="0" w:color="auto"/>
              <w:right w:val="single" w:sz="4" w:space="0" w:color="auto"/>
            </w:tcBorders>
            <w:shd w:val="clear" w:color="auto" w:fill="C6EFCE"/>
            <w:hideMark/>
          </w:tcPr>
          <w:p w14:paraId="7A539602"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C5.R.1 </w:t>
            </w:r>
          </w:p>
        </w:tc>
        <w:tc>
          <w:tcPr>
            <w:tcW w:w="1116" w:type="dxa"/>
            <w:tcBorders>
              <w:top w:val="nil"/>
              <w:left w:val="nil"/>
              <w:bottom w:val="single" w:sz="4" w:space="0" w:color="auto"/>
              <w:right w:val="single" w:sz="4" w:space="0" w:color="auto"/>
            </w:tcBorders>
            <w:shd w:val="clear" w:color="auto" w:fill="C6EFCE"/>
            <w:hideMark/>
          </w:tcPr>
          <w:p w14:paraId="7A539603" w14:textId="77777777" w:rsidR="008273B8" w:rsidRDefault="00B93063">
            <w:pPr>
              <w:pStyle w:val="P68B1DB1-Normal19"/>
              <w:spacing w:after="0" w:line="240" w:lineRule="auto"/>
              <w:jc w:val="center"/>
              <w:rPr>
                <w:rFonts w:eastAsia="Times New Roman" w:cs="Times New Roman"/>
                <w:noProof/>
                <w:color w:val="000000"/>
              </w:rPr>
            </w:pPr>
            <w:r>
              <w:rPr>
                <w:noProof/>
              </w:rPr>
              <w:t>Ciljna vrijednost</w:t>
            </w:r>
          </w:p>
        </w:tc>
        <w:tc>
          <w:tcPr>
            <w:tcW w:w="5058" w:type="dxa"/>
            <w:tcBorders>
              <w:top w:val="nil"/>
              <w:left w:val="nil"/>
              <w:bottom w:val="single" w:sz="4" w:space="0" w:color="auto"/>
              <w:right w:val="single" w:sz="4" w:space="0" w:color="auto"/>
            </w:tcBorders>
            <w:shd w:val="clear" w:color="auto" w:fill="C6EFCE"/>
            <w:hideMark/>
          </w:tcPr>
          <w:p w14:paraId="7A539604" w14:textId="77777777" w:rsidR="008273B8" w:rsidRDefault="00B93063">
            <w:pPr>
              <w:pStyle w:val="P68B1DB1-Normal19"/>
              <w:spacing w:after="0" w:line="240" w:lineRule="auto"/>
              <w:rPr>
                <w:rFonts w:eastAsia="Times New Roman" w:cs="Times New Roman"/>
                <w:noProof/>
                <w:color w:val="000000"/>
              </w:rPr>
            </w:pPr>
            <w:r>
              <w:rPr>
                <w:noProof/>
              </w:rPr>
              <w:t>Odgojno-obrazovni djelatnici osposobljeni u okviru programa Reading Recovery (RR)</w:t>
            </w:r>
          </w:p>
        </w:tc>
      </w:tr>
      <w:tr w:rsidR="008273B8" w14:paraId="7A53960A"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606"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5.5</w:t>
            </w:r>
          </w:p>
        </w:tc>
        <w:tc>
          <w:tcPr>
            <w:tcW w:w="1158" w:type="dxa"/>
            <w:tcBorders>
              <w:top w:val="nil"/>
              <w:left w:val="nil"/>
              <w:bottom w:val="single" w:sz="4" w:space="0" w:color="auto"/>
              <w:right w:val="single" w:sz="4" w:space="0" w:color="auto"/>
            </w:tcBorders>
            <w:shd w:val="clear" w:color="auto" w:fill="C6EFCE"/>
            <w:hideMark/>
          </w:tcPr>
          <w:p w14:paraId="7A539607"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C5.R.2 </w:t>
            </w:r>
          </w:p>
        </w:tc>
        <w:tc>
          <w:tcPr>
            <w:tcW w:w="1116" w:type="dxa"/>
            <w:tcBorders>
              <w:top w:val="nil"/>
              <w:left w:val="nil"/>
              <w:bottom w:val="single" w:sz="4" w:space="0" w:color="auto"/>
              <w:right w:val="single" w:sz="4" w:space="0" w:color="auto"/>
            </w:tcBorders>
            <w:shd w:val="clear" w:color="auto" w:fill="C6EFCE"/>
            <w:hideMark/>
          </w:tcPr>
          <w:p w14:paraId="7A539608" w14:textId="77777777" w:rsidR="008273B8" w:rsidRDefault="00B93063">
            <w:pPr>
              <w:pStyle w:val="P68B1DB1-Normal19"/>
              <w:spacing w:after="0" w:line="240" w:lineRule="auto"/>
              <w:jc w:val="center"/>
              <w:rPr>
                <w:rFonts w:eastAsia="Times New Roman" w:cs="Times New Roman"/>
                <w:noProof/>
                <w:color w:val="000000"/>
              </w:rPr>
            </w:pPr>
            <w:r>
              <w:rPr>
                <w:noProof/>
              </w:rPr>
              <w:t>Ključna etapa</w:t>
            </w:r>
          </w:p>
        </w:tc>
        <w:tc>
          <w:tcPr>
            <w:tcW w:w="5058" w:type="dxa"/>
            <w:tcBorders>
              <w:top w:val="nil"/>
              <w:left w:val="nil"/>
              <w:bottom w:val="single" w:sz="4" w:space="0" w:color="auto"/>
              <w:right w:val="single" w:sz="4" w:space="0" w:color="auto"/>
            </w:tcBorders>
            <w:shd w:val="clear" w:color="auto" w:fill="C6EFCE"/>
            <w:hideMark/>
          </w:tcPr>
          <w:p w14:paraId="7A539609" w14:textId="424389D1" w:rsidR="008273B8" w:rsidRDefault="00B93063">
            <w:pPr>
              <w:pStyle w:val="P68B1DB1-Normal19"/>
              <w:spacing w:after="0" w:line="240" w:lineRule="auto"/>
              <w:rPr>
                <w:rFonts w:eastAsia="Times New Roman" w:cs="Times New Roman"/>
                <w:noProof/>
                <w:color w:val="000000"/>
              </w:rPr>
            </w:pPr>
            <w:r>
              <w:rPr>
                <w:noProof/>
              </w:rPr>
              <w:t>Provedba mjera uključenih u Plan za razvoj sustava usmjeravanja, izgradnju kapaciteta za stručnjake za obrazovanje odraslih i uspostavu mreža za usmjeravanje</w:t>
            </w:r>
          </w:p>
        </w:tc>
      </w:tr>
      <w:tr w:rsidR="008273B8" w14:paraId="7A53960F"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60B" w14:textId="6C8D7117" w:rsidR="008273B8" w:rsidRDefault="008273B8">
            <w:pPr>
              <w:spacing w:after="0" w:line="240" w:lineRule="auto"/>
              <w:jc w:val="center"/>
              <w:rPr>
                <w:rFonts w:ascii="Times New Roman" w:eastAsia="Times New Roman" w:hAnsi="Times New Roman" w:cs="Times New Roman"/>
                <w:noProof/>
                <w:color w:val="000000"/>
                <w:sz w:val="18"/>
              </w:rPr>
            </w:pPr>
          </w:p>
        </w:tc>
        <w:tc>
          <w:tcPr>
            <w:tcW w:w="1158" w:type="dxa"/>
            <w:tcBorders>
              <w:top w:val="nil"/>
              <w:left w:val="nil"/>
              <w:bottom w:val="single" w:sz="4" w:space="0" w:color="auto"/>
              <w:right w:val="single" w:sz="4" w:space="0" w:color="auto"/>
            </w:tcBorders>
            <w:shd w:val="clear" w:color="auto" w:fill="C6EFCE"/>
            <w:hideMark/>
          </w:tcPr>
          <w:p w14:paraId="7A53960C" w14:textId="09386988" w:rsidR="008273B8" w:rsidRDefault="008273B8">
            <w:pPr>
              <w:spacing w:after="0" w:line="240" w:lineRule="auto"/>
              <w:jc w:val="center"/>
              <w:rPr>
                <w:rFonts w:ascii="Times New Roman" w:eastAsia="Times New Roman" w:hAnsi="Times New Roman" w:cs="Times New Roman"/>
                <w:noProof/>
                <w:color w:val="000000"/>
                <w:sz w:val="18"/>
              </w:rPr>
            </w:pPr>
          </w:p>
        </w:tc>
        <w:tc>
          <w:tcPr>
            <w:tcW w:w="1116" w:type="dxa"/>
            <w:tcBorders>
              <w:top w:val="nil"/>
              <w:left w:val="nil"/>
              <w:bottom w:val="single" w:sz="4" w:space="0" w:color="auto"/>
              <w:right w:val="single" w:sz="4" w:space="0" w:color="auto"/>
            </w:tcBorders>
            <w:shd w:val="clear" w:color="auto" w:fill="C6EFCE"/>
            <w:hideMark/>
          </w:tcPr>
          <w:p w14:paraId="7A53960D" w14:textId="543548B8" w:rsidR="008273B8" w:rsidRDefault="008273B8">
            <w:pPr>
              <w:spacing w:after="0" w:line="240" w:lineRule="auto"/>
              <w:jc w:val="center"/>
              <w:rPr>
                <w:rFonts w:ascii="Times New Roman" w:eastAsia="Times New Roman" w:hAnsi="Times New Roman" w:cs="Times New Roman"/>
                <w:noProof/>
                <w:color w:val="000000"/>
                <w:sz w:val="18"/>
              </w:rPr>
            </w:pPr>
          </w:p>
        </w:tc>
        <w:tc>
          <w:tcPr>
            <w:tcW w:w="5058" w:type="dxa"/>
            <w:tcBorders>
              <w:top w:val="nil"/>
              <w:left w:val="nil"/>
              <w:bottom w:val="single" w:sz="4" w:space="0" w:color="auto"/>
              <w:right w:val="single" w:sz="4" w:space="0" w:color="auto"/>
            </w:tcBorders>
            <w:shd w:val="clear" w:color="auto" w:fill="C6EFCE"/>
            <w:hideMark/>
          </w:tcPr>
          <w:p w14:paraId="7A53960E" w14:textId="1B338B2B" w:rsidR="008273B8" w:rsidRDefault="008273B8">
            <w:pPr>
              <w:spacing w:after="0" w:line="240" w:lineRule="auto"/>
              <w:rPr>
                <w:rFonts w:ascii="Times New Roman" w:eastAsia="Times New Roman" w:hAnsi="Times New Roman" w:cs="Times New Roman"/>
                <w:noProof/>
                <w:color w:val="000000"/>
                <w:sz w:val="18"/>
              </w:rPr>
            </w:pPr>
          </w:p>
        </w:tc>
      </w:tr>
      <w:tr w:rsidR="008273B8" w14:paraId="7A539614" w14:textId="77777777">
        <w:trPr>
          <w:cantSplit/>
          <w:trHeight w:val="293"/>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610"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6.19</w:t>
            </w:r>
          </w:p>
        </w:tc>
        <w:tc>
          <w:tcPr>
            <w:tcW w:w="1158" w:type="dxa"/>
            <w:tcBorders>
              <w:top w:val="nil"/>
              <w:left w:val="nil"/>
              <w:bottom w:val="single" w:sz="4" w:space="0" w:color="auto"/>
              <w:right w:val="single" w:sz="4" w:space="0" w:color="auto"/>
            </w:tcBorders>
            <w:shd w:val="clear" w:color="auto" w:fill="C6EFCE"/>
            <w:hideMark/>
          </w:tcPr>
          <w:p w14:paraId="7A539611"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C6.R.5 </w:t>
            </w:r>
          </w:p>
        </w:tc>
        <w:tc>
          <w:tcPr>
            <w:tcW w:w="1116" w:type="dxa"/>
            <w:tcBorders>
              <w:top w:val="nil"/>
              <w:left w:val="nil"/>
              <w:bottom w:val="single" w:sz="4" w:space="0" w:color="auto"/>
              <w:right w:val="single" w:sz="4" w:space="0" w:color="auto"/>
            </w:tcBorders>
            <w:shd w:val="clear" w:color="auto" w:fill="C6EFCE"/>
            <w:hideMark/>
          </w:tcPr>
          <w:p w14:paraId="7A539612" w14:textId="77777777" w:rsidR="008273B8" w:rsidRDefault="00B93063">
            <w:pPr>
              <w:pStyle w:val="P68B1DB1-Normal19"/>
              <w:spacing w:after="0" w:line="240" w:lineRule="auto"/>
              <w:jc w:val="center"/>
              <w:rPr>
                <w:rFonts w:eastAsia="Times New Roman" w:cs="Times New Roman"/>
                <w:noProof/>
                <w:color w:val="000000"/>
              </w:rPr>
            </w:pPr>
            <w:r>
              <w:rPr>
                <w:noProof/>
              </w:rPr>
              <w:t>Ciljna vrijednost</w:t>
            </w:r>
          </w:p>
        </w:tc>
        <w:tc>
          <w:tcPr>
            <w:tcW w:w="5058" w:type="dxa"/>
            <w:tcBorders>
              <w:top w:val="nil"/>
              <w:left w:val="nil"/>
              <w:bottom w:val="single" w:sz="4" w:space="0" w:color="auto"/>
              <w:right w:val="single" w:sz="4" w:space="0" w:color="auto"/>
            </w:tcBorders>
            <w:shd w:val="clear" w:color="auto" w:fill="C6EFCE"/>
            <w:hideMark/>
          </w:tcPr>
          <w:p w14:paraId="7A539613" w14:textId="77777777" w:rsidR="008273B8" w:rsidRDefault="00B93063">
            <w:pPr>
              <w:pStyle w:val="P68B1DB1-Normal19"/>
              <w:spacing w:after="0" w:line="240" w:lineRule="auto"/>
              <w:rPr>
                <w:rFonts w:eastAsia="Times New Roman" w:cs="Times New Roman"/>
                <w:noProof/>
                <w:color w:val="000000"/>
              </w:rPr>
            </w:pPr>
            <w:r>
              <w:rPr>
                <w:noProof/>
              </w:rPr>
              <w:t>Povećati broj zaposlenika u Uredu za oduzimanje imovinske koristi</w:t>
            </w:r>
          </w:p>
        </w:tc>
      </w:tr>
      <w:tr w:rsidR="008273B8" w14:paraId="7A539619" w14:textId="77777777">
        <w:trPr>
          <w:cantSplit/>
          <w:trHeight w:val="288"/>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615"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6.25</w:t>
            </w:r>
          </w:p>
        </w:tc>
        <w:tc>
          <w:tcPr>
            <w:tcW w:w="1158" w:type="dxa"/>
            <w:tcBorders>
              <w:top w:val="nil"/>
              <w:left w:val="nil"/>
              <w:bottom w:val="single" w:sz="4" w:space="0" w:color="auto"/>
              <w:right w:val="single" w:sz="4" w:space="0" w:color="auto"/>
            </w:tcBorders>
            <w:shd w:val="clear" w:color="auto" w:fill="C6EFCE"/>
            <w:hideMark/>
          </w:tcPr>
          <w:p w14:paraId="7A539616"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C6.R.8 </w:t>
            </w:r>
          </w:p>
        </w:tc>
        <w:tc>
          <w:tcPr>
            <w:tcW w:w="1116" w:type="dxa"/>
            <w:tcBorders>
              <w:top w:val="nil"/>
              <w:left w:val="nil"/>
              <w:bottom w:val="single" w:sz="4" w:space="0" w:color="auto"/>
              <w:right w:val="single" w:sz="4" w:space="0" w:color="auto"/>
            </w:tcBorders>
            <w:shd w:val="clear" w:color="auto" w:fill="C6EFCE"/>
            <w:hideMark/>
          </w:tcPr>
          <w:p w14:paraId="7A539617" w14:textId="77777777" w:rsidR="008273B8" w:rsidRDefault="00B93063">
            <w:pPr>
              <w:pStyle w:val="P68B1DB1-Normal19"/>
              <w:spacing w:after="0" w:line="240" w:lineRule="auto"/>
              <w:jc w:val="center"/>
              <w:rPr>
                <w:rFonts w:eastAsia="Times New Roman" w:cs="Times New Roman"/>
                <w:noProof/>
                <w:color w:val="000000"/>
              </w:rPr>
            </w:pPr>
            <w:r>
              <w:rPr>
                <w:noProof/>
              </w:rPr>
              <w:t>Ključna etapa</w:t>
            </w:r>
          </w:p>
        </w:tc>
        <w:tc>
          <w:tcPr>
            <w:tcW w:w="5058" w:type="dxa"/>
            <w:tcBorders>
              <w:top w:val="nil"/>
              <w:left w:val="nil"/>
              <w:bottom w:val="single" w:sz="4" w:space="0" w:color="auto"/>
              <w:right w:val="single" w:sz="4" w:space="0" w:color="auto"/>
            </w:tcBorders>
            <w:shd w:val="clear" w:color="auto" w:fill="C6EFCE"/>
            <w:hideMark/>
          </w:tcPr>
          <w:p w14:paraId="7A539618" w14:textId="77777777" w:rsidR="008273B8" w:rsidRDefault="00B93063">
            <w:pPr>
              <w:pStyle w:val="P68B1DB1-Normal19"/>
              <w:spacing w:after="0" w:line="240" w:lineRule="auto"/>
              <w:rPr>
                <w:rFonts w:eastAsia="Times New Roman" w:cs="Times New Roman"/>
                <w:noProof/>
                <w:color w:val="000000"/>
              </w:rPr>
            </w:pPr>
            <w:r>
              <w:rPr>
                <w:noProof/>
              </w:rPr>
              <w:t xml:space="preserve">Dovršetak provedbe akcijskog plana nacionalne strategije za sprečavanje pranja novca/borbu protiv financiranja terorizma/ciljanih financijskih sankcija (SPNFT/TFS) i akcijskog plana za razdoblje 2021. – 2023. </w:t>
            </w:r>
          </w:p>
        </w:tc>
      </w:tr>
      <w:tr w:rsidR="008273B8" w14:paraId="7A53961E" w14:textId="77777777">
        <w:trPr>
          <w:cantSplit/>
          <w:trHeight w:val="522"/>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61A"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6.27</w:t>
            </w:r>
          </w:p>
        </w:tc>
        <w:tc>
          <w:tcPr>
            <w:tcW w:w="1158" w:type="dxa"/>
            <w:tcBorders>
              <w:top w:val="nil"/>
              <w:left w:val="nil"/>
              <w:bottom w:val="single" w:sz="4" w:space="0" w:color="auto"/>
              <w:right w:val="single" w:sz="4" w:space="0" w:color="auto"/>
            </w:tcBorders>
            <w:shd w:val="clear" w:color="auto" w:fill="C6EFCE"/>
            <w:hideMark/>
          </w:tcPr>
          <w:p w14:paraId="7A53961B"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C6.R.8 </w:t>
            </w:r>
          </w:p>
        </w:tc>
        <w:tc>
          <w:tcPr>
            <w:tcW w:w="1116" w:type="dxa"/>
            <w:tcBorders>
              <w:top w:val="nil"/>
              <w:left w:val="nil"/>
              <w:bottom w:val="single" w:sz="4" w:space="0" w:color="auto"/>
              <w:right w:val="single" w:sz="4" w:space="0" w:color="auto"/>
            </w:tcBorders>
            <w:shd w:val="clear" w:color="auto" w:fill="C6EFCE"/>
            <w:hideMark/>
          </w:tcPr>
          <w:p w14:paraId="7A53961C" w14:textId="77777777" w:rsidR="008273B8" w:rsidRDefault="00B93063">
            <w:pPr>
              <w:pStyle w:val="P68B1DB1-Normal19"/>
              <w:spacing w:after="0" w:line="240" w:lineRule="auto"/>
              <w:jc w:val="center"/>
              <w:rPr>
                <w:rFonts w:eastAsia="Times New Roman" w:cs="Times New Roman"/>
                <w:noProof/>
                <w:color w:val="000000"/>
              </w:rPr>
            </w:pPr>
            <w:r>
              <w:rPr>
                <w:noProof/>
              </w:rPr>
              <w:t>Ključna etapa</w:t>
            </w:r>
          </w:p>
        </w:tc>
        <w:tc>
          <w:tcPr>
            <w:tcW w:w="5058" w:type="dxa"/>
            <w:tcBorders>
              <w:top w:val="nil"/>
              <w:left w:val="nil"/>
              <w:bottom w:val="single" w:sz="4" w:space="0" w:color="auto"/>
              <w:right w:val="single" w:sz="4" w:space="0" w:color="auto"/>
            </w:tcBorders>
            <w:shd w:val="clear" w:color="auto" w:fill="C6EFCE"/>
            <w:hideMark/>
          </w:tcPr>
          <w:p w14:paraId="7A53961D" w14:textId="77777777" w:rsidR="008273B8" w:rsidRDefault="00B93063">
            <w:pPr>
              <w:pStyle w:val="P68B1DB1-Normal19"/>
              <w:spacing w:after="0" w:line="240" w:lineRule="auto"/>
              <w:rPr>
                <w:rFonts w:eastAsia="Times New Roman" w:cs="Times New Roman"/>
                <w:noProof/>
                <w:color w:val="000000"/>
              </w:rPr>
            </w:pPr>
            <w:r>
              <w:rPr>
                <w:noProof/>
              </w:rPr>
              <w:t xml:space="preserve">Provedba svih aktivnosti potrebnih nakon evaluacije FATF-a, među ostalim putem pravnih mjera </w:t>
            </w:r>
          </w:p>
        </w:tc>
      </w:tr>
      <w:tr w:rsidR="008273B8" w14:paraId="7A539623"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61F"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6.33</w:t>
            </w:r>
          </w:p>
        </w:tc>
        <w:tc>
          <w:tcPr>
            <w:tcW w:w="1158" w:type="dxa"/>
            <w:tcBorders>
              <w:top w:val="nil"/>
              <w:left w:val="nil"/>
              <w:bottom w:val="single" w:sz="4" w:space="0" w:color="auto"/>
              <w:right w:val="single" w:sz="4" w:space="0" w:color="auto"/>
            </w:tcBorders>
            <w:shd w:val="clear" w:color="auto" w:fill="C6EFCE"/>
            <w:hideMark/>
          </w:tcPr>
          <w:p w14:paraId="7A539620"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C6.R.10 </w:t>
            </w:r>
          </w:p>
        </w:tc>
        <w:tc>
          <w:tcPr>
            <w:tcW w:w="1116" w:type="dxa"/>
            <w:tcBorders>
              <w:top w:val="nil"/>
              <w:left w:val="nil"/>
              <w:bottom w:val="single" w:sz="4" w:space="0" w:color="auto"/>
              <w:right w:val="single" w:sz="4" w:space="0" w:color="auto"/>
            </w:tcBorders>
            <w:shd w:val="clear" w:color="auto" w:fill="C6EFCE"/>
            <w:hideMark/>
          </w:tcPr>
          <w:p w14:paraId="7A539621" w14:textId="77777777" w:rsidR="008273B8" w:rsidRDefault="00B93063">
            <w:pPr>
              <w:pStyle w:val="P68B1DB1-Normal19"/>
              <w:spacing w:after="0" w:line="240" w:lineRule="auto"/>
              <w:jc w:val="center"/>
              <w:rPr>
                <w:rFonts w:eastAsia="Times New Roman" w:cs="Times New Roman"/>
                <w:noProof/>
                <w:color w:val="000000"/>
              </w:rPr>
            </w:pPr>
            <w:r>
              <w:rPr>
                <w:noProof/>
              </w:rPr>
              <w:t>Ciljna vrijednost</w:t>
            </w:r>
          </w:p>
        </w:tc>
        <w:tc>
          <w:tcPr>
            <w:tcW w:w="5058" w:type="dxa"/>
            <w:tcBorders>
              <w:top w:val="nil"/>
              <w:left w:val="nil"/>
              <w:bottom w:val="single" w:sz="4" w:space="0" w:color="auto"/>
              <w:right w:val="single" w:sz="4" w:space="0" w:color="auto"/>
            </w:tcBorders>
            <w:shd w:val="clear" w:color="auto" w:fill="C6EFCE"/>
            <w:hideMark/>
          </w:tcPr>
          <w:p w14:paraId="7A539622" w14:textId="77777777" w:rsidR="008273B8" w:rsidRDefault="00B93063">
            <w:pPr>
              <w:pStyle w:val="P68B1DB1-Normal19"/>
              <w:spacing w:after="0" w:line="240" w:lineRule="auto"/>
              <w:rPr>
                <w:rFonts w:eastAsia="Times New Roman" w:cs="Times New Roman"/>
                <w:noProof/>
                <w:color w:val="000000"/>
              </w:rPr>
            </w:pPr>
            <w:r>
              <w:rPr>
                <w:noProof/>
              </w:rPr>
              <w:t>Zapošljavanje i osposobljavanje osoblja koje provode porezna tijela kako bi se specijalizirali za primjenu pravila o transfernim cijenama.</w:t>
            </w:r>
          </w:p>
        </w:tc>
      </w:tr>
      <w:tr w:rsidR="008273B8" w14:paraId="7A539628"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624"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6.34</w:t>
            </w:r>
          </w:p>
        </w:tc>
        <w:tc>
          <w:tcPr>
            <w:tcW w:w="1158" w:type="dxa"/>
            <w:tcBorders>
              <w:top w:val="nil"/>
              <w:left w:val="nil"/>
              <w:bottom w:val="single" w:sz="4" w:space="0" w:color="auto"/>
              <w:right w:val="single" w:sz="4" w:space="0" w:color="auto"/>
            </w:tcBorders>
            <w:shd w:val="clear" w:color="auto" w:fill="C6EFCE"/>
            <w:hideMark/>
          </w:tcPr>
          <w:p w14:paraId="7A539625" w14:textId="77777777" w:rsidR="008273B8" w:rsidRDefault="00B93063">
            <w:pPr>
              <w:pStyle w:val="P68B1DB1-Normal19"/>
              <w:spacing w:after="0" w:line="240" w:lineRule="auto"/>
              <w:ind w:left="-71" w:firstLine="71"/>
              <w:jc w:val="center"/>
              <w:rPr>
                <w:rFonts w:eastAsia="Times New Roman" w:cs="Times New Roman"/>
                <w:noProof/>
                <w:color w:val="000000"/>
              </w:rPr>
            </w:pPr>
            <w:r>
              <w:rPr>
                <w:noProof/>
              </w:rPr>
              <w:t xml:space="preserve">C6.R.10 </w:t>
            </w:r>
          </w:p>
        </w:tc>
        <w:tc>
          <w:tcPr>
            <w:tcW w:w="1116" w:type="dxa"/>
            <w:tcBorders>
              <w:top w:val="nil"/>
              <w:left w:val="nil"/>
              <w:bottom w:val="single" w:sz="4" w:space="0" w:color="auto"/>
              <w:right w:val="single" w:sz="4" w:space="0" w:color="auto"/>
            </w:tcBorders>
            <w:shd w:val="clear" w:color="auto" w:fill="C6EFCE"/>
            <w:hideMark/>
          </w:tcPr>
          <w:p w14:paraId="7A539626" w14:textId="77777777" w:rsidR="008273B8" w:rsidRDefault="00B93063">
            <w:pPr>
              <w:pStyle w:val="P68B1DB1-Normal19"/>
              <w:spacing w:after="0" w:line="240" w:lineRule="auto"/>
              <w:jc w:val="center"/>
              <w:rPr>
                <w:rFonts w:eastAsia="Times New Roman" w:cs="Times New Roman"/>
                <w:noProof/>
                <w:color w:val="000000"/>
              </w:rPr>
            </w:pPr>
            <w:r>
              <w:rPr>
                <w:noProof/>
              </w:rPr>
              <w:t>Ciljna vrijednost</w:t>
            </w:r>
          </w:p>
        </w:tc>
        <w:tc>
          <w:tcPr>
            <w:tcW w:w="5058" w:type="dxa"/>
            <w:tcBorders>
              <w:top w:val="nil"/>
              <w:left w:val="nil"/>
              <w:bottom w:val="single" w:sz="4" w:space="0" w:color="auto"/>
              <w:right w:val="single" w:sz="4" w:space="0" w:color="auto"/>
            </w:tcBorders>
            <w:shd w:val="clear" w:color="auto" w:fill="C6EFCE"/>
            <w:hideMark/>
          </w:tcPr>
          <w:p w14:paraId="7A539627" w14:textId="77777777" w:rsidR="008273B8" w:rsidRDefault="00B93063">
            <w:pPr>
              <w:pStyle w:val="P68B1DB1-Normal19"/>
              <w:spacing w:after="0" w:line="240" w:lineRule="auto"/>
              <w:rPr>
                <w:rFonts w:eastAsia="Times New Roman" w:cs="Times New Roman"/>
                <w:noProof/>
                <w:color w:val="000000"/>
              </w:rPr>
            </w:pPr>
            <w:r>
              <w:rPr>
                <w:noProof/>
              </w:rPr>
              <w:t xml:space="preserve">Osposobljavanja za porezne djelatnike i predstavnike poduzeća </w:t>
            </w:r>
          </w:p>
        </w:tc>
      </w:tr>
      <w:tr w:rsidR="008273B8" w14:paraId="7A53962D" w14:textId="77777777">
        <w:trPr>
          <w:cantSplit/>
          <w:trHeight w:val="480"/>
          <w:jc w:val="center"/>
        </w:trPr>
        <w:tc>
          <w:tcPr>
            <w:tcW w:w="1027" w:type="dxa"/>
            <w:tcBorders>
              <w:top w:val="nil"/>
              <w:left w:val="single" w:sz="4" w:space="0" w:color="auto"/>
              <w:bottom w:val="single" w:sz="4" w:space="0" w:color="auto"/>
              <w:right w:val="single" w:sz="4" w:space="0" w:color="auto"/>
            </w:tcBorders>
            <w:shd w:val="clear" w:color="auto" w:fill="C6EFCE"/>
            <w:hideMark/>
          </w:tcPr>
          <w:p w14:paraId="7A539629"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6.39</w:t>
            </w:r>
          </w:p>
        </w:tc>
        <w:tc>
          <w:tcPr>
            <w:tcW w:w="1158" w:type="dxa"/>
            <w:tcBorders>
              <w:top w:val="nil"/>
              <w:left w:val="nil"/>
              <w:bottom w:val="single" w:sz="4" w:space="0" w:color="auto"/>
              <w:right w:val="single" w:sz="4" w:space="0" w:color="auto"/>
            </w:tcBorders>
            <w:shd w:val="clear" w:color="auto" w:fill="C6EFCE"/>
            <w:hideMark/>
          </w:tcPr>
          <w:p w14:paraId="7A53962A"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C6.I.1. </w:t>
            </w:r>
          </w:p>
        </w:tc>
        <w:tc>
          <w:tcPr>
            <w:tcW w:w="1116" w:type="dxa"/>
            <w:tcBorders>
              <w:top w:val="nil"/>
              <w:left w:val="nil"/>
              <w:bottom w:val="single" w:sz="4" w:space="0" w:color="auto"/>
              <w:right w:val="single" w:sz="4" w:space="0" w:color="auto"/>
            </w:tcBorders>
            <w:shd w:val="clear" w:color="auto" w:fill="C6EFCE"/>
            <w:hideMark/>
          </w:tcPr>
          <w:p w14:paraId="7A53962B" w14:textId="77777777" w:rsidR="008273B8" w:rsidRDefault="00B93063">
            <w:pPr>
              <w:pStyle w:val="P68B1DB1-Normal19"/>
              <w:spacing w:after="0" w:line="240" w:lineRule="auto"/>
              <w:jc w:val="center"/>
              <w:rPr>
                <w:rFonts w:eastAsia="Times New Roman" w:cs="Times New Roman"/>
                <w:noProof/>
                <w:color w:val="000000"/>
              </w:rPr>
            </w:pPr>
            <w:r>
              <w:rPr>
                <w:noProof/>
              </w:rPr>
              <w:t>Ciljna vrijednost</w:t>
            </w:r>
          </w:p>
        </w:tc>
        <w:tc>
          <w:tcPr>
            <w:tcW w:w="5058" w:type="dxa"/>
            <w:tcBorders>
              <w:top w:val="nil"/>
              <w:left w:val="nil"/>
              <w:bottom w:val="single" w:sz="4" w:space="0" w:color="auto"/>
              <w:right w:val="single" w:sz="4" w:space="0" w:color="auto"/>
            </w:tcBorders>
            <w:shd w:val="clear" w:color="auto" w:fill="C6EFCE"/>
            <w:hideMark/>
          </w:tcPr>
          <w:p w14:paraId="7A53962C" w14:textId="77777777" w:rsidR="008273B8" w:rsidRDefault="00B93063">
            <w:pPr>
              <w:pStyle w:val="P68B1DB1-Normal19"/>
              <w:spacing w:after="0" w:line="240" w:lineRule="auto"/>
              <w:rPr>
                <w:rFonts w:eastAsia="Times New Roman" w:cs="Times New Roman"/>
                <w:noProof/>
                <w:color w:val="000000"/>
              </w:rPr>
            </w:pPr>
            <w:r>
              <w:rPr>
                <w:noProof/>
              </w:rPr>
              <w:t xml:space="preserve">Rashodi nastali za digitalizaciju pravosudnog sustava </w:t>
            </w:r>
          </w:p>
        </w:tc>
      </w:tr>
      <w:tr w:rsidR="008273B8" w14:paraId="7A539632" w14:textId="77777777">
        <w:trPr>
          <w:cantSplit/>
          <w:trHeight w:val="480"/>
          <w:jc w:val="center"/>
        </w:trPr>
        <w:tc>
          <w:tcPr>
            <w:tcW w:w="1027" w:type="dxa"/>
            <w:tcBorders>
              <w:top w:val="single" w:sz="4" w:space="0" w:color="auto"/>
              <w:left w:val="single" w:sz="4" w:space="0" w:color="auto"/>
              <w:bottom w:val="single" w:sz="4" w:space="0" w:color="auto"/>
              <w:right w:val="single" w:sz="4" w:space="0" w:color="auto"/>
            </w:tcBorders>
            <w:shd w:val="clear" w:color="auto" w:fill="C6EFCE"/>
            <w:vAlign w:val="center"/>
          </w:tcPr>
          <w:p w14:paraId="7A53962E" w14:textId="77777777" w:rsidR="008273B8" w:rsidRDefault="008273B8">
            <w:pPr>
              <w:spacing w:after="0" w:line="240" w:lineRule="auto"/>
              <w:jc w:val="center"/>
              <w:rPr>
                <w:rFonts w:ascii="Times New Roman" w:eastAsia="Times New Roman" w:hAnsi="Times New Roman" w:cs="Times New Roman"/>
                <w:noProof/>
                <w:color w:val="000000"/>
                <w:sz w:val="18"/>
              </w:rPr>
            </w:pPr>
          </w:p>
        </w:tc>
        <w:tc>
          <w:tcPr>
            <w:tcW w:w="1158" w:type="dxa"/>
            <w:tcBorders>
              <w:top w:val="single" w:sz="4" w:space="0" w:color="auto"/>
              <w:left w:val="nil"/>
              <w:bottom w:val="single" w:sz="4" w:space="0" w:color="auto"/>
              <w:right w:val="single" w:sz="4" w:space="0" w:color="auto"/>
            </w:tcBorders>
            <w:shd w:val="clear" w:color="auto" w:fill="C6EFCE"/>
            <w:vAlign w:val="center"/>
          </w:tcPr>
          <w:p w14:paraId="7A53962F" w14:textId="77777777" w:rsidR="008273B8" w:rsidRDefault="008273B8">
            <w:pPr>
              <w:spacing w:after="0" w:line="240" w:lineRule="auto"/>
              <w:jc w:val="center"/>
              <w:rPr>
                <w:rFonts w:ascii="Times New Roman" w:eastAsia="Times New Roman" w:hAnsi="Times New Roman" w:cs="Times New Roman"/>
                <w:noProof/>
                <w:color w:val="000000"/>
                <w:sz w:val="18"/>
              </w:rPr>
            </w:pPr>
          </w:p>
        </w:tc>
        <w:tc>
          <w:tcPr>
            <w:tcW w:w="1116" w:type="dxa"/>
            <w:tcBorders>
              <w:top w:val="single" w:sz="4" w:space="0" w:color="auto"/>
              <w:left w:val="nil"/>
              <w:bottom w:val="single" w:sz="4" w:space="0" w:color="auto"/>
              <w:right w:val="single" w:sz="4" w:space="0" w:color="auto"/>
            </w:tcBorders>
            <w:shd w:val="clear" w:color="auto" w:fill="C6EFCE"/>
            <w:vAlign w:val="bottom"/>
          </w:tcPr>
          <w:p w14:paraId="7A539630" w14:textId="77777777" w:rsidR="008273B8" w:rsidRDefault="00B93063">
            <w:pPr>
              <w:pStyle w:val="P68B1DB1-Normal20"/>
              <w:spacing w:after="0" w:line="240" w:lineRule="auto"/>
              <w:jc w:val="center"/>
              <w:rPr>
                <w:rFonts w:eastAsia="Times New Roman" w:cs="Times New Roman"/>
                <w:noProof/>
              </w:rPr>
            </w:pPr>
            <w:r>
              <w:rPr>
                <w:noProof/>
              </w:rPr>
              <w:t>Iznos obroka</w:t>
            </w:r>
          </w:p>
        </w:tc>
        <w:tc>
          <w:tcPr>
            <w:tcW w:w="5058" w:type="dxa"/>
            <w:tcBorders>
              <w:top w:val="single" w:sz="4" w:space="0" w:color="auto"/>
              <w:left w:val="nil"/>
              <w:bottom w:val="single" w:sz="4" w:space="0" w:color="auto"/>
              <w:right w:val="single" w:sz="4" w:space="0" w:color="auto"/>
            </w:tcBorders>
            <w:shd w:val="clear" w:color="auto" w:fill="C6EFCE"/>
            <w:vAlign w:val="bottom"/>
          </w:tcPr>
          <w:p w14:paraId="7A539631" w14:textId="47B91144" w:rsidR="008273B8" w:rsidRDefault="00B93063">
            <w:pPr>
              <w:pStyle w:val="P68B1DB1-Normal20"/>
              <w:spacing w:after="0" w:line="240" w:lineRule="auto"/>
              <w:rPr>
                <w:rFonts w:eastAsia="Times New Roman" w:cs="Times New Roman"/>
                <w:noProof/>
              </w:rPr>
            </w:pPr>
            <w:r>
              <w:rPr>
                <w:noProof/>
              </w:rPr>
              <w:t xml:space="preserve">57165752 EURA  </w:t>
            </w:r>
          </w:p>
        </w:tc>
      </w:tr>
    </w:tbl>
    <w:p w14:paraId="7A539633" w14:textId="77777777" w:rsidR="008273B8" w:rsidRDefault="008273B8">
      <w:pPr>
        <w:spacing w:before="240" w:after="240" w:line="240" w:lineRule="auto"/>
        <w:ind w:left="360"/>
        <w:jc w:val="both"/>
        <w:rPr>
          <w:rFonts w:ascii="Times New Roman" w:hAnsi="Times New Roman" w:cs="Times New Roman"/>
          <w:noProof/>
          <w:sz w:val="24"/>
        </w:rPr>
      </w:pPr>
    </w:p>
    <w:p w14:paraId="7A539634" w14:textId="77777777" w:rsidR="008273B8" w:rsidRDefault="00B93063">
      <w:pPr>
        <w:pStyle w:val="P68B1DB1-ListParagraph17"/>
        <w:numPr>
          <w:ilvl w:val="1"/>
          <w:numId w:val="43"/>
        </w:numPr>
        <w:tabs>
          <w:tab w:val="num" w:pos="850"/>
        </w:tabs>
        <w:spacing w:before="240" w:after="240" w:line="240" w:lineRule="auto"/>
        <w:jc w:val="both"/>
        <w:rPr>
          <w:rFonts w:cs="Times New Roman"/>
          <w:noProof/>
        </w:rPr>
      </w:pPr>
      <w:r>
        <w:rPr>
          <w:noProof/>
        </w:rPr>
        <w:t xml:space="preserve">Četvrto postrojenje (nepovratna potpora): </w:t>
      </w:r>
    </w:p>
    <w:tbl>
      <w:tblPr>
        <w:tblW w:w="8294" w:type="dxa"/>
        <w:jc w:val="center"/>
        <w:tblLook w:val="04A0" w:firstRow="1" w:lastRow="0" w:firstColumn="1" w:lastColumn="0" w:noHBand="0" w:noVBand="1"/>
      </w:tblPr>
      <w:tblGrid>
        <w:gridCol w:w="7"/>
        <w:gridCol w:w="927"/>
        <w:gridCol w:w="1182"/>
        <w:gridCol w:w="1134"/>
        <w:gridCol w:w="5044"/>
      </w:tblGrid>
      <w:tr w:rsidR="008273B8" w14:paraId="7A539639" w14:textId="77777777">
        <w:trPr>
          <w:cantSplit/>
          <w:trHeight w:val="912"/>
          <w:tblHeader/>
          <w:jc w:val="center"/>
        </w:trPr>
        <w:tc>
          <w:tcPr>
            <w:tcW w:w="934" w:type="dxa"/>
            <w:gridSpan w:val="2"/>
            <w:tcBorders>
              <w:top w:val="single" w:sz="4" w:space="0" w:color="auto"/>
              <w:left w:val="single" w:sz="4" w:space="0" w:color="auto"/>
              <w:bottom w:val="single" w:sz="4" w:space="0" w:color="auto"/>
              <w:right w:val="single" w:sz="4" w:space="0" w:color="auto"/>
            </w:tcBorders>
            <w:shd w:val="clear" w:color="auto" w:fill="BDD7EE"/>
            <w:vAlign w:val="center"/>
            <w:hideMark/>
          </w:tcPr>
          <w:p w14:paraId="7A539635" w14:textId="77777777" w:rsidR="008273B8" w:rsidRDefault="00B93063">
            <w:pPr>
              <w:pStyle w:val="P68B1DB1-Normal18"/>
              <w:spacing w:after="0" w:line="240" w:lineRule="auto"/>
              <w:jc w:val="center"/>
              <w:rPr>
                <w:rFonts w:eastAsia="Times New Roman" w:cs="Times New Roman"/>
                <w:noProof/>
              </w:rPr>
            </w:pPr>
            <w:r>
              <w:rPr>
                <w:noProof/>
              </w:rPr>
              <w:t>Redni broj</w:t>
            </w:r>
          </w:p>
        </w:tc>
        <w:tc>
          <w:tcPr>
            <w:tcW w:w="1182"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636" w14:textId="77777777" w:rsidR="008273B8" w:rsidRDefault="00B93063">
            <w:pPr>
              <w:pStyle w:val="P68B1DB1-Normal18"/>
              <w:spacing w:after="0" w:line="240" w:lineRule="auto"/>
              <w:jc w:val="center"/>
              <w:rPr>
                <w:rFonts w:eastAsia="Times New Roman" w:cs="Times New Roman"/>
                <w:noProof/>
              </w:rPr>
            </w:pPr>
            <w:r>
              <w:rPr>
                <w:noProof/>
              </w:rPr>
              <w:t>Povezana mjera (reforma ili ulaganje)</w:t>
            </w:r>
          </w:p>
        </w:tc>
        <w:tc>
          <w:tcPr>
            <w:tcW w:w="113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637" w14:textId="77777777" w:rsidR="008273B8" w:rsidRDefault="00B93063">
            <w:pPr>
              <w:pStyle w:val="P68B1DB1-Normal18"/>
              <w:spacing w:after="0" w:line="240" w:lineRule="auto"/>
              <w:jc w:val="center"/>
              <w:rPr>
                <w:rFonts w:eastAsia="Times New Roman" w:cs="Times New Roman"/>
                <w:noProof/>
              </w:rPr>
            </w:pPr>
            <w:r>
              <w:rPr>
                <w:noProof/>
              </w:rPr>
              <w:t>Ključna etapa/cilj</w:t>
            </w:r>
          </w:p>
        </w:tc>
        <w:tc>
          <w:tcPr>
            <w:tcW w:w="5044"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638" w14:textId="77777777" w:rsidR="008273B8" w:rsidRDefault="00B93063">
            <w:pPr>
              <w:pStyle w:val="P68B1DB1-Normal18"/>
              <w:spacing w:after="0" w:line="240" w:lineRule="auto"/>
              <w:jc w:val="center"/>
              <w:rPr>
                <w:rFonts w:eastAsia="Times New Roman" w:cs="Times New Roman"/>
                <w:noProof/>
              </w:rPr>
            </w:pPr>
            <w:r>
              <w:rPr>
                <w:noProof/>
              </w:rPr>
              <w:t>Ime</w:t>
            </w:r>
          </w:p>
        </w:tc>
      </w:tr>
      <w:tr w:rsidR="008273B8" w14:paraId="7A53963E" w14:textId="77777777">
        <w:trPr>
          <w:cantSplit/>
          <w:trHeight w:val="480"/>
          <w:jc w:val="center"/>
        </w:trPr>
        <w:tc>
          <w:tcPr>
            <w:tcW w:w="934" w:type="dxa"/>
            <w:gridSpan w:val="2"/>
            <w:tcBorders>
              <w:top w:val="single" w:sz="4" w:space="0" w:color="auto"/>
              <w:left w:val="single" w:sz="4" w:space="0" w:color="auto"/>
              <w:bottom w:val="single" w:sz="4" w:space="0" w:color="auto"/>
              <w:right w:val="single" w:sz="4" w:space="0" w:color="auto"/>
            </w:tcBorders>
            <w:shd w:val="clear" w:color="auto" w:fill="C6EFCE"/>
            <w:hideMark/>
          </w:tcPr>
          <w:p w14:paraId="7A53963A"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1.6</w:t>
            </w:r>
          </w:p>
        </w:tc>
        <w:tc>
          <w:tcPr>
            <w:tcW w:w="1182" w:type="dxa"/>
            <w:tcBorders>
              <w:top w:val="single" w:sz="4" w:space="0" w:color="auto"/>
              <w:left w:val="nil"/>
              <w:bottom w:val="single" w:sz="4" w:space="0" w:color="auto"/>
              <w:right w:val="single" w:sz="4" w:space="0" w:color="auto"/>
            </w:tcBorders>
            <w:shd w:val="clear" w:color="auto" w:fill="C6EFCE"/>
            <w:hideMark/>
          </w:tcPr>
          <w:p w14:paraId="7A53963B"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C1.R.2 </w:t>
            </w:r>
          </w:p>
        </w:tc>
        <w:tc>
          <w:tcPr>
            <w:tcW w:w="1134" w:type="dxa"/>
            <w:tcBorders>
              <w:top w:val="single" w:sz="4" w:space="0" w:color="auto"/>
              <w:left w:val="nil"/>
              <w:bottom w:val="single" w:sz="4" w:space="0" w:color="auto"/>
              <w:right w:val="single" w:sz="4" w:space="0" w:color="auto"/>
            </w:tcBorders>
            <w:shd w:val="clear" w:color="auto" w:fill="C6EFCE"/>
            <w:hideMark/>
          </w:tcPr>
          <w:p w14:paraId="7A53963C" w14:textId="77777777" w:rsidR="008273B8" w:rsidRDefault="00B93063">
            <w:pPr>
              <w:pStyle w:val="P68B1DB1-Normal19"/>
              <w:spacing w:after="0" w:line="240" w:lineRule="auto"/>
              <w:jc w:val="center"/>
              <w:rPr>
                <w:rFonts w:eastAsia="Times New Roman" w:cs="Times New Roman"/>
                <w:noProof/>
                <w:color w:val="000000"/>
              </w:rPr>
            </w:pPr>
            <w:r>
              <w:rPr>
                <w:noProof/>
              </w:rPr>
              <w:t>Ključna etapa</w:t>
            </w:r>
          </w:p>
        </w:tc>
        <w:tc>
          <w:tcPr>
            <w:tcW w:w="5044" w:type="dxa"/>
            <w:tcBorders>
              <w:top w:val="single" w:sz="4" w:space="0" w:color="auto"/>
              <w:left w:val="nil"/>
              <w:bottom w:val="single" w:sz="4" w:space="0" w:color="auto"/>
              <w:right w:val="single" w:sz="4" w:space="0" w:color="auto"/>
            </w:tcBorders>
            <w:shd w:val="clear" w:color="auto" w:fill="C6EFCE"/>
            <w:hideMark/>
          </w:tcPr>
          <w:p w14:paraId="7A53963D" w14:textId="77777777" w:rsidR="008273B8" w:rsidRDefault="00B93063">
            <w:pPr>
              <w:pStyle w:val="P68B1DB1-Normal19"/>
              <w:spacing w:after="0" w:line="240" w:lineRule="auto"/>
              <w:rPr>
                <w:rFonts w:eastAsia="Times New Roman" w:cs="Times New Roman"/>
                <w:noProof/>
                <w:color w:val="000000"/>
              </w:rPr>
            </w:pPr>
            <w:r>
              <w:rPr>
                <w:noProof/>
              </w:rPr>
              <w:t>Studija izvedivosti proširenja obveza proširene odgovornosti proizvođača na dodatne tokove otpada</w:t>
            </w:r>
          </w:p>
        </w:tc>
      </w:tr>
      <w:tr w:rsidR="008273B8" w14:paraId="473EAEF8" w14:textId="77777777">
        <w:trPr>
          <w:gridBefore w:val="1"/>
          <w:wBefore w:w="7" w:type="dxa"/>
          <w:cantSplit/>
          <w:trHeight w:val="480"/>
          <w:jc w:val="center"/>
        </w:trPr>
        <w:tc>
          <w:tcPr>
            <w:tcW w:w="927" w:type="dxa"/>
            <w:tcBorders>
              <w:top w:val="nil"/>
              <w:left w:val="single" w:sz="4" w:space="0" w:color="auto"/>
              <w:bottom w:val="single" w:sz="4" w:space="0" w:color="auto"/>
              <w:right w:val="single" w:sz="4" w:space="0" w:color="auto"/>
            </w:tcBorders>
            <w:shd w:val="clear" w:color="auto" w:fill="C6EFCE"/>
            <w:hideMark/>
          </w:tcPr>
          <w:p w14:paraId="7A53963F" w14:textId="77777777" w:rsidR="008273B8" w:rsidRDefault="00B93063">
            <w:pPr>
              <w:pStyle w:val="P68B1DB1-Normal19"/>
              <w:spacing w:line="240" w:lineRule="auto"/>
              <w:jc w:val="center"/>
              <w:rPr>
                <w:rFonts w:eastAsia="Times New Roman" w:cs="Times New Roman"/>
                <w:noProof/>
                <w:color w:val="000000" w:themeColor="text1"/>
              </w:rPr>
            </w:pPr>
            <w:r>
              <w:rPr>
                <w:noProof/>
              </w:rPr>
              <w:t>1.20</w:t>
            </w:r>
          </w:p>
        </w:tc>
        <w:tc>
          <w:tcPr>
            <w:tcW w:w="1182" w:type="dxa"/>
            <w:tcBorders>
              <w:top w:val="nil"/>
              <w:left w:val="nil"/>
              <w:bottom w:val="single" w:sz="4" w:space="0" w:color="auto"/>
              <w:right w:val="single" w:sz="4" w:space="0" w:color="auto"/>
            </w:tcBorders>
            <w:shd w:val="clear" w:color="auto" w:fill="C6EFCE"/>
            <w:hideMark/>
          </w:tcPr>
          <w:p w14:paraId="7A539640" w14:textId="77777777" w:rsidR="008273B8" w:rsidRDefault="00B93063">
            <w:pPr>
              <w:pStyle w:val="P68B1DB1-Normal19"/>
              <w:spacing w:after="0" w:line="240" w:lineRule="auto"/>
              <w:jc w:val="center"/>
              <w:rPr>
                <w:rFonts w:eastAsia="Times New Roman" w:cs="Times New Roman"/>
                <w:noProof/>
                <w:color w:val="000000" w:themeColor="text1"/>
              </w:rPr>
            </w:pPr>
            <w:r>
              <w:rPr>
                <w:noProof/>
              </w:rPr>
              <w:t>C1.I.2.</w:t>
            </w:r>
          </w:p>
          <w:p w14:paraId="7A539641" w14:textId="77777777" w:rsidR="008273B8" w:rsidRDefault="008273B8">
            <w:pPr>
              <w:spacing w:line="240" w:lineRule="auto"/>
              <w:jc w:val="center"/>
              <w:rPr>
                <w:rFonts w:ascii="Times New Roman" w:hAnsi="Times New Roman" w:cs="Times New Roman"/>
                <w:noProof/>
                <w:sz w:val="18"/>
              </w:rPr>
            </w:pPr>
          </w:p>
        </w:tc>
        <w:tc>
          <w:tcPr>
            <w:tcW w:w="1134" w:type="dxa"/>
            <w:tcBorders>
              <w:top w:val="nil"/>
              <w:left w:val="nil"/>
              <w:bottom w:val="single" w:sz="4" w:space="0" w:color="auto"/>
              <w:right w:val="single" w:sz="4" w:space="0" w:color="auto"/>
            </w:tcBorders>
            <w:shd w:val="clear" w:color="auto" w:fill="C6EFCE"/>
            <w:hideMark/>
          </w:tcPr>
          <w:p w14:paraId="7A539642" w14:textId="77777777" w:rsidR="008273B8" w:rsidRDefault="00B93063">
            <w:pPr>
              <w:pStyle w:val="P68B1DB1-Normal19"/>
              <w:spacing w:after="0" w:line="240" w:lineRule="auto"/>
              <w:jc w:val="center"/>
              <w:rPr>
                <w:rFonts w:eastAsia="Times New Roman" w:cs="Times New Roman"/>
                <w:noProof/>
                <w:color w:val="000000" w:themeColor="text1"/>
              </w:rPr>
            </w:pPr>
            <w:r>
              <w:rPr>
                <w:noProof/>
              </w:rPr>
              <w:t>Ključna etapa</w:t>
            </w:r>
          </w:p>
          <w:p w14:paraId="7A539643" w14:textId="77777777" w:rsidR="008273B8" w:rsidRDefault="008273B8">
            <w:pPr>
              <w:spacing w:line="240" w:lineRule="auto"/>
              <w:jc w:val="center"/>
              <w:rPr>
                <w:rFonts w:ascii="Times New Roman" w:hAnsi="Times New Roman" w:cs="Times New Roman"/>
                <w:noProof/>
                <w:sz w:val="18"/>
              </w:rPr>
            </w:pPr>
          </w:p>
        </w:tc>
        <w:tc>
          <w:tcPr>
            <w:tcW w:w="5044" w:type="dxa"/>
            <w:tcBorders>
              <w:top w:val="nil"/>
              <w:left w:val="nil"/>
              <w:bottom w:val="single" w:sz="4" w:space="0" w:color="auto"/>
              <w:right w:val="single" w:sz="4" w:space="0" w:color="auto"/>
            </w:tcBorders>
            <w:shd w:val="clear" w:color="auto" w:fill="C6EFCE"/>
            <w:hideMark/>
          </w:tcPr>
          <w:p w14:paraId="7A539644" w14:textId="03B5FDF8" w:rsidR="008273B8" w:rsidRDefault="00B93063">
            <w:pPr>
              <w:pStyle w:val="P68B1DB1-Normal19"/>
              <w:spacing w:after="0" w:line="240" w:lineRule="auto"/>
              <w:rPr>
                <w:rFonts w:eastAsia="Times New Roman" w:cs="Times New Roman"/>
                <w:noProof/>
                <w:color w:val="000000" w:themeColor="text1"/>
              </w:rPr>
            </w:pPr>
            <w:r>
              <w:rPr>
                <w:noProof/>
              </w:rPr>
              <w:t>Ugovorene usluge za obnovu i naknadno opremanje javne bolnice Mount Carmel</w:t>
            </w:r>
          </w:p>
        </w:tc>
      </w:tr>
      <w:tr w:rsidR="008273B8" w14:paraId="7A53964A" w14:textId="77777777">
        <w:trPr>
          <w:cantSplit/>
          <w:trHeight w:val="480"/>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46"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1.27</w:t>
            </w:r>
          </w:p>
        </w:tc>
        <w:tc>
          <w:tcPr>
            <w:tcW w:w="1182" w:type="dxa"/>
            <w:tcBorders>
              <w:top w:val="nil"/>
              <w:left w:val="nil"/>
              <w:bottom w:val="single" w:sz="4" w:space="0" w:color="auto"/>
              <w:right w:val="single" w:sz="4" w:space="0" w:color="auto"/>
            </w:tcBorders>
            <w:shd w:val="clear" w:color="auto" w:fill="C6EFCE"/>
            <w:hideMark/>
          </w:tcPr>
          <w:p w14:paraId="7A539647"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C1.I.5 </w:t>
            </w:r>
          </w:p>
        </w:tc>
        <w:tc>
          <w:tcPr>
            <w:tcW w:w="1134" w:type="dxa"/>
            <w:tcBorders>
              <w:top w:val="nil"/>
              <w:left w:val="nil"/>
              <w:bottom w:val="single" w:sz="4" w:space="0" w:color="auto"/>
              <w:right w:val="single" w:sz="4" w:space="0" w:color="auto"/>
            </w:tcBorders>
            <w:shd w:val="clear" w:color="auto" w:fill="C6EFCE"/>
            <w:hideMark/>
          </w:tcPr>
          <w:p w14:paraId="7A539648"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Ciljna vrijednost </w:t>
            </w:r>
          </w:p>
        </w:tc>
        <w:tc>
          <w:tcPr>
            <w:tcW w:w="5044" w:type="dxa"/>
            <w:tcBorders>
              <w:top w:val="nil"/>
              <w:left w:val="nil"/>
              <w:bottom w:val="single" w:sz="4" w:space="0" w:color="auto"/>
              <w:right w:val="single" w:sz="4" w:space="0" w:color="auto"/>
            </w:tcBorders>
            <w:shd w:val="clear" w:color="auto" w:fill="C6EFCE"/>
            <w:hideMark/>
          </w:tcPr>
          <w:p w14:paraId="7A539649" w14:textId="77777777" w:rsidR="008273B8" w:rsidRDefault="00B93063">
            <w:pPr>
              <w:pStyle w:val="P68B1DB1-Normal19"/>
              <w:spacing w:after="0" w:line="240" w:lineRule="auto"/>
              <w:rPr>
                <w:rFonts w:eastAsia="Times New Roman" w:cs="Times New Roman"/>
                <w:noProof/>
                <w:color w:val="000000"/>
              </w:rPr>
            </w:pPr>
            <w:r>
              <w:rPr>
                <w:noProof/>
              </w:rPr>
              <w:t xml:space="preserve">Postavljanje fotonaponske infrastrukture u javnim otvorenim prostorima </w:t>
            </w:r>
          </w:p>
        </w:tc>
      </w:tr>
      <w:tr w:rsidR="008273B8" w14:paraId="514609EE" w14:textId="77777777">
        <w:trPr>
          <w:gridBefore w:val="1"/>
          <w:wBefore w:w="7" w:type="dxa"/>
          <w:cantSplit/>
          <w:trHeight w:val="480"/>
          <w:jc w:val="center"/>
        </w:trPr>
        <w:tc>
          <w:tcPr>
            <w:tcW w:w="927" w:type="dxa"/>
            <w:tcBorders>
              <w:top w:val="nil"/>
              <w:left w:val="single" w:sz="4" w:space="0" w:color="auto"/>
              <w:bottom w:val="single" w:sz="4" w:space="0" w:color="auto"/>
              <w:right w:val="single" w:sz="4" w:space="0" w:color="auto"/>
            </w:tcBorders>
            <w:shd w:val="clear" w:color="auto" w:fill="C6EFCE"/>
          </w:tcPr>
          <w:p w14:paraId="7A53964B" w14:textId="77DCC9CA" w:rsidR="008273B8" w:rsidRDefault="00B93063">
            <w:pPr>
              <w:pStyle w:val="P68B1DB1-Normal19"/>
              <w:spacing w:after="0" w:line="240" w:lineRule="auto"/>
              <w:jc w:val="center"/>
              <w:rPr>
                <w:rFonts w:cs="Times New Roman"/>
                <w:noProof/>
              </w:rPr>
            </w:pPr>
            <w:r>
              <w:rPr>
                <w:noProof/>
              </w:rPr>
              <w:t>2.16.a</w:t>
            </w:r>
          </w:p>
        </w:tc>
        <w:tc>
          <w:tcPr>
            <w:tcW w:w="1182" w:type="dxa"/>
            <w:tcBorders>
              <w:top w:val="nil"/>
              <w:left w:val="nil"/>
              <w:bottom w:val="single" w:sz="4" w:space="0" w:color="auto"/>
              <w:right w:val="single" w:sz="4" w:space="0" w:color="auto"/>
            </w:tcBorders>
            <w:shd w:val="clear" w:color="auto" w:fill="C6EFCE"/>
          </w:tcPr>
          <w:p w14:paraId="7A53964C" w14:textId="77777777" w:rsidR="008273B8" w:rsidRDefault="00B93063">
            <w:pPr>
              <w:pStyle w:val="P68B1DB1-Normal19"/>
              <w:spacing w:after="0" w:line="240" w:lineRule="auto"/>
              <w:jc w:val="center"/>
              <w:rPr>
                <w:rFonts w:cs="Times New Roman"/>
                <w:noProof/>
              </w:rPr>
            </w:pPr>
            <w:r>
              <w:rPr>
                <w:noProof/>
              </w:rPr>
              <w:t>C2.I.2.</w:t>
            </w:r>
          </w:p>
        </w:tc>
        <w:tc>
          <w:tcPr>
            <w:tcW w:w="1134" w:type="dxa"/>
            <w:tcBorders>
              <w:top w:val="nil"/>
              <w:left w:val="nil"/>
              <w:bottom w:val="single" w:sz="4" w:space="0" w:color="auto"/>
              <w:right w:val="single" w:sz="4" w:space="0" w:color="auto"/>
            </w:tcBorders>
            <w:shd w:val="clear" w:color="auto" w:fill="C6EFCE"/>
          </w:tcPr>
          <w:p w14:paraId="7A53964D" w14:textId="77777777" w:rsidR="008273B8" w:rsidRDefault="00B93063">
            <w:pPr>
              <w:pStyle w:val="P68B1DB1-Normal19"/>
              <w:spacing w:after="0" w:line="240" w:lineRule="auto"/>
              <w:jc w:val="center"/>
              <w:rPr>
                <w:rFonts w:cs="Times New Roman"/>
                <w:noProof/>
              </w:rPr>
            </w:pPr>
            <w:r>
              <w:rPr>
                <w:noProof/>
              </w:rPr>
              <w:t>Ciljna vrijednost</w:t>
            </w:r>
          </w:p>
        </w:tc>
        <w:tc>
          <w:tcPr>
            <w:tcW w:w="5044" w:type="dxa"/>
            <w:tcBorders>
              <w:top w:val="nil"/>
              <w:left w:val="nil"/>
              <w:bottom w:val="single" w:sz="4" w:space="0" w:color="auto"/>
              <w:right w:val="single" w:sz="4" w:space="0" w:color="auto"/>
            </w:tcBorders>
            <w:shd w:val="clear" w:color="auto" w:fill="C6EFCE"/>
          </w:tcPr>
          <w:p w14:paraId="7A53964E" w14:textId="77777777" w:rsidR="008273B8" w:rsidRDefault="00B93063">
            <w:pPr>
              <w:pStyle w:val="P68B1DB1-Normal19"/>
              <w:spacing w:after="0" w:line="240" w:lineRule="auto"/>
              <w:rPr>
                <w:rFonts w:cs="Times New Roman"/>
                <w:noProof/>
              </w:rPr>
            </w:pPr>
            <w:r>
              <w:rPr>
                <w:noProof/>
              </w:rPr>
              <w:t xml:space="preserve">Broj bespovratnih sredstava dodijeljenih za električna vozila u okviru programa za privatni sektor </w:t>
            </w:r>
          </w:p>
        </w:tc>
      </w:tr>
      <w:tr w:rsidR="008273B8" w14:paraId="7A539659" w14:textId="77777777">
        <w:trPr>
          <w:cantSplit/>
          <w:trHeight w:val="720"/>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55"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3.4</w:t>
            </w:r>
          </w:p>
        </w:tc>
        <w:tc>
          <w:tcPr>
            <w:tcW w:w="1182" w:type="dxa"/>
            <w:tcBorders>
              <w:top w:val="nil"/>
              <w:left w:val="nil"/>
              <w:bottom w:val="single" w:sz="4" w:space="0" w:color="auto"/>
              <w:right w:val="single" w:sz="4" w:space="0" w:color="auto"/>
            </w:tcBorders>
            <w:shd w:val="clear" w:color="auto" w:fill="C6EFCE"/>
            <w:hideMark/>
          </w:tcPr>
          <w:p w14:paraId="7A539656"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C3.R.2 </w:t>
            </w:r>
          </w:p>
        </w:tc>
        <w:tc>
          <w:tcPr>
            <w:tcW w:w="1134" w:type="dxa"/>
            <w:tcBorders>
              <w:top w:val="nil"/>
              <w:left w:val="nil"/>
              <w:bottom w:val="single" w:sz="4" w:space="0" w:color="auto"/>
              <w:right w:val="single" w:sz="4" w:space="0" w:color="auto"/>
            </w:tcBorders>
            <w:shd w:val="clear" w:color="auto" w:fill="C6EFCE"/>
            <w:hideMark/>
          </w:tcPr>
          <w:p w14:paraId="7A539657" w14:textId="77777777" w:rsidR="008273B8" w:rsidRDefault="00B93063">
            <w:pPr>
              <w:pStyle w:val="P68B1DB1-Normal19"/>
              <w:spacing w:after="0" w:line="240" w:lineRule="auto"/>
              <w:jc w:val="center"/>
              <w:rPr>
                <w:rFonts w:eastAsia="Times New Roman" w:cs="Times New Roman"/>
                <w:noProof/>
                <w:color w:val="000000"/>
              </w:rPr>
            </w:pPr>
            <w:r>
              <w:rPr>
                <w:noProof/>
              </w:rPr>
              <w:t>Ciljna vrijednost</w:t>
            </w:r>
          </w:p>
        </w:tc>
        <w:tc>
          <w:tcPr>
            <w:tcW w:w="5044" w:type="dxa"/>
            <w:tcBorders>
              <w:top w:val="nil"/>
              <w:left w:val="nil"/>
              <w:bottom w:val="single" w:sz="4" w:space="0" w:color="auto"/>
              <w:right w:val="single" w:sz="4" w:space="0" w:color="auto"/>
            </w:tcBorders>
            <w:shd w:val="clear" w:color="auto" w:fill="C6EFCE"/>
            <w:hideMark/>
          </w:tcPr>
          <w:p w14:paraId="7A539658" w14:textId="77777777" w:rsidR="008273B8" w:rsidRDefault="00B93063">
            <w:pPr>
              <w:pStyle w:val="P68B1DB1-Normal19"/>
              <w:spacing w:after="0" w:line="240" w:lineRule="auto"/>
              <w:rPr>
                <w:rFonts w:eastAsia="Times New Roman" w:cs="Times New Roman"/>
                <w:noProof/>
                <w:color w:val="000000"/>
              </w:rPr>
            </w:pPr>
            <w:r>
              <w:rPr>
                <w:noProof/>
              </w:rPr>
              <w:t xml:space="preserve">Upravljanje međuagencijskim računima između malteškog poduzeća i Malteškog vijeća za znanost i tehnologiju </w:t>
            </w:r>
          </w:p>
        </w:tc>
      </w:tr>
      <w:tr w:rsidR="008273B8" w14:paraId="7A53965E" w14:textId="77777777">
        <w:trPr>
          <w:cantSplit/>
          <w:trHeight w:val="480"/>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5A"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3.7</w:t>
            </w:r>
          </w:p>
        </w:tc>
        <w:tc>
          <w:tcPr>
            <w:tcW w:w="1182" w:type="dxa"/>
            <w:tcBorders>
              <w:top w:val="nil"/>
              <w:left w:val="nil"/>
              <w:bottom w:val="single" w:sz="4" w:space="0" w:color="auto"/>
              <w:right w:val="single" w:sz="4" w:space="0" w:color="auto"/>
            </w:tcBorders>
            <w:shd w:val="clear" w:color="auto" w:fill="C6EFCE"/>
            <w:hideMark/>
          </w:tcPr>
          <w:p w14:paraId="7A53965B"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C3.I.2. </w:t>
            </w:r>
          </w:p>
        </w:tc>
        <w:tc>
          <w:tcPr>
            <w:tcW w:w="1134" w:type="dxa"/>
            <w:tcBorders>
              <w:top w:val="nil"/>
              <w:left w:val="nil"/>
              <w:bottom w:val="single" w:sz="4" w:space="0" w:color="auto"/>
              <w:right w:val="single" w:sz="4" w:space="0" w:color="auto"/>
            </w:tcBorders>
            <w:shd w:val="clear" w:color="auto" w:fill="C6EFCE"/>
            <w:hideMark/>
          </w:tcPr>
          <w:p w14:paraId="7A53965C" w14:textId="77777777" w:rsidR="008273B8" w:rsidRDefault="00B93063">
            <w:pPr>
              <w:pStyle w:val="P68B1DB1-Normal19"/>
              <w:spacing w:after="0" w:line="240" w:lineRule="auto"/>
              <w:jc w:val="center"/>
              <w:rPr>
                <w:rFonts w:eastAsia="Times New Roman" w:cs="Times New Roman"/>
                <w:noProof/>
                <w:color w:val="000000"/>
              </w:rPr>
            </w:pPr>
            <w:r>
              <w:rPr>
                <w:noProof/>
              </w:rPr>
              <w:t>Ciljna vrijednost</w:t>
            </w:r>
          </w:p>
        </w:tc>
        <w:tc>
          <w:tcPr>
            <w:tcW w:w="5044" w:type="dxa"/>
            <w:tcBorders>
              <w:top w:val="nil"/>
              <w:left w:val="nil"/>
              <w:bottom w:val="single" w:sz="4" w:space="0" w:color="auto"/>
              <w:right w:val="single" w:sz="4" w:space="0" w:color="auto"/>
            </w:tcBorders>
            <w:shd w:val="clear" w:color="auto" w:fill="C6EFCE"/>
            <w:hideMark/>
          </w:tcPr>
          <w:p w14:paraId="7A53965D" w14:textId="77777777" w:rsidR="008273B8" w:rsidRDefault="00B93063">
            <w:pPr>
              <w:pStyle w:val="P68B1DB1-Normal19"/>
              <w:spacing w:after="0" w:line="240" w:lineRule="auto"/>
              <w:rPr>
                <w:rFonts w:eastAsia="Times New Roman" w:cs="Times New Roman"/>
                <w:i/>
                <w:noProof/>
                <w:color w:val="000000"/>
              </w:rPr>
            </w:pPr>
            <w:r>
              <w:rPr>
                <w:noProof/>
              </w:rPr>
              <w:t xml:space="preserve">Digitalizacija brodskih datoteka </w:t>
            </w:r>
          </w:p>
        </w:tc>
      </w:tr>
      <w:tr w:rsidR="008273B8" w14:paraId="7A539663" w14:textId="77777777">
        <w:trPr>
          <w:cantSplit/>
          <w:trHeight w:val="480"/>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5F"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3.12</w:t>
            </w:r>
          </w:p>
        </w:tc>
        <w:tc>
          <w:tcPr>
            <w:tcW w:w="1182" w:type="dxa"/>
            <w:tcBorders>
              <w:top w:val="nil"/>
              <w:left w:val="nil"/>
              <w:bottom w:val="single" w:sz="4" w:space="0" w:color="auto"/>
              <w:right w:val="single" w:sz="4" w:space="0" w:color="auto"/>
            </w:tcBorders>
            <w:shd w:val="clear" w:color="auto" w:fill="C6EFCE"/>
            <w:hideMark/>
          </w:tcPr>
          <w:p w14:paraId="7A539660"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C3.I.3. </w:t>
            </w:r>
          </w:p>
        </w:tc>
        <w:tc>
          <w:tcPr>
            <w:tcW w:w="1134" w:type="dxa"/>
            <w:tcBorders>
              <w:top w:val="nil"/>
              <w:left w:val="nil"/>
              <w:bottom w:val="single" w:sz="4" w:space="0" w:color="auto"/>
              <w:right w:val="single" w:sz="4" w:space="0" w:color="auto"/>
            </w:tcBorders>
            <w:shd w:val="clear" w:color="auto" w:fill="C6EFCE"/>
            <w:hideMark/>
          </w:tcPr>
          <w:p w14:paraId="7A539661" w14:textId="77777777" w:rsidR="008273B8" w:rsidRDefault="00B93063">
            <w:pPr>
              <w:pStyle w:val="P68B1DB1-Normal19"/>
              <w:spacing w:after="0" w:line="240" w:lineRule="auto"/>
              <w:jc w:val="center"/>
              <w:rPr>
                <w:rFonts w:eastAsia="Times New Roman" w:cs="Times New Roman"/>
                <w:noProof/>
                <w:color w:val="000000"/>
              </w:rPr>
            </w:pPr>
            <w:r>
              <w:rPr>
                <w:noProof/>
              </w:rPr>
              <w:t>Ciljna vrijednost</w:t>
            </w:r>
          </w:p>
        </w:tc>
        <w:tc>
          <w:tcPr>
            <w:tcW w:w="5044" w:type="dxa"/>
            <w:tcBorders>
              <w:top w:val="nil"/>
              <w:left w:val="nil"/>
              <w:bottom w:val="single" w:sz="4" w:space="0" w:color="auto"/>
              <w:right w:val="single" w:sz="4" w:space="0" w:color="auto"/>
            </w:tcBorders>
            <w:shd w:val="clear" w:color="auto" w:fill="C6EFCE"/>
            <w:hideMark/>
          </w:tcPr>
          <w:p w14:paraId="7A539662" w14:textId="77777777" w:rsidR="008273B8" w:rsidRDefault="00B93063">
            <w:pPr>
              <w:pStyle w:val="P68B1DB1-Normal19"/>
              <w:spacing w:after="0" w:line="240" w:lineRule="auto"/>
              <w:rPr>
                <w:rFonts w:eastAsia="Times New Roman" w:cs="Times New Roman"/>
                <w:noProof/>
                <w:color w:val="000000"/>
              </w:rPr>
            </w:pPr>
            <w:r>
              <w:rPr>
                <w:noProof/>
              </w:rPr>
              <w:t>Nabava dodatnih dijelova IT hardvera i softvera</w:t>
            </w:r>
          </w:p>
        </w:tc>
      </w:tr>
      <w:tr w:rsidR="008273B8" w14:paraId="7A539668" w14:textId="77777777">
        <w:trPr>
          <w:cantSplit/>
          <w:trHeight w:val="480"/>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64"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4.8</w:t>
            </w:r>
          </w:p>
        </w:tc>
        <w:tc>
          <w:tcPr>
            <w:tcW w:w="1182" w:type="dxa"/>
            <w:tcBorders>
              <w:top w:val="nil"/>
              <w:left w:val="nil"/>
              <w:bottom w:val="single" w:sz="4" w:space="0" w:color="auto"/>
              <w:right w:val="single" w:sz="4" w:space="0" w:color="auto"/>
            </w:tcBorders>
            <w:shd w:val="clear" w:color="auto" w:fill="C6EFCE"/>
            <w:hideMark/>
          </w:tcPr>
          <w:p w14:paraId="7A539665"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C4.R.2 </w:t>
            </w:r>
          </w:p>
        </w:tc>
        <w:tc>
          <w:tcPr>
            <w:tcW w:w="1134" w:type="dxa"/>
            <w:tcBorders>
              <w:top w:val="nil"/>
              <w:left w:val="nil"/>
              <w:bottom w:val="single" w:sz="4" w:space="0" w:color="auto"/>
              <w:right w:val="single" w:sz="4" w:space="0" w:color="auto"/>
            </w:tcBorders>
            <w:shd w:val="clear" w:color="auto" w:fill="C6EFCE"/>
            <w:hideMark/>
          </w:tcPr>
          <w:p w14:paraId="7A539666" w14:textId="77777777" w:rsidR="008273B8" w:rsidRDefault="00B93063">
            <w:pPr>
              <w:pStyle w:val="P68B1DB1-Normal19"/>
              <w:spacing w:after="0" w:line="240" w:lineRule="auto"/>
              <w:jc w:val="center"/>
              <w:rPr>
                <w:rFonts w:eastAsia="Times New Roman" w:cs="Times New Roman"/>
                <w:noProof/>
                <w:color w:val="000000"/>
              </w:rPr>
            </w:pPr>
            <w:r>
              <w:rPr>
                <w:noProof/>
              </w:rPr>
              <w:t>Ključna etapa</w:t>
            </w:r>
          </w:p>
        </w:tc>
        <w:tc>
          <w:tcPr>
            <w:tcW w:w="5044" w:type="dxa"/>
            <w:tcBorders>
              <w:top w:val="nil"/>
              <w:left w:val="nil"/>
              <w:bottom w:val="single" w:sz="4" w:space="0" w:color="auto"/>
              <w:right w:val="single" w:sz="4" w:space="0" w:color="auto"/>
            </w:tcBorders>
            <w:shd w:val="clear" w:color="auto" w:fill="C6EFCE"/>
            <w:hideMark/>
          </w:tcPr>
          <w:p w14:paraId="7A539667" w14:textId="77777777" w:rsidR="008273B8" w:rsidRDefault="00B93063">
            <w:pPr>
              <w:pStyle w:val="P68B1DB1-Normal19"/>
              <w:spacing w:after="0" w:line="240" w:lineRule="auto"/>
              <w:rPr>
                <w:rFonts w:eastAsia="Times New Roman" w:cs="Times New Roman"/>
                <w:noProof/>
                <w:color w:val="000000"/>
              </w:rPr>
            </w:pPr>
            <w:r>
              <w:rPr>
                <w:noProof/>
              </w:rPr>
              <w:t>Stupanje na snagu revidiranog regulatornog okvira koji se odnosi na Banku za krv, tkivo i stanice</w:t>
            </w:r>
          </w:p>
        </w:tc>
      </w:tr>
      <w:tr w:rsidR="008273B8" w14:paraId="7A53966D" w14:textId="77777777">
        <w:trPr>
          <w:cantSplit/>
          <w:trHeight w:val="480"/>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69"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4.14</w:t>
            </w:r>
          </w:p>
        </w:tc>
        <w:tc>
          <w:tcPr>
            <w:tcW w:w="1182" w:type="dxa"/>
            <w:tcBorders>
              <w:top w:val="nil"/>
              <w:left w:val="nil"/>
              <w:bottom w:val="single" w:sz="4" w:space="0" w:color="auto"/>
              <w:right w:val="single" w:sz="4" w:space="0" w:color="auto"/>
            </w:tcBorders>
            <w:shd w:val="clear" w:color="auto" w:fill="C6EFCE"/>
            <w:hideMark/>
          </w:tcPr>
          <w:p w14:paraId="7A53966A"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C4.I.2. </w:t>
            </w:r>
          </w:p>
        </w:tc>
        <w:tc>
          <w:tcPr>
            <w:tcW w:w="1134" w:type="dxa"/>
            <w:tcBorders>
              <w:top w:val="nil"/>
              <w:left w:val="nil"/>
              <w:bottom w:val="single" w:sz="4" w:space="0" w:color="auto"/>
              <w:right w:val="single" w:sz="4" w:space="0" w:color="auto"/>
            </w:tcBorders>
            <w:shd w:val="clear" w:color="auto" w:fill="C6EFCE"/>
            <w:hideMark/>
          </w:tcPr>
          <w:p w14:paraId="7A53966B" w14:textId="77777777" w:rsidR="008273B8" w:rsidRDefault="00B93063">
            <w:pPr>
              <w:pStyle w:val="P68B1DB1-Normal19"/>
              <w:spacing w:after="0" w:line="240" w:lineRule="auto"/>
              <w:jc w:val="center"/>
              <w:rPr>
                <w:rFonts w:eastAsia="Times New Roman" w:cs="Times New Roman"/>
                <w:noProof/>
                <w:color w:val="000000"/>
              </w:rPr>
            </w:pPr>
            <w:r>
              <w:rPr>
                <w:noProof/>
              </w:rPr>
              <w:t>Ključna etapa</w:t>
            </w:r>
          </w:p>
        </w:tc>
        <w:tc>
          <w:tcPr>
            <w:tcW w:w="5044" w:type="dxa"/>
            <w:tcBorders>
              <w:top w:val="nil"/>
              <w:left w:val="nil"/>
              <w:bottom w:val="single" w:sz="4" w:space="0" w:color="auto"/>
              <w:right w:val="single" w:sz="4" w:space="0" w:color="auto"/>
            </w:tcBorders>
            <w:shd w:val="clear" w:color="auto" w:fill="C6EFCE"/>
            <w:hideMark/>
          </w:tcPr>
          <w:p w14:paraId="7A53966C" w14:textId="77777777" w:rsidR="008273B8" w:rsidRDefault="00B93063">
            <w:pPr>
              <w:pStyle w:val="P68B1DB1-Normal19"/>
              <w:spacing w:after="0" w:line="240" w:lineRule="auto"/>
              <w:rPr>
                <w:rFonts w:eastAsia="Times New Roman" w:cs="Times New Roman"/>
                <w:noProof/>
                <w:color w:val="000000"/>
              </w:rPr>
            </w:pPr>
            <w:r>
              <w:rPr>
                <w:noProof/>
              </w:rPr>
              <w:t>Usluge digitalne patologije koje se pružaju u histopatološkom odjelu u bolnici Mater Dei</w:t>
            </w:r>
          </w:p>
        </w:tc>
      </w:tr>
      <w:tr w:rsidR="008273B8" w14:paraId="7A539672" w14:textId="77777777">
        <w:trPr>
          <w:cantSplit/>
          <w:trHeight w:val="480"/>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6E"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5.1</w:t>
            </w:r>
          </w:p>
        </w:tc>
        <w:tc>
          <w:tcPr>
            <w:tcW w:w="1182" w:type="dxa"/>
            <w:tcBorders>
              <w:top w:val="nil"/>
              <w:left w:val="nil"/>
              <w:bottom w:val="single" w:sz="4" w:space="0" w:color="auto"/>
              <w:right w:val="single" w:sz="4" w:space="0" w:color="auto"/>
            </w:tcBorders>
            <w:shd w:val="clear" w:color="auto" w:fill="C6EFCE"/>
            <w:hideMark/>
          </w:tcPr>
          <w:p w14:paraId="7A53966F"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C5.R.1 </w:t>
            </w:r>
          </w:p>
        </w:tc>
        <w:tc>
          <w:tcPr>
            <w:tcW w:w="1134" w:type="dxa"/>
            <w:tcBorders>
              <w:top w:val="nil"/>
              <w:left w:val="nil"/>
              <w:bottom w:val="single" w:sz="4" w:space="0" w:color="auto"/>
              <w:right w:val="single" w:sz="4" w:space="0" w:color="auto"/>
            </w:tcBorders>
            <w:shd w:val="clear" w:color="auto" w:fill="C6EFCE"/>
            <w:hideMark/>
          </w:tcPr>
          <w:p w14:paraId="7A539670" w14:textId="77777777" w:rsidR="008273B8" w:rsidRDefault="00B93063">
            <w:pPr>
              <w:pStyle w:val="P68B1DB1-Normal19"/>
              <w:spacing w:after="0" w:line="240" w:lineRule="auto"/>
              <w:jc w:val="center"/>
              <w:rPr>
                <w:rFonts w:eastAsia="Times New Roman" w:cs="Times New Roman"/>
                <w:noProof/>
                <w:color w:val="000000"/>
              </w:rPr>
            </w:pPr>
            <w:r>
              <w:rPr>
                <w:noProof/>
              </w:rPr>
              <w:t>Ciljna vrijednost</w:t>
            </w:r>
          </w:p>
        </w:tc>
        <w:tc>
          <w:tcPr>
            <w:tcW w:w="5044" w:type="dxa"/>
            <w:tcBorders>
              <w:top w:val="nil"/>
              <w:left w:val="nil"/>
              <w:bottom w:val="single" w:sz="4" w:space="0" w:color="auto"/>
              <w:right w:val="single" w:sz="4" w:space="0" w:color="auto"/>
            </w:tcBorders>
            <w:shd w:val="clear" w:color="auto" w:fill="C6EFCE"/>
            <w:hideMark/>
          </w:tcPr>
          <w:p w14:paraId="7A539671" w14:textId="77777777" w:rsidR="008273B8" w:rsidRDefault="00B93063">
            <w:pPr>
              <w:pStyle w:val="P68B1DB1-Normal19"/>
              <w:spacing w:after="0" w:line="240" w:lineRule="auto"/>
              <w:rPr>
                <w:rFonts w:eastAsia="Times New Roman" w:cs="Times New Roman"/>
                <w:noProof/>
                <w:color w:val="000000"/>
              </w:rPr>
            </w:pPr>
            <w:r>
              <w:rPr>
                <w:noProof/>
              </w:rPr>
              <w:t>Broj studenata (u dobi od 6 do 7 godina) koji su osposobljeni u okviru programa Reading Recovery (RR)</w:t>
            </w:r>
          </w:p>
        </w:tc>
      </w:tr>
      <w:tr w:rsidR="008273B8" w14:paraId="7A539677" w14:textId="77777777">
        <w:trPr>
          <w:cantSplit/>
          <w:trHeight w:val="288"/>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73"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5.3</w:t>
            </w:r>
          </w:p>
        </w:tc>
        <w:tc>
          <w:tcPr>
            <w:tcW w:w="1182" w:type="dxa"/>
            <w:tcBorders>
              <w:top w:val="nil"/>
              <w:left w:val="nil"/>
              <w:bottom w:val="single" w:sz="4" w:space="0" w:color="auto"/>
              <w:right w:val="single" w:sz="4" w:space="0" w:color="auto"/>
            </w:tcBorders>
            <w:shd w:val="clear" w:color="auto" w:fill="C6EFCE"/>
            <w:hideMark/>
          </w:tcPr>
          <w:p w14:paraId="7A539674"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C5.R.1 </w:t>
            </w:r>
          </w:p>
        </w:tc>
        <w:tc>
          <w:tcPr>
            <w:tcW w:w="1134" w:type="dxa"/>
            <w:tcBorders>
              <w:top w:val="nil"/>
              <w:left w:val="nil"/>
              <w:bottom w:val="single" w:sz="4" w:space="0" w:color="auto"/>
              <w:right w:val="single" w:sz="4" w:space="0" w:color="auto"/>
            </w:tcBorders>
            <w:shd w:val="clear" w:color="auto" w:fill="C6EFCE"/>
            <w:hideMark/>
          </w:tcPr>
          <w:p w14:paraId="7A539675" w14:textId="77777777" w:rsidR="008273B8" w:rsidRDefault="00B93063">
            <w:pPr>
              <w:pStyle w:val="P68B1DB1-Normal19"/>
              <w:spacing w:after="0" w:line="240" w:lineRule="auto"/>
              <w:jc w:val="center"/>
              <w:rPr>
                <w:rFonts w:eastAsia="Times New Roman" w:cs="Times New Roman"/>
                <w:noProof/>
                <w:color w:val="000000"/>
              </w:rPr>
            </w:pPr>
            <w:r>
              <w:rPr>
                <w:noProof/>
              </w:rPr>
              <w:t>Ključna etapa</w:t>
            </w:r>
          </w:p>
        </w:tc>
        <w:tc>
          <w:tcPr>
            <w:tcW w:w="5044" w:type="dxa"/>
            <w:tcBorders>
              <w:top w:val="nil"/>
              <w:left w:val="nil"/>
              <w:bottom w:val="single" w:sz="4" w:space="0" w:color="auto"/>
              <w:right w:val="single" w:sz="4" w:space="0" w:color="auto"/>
            </w:tcBorders>
            <w:shd w:val="clear" w:color="auto" w:fill="C6EFCE"/>
            <w:hideMark/>
          </w:tcPr>
          <w:p w14:paraId="7A539676" w14:textId="77777777" w:rsidR="008273B8" w:rsidRDefault="00B93063">
            <w:pPr>
              <w:pStyle w:val="P68B1DB1-Normal19"/>
              <w:spacing w:after="0" w:line="240" w:lineRule="auto"/>
              <w:rPr>
                <w:rFonts w:eastAsia="Times New Roman" w:cs="Times New Roman"/>
                <w:noProof/>
                <w:color w:val="000000"/>
              </w:rPr>
            </w:pPr>
            <w:r>
              <w:rPr>
                <w:noProof/>
              </w:rPr>
              <w:t>Provedba mjera uključenih u strategiju za osnovne vještine</w:t>
            </w:r>
          </w:p>
        </w:tc>
      </w:tr>
      <w:tr w:rsidR="008273B8" w14:paraId="7A53967C" w14:textId="77777777">
        <w:trPr>
          <w:cantSplit/>
          <w:trHeight w:val="288"/>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78" w14:textId="77777777" w:rsidR="008273B8" w:rsidRDefault="00B93063">
            <w:pPr>
              <w:pStyle w:val="P68B1DB1-Normal19"/>
              <w:spacing w:after="0" w:line="240" w:lineRule="auto"/>
              <w:jc w:val="center"/>
              <w:rPr>
                <w:rFonts w:eastAsia="Times New Roman" w:cs="Times New Roman"/>
                <w:noProof/>
              </w:rPr>
            </w:pPr>
            <w:r>
              <w:rPr>
                <w:noProof/>
              </w:rPr>
              <w:t xml:space="preserve"> 5.4</w:t>
            </w:r>
          </w:p>
        </w:tc>
        <w:tc>
          <w:tcPr>
            <w:tcW w:w="1182" w:type="dxa"/>
            <w:tcBorders>
              <w:top w:val="nil"/>
              <w:left w:val="nil"/>
              <w:bottom w:val="single" w:sz="4" w:space="0" w:color="auto"/>
              <w:right w:val="single" w:sz="4" w:space="0" w:color="auto"/>
            </w:tcBorders>
            <w:shd w:val="clear" w:color="auto" w:fill="C6EFCE"/>
            <w:hideMark/>
          </w:tcPr>
          <w:p w14:paraId="7A539679" w14:textId="77777777" w:rsidR="008273B8" w:rsidRDefault="00B93063">
            <w:pPr>
              <w:pStyle w:val="P68B1DB1-Normal19"/>
              <w:spacing w:after="0" w:line="240" w:lineRule="auto"/>
              <w:jc w:val="center"/>
              <w:rPr>
                <w:rFonts w:eastAsia="Times New Roman" w:cs="Times New Roman"/>
                <w:noProof/>
              </w:rPr>
            </w:pPr>
            <w:r>
              <w:rPr>
                <w:noProof/>
              </w:rPr>
              <w:t xml:space="preserve">C5.R.1 </w:t>
            </w:r>
          </w:p>
        </w:tc>
        <w:tc>
          <w:tcPr>
            <w:tcW w:w="1134" w:type="dxa"/>
            <w:tcBorders>
              <w:top w:val="nil"/>
              <w:left w:val="nil"/>
              <w:bottom w:val="single" w:sz="4" w:space="0" w:color="auto"/>
              <w:right w:val="single" w:sz="4" w:space="0" w:color="auto"/>
            </w:tcBorders>
            <w:shd w:val="clear" w:color="auto" w:fill="C6EFCE"/>
            <w:hideMark/>
          </w:tcPr>
          <w:p w14:paraId="7A53967A"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44" w:type="dxa"/>
            <w:tcBorders>
              <w:top w:val="nil"/>
              <w:left w:val="nil"/>
              <w:bottom w:val="single" w:sz="4" w:space="0" w:color="auto"/>
              <w:right w:val="single" w:sz="4" w:space="0" w:color="auto"/>
            </w:tcBorders>
            <w:shd w:val="clear" w:color="auto" w:fill="C6EFCE"/>
            <w:hideMark/>
          </w:tcPr>
          <w:p w14:paraId="7A53967B" w14:textId="77777777" w:rsidR="008273B8" w:rsidRDefault="00B93063">
            <w:pPr>
              <w:pStyle w:val="P68B1DB1-Normal19"/>
              <w:spacing w:after="0" w:line="240" w:lineRule="auto"/>
              <w:rPr>
                <w:rFonts w:eastAsia="Times New Roman" w:cs="Times New Roman"/>
                <w:noProof/>
              </w:rPr>
            </w:pPr>
            <w:r>
              <w:rPr>
                <w:noProof/>
              </w:rPr>
              <w:t>Opći sustav praćenja projekta skladišta podataka/osobe koje rano napuštaju školovanje (ESL)</w:t>
            </w:r>
          </w:p>
        </w:tc>
      </w:tr>
      <w:tr w:rsidR="008273B8" w14:paraId="7A539681" w14:textId="77777777">
        <w:trPr>
          <w:cantSplit/>
          <w:trHeight w:val="480"/>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7D" w14:textId="77777777" w:rsidR="008273B8" w:rsidRDefault="00B93063">
            <w:pPr>
              <w:pStyle w:val="P68B1DB1-Normal19"/>
              <w:spacing w:after="0" w:line="240" w:lineRule="auto"/>
              <w:jc w:val="center"/>
              <w:rPr>
                <w:rFonts w:eastAsia="Times New Roman" w:cs="Times New Roman"/>
                <w:noProof/>
              </w:rPr>
            </w:pPr>
            <w:r>
              <w:rPr>
                <w:noProof/>
              </w:rPr>
              <w:t xml:space="preserve"> 5.7</w:t>
            </w:r>
          </w:p>
        </w:tc>
        <w:tc>
          <w:tcPr>
            <w:tcW w:w="1182" w:type="dxa"/>
            <w:tcBorders>
              <w:top w:val="nil"/>
              <w:left w:val="nil"/>
              <w:bottom w:val="single" w:sz="4" w:space="0" w:color="auto"/>
              <w:right w:val="single" w:sz="4" w:space="0" w:color="auto"/>
            </w:tcBorders>
            <w:shd w:val="clear" w:color="auto" w:fill="C6EFCE"/>
            <w:hideMark/>
          </w:tcPr>
          <w:p w14:paraId="7A53967E" w14:textId="77777777" w:rsidR="008273B8" w:rsidRDefault="00B93063">
            <w:pPr>
              <w:pStyle w:val="P68B1DB1-Normal19"/>
              <w:spacing w:after="0" w:line="240" w:lineRule="auto"/>
              <w:jc w:val="center"/>
              <w:rPr>
                <w:rFonts w:eastAsia="Times New Roman" w:cs="Times New Roman"/>
                <w:noProof/>
              </w:rPr>
            </w:pPr>
            <w:r>
              <w:rPr>
                <w:noProof/>
              </w:rPr>
              <w:t xml:space="preserve">C5.R.2 </w:t>
            </w:r>
          </w:p>
        </w:tc>
        <w:tc>
          <w:tcPr>
            <w:tcW w:w="1134" w:type="dxa"/>
            <w:tcBorders>
              <w:top w:val="nil"/>
              <w:left w:val="nil"/>
              <w:bottom w:val="single" w:sz="4" w:space="0" w:color="auto"/>
              <w:right w:val="single" w:sz="4" w:space="0" w:color="auto"/>
            </w:tcBorders>
            <w:shd w:val="clear" w:color="auto" w:fill="C6EFCE"/>
            <w:hideMark/>
          </w:tcPr>
          <w:p w14:paraId="7A53967F"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5044" w:type="dxa"/>
            <w:tcBorders>
              <w:top w:val="nil"/>
              <w:left w:val="nil"/>
              <w:bottom w:val="single" w:sz="4" w:space="0" w:color="auto"/>
              <w:right w:val="single" w:sz="4" w:space="0" w:color="auto"/>
            </w:tcBorders>
            <w:shd w:val="clear" w:color="auto" w:fill="C6EFCE"/>
            <w:hideMark/>
          </w:tcPr>
          <w:p w14:paraId="7A539680" w14:textId="77777777" w:rsidR="008273B8" w:rsidRDefault="00B93063">
            <w:pPr>
              <w:pStyle w:val="P68B1DB1-Normal19"/>
              <w:spacing w:after="0" w:line="240" w:lineRule="auto"/>
              <w:rPr>
                <w:rFonts w:eastAsia="Times New Roman" w:cs="Times New Roman"/>
                <w:noProof/>
              </w:rPr>
            </w:pPr>
            <w:r>
              <w:rPr>
                <w:noProof/>
              </w:rPr>
              <w:t>Učenici su privukli upotrebu nove platforme e-kolegija</w:t>
            </w:r>
          </w:p>
        </w:tc>
      </w:tr>
      <w:tr w:rsidR="008273B8" w14:paraId="7A539686" w14:textId="77777777">
        <w:trPr>
          <w:cantSplit/>
          <w:trHeight w:val="480"/>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82" w14:textId="77777777" w:rsidR="008273B8" w:rsidRDefault="00B93063">
            <w:pPr>
              <w:pStyle w:val="P68B1DB1-Normal19"/>
              <w:spacing w:after="0" w:line="240" w:lineRule="auto"/>
              <w:jc w:val="center"/>
              <w:rPr>
                <w:rFonts w:eastAsia="Times New Roman" w:cs="Times New Roman"/>
                <w:noProof/>
              </w:rPr>
            </w:pPr>
            <w:r>
              <w:rPr>
                <w:noProof/>
              </w:rPr>
              <w:t xml:space="preserve"> 5.13</w:t>
            </w:r>
          </w:p>
        </w:tc>
        <w:tc>
          <w:tcPr>
            <w:tcW w:w="1182" w:type="dxa"/>
            <w:tcBorders>
              <w:top w:val="nil"/>
              <w:left w:val="nil"/>
              <w:bottom w:val="single" w:sz="4" w:space="0" w:color="auto"/>
              <w:right w:val="single" w:sz="4" w:space="0" w:color="auto"/>
            </w:tcBorders>
            <w:shd w:val="clear" w:color="auto" w:fill="C6EFCE"/>
            <w:hideMark/>
          </w:tcPr>
          <w:p w14:paraId="7A539683" w14:textId="77777777" w:rsidR="008273B8" w:rsidRDefault="00B93063">
            <w:pPr>
              <w:pStyle w:val="P68B1DB1-Normal19"/>
              <w:spacing w:after="0" w:line="240" w:lineRule="auto"/>
              <w:jc w:val="center"/>
              <w:rPr>
                <w:rFonts w:eastAsia="Times New Roman" w:cs="Times New Roman"/>
                <w:noProof/>
              </w:rPr>
            </w:pPr>
            <w:r>
              <w:rPr>
                <w:noProof/>
              </w:rPr>
              <w:t xml:space="preserve">C5.R.5 </w:t>
            </w:r>
          </w:p>
        </w:tc>
        <w:tc>
          <w:tcPr>
            <w:tcW w:w="1134" w:type="dxa"/>
            <w:tcBorders>
              <w:top w:val="nil"/>
              <w:left w:val="nil"/>
              <w:bottom w:val="single" w:sz="4" w:space="0" w:color="auto"/>
              <w:right w:val="single" w:sz="4" w:space="0" w:color="auto"/>
            </w:tcBorders>
            <w:shd w:val="clear" w:color="auto" w:fill="C6EFCE"/>
            <w:hideMark/>
          </w:tcPr>
          <w:p w14:paraId="7A539684"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44" w:type="dxa"/>
            <w:tcBorders>
              <w:top w:val="nil"/>
              <w:left w:val="nil"/>
              <w:bottom w:val="single" w:sz="4" w:space="0" w:color="auto"/>
              <w:right w:val="single" w:sz="4" w:space="0" w:color="auto"/>
            </w:tcBorders>
            <w:shd w:val="clear" w:color="auto" w:fill="C6EFCE"/>
            <w:hideMark/>
          </w:tcPr>
          <w:p w14:paraId="7A539685" w14:textId="77777777" w:rsidR="008273B8" w:rsidRDefault="00B93063">
            <w:pPr>
              <w:pStyle w:val="P68B1DB1-Normal19"/>
              <w:spacing w:after="0" w:line="240" w:lineRule="auto"/>
              <w:rPr>
                <w:rFonts w:eastAsia="Times New Roman" w:cs="Times New Roman"/>
                <w:noProof/>
              </w:rPr>
            </w:pPr>
            <w:r>
              <w:rPr>
                <w:noProof/>
              </w:rPr>
              <w:t>Postupak praćenja izazova i mjera politike povezanih s naknadama za nezaposlenost</w:t>
            </w:r>
          </w:p>
        </w:tc>
      </w:tr>
      <w:tr w:rsidR="008273B8" w14:paraId="7A53968B" w14:textId="77777777">
        <w:trPr>
          <w:cantSplit/>
          <w:trHeight w:val="288"/>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87" w14:textId="77777777" w:rsidR="008273B8" w:rsidRDefault="00B93063">
            <w:pPr>
              <w:pStyle w:val="P68B1DB1-Normal19"/>
              <w:spacing w:after="0" w:line="240" w:lineRule="auto"/>
              <w:jc w:val="center"/>
              <w:rPr>
                <w:rFonts w:eastAsia="Times New Roman" w:cs="Times New Roman"/>
                <w:noProof/>
              </w:rPr>
            </w:pPr>
            <w:r>
              <w:rPr>
                <w:noProof/>
              </w:rPr>
              <w:t xml:space="preserve"> 6.3</w:t>
            </w:r>
          </w:p>
        </w:tc>
        <w:tc>
          <w:tcPr>
            <w:tcW w:w="1182" w:type="dxa"/>
            <w:tcBorders>
              <w:top w:val="nil"/>
              <w:left w:val="nil"/>
              <w:bottom w:val="single" w:sz="4" w:space="0" w:color="auto"/>
              <w:right w:val="single" w:sz="4" w:space="0" w:color="auto"/>
            </w:tcBorders>
            <w:shd w:val="clear" w:color="auto" w:fill="C6EFCE"/>
            <w:hideMark/>
          </w:tcPr>
          <w:p w14:paraId="7A539688" w14:textId="77777777" w:rsidR="008273B8" w:rsidRDefault="00B93063">
            <w:pPr>
              <w:pStyle w:val="P68B1DB1-Normal19"/>
              <w:spacing w:after="0" w:line="240" w:lineRule="auto"/>
              <w:jc w:val="center"/>
              <w:rPr>
                <w:rFonts w:eastAsia="Times New Roman" w:cs="Times New Roman"/>
                <w:noProof/>
              </w:rPr>
            </w:pPr>
            <w:r>
              <w:rPr>
                <w:noProof/>
              </w:rPr>
              <w:t xml:space="preserve">C6.R.1 </w:t>
            </w:r>
          </w:p>
        </w:tc>
        <w:tc>
          <w:tcPr>
            <w:tcW w:w="1134" w:type="dxa"/>
            <w:tcBorders>
              <w:top w:val="nil"/>
              <w:left w:val="nil"/>
              <w:bottom w:val="single" w:sz="4" w:space="0" w:color="auto"/>
              <w:right w:val="single" w:sz="4" w:space="0" w:color="auto"/>
            </w:tcBorders>
            <w:shd w:val="clear" w:color="auto" w:fill="C6EFCE"/>
            <w:hideMark/>
          </w:tcPr>
          <w:p w14:paraId="7A539689"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44" w:type="dxa"/>
            <w:tcBorders>
              <w:top w:val="nil"/>
              <w:left w:val="nil"/>
              <w:bottom w:val="single" w:sz="4" w:space="0" w:color="auto"/>
              <w:right w:val="single" w:sz="4" w:space="0" w:color="auto"/>
            </w:tcBorders>
            <w:shd w:val="clear" w:color="auto" w:fill="C6EFCE"/>
            <w:hideMark/>
          </w:tcPr>
          <w:p w14:paraId="7A53968A" w14:textId="77777777" w:rsidR="008273B8" w:rsidRDefault="00B93063">
            <w:pPr>
              <w:pStyle w:val="P68B1DB1-Normal19"/>
              <w:spacing w:after="0" w:line="240" w:lineRule="auto"/>
              <w:rPr>
                <w:rFonts w:eastAsia="Times New Roman" w:cs="Times New Roman"/>
                <w:noProof/>
              </w:rPr>
            </w:pPr>
            <w:r>
              <w:rPr>
                <w:noProof/>
              </w:rPr>
              <w:t>Neovisno preispitivanje neovisnosti specijaliziranih sudova</w:t>
            </w:r>
          </w:p>
        </w:tc>
      </w:tr>
      <w:tr w:rsidR="008273B8" w14:paraId="7A539690" w14:textId="77777777">
        <w:trPr>
          <w:cantSplit/>
          <w:trHeight w:val="480"/>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8C" w14:textId="77777777" w:rsidR="008273B8" w:rsidRDefault="00B93063">
            <w:pPr>
              <w:pStyle w:val="P68B1DB1-Normal19"/>
              <w:spacing w:after="0" w:line="240" w:lineRule="auto"/>
              <w:jc w:val="center"/>
              <w:rPr>
                <w:rFonts w:eastAsia="Times New Roman" w:cs="Times New Roman"/>
                <w:noProof/>
              </w:rPr>
            </w:pPr>
            <w:r>
              <w:rPr>
                <w:noProof/>
              </w:rPr>
              <w:t xml:space="preserve"> 6.5</w:t>
            </w:r>
          </w:p>
        </w:tc>
        <w:tc>
          <w:tcPr>
            <w:tcW w:w="1182" w:type="dxa"/>
            <w:tcBorders>
              <w:top w:val="nil"/>
              <w:left w:val="nil"/>
              <w:bottom w:val="single" w:sz="4" w:space="0" w:color="auto"/>
              <w:right w:val="single" w:sz="4" w:space="0" w:color="auto"/>
            </w:tcBorders>
            <w:shd w:val="clear" w:color="auto" w:fill="C6EFCE"/>
            <w:hideMark/>
          </w:tcPr>
          <w:p w14:paraId="7A53968D" w14:textId="77777777" w:rsidR="008273B8" w:rsidRDefault="00B93063">
            <w:pPr>
              <w:pStyle w:val="P68B1DB1-Normal19"/>
              <w:spacing w:after="0" w:line="240" w:lineRule="auto"/>
              <w:jc w:val="center"/>
              <w:rPr>
                <w:rFonts w:eastAsia="Times New Roman" w:cs="Times New Roman"/>
                <w:noProof/>
              </w:rPr>
            </w:pPr>
            <w:r>
              <w:rPr>
                <w:noProof/>
              </w:rPr>
              <w:t xml:space="preserve">C6.R.2 </w:t>
            </w:r>
          </w:p>
        </w:tc>
        <w:tc>
          <w:tcPr>
            <w:tcW w:w="1134" w:type="dxa"/>
            <w:tcBorders>
              <w:top w:val="nil"/>
              <w:left w:val="nil"/>
              <w:bottom w:val="single" w:sz="4" w:space="0" w:color="auto"/>
              <w:right w:val="single" w:sz="4" w:space="0" w:color="auto"/>
            </w:tcBorders>
            <w:shd w:val="clear" w:color="auto" w:fill="C6EFCE"/>
            <w:hideMark/>
          </w:tcPr>
          <w:p w14:paraId="7A53968E"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44" w:type="dxa"/>
            <w:tcBorders>
              <w:top w:val="nil"/>
              <w:left w:val="nil"/>
              <w:bottom w:val="single" w:sz="4" w:space="0" w:color="auto"/>
              <w:right w:val="single" w:sz="4" w:space="0" w:color="auto"/>
            </w:tcBorders>
            <w:shd w:val="clear" w:color="auto" w:fill="C6EFCE"/>
            <w:hideMark/>
          </w:tcPr>
          <w:p w14:paraId="7A53968F" w14:textId="77777777" w:rsidR="008273B8" w:rsidRDefault="00B93063">
            <w:pPr>
              <w:pStyle w:val="P68B1DB1-Normal19"/>
              <w:spacing w:after="0" w:line="240" w:lineRule="auto"/>
              <w:rPr>
                <w:rFonts w:eastAsia="Times New Roman" w:cs="Times New Roman"/>
                <w:noProof/>
              </w:rPr>
            </w:pPr>
            <w:r>
              <w:rPr>
                <w:noProof/>
              </w:rPr>
              <w:t>Neovisno preispitivanje prijenosa skraćenih predmeta s policije na Ured glavnog državnog odvjetnika (AG)</w:t>
            </w:r>
          </w:p>
        </w:tc>
      </w:tr>
      <w:tr w:rsidR="008273B8" w14:paraId="7A539695" w14:textId="77777777">
        <w:trPr>
          <w:cantSplit/>
          <w:trHeight w:val="480"/>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91" w14:textId="77777777" w:rsidR="008273B8" w:rsidRDefault="00B93063">
            <w:pPr>
              <w:pStyle w:val="P68B1DB1-Normal19"/>
              <w:spacing w:after="0" w:line="240" w:lineRule="auto"/>
              <w:jc w:val="center"/>
              <w:rPr>
                <w:rFonts w:eastAsia="Times New Roman" w:cs="Times New Roman"/>
                <w:noProof/>
              </w:rPr>
            </w:pPr>
            <w:r>
              <w:rPr>
                <w:noProof/>
              </w:rPr>
              <w:t xml:space="preserve"> 6.8</w:t>
            </w:r>
          </w:p>
        </w:tc>
        <w:tc>
          <w:tcPr>
            <w:tcW w:w="1182" w:type="dxa"/>
            <w:tcBorders>
              <w:top w:val="nil"/>
              <w:left w:val="nil"/>
              <w:bottom w:val="single" w:sz="4" w:space="0" w:color="auto"/>
              <w:right w:val="single" w:sz="4" w:space="0" w:color="auto"/>
            </w:tcBorders>
            <w:shd w:val="clear" w:color="auto" w:fill="C6EFCE"/>
            <w:hideMark/>
          </w:tcPr>
          <w:p w14:paraId="7A539692" w14:textId="77777777" w:rsidR="008273B8" w:rsidRDefault="00B93063">
            <w:pPr>
              <w:pStyle w:val="P68B1DB1-Normal19"/>
              <w:spacing w:after="0" w:line="240" w:lineRule="auto"/>
              <w:jc w:val="center"/>
              <w:rPr>
                <w:rFonts w:eastAsia="Times New Roman" w:cs="Times New Roman"/>
                <w:noProof/>
              </w:rPr>
            </w:pPr>
            <w:r>
              <w:rPr>
                <w:noProof/>
              </w:rPr>
              <w:t xml:space="preserve">C6.R.2 </w:t>
            </w:r>
          </w:p>
        </w:tc>
        <w:tc>
          <w:tcPr>
            <w:tcW w:w="1134" w:type="dxa"/>
            <w:tcBorders>
              <w:top w:val="nil"/>
              <w:left w:val="nil"/>
              <w:bottom w:val="single" w:sz="4" w:space="0" w:color="auto"/>
              <w:right w:val="single" w:sz="4" w:space="0" w:color="auto"/>
            </w:tcBorders>
            <w:shd w:val="clear" w:color="auto" w:fill="C6EFCE"/>
            <w:hideMark/>
          </w:tcPr>
          <w:p w14:paraId="7A539693"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44" w:type="dxa"/>
            <w:tcBorders>
              <w:top w:val="nil"/>
              <w:left w:val="nil"/>
              <w:bottom w:val="single" w:sz="4" w:space="0" w:color="auto"/>
              <w:right w:val="single" w:sz="4" w:space="0" w:color="auto"/>
            </w:tcBorders>
            <w:shd w:val="clear" w:color="auto" w:fill="C6EFCE"/>
            <w:hideMark/>
          </w:tcPr>
          <w:p w14:paraId="7A539694" w14:textId="77777777" w:rsidR="008273B8" w:rsidRDefault="00B93063">
            <w:pPr>
              <w:pStyle w:val="P68B1DB1-Normal19"/>
              <w:spacing w:after="0" w:line="240" w:lineRule="auto"/>
              <w:rPr>
                <w:rFonts w:eastAsia="Times New Roman" w:cs="Times New Roman"/>
                <w:noProof/>
              </w:rPr>
            </w:pPr>
            <w:r>
              <w:rPr>
                <w:noProof/>
              </w:rPr>
              <w:t>Prijenos svih predmeta koji nisu sažeti u Ured AG-a.</w:t>
            </w:r>
          </w:p>
        </w:tc>
      </w:tr>
      <w:tr w:rsidR="008273B8" w14:paraId="7A53969A" w14:textId="77777777">
        <w:trPr>
          <w:cantSplit/>
          <w:trHeight w:val="480"/>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96" w14:textId="77777777" w:rsidR="008273B8" w:rsidRDefault="00B93063">
            <w:pPr>
              <w:pStyle w:val="P68B1DB1-Normal19"/>
              <w:spacing w:after="0" w:line="240" w:lineRule="auto"/>
              <w:jc w:val="center"/>
              <w:rPr>
                <w:rFonts w:eastAsia="Times New Roman" w:cs="Times New Roman"/>
                <w:noProof/>
              </w:rPr>
            </w:pPr>
            <w:r>
              <w:rPr>
                <w:noProof/>
              </w:rPr>
              <w:t xml:space="preserve"> 6.12</w:t>
            </w:r>
          </w:p>
        </w:tc>
        <w:tc>
          <w:tcPr>
            <w:tcW w:w="1182" w:type="dxa"/>
            <w:tcBorders>
              <w:top w:val="nil"/>
              <w:left w:val="nil"/>
              <w:bottom w:val="single" w:sz="4" w:space="0" w:color="auto"/>
              <w:right w:val="single" w:sz="4" w:space="0" w:color="auto"/>
            </w:tcBorders>
            <w:shd w:val="clear" w:color="auto" w:fill="C6EFCE"/>
            <w:hideMark/>
          </w:tcPr>
          <w:p w14:paraId="7A539697" w14:textId="77777777" w:rsidR="008273B8" w:rsidRDefault="00B93063">
            <w:pPr>
              <w:pStyle w:val="P68B1DB1-Normal19"/>
              <w:spacing w:after="0" w:line="240" w:lineRule="auto"/>
              <w:jc w:val="center"/>
              <w:rPr>
                <w:rFonts w:eastAsia="Times New Roman" w:cs="Times New Roman"/>
                <w:noProof/>
              </w:rPr>
            </w:pPr>
            <w:r>
              <w:rPr>
                <w:noProof/>
              </w:rPr>
              <w:t xml:space="preserve">C6.R.3 </w:t>
            </w:r>
          </w:p>
        </w:tc>
        <w:tc>
          <w:tcPr>
            <w:tcW w:w="1134" w:type="dxa"/>
            <w:tcBorders>
              <w:top w:val="nil"/>
              <w:left w:val="nil"/>
              <w:bottom w:val="single" w:sz="4" w:space="0" w:color="auto"/>
              <w:right w:val="single" w:sz="4" w:space="0" w:color="auto"/>
            </w:tcBorders>
            <w:shd w:val="clear" w:color="auto" w:fill="C6EFCE"/>
            <w:hideMark/>
          </w:tcPr>
          <w:p w14:paraId="7A539698"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5044" w:type="dxa"/>
            <w:tcBorders>
              <w:top w:val="nil"/>
              <w:left w:val="nil"/>
              <w:bottom w:val="single" w:sz="4" w:space="0" w:color="auto"/>
              <w:right w:val="single" w:sz="4" w:space="0" w:color="auto"/>
            </w:tcBorders>
            <w:shd w:val="clear" w:color="auto" w:fill="C6EFCE"/>
            <w:hideMark/>
          </w:tcPr>
          <w:p w14:paraId="7A539699" w14:textId="77777777" w:rsidR="008273B8" w:rsidRDefault="00B93063">
            <w:pPr>
              <w:pStyle w:val="P68B1DB1-Normal19"/>
              <w:spacing w:after="0" w:line="240" w:lineRule="auto"/>
              <w:rPr>
                <w:rFonts w:eastAsia="Times New Roman" w:cs="Times New Roman"/>
                <w:noProof/>
              </w:rPr>
            </w:pPr>
            <w:r>
              <w:rPr>
                <w:noProof/>
              </w:rPr>
              <w:t>Dva programa osposobljavanja za imenovane službenike iz nacionalnih tijela</w:t>
            </w:r>
          </w:p>
        </w:tc>
      </w:tr>
      <w:tr w:rsidR="008273B8" w14:paraId="7A53969F" w14:textId="77777777">
        <w:trPr>
          <w:cantSplit/>
          <w:trHeight w:val="480"/>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9B" w14:textId="77777777" w:rsidR="008273B8" w:rsidRDefault="00B93063">
            <w:pPr>
              <w:pStyle w:val="P68B1DB1-Normal19"/>
              <w:spacing w:after="0" w:line="240" w:lineRule="auto"/>
              <w:jc w:val="center"/>
              <w:rPr>
                <w:rFonts w:eastAsia="Times New Roman" w:cs="Times New Roman"/>
                <w:noProof/>
              </w:rPr>
            </w:pPr>
            <w:r>
              <w:rPr>
                <w:noProof/>
              </w:rPr>
              <w:t xml:space="preserve"> 6.13</w:t>
            </w:r>
          </w:p>
        </w:tc>
        <w:tc>
          <w:tcPr>
            <w:tcW w:w="1182" w:type="dxa"/>
            <w:tcBorders>
              <w:top w:val="nil"/>
              <w:left w:val="nil"/>
              <w:bottom w:val="single" w:sz="4" w:space="0" w:color="auto"/>
              <w:right w:val="single" w:sz="4" w:space="0" w:color="auto"/>
            </w:tcBorders>
            <w:shd w:val="clear" w:color="auto" w:fill="C6EFCE"/>
            <w:hideMark/>
          </w:tcPr>
          <w:p w14:paraId="7A53969C" w14:textId="77777777" w:rsidR="008273B8" w:rsidRDefault="00B93063">
            <w:pPr>
              <w:pStyle w:val="P68B1DB1-Normal19"/>
              <w:spacing w:after="0" w:line="240" w:lineRule="auto"/>
              <w:jc w:val="center"/>
              <w:rPr>
                <w:rFonts w:eastAsia="Times New Roman" w:cs="Times New Roman"/>
                <w:noProof/>
              </w:rPr>
            </w:pPr>
            <w:r>
              <w:rPr>
                <w:noProof/>
              </w:rPr>
              <w:t xml:space="preserve">C6.R.3 </w:t>
            </w:r>
          </w:p>
        </w:tc>
        <w:tc>
          <w:tcPr>
            <w:tcW w:w="1134" w:type="dxa"/>
            <w:tcBorders>
              <w:top w:val="nil"/>
              <w:left w:val="nil"/>
              <w:bottom w:val="single" w:sz="4" w:space="0" w:color="auto"/>
              <w:right w:val="single" w:sz="4" w:space="0" w:color="auto"/>
            </w:tcBorders>
            <w:shd w:val="clear" w:color="auto" w:fill="C6EFCE"/>
            <w:hideMark/>
          </w:tcPr>
          <w:p w14:paraId="7A53969D"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44" w:type="dxa"/>
            <w:tcBorders>
              <w:top w:val="nil"/>
              <w:left w:val="nil"/>
              <w:bottom w:val="single" w:sz="4" w:space="0" w:color="auto"/>
              <w:right w:val="single" w:sz="4" w:space="0" w:color="auto"/>
            </w:tcBorders>
            <w:shd w:val="clear" w:color="auto" w:fill="C6EFCE"/>
            <w:hideMark/>
          </w:tcPr>
          <w:p w14:paraId="7A53969E" w14:textId="77777777" w:rsidR="008273B8" w:rsidRDefault="00B93063">
            <w:pPr>
              <w:pStyle w:val="P68B1DB1-Normal19"/>
              <w:spacing w:after="0" w:line="240" w:lineRule="auto"/>
              <w:rPr>
                <w:rFonts w:eastAsia="Times New Roman" w:cs="Times New Roman"/>
                <w:noProof/>
              </w:rPr>
            </w:pPr>
            <w:r>
              <w:rPr>
                <w:noProof/>
              </w:rPr>
              <w:t>Središnji sustav arhiviranja dokumenata</w:t>
            </w:r>
          </w:p>
        </w:tc>
      </w:tr>
      <w:tr w:rsidR="008273B8" w14:paraId="7A5396A4" w14:textId="77777777">
        <w:trPr>
          <w:cantSplit/>
          <w:trHeight w:val="480"/>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A0" w14:textId="77777777" w:rsidR="008273B8" w:rsidRDefault="00B93063">
            <w:pPr>
              <w:pStyle w:val="P68B1DB1-Normal19"/>
              <w:spacing w:after="0" w:line="240" w:lineRule="auto"/>
              <w:jc w:val="center"/>
              <w:rPr>
                <w:rFonts w:eastAsia="Times New Roman" w:cs="Times New Roman"/>
                <w:noProof/>
              </w:rPr>
            </w:pPr>
            <w:r>
              <w:rPr>
                <w:noProof/>
              </w:rPr>
              <w:t xml:space="preserve"> 6.14</w:t>
            </w:r>
          </w:p>
        </w:tc>
        <w:tc>
          <w:tcPr>
            <w:tcW w:w="1182" w:type="dxa"/>
            <w:tcBorders>
              <w:top w:val="nil"/>
              <w:left w:val="nil"/>
              <w:bottom w:val="single" w:sz="4" w:space="0" w:color="auto"/>
              <w:right w:val="single" w:sz="4" w:space="0" w:color="auto"/>
            </w:tcBorders>
            <w:shd w:val="clear" w:color="auto" w:fill="C6EFCE"/>
            <w:hideMark/>
          </w:tcPr>
          <w:p w14:paraId="7A5396A1" w14:textId="77777777" w:rsidR="008273B8" w:rsidRDefault="00B93063">
            <w:pPr>
              <w:pStyle w:val="P68B1DB1-Normal19"/>
              <w:spacing w:after="0" w:line="240" w:lineRule="auto"/>
              <w:jc w:val="center"/>
              <w:rPr>
                <w:rFonts w:eastAsia="Times New Roman" w:cs="Times New Roman"/>
                <w:noProof/>
              </w:rPr>
            </w:pPr>
            <w:r>
              <w:rPr>
                <w:noProof/>
              </w:rPr>
              <w:t xml:space="preserve">C6.R.3 </w:t>
            </w:r>
          </w:p>
        </w:tc>
        <w:tc>
          <w:tcPr>
            <w:tcW w:w="1134" w:type="dxa"/>
            <w:tcBorders>
              <w:top w:val="nil"/>
              <w:left w:val="nil"/>
              <w:bottom w:val="single" w:sz="4" w:space="0" w:color="auto"/>
              <w:right w:val="single" w:sz="4" w:space="0" w:color="auto"/>
            </w:tcBorders>
            <w:shd w:val="clear" w:color="auto" w:fill="C6EFCE"/>
            <w:hideMark/>
          </w:tcPr>
          <w:p w14:paraId="7A5396A2"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44" w:type="dxa"/>
            <w:tcBorders>
              <w:top w:val="nil"/>
              <w:left w:val="nil"/>
              <w:bottom w:val="single" w:sz="4" w:space="0" w:color="auto"/>
              <w:right w:val="single" w:sz="4" w:space="0" w:color="auto"/>
            </w:tcBorders>
            <w:shd w:val="clear" w:color="auto" w:fill="C6EFCE"/>
            <w:hideMark/>
          </w:tcPr>
          <w:p w14:paraId="7A5396A3" w14:textId="77777777" w:rsidR="008273B8" w:rsidRDefault="00B93063">
            <w:pPr>
              <w:pStyle w:val="P68B1DB1-Normal19"/>
              <w:spacing w:after="0" w:line="240" w:lineRule="auto"/>
              <w:rPr>
                <w:rFonts w:eastAsia="Times New Roman" w:cs="Times New Roman"/>
                <w:noProof/>
              </w:rPr>
            </w:pPr>
            <w:r>
              <w:rPr>
                <w:noProof/>
              </w:rPr>
              <w:t>Baza podataka u kojoj se prikupljaju podaci o zviždačima</w:t>
            </w:r>
          </w:p>
        </w:tc>
      </w:tr>
      <w:tr w:rsidR="008273B8" w14:paraId="7A5396A9" w14:textId="77777777">
        <w:trPr>
          <w:cantSplit/>
          <w:trHeight w:val="480"/>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A5" w14:textId="77777777" w:rsidR="008273B8" w:rsidRDefault="00B93063">
            <w:pPr>
              <w:pStyle w:val="P68B1DB1-Normal19"/>
              <w:spacing w:after="0" w:line="240" w:lineRule="auto"/>
              <w:jc w:val="center"/>
              <w:rPr>
                <w:rFonts w:eastAsia="Times New Roman" w:cs="Times New Roman"/>
                <w:noProof/>
              </w:rPr>
            </w:pPr>
            <w:r>
              <w:rPr>
                <w:noProof/>
              </w:rPr>
              <w:t xml:space="preserve"> 6.16</w:t>
            </w:r>
          </w:p>
        </w:tc>
        <w:tc>
          <w:tcPr>
            <w:tcW w:w="1182" w:type="dxa"/>
            <w:tcBorders>
              <w:top w:val="nil"/>
              <w:left w:val="nil"/>
              <w:bottom w:val="single" w:sz="4" w:space="0" w:color="auto"/>
              <w:right w:val="single" w:sz="4" w:space="0" w:color="auto"/>
            </w:tcBorders>
            <w:shd w:val="clear" w:color="auto" w:fill="C6EFCE"/>
            <w:hideMark/>
          </w:tcPr>
          <w:p w14:paraId="7A5396A6" w14:textId="77777777" w:rsidR="008273B8" w:rsidRDefault="00B93063">
            <w:pPr>
              <w:pStyle w:val="P68B1DB1-Normal19"/>
              <w:spacing w:after="0" w:line="240" w:lineRule="auto"/>
              <w:jc w:val="center"/>
              <w:rPr>
                <w:rFonts w:eastAsia="Times New Roman" w:cs="Times New Roman"/>
                <w:noProof/>
              </w:rPr>
            </w:pPr>
            <w:r>
              <w:rPr>
                <w:noProof/>
              </w:rPr>
              <w:t xml:space="preserve">C6.R.4 </w:t>
            </w:r>
          </w:p>
        </w:tc>
        <w:tc>
          <w:tcPr>
            <w:tcW w:w="1134" w:type="dxa"/>
            <w:tcBorders>
              <w:top w:val="nil"/>
              <w:left w:val="nil"/>
              <w:bottom w:val="single" w:sz="4" w:space="0" w:color="auto"/>
              <w:right w:val="single" w:sz="4" w:space="0" w:color="auto"/>
            </w:tcBorders>
            <w:shd w:val="clear" w:color="auto" w:fill="C6EFCE"/>
            <w:hideMark/>
          </w:tcPr>
          <w:p w14:paraId="7A5396A7"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44" w:type="dxa"/>
            <w:tcBorders>
              <w:top w:val="nil"/>
              <w:left w:val="nil"/>
              <w:bottom w:val="single" w:sz="4" w:space="0" w:color="auto"/>
              <w:right w:val="single" w:sz="4" w:space="0" w:color="auto"/>
            </w:tcBorders>
            <w:shd w:val="clear" w:color="auto" w:fill="C6EFCE"/>
            <w:hideMark/>
          </w:tcPr>
          <w:p w14:paraId="7A5396A8" w14:textId="77777777" w:rsidR="008273B8" w:rsidRDefault="00B93063">
            <w:pPr>
              <w:pStyle w:val="P68B1DB1-Normal19"/>
              <w:spacing w:after="0" w:line="240" w:lineRule="auto"/>
              <w:rPr>
                <w:rFonts w:eastAsia="Times New Roman" w:cs="Times New Roman"/>
                <w:noProof/>
              </w:rPr>
            </w:pPr>
            <w:r>
              <w:rPr>
                <w:noProof/>
              </w:rPr>
              <w:t>Planovi proračuna i ljudskih resursa PCAC-a</w:t>
            </w:r>
          </w:p>
        </w:tc>
      </w:tr>
      <w:tr w:rsidR="008273B8" w14:paraId="7A5396AE" w14:textId="77777777">
        <w:trPr>
          <w:cantSplit/>
          <w:trHeight w:val="480"/>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AA" w14:textId="77777777" w:rsidR="008273B8" w:rsidRDefault="00B93063">
            <w:pPr>
              <w:pStyle w:val="P68B1DB1-Normal19"/>
              <w:spacing w:after="0" w:line="240" w:lineRule="auto"/>
              <w:jc w:val="center"/>
              <w:rPr>
                <w:rFonts w:eastAsia="Times New Roman" w:cs="Times New Roman"/>
                <w:noProof/>
              </w:rPr>
            </w:pPr>
            <w:r>
              <w:rPr>
                <w:noProof/>
              </w:rPr>
              <w:t xml:space="preserve"> 6.17</w:t>
            </w:r>
          </w:p>
        </w:tc>
        <w:tc>
          <w:tcPr>
            <w:tcW w:w="1182" w:type="dxa"/>
            <w:tcBorders>
              <w:top w:val="nil"/>
              <w:left w:val="nil"/>
              <w:bottom w:val="single" w:sz="4" w:space="0" w:color="auto"/>
              <w:right w:val="single" w:sz="4" w:space="0" w:color="auto"/>
            </w:tcBorders>
            <w:shd w:val="clear" w:color="auto" w:fill="C6EFCE"/>
            <w:hideMark/>
          </w:tcPr>
          <w:p w14:paraId="7A5396AB" w14:textId="77777777" w:rsidR="008273B8" w:rsidRDefault="00B93063">
            <w:pPr>
              <w:pStyle w:val="P68B1DB1-Normal19"/>
              <w:spacing w:after="0" w:line="240" w:lineRule="auto"/>
              <w:jc w:val="center"/>
              <w:rPr>
                <w:rFonts w:eastAsia="Times New Roman" w:cs="Times New Roman"/>
                <w:noProof/>
              </w:rPr>
            </w:pPr>
            <w:r>
              <w:rPr>
                <w:noProof/>
              </w:rPr>
              <w:t xml:space="preserve">C6.R.4 </w:t>
            </w:r>
          </w:p>
        </w:tc>
        <w:tc>
          <w:tcPr>
            <w:tcW w:w="1134" w:type="dxa"/>
            <w:tcBorders>
              <w:top w:val="nil"/>
              <w:left w:val="nil"/>
              <w:bottom w:val="single" w:sz="4" w:space="0" w:color="auto"/>
              <w:right w:val="single" w:sz="4" w:space="0" w:color="auto"/>
            </w:tcBorders>
            <w:shd w:val="clear" w:color="auto" w:fill="C6EFCE"/>
            <w:hideMark/>
          </w:tcPr>
          <w:p w14:paraId="7A5396AC"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44" w:type="dxa"/>
            <w:tcBorders>
              <w:top w:val="nil"/>
              <w:left w:val="nil"/>
              <w:bottom w:val="single" w:sz="4" w:space="0" w:color="auto"/>
              <w:right w:val="single" w:sz="4" w:space="0" w:color="auto"/>
            </w:tcBorders>
            <w:shd w:val="clear" w:color="auto" w:fill="C6EFCE"/>
            <w:hideMark/>
          </w:tcPr>
          <w:p w14:paraId="7A5396AD" w14:textId="77777777" w:rsidR="008273B8" w:rsidRDefault="00B93063">
            <w:pPr>
              <w:pStyle w:val="P68B1DB1-Normal19"/>
              <w:spacing w:after="0" w:line="240" w:lineRule="auto"/>
              <w:rPr>
                <w:rFonts w:eastAsia="Times New Roman" w:cs="Times New Roman"/>
                <w:noProof/>
              </w:rPr>
            </w:pPr>
            <w:r>
              <w:rPr>
                <w:noProof/>
              </w:rPr>
              <w:t>Uspostava digitalnog registra informacija o korupcijskim predmetima kojima raspolaže PCAC</w:t>
            </w:r>
          </w:p>
        </w:tc>
      </w:tr>
      <w:tr w:rsidR="008273B8" w14:paraId="7A5396B3" w14:textId="77777777">
        <w:trPr>
          <w:cantSplit/>
          <w:trHeight w:val="288"/>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AF" w14:textId="77777777" w:rsidR="008273B8" w:rsidRDefault="00B93063">
            <w:pPr>
              <w:pStyle w:val="P68B1DB1-Normal19"/>
              <w:spacing w:after="0" w:line="240" w:lineRule="auto"/>
              <w:jc w:val="center"/>
              <w:rPr>
                <w:rFonts w:eastAsia="Times New Roman" w:cs="Times New Roman"/>
                <w:noProof/>
              </w:rPr>
            </w:pPr>
            <w:r>
              <w:rPr>
                <w:noProof/>
              </w:rPr>
              <w:t xml:space="preserve"> 6.18</w:t>
            </w:r>
          </w:p>
        </w:tc>
        <w:tc>
          <w:tcPr>
            <w:tcW w:w="1182" w:type="dxa"/>
            <w:tcBorders>
              <w:top w:val="nil"/>
              <w:left w:val="nil"/>
              <w:bottom w:val="single" w:sz="4" w:space="0" w:color="auto"/>
              <w:right w:val="single" w:sz="4" w:space="0" w:color="auto"/>
            </w:tcBorders>
            <w:shd w:val="clear" w:color="auto" w:fill="C6EFCE"/>
            <w:hideMark/>
          </w:tcPr>
          <w:p w14:paraId="7A5396B0" w14:textId="77777777" w:rsidR="008273B8" w:rsidRDefault="00B93063">
            <w:pPr>
              <w:pStyle w:val="P68B1DB1-Normal19"/>
              <w:spacing w:after="0" w:line="240" w:lineRule="auto"/>
              <w:jc w:val="center"/>
              <w:rPr>
                <w:rFonts w:eastAsia="Times New Roman" w:cs="Times New Roman"/>
                <w:noProof/>
              </w:rPr>
            </w:pPr>
            <w:r>
              <w:rPr>
                <w:noProof/>
              </w:rPr>
              <w:t xml:space="preserve">C6.R.4 </w:t>
            </w:r>
          </w:p>
        </w:tc>
        <w:tc>
          <w:tcPr>
            <w:tcW w:w="1134" w:type="dxa"/>
            <w:tcBorders>
              <w:top w:val="nil"/>
              <w:left w:val="nil"/>
              <w:bottom w:val="single" w:sz="4" w:space="0" w:color="auto"/>
              <w:right w:val="single" w:sz="4" w:space="0" w:color="auto"/>
            </w:tcBorders>
            <w:shd w:val="clear" w:color="auto" w:fill="C6EFCE"/>
            <w:hideMark/>
          </w:tcPr>
          <w:p w14:paraId="7A5396B1"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44" w:type="dxa"/>
            <w:tcBorders>
              <w:top w:val="nil"/>
              <w:left w:val="nil"/>
              <w:bottom w:val="single" w:sz="4" w:space="0" w:color="auto"/>
              <w:right w:val="single" w:sz="4" w:space="0" w:color="auto"/>
            </w:tcBorders>
            <w:shd w:val="clear" w:color="auto" w:fill="C6EFCE"/>
            <w:hideMark/>
          </w:tcPr>
          <w:p w14:paraId="7A5396B2" w14:textId="77777777" w:rsidR="008273B8" w:rsidRDefault="00B93063">
            <w:pPr>
              <w:pStyle w:val="P68B1DB1-Normal19"/>
              <w:spacing w:after="0" w:line="240" w:lineRule="auto"/>
              <w:rPr>
                <w:rFonts w:eastAsia="Times New Roman" w:cs="Times New Roman"/>
                <w:noProof/>
              </w:rPr>
            </w:pPr>
            <w:r>
              <w:rPr>
                <w:noProof/>
              </w:rPr>
              <w:t>Donošenje internog standardnog operativnog postupka od strane PCAC-a</w:t>
            </w:r>
          </w:p>
        </w:tc>
      </w:tr>
      <w:tr w:rsidR="008273B8" w14:paraId="7A5396B8" w14:textId="77777777">
        <w:trPr>
          <w:cantSplit/>
          <w:trHeight w:val="288"/>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B4" w14:textId="77777777" w:rsidR="008273B8" w:rsidRDefault="00B93063">
            <w:pPr>
              <w:pStyle w:val="P68B1DB1-Normal19"/>
              <w:spacing w:after="0" w:line="240" w:lineRule="auto"/>
              <w:jc w:val="center"/>
              <w:rPr>
                <w:rFonts w:eastAsia="Times New Roman" w:cs="Times New Roman"/>
                <w:noProof/>
              </w:rPr>
            </w:pPr>
            <w:r>
              <w:rPr>
                <w:noProof/>
              </w:rPr>
              <w:t xml:space="preserve"> 6.23</w:t>
            </w:r>
          </w:p>
        </w:tc>
        <w:tc>
          <w:tcPr>
            <w:tcW w:w="1182" w:type="dxa"/>
            <w:tcBorders>
              <w:top w:val="nil"/>
              <w:left w:val="nil"/>
              <w:bottom w:val="single" w:sz="4" w:space="0" w:color="auto"/>
              <w:right w:val="single" w:sz="4" w:space="0" w:color="auto"/>
            </w:tcBorders>
            <w:shd w:val="clear" w:color="auto" w:fill="C6EFCE"/>
            <w:hideMark/>
          </w:tcPr>
          <w:p w14:paraId="7A5396B5" w14:textId="77777777" w:rsidR="008273B8" w:rsidRDefault="00B93063">
            <w:pPr>
              <w:pStyle w:val="P68B1DB1-Normal19"/>
              <w:spacing w:after="0" w:line="240" w:lineRule="auto"/>
              <w:jc w:val="center"/>
              <w:rPr>
                <w:rFonts w:eastAsia="Times New Roman" w:cs="Times New Roman"/>
                <w:noProof/>
              </w:rPr>
            </w:pPr>
            <w:r>
              <w:rPr>
                <w:noProof/>
              </w:rPr>
              <w:t xml:space="preserve">C6.R.7 </w:t>
            </w:r>
          </w:p>
        </w:tc>
        <w:tc>
          <w:tcPr>
            <w:tcW w:w="1134" w:type="dxa"/>
            <w:tcBorders>
              <w:top w:val="nil"/>
              <w:left w:val="nil"/>
              <w:bottom w:val="single" w:sz="4" w:space="0" w:color="auto"/>
              <w:right w:val="single" w:sz="4" w:space="0" w:color="auto"/>
            </w:tcBorders>
            <w:shd w:val="clear" w:color="auto" w:fill="C6EFCE"/>
            <w:hideMark/>
          </w:tcPr>
          <w:p w14:paraId="7A5396B6"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44" w:type="dxa"/>
            <w:tcBorders>
              <w:top w:val="nil"/>
              <w:left w:val="nil"/>
              <w:bottom w:val="single" w:sz="4" w:space="0" w:color="auto"/>
              <w:right w:val="single" w:sz="4" w:space="0" w:color="auto"/>
            </w:tcBorders>
            <w:shd w:val="clear" w:color="auto" w:fill="C6EFCE"/>
            <w:hideMark/>
          </w:tcPr>
          <w:p w14:paraId="7A5396B7" w14:textId="77777777" w:rsidR="008273B8" w:rsidRDefault="00B93063">
            <w:pPr>
              <w:pStyle w:val="P68B1DB1-Normal19"/>
              <w:spacing w:after="0" w:line="240" w:lineRule="auto"/>
              <w:rPr>
                <w:rFonts w:eastAsia="Times New Roman" w:cs="Times New Roman"/>
                <w:noProof/>
              </w:rPr>
            </w:pPr>
            <w:r>
              <w:rPr>
                <w:noProof/>
              </w:rPr>
              <w:t>Neovisno preispitivanje odredbe o tome da oštećene strane (Zakon XLI. iz 2020.) mogu podnijeti žalbu na odluku glavnog državnog odvjetnika o nepokretanju kaznenog progona.</w:t>
            </w:r>
          </w:p>
        </w:tc>
      </w:tr>
      <w:tr w:rsidR="008273B8" w14:paraId="7A5396BD" w14:textId="77777777">
        <w:trPr>
          <w:cantSplit/>
          <w:trHeight w:val="288"/>
          <w:jc w:val="center"/>
        </w:trPr>
        <w:tc>
          <w:tcPr>
            <w:tcW w:w="934" w:type="dxa"/>
            <w:gridSpan w:val="2"/>
            <w:tcBorders>
              <w:top w:val="nil"/>
              <w:left w:val="single" w:sz="4" w:space="0" w:color="auto"/>
              <w:bottom w:val="single" w:sz="4" w:space="0" w:color="auto"/>
              <w:right w:val="single" w:sz="4" w:space="0" w:color="auto"/>
            </w:tcBorders>
            <w:shd w:val="clear" w:color="auto" w:fill="C6EFCE"/>
            <w:hideMark/>
          </w:tcPr>
          <w:p w14:paraId="7A5396B9" w14:textId="77777777" w:rsidR="008273B8" w:rsidRDefault="00B93063">
            <w:pPr>
              <w:pStyle w:val="P68B1DB1-Normal19"/>
              <w:spacing w:after="0" w:line="240" w:lineRule="auto"/>
              <w:jc w:val="center"/>
              <w:rPr>
                <w:rFonts w:eastAsia="Times New Roman" w:cs="Times New Roman"/>
                <w:noProof/>
              </w:rPr>
            </w:pPr>
            <w:r>
              <w:rPr>
                <w:noProof/>
              </w:rPr>
              <w:t xml:space="preserve"> 6.36</w:t>
            </w:r>
          </w:p>
        </w:tc>
        <w:tc>
          <w:tcPr>
            <w:tcW w:w="1182" w:type="dxa"/>
            <w:tcBorders>
              <w:top w:val="nil"/>
              <w:left w:val="nil"/>
              <w:bottom w:val="single" w:sz="4" w:space="0" w:color="auto"/>
              <w:right w:val="single" w:sz="4" w:space="0" w:color="auto"/>
            </w:tcBorders>
            <w:shd w:val="clear" w:color="auto" w:fill="C6EFCE"/>
            <w:hideMark/>
          </w:tcPr>
          <w:p w14:paraId="7A5396BA" w14:textId="77777777" w:rsidR="008273B8" w:rsidRDefault="00B93063">
            <w:pPr>
              <w:pStyle w:val="P68B1DB1-Normal19"/>
              <w:spacing w:after="0" w:line="240" w:lineRule="auto"/>
              <w:jc w:val="center"/>
              <w:rPr>
                <w:rFonts w:eastAsia="Times New Roman" w:cs="Times New Roman"/>
                <w:noProof/>
              </w:rPr>
            </w:pPr>
            <w:r>
              <w:rPr>
                <w:noProof/>
              </w:rPr>
              <w:t xml:space="preserve">C6.R.11 </w:t>
            </w:r>
          </w:p>
        </w:tc>
        <w:tc>
          <w:tcPr>
            <w:tcW w:w="1134" w:type="dxa"/>
            <w:tcBorders>
              <w:top w:val="nil"/>
              <w:left w:val="nil"/>
              <w:bottom w:val="single" w:sz="4" w:space="0" w:color="auto"/>
              <w:right w:val="single" w:sz="4" w:space="0" w:color="auto"/>
            </w:tcBorders>
            <w:shd w:val="clear" w:color="auto" w:fill="C6EFCE"/>
            <w:hideMark/>
          </w:tcPr>
          <w:p w14:paraId="7A5396BB"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5044" w:type="dxa"/>
            <w:tcBorders>
              <w:top w:val="nil"/>
              <w:left w:val="nil"/>
              <w:bottom w:val="single" w:sz="4" w:space="0" w:color="auto"/>
              <w:right w:val="single" w:sz="4" w:space="0" w:color="auto"/>
            </w:tcBorders>
            <w:shd w:val="clear" w:color="auto" w:fill="C6EFCE"/>
            <w:hideMark/>
          </w:tcPr>
          <w:p w14:paraId="7A5396BC" w14:textId="77777777" w:rsidR="008273B8" w:rsidRDefault="00B93063">
            <w:pPr>
              <w:pStyle w:val="P68B1DB1-Normal19"/>
              <w:spacing w:after="0" w:line="240" w:lineRule="auto"/>
              <w:rPr>
                <w:rFonts w:eastAsia="Times New Roman" w:cs="Times New Roman"/>
                <w:noProof/>
              </w:rPr>
            </w:pPr>
            <w:r>
              <w:rPr>
                <w:noProof/>
              </w:rPr>
              <w:t>Stupanje na snagu zakonodavstva o ulaznim i izlaznim plaćanjima</w:t>
            </w:r>
          </w:p>
        </w:tc>
      </w:tr>
      <w:tr w:rsidR="008273B8" w14:paraId="7A5396C2" w14:textId="77777777">
        <w:trPr>
          <w:gridBefore w:val="1"/>
          <w:wBefore w:w="7" w:type="dxa"/>
          <w:cantSplit/>
          <w:trHeight w:val="480"/>
          <w:jc w:val="center"/>
        </w:trPr>
        <w:tc>
          <w:tcPr>
            <w:tcW w:w="927" w:type="dxa"/>
            <w:tcBorders>
              <w:top w:val="single" w:sz="4" w:space="0" w:color="auto"/>
              <w:left w:val="single" w:sz="4" w:space="0" w:color="auto"/>
              <w:bottom w:val="single" w:sz="4" w:space="0" w:color="auto"/>
              <w:right w:val="single" w:sz="4" w:space="0" w:color="auto"/>
            </w:tcBorders>
            <w:shd w:val="clear" w:color="auto" w:fill="C6EFCE"/>
          </w:tcPr>
          <w:p w14:paraId="7A5396BE" w14:textId="77777777" w:rsidR="008273B8" w:rsidRDefault="00B93063">
            <w:pPr>
              <w:pStyle w:val="P68B1DB1-Normal19"/>
              <w:spacing w:line="240" w:lineRule="auto"/>
              <w:jc w:val="center"/>
              <w:rPr>
                <w:rFonts w:eastAsia="Times New Roman" w:cs="Times New Roman"/>
                <w:noProof/>
              </w:rPr>
            </w:pPr>
            <w:r>
              <w:rPr>
                <w:noProof/>
              </w:rPr>
              <w:t>7.1</w:t>
            </w:r>
          </w:p>
        </w:tc>
        <w:tc>
          <w:tcPr>
            <w:tcW w:w="1182" w:type="dxa"/>
            <w:tcBorders>
              <w:top w:val="single" w:sz="4" w:space="0" w:color="auto"/>
              <w:left w:val="nil"/>
              <w:bottom w:val="single" w:sz="4" w:space="0" w:color="auto"/>
              <w:right w:val="single" w:sz="4" w:space="0" w:color="auto"/>
            </w:tcBorders>
            <w:shd w:val="clear" w:color="auto" w:fill="C6EFCE"/>
          </w:tcPr>
          <w:p w14:paraId="7A5396BF" w14:textId="77777777" w:rsidR="008273B8" w:rsidRDefault="00B93063">
            <w:pPr>
              <w:pStyle w:val="P68B1DB1-Normal19"/>
              <w:spacing w:line="240" w:lineRule="auto"/>
              <w:jc w:val="center"/>
              <w:rPr>
                <w:rFonts w:eastAsia="Times New Roman" w:cs="Times New Roman"/>
                <w:noProof/>
              </w:rPr>
            </w:pPr>
            <w:r>
              <w:rPr>
                <w:noProof/>
              </w:rPr>
              <w:t>C7.R.1</w:t>
            </w:r>
          </w:p>
        </w:tc>
        <w:tc>
          <w:tcPr>
            <w:tcW w:w="1134" w:type="dxa"/>
            <w:tcBorders>
              <w:top w:val="single" w:sz="4" w:space="0" w:color="auto"/>
              <w:left w:val="nil"/>
              <w:bottom w:val="single" w:sz="4" w:space="0" w:color="auto"/>
              <w:right w:val="single" w:sz="4" w:space="0" w:color="auto"/>
            </w:tcBorders>
            <w:shd w:val="clear" w:color="auto" w:fill="C6EFCE"/>
          </w:tcPr>
          <w:p w14:paraId="7A5396C0" w14:textId="77777777" w:rsidR="008273B8" w:rsidRDefault="00B93063">
            <w:pPr>
              <w:pStyle w:val="P68B1DB1-Normal19"/>
              <w:spacing w:line="240" w:lineRule="auto"/>
              <w:jc w:val="center"/>
              <w:rPr>
                <w:rFonts w:eastAsia="Times New Roman" w:cs="Times New Roman"/>
                <w:noProof/>
              </w:rPr>
            </w:pPr>
            <w:r>
              <w:rPr>
                <w:noProof/>
              </w:rPr>
              <w:t>Ključna etapa</w:t>
            </w:r>
          </w:p>
        </w:tc>
        <w:tc>
          <w:tcPr>
            <w:tcW w:w="5044" w:type="dxa"/>
            <w:tcBorders>
              <w:top w:val="single" w:sz="4" w:space="0" w:color="auto"/>
              <w:left w:val="nil"/>
              <w:bottom w:val="single" w:sz="4" w:space="0" w:color="auto"/>
              <w:right w:val="single" w:sz="4" w:space="0" w:color="auto"/>
            </w:tcBorders>
            <w:shd w:val="clear" w:color="auto" w:fill="C6EFCE"/>
          </w:tcPr>
          <w:p w14:paraId="7A5396C1" w14:textId="4C7EA73C" w:rsidR="008273B8" w:rsidRDefault="00B93063">
            <w:pPr>
              <w:pStyle w:val="P68B1DB1-Normal19"/>
              <w:spacing w:line="240" w:lineRule="auto"/>
              <w:rPr>
                <w:rFonts w:eastAsiaTheme="minorEastAsia" w:cs="Times New Roman"/>
                <w:noProof/>
              </w:rPr>
            </w:pPr>
            <w:r>
              <w:rPr>
                <w:noProof/>
              </w:rPr>
              <w:t>Stupanje na snagu zakonodavstva kojim se propisuje ugradnja solarnih ploča na određene nove zgrade</w:t>
            </w:r>
          </w:p>
        </w:tc>
      </w:tr>
      <w:tr w:rsidR="008273B8" w14:paraId="7A5396C7" w14:textId="77777777">
        <w:trPr>
          <w:gridBefore w:val="1"/>
          <w:wBefore w:w="7" w:type="dxa"/>
          <w:cantSplit/>
          <w:trHeight w:val="480"/>
          <w:jc w:val="center"/>
        </w:trPr>
        <w:tc>
          <w:tcPr>
            <w:tcW w:w="927" w:type="dxa"/>
            <w:tcBorders>
              <w:top w:val="single" w:sz="4" w:space="0" w:color="auto"/>
              <w:left w:val="single" w:sz="4" w:space="0" w:color="auto"/>
              <w:bottom w:val="single" w:sz="4" w:space="0" w:color="auto"/>
              <w:right w:val="single" w:sz="4" w:space="0" w:color="auto"/>
            </w:tcBorders>
            <w:shd w:val="clear" w:color="auto" w:fill="C6EFCE"/>
          </w:tcPr>
          <w:p w14:paraId="7A5396C3" w14:textId="77777777" w:rsidR="008273B8" w:rsidRDefault="00B93063">
            <w:pPr>
              <w:pStyle w:val="P68B1DB1-Normal19"/>
              <w:spacing w:line="240" w:lineRule="auto"/>
              <w:jc w:val="center"/>
              <w:rPr>
                <w:rFonts w:eastAsia="Times New Roman" w:cs="Times New Roman"/>
                <w:noProof/>
              </w:rPr>
            </w:pPr>
            <w:r>
              <w:rPr>
                <w:noProof/>
              </w:rPr>
              <w:t>7.2</w:t>
            </w:r>
          </w:p>
        </w:tc>
        <w:tc>
          <w:tcPr>
            <w:tcW w:w="1182" w:type="dxa"/>
            <w:tcBorders>
              <w:top w:val="single" w:sz="4" w:space="0" w:color="auto"/>
              <w:left w:val="nil"/>
              <w:bottom w:val="single" w:sz="4" w:space="0" w:color="auto"/>
              <w:right w:val="single" w:sz="4" w:space="0" w:color="auto"/>
            </w:tcBorders>
            <w:shd w:val="clear" w:color="auto" w:fill="C6EFCE"/>
          </w:tcPr>
          <w:p w14:paraId="7A5396C4" w14:textId="77777777" w:rsidR="008273B8" w:rsidRDefault="00B93063">
            <w:pPr>
              <w:pStyle w:val="P68B1DB1-Normal19"/>
              <w:spacing w:line="240" w:lineRule="auto"/>
              <w:jc w:val="center"/>
              <w:rPr>
                <w:rFonts w:eastAsia="Times New Roman" w:cs="Times New Roman"/>
                <w:noProof/>
              </w:rPr>
            </w:pPr>
            <w:r>
              <w:rPr>
                <w:noProof/>
              </w:rPr>
              <w:t>C7.R.1</w:t>
            </w:r>
          </w:p>
        </w:tc>
        <w:tc>
          <w:tcPr>
            <w:tcW w:w="1134" w:type="dxa"/>
            <w:tcBorders>
              <w:top w:val="single" w:sz="4" w:space="0" w:color="auto"/>
              <w:left w:val="nil"/>
              <w:bottom w:val="single" w:sz="4" w:space="0" w:color="auto"/>
              <w:right w:val="single" w:sz="4" w:space="0" w:color="auto"/>
            </w:tcBorders>
            <w:shd w:val="clear" w:color="auto" w:fill="C6EFCE"/>
          </w:tcPr>
          <w:p w14:paraId="7A5396C5" w14:textId="77777777" w:rsidR="008273B8" w:rsidRDefault="00B93063">
            <w:pPr>
              <w:pStyle w:val="P68B1DB1-Normal19"/>
              <w:spacing w:line="240" w:lineRule="auto"/>
              <w:jc w:val="center"/>
              <w:rPr>
                <w:rFonts w:eastAsia="Times New Roman" w:cs="Times New Roman"/>
                <w:noProof/>
              </w:rPr>
            </w:pPr>
            <w:r>
              <w:rPr>
                <w:noProof/>
              </w:rPr>
              <w:t>Ključna etapa</w:t>
            </w:r>
          </w:p>
        </w:tc>
        <w:tc>
          <w:tcPr>
            <w:tcW w:w="5044" w:type="dxa"/>
            <w:tcBorders>
              <w:top w:val="single" w:sz="4" w:space="0" w:color="auto"/>
              <w:left w:val="nil"/>
              <w:bottom w:val="single" w:sz="4" w:space="0" w:color="auto"/>
              <w:right w:val="single" w:sz="4" w:space="0" w:color="auto"/>
            </w:tcBorders>
            <w:shd w:val="clear" w:color="auto" w:fill="C6EFCE"/>
          </w:tcPr>
          <w:p w14:paraId="7A5396C6" w14:textId="39B88984" w:rsidR="008273B8" w:rsidRDefault="00B93063">
            <w:pPr>
              <w:pStyle w:val="P68B1DB1-Normal19"/>
              <w:spacing w:line="240" w:lineRule="auto"/>
              <w:rPr>
                <w:rFonts w:eastAsiaTheme="minorEastAsia" w:cs="Times New Roman"/>
                <w:noProof/>
              </w:rPr>
            </w:pPr>
            <w:r>
              <w:rPr>
                <w:noProof/>
              </w:rPr>
              <w:t>Internetska objava skraćenih rokova za postupke podnošenja zahtjeva i izdavanja dozvola za postrojenja za proizvodnju energije iz obnovljivih izvora na staklenicima</w:t>
            </w:r>
          </w:p>
        </w:tc>
      </w:tr>
      <w:tr w:rsidR="008273B8" w14:paraId="7A5396CC" w14:textId="77777777">
        <w:trPr>
          <w:gridBefore w:val="1"/>
          <w:wBefore w:w="7" w:type="dxa"/>
          <w:cantSplit/>
          <w:trHeight w:val="480"/>
          <w:jc w:val="center"/>
        </w:trPr>
        <w:tc>
          <w:tcPr>
            <w:tcW w:w="927" w:type="dxa"/>
            <w:tcBorders>
              <w:top w:val="single" w:sz="4" w:space="0" w:color="auto"/>
              <w:left w:val="single" w:sz="4" w:space="0" w:color="auto"/>
              <w:bottom w:val="single" w:sz="4" w:space="0" w:color="auto"/>
              <w:right w:val="single" w:sz="4" w:space="0" w:color="auto"/>
            </w:tcBorders>
            <w:shd w:val="clear" w:color="auto" w:fill="C6EFCE"/>
          </w:tcPr>
          <w:p w14:paraId="7A5396C8" w14:textId="77777777" w:rsidR="008273B8" w:rsidRDefault="00B93063">
            <w:pPr>
              <w:pStyle w:val="P68B1DB1-Normal19"/>
              <w:spacing w:line="240" w:lineRule="auto"/>
              <w:jc w:val="center"/>
              <w:rPr>
                <w:rFonts w:eastAsia="Times New Roman" w:cs="Times New Roman"/>
                <w:noProof/>
              </w:rPr>
            </w:pPr>
            <w:r>
              <w:rPr>
                <w:noProof/>
              </w:rPr>
              <w:t>7.3</w:t>
            </w:r>
          </w:p>
        </w:tc>
        <w:tc>
          <w:tcPr>
            <w:tcW w:w="1182" w:type="dxa"/>
            <w:tcBorders>
              <w:top w:val="single" w:sz="4" w:space="0" w:color="auto"/>
              <w:left w:val="nil"/>
              <w:bottom w:val="single" w:sz="4" w:space="0" w:color="auto"/>
              <w:right w:val="single" w:sz="4" w:space="0" w:color="auto"/>
            </w:tcBorders>
            <w:shd w:val="clear" w:color="auto" w:fill="C6EFCE"/>
          </w:tcPr>
          <w:p w14:paraId="7A5396C9" w14:textId="77777777" w:rsidR="008273B8" w:rsidRDefault="00B93063">
            <w:pPr>
              <w:pStyle w:val="P68B1DB1-Normal19"/>
              <w:spacing w:line="240" w:lineRule="auto"/>
              <w:jc w:val="center"/>
              <w:rPr>
                <w:rFonts w:eastAsia="Times New Roman" w:cs="Times New Roman"/>
                <w:noProof/>
              </w:rPr>
            </w:pPr>
            <w:r>
              <w:rPr>
                <w:noProof/>
              </w:rPr>
              <w:t>C7.R.1</w:t>
            </w:r>
          </w:p>
        </w:tc>
        <w:tc>
          <w:tcPr>
            <w:tcW w:w="1134" w:type="dxa"/>
            <w:tcBorders>
              <w:top w:val="single" w:sz="4" w:space="0" w:color="auto"/>
              <w:left w:val="nil"/>
              <w:bottom w:val="single" w:sz="4" w:space="0" w:color="auto"/>
              <w:right w:val="single" w:sz="4" w:space="0" w:color="auto"/>
            </w:tcBorders>
            <w:shd w:val="clear" w:color="auto" w:fill="C6EFCE"/>
          </w:tcPr>
          <w:p w14:paraId="7A5396CA" w14:textId="77777777" w:rsidR="008273B8" w:rsidRDefault="00B93063">
            <w:pPr>
              <w:pStyle w:val="P68B1DB1-Normal19"/>
              <w:spacing w:line="240" w:lineRule="auto"/>
              <w:jc w:val="center"/>
              <w:rPr>
                <w:rFonts w:eastAsia="Times New Roman" w:cs="Times New Roman"/>
                <w:noProof/>
              </w:rPr>
            </w:pPr>
            <w:r>
              <w:rPr>
                <w:noProof/>
              </w:rPr>
              <w:t>Ključna etapa</w:t>
            </w:r>
          </w:p>
        </w:tc>
        <w:tc>
          <w:tcPr>
            <w:tcW w:w="5044" w:type="dxa"/>
            <w:tcBorders>
              <w:top w:val="single" w:sz="4" w:space="0" w:color="auto"/>
              <w:left w:val="nil"/>
              <w:bottom w:val="single" w:sz="4" w:space="0" w:color="auto"/>
              <w:right w:val="single" w:sz="4" w:space="0" w:color="auto"/>
            </w:tcBorders>
            <w:shd w:val="clear" w:color="auto" w:fill="C6EFCE"/>
          </w:tcPr>
          <w:p w14:paraId="7A5396CB" w14:textId="1CF0FE56" w:rsidR="008273B8" w:rsidRDefault="00B93063">
            <w:pPr>
              <w:pStyle w:val="P68B1DB1-Normal19"/>
              <w:spacing w:line="240" w:lineRule="auto"/>
              <w:rPr>
                <w:rFonts w:eastAsia="Calibri" w:cs="Times New Roman"/>
                <w:noProof/>
              </w:rPr>
            </w:pPr>
            <w:r>
              <w:rPr>
                <w:noProof/>
              </w:rPr>
              <w:t>Internetska objava skraćenih rokova za postupke podnošenja zahtjeva i izdavanja dozvola za projekte u području energije iz obnovljivih izvora</w:t>
            </w:r>
          </w:p>
        </w:tc>
      </w:tr>
      <w:tr w:rsidR="008273B8" w14:paraId="7A5396D1" w14:textId="77777777">
        <w:trPr>
          <w:gridBefore w:val="1"/>
          <w:wBefore w:w="7" w:type="dxa"/>
          <w:cantSplit/>
          <w:trHeight w:val="480"/>
          <w:jc w:val="center"/>
        </w:trPr>
        <w:tc>
          <w:tcPr>
            <w:tcW w:w="927" w:type="dxa"/>
            <w:tcBorders>
              <w:top w:val="single" w:sz="4" w:space="0" w:color="auto"/>
              <w:left w:val="single" w:sz="4" w:space="0" w:color="auto"/>
              <w:bottom w:val="single" w:sz="4" w:space="0" w:color="auto"/>
              <w:right w:val="single" w:sz="4" w:space="0" w:color="auto"/>
            </w:tcBorders>
            <w:shd w:val="clear" w:color="auto" w:fill="C6EFCE"/>
          </w:tcPr>
          <w:p w14:paraId="7A5396CD" w14:textId="77777777" w:rsidR="008273B8" w:rsidRDefault="00B93063">
            <w:pPr>
              <w:pStyle w:val="P68B1DB1-Normal19"/>
              <w:spacing w:line="240" w:lineRule="auto"/>
              <w:jc w:val="center"/>
              <w:rPr>
                <w:rFonts w:eastAsia="Times New Roman" w:cs="Times New Roman"/>
                <w:noProof/>
              </w:rPr>
            </w:pPr>
            <w:r>
              <w:rPr>
                <w:noProof/>
              </w:rPr>
              <w:t>7.4</w:t>
            </w:r>
          </w:p>
        </w:tc>
        <w:tc>
          <w:tcPr>
            <w:tcW w:w="1182" w:type="dxa"/>
            <w:tcBorders>
              <w:top w:val="single" w:sz="4" w:space="0" w:color="auto"/>
              <w:left w:val="nil"/>
              <w:bottom w:val="single" w:sz="4" w:space="0" w:color="auto"/>
              <w:right w:val="single" w:sz="4" w:space="0" w:color="auto"/>
            </w:tcBorders>
            <w:shd w:val="clear" w:color="auto" w:fill="C6EFCE"/>
          </w:tcPr>
          <w:p w14:paraId="7A5396CE" w14:textId="77777777" w:rsidR="008273B8" w:rsidRDefault="00B93063">
            <w:pPr>
              <w:pStyle w:val="P68B1DB1-Normal19"/>
              <w:spacing w:line="240" w:lineRule="auto"/>
              <w:jc w:val="center"/>
              <w:rPr>
                <w:rFonts w:eastAsia="Times New Roman" w:cs="Times New Roman"/>
                <w:noProof/>
              </w:rPr>
            </w:pPr>
            <w:r>
              <w:rPr>
                <w:noProof/>
              </w:rPr>
              <w:t>C7.I.1</w:t>
            </w:r>
          </w:p>
        </w:tc>
        <w:tc>
          <w:tcPr>
            <w:tcW w:w="1134" w:type="dxa"/>
            <w:tcBorders>
              <w:top w:val="single" w:sz="4" w:space="0" w:color="auto"/>
              <w:left w:val="nil"/>
              <w:bottom w:val="single" w:sz="4" w:space="0" w:color="auto"/>
              <w:right w:val="single" w:sz="4" w:space="0" w:color="auto"/>
            </w:tcBorders>
            <w:shd w:val="clear" w:color="auto" w:fill="C6EFCE"/>
          </w:tcPr>
          <w:p w14:paraId="7A5396CF" w14:textId="77777777" w:rsidR="008273B8" w:rsidRDefault="00B93063">
            <w:pPr>
              <w:pStyle w:val="P68B1DB1-Normal19"/>
              <w:spacing w:line="240" w:lineRule="auto"/>
              <w:jc w:val="center"/>
              <w:rPr>
                <w:rFonts w:eastAsia="Times New Roman" w:cs="Times New Roman"/>
                <w:noProof/>
              </w:rPr>
            </w:pPr>
            <w:r>
              <w:rPr>
                <w:noProof/>
              </w:rPr>
              <w:t>Ključna etapa</w:t>
            </w:r>
          </w:p>
        </w:tc>
        <w:tc>
          <w:tcPr>
            <w:tcW w:w="5044" w:type="dxa"/>
            <w:tcBorders>
              <w:top w:val="single" w:sz="4" w:space="0" w:color="auto"/>
              <w:left w:val="nil"/>
              <w:bottom w:val="single" w:sz="4" w:space="0" w:color="auto"/>
              <w:right w:val="single" w:sz="4" w:space="0" w:color="auto"/>
            </w:tcBorders>
            <w:shd w:val="clear" w:color="auto" w:fill="C6EFCE"/>
          </w:tcPr>
          <w:p w14:paraId="7A5396D0" w14:textId="55708907" w:rsidR="008273B8" w:rsidRDefault="00B93063">
            <w:pPr>
              <w:pStyle w:val="P68B1DB1-Normal19"/>
              <w:spacing w:line="240" w:lineRule="auto"/>
              <w:rPr>
                <w:rFonts w:eastAsiaTheme="minorEastAsia" w:cs="Times New Roman"/>
                <w:noProof/>
              </w:rPr>
            </w:pPr>
            <w:r>
              <w:rPr>
                <w:noProof/>
              </w:rPr>
              <w:t>Potpisivanje ugovora za a) nabavu radova/usluga za jačanje i širenje elektroenergetske distribucijske mreže ulaganjem u mrežu, usluge distribucije i b) projektiranje baterijskog skladištenja</w:t>
            </w:r>
          </w:p>
        </w:tc>
      </w:tr>
      <w:tr w:rsidR="008273B8" w14:paraId="7A5396D6" w14:textId="77777777">
        <w:trPr>
          <w:cantSplit/>
          <w:trHeight w:val="480"/>
          <w:jc w:val="center"/>
        </w:trPr>
        <w:tc>
          <w:tcPr>
            <w:tcW w:w="934" w:type="dxa"/>
            <w:gridSpan w:val="2"/>
            <w:tcBorders>
              <w:top w:val="single" w:sz="4" w:space="0" w:color="auto"/>
              <w:left w:val="single" w:sz="4" w:space="0" w:color="auto"/>
              <w:bottom w:val="single" w:sz="4" w:space="0" w:color="auto"/>
              <w:right w:val="single" w:sz="4" w:space="0" w:color="auto"/>
            </w:tcBorders>
            <w:shd w:val="clear" w:color="auto" w:fill="C6EFCE"/>
            <w:vAlign w:val="center"/>
          </w:tcPr>
          <w:p w14:paraId="7A5396D2" w14:textId="77777777" w:rsidR="008273B8" w:rsidRDefault="008273B8">
            <w:pPr>
              <w:spacing w:after="0" w:line="240" w:lineRule="auto"/>
              <w:jc w:val="center"/>
              <w:rPr>
                <w:rFonts w:ascii="Times New Roman" w:eastAsia="Times New Roman" w:hAnsi="Times New Roman" w:cs="Times New Roman"/>
                <w:noProof/>
                <w:sz w:val="18"/>
              </w:rPr>
            </w:pPr>
          </w:p>
        </w:tc>
        <w:tc>
          <w:tcPr>
            <w:tcW w:w="1182" w:type="dxa"/>
            <w:tcBorders>
              <w:top w:val="single" w:sz="4" w:space="0" w:color="auto"/>
              <w:left w:val="nil"/>
              <w:bottom w:val="single" w:sz="4" w:space="0" w:color="auto"/>
              <w:right w:val="single" w:sz="4" w:space="0" w:color="auto"/>
            </w:tcBorders>
            <w:shd w:val="clear" w:color="auto" w:fill="C6EFCE"/>
            <w:vAlign w:val="center"/>
          </w:tcPr>
          <w:p w14:paraId="7A5396D3" w14:textId="77777777" w:rsidR="008273B8" w:rsidRDefault="008273B8">
            <w:pPr>
              <w:spacing w:after="0" w:line="240" w:lineRule="auto"/>
              <w:jc w:val="center"/>
              <w:rPr>
                <w:rFonts w:ascii="Times New Roman" w:eastAsia="Times New Roman" w:hAnsi="Times New Roman" w:cs="Times New Roman"/>
                <w:noProof/>
                <w:sz w:val="18"/>
              </w:rPr>
            </w:pPr>
          </w:p>
        </w:tc>
        <w:tc>
          <w:tcPr>
            <w:tcW w:w="1134" w:type="dxa"/>
            <w:tcBorders>
              <w:top w:val="single" w:sz="4" w:space="0" w:color="auto"/>
              <w:left w:val="nil"/>
              <w:bottom w:val="single" w:sz="4" w:space="0" w:color="auto"/>
              <w:right w:val="single" w:sz="4" w:space="0" w:color="auto"/>
            </w:tcBorders>
            <w:shd w:val="clear" w:color="auto" w:fill="C6EFCE"/>
            <w:vAlign w:val="bottom"/>
          </w:tcPr>
          <w:p w14:paraId="7A5396D4" w14:textId="77777777" w:rsidR="008273B8" w:rsidRDefault="00B93063">
            <w:pPr>
              <w:pStyle w:val="P68B1DB1-Normal19"/>
              <w:spacing w:after="0" w:line="240" w:lineRule="auto"/>
              <w:jc w:val="center"/>
              <w:rPr>
                <w:rFonts w:eastAsia="Times New Roman" w:cs="Times New Roman"/>
                <w:noProof/>
              </w:rPr>
            </w:pPr>
            <w:r>
              <w:rPr>
                <w:noProof/>
              </w:rPr>
              <w:t>Iznos obroka</w:t>
            </w:r>
          </w:p>
        </w:tc>
        <w:tc>
          <w:tcPr>
            <w:tcW w:w="5044" w:type="dxa"/>
            <w:tcBorders>
              <w:top w:val="single" w:sz="4" w:space="0" w:color="auto"/>
              <w:left w:val="nil"/>
              <w:bottom w:val="single" w:sz="4" w:space="0" w:color="auto"/>
              <w:right w:val="single" w:sz="4" w:space="0" w:color="auto"/>
            </w:tcBorders>
            <w:shd w:val="clear" w:color="auto" w:fill="C6EFCE"/>
            <w:vAlign w:val="bottom"/>
          </w:tcPr>
          <w:p w14:paraId="7A5396D5" w14:textId="604A69B8" w:rsidR="008273B8" w:rsidRDefault="00B93063">
            <w:pPr>
              <w:pStyle w:val="P68B1DB1-Normal19"/>
              <w:spacing w:after="0" w:line="240" w:lineRule="auto"/>
              <w:rPr>
                <w:rFonts w:eastAsia="Times New Roman" w:cs="Times New Roman"/>
                <w:noProof/>
              </w:rPr>
            </w:pPr>
            <w:r>
              <w:rPr>
                <w:noProof/>
              </w:rPr>
              <w:t xml:space="preserve">74831558 EURA  </w:t>
            </w:r>
          </w:p>
        </w:tc>
      </w:tr>
    </w:tbl>
    <w:p w14:paraId="7A5396D7" w14:textId="77777777" w:rsidR="008273B8" w:rsidRDefault="008273B8">
      <w:pPr>
        <w:spacing w:before="240" w:after="240" w:line="240" w:lineRule="auto"/>
        <w:ind w:left="360"/>
        <w:jc w:val="both"/>
        <w:rPr>
          <w:rFonts w:ascii="Times New Roman" w:hAnsi="Times New Roman" w:cs="Times New Roman"/>
          <w:noProof/>
          <w:sz w:val="24"/>
        </w:rPr>
      </w:pPr>
    </w:p>
    <w:p w14:paraId="7A5396D8" w14:textId="77777777" w:rsidR="008273B8" w:rsidRDefault="00B93063">
      <w:pPr>
        <w:pStyle w:val="P68B1DB1-ListParagraph17"/>
        <w:numPr>
          <w:ilvl w:val="1"/>
          <w:numId w:val="43"/>
        </w:numPr>
        <w:tabs>
          <w:tab w:val="num" w:pos="850"/>
        </w:tabs>
        <w:spacing w:before="240" w:after="240" w:line="240" w:lineRule="auto"/>
        <w:jc w:val="both"/>
        <w:rPr>
          <w:rFonts w:cs="Times New Roman"/>
          <w:noProof/>
        </w:rPr>
      </w:pPr>
      <w:r>
        <w:rPr>
          <w:noProof/>
        </w:rPr>
        <w:t xml:space="preserve">Peto postrojenje (nepovratna potpora): </w:t>
      </w:r>
    </w:p>
    <w:tbl>
      <w:tblPr>
        <w:tblW w:w="8126" w:type="dxa"/>
        <w:jc w:val="center"/>
        <w:tblLook w:val="04A0" w:firstRow="1" w:lastRow="0" w:firstColumn="1" w:lastColumn="0" w:noHBand="0" w:noVBand="1"/>
      </w:tblPr>
      <w:tblGrid>
        <w:gridCol w:w="1037"/>
        <w:gridCol w:w="1136"/>
        <w:gridCol w:w="1133"/>
        <w:gridCol w:w="4820"/>
      </w:tblGrid>
      <w:tr w:rsidR="008273B8" w14:paraId="7A5396DD" w14:textId="77777777">
        <w:trPr>
          <w:trHeight w:val="912"/>
          <w:tblHeader/>
          <w:jc w:val="center"/>
        </w:trPr>
        <w:tc>
          <w:tcPr>
            <w:tcW w:w="103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6D9" w14:textId="77777777" w:rsidR="008273B8" w:rsidRDefault="00B93063">
            <w:pPr>
              <w:pStyle w:val="P68B1DB1-Normal18"/>
              <w:spacing w:after="0" w:line="240" w:lineRule="auto"/>
              <w:jc w:val="center"/>
              <w:rPr>
                <w:rFonts w:eastAsia="Times New Roman" w:cs="Times New Roman"/>
                <w:noProof/>
              </w:rPr>
            </w:pPr>
            <w:r>
              <w:rPr>
                <w:noProof/>
              </w:rPr>
              <w:t>Redni broj</w:t>
            </w:r>
          </w:p>
        </w:tc>
        <w:tc>
          <w:tcPr>
            <w:tcW w:w="1136"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6DA" w14:textId="77777777" w:rsidR="008273B8" w:rsidRDefault="00B93063">
            <w:pPr>
              <w:pStyle w:val="P68B1DB1-Normal18"/>
              <w:spacing w:after="0" w:line="240" w:lineRule="auto"/>
              <w:jc w:val="center"/>
              <w:rPr>
                <w:rFonts w:eastAsia="Times New Roman" w:cs="Times New Roman"/>
                <w:noProof/>
              </w:rPr>
            </w:pPr>
            <w:r>
              <w:rPr>
                <w:noProof/>
              </w:rPr>
              <w:t>Povezana mjera (reforma ili ulaganje)</w:t>
            </w:r>
          </w:p>
        </w:tc>
        <w:tc>
          <w:tcPr>
            <w:tcW w:w="1133"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6DB" w14:textId="77777777" w:rsidR="008273B8" w:rsidRDefault="00B93063">
            <w:pPr>
              <w:pStyle w:val="P68B1DB1-Normal18"/>
              <w:spacing w:after="0" w:line="240" w:lineRule="auto"/>
              <w:jc w:val="center"/>
              <w:rPr>
                <w:rFonts w:eastAsia="Times New Roman" w:cs="Times New Roman"/>
                <w:noProof/>
              </w:rPr>
            </w:pPr>
            <w:r>
              <w:rPr>
                <w:noProof/>
              </w:rPr>
              <w:t>Ključna etapa/cilj</w:t>
            </w:r>
          </w:p>
        </w:tc>
        <w:tc>
          <w:tcPr>
            <w:tcW w:w="4808"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6DC" w14:textId="77777777" w:rsidR="008273B8" w:rsidRDefault="00B93063">
            <w:pPr>
              <w:pStyle w:val="P68B1DB1-Normal18"/>
              <w:spacing w:after="0" w:line="240" w:lineRule="auto"/>
              <w:jc w:val="center"/>
              <w:rPr>
                <w:rFonts w:eastAsia="Times New Roman" w:cs="Times New Roman"/>
                <w:noProof/>
              </w:rPr>
            </w:pPr>
            <w:r>
              <w:rPr>
                <w:noProof/>
              </w:rPr>
              <w:t>Ime</w:t>
            </w:r>
          </w:p>
        </w:tc>
      </w:tr>
      <w:tr w:rsidR="008273B8" w14:paraId="7A5396E2" w14:textId="77777777">
        <w:trPr>
          <w:cantSplit/>
          <w:trHeight w:val="288"/>
          <w:jc w:val="center"/>
        </w:trPr>
        <w:tc>
          <w:tcPr>
            <w:tcW w:w="1037" w:type="dxa"/>
            <w:tcBorders>
              <w:top w:val="single" w:sz="4" w:space="0" w:color="auto"/>
              <w:left w:val="single" w:sz="4" w:space="0" w:color="auto"/>
              <w:bottom w:val="single" w:sz="4" w:space="0" w:color="auto"/>
              <w:right w:val="single" w:sz="4" w:space="0" w:color="auto"/>
            </w:tcBorders>
            <w:shd w:val="clear" w:color="auto" w:fill="C6EFCE"/>
            <w:hideMark/>
          </w:tcPr>
          <w:p w14:paraId="7A5396DE" w14:textId="77777777" w:rsidR="008273B8" w:rsidRDefault="00B93063">
            <w:pPr>
              <w:pStyle w:val="P68B1DB1-Normal19"/>
              <w:spacing w:after="0" w:line="240" w:lineRule="auto"/>
              <w:jc w:val="center"/>
              <w:rPr>
                <w:rFonts w:eastAsia="Times New Roman" w:cs="Times New Roman"/>
                <w:noProof/>
              </w:rPr>
            </w:pPr>
            <w:r>
              <w:rPr>
                <w:noProof/>
              </w:rPr>
              <w:t xml:space="preserve"> 1.7</w:t>
            </w:r>
          </w:p>
        </w:tc>
        <w:tc>
          <w:tcPr>
            <w:tcW w:w="1136" w:type="dxa"/>
            <w:tcBorders>
              <w:top w:val="single" w:sz="4" w:space="0" w:color="auto"/>
              <w:left w:val="nil"/>
              <w:bottom w:val="single" w:sz="4" w:space="0" w:color="auto"/>
              <w:right w:val="single" w:sz="4" w:space="0" w:color="auto"/>
            </w:tcBorders>
            <w:shd w:val="clear" w:color="auto" w:fill="C6EFCE"/>
            <w:hideMark/>
          </w:tcPr>
          <w:p w14:paraId="7A5396DF" w14:textId="77777777" w:rsidR="008273B8" w:rsidRDefault="00B93063">
            <w:pPr>
              <w:pStyle w:val="P68B1DB1-Normal19"/>
              <w:spacing w:after="0" w:line="240" w:lineRule="auto"/>
              <w:jc w:val="center"/>
              <w:rPr>
                <w:rFonts w:eastAsia="Times New Roman" w:cs="Times New Roman"/>
                <w:noProof/>
              </w:rPr>
            </w:pPr>
            <w:r>
              <w:rPr>
                <w:noProof/>
              </w:rPr>
              <w:t xml:space="preserve">C1.R.2 </w:t>
            </w:r>
          </w:p>
        </w:tc>
        <w:tc>
          <w:tcPr>
            <w:tcW w:w="1133" w:type="dxa"/>
            <w:tcBorders>
              <w:top w:val="single" w:sz="4" w:space="0" w:color="auto"/>
              <w:left w:val="nil"/>
              <w:bottom w:val="single" w:sz="4" w:space="0" w:color="auto"/>
              <w:right w:val="single" w:sz="4" w:space="0" w:color="auto"/>
            </w:tcBorders>
            <w:shd w:val="clear" w:color="auto" w:fill="C6EFCE"/>
            <w:hideMark/>
          </w:tcPr>
          <w:p w14:paraId="7A5396E0"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4808" w:type="dxa"/>
            <w:tcBorders>
              <w:top w:val="single" w:sz="4" w:space="0" w:color="auto"/>
              <w:left w:val="nil"/>
              <w:bottom w:val="single" w:sz="4" w:space="0" w:color="auto"/>
              <w:right w:val="single" w:sz="4" w:space="0" w:color="auto"/>
            </w:tcBorders>
            <w:shd w:val="clear" w:color="auto" w:fill="C6EFCE"/>
            <w:hideMark/>
          </w:tcPr>
          <w:p w14:paraId="7A5396E1" w14:textId="77777777" w:rsidR="008273B8" w:rsidRDefault="00B93063">
            <w:pPr>
              <w:pStyle w:val="P68B1DB1-Normal19"/>
              <w:spacing w:after="0" w:line="240" w:lineRule="auto"/>
              <w:rPr>
                <w:rFonts w:eastAsia="Times New Roman" w:cs="Times New Roman"/>
                <w:noProof/>
              </w:rPr>
            </w:pPr>
            <w:r>
              <w:rPr>
                <w:noProof/>
              </w:rPr>
              <w:t xml:space="preserve">Stupanje na snagu zakonodavstva koje se može smatrati primjerenim u okviru studije o izvedivosti usmjeravanja na nove tokove otpada kroz proširenu odgovornost proizvođača </w:t>
            </w:r>
          </w:p>
        </w:tc>
      </w:tr>
      <w:tr w:rsidR="008273B8" w14:paraId="7A5396E7" w14:textId="77777777">
        <w:trPr>
          <w:cantSplit/>
          <w:trHeight w:val="425"/>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6E3"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1.16</w:t>
            </w:r>
          </w:p>
        </w:tc>
        <w:tc>
          <w:tcPr>
            <w:tcW w:w="1136" w:type="dxa"/>
            <w:tcBorders>
              <w:top w:val="nil"/>
              <w:left w:val="nil"/>
              <w:bottom w:val="single" w:sz="4" w:space="0" w:color="auto"/>
              <w:right w:val="single" w:sz="4" w:space="0" w:color="auto"/>
            </w:tcBorders>
            <w:shd w:val="clear" w:color="auto" w:fill="C6EFCE"/>
            <w:hideMark/>
          </w:tcPr>
          <w:p w14:paraId="7A5396E4"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C1.I.1 </w:t>
            </w:r>
          </w:p>
        </w:tc>
        <w:tc>
          <w:tcPr>
            <w:tcW w:w="1133" w:type="dxa"/>
            <w:tcBorders>
              <w:top w:val="nil"/>
              <w:left w:val="nil"/>
              <w:bottom w:val="single" w:sz="4" w:space="0" w:color="auto"/>
              <w:right w:val="single" w:sz="4" w:space="0" w:color="auto"/>
            </w:tcBorders>
            <w:shd w:val="clear" w:color="auto" w:fill="C6EFCE"/>
            <w:hideMark/>
          </w:tcPr>
          <w:p w14:paraId="7A5396E5"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Ciljna vrijednost </w:t>
            </w:r>
          </w:p>
        </w:tc>
        <w:tc>
          <w:tcPr>
            <w:tcW w:w="4808" w:type="dxa"/>
            <w:tcBorders>
              <w:top w:val="nil"/>
              <w:left w:val="nil"/>
              <w:bottom w:val="single" w:sz="4" w:space="0" w:color="auto"/>
              <w:right w:val="single" w:sz="4" w:space="0" w:color="auto"/>
            </w:tcBorders>
            <w:shd w:val="clear" w:color="auto" w:fill="C6EFCE"/>
            <w:hideMark/>
          </w:tcPr>
          <w:p w14:paraId="7A5396E6" w14:textId="75D88DCD" w:rsidR="008273B8" w:rsidRDefault="00B93063">
            <w:pPr>
              <w:pStyle w:val="P68B1DB1-Normal19"/>
              <w:spacing w:after="0" w:line="240" w:lineRule="auto"/>
              <w:rPr>
                <w:rFonts w:eastAsia="Times New Roman" w:cs="Times New Roman"/>
                <w:noProof/>
                <w:color w:val="000000"/>
              </w:rPr>
            </w:pPr>
            <w:r>
              <w:rPr>
                <w:noProof/>
              </w:rPr>
              <w:t>Obnovljene javne zgrade</w:t>
            </w:r>
          </w:p>
        </w:tc>
      </w:tr>
      <w:tr w:rsidR="008273B8" w14:paraId="7A5396EC" w14:textId="77777777">
        <w:trPr>
          <w:cantSplit/>
          <w:trHeight w:val="480"/>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6E8" w14:textId="21C69788" w:rsidR="008273B8" w:rsidRDefault="008273B8">
            <w:pPr>
              <w:spacing w:after="0" w:line="240" w:lineRule="auto"/>
              <w:jc w:val="center"/>
              <w:rPr>
                <w:rFonts w:ascii="Times New Roman" w:eastAsia="Times New Roman" w:hAnsi="Times New Roman" w:cs="Times New Roman"/>
                <w:noProof/>
                <w:color w:val="000000"/>
                <w:sz w:val="18"/>
              </w:rPr>
            </w:pPr>
          </w:p>
        </w:tc>
        <w:tc>
          <w:tcPr>
            <w:tcW w:w="1136" w:type="dxa"/>
            <w:tcBorders>
              <w:top w:val="nil"/>
              <w:left w:val="nil"/>
              <w:bottom w:val="single" w:sz="4" w:space="0" w:color="auto"/>
              <w:right w:val="single" w:sz="4" w:space="0" w:color="auto"/>
            </w:tcBorders>
            <w:shd w:val="clear" w:color="auto" w:fill="C6EFCE"/>
            <w:hideMark/>
          </w:tcPr>
          <w:p w14:paraId="7A5396E9" w14:textId="5AAFF99F" w:rsidR="008273B8" w:rsidRDefault="008273B8">
            <w:pPr>
              <w:spacing w:after="0" w:line="240" w:lineRule="auto"/>
              <w:jc w:val="center"/>
              <w:rPr>
                <w:rFonts w:ascii="Times New Roman" w:eastAsia="Times New Roman" w:hAnsi="Times New Roman" w:cs="Times New Roman"/>
                <w:noProof/>
                <w:color w:val="000000"/>
                <w:sz w:val="18"/>
              </w:rPr>
            </w:pPr>
          </w:p>
        </w:tc>
        <w:tc>
          <w:tcPr>
            <w:tcW w:w="1133" w:type="dxa"/>
            <w:tcBorders>
              <w:top w:val="nil"/>
              <w:left w:val="nil"/>
              <w:bottom w:val="single" w:sz="4" w:space="0" w:color="auto"/>
              <w:right w:val="single" w:sz="4" w:space="0" w:color="auto"/>
            </w:tcBorders>
            <w:shd w:val="clear" w:color="auto" w:fill="C6EFCE"/>
            <w:hideMark/>
          </w:tcPr>
          <w:p w14:paraId="7A5396EA" w14:textId="2C0831F6" w:rsidR="008273B8" w:rsidRDefault="008273B8">
            <w:pPr>
              <w:spacing w:after="0" w:line="240" w:lineRule="auto"/>
              <w:jc w:val="center"/>
              <w:rPr>
                <w:rFonts w:ascii="Times New Roman" w:eastAsia="Times New Roman" w:hAnsi="Times New Roman" w:cs="Times New Roman"/>
                <w:noProof/>
                <w:color w:val="000000"/>
                <w:sz w:val="18"/>
              </w:rPr>
            </w:pPr>
          </w:p>
        </w:tc>
        <w:tc>
          <w:tcPr>
            <w:tcW w:w="4808" w:type="dxa"/>
            <w:tcBorders>
              <w:top w:val="nil"/>
              <w:left w:val="nil"/>
              <w:bottom w:val="single" w:sz="4" w:space="0" w:color="auto"/>
              <w:right w:val="single" w:sz="4" w:space="0" w:color="auto"/>
            </w:tcBorders>
            <w:shd w:val="clear" w:color="auto" w:fill="C6EFCE"/>
            <w:hideMark/>
          </w:tcPr>
          <w:p w14:paraId="7A5396EB" w14:textId="0B0C3561" w:rsidR="008273B8" w:rsidRDefault="008273B8">
            <w:pPr>
              <w:spacing w:after="0" w:line="240" w:lineRule="auto"/>
              <w:rPr>
                <w:rFonts w:ascii="Times New Roman" w:eastAsia="Times New Roman" w:hAnsi="Times New Roman" w:cs="Times New Roman"/>
                <w:noProof/>
                <w:color w:val="000000"/>
                <w:sz w:val="18"/>
              </w:rPr>
            </w:pPr>
          </w:p>
        </w:tc>
      </w:tr>
      <w:tr w:rsidR="008273B8" w14:paraId="7A5396F1" w14:textId="77777777">
        <w:trPr>
          <w:cantSplit/>
          <w:trHeight w:val="480"/>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6ED"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2.2</w:t>
            </w:r>
          </w:p>
        </w:tc>
        <w:tc>
          <w:tcPr>
            <w:tcW w:w="1136" w:type="dxa"/>
            <w:tcBorders>
              <w:top w:val="nil"/>
              <w:left w:val="nil"/>
              <w:bottom w:val="single" w:sz="4" w:space="0" w:color="auto"/>
              <w:right w:val="single" w:sz="4" w:space="0" w:color="auto"/>
            </w:tcBorders>
            <w:shd w:val="clear" w:color="auto" w:fill="C6EFCE"/>
            <w:hideMark/>
          </w:tcPr>
          <w:p w14:paraId="7A5396EE"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C2.R.1 </w:t>
            </w:r>
          </w:p>
        </w:tc>
        <w:tc>
          <w:tcPr>
            <w:tcW w:w="1133" w:type="dxa"/>
            <w:tcBorders>
              <w:top w:val="nil"/>
              <w:left w:val="nil"/>
              <w:bottom w:val="single" w:sz="4" w:space="0" w:color="auto"/>
              <w:right w:val="single" w:sz="4" w:space="0" w:color="auto"/>
            </w:tcBorders>
            <w:shd w:val="clear" w:color="auto" w:fill="C6EFCE"/>
            <w:hideMark/>
          </w:tcPr>
          <w:p w14:paraId="7A5396EF" w14:textId="77777777" w:rsidR="008273B8" w:rsidRDefault="00B93063">
            <w:pPr>
              <w:pStyle w:val="P68B1DB1-Normal19"/>
              <w:spacing w:after="0" w:line="240" w:lineRule="auto"/>
              <w:jc w:val="center"/>
              <w:rPr>
                <w:rFonts w:eastAsia="Times New Roman" w:cs="Times New Roman"/>
                <w:noProof/>
                <w:color w:val="000000"/>
              </w:rPr>
            </w:pPr>
            <w:r>
              <w:rPr>
                <w:noProof/>
              </w:rPr>
              <w:t>Ključna etapa</w:t>
            </w:r>
          </w:p>
        </w:tc>
        <w:tc>
          <w:tcPr>
            <w:tcW w:w="4808" w:type="dxa"/>
            <w:tcBorders>
              <w:top w:val="nil"/>
              <w:left w:val="nil"/>
              <w:bottom w:val="single" w:sz="4" w:space="0" w:color="auto"/>
              <w:right w:val="single" w:sz="4" w:space="0" w:color="auto"/>
            </w:tcBorders>
            <w:shd w:val="clear" w:color="auto" w:fill="C6EFCE"/>
            <w:hideMark/>
          </w:tcPr>
          <w:p w14:paraId="7A5396F0" w14:textId="77777777" w:rsidR="008273B8" w:rsidRDefault="00B93063">
            <w:pPr>
              <w:pStyle w:val="P68B1DB1-Normal19"/>
              <w:spacing w:after="0" w:line="240" w:lineRule="auto"/>
              <w:rPr>
                <w:rFonts w:eastAsia="Times New Roman" w:cs="Times New Roman"/>
                <w:noProof/>
                <w:color w:val="000000"/>
              </w:rPr>
            </w:pPr>
            <w:r>
              <w:rPr>
                <w:noProof/>
              </w:rPr>
              <w:t xml:space="preserve">Završetak kampanje za podizanje svijesti o održivom prijevozu s nultim i niskim emisijama ugljika </w:t>
            </w:r>
          </w:p>
        </w:tc>
      </w:tr>
      <w:tr w:rsidR="008273B8" w14:paraId="7A5396F6" w14:textId="77777777">
        <w:trPr>
          <w:cantSplit/>
          <w:trHeight w:val="288"/>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6F2"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2.5</w:t>
            </w:r>
          </w:p>
        </w:tc>
        <w:tc>
          <w:tcPr>
            <w:tcW w:w="1136" w:type="dxa"/>
            <w:tcBorders>
              <w:top w:val="nil"/>
              <w:left w:val="nil"/>
              <w:bottom w:val="single" w:sz="4" w:space="0" w:color="auto"/>
              <w:right w:val="single" w:sz="4" w:space="0" w:color="auto"/>
            </w:tcBorders>
            <w:shd w:val="clear" w:color="auto" w:fill="C6EFCE"/>
            <w:hideMark/>
          </w:tcPr>
          <w:p w14:paraId="7A5396F3"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C2.R.3 </w:t>
            </w:r>
          </w:p>
        </w:tc>
        <w:tc>
          <w:tcPr>
            <w:tcW w:w="1133" w:type="dxa"/>
            <w:tcBorders>
              <w:top w:val="nil"/>
              <w:left w:val="nil"/>
              <w:bottom w:val="single" w:sz="4" w:space="0" w:color="auto"/>
              <w:right w:val="single" w:sz="4" w:space="0" w:color="auto"/>
            </w:tcBorders>
            <w:shd w:val="clear" w:color="auto" w:fill="C6EFCE"/>
            <w:hideMark/>
          </w:tcPr>
          <w:p w14:paraId="7A5396F4" w14:textId="77777777" w:rsidR="008273B8" w:rsidRDefault="00B93063">
            <w:pPr>
              <w:pStyle w:val="P68B1DB1-Normal19"/>
              <w:spacing w:after="0" w:line="240" w:lineRule="auto"/>
              <w:jc w:val="center"/>
              <w:rPr>
                <w:rFonts w:eastAsia="Times New Roman" w:cs="Times New Roman"/>
                <w:noProof/>
                <w:color w:val="000000"/>
              </w:rPr>
            </w:pPr>
            <w:r>
              <w:rPr>
                <w:noProof/>
              </w:rPr>
              <w:t>Ciljna vrijednost</w:t>
            </w:r>
          </w:p>
        </w:tc>
        <w:tc>
          <w:tcPr>
            <w:tcW w:w="4808" w:type="dxa"/>
            <w:tcBorders>
              <w:top w:val="nil"/>
              <w:left w:val="nil"/>
              <w:bottom w:val="single" w:sz="4" w:space="0" w:color="auto"/>
              <w:right w:val="single" w:sz="4" w:space="0" w:color="auto"/>
            </w:tcBorders>
            <w:shd w:val="clear" w:color="auto" w:fill="C6EFCE"/>
            <w:hideMark/>
          </w:tcPr>
          <w:p w14:paraId="7A5396F5" w14:textId="77777777" w:rsidR="008273B8" w:rsidRDefault="00B93063">
            <w:pPr>
              <w:pStyle w:val="P68B1DB1-Normal19"/>
              <w:spacing w:after="0" w:line="240" w:lineRule="auto"/>
              <w:rPr>
                <w:rFonts w:eastAsia="Times New Roman" w:cs="Times New Roman"/>
                <w:noProof/>
                <w:color w:val="000000"/>
              </w:rPr>
            </w:pPr>
            <w:r>
              <w:rPr>
                <w:noProof/>
              </w:rPr>
              <w:t xml:space="preserve">Lokalne upravne jedinice u regiji Valletti s poboljšanim rješenjima za gradsku mobilnost u okviru Plana održive gradske mobilnosti </w:t>
            </w:r>
          </w:p>
        </w:tc>
      </w:tr>
      <w:tr w:rsidR="008273B8" w14:paraId="7A5396FB" w14:textId="77777777">
        <w:trPr>
          <w:cantSplit/>
          <w:trHeight w:val="611"/>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6F7"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2.7</w:t>
            </w:r>
          </w:p>
        </w:tc>
        <w:tc>
          <w:tcPr>
            <w:tcW w:w="1136" w:type="dxa"/>
            <w:tcBorders>
              <w:top w:val="nil"/>
              <w:left w:val="nil"/>
              <w:bottom w:val="single" w:sz="4" w:space="0" w:color="auto"/>
              <w:right w:val="single" w:sz="4" w:space="0" w:color="auto"/>
            </w:tcBorders>
            <w:shd w:val="clear" w:color="auto" w:fill="C6EFCE"/>
            <w:hideMark/>
          </w:tcPr>
          <w:p w14:paraId="7A5396F8"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C2.R.4 </w:t>
            </w:r>
          </w:p>
        </w:tc>
        <w:tc>
          <w:tcPr>
            <w:tcW w:w="1133" w:type="dxa"/>
            <w:tcBorders>
              <w:top w:val="nil"/>
              <w:left w:val="nil"/>
              <w:bottom w:val="single" w:sz="4" w:space="0" w:color="auto"/>
              <w:right w:val="single" w:sz="4" w:space="0" w:color="auto"/>
            </w:tcBorders>
            <w:shd w:val="clear" w:color="auto" w:fill="C6EFCE"/>
            <w:hideMark/>
          </w:tcPr>
          <w:p w14:paraId="7A5396F9" w14:textId="77777777" w:rsidR="008273B8" w:rsidRDefault="00B93063">
            <w:pPr>
              <w:pStyle w:val="P68B1DB1-Normal19"/>
              <w:spacing w:after="0" w:line="240" w:lineRule="auto"/>
              <w:jc w:val="center"/>
              <w:rPr>
                <w:rFonts w:eastAsia="Times New Roman" w:cs="Times New Roman"/>
                <w:noProof/>
                <w:color w:val="000000"/>
              </w:rPr>
            </w:pPr>
            <w:r>
              <w:rPr>
                <w:noProof/>
              </w:rPr>
              <w:t>Ciljna vrijednost</w:t>
            </w:r>
          </w:p>
        </w:tc>
        <w:tc>
          <w:tcPr>
            <w:tcW w:w="4808" w:type="dxa"/>
            <w:tcBorders>
              <w:top w:val="nil"/>
              <w:left w:val="nil"/>
              <w:bottom w:val="single" w:sz="4" w:space="0" w:color="auto"/>
              <w:right w:val="single" w:sz="4" w:space="0" w:color="auto"/>
            </w:tcBorders>
            <w:shd w:val="clear" w:color="auto" w:fill="C6EFCE"/>
            <w:hideMark/>
          </w:tcPr>
          <w:p w14:paraId="7A5396FA" w14:textId="77777777" w:rsidR="008273B8" w:rsidRDefault="00B93063">
            <w:pPr>
              <w:pStyle w:val="P68B1DB1-Normal19"/>
              <w:spacing w:after="0" w:line="240" w:lineRule="auto"/>
              <w:rPr>
                <w:rFonts w:eastAsia="Times New Roman" w:cs="Times New Roman"/>
                <w:noProof/>
                <w:color w:val="000000"/>
              </w:rPr>
            </w:pPr>
            <w:r>
              <w:rPr>
                <w:noProof/>
              </w:rPr>
              <w:t>Regeneracijska područja stvorena u gradskim područjima za otvorene prostore i prostore bez automobila</w:t>
            </w:r>
          </w:p>
        </w:tc>
      </w:tr>
      <w:tr w:rsidR="008273B8" w14:paraId="7A539700" w14:textId="77777777">
        <w:trPr>
          <w:cantSplit/>
          <w:trHeight w:val="480"/>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6FC"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2.11</w:t>
            </w:r>
          </w:p>
        </w:tc>
        <w:tc>
          <w:tcPr>
            <w:tcW w:w="1136" w:type="dxa"/>
            <w:tcBorders>
              <w:top w:val="nil"/>
              <w:left w:val="nil"/>
              <w:bottom w:val="single" w:sz="4" w:space="0" w:color="auto"/>
              <w:right w:val="single" w:sz="4" w:space="0" w:color="auto"/>
            </w:tcBorders>
            <w:shd w:val="clear" w:color="auto" w:fill="C6EFCE"/>
            <w:hideMark/>
          </w:tcPr>
          <w:p w14:paraId="7A5396FD"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C2.R.6 </w:t>
            </w:r>
          </w:p>
        </w:tc>
        <w:tc>
          <w:tcPr>
            <w:tcW w:w="1133" w:type="dxa"/>
            <w:tcBorders>
              <w:top w:val="nil"/>
              <w:left w:val="nil"/>
              <w:bottom w:val="single" w:sz="4" w:space="0" w:color="auto"/>
              <w:right w:val="single" w:sz="4" w:space="0" w:color="auto"/>
            </w:tcBorders>
            <w:shd w:val="clear" w:color="auto" w:fill="C6EFCE"/>
            <w:hideMark/>
          </w:tcPr>
          <w:p w14:paraId="7A5396FE" w14:textId="77777777" w:rsidR="008273B8" w:rsidRDefault="00B93063">
            <w:pPr>
              <w:pStyle w:val="P68B1DB1-Normal19"/>
              <w:spacing w:after="0" w:line="240" w:lineRule="auto"/>
              <w:jc w:val="center"/>
              <w:rPr>
                <w:rFonts w:eastAsia="Times New Roman" w:cs="Times New Roman"/>
                <w:noProof/>
                <w:color w:val="000000"/>
              </w:rPr>
            </w:pPr>
            <w:r>
              <w:rPr>
                <w:noProof/>
              </w:rPr>
              <w:t>Ciljna vrijednost</w:t>
            </w:r>
          </w:p>
        </w:tc>
        <w:tc>
          <w:tcPr>
            <w:tcW w:w="4808" w:type="dxa"/>
            <w:tcBorders>
              <w:top w:val="nil"/>
              <w:left w:val="nil"/>
              <w:bottom w:val="single" w:sz="4" w:space="0" w:color="auto"/>
              <w:right w:val="single" w:sz="4" w:space="0" w:color="auto"/>
            </w:tcBorders>
            <w:shd w:val="clear" w:color="auto" w:fill="C6EFCE"/>
            <w:hideMark/>
          </w:tcPr>
          <w:p w14:paraId="7A5396FF" w14:textId="77777777" w:rsidR="008273B8" w:rsidRDefault="00B93063">
            <w:pPr>
              <w:pStyle w:val="P68B1DB1-Normal19"/>
              <w:spacing w:after="0" w:line="240" w:lineRule="auto"/>
              <w:rPr>
                <w:rFonts w:eastAsia="Times New Roman" w:cs="Times New Roman"/>
                <w:noProof/>
                <w:color w:val="000000"/>
              </w:rPr>
            </w:pPr>
            <w:r>
              <w:rPr>
                <w:noProof/>
              </w:rPr>
              <w:t>Povećanje zajedničke mobilnosti u javnim službama</w:t>
            </w:r>
          </w:p>
        </w:tc>
      </w:tr>
      <w:tr w:rsidR="008273B8" w14:paraId="7A53970A" w14:textId="77777777">
        <w:trPr>
          <w:cantSplit/>
          <w:trHeight w:val="480"/>
          <w:jc w:val="center"/>
        </w:trPr>
        <w:tc>
          <w:tcPr>
            <w:tcW w:w="1037" w:type="dxa"/>
            <w:tcBorders>
              <w:top w:val="nil"/>
              <w:left w:val="single" w:sz="4" w:space="0" w:color="auto"/>
              <w:bottom w:val="single" w:sz="4" w:space="0" w:color="auto"/>
              <w:right w:val="single" w:sz="4" w:space="0" w:color="auto"/>
            </w:tcBorders>
            <w:shd w:val="clear" w:color="auto" w:fill="C6EFCE"/>
          </w:tcPr>
          <w:p w14:paraId="7A539706" w14:textId="23238566" w:rsidR="008273B8" w:rsidRDefault="00B93063">
            <w:pPr>
              <w:pStyle w:val="P68B1DB1-Normal19"/>
              <w:spacing w:after="0" w:line="240" w:lineRule="auto"/>
              <w:jc w:val="center"/>
              <w:rPr>
                <w:rFonts w:cs="Times New Roman"/>
                <w:noProof/>
              </w:rPr>
            </w:pPr>
            <w:r>
              <w:rPr>
                <w:noProof/>
              </w:rPr>
              <w:t>2.17</w:t>
            </w:r>
          </w:p>
        </w:tc>
        <w:tc>
          <w:tcPr>
            <w:tcW w:w="1136" w:type="dxa"/>
            <w:tcBorders>
              <w:top w:val="nil"/>
              <w:left w:val="nil"/>
              <w:bottom w:val="single" w:sz="4" w:space="0" w:color="auto"/>
              <w:right w:val="single" w:sz="4" w:space="0" w:color="auto"/>
            </w:tcBorders>
            <w:shd w:val="clear" w:color="auto" w:fill="C6EFCE"/>
          </w:tcPr>
          <w:p w14:paraId="7A539707" w14:textId="77777777" w:rsidR="008273B8" w:rsidRDefault="00B93063">
            <w:pPr>
              <w:pStyle w:val="P68B1DB1-Normal19"/>
              <w:spacing w:after="0" w:line="240" w:lineRule="auto"/>
              <w:jc w:val="center"/>
              <w:rPr>
                <w:rFonts w:cs="Times New Roman"/>
                <w:noProof/>
              </w:rPr>
            </w:pPr>
            <w:r>
              <w:rPr>
                <w:noProof/>
              </w:rPr>
              <w:t>C2.I.2.</w:t>
            </w:r>
          </w:p>
        </w:tc>
        <w:tc>
          <w:tcPr>
            <w:tcW w:w="1133" w:type="dxa"/>
            <w:tcBorders>
              <w:top w:val="nil"/>
              <w:left w:val="nil"/>
              <w:bottom w:val="single" w:sz="4" w:space="0" w:color="auto"/>
              <w:right w:val="single" w:sz="4" w:space="0" w:color="auto"/>
            </w:tcBorders>
            <w:shd w:val="clear" w:color="auto" w:fill="C6EFCE"/>
          </w:tcPr>
          <w:p w14:paraId="7A539708" w14:textId="77777777" w:rsidR="008273B8" w:rsidRDefault="00B93063">
            <w:pPr>
              <w:pStyle w:val="P68B1DB1-Normal19"/>
              <w:spacing w:after="0" w:line="240" w:lineRule="auto"/>
              <w:jc w:val="center"/>
              <w:rPr>
                <w:rFonts w:cs="Times New Roman"/>
                <w:noProof/>
              </w:rPr>
            </w:pPr>
            <w:r>
              <w:rPr>
                <w:noProof/>
              </w:rPr>
              <w:t>Ciljna vrijednost</w:t>
            </w:r>
          </w:p>
        </w:tc>
        <w:tc>
          <w:tcPr>
            <w:tcW w:w="4820" w:type="dxa"/>
            <w:tcBorders>
              <w:top w:val="nil"/>
              <w:left w:val="nil"/>
              <w:bottom w:val="single" w:sz="4" w:space="0" w:color="auto"/>
              <w:right w:val="single" w:sz="4" w:space="0" w:color="auto"/>
            </w:tcBorders>
            <w:shd w:val="clear" w:color="auto" w:fill="C6EFCE"/>
          </w:tcPr>
          <w:p w14:paraId="7A539709" w14:textId="77777777" w:rsidR="008273B8" w:rsidRDefault="00B93063">
            <w:pPr>
              <w:pStyle w:val="P68B1DB1-Normal19"/>
              <w:spacing w:after="0" w:line="240" w:lineRule="auto"/>
              <w:rPr>
                <w:rFonts w:cs="Times New Roman"/>
                <w:noProof/>
              </w:rPr>
            </w:pPr>
            <w:r>
              <w:rPr>
                <w:noProof/>
              </w:rPr>
              <w:t xml:space="preserve">Broj bespovratnih sredstava dodijeljenih za električna vozila u okviru programa za privatni sektor </w:t>
            </w:r>
          </w:p>
        </w:tc>
      </w:tr>
      <w:tr w:rsidR="008273B8" w14:paraId="7A53970F" w14:textId="77777777">
        <w:trPr>
          <w:cantSplit/>
          <w:trHeight w:val="480"/>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70B"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2.19</w:t>
            </w:r>
          </w:p>
        </w:tc>
        <w:tc>
          <w:tcPr>
            <w:tcW w:w="1136" w:type="dxa"/>
            <w:tcBorders>
              <w:top w:val="nil"/>
              <w:left w:val="nil"/>
              <w:bottom w:val="single" w:sz="4" w:space="0" w:color="auto"/>
              <w:right w:val="single" w:sz="4" w:space="0" w:color="auto"/>
            </w:tcBorders>
            <w:shd w:val="clear" w:color="auto" w:fill="C6EFCE"/>
            <w:hideMark/>
          </w:tcPr>
          <w:p w14:paraId="7A53970C"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C2.I.3. </w:t>
            </w:r>
          </w:p>
        </w:tc>
        <w:tc>
          <w:tcPr>
            <w:tcW w:w="1133" w:type="dxa"/>
            <w:tcBorders>
              <w:top w:val="nil"/>
              <w:left w:val="nil"/>
              <w:bottom w:val="single" w:sz="4" w:space="0" w:color="auto"/>
              <w:right w:val="single" w:sz="4" w:space="0" w:color="auto"/>
            </w:tcBorders>
            <w:shd w:val="clear" w:color="auto" w:fill="C6EFCE"/>
            <w:hideMark/>
          </w:tcPr>
          <w:p w14:paraId="7A53970D" w14:textId="77777777" w:rsidR="008273B8" w:rsidRDefault="00B93063">
            <w:pPr>
              <w:pStyle w:val="P68B1DB1-Normal19"/>
              <w:spacing w:after="0" w:line="240" w:lineRule="auto"/>
              <w:jc w:val="center"/>
              <w:rPr>
                <w:rFonts w:eastAsia="Times New Roman" w:cs="Times New Roman"/>
                <w:noProof/>
                <w:color w:val="000000"/>
              </w:rPr>
            </w:pPr>
            <w:r>
              <w:rPr>
                <w:noProof/>
              </w:rPr>
              <w:t>Ciljna vrijednost</w:t>
            </w:r>
          </w:p>
        </w:tc>
        <w:tc>
          <w:tcPr>
            <w:tcW w:w="4808" w:type="dxa"/>
            <w:tcBorders>
              <w:top w:val="nil"/>
              <w:left w:val="nil"/>
              <w:bottom w:val="single" w:sz="4" w:space="0" w:color="auto"/>
              <w:right w:val="single" w:sz="4" w:space="0" w:color="auto"/>
            </w:tcBorders>
            <w:shd w:val="clear" w:color="auto" w:fill="C6EFCE"/>
            <w:hideMark/>
          </w:tcPr>
          <w:p w14:paraId="7A53970E" w14:textId="6E68722C" w:rsidR="008273B8" w:rsidRDefault="00B93063">
            <w:pPr>
              <w:pStyle w:val="P68B1DB1-Normal19"/>
              <w:spacing w:after="0" w:line="240" w:lineRule="auto"/>
              <w:rPr>
                <w:rFonts w:eastAsia="Times New Roman" w:cs="Times New Roman"/>
                <w:noProof/>
                <w:color w:val="000000"/>
              </w:rPr>
            </w:pPr>
            <w:r>
              <w:rPr>
                <w:noProof/>
              </w:rPr>
              <w:t>Broj električnih vozila u vladinom voznom parku opće uporabe</w:t>
            </w:r>
          </w:p>
        </w:tc>
      </w:tr>
      <w:tr w:rsidR="008273B8" w14:paraId="7A539714" w14:textId="77777777">
        <w:trPr>
          <w:cantSplit/>
          <w:trHeight w:val="480"/>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710"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2.21</w:t>
            </w:r>
          </w:p>
        </w:tc>
        <w:tc>
          <w:tcPr>
            <w:tcW w:w="1136" w:type="dxa"/>
            <w:tcBorders>
              <w:top w:val="nil"/>
              <w:left w:val="nil"/>
              <w:bottom w:val="single" w:sz="4" w:space="0" w:color="auto"/>
              <w:right w:val="single" w:sz="4" w:space="0" w:color="auto"/>
            </w:tcBorders>
            <w:shd w:val="clear" w:color="auto" w:fill="C6EFCE"/>
            <w:hideMark/>
          </w:tcPr>
          <w:p w14:paraId="7A539711" w14:textId="77777777" w:rsidR="008273B8" w:rsidRDefault="00B93063">
            <w:pPr>
              <w:pStyle w:val="P68B1DB1-Normal19"/>
              <w:spacing w:after="0" w:line="240" w:lineRule="auto"/>
              <w:jc w:val="center"/>
              <w:rPr>
                <w:rFonts w:eastAsia="Times New Roman" w:cs="Times New Roman"/>
                <w:noProof/>
              </w:rPr>
            </w:pPr>
            <w:r>
              <w:rPr>
                <w:noProof/>
              </w:rPr>
              <w:t xml:space="preserve">C2.I.4 </w:t>
            </w:r>
          </w:p>
        </w:tc>
        <w:tc>
          <w:tcPr>
            <w:tcW w:w="1133" w:type="dxa"/>
            <w:tcBorders>
              <w:top w:val="nil"/>
              <w:left w:val="nil"/>
              <w:bottom w:val="single" w:sz="4" w:space="0" w:color="auto"/>
              <w:right w:val="single" w:sz="4" w:space="0" w:color="auto"/>
            </w:tcBorders>
            <w:shd w:val="clear" w:color="auto" w:fill="C6EFCE"/>
            <w:hideMark/>
          </w:tcPr>
          <w:p w14:paraId="7A539712"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4808" w:type="dxa"/>
            <w:tcBorders>
              <w:top w:val="nil"/>
              <w:left w:val="nil"/>
              <w:bottom w:val="single" w:sz="4" w:space="0" w:color="auto"/>
              <w:right w:val="single" w:sz="4" w:space="0" w:color="auto"/>
            </w:tcBorders>
            <w:shd w:val="clear" w:color="auto" w:fill="C6EFCE"/>
            <w:hideMark/>
          </w:tcPr>
          <w:p w14:paraId="7A539713" w14:textId="77777777" w:rsidR="008273B8" w:rsidRDefault="00B93063">
            <w:pPr>
              <w:pStyle w:val="P68B1DB1-Normal19"/>
              <w:spacing w:after="0" w:line="240" w:lineRule="auto"/>
              <w:rPr>
                <w:rFonts w:eastAsia="Times New Roman" w:cs="Times New Roman"/>
                <w:noProof/>
              </w:rPr>
            </w:pPr>
            <w:r>
              <w:rPr>
                <w:noProof/>
              </w:rPr>
              <w:t>Operativni električni autobusi s nultim emisijama uvedeni za zamjenu voznog parka javnog prijevoza</w:t>
            </w:r>
          </w:p>
        </w:tc>
      </w:tr>
      <w:tr w:rsidR="008273B8" w14:paraId="7A539719" w14:textId="77777777">
        <w:trPr>
          <w:cantSplit/>
          <w:trHeight w:val="480"/>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715"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3.6</w:t>
            </w:r>
          </w:p>
        </w:tc>
        <w:tc>
          <w:tcPr>
            <w:tcW w:w="1136" w:type="dxa"/>
            <w:tcBorders>
              <w:top w:val="nil"/>
              <w:left w:val="nil"/>
              <w:bottom w:val="single" w:sz="4" w:space="0" w:color="auto"/>
              <w:right w:val="single" w:sz="4" w:space="0" w:color="auto"/>
            </w:tcBorders>
            <w:shd w:val="clear" w:color="auto" w:fill="C6EFCE"/>
            <w:hideMark/>
          </w:tcPr>
          <w:p w14:paraId="7A539716" w14:textId="77777777" w:rsidR="008273B8" w:rsidRDefault="00B93063">
            <w:pPr>
              <w:pStyle w:val="P68B1DB1-Normal19"/>
              <w:spacing w:after="0" w:line="240" w:lineRule="auto"/>
              <w:jc w:val="center"/>
              <w:rPr>
                <w:rFonts w:eastAsia="Times New Roman" w:cs="Times New Roman"/>
                <w:noProof/>
              </w:rPr>
            </w:pPr>
            <w:r>
              <w:rPr>
                <w:noProof/>
              </w:rPr>
              <w:t xml:space="preserve">C3.I.1 </w:t>
            </w:r>
          </w:p>
        </w:tc>
        <w:tc>
          <w:tcPr>
            <w:tcW w:w="1133" w:type="dxa"/>
            <w:tcBorders>
              <w:top w:val="nil"/>
              <w:left w:val="nil"/>
              <w:bottom w:val="single" w:sz="4" w:space="0" w:color="auto"/>
              <w:right w:val="single" w:sz="4" w:space="0" w:color="auto"/>
            </w:tcBorders>
            <w:shd w:val="clear" w:color="auto" w:fill="C6EFCE"/>
            <w:hideMark/>
          </w:tcPr>
          <w:p w14:paraId="7A539717"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4808" w:type="dxa"/>
            <w:tcBorders>
              <w:top w:val="nil"/>
              <w:left w:val="nil"/>
              <w:bottom w:val="single" w:sz="4" w:space="0" w:color="auto"/>
              <w:right w:val="single" w:sz="4" w:space="0" w:color="auto"/>
            </w:tcBorders>
            <w:shd w:val="clear" w:color="auto" w:fill="C6EFCE"/>
            <w:hideMark/>
          </w:tcPr>
          <w:p w14:paraId="7A539718" w14:textId="77777777" w:rsidR="008273B8" w:rsidRDefault="00B93063">
            <w:pPr>
              <w:pStyle w:val="P68B1DB1-Normal19"/>
              <w:spacing w:after="0" w:line="240" w:lineRule="auto"/>
              <w:rPr>
                <w:rFonts w:eastAsia="Times New Roman" w:cs="Times New Roman"/>
                <w:noProof/>
              </w:rPr>
            </w:pPr>
            <w:r>
              <w:rPr>
                <w:noProof/>
              </w:rPr>
              <w:t>Poboljšana razina okvira za kibersigurnost NIST-a</w:t>
            </w:r>
          </w:p>
        </w:tc>
      </w:tr>
      <w:tr w:rsidR="008273B8" w14:paraId="7A53971E" w14:textId="77777777">
        <w:trPr>
          <w:cantSplit/>
          <w:trHeight w:val="480"/>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71A"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3.8</w:t>
            </w:r>
          </w:p>
        </w:tc>
        <w:tc>
          <w:tcPr>
            <w:tcW w:w="1136" w:type="dxa"/>
            <w:tcBorders>
              <w:top w:val="nil"/>
              <w:left w:val="nil"/>
              <w:bottom w:val="single" w:sz="4" w:space="0" w:color="auto"/>
              <w:right w:val="single" w:sz="4" w:space="0" w:color="auto"/>
            </w:tcBorders>
            <w:shd w:val="clear" w:color="auto" w:fill="C6EFCE"/>
            <w:hideMark/>
          </w:tcPr>
          <w:p w14:paraId="7A53971B" w14:textId="77777777" w:rsidR="008273B8" w:rsidRDefault="00B93063">
            <w:pPr>
              <w:pStyle w:val="P68B1DB1-Normal19"/>
              <w:spacing w:after="0" w:line="240" w:lineRule="auto"/>
              <w:jc w:val="center"/>
              <w:rPr>
                <w:rFonts w:eastAsia="Times New Roman" w:cs="Times New Roman"/>
                <w:noProof/>
              </w:rPr>
            </w:pPr>
            <w:r>
              <w:rPr>
                <w:noProof/>
              </w:rPr>
              <w:t xml:space="preserve">C3.I.2. </w:t>
            </w:r>
          </w:p>
        </w:tc>
        <w:tc>
          <w:tcPr>
            <w:tcW w:w="1133" w:type="dxa"/>
            <w:tcBorders>
              <w:top w:val="nil"/>
              <w:left w:val="nil"/>
              <w:bottom w:val="single" w:sz="4" w:space="0" w:color="auto"/>
              <w:right w:val="single" w:sz="4" w:space="0" w:color="auto"/>
            </w:tcBorders>
            <w:shd w:val="clear" w:color="auto" w:fill="C6EFCE"/>
            <w:hideMark/>
          </w:tcPr>
          <w:p w14:paraId="7A53971C"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4808" w:type="dxa"/>
            <w:tcBorders>
              <w:top w:val="nil"/>
              <w:left w:val="nil"/>
              <w:bottom w:val="single" w:sz="4" w:space="0" w:color="auto"/>
              <w:right w:val="single" w:sz="4" w:space="0" w:color="auto"/>
            </w:tcBorders>
            <w:shd w:val="clear" w:color="auto" w:fill="C6EFCE"/>
            <w:hideMark/>
          </w:tcPr>
          <w:p w14:paraId="7A53971D" w14:textId="77777777" w:rsidR="008273B8" w:rsidRDefault="00B93063">
            <w:pPr>
              <w:pStyle w:val="P68B1DB1-Normal19"/>
              <w:spacing w:after="0" w:line="240" w:lineRule="auto"/>
              <w:rPr>
                <w:rFonts w:eastAsia="Times New Roman" w:cs="Times New Roman"/>
                <w:noProof/>
              </w:rPr>
            </w:pPr>
            <w:r>
              <w:rPr>
                <w:noProof/>
              </w:rPr>
              <w:t>Pokretanje i dostupnost za korisnike razvijenih informatičkih alata i sustava</w:t>
            </w:r>
          </w:p>
        </w:tc>
      </w:tr>
      <w:tr w:rsidR="008273B8" w14:paraId="7A539723" w14:textId="77777777">
        <w:trPr>
          <w:cantSplit/>
          <w:trHeight w:val="288"/>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71F"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3.9</w:t>
            </w:r>
          </w:p>
        </w:tc>
        <w:tc>
          <w:tcPr>
            <w:tcW w:w="1136" w:type="dxa"/>
            <w:tcBorders>
              <w:top w:val="nil"/>
              <w:left w:val="nil"/>
              <w:bottom w:val="single" w:sz="4" w:space="0" w:color="auto"/>
              <w:right w:val="single" w:sz="4" w:space="0" w:color="auto"/>
            </w:tcBorders>
            <w:shd w:val="clear" w:color="auto" w:fill="C6EFCE"/>
            <w:hideMark/>
          </w:tcPr>
          <w:p w14:paraId="7A539720" w14:textId="77777777" w:rsidR="008273B8" w:rsidRDefault="00B93063">
            <w:pPr>
              <w:pStyle w:val="P68B1DB1-Normal19"/>
              <w:spacing w:after="0" w:line="240" w:lineRule="auto"/>
              <w:jc w:val="center"/>
              <w:rPr>
                <w:rFonts w:eastAsia="Times New Roman" w:cs="Times New Roman"/>
                <w:noProof/>
              </w:rPr>
            </w:pPr>
            <w:r>
              <w:rPr>
                <w:noProof/>
              </w:rPr>
              <w:t xml:space="preserve">C3.I.2. </w:t>
            </w:r>
          </w:p>
        </w:tc>
        <w:tc>
          <w:tcPr>
            <w:tcW w:w="1133" w:type="dxa"/>
            <w:tcBorders>
              <w:top w:val="nil"/>
              <w:left w:val="nil"/>
              <w:bottom w:val="single" w:sz="4" w:space="0" w:color="auto"/>
              <w:right w:val="single" w:sz="4" w:space="0" w:color="auto"/>
            </w:tcBorders>
            <w:shd w:val="clear" w:color="auto" w:fill="C6EFCE"/>
            <w:hideMark/>
          </w:tcPr>
          <w:p w14:paraId="7A539721"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4808" w:type="dxa"/>
            <w:tcBorders>
              <w:top w:val="nil"/>
              <w:left w:val="nil"/>
              <w:bottom w:val="single" w:sz="4" w:space="0" w:color="auto"/>
              <w:right w:val="single" w:sz="4" w:space="0" w:color="auto"/>
            </w:tcBorders>
            <w:shd w:val="clear" w:color="auto" w:fill="C6EFCE"/>
            <w:hideMark/>
          </w:tcPr>
          <w:p w14:paraId="7A539722" w14:textId="77777777" w:rsidR="008273B8" w:rsidRDefault="00B93063">
            <w:pPr>
              <w:pStyle w:val="P68B1DB1-Normal19"/>
              <w:spacing w:after="0" w:line="240" w:lineRule="auto"/>
              <w:rPr>
                <w:rFonts w:eastAsia="Times New Roman" w:cs="Times New Roman"/>
                <w:noProof/>
              </w:rPr>
            </w:pPr>
            <w:r>
              <w:rPr>
                <w:noProof/>
              </w:rPr>
              <w:t>Pružanje tehničke izobrazbe osoblju</w:t>
            </w:r>
          </w:p>
        </w:tc>
      </w:tr>
      <w:tr w:rsidR="008273B8" w14:paraId="7A539728" w14:textId="77777777">
        <w:trPr>
          <w:cantSplit/>
          <w:trHeight w:val="288"/>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724"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3.11</w:t>
            </w:r>
          </w:p>
        </w:tc>
        <w:tc>
          <w:tcPr>
            <w:tcW w:w="1136" w:type="dxa"/>
            <w:tcBorders>
              <w:top w:val="nil"/>
              <w:left w:val="nil"/>
              <w:bottom w:val="single" w:sz="4" w:space="0" w:color="auto"/>
              <w:right w:val="single" w:sz="4" w:space="0" w:color="auto"/>
            </w:tcBorders>
            <w:shd w:val="clear" w:color="auto" w:fill="C6EFCE"/>
            <w:hideMark/>
          </w:tcPr>
          <w:p w14:paraId="7A539725" w14:textId="77777777" w:rsidR="008273B8" w:rsidRDefault="00B93063">
            <w:pPr>
              <w:pStyle w:val="P68B1DB1-Normal19"/>
              <w:spacing w:after="0" w:line="240" w:lineRule="auto"/>
              <w:jc w:val="center"/>
              <w:rPr>
                <w:rFonts w:eastAsia="Times New Roman" w:cs="Times New Roman"/>
                <w:noProof/>
              </w:rPr>
            </w:pPr>
            <w:r>
              <w:rPr>
                <w:noProof/>
              </w:rPr>
              <w:t xml:space="preserve">C3.I.3. </w:t>
            </w:r>
          </w:p>
        </w:tc>
        <w:tc>
          <w:tcPr>
            <w:tcW w:w="1133" w:type="dxa"/>
            <w:tcBorders>
              <w:top w:val="nil"/>
              <w:left w:val="nil"/>
              <w:bottom w:val="single" w:sz="4" w:space="0" w:color="auto"/>
              <w:right w:val="single" w:sz="4" w:space="0" w:color="auto"/>
            </w:tcBorders>
            <w:shd w:val="clear" w:color="auto" w:fill="C6EFCE"/>
            <w:hideMark/>
          </w:tcPr>
          <w:p w14:paraId="7A539726"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4808" w:type="dxa"/>
            <w:tcBorders>
              <w:top w:val="nil"/>
              <w:left w:val="nil"/>
              <w:bottom w:val="single" w:sz="4" w:space="0" w:color="auto"/>
              <w:right w:val="single" w:sz="4" w:space="0" w:color="auto"/>
            </w:tcBorders>
            <w:shd w:val="clear" w:color="auto" w:fill="C6EFCE"/>
            <w:hideMark/>
          </w:tcPr>
          <w:p w14:paraId="7A539727" w14:textId="77777777" w:rsidR="008273B8" w:rsidRDefault="00B93063">
            <w:pPr>
              <w:pStyle w:val="P68B1DB1-Normal19"/>
              <w:spacing w:after="0" w:line="240" w:lineRule="auto"/>
              <w:rPr>
                <w:rFonts w:eastAsia="Times New Roman" w:cs="Times New Roman"/>
                <w:noProof/>
              </w:rPr>
            </w:pPr>
            <w:r>
              <w:rPr>
                <w:noProof/>
              </w:rPr>
              <w:t>Stjecanje dodatnih dozvola Microsoft 365 (ili jednakovrijednih)</w:t>
            </w:r>
          </w:p>
        </w:tc>
      </w:tr>
      <w:tr w:rsidR="008273B8" w14:paraId="7A53972D" w14:textId="77777777">
        <w:trPr>
          <w:cantSplit/>
          <w:trHeight w:val="288"/>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729"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3.13</w:t>
            </w:r>
          </w:p>
        </w:tc>
        <w:tc>
          <w:tcPr>
            <w:tcW w:w="1136" w:type="dxa"/>
            <w:tcBorders>
              <w:top w:val="nil"/>
              <w:left w:val="nil"/>
              <w:bottom w:val="single" w:sz="4" w:space="0" w:color="auto"/>
              <w:right w:val="single" w:sz="4" w:space="0" w:color="auto"/>
            </w:tcBorders>
            <w:shd w:val="clear" w:color="auto" w:fill="C6EFCE"/>
            <w:hideMark/>
          </w:tcPr>
          <w:p w14:paraId="7A53972A" w14:textId="77777777" w:rsidR="008273B8" w:rsidRDefault="00B93063">
            <w:pPr>
              <w:pStyle w:val="P68B1DB1-Normal19"/>
              <w:spacing w:after="0" w:line="240" w:lineRule="auto"/>
              <w:jc w:val="center"/>
              <w:rPr>
                <w:rFonts w:eastAsia="Times New Roman" w:cs="Times New Roman"/>
                <w:noProof/>
              </w:rPr>
            </w:pPr>
            <w:r>
              <w:rPr>
                <w:noProof/>
              </w:rPr>
              <w:t xml:space="preserve">C3.I.3. </w:t>
            </w:r>
          </w:p>
        </w:tc>
        <w:tc>
          <w:tcPr>
            <w:tcW w:w="1133" w:type="dxa"/>
            <w:tcBorders>
              <w:top w:val="nil"/>
              <w:left w:val="nil"/>
              <w:bottom w:val="single" w:sz="4" w:space="0" w:color="auto"/>
              <w:right w:val="single" w:sz="4" w:space="0" w:color="auto"/>
            </w:tcBorders>
            <w:shd w:val="clear" w:color="auto" w:fill="C6EFCE"/>
            <w:hideMark/>
          </w:tcPr>
          <w:p w14:paraId="7A53972B"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4808" w:type="dxa"/>
            <w:tcBorders>
              <w:top w:val="nil"/>
              <w:left w:val="nil"/>
              <w:bottom w:val="single" w:sz="4" w:space="0" w:color="auto"/>
              <w:right w:val="single" w:sz="4" w:space="0" w:color="auto"/>
            </w:tcBorders>
            <w:shd w:val="clear" w:color="auto" w:fill="C6EFCE"/>
            <w:hideMark/>
          </w:tcPr>
          <w:p w14:paraId="7A53972C" w14:textId="77777777" w:rsidR="008273B8" w:rsidRDefault="00B93063">
            <w:pPr>
              <w:pStyle w:val="P68B1DB1-Normal19"/>
              <w:spacing w:after="0" w:line="240" w:lineRule="auto"/>
              <w:rPr>
                <w:rFonts w:eastAsia="Times New Roman" w:cs="Times New Roman"/>
                <w:noProof/>
              </w:rPr>
            </w:pPr>
            <w:r>
              <w:rPr>
                <w:noProof/>
              </w:rPr>
              <w:t xml:space="preserve">Povećanje korištenja internetskih usluga </w:t>
            </w:r>
          </w:p>
        </w:tc>
      </w:tr>
      <w:tr w:rsidR="008273B8" w14:paraId="7A539732" w14:textId="77777777">
        <w:trPr>
          <w:cantSplit/>
          <w:trHeight w:val="480"/>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72E"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4.3</w:t>
            </w:r>
          </w:p>
        </w:tc>
        <w:tc>
          <w:tcPr>
            <w:tcW w:w="1136" w:type="dxa"/>
            <w:tcBorders>
              <w:top w:val="nil"/>
              <w:left w:val="nil"/>
              <w:bottom w:val="single" w:sz="4" w:space="0" w:color="auto"/>
              <w:right w:val="single" w:sz="4" w:space="0" w:color="auto"/>
            </w:tcBorders>
            <w:shd w:val="clear" w:color="auto" w:fill="C6EFCE"/>
            <w:hideMark/>
          </w:tcPr>
          <w:p w14:paraId="7A53972F" w14:textId="77777777" w:rsidR="008273B8" w:rsidRDefault="00B93063">
            <w:pPr>
              <w:pStyle w:val="P68B1DB1-Normal19"/>
              <w:spacing w:after="0" w:line="240" w:lineRule="auto"/>
              <w:jc w:val="center"/>
              <w:rPr>
                <w:rFonts w:eastAsia="Times New Roman" w:cs="Times New Roman"/>
                <w:noProof/>
              </w:rPr>
            </w:pPr>
            <w:r>
              <w:rPr>
                <w:noProof/>
              </w:rPr>
              <w:t xml:space="preserve">C4.R.1 </w:t>
            </w:r>
          </w:p>
        </w:tc>
        <w:tc>
          <w:tcPr>
            <w:tcW w:w="1133" w:type="dxa"/>
            <w:tcBorders>
              <w:top w:val="nil"/>
              <w:left w:val="nil"/>
              <w:bottom w:val="single" w:sz="4" w:space="0" w:color="auto"/>
              <w:right w:val="single" w:sz="4" w:space="0" w:color="auto"/>
            </w:tcBorders>
            <w:shd w:val="clear" w:color="auto" w:fill="C6EFCE"/>
            <w:hideMark/>
          </w:tcPr>
          <w:p w14:paraId="7A539730"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4808" w:type="dxa"/>
            <w:tcBorders>
              <w:top w:val="nil"/>
              <w:left w:val="nil"/>
              <w:bottom w:val="single" w:sz="4" w:space="0" w:color="auto"/>
              <w:right w:val="single" w:sz="4" w:space="0" w:color="auto"/>
            </w:tcBorders>
            <w:shd w:val="clear" w:color="auto" w:fill="C6EFCE"/>
            <w:hideMark/>
          </w:tcPr>
          <w:p w14:paraId="7A539731" w14:textId="77777777" w:rsidR="008273B8" w:rsidRDefault="00B93063">
            <w:pPr>
              <w:pStyle w:val="P68B1DB1-Normal19"/>
              <w:spacing w:after="0" w:line="240" w:lineRule="auto"/>
              <w:rPr>
                <w:rFonts w:eastAsia="Times New Roman" w:cs="Times New Roman"/>
                <w:noProof/>
              </w:rPr>
            </w:pPr>
            <w:r>
              <w:rPr>
                <w:noProof/>
              </w:rPr>
              <w:t xml:space="preserve">Izvješće o provedbi mjera i usporedba dobrobiti nakon intervencije u usporedbi s početnom procjenom. </w:t>
            </w:r>
          </w:p>
        </w:tc>
      </w:tr>
      <w:tr w:rsidR="008273B8" w14:paraId="7A539737" w14:textId="77777777">
        <w:trPr>
          <w:cantSplit/>
          <w:trHeight w:val="288"/>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733"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4.4</w:t>
            </w:r>
          </w:p>
        </w:tc>
        <w:tc>
          <w:tcPr>
            <w:tcW w:w="1136" w:type="dxa"/>
            <w:tcBorders>
              <w:top w:val="nil"/>
              <w:left w:val="nil"/>
              <w:bottom w:val="single" w:sz="4" w:space="0" w:color="auto"/>
              <w:right w:val="single" w:sz="4" w:space="0" w:color="auto"/>
            </w:tcBorders>
            <w:shd w:val="clear" w:color="auto" w:fill="C6EFCE"/>
            <w:hideMark/>
          </w:tcPr>
          <w:p w14:paraId="7A539734" w14:textId="77777777" w:rsidR="008273B8" w:rsidRDefault="00B93063">
            <w:pPr>
              <w:pStyle w:val="P68B1DB1-Normal19"/>
              <w:spacing w:after="0" w:line="240" w:lineRule="auto"/>
              <w:jc w:val="center"/>
              <w:rPr>
                <w:rFonts w:eastAsia="Times New Roman" w:cs="Times New Roman"/>
                <w:noProof/>
              </w:rPr>
            </w:pPr>
            <w:r>
              <w:rPr>
                <w:noProof/>
              </w:rPr>
              <w:t xml:space="preserve">C4.R.1 </w:t>
            </w:r>
          </w:p>
        </w:tc>
        <w:tc>
          <w:tcPr>
            <w:tcW w:w="1133" w:type="dxa"/>
            <w:tcBorders>
              <w:top w:val="nil"/>
              <w:left w:val="nil"/>
              <w:bottom w:val="single" w:sz="4" w:space="0" w:color="auto"/>
              <w:right w:val="single" w:sz="4" w:space="0" w:color="auto"/>
            </w:tcBorders>
            <w:shd w:val="clear" w:color="auto" w:fill="C6EFCE"/>
            <w:hideMark/>
          </w:tcPr>
          <w:p w14:paraId="7A539735"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4808" w:type="dxa"/>
            <w:tcBorders>
              <w:top w:val="nil"/>
              <w:left w:val="nil"/>
              <w:bottom w:val="single" w:sz="4" w:space="0" w:color="auto"/>
              <w:right w:val="single" w:sz="4" w:space="0" w:color="auto"/>
            </w:tcBorders>
            <w:shd w:val="clear" w:color="auto" w:fill="C6EFCE"/>
            <w:hideMark/>
          </w:tcPr>
          <w:p w14:paraId="7A539736" w14:textId="77777777" w:rsidR="008273B8" w:rsidRDefault="00B93063">
            <w:pPr>
              <w:pStyle w:val="P68B1DB1-Normal19"/>
              <w:spacing w:after="0" w:line="240" w:lineRule="auto"/>
              <w:rPr>
                <w:rFonts w:eastAsia="Times New Roman" w:cs="Times New Roman"/>
                <w:noProof/>
              </w:rPr>
            </w:pPr>
            <w:r>
              <w:rPr>
                <w:noProof/>
              </w:rPr>
              <w:t>Poboljšanje prijavljene dobrobiti stranih radnika</w:t>
            </w:r>
          </w:p>
        </w:tc>
      </w:tr>
      <w:tr w:rsidR="008273B8" w14:paraId="7A53973C" w14:textId="77777777">
        <w:trPr>
          <w:cantSplit/>
          <w:trHeight w:val="480"/>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738"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4.10</w:t>
            </w:r>
          </w:p>
        </w:tc>
        <w:tc>
          <w:tcPr>
            <w:tcW w:w="1136" w:type="dxa"/>
            <w:tcBorders>
              <w:top w:val="nil"/>
              <w:left w:val="nil"/>
              <w:bottom w:val="single" w:sz="4" w:space="0" w:color="auto"/>
              <w:right w:val="single" w:sz="4" w:space="0" w:color="auto"/>
            </w:tcBorders>
            <w:shd w:val="clear" w:color="auto" w:fill="C6EFCE"/>
            <w:hideMark/>
          </w:tcPr>
          <w:p w14:paraId="7A539739" w14:textId="77777777" w:rsidR="008273B8" w:rsidRDefault="00B93063">
            <w:pPr>
              <w:pStyle w:val="P68B1DB1-Normal19"/>
              <w:spacing w:after="0" w:line="240" w:lineRule="auto"/>
              <w:jc w:val="center"/>
              <w:rPr>
                <w:rFonts w:eastAsia="Times New Roman" w:cs="Times New Roman"/>
                <w:noProof/>
              </w:rPr>
            </w:pPr>
            <w:r>
              <w:rPr>
                <w:noProof/>
              </w:rPr>
              <w:t xml:space="preserve">C4.I.1 </w:t>
            </w:r>
          </w:p>
        </w:tc>
        <w:tc>
          <w:tcPr>
            <w:tcW w:w="1133" w:type="dxa"/>
            <w:tcBorders>
              <w:top w:val="nil"/>
              <w:left w:val="nil"/>
              <w:bottom w:val="single" w:sz="4" w:space="0" w:color="auto"/>
              <w:right w:val="single" w:sz="4" w:space="0" w:color="auto"/>
            </w:tcBorders>
            <w:shd w:val="clear" w:color="auto" w:fill="C6EFCE"/>
            <w:hideMark/>
          </w:tcPr>
          <w:p w14:paraId="7A53973A"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4808" w:type="dxa"/>
            <w:tcBorders>
              <w:top w:val="nil"/>
              <w:left w:val="nil"/>
              <w:bottom w:val="single" w:sz="4" w:space="0" w:color="auto"/>
              <w:right w:val="single" w:sz="4" w:space="0" w:color="auto"/>
            </w:tcBorders>
            <w:shd w:val="clear" w:color="auto" w:fill="C6EFCE"/>
            <w:hideMark/>
          </w:tcPr>
          <w:p w14:paraId="7A53973B" w14:textId="410A4064" w:rsidR="008273B8" w:rsidRDefault="00B93063">
            <w:pPr>
              <w:pStyle w:val="P68B1DB1-Normal19"/>
              <w:spacing w:after="0" w:line="240" w:lineRule="auto"/>
              <w:rPr>
                <w:rFonts w:eastAsia="Times New Roman" w:cs="Times New Roman"/>
                <w:noProof/>
              </w:rPr>
            </w:pPr>
            <w:r>
              <w:rPr>
                <w:noProof/>
              </w:rPr>
              <w:t>Centar za krv, tkiva i stanice otvoren za korisnike</w:t>
            </w:r>
          </w:p>
        </w:tc>
      </w:tr>
      <w:tr w:rsidR="008273B8" w14:paraId="7A539741" w14:textId="77777777">
        <w:trPr>
          <w:cantSplit/>
          <w:trHeight w:val="288"/>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73D" w14:textId="37F0FB12" w:rsidR="008273B8" w:rsidRDefault="008273B8">
            <w:pPr>
              <w:spacing w:after="0" w:line="240" w:lineRule="auto"/>
              <w:jc w:val="center"/>
              <w:rPr>
                <w:rFonts w:ascii="Times New Roman" w:eastAsia="Times New Roman" w:hAnsi="Times New Roman" w:cs="Times New Roman"/>
                <w:noProof/>
                <w:color w:val="000000"/>
                <w:sz w:val="18"/>
              </w:rPr>
            </w:pPr>
          </w:p>
        </w:tc>
        <w:tc>
          <w:tcPr>
            <w:tcW w:w="1136" w:type="dxa"/>
            <w:tcBorders>
              <w:top w:val="nil"/>
              <w:left w:val="nil"/>
              <w:bottom w:val="single" w:sz="4" w:space="0" w:color="auto"/>
              <w:right w:val="single" w:sz="4" w:space="0" w:color="auto"/>
            </w:tcBorders>
            <w:shd w:val="clear" w:color="auto" w:fill="C6EFCE"/>
            <w:hideMark/>
          </w:tcPr>
          <w:p w14:paraId="7A53973E" w14:textId="32DCA965" w:rsidR="008273B8" w:rsidRDefault="008273B8">
            <w:pPr>
              <w:spacing w:after="0" w:line="240" w:lineRule="auto"/>
              <w:jc w:val="center"/>
              <w:rPr>
                <w:rFonts w:ascii="Times New Roman" w:eastAsia="Times New Roman" w:hAnsi="Times New Roman" w:cs="Times New Roman"/>
                <w:noProof/>
                <w:sz w:val="18"/>
              </w:rPr>
            </w:pPr>
          </w:p>
        </w:tc>
        <w:tc>
          <w:tcPr>
            <w:tcW w:w="1133" w:type="dxa"/>
            <w:tcBorders>
              <w:top w:val="nil"/>
              <w:left w:val="nil"/>
              <w:bottom w:val="single" w:sz="4" w:space="0" w:color="auto"/>
              <w:right w:val="single" w:sz="4" w:space="0" w:color="auto"/>
            </w:tcBorders>
            <w:shd w:val="clear" w:color="auto" w:fill="C6EFCE"/>
            <w:hideMark/>
          </w:tcPr>
          <w:p w14:paraId="7A53973F" w14:textId="565B68F3" w:rsidR="008273B8" w:rsidRDefault="008273B8">
            <w:pPr>
              <w:spacing w:after="0" w:line="240" w:lineRule="auto"/>
              <w:jc w:val="center"/>
              <w:rPr>
                <w:rFonts w:ascii="Times New Roman" w:eastAsia="Times New Roman" w:hAnsi="Times New Roman" w:cs="Times New Roman"/>
                <w:noProof/>
                <w:sz w:val="18"/>
              </w:rPr>
            </w:pPr>
          </w:p>
        </w:tc>
        <w:tc>
          <w:tcPr>
            <w:tcW w:w="4808" w:type="dxa"/>
            <w:tcBorders>
              <w:top w:val="nil"/>
              <w:left w:val="nil"/>
              <w:bottom w:val="single" w:sz="4" w:space="0" w:color="auto"/>
              <w:right w:val="single" w:sz="4" w:space="0" w:color="auto"/>
            </w:tcBorders>
            <w:shd w:val="clear" w:color="auto" w:fill="C6EFCE"/>
            <w:hideMark/>
          </w:tcPr>
          <w:p w14:paraId="7A539740" w14:textId="0BD60347" w:rsidR="008273B8" w:rsidRDefault="008273B8">
            <w:pPr>
              <w:spacing w:after="0" w:line="240" w:lineRule="auto"/>
              <w:rPr>
                <w:rFonts w:ascii="Times New Roman" w:eastAsia="Times New Roman" w:hAnsi="Times New Roman" w:cs="Times New Roman"/>
                <w:noProof/>
                <w:sz w:val="18"/>
              </w:rPr>
            </w:pPr>
          </w:p>
        </w:tc>
      </w:tr>
      <w:tr w:rsidR="008273B8" w14:paraId="7A539746" w14:textId="77777777">
        <w:trPr>
          <w:cantSplit/>
          <w:trHeight w:val="586"/>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742"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5.10</w:t>
            </w:r>
          </w:p>
        </w:tc>
        <w:tc>
          <w:tcPr>
            <w:tcW w:w="1136" w:type="dxa"/>
            <w:tcBorders>
              <w:top w:val="nil"/>
              <w:left w:val="nil"/>
              <w:bottom w:val="single" w:sz="4" w:space="0" w:color="auto"/>
              <w:right w:val="single" w:sz="4" w:space="0" w:color="auto"/>
            </w:tcBorders>
            <w:shd w:val="clear" w:color="auto" w:fill="C6EFCE"/>
            <w:hideMark/>
          </w:tcPr>
          <w:p w14:paraId="7A539743" w14:textId="77777777" w:rsidR="008273B8" w:rsidRDefault="00B93063">
            <w:pPr>
              <w:pStyle w:val="P68B1DB1-Normal19"/>
              <w:spacing w:after="0" w:line="240" w:lineRule="auto"/>
              <w:jc w:val="center"/>
              <w:rPr>
                <w:rFonts w:eastAsia="Times New Roman" w:cs="Times New Roman"/>
                <w:noProof/>
              </w:rPr>
            </w:pPr>
            <w:r>
              <w:rPr>
                <w:noProof/>
              </w:rPr>
              <w:t xml:space="preserve">C5.R.3 </w:t>
            </w:r>
          </w:p>
        </w:tc>
        <w:tc>
          <w:tcPr>
            <w:tcW w:w="1133" w:type="dxa"/>
            <w:tcBorders>
              <w:top w:val="nil"/>
              <w:left w:val="nil"/>
              <w:bottom w:val="single" w:sz="4" w:space="0" w:color="auto"/>
              <w:right w:val="single" w:sz="4" w:space="0" w:color="auto"/>
            </w:tcBorders>
            <w:shd w:val="clear" w:color="auto" w:fill="C6EFCE"/>
            <w:hideMark/>
          </w:tcPr>
          <w:p w14:paraId="7A539744"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4808" w:type="dxa"/>
            <w:tcBorders>
              <w:top w:val="nil"/>
              <w:left w:val="nil"/>
              <w:bottom w:val="single" w:sz="4" w:space="0" w:color="auto"/>
              <w:right w:val="single" w:sz="4" w:space="0" w:color="auto"/>
            </w:tcBorders>
            <w:shd w:val="clear" w:color="auto" w:fill="C6EFCE"/>
            <w:hideMark/>
          </w:tcPr>
          <w:p w14:paraId="7A539745" w14:textId="77777777" w:rsidR="008273B8" w:rsidRDefault="00B93063">
            <w:pPr>
              <w:pStyle w:val="P68B1DB1-Normal19"/>
              <w:spacing w:after="0" w:line="240" w:lineRule="auto"/>
              <w:rPr>
                <w:rFonts w:eastAsia="Times New Roman" w:cs="Times New Roman"/>
                <w:noProof/>
              </w:rPr>
            </w:pPr>
            <w:r>
              <w:rPr>
                <w:noProof/>
              </w:rPr>
              <w:t>Provedba mjera ažurirane nacionalne strategije politike uključivanja</w:t>
            </w:r>
          </w:p>
        </w:tc>
      </w:tr>
      <w:tr w:rsidR="008273B8" w14:paraId="7A53974B" w14:textId="77777777">
        <w:trPr>
          <w:cantSplit/>
          <w:trHeight w:val="288"/>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747"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5.11</w:t>
            </w:r>
          </w:p>
        </w:tc>
        <w:tc>
          <w:tcPr>
            <w:tcW w:w="1136" w:type="dxa"/>
            <w:tcBorders>
              <w:top w:val="nil"/>
              <w:left w:val="nil"/>
              <w:bottom w:val="single" w:sz="4" w:space="0" w:color="auto"/>
              <w:right w:val="single" w:sz="4" w:space="0" w:color="auto"/>
            </w:tcBorders>
            <w:shd w:val="clear" w:color="auto" w:fill="C6EFCE"/>
            <w:hideMark/>
          </w:tcPr>
          <w:p w14:paraId="7A539748" w14:textId="77777777" w:rsidR="008273B8" w:rsidRDefault="00B93063">
            <w:pPr>
              <w:pStyle w:val="P68B1DB1-Normal19"/>
              <w:spacing w:after="0" w:line="240" w:lineRule="auto"/>
              <w:jc w:val="center"/>
              <w:rPr>
                <w:rFonts w:eastAsia="Times New Roman" w:cs="Times New Roman"/>
                <w:noProof/>
              </w:rPr>
            </w:pPr>
            <w:r>
              <w:rPr>
                <w:noProof/>
              </w:rPr>
              <w:t xml:space="preserve">C5.R.4 </w:t>
            </w:r>
          </w:p>
        </w:tc>
        <w:tc>
          <w:tcPr>
            <w:tcW w:w="1133" w:type="dxa"/>
            <w:tcBorders>
              <w:top w:val="nil"/>
              <w:left w:val="nil"/>
              <w:bottom w:val="single" w:sz="4" w:space="0" w:color="auto"/>
              <w:right w:val="single" w:sz="4" w:space="0" w:color="auto"/>
            </w:tcBorders>
            <w:shd w:val="clear" w:color="auto" w:fill="C6EFCE"/>
            <w:hideMark/>
          </w:tcPr>
          <w:p w14:paraId="7A539749"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4808" w:type="dxa"/>
            <w:tcBorders>
              <w:top w:val="nil"/>
              <w:left w:val="nil"/>
              <w:bottom w:val="single" w:sz="4" w:space="0" w:color="auto"/>
              <w:right w:val="single" w:sz="4" w:space="0" w:color="auto"/>
            </w:tcBorders>
            <w:shd w:val="clear" w:color="auto" w:fill="C6EFCE"/>
            <w:hideMark/>
          </w:tcPr>
          <w:p w14:paraId="7A53974A" w14:textId="77777777" w:rsidR="008273B8" w:rsidRDefault="00B93063">
            <w:pPr>
              <w:pStyle w:val="P68B1DB1-Normal19"/>
              <w:spacing w:after="0" w:line="240" w:lineRule="auto"/>
              <w:rPr>
                <w:rFonts w:eastAsia="Times New Roman" w:cs="Times New Roman"/>
                <w:noProof/>
              </w:rPr>
            </w:pPr>
            <w:r>
              <w:rPr>
                <w:noProof/>
              </w:rPr>
              <w:t xml:space="preserve">Provedba novouvedenog plana rada za evaluaciju i praćenje </w:t>
            </w:r>
          </w:p>
        </w:tc>
      </w:tr>
      <w:tr w:rsidR="008273B8" w14:paraId="7A539750" w14:textId="77777777">
        <w:trPr>
          <w:cantSplit/>
          <w:trHeight w:val="288"/>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74C" w14:textId="77777777" w:rsidR="008273B8" w:rsidRDefault="00B93063">
            <w:pPr>
              <w:pStyle w:val="P68B1DB1-Normal19"/>
              <w:spacing w:after="0" w:line="240" w:lineRule="auto"/>
              <w:jc w:val="center"/>
              <w:rPr>
                <w:rFonts w:eastAsia="Times New Roman" w:cs="Times New Roman"/>
                <w:noProof/>
                <w:color w:val="000000"/>
              </w:rPr>
            </w:pPr>
            <w:r>
              <w:rPr>
                <w:noProof/>
              </w:rPr>
              <w:t xml:space="preserve"> 5.14</w:t>
            </w:r>
          </w:p>
        </w:tc>
        <w:tc>
          <w:tcPr>
            <w:tcW w:w="1136" w:type="dxa"/>
            <w:tcBorders>
              <w:top w:val="nil"/>
              <w:left w:val="nil"/>
              <w:bottom w:val="single" w:sz="4" w:space="0" w:color="auto"/>
              <w:right w:val="single" w:sz="4" w:space="0" w:color="auto"/>
            </w:tcBorders>
            <w:shd w:val="clear" w:color="auto" w:fill="C6EFCE"/>
            <w:hideMark/>
          </w:tcPr>
          <w:p w14:paraId="7A53974D" w14:textId="77777777" w:rsidR="008273B8" w:rsidRDefault="00B93063">
            <w:pPr>
              <w:pStyle w:val="P68B1DB1-Normal19"/>
              <w:spacing w:after="0" w:line="240" w:lineRule="auto"/>
              <w:jc w:val="center"/>
              <w:rPr>
                <w:rFonts w:eastAsia="Times New Roman" w:cs="Times New Roman"/>
                <w:noProof/>
              </w:rPr>
            </w:pPr>
            <w:r>
              <w:rPr>
                <w:noProof/>
              </w:rPr>
              <w:t xml:space="preserve">C5.R.5 </w:t>
            </w:r>
          </w:p>
        </w:tc>
        <w:tc>
          <w:tcPr>
            <w:tcW w:w="1133" w:type="dxa"/>
            <w:tcBorders>
              <w:top w:val="nil"/>
              <w:left w:val="nil"/>
              <w:bottom w:val="single" w:sz="4" w:space="0" w:color="auto"/>
              <w:right w:val="single" w:sz="4" w:space="0" w:color="auto"/>
            </w:tcBorders>
            <w:shd w:val="clear" w:color="auto" w:fill="C6EFCE"/>
            <w:hideMark/>
          </w:tcPr>
          <w:p w14:paraId="7A53974E"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4808" w:type="dxa"/>
            <w:tcBorders>
              <w:top w:val="nil"/>
              <w:left w:val="nil"/>
              <w:bottom w:val="single" w:sz="4" w:space="0" w:color="auto"/>
              <w:right w:val="single" w:sz="4" w:space="0" w:color="auto"/>
            </w:tcBorders>
            <w:shd w:val="clear" w:color="auto" w:fill="C6EFCE"/>
            <w:hideMark/>
          </w:tcPr>
          <w:p w14:paraId="7A53974F" w14:textId="77777777" w:rsidR="008273B8" w:rsidRDefault="00B93063">
            <w:pPr>
              <w:pStyle w:val="P68B1DB1-Normal19"/>
              <w:spacing w:after="0" w:line="240" w:lineRule="auto"/>
              <w:rPr>
                <w:rFonts w:eastAsia="Times New Roman" w:cs="Times New Roman"/>
                <w:noProof/>
              </w:rPr>
            </w:pPr>
            <w:r>
              <w:rPr>
                <w:noProof/>
              </w:rPr>
              <w:t xml:space="preserve">Provedba mjera u nedavno donesenoj strategiji zapošljavanja </w:t>
            </w:r>
          </w:p>
        </w:tc>
      </w:tr>
      <w:tr w:rsidR="008273B8" w14:paraId="7A539755" w14:textId="77777777">
        <w:trPr>
          <w:cantSplit/>
          <w:trHeight w:val="480"/>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751" w14:textId="14C0906A" w:rsidR="008273B8" w:rsidRDefault="00B93063">
            <w:pPr>
              <w:pStyle w:val="P68B1DB1-Normal19"/>
              <w:spacing w:after="0" w:line="240" w:lineRule="auto"/>
              <w:jc w:val="center"/>
              <w:rPr>
                <w:rFonts w:eastAsia="Times New Roman" w:cs="Times New Roman"/>
                <w:noProof/>
                <w:color w:val="000000"/>
              </w:rPr>
            </w:pPr>
            <w:r>
              <w:rPr>
                <w:noProof/>
              </w:rPr>
              <w:t xml:space="preserve"> 5.15</w:t>
            </w:r>
          </w:p>
        </w:tc>
        <w:tc>
          <w:tcPr>
            <w:tcW w:w="1136" w:type="dxa"/>
            <w:tcBorders>
              <w:top w:val="nil"/>
              <w:left w:val="nil"/>
              <w:bottom w:val="single" w:sz="4" w:space="0" w:color="auto"/>
              <w:right w:val="single" w:sz="4" w:space="0" w:color="auto"/>
            </w:tcBorders>
            <w:shd w:val="clear" w:color="auto" w:fill="C6EFCE"/>
            <w:hideMark/>
          </w:tcPr>
          <w:p w14:paraId="7A539752" w14:textId="77777777" w:rsidR="008273B8" w:rsidRDefault="00B93063">
            <w:pPr>
              <w:pStyle w:val="P68B1DB1-Normal19"/>
              <w:spacing w:after="0" w:line="240" w:lineRule="auto"/>
              <w:jc w:val="center"/>
              <w:rPr>
                <w:rFonts w:eastAsia="Times New Roman" w:cs="Times New Roman"/>
                <w:noProof/>
              </w:rPr>
            </w:pPr>
            <w:r>
              <w:rPr>
                <w:noProof/>
              </w:rPr>
              <w:t xml:space="preserve">C5.R.5 </w:t>
            </w:r>
          </w:p>
        </w:tc>
        <w:tc>
          <w:tcPr>
            <w:tcW w:w="1133" w:type="dxa"/>
            <w:tcBorders>
              <w:top w:val="nil"/>
              <w:left w:val="nil"/>
              <w:bottom w:val="single" w:sz="4" w:space="0" w:color="auto"/>
              <w:right w:val="single" w:sz="4" w:space="0" w:color="auto"/>
            </w:tcBorders>
            <w:shd w:val="clear" w:color="auto" w:fill="C6EFCE"/>
            <w:hideMark/>
          </w:tcPr>
          <w:p w14:paraId="7A539753"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4808" w:type="dxa"/>
            <w:tcBorders>
              <w:top w:val="nil"/>
              <w:left w:val="nil"/>
              <w:bottom w:val="single" w:sz="4" w:space="0" w:color="auto"/>
              <w:right w:val="single" w:sz="4" w:space="0" w:color="auto"/>
            </w:tcBorders>
            <w:shd w:val="clear" w:color="auto" w:fill="C6EFCE"/>
            <w:hideMark/>
          </w:tcPr>
          <w:p w14:paraId="7A539754" w14:textId="77777777" w:rsidR="008273B8" w:rsidRDefault="00B93063">
            <w:pPr>
              <w:pStyle w:val="P68B1DB1-Normal19"/>
              <w:spacing w:after="0" w:line="240" w:lineRule="auto"/>
              <w:rPr>
                <w:rFonts w:eastAsia="Times New Roman" w:cs="Times New Roman"/>
                <w:noProof/>
              </w:rPr>
            </w:pPr>
            <w:r>
              <w:rPr>
                <w:noProof/>
              </w:rPr>
              <w:t>Provedba mjera utvrđenih u nedavno donesenom akcijskom planu za rodnu ravnopravnost i uključivanje</w:t>
            </w:r>
          </w:p>
        </w:tc>
      </w:tr>
      <w:tr w:rsidR="008273B8" w14:paraId="7A53975A" w14:textId="77777777">
        <w:trPr>
          <w:cantSplit/>
          <w:trHeight w:val="480"/>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756" w14:textId="2C487BD5" w:rsidR="008273B8" w:rsidRDefault="008273B8">
            <w:pPr>
              <w:spacing w:after="0" w:line="240" w:lineRule="auto"/>
              <w:jc w:val="center"/>
              <w:rPr>
                <w:rFonts w:ascii="Times New Roman" w:eastAsia="Times New Roman" w:hAnsi="Times New Roman" w:cs="Times New Roman"/>
                <w:noProof/>
                <w:color w:val="000000"/>
                <w:sz w:val="18"/>
              </w:rPr>
            </w:pPr>
          </w:p>
        </w:tc>
        <w:tc>
          <w:tcPr>
            <w:tcW w:w="1136" w:type="dxa"/>
            <w:tcBorders>
              <w:top w:val="nil"/>
              <w:left w:val="nil"/>
              <w:bottom w:val="single" w:sz="4" w:space="0" w:color="auto"/>
              <w:right w:val="single" w:sz="4" w:space="0" w:color="auto"/>
            </w:tcBorders>
            <w:shd w:val="clear" w:color="auto" w:fill="C6EFCE"/>
            <w:hideMark/>
          </w:tcPr>
          <w:p w14:paraId="7A539757" w14:textId="73C36754" w:rsidR="008273B8" w:rsidRDefault="008273B8">
            <w:pPr>
              <w:spacing w:after="0" w:line="240" w:lineRule="auto"/>
              <w:jc w:val="center"/>
              <w:rPr>
                <w:rFonts w:ascii="Times New Roman" w:eastAsia="Times New Roman" w:hAnsi="Times New Roman" w:cs="Times New Roman"/>
                <w:noProof/>
                <w:sz w:val="18"/>
              </w:rPr>
            </w:pPr>
          </w:p>
        </w:tc>
        <w:tc>
          <w:tcPr>
            <w:tcW w:w="1133" w:type="dxa"/>
            <w:tcBorders>
              <w:top w:val="nil"/>
              <w:left w:val="nil"/>
              <w:bottom w:val="single" w:sz="4" w:space="0" w:color="auto"/>
              <w:right w:val="single" w:sz="4" w:space="0" w:color="auto"/>
            </w:tcBorders>
            <w:shd w:val="clear" w:color="auto" w:fill="C6EFCE"/>
            <w:hideMark/>
          </w:tcPr>
          <w:p w14:paraId="7A539758" w14:textId="2A5FF043" w:rsidR="008273B8" w:rsidRDefault="008273B8">
            <w:pPr>
              <w:spacing w:after="0" w:line="240" w:lineRule="auto"/>
              <w:jc w:val="center"/>
              <w:rPr>
                <w:rFonts w:ascii="Times New Roman" w:eastAsia="Times New Roman" w:hAnsi="Times New Roman" w:cs="Times New Roman"/>
                <w:noProof/>
                <w:sz w:val="18"/>
              </w:rPr>
            </w:pPr>
          </w:p>
        </w:tc>
        <w:tc>
          <w:tcPr>
            <w:tcW w:w="4808" w:type="dxa"/>
            <w:tcBorders>
              <w:top w:val="nil"/>
              <w:left w:val="nil"/>
              <w:bottom w:val="single" w:sz="4" w:space="0" w:color="auto"/>
              <w:right w:val="single" w:sz="4" w:space="0" w:color="auto"/>
            </w:tcBorders>
            <w:shd w:val="clear" w:color="auto" w:fill="C6EFCE"/>
            <w:hideMark/>
          </w:tcPr>
          <w:p w14:paraId="7A539759" w14:textId="7EB21D8E" w:rsidR="008273B8" w:rsidRDefault="008273B8">
            <w:pPr>
              <w:spacing w:after="0" w:line="240" w:lineRule="auto"/>
              <w:rPr>
                <w:rFonts w:ascii="Times New Roman" w:eastAsia="Times New Roman" w:hAnsi="Times New Roman" w:cs="Times New Roman"/>
                <w:noProof/>
                <w:sz w:val="18"/>
              </w:rPr>
            </w:pPr>
          </w:p>
        </w:tc>
      </w:tr>
      <w:tr w:rsidR="008273B8" w14:paraId="7A53975F" w14:textId="77777777">
        <w:trPr>
          <w:cantSplit/>
          <w:trHeight w:val="523"/>
          <w:jc w:val="center"/>
        </w:trPr>
        <w:tc>
          <w:tcPr>
            <w:tcW w:w="1037" w:type="dxa"/>
            <w:tcBorders>
              <w:top w:val="nil"/>
              <w:left w:val="single" w:sz="4" w:space="0" w:color="auto"/>
              <w:bottom w:val="single" w:sz="4" w:space="0" w:color="auto"/>
              <w:right w:val="single" w:sz="4" w:space="0" w:color="auto"/>
            </w:tcBorders>
            <w:shd w:val="clear" w:color="auto" w:fill="C6EFCE"/>
            <w:hideMark/>
          </w:tcPr>
          <w:p w14:paraId="7A53975B" w14:textId="1224D8BC" w:rsidR="008273B8" w:rsidRDefault="008273B8">
            <w:pPr>
              <w:spacing w:after="0" w:line="240" w:lineRule="auto"/>
              <w:jc w:val="center"/>
              <w:rPr>
                <w:rFonts w:ascii="Times New Roman" w:eastAsia="Times New Roman" w:hAnsi="Times New Roman" w:cs="Times New Roman"/>
                <w:noProof/>
                <w:color w:val="000000"/>
                <w:sz w:val="18"/>
              </w:rPr>
            </w:pPr>
          </w:p>
        </w:tc>
        <w:tc>
          <w:tcPr>
            <w:tcW w:w="1136" w:type="dxa"/>
            <w:tcBorders>
              <w:top w:val="nil"/>
              <w:left w:val="nil"/>
              <w:bottom w:val="single" w:sz="4" w:space="0" w:color="auto"/>
              <w:right w:val="single" w:sz="4" w:space="0" w:color="auto"/>
            </w:tcBorders>
            <w:shd w:val="clear" w:color="auto" w:fill="C6EFCE"/>
            <w:hideMark/>
          </w:tcPr>
          <w:p w14:paraId="7A53975C" w14:textId="2A9B596C" w:rsidR="008273B8" w:rsidRDefault="008273B8">
            <w:pPr>
              <w:spacing w:after="0" w:line="240" w:lineRule="auto"/>
              <w:jc w:val="center"/>
              <w:rPr>
                <w:rFonts w:ascii="Times New Roman" w:eastAsia="Times New Roman" w:hAnsi="Times New Roman" w:cs="Times New Roman"/>
                <w:noProof/>
                <w:sz w:val="18"/>
              </w:rPr>
            </w:pPr>
          </w:p>
        </w:tc>
        <w:tc>
          <w:tcPr>
            <w:tcW w:w="1133" w:type="dxa"/>
            <w:tcBorders>
              <w:top w:val="nil"/>
              <w:left w:val="nil"/>
              <w:bottom w:val="single" w:sz="4" w:space="0" w:color="auto"/>
              <w:right w:val="single" w:sz="4" w:space="0" w:color="auto"/>
            </w:tcBorders>
            <w:shd w:val="clear" w:color="auto" w:fill="C6EFCE"/>
            <w:hideMark/>
          </w:tcPr>
          <w:p w14:paraId="7A53975D" w14:textId="24C255C2" w:rsidR="008273B8" w:rsidRDefault="008273B8">
            <w:pPr>
              <w:spacing w:after="0" w:line="240" w:lineRule="auto"/>
              <w:jc w:val="center"/>
              <w:rPr>
                <w:rFonts w:ascii="Times New Roman" w:eastAsia="Times New Roman" w:hAnsi="Times New Roman" w:cs="Times New Roman"/>
                <w:noProof/>
                <w:sz w:val="18"/>
              </w:rPr>
            </w:pPr>
          </w:p>
        </w:tc>
        <w:tc>
          <w:tcPr>
            <w:tcW w:w="4808" w:type="dxa"/>
            <w:tcBorders>
              <w:top w:val="nil"/>
              <w:left w:val="nil"/>
              <w:bottom w:val="single" w:sz="4" w:space="0" w:color="auto"/>
              <w:right w:val="single" w:sz="4" w:space="0" w:color="auto"/>
            </w:tcBorders>
            <w:shd w:val="clear" w:color="auto" w:fill="C6EFCE"/>
            <w:hideMark/>
          </w:tcPr>
          <w:p w14:paraId="7A53975E" w14:textId="4E60BEEE" w:rsidR="008273B8" w:rsidRDefault="008273B8">
            <w:pPr>
              <w:spacing w:after="0" w:line="240" w:lineRule="auto"/>
              <w:rPr>
                <w:rFonts w:ascii="Times New Roman" w:eastAsia="Times New Roman" w:hAnsi="Times New Roman" w:cs="Times New Roman"/>
                <w:noProof/>
                <w:sz w:val="18"/>
              </w:rPr>
            </w:pPr>
          </w:p>
        </w:tc>
      </w:tr>
      <w:tr w:rsidR="008273B8" w14:paraId="7A539764" w14:textId="77777777">
        <w:trPr>
          <w:cantSplit/>
          <w:trHeight w:val="416"/>
          <w:jc w:val="center"/>
        </w:trPr>
        <w:tc>
          <w:tcPr>
            <w:tcW w:w="1037" w:type="dxa"/>
            <w:tcBorders>
              <w:top w:val="single" w:sz="4" w:space="0" w:color="auto"/>
              <w:left w:val="single" w:sz="4" w:space="0" w:color="auto"/>
              <w:bottom w:val="single" w:sz="4" w:space="0" w:color="auto"/>
              <w:right w:val="single" w:sz="4" w:space="0" w:color="auto"/>
            </w:tcBorders>
            <w:shd w:val="clear" w:color="auto" w:fill="C6EFCE"/>
          </w:tcPr>
          <w:p w14:paraId="7A539760" w14:textId="77777777" w:rsidR="008273B8" w:rsidRDefault="00B93063">
            <w:pPr>
              <w:pStyle w:val="P68B1DB1-Normal20"/>
              <w:spacing w:line="240" w:lineRule="auto"/>
              <w:jc w:val="center"/>
              <w:rPr>
                <w:rFonts w:eastAsia="Times New Roman" w:cs="Times New Roman"/>
                <w:noProof/>
                <w:color w:val="000000" w:themeColor="text1"/>
              </w:rPr>
            </w:pPr>
            <w:r>
              <w:rPr>
                <w:noProof/>
              </w:rPr>
              <w:t>7.5</w:t>
            </w:r>
          </w:p>
        </w:tc>
        <w:tc>
          <w:tcPr>
            <w:tcW w:w="1136" w:type="dxa"/>
            <w:tcBorders>
              <w:top w:val="single" w:sz="4" w:space="0" w:color="auto"/>
              <w:left w:val="nil"/>
              <w:bottom w:val="single" w:sz="4" w:space="0" w:color="auto"/>
              <w:right w:val="single" w:sz="4" w:space="0" w:color="auto"/>
            </w:tcBorders>
            <w:shd w:val="clear" w:color="auto" w:fill="C6EFCE"/>
          </w:tcPr>
          <w:p w14:paraId="7A539761" w14:textId="77777777" w:rsidR="008273B8" w:rsidRDefault="00B93063">
            <w:pPr>
              <w:pStyle w:val="P68B1DB1-Normal19"/>
              <w:spacing w:line="240" w:lineRule="auto"/>
              <w:jc w:val="center"/>
              <w:rPr>
                <w:rFonts w:eastAsia="Times New Roman" w:cs="Times New Roman"/>
                <w:noProof/>
              </w:rPr>
            </w:pPr>
            <w:r>
              <w:rPr>
                <w:noProof/>
              </w:rPr>
              <w:t>C7.I.1</w:t>
            </w:r>
          </w:p>
        </w:tc>
        <w:tc>
          <w:tcPr>
            <w:tcW w:w="1133" w:type="dxa"/>
            <w:tcBorders>
              <w:top w:val="single" w:sz="4" w:space="0" w:color="auto"/>
              <w:left w:val="nil"/>
              <w:bottom w:val="single" w:sz="4" w:space="0" w:color="auto"/>
              <w:right w:val="single" w:sz="4" w:space="0" w:color="auto"/>
            </w:tcBorders>
            <w:shd w:val="clear" w:color="auto" w:fill="C6EFCE"/>
          </w:tcPr>
          <w:p w14:paraId="7A539762" w14:textId="77777777" w:rsidR="008273B8" w:rsidRDefault="00B93063">
            <w:pPr>
              <w:pStyle w:val="P68B1DB1-Normal19"/>
              <w:spacing w:line="240" w:lineRule="auto"/>
              <w:jc w:val="center"/>
              <w:rPr>
                <w:rFonts w:eastAsia="Times New Roman" w:cs="Times New Roman"/>
                <w:noProof/>
              </w:rPr>
            </w:pPr>
            <w:r>
              <w:rPr>
                <w:noProof/>
              </w:rPr>
              <w:t>Ciljna vrijednost</w:t>
            </w:r>
          </w:p>
        </w:tc>
        <w:tc>
          <w:tcPr>
            <w:tcW w:w="4820" w:type="dxa"/>
            <w:tcBorders>
              <w:top w:val="single" w:sz="4" w:space="0" w:color="auto"/>
              <w:left w:val="nil"/>
              <w:bottom w:val="single" w:sz="4" w:space="0" w:color="auto"/>
              <w:right w:val="single" w:sz="4" w:space="0" w:color="auto"/>
            </w:tcBorders>
            <w:shd w:val="clear" w:color="auto" w:fill="C6EFCE"/>
          </w:tcPr>
          <w:p w14:paraId="7A539763" w14:textId="4BA67F5C" w:rsidR="008273B8" w:rsidRDefault="00B93063">
            <w:pPr>
              <w:pStyle w:val="P68B1DB1-Normal19"/>
              <w:spacing w:line="240" w:lineRule="auto"/>
              <w:rPr>
                <w:rFonts w:eastAsiaTheme="minorEastAsia" w:cs="Times New Roman"/>
                <w:noProof/>
              </w:rPr>
            </w:pPr>
            <w:r>
              <w:rPr>
                <w:noProof/>
              </w:rPr>
              <w:t>Rashodi nastali u vezi s radovima/uslugama jačanja i širenja elektroenergetske distribucijske mreže</w:t>
            </w:r>
          </w:p>
        </w:tc>
      </w:tr>
      <w:tr w:rsidR="008273B8" w14:paraId="7A539769" w14:textId="77777777">
        <w:trPr>
          <w:cantSplit/>
          <w:trHeight w:val="416"/>
          <w:jc w:val="center"/>
        </w:trPr>
        <w:tc>
          <w:tcPr>
            <w:tcW w:w="1037" w:type="dxa"/>
            <w:tcBorders>
              <w:top w:val="single" w:sz="4" w:space="0" w:color="auto"/>
              <w:left w:val="single" w:sz="4" w:space="0" w:color="auto"/>
              <w:bottom w:val="single" w:sz="4" w:space="0" w:color="auto"/>
              <w:right w:val="single" w:sz="4" w:space="0" w:color="auto"/>
            </w:tcBorders>
            <w:shd w:val="clear" w:color="auto" w:fill="C6EFCE"/>
            <w:vAlign w:val="center"/>
          </w:tcPr>
          <w:p w14:paraId="7A539765" w14:textId="77777777" w:rsidR="008273B8" w:rsidRDefault="008273B8">
            <w:pPr>
              <w:spacing w:after="0" w:line="240" w:lineRule="auto"/>
              <w:jc w:val="center"/>
              <w:rPr>
                <w:rFonts w:ascii="Times New Roman" w:eastAsia="Times New Roman" w:hAnsi="Times New Roman" w:cs="Times New Roman"/>
                <w:noProof/>
                <w:color w:val="000000"/>
                <w:sz w:val="18"/>
              </w:rPr>
            </w:pPr>
          </w:p>
        </w:tc>
        <w:tc>
          <w:tcPr>
            <w:tcW w:w="1136" w:type="dxa"/>
            <w:tcBorders>
              <w:top w:val="single" w:sz="4" w:space="0" w:color="auto"/>
              <w:left w:val="nil"/>
              <w:bottom w:val="single" w:sz="4" w:space="0" w:color="auto"/>
              <w:right w:val="single" w:sz="4" w:space="0" w:color="auto"/>
            </w:tcBorders>
            <w:shd w:val="clear" w:color="auto" w:fill="C6EFCE"/>
            <w:vAlign w:val="center"/>
          </w:tcPr>
          <w:p w14:paraId="7A539766" w14:textId="77777777" w:rsidR="008273B8" w:rsidRDefault="008273B8">
            <w:pPr>
              <w:spacing w:after="0" w:line="240" w:lineRule="auto"/>
              <w:jc w:val="center"/>
              <w:rPr>
                <w:rFonts w:ascii="Times New Roman" w:eastAsia="Times New Roman" w:hAnsi="Times New Roman" w:cs="Times New Roman"/>
                <w:noProof/>
                <w:sz w:val="18"/>
              </w:rPr>
            </w:pPr>
          </w:p>
        </w:tc>
        <w:tc>
          <w:tcPr>
            <w:tcW w:w="1133" w:type="dxa"/>
            <w:tcBorders>
              <w:top w:val="single" w:sz="4" w:space="0" w:color="auto"/>
              <w:left w:val="nil"/>
              <w:bottom w:val="single" w:sz="4" w:space="0" w:color="auto"/>
              <w:right w:val="single" w:sz="4" w:space="0" w:color="auto"/>
            </w:tcBorders>
            <w:shd w:val="clear" w:color="auto" w:fill="C6EFCE"/>
            <w:vAlign w:val="bottom"/>
          </w:tcPr>
          <w:p w14:paraId="7A539767" w14:textId="77777777" w:rsidR="008273B8" w:rsidRDefault="00B93063">
            <w:pPr>
              <w:pStyle w:val="P68B1DB1-Normal19"/>
              <w:spacing w:after="0" w:line="240" w:lineRule="auto"/>
              <w:jc w:val="center"/>
              <w:rPr>
                <w:rFonts w:eastAsia="Times New Roman" w:cs="Times New Roman"/>
                <w:noProof/>
              </w:rPr>
            </w:pPr>
            <w:r>
              <w:rPr>
                <w:noProof/>
              </w:rPr>
              <w:t>Iznos obroka</w:t>
            </w:r>
          </w:p>
        </w:tc>
        <w:tc>
          <w:tcPr>
            <w:tcW w:w="4808" w:type="dxa"/>
            <w:tcBorders>
              <w:top w:val="single" w:sz="4" w:space="0" w:color="auto"/>
              <w:left w:val="nil"/>
              <w:bottom w:val="single" w:sz="4" w:space="0" w:color="auto"/>
              <w:right w:val="single" w:sz="4" w:space="0" w:color="auto"/>
            </w:tcBorders>
            <w:shd w:val="clear" w:color="auto" w:fill="C6EFCE"/>
            <w:vAlign w:val="bottom"/>
          </w:tcPr>
          <w:p w14:paraId="7A539768" w14:textId="0AFF5F54" w:rsidR="008273B8" w:rsidRDefault="00B93063">
            <w:pPr>
              <w:pStyle w:val="P68B1DB1-Normal19"/>
              <w:spacing w:after="0" w:line="240" w:lineRule="auto"/>
              <w:rPr>
                <w:rFonts w:eastAsia="Times New Roman" w:cs="Times New Roman"/>
                <w:noProof/>
              </w:rPr>
            </w:pPr>
            <w:r>
              <w:rPr>
                <w:noProof/>
              </w:rPr>
              <w:t xml:space="preserve">40677946 EURA  </w:t>
            </w:r>
          </w:p>
        </w:tc>
      </w:tr>
    </w:tbl>
    <w:p w14:paraId="7A53976B" w14:textId="77777777" w:rsidR="008273B8" w:rsidRDefault="00B93063">
      <w:pPr>
        <w:pStyle w:val="P68B1DB1-ListParagraph17"/>
        <w:numPr>
          <w:ilvl w:val="1"/>
          <w:numId w:val="43"/>
        </w:numPr>
        <w:tabs>
          <w:tab w:val="num" w:pos="850"/>
        </w:tabs>
        <w:spacing w:before="240" w:after="240" w:line="240" w:lineRule="auto"/>
        <w:jc w:val="both"/>
        <w:rPr>
          <w:rFonts w:cs="Times New Roman"/>
          <w:noProof/>
        </w:rPr>
      </w:pPr>
      <w:r>
        <w:rPr>
          <w:noProof/>
        </w:rPr>
        <w:t xml:space="preserve">Šesti obrok (nepovratna potpora): </w:t>
      </w:r>
    </w:p>
    <w:tbl>
      <w:tblPr>
        <w:tblW w:w="8317" w:type="dxa"/>
        <w:jc w:val="center"/>
        <w:tblLook w:val="04A0" w:firstRow="1" w:lastRow="0" w:firstColumn="1" w:lastColumn="0" w:noHBand="0" w:noVBand="1"/>
      </w:tblPr>
      <w:tblGrid>
        <w:gridCol w:w="1705"/>
        <w:gridCol w:w="1157"/>
        <w:gridCol w:w="1112"/>
        <w:gridCol w:w="4343"/>
      </w:tblGrid>
      <w:tr w:rsidR="008273B8" w14:paraId="7A539770" w14:textId="77777777">
        <w:trPr>
          <w:cantSplit/>
          <w:trHeight w:val="912"/>
          <w:jc w:val="center"/>
        </w:trPr>
        <w:tc>
          <w:tcPr>
            <w:tcW w:w="1705"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76C" w14:textId="77777777" w:rsidR="008273B8" w:rsidRDefault="00B93063">
            <w:pPr>
              <w:pStyle w:val="P68B1DB1-Normal18"/>
              <w:spacing w:after="0" w:line="240" w:lineRule="auto"/>
              <w:jc w:val="center"/>
              <w:rPr>
                <w:rFonts w:eastAsia="Times New Roman" w:cs="Times New Roman"/>
                <w:noProof/>
              </w:rPr>
            </w:pPr>
            <w:r>
              <w:rPr>
                <w:noProof/>
              </w:rPr>
              <w:t>Redni broj</w:t>
            </w:r>
          </w:p>
        </w:tc>
        <w:tc>
          <w:tcPr>
            <w:tcW w:w="1157"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76D" w14:textId="77777777" w:rsidR="008273B8" w:rsidRDefault="00B93063">
            <w:pPr>
              <w:pStyle w:val="P68B1DB1-Normal18"/>
              <w:spacing w:after="0" w:line="240" w:lineRule="auto"/>
              <w:jc w:val="center"/>
              <w:rPr>
                <w:rFonts w:eastAsia="Times New Roman" w:cs="Times New Roman"/>
                <w:noProof/>
              </w:rPr>
            </w:pPr>
            <w:r>
              <w:rPr>
                <w:noProof/>
              </w:rPr>
              <w:t>Povezana mjera (reforma ili ulaganje)</w:t>
            </w:r>
          </w:p>
        </w:tc>
        <w:tc>
          <w:tcPr>
            <w:tcW w:w="1112"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76E" w14:textId="77777777" w:rsidR="008273B8" w:rsidRDefault="00B93063">
            <w:pPr>
              <w:pStyle w:val="P68B1DB1-Normal18"/>
              <w:spacing w:after="0" w:line="240" w:lineRule="auto"/>
              <w:jc w:val="center"/>
              <w:rPr>
                <w:rFonts w:eastAsia="Times New Roman" w:cs="Times New Roman"/>
                <w:noProof/>
              </w:rPr>
            </w:pPr>
            <w:r>
              <w:rPr>
                <w:noProof/>
              </w:rPr>
              <w:t>Ključna etapa/cilj</w:t>
            </w:r>
          </w:p>
        </w:tc>
        <w:tc>
          <w:tcPr>
            <w:tcW w:w="4343" w:type="dxa"/>
            <w:tcBorders>
              <w:top w:val="single" w:sz="4" w:space="0" w:color="auto"/>
              <w:left w:val="single" w:sz="4" w:space="0" w:color="auto"/>
              <w:bottom w:val="single" w:sz="4" w:space="0" w:color="auto"/>
              <w:right w:val="single" w:sz="4" w:space="0" w:color="auto"/>
            </w:tcBorders>
            <w:shd w:val="clear" w:color="auto" w:fill="BDD7EE"/>
            <w:vAlign w:val="center"/>
            <w:hideMark/>
          </w:tcPr>
          <w:p w14:paraId="7A53976F" w14:textId="77777777" w:rsidR="008273B8" w:rsidRDefault="00B93063">
            <w:pPr>
              <w:pStyle w:val="P68B1DB1-Normal18"/>
              <w:spacing w:after="0" w:line="240" w:lineRule="auto"/>
              <w:jc w:val="center"/>
              <w:rPr>
                <w:rFonts w:eastAsia="Times New Roman" w:cs="Times New Roman"/>
                <w:noProof/>
              </w:rPr>
            </w:pPr>
            <w:r>
              <w:rPr>
                <w:noProof/>
              </w:rPr>
              <w:t>Ime</w:t>
            </w:r>
          </w:p>
        </w:tc>
      </w:tr>
      <w:tr w:rsidR="008273B8" w14:paraId="7A539776" w14:textId="77777777">
        <w:trPr>
          <w:cantSplit/>
          <w:trHeight w:val="288"/>
          <w:jc w:val="center"/>
        </w:trPr>
        <w:tc>
          <w:tcPr>
            <w:tcW w:w="1705" w:type="dxa"/>
            <w:tcBorders>
              <w:top w:val="single" w:sz="4" w:space="0" w:color="auto"/>
              <w:left w:val="single" w:sz="4" w:space="0" w:color="auto"/>
              <w:bottom w:val="single" w:sz="4" w:space="0" w:color="auto"/>
              <w:right w:val="single" w:sz="4" w:space="0" w:color="auto"/>
            </w:tcBorders>
            <w:shd w:val="clear" w:color="auto" w:fill="C6EFCE"/>
            <w:hideMark/>
          </w:tcPr>
          <w:p w14:paraId="7A539771" w14:textId="0CFFAEF5" w:rsidR="008273B8" w:rsidRDefault="00B93063">
            <w:pPr>
              <w:pStyle w:val="P68B1DB1-Normal19"/>
              <w:spacing w:line="240" w:lineRule="auto"/>
              <w:jc w:val="center"/>
              <w:rPr>
                <w:rFonts w:eastAsia="Times New Roman" w:cs="Times New Roman"/>
                <w:noProof/>
              </w:rPr>
            </w:pPr>
            <w:r>
              <w:rPr>
                <w:noProof/>
              </w:rPr>
              <w:t>1.18</w:t>
            </w:r>
          </w:p>
        </w:tc>
        <w:tc>
          <w:tcPr>
            <w:tcW w:w="1157" w:type="dxa"/>
            <w:tcBorders>
              <w:top w:val="single" w:sz="4" w:space="0" w:color="auto"/>
              <w:left w:val="nil"/>
              <w:bottom w:val="single" w:sz="4" w:space="0" w:color="auto"/>
              <w:right w:val="single" w:sz="4" w:space="0" w:color="auto"/>
            </w:tcBorders>
            <w:shd w:val="clear" w:color="auto" w:fill="C6EFCE"/>
            <w:hideMark/>
          </w:tcPr>
          <w:p w14:paraId="7A539772" w14:textId="77777777" w:rsidR="008273B8" w:rsidRDefault="00B93063">
            <w:pPr>
              <w:pStyle w:val="P68B1DB1-Normal19"/>
              <w:spacing w:line="240" w:lineRule="auto"/>
              <w:jc w:val="center"/>
              <w:rPr>
                <w:rFonts w:eastAsia="Times New Roman" w:cs="Times New Roman"/>
                <w:noProof/>
              </w:rPr>
            </w:pPr>
            <w:r>
              <w:rPr>
                <w:noProof/>
              </w:rPr>
              <w:t>C1.I.1</w:t>
            </w:r>
          </w:p>
        </w:tc>
        <w:tc>
          <w:tcPr>
            <w:tcW w:w="1112" w:type="dxa"/>
            <w:tcBorders>
              <w:top w:val="single" w:sz="4" w:space="0" w:color="auto"/>
              <w:left w:val="nil"/>
              <w:bottom w:val="single" w:sz="4" w:space="0" w:color="auto"/>
              <w:right w:val="single" w:sz="4" w:space="0" w:color="auto"/>
            </w:tcBorders>
            <w:shd w:val="clear" w:color="auto" w:fill="C6EFCE"/>
            <w:hideMark/>
          </w:tcPr>
          <w:p w14:paraId="7A539773" w14:textId="01F8DDDB" w:rsidR="008273B8" w:rsidRDefault="00B93063">
            <w:pPr>
              <w:pStyle w:val="P68B1DB1-Normal19"/>
              <w:spacing w:after="0" w:line="240" w:lineRule="auto"/>
              <w:jc w:val="center"/>
              <w:rPr>
                <w:rFonts w:eastAsia="Times New Roman" w:cs="Times New Roman"/>
                <w:noProof/>
              </w:rPr>
            </w:pPr>
            <w:r>
              <w:rPr>
                <w:noProof/>
              </w:rPr>
              <w:t>Ciljna vrijednost</w:t>
            </w:r>
          </w:p>
          <w:p w14:paraId="7A539774" w14:textId="77777777" w:rsidR="008273B8" w:rsidRDefault="008273B8">
            <w:pPr>
              <w:spacing w:line="240" w:lineRule="auto"/>
              <w:jc w:val="center"/>
              <w:rPr>
                <w:rFonts w:ascii="Times New Roman" w:hAnsi="Times New Roman" w:cs="Times New Roman"/>
                <w:noProof/>
                <w:sz w:val="18"/>
              </w:rPr>
            </w:pPr>
          </w:p>
        </w:tc>
        <w:tc>
          <w:tcPr>
            <w:tcW w:w="4343" w:type="dxa"/>
            <w:tcBorders>
              <w:top w:val="single" w:sz="4" w:space="0" w:color="auto"/>
              <w:left w:val="nil"/>
              <w:bottom w:val="single" w:sz="4" w:space="0" w:color="auto"/>
              <w:right w:val="single" w:sz="4" w:space="0" w:color="auto"/>
            </w:tcBorders>
            <w:shd w:val="clear" w:color="auto" w:fill="C6EFCE"/>
            <w:hideMark/>
          </w:tcPr>
          <w:p w14:paraId="7A539775" w14:textId="39BAFA4E" w:rsidR="008273B8" w:rsidRDefault="00B93063">
            <w:pPr>
              <w:pStyle w:val="P68B1DB1-Normal19"/>
              <w:spacing w:after="0" w:line="240" w:lineRule="auto"/>
              <w:ind w:right="90"/>
              <w:rPr>
                <w:rFonts w:eastAsia="Times New Roman" w:cs="Times New Roman"/>
                <w:noProof/>
              </w:rPr>
            </w:pPr>
            <w:r>
              <w:rPr>
                <w:noProof/>
              </w:rPr>
              <w:t>Obnovljene zgrade privatnog sektora</w:t>
            </w:r>
          </w:p>
        </w:tc>
      </w:tr>
      <w:tr w:rsidR="008273B8" w14:paraId="7A53977B" w14:textId="77777777">
        <w:trPr>
          <w:cantSplit/>
          <w:trHeight w:val="288"/>
          <w:jc w:val="center"/>
        </w:trPr>
        <w:tc>
          <w:tcPr>
            <w:tcW w:w="1705" w:type="dxa"/>
            <w:tcBorders>
              <w:top w:val="single" w:sz="4" w:space="0" w:color="auto"/>
              <w:left w:val="single" w:sz="4" w:space="0" w:color="auto"/>
              <w:bottom w:val="single" w:sz="4" w:space="0" w:color="auto"/>
              <w:right w:val="single" w:sz="4" w:space="0" w:color="auto"/>
            </w:tcBorders>
            <w:shd w:val="clear" w:color="auto" w:fill="C6EFCE"/>
            <w:hideMark/>
          </w:tcPr>
          <w:p w14:paraId="7A539777" w14:textId="127A5CE6" w:rsidR="008273B8" w:rsidRDefault="00B93063">
            <w:pPr>
              <w:pStyle w:val="P68B1DB1-Normal19"/>
              <w:spacing w:after="0" w:line="240" w:lineRule="auto"/>
              <w:jc w:val="center"/>
              <w:rPr>
                <w:rFonts w:eastAsia="Times New Roman" w:cs="Times New Roman"/>
                <w:noProof/>
              </w:rPr>
            </w:pPr>
            <w:r>
              <w:rPr>
                <w:noProof/>
              </w:rPr>
              <w:t>1.21</w:t>
            </w:r>
          </w:p>
        </w:tc>
        <w:tc>
          <w:tcPr>
            <w:tcW w:w="1157" w:type="dxa"/>
            <w:tcBorders>
              <w:top w:val="single" w:sz="4" w:space="0" w:color="auto"/>
              <w:left w:val="nil"/>
              <w:bottom w:val="single" w:sz="4" w:space="0" w:color="auto"/>
              <w:right w:val="single" w:sz="4" w:space="0" w:color="auto"/>
            </w:tcBorders>
            <w:shd w:val="clear" w:color="auto" w:fill="C6EFCE"/>
            <w:hideMark/>
          </w:tcPr>
          <w:p w14:paraId="7A539778" w14:textId="77777777" w:rsidR="008273B8" w:rsidRDefault="00B93063">
            <w:pPr>
              <w:pStyle w:val="P68B1DB1-Normal19"/>
              <w:spacing w:after="0" w:line="240" w:lineRule="auto"/>
              <w:jc w:val="center"/>
              <w:rPr>
                <w:rFonts w:eastAsia="Times New Roman" w:cs="Times New Roman"/>
                <w:noProof/>
              </w:rPr>
            </w:pPr>
            <w:r>
              <w:rPr>
                <w:noProof/>
              </w:rPr>
              <w:t xml:space="preserve">C1.I.2. </w:t>
            </w:r>
          </w:p>
        </w:tc>
        <w:tc>
          <w:tcPr>
            <w:tcW w:w="1112" w:type="dxa"/>
            <w:tcBorders>
              <w:top w:val="single" w:sz="4" w:space="0" w:color="auto"/>
              <w:left w:val="nil"/>
              <w:bottom w:val="single" w:sz="4" w:space="0" w:color="auto"/>
              <w:right w:val="single" w:sz="4" w:space="0" w:color="auto"/>
            </w:tcBorders>
            <w:shd w:val="clear" w:color="auto" w:fill="C6EFCE"/>
            <w:hideMark/>
          </w:tcPr>
          <w:p w14:paraId="7A539779"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4343" w:type="dxa"/>
            <w:tcBorders>
              <w:top w:val="single" w:sz="4" w:space="0" w:color="auto"/>
              <w:left w:val="nil"/>
              <w:bottom w:val="single" w:sz="4" w:space="0" w:color="auto"/>
              <w:right w:val="single" w:sz="4" w:space="0" w:color="auto"/>
            </w:tcBorders>
            <w:shd w:val="clear" w:color="auto" w:fill="C6EFCE"/>
            <w:hideMark/>
          </w:tcPr>
          <w:p w14:paraId="7A53977A" w14:textId="77777777" w:rsidR="008273B8" w:rsidRDefault="00B93063">
            <w:pPr>
              <w:pStyle w:val="P68B1DB1-Normal19"/>
              <w:spacing w:after="0" w:line="240" w:lineRule="auto"/>
              <w:rPr>
                <w:rFonts w:eastAsia="Times New Roman" w:cs="Times New Roman"/>
                <w:noProof/>
              </w:rPr>
            </w:pPr>
            <w:r>
              <w:rPr>
                <w:noProof/>
              </w:rPr>
              <w:t>Obnovljeni blokovi bolnice planine Carmel</w:t>
            </w:r>
          </w:p>
        </w:tc>
      </w:tr>
      <w:tr w:rsidR="008273B8" w14:paraId="7A539780" w14:textId="77777777">
        <w:trPr>
          <w:cantSplit/>
          <w:trHeight w:val="289"/>
          <w:jc w:val="center"/>
        </w:trPr>
        <w:tc>
          <w:tcPr>
            <w:tcW w:w="1705" w:type="dxa"/>
            <w:tcBorders>
              <w:top w:val="nil"/>
              <w:left w:val="single" w:sz="4" w:space="0" w:color="auto"/>
              <w:bottom w:val="single" w:sz="4" w:space="0" w:color="auto"/>
              <w:right w:val="single" w:sz="4" w:space="0" w:color="auto"/>
            </w:tcBorders>
            <w:shd w:val="clear" w:color="auto" w:fill="C6EFCE"/>
            <w:hideMark/>
          </w:tcPr>
          <w:p w14:paraId="7A53977C" w14:textId="76CA8880" w:rsidR="008273B8" w:rsidRDefault="00B93063">
            <w:pPr>
              <w:pStyle w:val="P68B1DB1-Normal19"/>
              <w:spacing w:after="0" w:line="240" w:lineRule="auto"/>
              <w:jc w:val="center"/>
              <w:rPr>
                <w:rFonts w:eastAsia="Times New Roman" w:cs="Times New Roman"/>
                <w:noProof/>
              </w:rPr>
            </w:pPr>
            <w:r>
              <w:rPr>
                <w:noProof/>
              </w:rPr>
              <w:t>3.15</w:t>
            </w:r>
          </w:p>
        </w:tc>
        <w:tc>
          <w:tcPr>
            <w:tcW w:w="1157" w:type="dxa"/>
            <w:tcBorders>
              <w:top w:val="nil"/>
              <w:left w:val="nil"/>
              <w:bottom w:val="single" w:sz="4" w:space="0" w:color="auto"/>
              <w:right w:val="single" w:sz="4" w:space="0" w:color="auto"/>
            </w:tcBorders>
            <w:shd w:val="clear" w:color="auto" w:fill="C6EFCE"/>
            <w:hideMark/>
          </w:tcPr>
          <w:p w14:paraId="7A53977D" w14:textId="77777777" w:rsidR="008273B8" w:rsidRDefault="00B93063">
            <w:pPr>
              <w:pStyle w:val="P68B1DB1-Normal19"/>
              <w:spacing w:after="0" w:line="240" w:lineRule="auto"/>
              <w:jc w:val="center"/>
              <w:rPr>
                <w:rFonts w:eastAsia="Times New Roman" w:cs="Times New Roman"/>
                <w:noProof/>
              </w:rPr>
            </w:pPr>
            <w:r>
              <w:rPr>
                <w:noProof/>
              </w:rPr>
              <w:t xml:space="preserve">C3.I.4 </w:t>
            </w:r>
          </w:p>
        </w:tc>
        <w:tc>
          <w:tcPr>
            <w:tcW w:w="1112" w:type="dxa"/>
            <w:tcBorders>
              <w:top w:val="nil"/>
              <w:left w:val="nil"/>
              <w:bottom w:val="single" w:sz="4" w:space="0" w:color="auto"/>
              <w:right w:val="single" w:sz="4" w:space="0" w:color="auto"/>
            </w:tcBorders>
            <w:shd w:val="clear" w:color="auto" w:fill="C6EFCE"/>
            <w:hideMark/>
          </w:tcPr>
          <w:p w14:paraId="7A53977E" w14:textId="77777777" w:rsidR="008273B8" w:rsidRDefault="00B93063">
            <w:pPr>
              <w:pStyle w:val="P68B1DB1-Normal19"/>
              <w:spacing w:after="0" w:line="240" w:lineRule="auto"/>
              <w:jc w:val="center"/>
              <w:rPr>
                <w:rFonts w:eastAsia="Times New Roman" w:cs="Times New Roman"/>
                <w:noProof/>
              </w:rPr>
            </w:pPr>
            <w:r>
              <w:rPr>
                <w:noProof/>
              </w:rPr>
              <w:t>Ciljna vrijednost</w:t>
            </w:r>
          </w:p>
        </w:tc>
        <w:tc>
          <w:tcPr>
            <w:tcW w:w="4343" w:type="dxa"/>
            <w:tcBorders>
              <w:top w:val="nil"/>
              <w:left w:val="nil"/>
              <w:bottom w:val="single" w:sz="4" w:space="0" w:color="auto"/>
              <w:right w:val="single" w:sz="4" w:space="0" w:color="auto"/>
            </w:tcBorders>
            <w:shd w:val="clear" w:color="auto" w:fill="C6EFCE"/>
            <w:hideMark/>
          </w:tcPr>
          <w:p w14:paraId="7A53977F" w14:textId="77777777" w:rsidR="008273B8" w:rsidRDefault="00B93063">
            <w:pPr>
              <w:pStyle w:val="P68B1DB1-Normal19"/>
              <w:spacing w:after="0" w:line="240" w:lineRule="auto"/>
              <w:rPr>
                <w:rFonts w:eastAsia="Times New Roman" w:cs="Times New Roman"/>
                <w:noProof/>
              </w:rPr>
            </w:pPr>
            <w:r>
              <w:rPr>
                <w:noProof/>
              </w:rPr>
              <w:t>Poduzeća koja primaju potporu u ulaganjima u digitalizaciju</w:t>
            </w:r>
          </w:p>
        </w:tc>
      </w:tr>
      <w:tr w:rsidR="008273B8" w14:paraId="7A539785" w14:textId="77777777">
        <w:trPr>
          <w:cantSplit/>
          <w:trHeight w:val="720"/>
          <w:jc w:val="center"/>
        </w:trPr>
        <w:tc>
          <w:tcPr>
            <w:tcW w:w="1705" w:type="dxa"/>
            <w:tcBorders>
              <w:top w:val="nil"/>
              <w:left w:val="single" w:sz="4" w:space="0" w:color="auto"/>
              <w:bottom w:val="single" w:sz="4" w:space="0" w:color="auto"/>
              <w:right w:val="single" w:sz="4" w:space="0" w:color="auto"/>
            </w:tcBorders>
            <w:shd w:val="clear" w:color="auto" w:fill="C6EFCE"/>
            <w:hideMark/>
          </w:tcPr>
          <w:p w14:paraId="7A539781" w14:textId="7CA9B0B5" w:rsidR="008273B8" w:rsidRDefault="00B93063">
            <w:pPr>
              <w:pStyle w:val="P68B1DB1-Normal19"/>
              <w:spacing w:after="0" w:line="240" w:lineRule="auto"/>
              <w:jc w:val="center"/>
              <w:rPr>
                <w:rFonts w:eastAsia="Times New Roman" w:cs="Times New Roman"/>
                <w:noProof/>
              </w:rPr>
            </w:pPr>
            <w:r>
              <w:rPr>
                <w:noProof/>
              </w:rPr>
              <w:t>6.4</w:t>
            </w:r>
          </w:p>
        </w:tc>
        <w:tc>
          <w:tcPr>
            <w:tcW w:w="1157" w:type="dxa"/>
            <w:tcBorders>
              <w:top w:val="nil"/>
              <w:left w:val="nil"/>
              <w:bottom w:val="single" w:sz="4" w:space="0" w:color="auto"/>
              <w:right w:val="single" w:sz="4" w:space="0" w:color="auto"/>
            </w:tcBorders>
            <w:shd w:val="clear" w:color="auto" w:fill="C6EFCE"/>
            <w:hideMark/>
          </w:tcPr>
          <w:p w14:paraId="7A539782" w14:textId="77777777" w:rsidR="008273B8" w:rsidRDefault="00B93063">
            <w:pPr>
              <w:pStyle w:val="P68B1DB1-Normal19"/>
              <w:spacing w:after="0" w:line="240" w:lineRule="auto"/>
              <w:jc w:val="center"/>
              <w:rPr>
                <w:rFonts w:eastAsia="Times New Roman" w:cs="Times New Roman"/>
                <w:noProof/>
              </w:rPr>
            </w:pPr>
            <w:r>
              <w:rPr>
                <w:noProof/>
              </w:rPr>
              <w:t xml:space="preserve">C6.R.1 </w:t>
            </w:r>
          </w:p>
        </w:tc>
        <w:tc>
          <w:tcPr>
            <w:tcW w:w="1112" w:type="dxa"/>
            <w:tcBorders>
              <w:top w:val="nil"/>
              <w:left w:val="nil"/>
              <w:bottom w:val="single" w:sz="4" w:space="0" w:color="auto"/>
              <w:right w:val="single" w:sz="4" w:space="0" w:color="auto"/>
            </w:tcBorders>
            <w:shd w:val="clear" w:color="auto" w:fill="C6EFCE"/>
            <w:hideMark/>
          </w:tcPr>
          <w:p w14:paraId="7A539783"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4343" w:type="dxa"/>
            <w:tcBorders>
              <w:top w:val="nil"/>
              <w:left w:val="nil"/>
              <w:bottom w:val="single" w:sz="4" w:space="0" w:color="auto"/>
              <w:right w:val="single" w:sz="4" w:space="0" w:color="auto"/>
            </w:tcBorders>
            <w:shd w:val="clear" w:color="auto" w:fill="C6EFCE"/>
            <w:hideMark/>
          </w:tcPr>
          <w:p w14:paraId="7A539784" w14:textId="77777777" w:rsidR="008273B8" w:rsidRDefault="00B93063">
            <w:pPr>
              <w:pStyle w:val="P68B1DB1-Normal19"/>
              <w:spacing w:after="0" w:line="240" w:lineRule="auto"/>
              <w:rPr>
                <w:rFonts w:eastAsia="Times New Roman" w:cs="Times New Roman"/>
                <w:noProof/>
              </w:rPr>
            </w:pPr>
            <w:r>
              <w:rPr>
                <w:noProof/>
              </w:rPr>
              <w:t>Stupanje na snagu zakonodavnih izmjena koje se smatraju potrebnima na temelju neovisnog preispitivanja neovisnosti specijaliziranih sudova</w:t>
            </w:r>
          </w:p>
        </w:tc>
      </w:tr>
      <w:tr w:rsidR="008273B8" w14:paraId="7A53978A" w14:textId="77777777">
        <w:trPr>
          <w:cantSplit/>
          <w:trHeight w:val="480"/>
          <w:jc w:val="center"/>
        </w:trPr>
        <w:tc>
          <w:tcPr>
            <w:tcW w:w="1705" w:type="dxa"/>
            <w:tcBorders>
              <w:top w:val="nil"/>
              <w:left w:val="single" w:sz="4" w:space="0" w:color="auto"/>
              <w:bottom w:val="single" w:sz="4" w:space="0" w:color="auto"/>
              <w:right w:val="single" w:sz="4" w:space="0" w:color="auto"/>
            </w:tcBorders>
            <w:shd w:val="clear" w:color="auto" w:fill="C6EFCE"/>
            <w:hideMark/>
          </w:tcPr>
          <w:p w14:paraId="7A539786" w14:textId="65C658F5" w:rsidR="008273B8" w:rsidRDefault="00B93063">
            <w:pPr>
              <w:pStyle w:val="P68B1DB1-Normal19"/>
              <w:spacing w:after="0" w:line="240" w:lineRule="auto"/>
              <w:jc w:val="center"/>
              <w:rPr>
                <w:rFonts w:eastAsia="Times New Roman" w:cs="Times New Roman"/>
                <w:noProof/>
              </w:rPr>
            </w:pPr>
            <w:r>
              <w:rPr>
                <w:noProof/>
              </w:rPr>
              <w:t>6.6</w:t>
            </w:r>
          </w:p>
        </w:tc>
        <w:tc>
          <w:tcPr>
            <w:tcW w:w="1157" w:type="dxa"/>
            <w:tcBorders>
              <w:top w:val="nil"/>
              <w:left w:val="nil"/>
              <w:bottom w:val="single" w:sz="4" w:space="0" w:color="auto"/>
              <w:right w:val="single" w:sz="4" w:space="0" w:color="auto"/>
            </w:tcBorders>
            <w:shd w:val="clear" w:color="auto" w:fill="C6EFCE"/>
            <w:hideMark/>
          </w:tcPr>
          <w:p w14:paraId="7A539787" w14:textId="77777777" w:rsidR="008273B8" w:rsidRDefault="00B93063">
            <w:pPr>
              <w:pStyle w:val="P68B1DB1-Normal19"/>
              <w:spacing w:after="0" w:line="240" w:lineRule="auto"/>
              <w:jc w:val="center"/>
              <w:rPr>
                <w:rFonts w:eastAsia="Times New Roman" w:cs="Times New Roman"/>
                <w:noProof/>
              </w:rPr>
            </w:pPr>
            <w:r>
              <w:rPr>
                <w:noProof/>
              </w:rPr>
              <w:t xml:space="preserve">C6.R.2 </w:t>
            </w:r>
          </w:p>
        </w:tc>
        <w:tc>
          <w:tcPr>
            <w:tcW w:w="1112" w:type="dxa"/>
            <w:tcBorders>
              <w:top w:val="nil"/>
              <w:left w:val="nil"/>
              <w:bottom w:val="single" w:sz="4" w:space="0" w:color="auto"/>
              <w:right w:val="single" w:sz="4" w:space="0" w:color="auto"/>
            </w:tcBorders>
            <w:shd w:val="clear" w:color="auto" w:fill="C6EFCE"/>
            <w:hideMark/>
          </w:tcPr>
          <w:p w14:paraId="7A539788"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4343" w:type="dxa"/>
            <w:tcBorders>
              <w:top w:val="nil"/>
              <w:left w:val="nil"/>
              <w:bottom w:val="single" w:sz="4" w:space="0" w:color="auto"/>
              <w:right w:val="single" w:sz="4" w:space="0" w:color="auto"/>
            </w:tcBorders>
            <w:shd w:val="clear" w:color="auto" w:fill="C6EFCE"/>
            <w:hideMark/>
          </w:tcPr>
          <w:p w14:paraId="7A539789" w14:textId="77777777" w:rsidR="008273B8" w:rsidRDefault="00B93063">
            <w:pPr>
              <w:pStyle w:val="P68B1DB1-Normal19"/>
              <w:spacing w:after="0" w:line="240" w:lineRule="auto"/>
              <w:rPr>
                <w:rFonts w:eastAsia="Times New Roman" w:cs="Times New Roman"/>
                <w:noProof/>
              </w:rPr>
            </w:pPr>
            <w:r>
              <w:rPr>
                <w:noProof/>
              </w:rPr>
              <w:t>Stupanje na snagu zakonodavnih izmjena koje se smatraju potrebnima na temelju neovisnog preispitivanja prijenosa skraćenih predmeta iz policije u Ured AG-a</w:t>
            </w:r>
          </w:p>
        </w:tc>
      </w:tr>
      <w:tr w:rsidR="008273B8" w14:paraId="7A53978F" w14:textId="77777777">
        <w:trPr>
          <w:cantSplit/>
          <w:trHeight w:val="720"/>
          <w:jc w:val="center"/>
        </w:trPr>
        <w:tc>
          <w:tcPr>
            <w:tcW w:w="1705" w:type="dxa"/>
            <w:tcBorders>
              <w:top w:val="nil"/>
              <w:left w:val="single" w:sz="4" w:space="0" w:color="auto"/>
              <w:bottom w:val="single" w:sz="4" w:space="0" w:color="auto"/>
              <w:right w:val="single" w:sz="4" w:space="0" w:color="auto"/>
            </w:tcBorders>
            <w:shd w:val="clear" w:color="auto" w:fill="C6EFCE"/>
            <w:hideMark/>
          </w:tcPr>
          <w:p w14:paraId="7A53978B" w14:textId="5B7787A4" w:rsidR="008273B8" w:rsidRDefault="00B93063">
            <w:pPr>
              <w:pStyle w:val="P68B1DB1-Normal19"/>
              <w:spacing w:after="0" w:line="240" w:lineRule="auto"/>
              <w:jc w:val="center"/>
              <w:rPr>
                <w:rFonts w:eastAsia="Times New Roman" w:cs="Times New Roman"/>
                <w:noProof/>
              </w:rPr>
            </w:pPr>
            <w:r>
              <w:rPr>
                <w:noProof/>
              </w:rPr>
              <w:t>6.24</w:t>
            </w:r>
          </w:p>
        </w:tc>
        <w:tc>
          <w:tcPr>
            <w:tcW w:w="1157" w:type="dxa"/>
            <w:tcBorders>
              <w:top w:val="nil"/>
              <w:left w:val="nil"/>
              <w:bottom w:val="single" w:sz="4" w:space="0" w:color="auto"/>
              <w:right w:val="single" w:sz="4" w:space="0" w:color="auto"/>
            </w:tcBorders>
            <w:shd w:val="clear" w:color="auto" w:fill="C6EFCE"/>
            <w:hideMark/>
          </w:tcPr>
          <w:p w14:paraId="7A53978C" w14:textId="77777777" w:rsidR="008273B8" w:rsidRDefault="00B93063">
            <w:pPr>
              <w:pStyle w:val="P68B1DB1-Normal19"/>
              <w:spacing w:after="0" w:line="240" w:lineRule="auto"/>
              <w:jc w:val="center"/>
              <w:rPr>
                <w:rFonts w:eastAsia="Times New Roman" w:cs="Times New Roman"/>
                <w:noProof/>
              </w:rPr>
            </w:pPr>
            <w:r>
              <w:rPr>
                <w:noProof/>
              </w:rPr>
              <w:t xml:space="preserve">C6.R.7 </w:t>
            </w:r>
          </w:p>
        </w:tc>
        <w:tc>
          <w:tcPr>
            <w:tcW w:w="1112" w:type="dxa"/>
            <w:tcBorders>
              <w:top w:val="nil"/>
              <w:left w:val="nil"/>
              <w:bottom w:val="single" w:sz="4" w:space="0" w:color="auto"/>
              <w:right w:val="single" w:sz="4" w:space="0" w:color="auto"/>
            </w:tcBorders>
            <w:shd w:val="clear" w:color="auto" w:fill="C6EFCE"/>
            <w:hideMark/>
          </w:tcPr>
          <w:p w14:paraId="7A53978D"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4343" w:type="dxa"/>
            <w:tcBorders>
              <w:top w:val="nil"/>
              <w:left w:val="nil"/>
              <w:bottom w:val="single" w:sz="4" w:space="0" w:color="auto"/>
              <w:right w:val="single" w:sz="4" w:space="0" w:color="auto"/>
            </w:tcBorders>
            <w:shd w:val="clear" w:color="auto" w:fill="C6EFCE"/>
            <w:hideMark/>
          </w:tcPr>
          <w:p w14:paraId="7A53978E" w14:textId="77777777" w:rsidR="008273B8" w:rsidRDefault="00B93063">
            <w:pPr>
              <w:pStyle w:val="P68B1DB1-Normal19"/>
              <w:spacing w:after="0" w:line="240" w:lineRule="auto"/>
              <w:rPr>
                <w:rFonts w:eastAsia="Times New Roman" w:cs="Times New Roman"/>
                <w:noProof/>
              </w:rPr>
            </w:pPr>
            <w:r>
              <w:rPr>
                <w:noProof/>
              </w:rPr>
              <w:t>Stupanje na snagu zakonodavnih izmjena kojima se mijenja sudsko preispitivanje kako bi oštećene stranke mogle uložiti žalbu na odluku glavnog državnog odvjetnika o nepokretanju kaznenog progona</w:t>
            </w:r>
          </w:p>
        </w:tc>
      </w:tr>
      <w:tr w:rsidR="008273B8" w14:paraId="7A539794" w14:textId="77777777">
        <w:trPr>
          <w:cantSplit/>
          <w:trHeight w:val="288"/>
          <w:jc w:val="center"/>
        </w:trPr>
        <w:tc>
          <w:tcPr>
            <w:tcW w:w="1705" w:type="dxa"/>
            <w:tcBorders>
              <w:top w:val="nil"/>
              <w:left w:val="single" w:sz="4" w:space="0" w:color="auto"/>
              <w:bottom w:val="single" w:sz="4" w:space="0" w:color="auto"/>
              <w:right w:val="single" w:sz="4" w:space="0" w:color="auto"/>
            </w:tcBorders>
            <w:shd w:val="clear" w:color="auto" w:fill="C6EFCE"/>
            <w:hideMark/>
          </w:tcPr>
          <w:p w14:paraId="7A539790" w14:textId="527523DB" w:rsidR="008273B8" w:rsidRDefault="00B93063">
            <w:pPr>
              <w:pStyle w:val="P68B1DB1-Normal19"/>
              <w:spacing w:after="0" w:line="240" w:lineRule="auto"/>
              <w:jc w:val="center"/>
              <w:rPr>
                <w:rFonts w:eastAsia="Times New Roman" w:cs="Times New Roman"/>
                <w:noProof/>
              </w:rPr>
            </w:pPr>
            <w:r>
              <w:rPr>
                <w:noProof/>
              </w:rPr>
              <w:t>6.40</w:t>
            </w:r>
          </w:p>
        </w:tc>
        <w:tc>
          <w:tcPr>
            <w:tcW w:w="1157" w:type="dxa"/>
            <w:tcBorders>
              <w:top w:val="nil"/>
              <w:left w:val="nil"/>
              <w:bottom w:val="single" w:sz="4" w:space="0" w:color="auto"/>
              <w:right w:val="single" w:sz="4" w:space="0" w:color="auto"/>
            </w:tcBorders>
            <w:shd w:val="clear" w:color="auto" w:fill="C6EFCE"/>
            <w:hideMark/>
          </w:tcPr>
          <w:p w14:paraId="7A539791" w14:textId="77777777" w:rsidR="008273B8" w:rsidRDefault="00B93063">
            <w:pPr>
              <w:pStyle w:val="P68B1DB1-Normal19"/>
              <w:spacing w:after="0" w:line="240" w:lineRule="auto"/>
              <w:jc w:val="center"/>
              <w:rPr>
                <w:rFonts w:eastAsia="Times New Roman" w:cs="Times New Roman"/>
                <w:noProof/>
              </w:rPr>
            </w:pPr>
            <w:r>
              <w:rPr>
                <w:noProof/>
              </w:rPr>
              <w:t xml:space="preserve">C6.I.1. </w:t>
            </w:r>
          </w:p>
        </w:tc>
        <w:tc>
          <w:tcPr>
            <w:tcW w:w="1112" w:type="dxa"/>
            <w:tcBorders>
              <w:top w:val="nil"/>
              <w:left w:val="nil"/>
              <w:bottom w:val="single" w:sz="4" w:space="0" w:color="auto"/>
              <w:right w:val="single" w:sz="4" w:space="0" w:color="auto"/>
            </w:tcBorders>
            <w:shd w:val="clear" w:color="auto" w:fill="C6EFCE"/>
            <w:hideMark/>
          </w:tcPr>
          <w:p w14:paraId="7A539792" w14:textId="77777777" w:rsidR="008273B8" w:rsidRDefault="00B93063">
            <w:pPr>
              <w:pStyle w:val="P68B1DB1-Normal19"/>
              <w:spacing w:after="0" w:line="240" w:lineRule="auto"/>
              <w:jc w:val="center"/>
              <w:rPr>
                <w:rFonts w:eastAsia="Times New Roman" w:cs="Times New Roman"/>
                <w:noProof/>
              </w:rPr>
            </w:pPr>
            <w:r>
              <w:rPr>
                <w:noProof/>
              </w:rPr>
              <w:t>Ključna etapa</w:t>
            </w:r>
          </w:p>
        </w:tc>
        <w:tc>
          <w:tcPr>
            <w:tcW w:w="4343" w:type="dxa"/>
            <w:tcBorders>
              <w:top w:val="nil"/>
              <w:left w:val="nil"/>
              <w:bottom w:val="single" w:sz="4" w:space="0" w:color="auto"/>
              <w:right w:val="single" w:sz="4" w:space="0" w:color="auto"/>
            </w:tcBorders>
            <w:shd w:val="clear" w:color="auto" w:fill="C6EFCE"/>
            <w:hideMark/>
          </w:tcPr>
          <w:p w14:paraId="7A539793" w14:textId="77777777" w:rsidR="008273B8" w:rsidRDefault="00B93063">
            <w:pPr>
              <w:pStyle w:val="P68B1DB1-Normal19"/>
              <w:spacing w:after="0" w:line="240" w:lineRule="auto"/>
              <w:rPr>
                <w:rFonts w:eastAsia="Times New Roman" w:cs="Times New Roman"/>
                <w:noProof/>
              </w:rPr>
            </w:pPr>
            <w:r>
              <w:rPr>
                <w:noProof/>
              </w:rPr>
              <w:t xml:space="preserve">Pokretanje i dostupnost za korisnike razvijenih informatičkih alata i sustava </w:t>
            </w:r>
          </w:p>
        </w:tc>
      </w:tr>
      <w:tr w:rsidR="008273B8" w14:paraId="7A539799" w14:textId="77777777">
        <w:trPr>
          <w:cantSplit/>
          <w:trHeight w:val="480"/>
          <w:jc w:val="center"/>
        </w:trPr>
        <w:tc>
          <w:tcPr>
            <w:tcW w:w="1705" w:type="dxa"/>
            <w:tcBorders>
              <w:top w:val="single" w:sz="4" w:space="0" w:color="auto"/>
              <w:left w:val="single" w:sz="4" w:space="0" w:color="auto"/>
              <w:bottom w:val="single" w:sz="4" w:space="0" w:color="auto"/>
              <w:right w:val="single" w:sz="4" w:space="0" w:color="auto"/>
            </w:tcBorders>
            <w:shd w:val="clear" w:color="auto" w:fill="C6EFCE"/>
          </w:tcPr>
          <w:p w14:paraId="7A539795" w14:textId="47E7B1CA" w:rsidR="008273B8" w:rsidRDefault="00B93063">
            <w:pPr>
              <w:pStyle w:val="P68B1DB1-Normal19"/>
              <w:spacing w:line="240" w:lineRule="auto"/>
              <w:jc w:val="center"/>
              <w:rPr>
                <w:rFonts w:eastAsia="Times New Roman" w:cs="Times New Roman"/>
                <w:noProof/>
              </w:rPr>
            </w:pPr>
            <w:r>
              <w:rPr>
                <w:noProof/>
              </w:rPr>
              <w:t>7.6</w:t>
            </w:r>
          </w:p>
        </w:tc>
        <w:tc>
          <w:tcPr>
            <w:tcW w:w="1157" w:type="dxa"/>
            <w:tcBorders>
              <w:top w:val="single" w:sz="4" w:space="0" w:color="auto"/>
              <w:left w:val="nil"/>
              <w:bottom w:val="single" w:sz="4" w:space="0" w:color="auto"/>
              <w:right w:val="single" w:sz="4" w:space="0" w:color="auto"/>
            </w:tcBorders>
            <w:shd w:val="clear" w:color="auto" w:fill="C6EFCE"/>
          </w:tcPr>
          <w:p w14:paraId="7A539796" w14:textId="77777777" w:rsidR="008273B8" w:rsidRDefault="00B93063">
            <w:pPr>
              <w:pStyle w:val="P68B1DB1-Normal19"/>
              <w:spacing w:line="240" w:lineRule="auto"/>
              <w:jc w:val="center"/>
              <w:rPr>
                <w:rFonts w:eastAsia="Times New Roman" w:cs="Times New Roman"/>
                <w:noProof/>
              </w:rPr>
            </w:pPr>
            <w:r>
              <w:rPr>
                <w:noProof/>
              </w:rPr>
              <w:t>C7.I.1</w:t>
            </w:r>
          </w:p>
        </w:tc>
        <w:tc>
          <w:tcPr>
            <w:tcW w:w="1112" w:type="dxa"/>
            <w:tcBorders>
              <w:top w:val="single" w:sz="4" w:space="0" w:color="auto"/>
              <w:left w:val="nil"/>
              <w:bottom w:val="single" w:sz="4" w:space="0" w:color="auto"/>
              <w:right w:val="single" w:sz="4" w:space="0" w:color="auto"/>
            </w:tcBorders>
            <w:shd w:val="clear" w:color="auto" w:fill="C6EFCE"/>
          </w:tcPr>
          <w:p w14:paraId="7A539797" w14:textId="77777777" w:rsidR="008273B8" w:rsidRDefault="00B93063">
            <w:pPr>
              <w:pStyle w:val="P68B1DB1-Normal19"/>
              <w:spacing w:line="240" w:lineRule="auto"/>
              <w:jc w:val="center"/>
              <w:rPr>
                <w:rFonts w:eastAsia="Times New Roman" w:cs="Times New Roman"/>
                <w:noProof/>
              </w:rPr>
            </w:pPr>
            <w:r>
              <w:rPr>
                <w:noProof/>
              </w:rPr>
              <w:t>Ključna etapa</w:t>
            </w:r>
          </w:p>
        </w:tc>
        <w:tc>
          <w:tcPr>
            <w:tcW w:w="4343" w:type="dxa"/>
            <w:tcBorders>
              <w:top w:val="single" w:sz="4" w:space="0" w:color="auto"/>
              <w:left w:val="nil"/>
              <w:bottom w:val="single" w:sz="4" w:space="0" w:color="auto"/>
              <w:right w:val="single" w:sz="4" w:space="0" w:color="auto"/>
            </w:tcBorders>
            <w:shd w:val="clear" w:color="auto" w:fill="C6EFCE"/>
          </w:tcPr>
          <w:p w14:paraId="7A539798" w14:textId="41733023" w:rsidR="008273B8" w:rsidRDefault="00B93063">
            <w:pPr>
              <w:pStyle w:val="P68B1DB1-Normal19"/>
              <w:spacing w:line="240" w:lineRule="auto"/>
              <w:rPr>
                <w:rFonts w:eastAsiaTheme="minorEastAsia" w:cs="Times New Roman"/>
                <w:noProof/>
              </w:rPr>
            </w:pPr>
            <w:r>
              <w:rPr>
                <w:noProof/>
              </w:rPr>
              <w:t>Početak rada postrojenja za jačanje i proširenje elektroenergetske distribucijske mreže</w:t>
            </w:r>
          </w:p>
        </w:tc>
      </w:tr>
      <w:tr w:rsidR="008273B8" w14:paraId="7A53979E" w14:textId="77777777">
        <w:trPr>
          <w:cantSplit/>
          <w:trHeight w:val="480"/>
          <w:jc w:val="center"/>
        </w:trPr>
        <w:tc>
          <w:tcPr>
            <w:tcW w:w="1705" w:type="dxa"/>
            <w:tcBorders>
              <w:top w:val="single" w:sz="4" w:space="0" w:color="auto"/>
              <w:left w:val="single" w:sz="4" w:space="0" w:color="auto"/>
              <w:bottom w:val="single" w:sz="4" w:space="0" w:color="auto"/>
              <w:right w:val="single" w:sz="4" w:space="0" w:color="auto"/>
            </w:tcBorders>
            <w:shd w:val="clear" w:color="auto" w:fill="C6EFCE"/>
          </w:tcPr>
          <w:p w14:paraId="7A53979A" w14:textId="77777777" w:rsidR="008273B8" w:rsidRDefault="008273B8">
            <w:pPr>
              <w:spacing w:after="0" w:line="240" w:lineRule="auto"/>
              <w:jc w:val="center"/>
              <w:rPr>
                <w:rFonts w:ascii="Times New Roman" w:eastAsia="Times New Roman" w:hAnsi="Times New Roman" w:cs="Times New Roman"/>
                <w:noProof/>
                <w:sz w:val="18"/>
              </w:rPr>
            </w:pPr>
          </w:p>
        </w:tc>
        <w:tc>
          <w:tcPr>
            <w:tcW w:w="1157" w:type="dxa"/>
            <w:tcBorders>
              <w:top w:val="single" w:sz="4" w:space="0" w:color="auto"/>
              <w:left w:val="nil"/>
              <w:bottom w:val="single" w:sz="4" w:space="0" w:color="auto"/>
              <w:right w:val="single" w:sz="4" w:space="0" w:color="auto"/>
            </w:tcBorders>
            <w:shd w:val="clear" w:color="auto" w:fill="C6EFCE"/>
          </w:tcPr>
          <w:p w14:paraId="7A53979B" w14:textId="77777777" w:rsidR="008273B8" w:rsidRDefault="008273B8">
            <w:pPr>
              <w:spacing w:after="0" w:line="240" w:lineRule="auto"/>
              <w:rPr>
                <w:rFonts w:ascii="Times New Roman" w:eastAsia="Times New Roman" w:hAnsi="Times New Roman" w:cs="Times New Roman"/>
                <w:noProof/>
                <w:sz w:val="18"/>
              </w:rPr>
            </w:pPr>
          </w:p>
        </w:tc>
        <w:tc>
          <w:tcPr>
            <w:tcW w:w="1112" w:type="dxa"/>
            <w:tcBorders>
              <w:top w:val="single" w:sz="4" w:space="0" w:color="auto"/>
              <w:left w:val="nil"/>
              <w:bottom w:val="single" w:sz="4" w:space="0" w:color="auto"/>
              <w:right w:val="single" w:sz="4" w:space="0" w:color="auto"/>
            </w:tcBorders>
            <w:shd w:val="clear" w:color="auto" w:fill="C6EFCE"/>
          </w:tcPr>
          <w:p w14:paraId="7A53979C" w14:textId="77777777" w:rsidR="008273B8" w:rsidRDefault="00B93063">
            <w:pPr>
              <w:pStyle w:val="P68B1DB1-Normal19"/>
              <w:spacing w:after="0" w:line="240" w:lineRule="auto"/>
              <w:jc w:val="center"/>
              <w:rPr>
                <w:rFonts w:eastAsia="Times New Roman" w:cs="Times New Roman"/>
                <w:noProof/>
              </w:rPr>
            </w:pPr>
            <w:r>
              <w:rPr>
                <w:noProof/>
              </w:rPr>
              <w:t>Iznos obroka</w:t>
            </w:r>
          </w:p>
        </w:tc>
        <w:tc>
          <w:tcPr>
            <w:tcW w:w="4343" w:type="dxa"/>
            <w:tcBorders>
              <w:top w:val="single" w:sz="4" w:space="0" w:color="auto"/>
              <w:left w:val="nil"/>
              <w:bottom w:val="single" w:sz="4" w:space="0" w:color="auto"/>
              <w:right w:val="single" w:sz="4" w:space="0" w:color="auto"/>
            </w:tcBorders>
            <w:shd w:val="clear" w:color="auto" w:fill="C6EFCE"/>
          </w:tcPr>
          <w:p w14:paraId="7A53979D" w14:textId="1C7D9E63" w:rsidR="008273B8" w:rsidRDefault="00B93063">
            <w:pPr>
              <w:pStyle w:val="P68B1DB1-Normal19"/>
              <w:spacing w:after="0" w:line="240" w:lineRule="auto"/>
              <w:rPr>
                <w:rFonts w:eastAsia="Times New Roman" w:cs="Times New Roman"/>
                <w:noProof/>
              </w:rPr>
            </w:pPr>
            <w:r>
              <w:rPr>
                <w:noProof/>
              </w:rPr>
              <w:t xml:space="preserve">17383738 EURA  </w:t>
            </w:r>
          </w:p>
        </w:tc>
      </w:tr>
    </w:tbl>
    <w:p w14:paraId="3B5E70F4" w14:textId="53D0812C" w:rsidR="008273B8" w:rsidRDefault="008273B8">
      <w:pPr>
        <w:pStyle w:val="Heading1"/>
        <w:numPr>
          <w:ilvl w:val="0"/>
          <w:numId w:val="0"/>
        </w:numPr>
        <w:spacing w:after="360"/>
        <w:ind w:left="850" w:hanging="850"/>
        <w:rPr>
          <w:noProof/>
        </w:rPr>
      </w:pPr>
    </w:p>
    <w:p w14:paraId="00F8580B" w14:textId="77777777" w:rsidR="008273B8" w:rsidRDefault="00B93063">
      <w:pPr>
        <w:rPr>
          <w:rFonts w:ascii="Times New Roman" w:eastAsiaTheme="majorEastAsia" w:hAnsi="Times New Roman" w:cs="Times New Roman"/>
          <w:b/>
          <w:smallCaps/>
          <w:noProof/>
          <w:sz w:val="24"/>
        </w:rPr>
      </w:pPr>
      <w:r>
        <w:rPr>
          <w:noProof/>
        </w:rPr>
        <w:br w:type="page"/>
      </w:r>
    </w:p>
    <w:p w14:paraId="7A5397A0" w14:textId="41C4F100" w:rsidR="008273B8" w:rsidRDefault="00B93063">
      <w:pPr>
        <w:pStyle w:val="Heading1"/>
        <w:numPr>
          <w:ilvl w:val="0"/>
          <w:numId w:val="0"/>
        </w:numPr>
        <w:spacing w:after="360"/>
        <w:ind w:left="850" w:hanging="850"/>
        <w:rPr>
          <w:noProof/>
        </w:rPr>
      </w:pPr>
      <w:r>
        <w:rPr>
          <w:noProof/>
        </w:rPr>
        <w:t xml:space="preserve">ODJELJAK 3.: DODATNI ARANŽMANI </w:t>
      </w:r>
    </w:p>
    <w:p w14:paraId="7A5397A1" w14:textId="77777777" w:rsidR="008273B8" w:rsidRDefault="00B93063">
      <w:pPr>
        <w:pStyle w:val="P68B1DB1-NumPar116"/>
        <w:numPr>
          <w:ilvl w:val="0"/>
          <w:numId w:val="42"/>
        </w:numPr>
        <w:rPr>
          <w:noProof/>
        </w:rPr>
      </w:pPr>
      <w:r>
        <w:rPr>
          <w:noProof/>
        </w:rPr>
        <w:t>Aranžmani za praćenje i provedbu plana za oporavak i otpornost</w:t>
      </w:r>
    </w:p>
    <w:p w14:paraId="7A5397A2" w14:textId="77777777" w:rsidR="008273B8" w:rsidRDefault="00B93063">
      <w:pPr>
        <w:pStyle w:val="Text1"/>
        <w:rPr>
          <w:noProof/>
        </w:rPr>
      </w:pPr>
      <w:r>
        <w:rPr>
          <w:noProof/>
        </w:rPr>
        <w:t xml:space="preserve">Praćenje i provedba malteškog plana za oporavak i otpornost odvija se u skladu sa sljedećim aranžmanima: </w:t>
      </w:r>
    </w:p>
    <w:p w14:paraId="7A5397A3" w14:textId="77777777" w:rsidR="008273B8" w:rsidRDefault="00B93063">
      <w:pPr>
        <w:pStyle w:val="Text1"/>
        <w:rPr>
          <w:noProof/>
          <w:color w:val="000000" w:themeColor="text1"/>
        </w:rPr>
      </w:pPr>
      <w:r>
        <w:rPr>
          <w:noProof/>
          <w:color w:val="000000" w:themeColor="text1"/>
        </w:rPr>
        <w:t>Ministarstvo odgovorno za upravljanje sredstvima EU-a tijelo je zaduženo za koordinaciju, upravljanje i kontrolu cjelokupnog postupka provedbe plana za oporavak i otpornost. Osigurava poštovanje utvrđenih nacionalnih pravila i pravila EU-a, poduzima mjere za osiguravanje odgovarajućih administrativnih kapaciteta i provodi potrebne aktivnosti savjetovanja, komunikacije i informiranja povezane s Uredbom (EU) 2021/241. U okviru ministarstva nadležnog za upravljanje fondovima EU-a, Odjelu za koordinaciju planiranja i prioriteta (PPCD) povjerena je učinkovita provedba plana za oporavak i otpornost, posebno funkcija utvrđena u članku 22. stavcima 2. i 3., te poduzima sve odgovarajuće mjere za zaštitu financijskih interesa Unije i osiguravanje da je upotreba sredstava u vezi s mjerama iz malteškog plana za oporavak i otpornost u skladu s primjenjivim pravom EU-a i nacionalnim pravom. Odgovorna je i za sastavljanje i potpisivanje izjave o upravljanju i sažetka revizija uz zahtjeve za plaćanje. Nadležne institucije uključene u provedbu svake reforme i ulaganja redovito se povezuju s ministarstvom nadležnim za upravljanje sredstvima EU-a.</w:t>
      </w:r>
      <w:r>
        <w:rPr>
          <w:noProof/>
        </w:rPr>
        <w:t xml:space="preserve"> </w:t>
      </w:r>
      <w:r>
        <w:rPr>
          <w:noProof/>
          <w:color w:val="000000" w:themeColor="text1"/>
        </w:rPr>
        <w:t xml:space="preserve">Odjel za unutarnju reviziju i istrage imenovan je kao tijelo za reviziju za potrebe plana za oporavak i otpornost kao neovisno tijelo. Strategija revizijskog tijela obuhvaća revizije sustava, s naglaskom na sustavu za izvješćivanje o ključnim etapama i ciljnim vrijednostima, te na sustav za sprečavanje otkrivanja i ispravljanja ozbiljnih nepravilnosti, uključujući IT sustav, kao i dokazno testiranje na temelju odgovarajućeg uzorkovanja. </w:t>
      </w:r>
    </w:p>
    <w:p w14:paraId="7A5397A4" w14:textId="77777777" w:rsidR="008273B8" w:rsidRDefault="00B93063">
      <w:pPr>
        <w:pStyle w:val="P68B1DB1-NumPar116"/>
        <w:numPr>
          <w:ilvl w:val="0"/>
          <w:numId w:val="42"/>
        </w:numPr>
        <w:rPr>
          <w:noProof/>
        </w:rPr>
      </w:pPr>
      <w:r>
        <w:rPr>
          <w:noProof/>
        </w:rPr>
        <w:t>Mehanizmi kojima se Komisiji omogućuje potpuni pristup osnovnim podacima</w:t>
      </w:r>
    </w:p>
    <w:p w14:paraId="7A5397A5" w14:textId="77777777" w:rsidR="008273B8" w:rsidRDefault="00B93063">
      <w:pPr>
        <w:pStyle w:val="Text1"/>
        <w:rPr>
          <w:rStyle w:val="normaltextrun"/>
          <w:noProof/>
          <w:color w:val="000000"/>
          <w:shd w:val="clear" w:color="auto" w:fill="FFFFFF"/>
        </w:rPr>
      </w:pPr>
      <w:r>
        <w:rPr>
          <w:noProof/>
        </w:rPr>
        <w:t xml:space="preserve">Ministarstvo odgovorno za upravljanje fondovima EU-a kao središnje koordinacijsko tijelo za provedbu malteškog plana za oporavak i otpornost kontaktna je točka za Komisiju. Djeluje kao koordinacijsko tijelo za praćenje napretka u pogledu ključnih etapa i ciljnih vrijednosti te za osiguravanje svih potrebnih mehanizama za podnošenje zahtjeva za plaćanje. Njime se koordinira izvješćivanje o ključnim etapama i ciljnim vrijednostima, relevantnim pokazateljima, ali i kvalitativnim financijskim informacijama i drugim podacima, primjerice o krajnjim primateljima. </w:t>
      </w:r>
      <w:r>
        <w:rPr>
          <w:rStyle w:val="normaltextrun"/>
          <w:noProof/>
          <w:color w:val="000000"/>
          <w:shd w:val="clear" w:color="auto" w:fill="FFFFFF"/>
        </w:rPr>
        <w:t>Upravljački i informacijski sustav koji održava PPCD upotrebljava se za prikupljanje informacija potrebnih za praćenje cijelog životnog ciklusa reformi i ulaganja, uključujući</w:t>
      </w:r>
      <w:r>
        <w:rPr>
          <w:rStyle w:val="findhit"/>
          <w:noProof/>
          <w:color w:val="000000"/>
        </w:rPr>
        <w:t>ključne etape,</w:t>
      </w:r>
      <w:r>
        <w:rPr>
          <w:rStyle w:val="normaltextrun"/>
          <w:noProof/>
          <w:color w:val="000000"/>
          <w:shd w:val="clear" w:color="auto" w:fill="FFFFFF"/>
        </w:rPr>
        <w:t>ciljne vrijednosti  i informacije kojima se podupire praćenje njihove financijske provedbe.</w:t>
      </w:r>
    </w:p>
    <w:p w14:paraId="7A5397A6" w14:textId="77777777" w:rsidR="008273B8" w:rsidRDefault="00B93063">
      <w:pPr>
        <w:pStyle w:val="Text1"/>
        <w:rPr>
          <w:noProof/>
        </w:rPr>
      </w:pPr>
      <w:r>
        <w:rPr>
          <w:noProof/>
        </w:rPr>
        <w:t>U skladu s člankom 24. stavkom 2. Uredbe (EU) 2021/241, nakon što ostvari relevantne dogovorene ključne etape i ciljne vrijednosti iz odjeljka 2.1. ovog Priloga, Malta Komisiji dostavlja propisno obrazložen zahtjev za isplatu financijskog doprinosa. Malta osigurava da Komisija na zahtjev ima puni pristup osnovnim relevantnim podacima kojima se potkrepljuje propisno obrazloženje zahtjeva za plaćanje, kako za ocjenu zahtjeva za plaćanje u skladu s člankom 24. stavkom 3. Uredbe (EU) 2021/241 tako i za potrebe revizije i kontrole.</w:t>
      </w:r>
    </w:p>
    <w:sectPr w:rsidR="008273B8">
      <w:headerReference w:type="even" r:id="rId102"/>
      <w:headerReference w:type="default" r:id="rId103"/>
      <w:footerReference w:type="even" r:id="rId104"/>
      <w:footerReference w:type="default" r:id="rId105"/>
      <w:headerReference w:type="first" r:id="rId106"/>
      <w:footerReference w:type="first" r:id="rId107"/>
      <w:pgSz w:w="11907" w:h="1683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2A2B7" w14:textId="77777777" w:rsidR="00B93063" w:rsidRDefault="00B93063">
      <w:pPr>
        <w:spacing w:after="0" w:line="240" w:lineRule="auto"/>
      </w:pPr>
      <w:r>
        <w:separator/>
      </w:r>
    </w:p>
  </w:endnote>
  <w:endnote w:type="continuationSeparator" w:id="0">
    <w:p w14:paraId="12D2613A" w14:textId="77777777" w:rsidR="00B93063" w:rsidRDefault="00B93063">
      <w:pPr>
        <w:spacing w:after="0" w:line="240" w:lineRule="auto"/>
      </w:pPr>
      <w:r>
        <w:continuationSeparator/>
      </w:r>
    </w:p>
  </w:endnote>
  <w:endnote w:type="continuationNotice" w:id="1">
    <w:p w14:paraId="189571FF" w14:textId="77777777" w:rsidR="00B93063" w:rsidRDefault="00B930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unga">
    <w:altName w:val="Courier New"/>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8EAB0" w14:textId="3748575A" w:rsidR="00FA1EED" w:rsidRPr="00B1199F" w:rsidRDefault="00FA1EED" w:rsidP="00B1199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C4" w14:textId="77777777" w:rsidR="00B93063" w:rsidRDefault="00B9306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9578797"/>
      <w:docPartObj>
        <w:docPartGallery w:val="Page Numbers (Bottom of Page)"/>
        <w:docPartUnique/>
      </w:docPartObj>
    </w:sdtPr>
    <w:sdtEndPr>
      <w:rPr>
        <w:noProof/>
      </w:rPr>
    </w:sdtEndPr>
    <w:sdtContent>
      <w:p w14:paraId="201A3C2F" w14:textId="69394453" w:rsidR="00B93063" w:rsidRDefault="00B93063">
        <w:pPr>
          <w:pStyle w:val="Footer"/>
          <w:jc w:val="center"/>
        </w:pPr>
        <w:r>
          <w:fldChar w:fldCharType="begin"/>
        </w:r>
        <w:r>
          <w:instrText xml:space="preserve"> PAGE   \* MERGEFORMAT </w:instrText>
        </w:r>
        <w:r>
          <w:fldChar w:fldCharType="separate"/>
        </w:r>
        <w:r w:rsidR="00FA1EED">
          <w:rPr>
            <w:noProof/>
          </w:rPr>
          <w:t>19</w:t>
        </w:r>
        <w:r>
          <w:fldChar w:fldCharType="end"/>
        </w:r>
      </w:p>
    </w:sdtContent>
  </w:sdt>
  <w:p w14:paraId="7A5397C5" w14:textId="77777777" w:rsidR="00B93063" w:rsidRDefault="00B93063">
    <w:pPr>
      <w:pStyle w:val="FooterCouncil"/>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C7" w14:textId="77777777" w:rsidR="00B93063" w:rsidRDefault="00B93063">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CA" w14:textId="77777777" w:rsidR="00B93063" w:rsidRDefault="00B93063">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421315"/>
      <w:docPartObj>
        <w:docPartGallery w:val="Page Numbers (Bottom of Page)"/>
        <w:docPartUnique/>
      </w:docPartObj>
    </w:sdtPr>
    <w:sdtEndPr>
      <w:rPr>
        <w:noProof/>
      </w:rPr>
    </w:sdtEndPr>
    <w:sdtContent>
      <w:p w14:paraId="7B52AA29" w14:textId="27DB26F6" w:rsidR="00B93063" w:rsidRDefault="00B93063">
        <w:pPr>
          <w:pStyle w:val="Footer"/>
          <w:jc w:val="center"/>
        </w:pPr>
        <w:r>
          <w:fldChar w:fldCharType="begin"/>
        </w:r>
        <w:r>
          <w:instrText xml:space="preserve"> PAGE   \* MERGEFORMAT </w:instrText>
        </w:r>
        <w:r>
          <w:fldChar w:fldCharType="separate"/>
        </w:r>
        <w:r w:rsidR="00FA1EED">
          <w:rPr>
            <w:noProof/>
          </w:rPr>
          <w:t>25</w:t>
        </w:r>
        <w:r>
          <w:fldChar w:fldCharType="end"/>
        </w:r>
      </w:p>
    </w:sdtContent>
  </w:sdt>
  <w:p w14:paraId="7A5397CB" w14:textId="77777777" w:rsidR="00B93063" w:rsidRDefault="00B93063">
    <w:pPr>
      <w:pStyle w:val="FooterCouncil"/>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CD" w14:textId="77777777" w:rsidR="00B93063" w:rsidRDefault="00B93063">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D0" w14:textId="77777777" w:rsidR="00B93063" w:rsidRDefault="00B93063">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4950521"/>
      <w:docPartObj>
        <w:docPartGallery w:val="Page Numbers (Bottom of Page)"/>
        <w:docPartUnique/>
      </w:docPartObj>
    </w:sdtPr>
    <w:sdtEndPr>
      <w:rPr>
        <w:noProof/>
      </w:rPr>
    </w:sdtEndPr>
    <w:sdtContent>
      <w:p w14:paraId="0815EFAF" w14:textId="1ED1038A" w:rsidR="00B93063" w:rsidRDefault="00B93063">
        <w:pPr>
          <w:pStyle w:val="Footer"/>
          <w:jc w:val="center"/>
        </w:pPr>
        <w:r>
          <w:fldChar w:fldCharType="begin"/>
        </w:r>
        <w:r>
          <w:instrText xml:space="preserve"> PAGE   \* MERGEFORMAT </w:instrText>
        </w:r>
        <w:r>
          <w:fldChar w:fldCharType="separate"/>
        </w:r>
        <w:r w:rsidR="00FA1EED">
          <w:rPr>
            <w:noProof/>
          </w:rPr>
          <w:t>29</w:t>
        </w:r>
        <w:r>
          <w:fldChar w:fldCharType="end"/>
        </w:r>
      </w:p>
    </w:sdtContent>
  </w:sdt>
  <w:p w14:paraId="7A5397D1" w14:textId="77777777" w:rsidR="00B93063" w:rsidRDefault="00B93063">
    <w:pPr>
      <w:pStyle w:val="FooterCouncil"/>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D3" w14:textId="77777777" w:rsidR="00B93063" w:rsidRDefault="00B93063">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D6" w14:textId="77777777" w:rsidR="00B93063" w:rsidRDefault="00B93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EDDF9" w14:textId="53ED151C" w:rsidR="00FA1EED" w:rsidRPr="00B1199F" w:rsidRDefault="00B1199F" w:rsidP="00B1199F">
    <w:pPr>
      <w:pStyle w:val="FooterCoverPage"/>
      <w:rPr>
        <w:rFonts w:ascii="Arial" w:hAnsi="Arial" w:cs="Arial"/>
        <w:b/>
        <w:sz w:val="48"/>
      </w:rPr>
    </w:pPr>
    <w:r w:rsidRPr="00B1199F">
      <w:rPr>
        <w:rFonts w:ascii="Arial" w:hAnsi="Arial" w:cs="Arial"/>
        <w:b/>
        <w:sz w:val="48"/>
      </w:rPr>
      <w:t>HR</w:t>
    </w:r>
    <w:r w:rsidRPr="00B1199F">
      <w:rPr>
        <w:rFonts w:ascii="Arial" w:hAnsi="Arial" w:cs="Arial"/>
        <w:b/>
        <w:sz w:val="48"/>
      </w:rPr>
      <w:tab/>
    </w:r>
    <w:r w:rsidRPr="00B1199F">
      <w:rPr>
        <w:rFonts w:ascii="Arial" w:hAnsi="Arial" w:cs="Arial"/>
        <w:b/>
        <w:sz w:val="48"/>
      </w:rPr>
      <w:tab/>
    </w:r>
    <w:r w:rsidRPr="00B1199F">
      <w:tab/>
    </w:r>
    <w:r w:rsidRPr="00B1199F">
      <w:rPr>
        <w:rFonts w:ascii="Arial" w:hAnsi="Arial" w:cs="Arial"/>
        <w:b/>
        <w:sz w:val="48"/>
      </w:rPr>
      <w:t>HR</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5286791"/>
      <w:docPartObj>
        <w:docPartGallery w:val="Page Numbers (Bottom of Page)"/>
        <w:docPartUnique/>
      </w:docPartObj>
    </w:sdtPr>
    <w:sdtEndPr>
      <w:rPr>
        <w:noProof/>
      </w:rPr>
    </w:sdtEndPr>
    <w:sdtContent>
      <w:p w14:paraId="75B3409C" w14:textId="11B69D4C" w:rsidR="00B93063" w:rsidRDefault="00B93063">
        <w:pPr>
          <w:pStyle w:val="Footer"/>
          <w:jc w:val="center"/>
        </w:pPr>
        <w:r>
          <w:fldChar w:fldCharType="begin"/>
        </w:r>
        <w:r>
          <w:instrText xml:space="preserve"> PAGE   \* MERGEFORMAT </w:instrText>
        </w:r>
        <w:r>
          <w:fldChar w:fldCharType="separate"/>
        </w:r>
        <w:r w:rsidR="00FA1EED">
          <w:rPr>
            <w:noProof/>
          </w:rPr>
          <w:t>34</w:t>
        </w:r>
        <w:r>
          <w:fldChar w:fldCharType="end"/>
        </w:r>
      </w:p>
    </w:sdtContent>
  </w:sdt>
  <w:p w14:paraId="7A5397D7" w14:textId="77777777" w:rsidR="00B93063" w:rsidRDefault="00B93063">
    <w:pPr>
      <w:pStyle w:val="FooterCouncil"/>
    </w:pP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D9" w14:textId="77777777" w:rsidR="00B93063" w:rsidRDefault="00B93063">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DC" w14:textId="77777777" w:rsidR="00B93063" w:rsidRDefault="00B93063">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4534608"/>
      <w:docPartObj>
        <w:docPartGallery w:val="Page Numbers (Bottom of Page)"/>
        <w:docPartUnique/>
      </w:docPartObj>
    </w:sdtPr>
    <w:sdtEndPr>
      <w:rPr>
        <w:noProof/>
      </w:rPr>
    </w:sdtEndPr>
    <w:sdtContent>
      <w:p w14:paraId="05F97008" w14:textId="233667EC" w:rsidR="00B93063" w:rsidRDefault="00B93063">
        <w:pPr>
          <w:pStyle w:val="Footer"/>
          <w:jc w:val="center"/>
        </w:pPr>
        <w:r>
          <w:fldChar w:fldCharType="begin"/>
        </w:r>
        <w:r>
          <w:instrText xml:space="preserve"> PAGE   \* MERGEFORMAT </w:instrText>
        </w:r>
        <w:r>
          <w:fldChar w:fldCharType="separate"/>
        </w:r>
        <w:r w:rsidR="00FA1EED">
          <w:rPr>
            <w:noProof/>
          </w:rPr>
          <w:t>37</w:t>
        </w:r>
        <w:r>
          <w:fldChar w:fldCharType="end"/>
        </w:r>
      </w:p>
    </w:sdtContent>
  </w:sdt>
  <w:p w14:paraId="7A5397DD" w14:textId="77777777" w:rsidR="00B93063" w:rsidRDefault="00B93063">
    <w:pPr>
      <w:pStyle w:val="FooterCouncil"/>
    </w:pP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DF" w14:textId="77777777" w:rsidR="00B93063" w:rsidRDefault="00B93063">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E2" w14:textId="77777777" w:rsidR="00B93063" w:rsidRDefault="00B93063">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2159556"/>
      <w:docPartObj>
        <w:docPartGallery w:val="Page Numbers (Bottom of Page)"/>
        <w:docPartUnique/>
      </w:docPartObj>
    </w:sdtPr>
    <w:sdtEndPr>
      <w:rPr>
        <w:noProof/>
      </w:rPr>
    </w:sdtEndPr>
    <w:sdtContent>
      <w:p w14:paraId="55C5D03D" w14:textId="5B390337" w:rsidR="00B93063" w:rsidRDefault="00B93063">
        <w:pPr>
          <w:pStyle w:val="Footer"/>
          <w:jc w:val="center"/>
        </w:pPr>
        <w:r>
          <w:fldChar w:fldCharType="begin"/>
        </w:r>
        <w:r>
          <w:instrText xml:space="preserve"> PAGE   \* MERGEFORMAT </w:instrText>
        </w:r>
        <w:r>
          <w:fldChar w:fldCharType="separate"/>
        </w:r>
        <w:r w:rsidR="00FA1EED">
          <w:rPr>
            <w:noProof/>
          </w:rPr>
          <w:t>42</w:t>
        </w:r>
        <w:r>
          <w:fldChar w:fldCharType="end"/>
        </w:r>
      </w:p>
    </w:sdtContent>
  </w:sdt>
  <w:p w14:paraId="7A5397E3" w14:textId="77777777" w:rsidR="00B93063" w:rsidRDefault="00B93063">
    <w:pPr>
      <w:pStyle w:val="FooterCouncil"/>
    </w:pPr>
  </w:p>
</w:ftr>
</file>

<file path=word/footer2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E5" w14:textId="77777777" w:rsidR="00B93063" w:rsidRDefault="00B93063">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E8" w14:textId="77777777" w:rsidR="00B93063" w:rsidRDefault="00B93063">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0934649"/>
      <w:docPartObj>
        <w:docPartGallery w:val="Page Numbers (Bottom of Page)"/>
        <w:docPartUnique/>
      </w:docPartObj>
    </w:sdtPr>
    <w:sdtEndPr>
      <w:rPr>
        <w:noProof/>
      </w:rPr>
    </w:sdtEndPr>
    <w:sdtContent>
      <w:p w14:paraId="50A6C080" w14:textId="55E1ABB6" w:rsidR="00B93063" w:rsidRDefault="00B93063">
        <w:pPr>
          <w:pStyle w:val="Footer"/>
          <w:jc w:val="center"/>
        </w:pPr>
        <w:r>
          <w:fldChar w:fldCharType="begin"/>
        </w:r>
        <w:r>
          <w:instrText xml:space="preserve"> PAGE   \* MERGEFORMAT </w:instrText>
        </w:r>
        <w:r>
          <w:fldChar w:fldCharType="separate"/>
        </w:r>
        <w:r w:rsidR="00FA1EED">
          <w:rPr>
            <w:noProof/>
          </w:rPr>
          <w:t>45</w:t>
        </w:r>
        <w:r>
          <w:fldChar w:fldCharType="end"/>
        </w:r>
      </w:p>
    </w:sdtContent>
  </w:sdt>
  <w:p w14:paraId="7A5397E9" w14:textId="77777777" w:rsidR="00B93063" w:rsidRDefault="00B93063">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3C06B" w14:textId="77777777" w:rsidR="00B1199F" w:rsidRPr="00B1199F" w:rsidRDefault="00B1199F" w:rsidP="00B1199F">
    <w:pPr>
      <w:pStyle w:val="FooterCoverPage"/>
    </w:pPr>
  </w:p>
</w:ftr>
</file>

<file path=word/footer3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EB" w14:textId="77777777" w:rsidR="00B93063" w:rsidRDefault="00B93063">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EE" w14:textId="77777777" w:rsidR="00B93063" w:rsidRDefault="00B93063">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372162"/>
      <w:docPartObj>
        <w:docPartGallery w:val="Page Numbers (Bottom of Page)"/>
        <w:docPartUnique/>
      </w:docPartObj>
    </w:sdtPr>
    <w:sdtEndPr>
      <w:rPr>
        <w:noProof/>
      </w:rPr>
    </w:sdtEndPr>
    <w:sdtContent>
      <w:p w14:paraId="0DB1B9D7" w14:textId="6EFAB1F4" w:rsidR="00B93063" w:rsidRDefault="00B93063">
        <w:pPr>
          <w:pStyle w:val="Footer"/>
          <w:jc w:val="center"/>
        </w:pPr>
        <w:r>
          <w:fldChar w:fldCharType="begin"/>
        </w:r>
        <w:r>
          <w:instrText xml:space="preserve"> PAGE   \* MERGEFORMAT </w:instrText>
        </w:r>
        <w:r>
          <w:fldChar w:fldCharType="separate"/>
        </w:r>
        <w:r w:rsidR="00FA1EED">
          <w:rPr>
            <w:noProof/>
          </w:rPr>
          <w:t>51</w:t>
        </w:r>
        <w:r>
          <w:fldChar w:fldCharType="end"/>
        </w:r>
      </w:p>
    </w:sdtContent>
  </w:sdt>
  <w:p w14:paraId="7A5397EF" w14:textId="77777777" w:rsidR="00B93063" w:rsidRDefault="00B93063">
    <w:pPr>
      <w:pStyle w:val="FooterCouncil"/>
    </w:pPr>
  </w:p>
</w:ftr>
</file>

<file path=word/footer3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F1" w14:textId="77777777" w:rsidR="00B93063" w:rsidRDefault="00B93063">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F4" w14:textId="77777777" w:rsidR="00B93063" w:rsidRDefault="00B93063">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9290187"/>
      <w:docPartObj>
        <w:docPartGallery w:val="Page Numbers (Bottom of Page)"/>
        <w:docPartUnique/>
      </w:docPartObj>
    </w:sdtPr>
    <w:sdtEndPr>
      <w:rPr>
        <w:noProof/>
      </w:rPr>
    </w:sdtEndPr>
    <w:sdtContent>
      <w:p w14:paraId="71CC1CCC" w14:textId="4B7F9803" w:rsidR="00B93063" w:rsidRDefault="00B93063">
        <w:pPr>
          <w:pStyle w:val="Footer"/>
          <w:jc w:val="center"/>
        </w:pPr>
        <w:r>
          <w:fldChar w:fldCharType="begin"/>
        </w:r>
        <w:r>
          <w:instrText xml:space="preserve"> PAGE   \* MERGEFORMAT </w:instrText>
        </w:r>
        <w:r>
          <w:fldChar w:fldCharType="separate"/>
        </w:r>
        <w:r w:rsidR="00FA1EED">
          <w:rPr>
            <w:noProof/>
          </w:rPr>
          <w:t>58</w:t>
        </w:r>
        <w:r>
          <w:fldChar w:fldCharType="end"/>
        </w:r>
      </w:p>
    </w:sdtContent>
  </w:sdt>
  <w:p w14:paraId="7A5397F5" w14:textId="77777777" w:rsidR="00B93063" w:rsidRDefault="00B93063">
    <w:pPr>
      <w:pStyle w:val="FooterCouncil"/>
    </w:pPr>
  </w:p>
</w:ftr>
</file>

<file path=word/footer3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F7" w14:textId="77777777" w:rsidR="00B93063" w:rsidRDefault="00B93063">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FA" w14:textId="77777777" w:rsidR="00B93063" w:rsidRDefault="00B93063">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551624"/>
      <w:docPartObj>
        <w:docPartGallery w:val="Page Numbers (Bottom of Page)"/>
        <w:docPartUnique/>
      </w:docPartObj>
    </w:sdtPr>
    <w:sdtEndPr>
      <w:rPr>
        <w:noProof/>
      </w:rPr>
    </w:sdtEndPr>
    <w:sdtContent>
      <w:p w14:paraId="3882F6D4" w14:textId="6F56FE82" w:rsidR="00B93063" w:rsidRDefault="00B93063">
        <w:pPr>
          <w:pStyle w:val="Footer"/>
          <w:jc w:val="center"/>
        </w:pPr>
        <w:r>
          <w:fldChar w:fldCharType="begin"/>
        </w:r>
        <w:r>
          <w:instrText xml:space="preserve"> PAGE   \* MERGEFORMAT </w:instrText>
        </w:r>
        <w:r>
          <w:fldChar w:fldCharType="separate"/>
        </w:r>
        <w:r w:rsidR="00FA1EED">
          <w:rPr>
            <w:noProof/>
          </w:rPr>
          <w:t>69</w:t>
        </w:r>
        <w:r>
          <w:fldChar w:fldCharType="end"/>
        </w:r>
      </w:p>
    </w:sdtContent>
  </w:sdt>
  <w:p w14:paraId="7A5397FB" w14:textId="77777777" w:rsidR="00B93063" w:rsidRDefault="00B93063">
    <w:pPr>
      <w:pStyle w:val="FooterCouncil"/>
    </w:pPr>
  </w:p>
</w:ftr>
</file>

<file path=word/footer3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FD" w14:textId="77777777" w:rsidR="00B93063" w:rsidRDefault="00B930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7F7845" w14:textId="77777777" w:rsidR="00B93063" w:rsidRDefault="00B93063">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800" w14:textId="77777777" w:rsidR="00B93063" w:rsidRDefault="00B93063">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65562"/>
      <w:docPartObj>
        <w:docPartGallery w:val="Page Numbers (Bottom of Page)"/>
        <w:docPartUnique/>
      </w:docPartObj>
    </w:sdtPr>
    <w:sdtEndPr>
      <w:rPr>
        <w:noProof/>
      </w:rPr>
    </w:sdtEndPr>
    <w:sdtContent>
      <w:p w14:paraId="049A3C35" w14:textId="11BB33E8" w:rsidR="00B93063" w:rsidRDefault="00B93063">
        <w:pPr>
          <w:pStyle w:val="Footer"/>
          <w:jc w:val="center"/>
        </w:pPr>
        <w:r>
          <w:fldChar w:fldCharType="begin"/>
        </w:r>
        <w:r>
          <w:instrText xml:space="preserve"> PAGE   \* MERGEFORMAT </w:instrText>
        </w:r>
        <w:r>
          <w:fldChar w:fldCharType="separate"/>
        </w:r>
        <w:r w:rsidR="00FA1EED">
          <w:rPr>
            <w:noProof/>
          </w:rPr>
          <w:t>71</w:t>
        </w:r>
        <w:r>
          <w:fldChar w:fldCharType="end"/>
        </w:r>
      </w:p>
    </w:sdtContent>
  </w:sdt>
  <w:p w14:paraId="7A539801" w14:textId="77777777" w:rsidR="00B93063" w:rsidRDefault="00B93063">
    <w:pPr>
      <w:pStyle w:val="FooterCouncil"/>
    </w:pPr>
  </w:p>
</w:ftr>
</file>

<file path=word/footer4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803" w14:textId="77777777" w:rsidR="00B93063" w:rsidRDefault="00B93063">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2A65A" w14:textId="77777777" w:rsidR="00B93063" w:rsidRDefault="00B93063">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165876"/>
      <w:docPartObj>
        <w:docPartGallery w:val="Page Numbers (Bottom of Page)"/>
        <w:docPartUnique/>
      </w:docPartObj>
    </w:sdtPr>
    <w:sdtEndPr>
      <w:rPr>
        <w:noProof/>
      </w:rPr>
    </w:sdtEndPr>
    <w:sdtContent>
      <w:p w14:paraId="72522A80" w14:textId="66C9AD79" w:rsidR="00B93063" w:rsidRDefault="00B93063">
        <w:pPr>
          <w:pStyle w:val="Footer"/>
          <w:jc w:val="center"/>
        </w:pPr>
        <w:r>
          <w:fldChar w:fldCharType="begin"/>
        </w:r>
        <w:r>
          <w:instrText xml:space="preserve"> PAGE   \* MERGEFORMAT </w:instrText>
        </w:r>
        <w:r>
          <w:fldChar w:fldCharType="separate"/>
        </w:r>
        <w:r w:rsidR="00FA1EED">
          <w:rPr>
            <w:noProof/>
          </w:rPr>
          <w:t>74</w:t>
        </w:r>
        <w:r>
          <w:fldChar w:fldCharType="end"/>
        </w:r>
      </w:p>
    </w:sdtContent>
  </w:sdt>
  <w:p w14:paraId="41C64B6A" w14:textId="77777777" w:rsidR="00B93063" w:rsidRDefault="00B93063">
    <w:pPr>
      <w:pStyle w:val="FooterCouncil"/>
    </w:pPr>
  </w:p>
</w:ftr>
</file>

<file path=word/footer4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4547B" w14:textId="77777777" w:rsidR="00B93063" w:rsidRDefault="00B93063">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80D" w14:textId="77777777" w:rsidR="00B93063" w:rsidRDefault="00B93063">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24675457"/>
      <w:docPartObj>
        <w:docPartGallery w:val="Page Numbers (Bottom of Page)"/>
        <w:docPartUnique/>
      </w:docPartObj>
    </w:sdtPr>
    <w:sdtEndPr>
      <w:rPr>
        <w:noProof/>
      </w:rPr>
    </w:sdtEndPr>
    <w:sdtContent>
      <w:p w14:paraId="5256566B" w14:textId="7A5F22D2" w:rsidR="00B93063" w:rsidRDefault="00B93063">
        <w:pPr>
          <w:pStyle w:val="Footer"/>
          <w:jc w:val="center"/>
        </w:pPr>
        <w:r>
          <w:fldChar w:fldCharType="begin"/>
        </w:r>
        <w:r>
          <w:instrText xml:space="preserve"> PAGE   \* MERGEFORMAT </w:instrText>
        </w:r>
        <w:r>
          <w:fldChar w:fldCharType="separate"/>
        </w:r>
        <w:r w:rsidR="00FA1EED">
          <w:rPr>
            <w:noProof/>
          </w:rPr>
          <w:t>83</w:t>
        </w:r>
        <w:r>
          <w:fldChar w:fldCharType="end"/>
        </w:r>
      </w:p>
    </w:sdtContent>
  </w:sdt>
  <w:p w14:paraId="0BD04014" w14:textId="77777777" w:rsidR="00B93063" w:rsidRDefault="00B93063">
    <w:pPr>
      <w:pStyle w:val="FooterCouncil"/>
    </w:pPr>
  </w:p>
</w:ftr>
</file>

<file path=word/footer4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80F" w14:textId="77777777" w:rsidR="00B93063" w:rsidRDefault="00B930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3723707"/>
      <w:docPartObj>
        <w:docPartGallery w:val="Page Numbers (Bottom of Page)"/>
        <w:docPartUnique/>
      </w:docPartObj>
    </w:sdtPr>
    <w:sdtEndPr>
      <w:rPr>
        <w:noProof/>
      </w:rPr>
    </w:sdtEndPr>
    <w:sdtContent>
      <w:p w14:paraId="43842FC0" w14:textId="4F5181D3" w:rsidR="00B93063" w:rsidRDefault="00B93063">
        <w:pPr>
          <w:pStyle w:val="Footer"/>
          <w:jc w:val="center"/>
        </w:pPr>
        <w:r>
          <w:fldChar w:fldCharType="begin"/>
        </w:r>
        <w:r>
          <w:instrText xml:space="preserve"> PAGE   \* MERGEFORMAT </w:instrText>
        </w:r>
        <w:r>
          <w:fldChar w:fldCharType="separate"/>
        </w:r>
        <w:r w:rsidR="00B1199F">
          <w:rPr>
            <w:noProof/>
          </w:rPr>
          <w:t>1</w:t>
        </w:r>
        <w:r>
          <w:fldChar w:fldCharType="end"/>
        </w:r>
      </w:p>
    </w:sdtContent>
  </w:sdt>
  <w:p w14:paraId="5EDD331B" w14:textId="77777777" w:rsidR="00B93063" w:rsidRDefault="00B930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05BEA" w14:textId="77777777" w:rsidR="00B93063" w:rsidRDefault="00B9306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BE" w14:textId="77777777" w:rsidR="00B93063" w:rsidRDefault="00B9306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7568501"/>
      <w:docPartObj>
        <w:docPartGallery w:val="Page Numbers (Bottom of Page)"/>
        <w:docPartUnique/>
      </w:docPartObj>
    </w:sdtPr>
    <w:sdtEndPr>
      <w:rPr>
        <w:noProof/>
      </w:rPr>
    </w:sdtEndPr>
    <w:sdtContent>
      <w:p w14:paraId="62E6D27B" w14:textId="35054773" w:rsidR="00B93063" w:rsidRDefault="00B93063">
        <w:pPr>
          <w:pStyle w:val="Footer"/>
          <w:jc w:val="center"/>
        </w:pPr>
        <w:r>
          <w:fldChar w:fldCharType="begin"/>
        </w:r>
        <w:r>
          <w:instrText xml:space="preserve"> PAGE   \* MERGEFORMAT </w:instrText>
        </w:r>
        <w:r>
          <w:fldChar w:fldCharType="separate"/>
        </w:r>
        <w:r w:rsidR="00B1199F">
          <w:rPr>
            <w:noProof/>
          </w:rPr>
          <w:t>11</w:t>
        </w:r>
        <w:r>
          <w:fldChar w:fldCharType="end"/>
        </w:r>
      </w:p>
    </w:sdtContent>
  </w:sdt>
  <w:p w14:paraId="7A5397BF" w14:textId="77777777" w:rsidR="00B93063" w:rsidRDefault="00B93063">
    <w:pPr>
      <w:pStyle w:val="FooterCouncil"/>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C1" w14:textId="77777777" w:rsidR="00B93063" w:rsidRDefault="00B93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CAF63C" w14:textId="77777777" w:rsidR="00B93063" w:rsidRDefault="00B93063">
      <w:pPr>
        <w:spacing w:after="0" w:line="240" w:lineRule="auto"/>
      </w:pPr>
      <w:r>
        <w:separator/>
      </w:r>
    </w:p>
  </w:footnote>
  <w:footnote w:type="continuationSeparator" w:id="0">
    <w:p w14:paraId="4CB599D6" w14:textId="77777777" w:rsidR="00B93063" w:rsidRDefault="00B93063">
      <w:pPr>
        <w:spacing w:after="0" w:line="240" w:lineRule="auto"/>
      </w:pPr>
      <w:r>
        <w:continuationSeparator/>
      </w:r>
    </w:p>
  </w:footnote>
  <w:footnote w:type="continuationNotice" w:id="1">
    <w:p w14:paraId="17C9D259" w14:textId="77777777" w:rsidR="00B93063" w:rsidRDefault="00B93063">
      <w:pPr>
        <w:spacing w:after="0" w:line="240" w:lineRule="auto"/>
      </w:pPr>
    </w:p>
  </w:footnote>
  <w:footnote w:id="2">
    <w:p w14:paraId="7A539810" w14:textId="77777777" w:rsidR="00B93063" w:rsidRDefault="00B93063">
      <w:pPr>
        <w:pStyle w:val="FootnoteText"/>
        <w:rPr>
          <w:b/>
        </w:rPr>
      </w:pPr>
      <w:r>
        <w:rPr>
          <w:rStyle w:val="FootnoteReference"/>
        </w:rPr>
        <w:footnoteRef/>
      </w:r>
      <w:r>
        <w:t xml:space="preserve"> </w:t>
      </w:r>
      <w:r>
        <w:tab/>
        <w:t>Europska komisija, „Europska ljestvica uspjeha u inoviranju 2021.”, 21. lipnja 2021.</w:t>
      </w:r>
    </w:p>
  </w:footnote>
  <w:footnote w:id="3">
    <w:p w14:paraId="7A539811" w14:textId="77777777" w:rsidR="00B93063" w:rsidRDefault="00B93063">
      <w:pPr>
        <w:pStyle w:val="FootnoteText"/>
      </w:pPr>
      <w:r>
        <w:rPr>
          <w:rStyle w:val="FootnoteReference"/>
        </w:rPr>
        <w:footnoteRef/>
      </w:r>
      <w:r>
        <w:t xml:space="preserve"> </w:t>
      </w:r>
      <w:r>
        <w:tab/>
        <w:t>Osim projekata u okviru ove mjere u području proizvodnje električne energije i/ili topline te povezane infrastrukture za prijenos i distribuciju u kojima se upotrebljava prirodni plin, koji su u skladu s uvjetima utvrđenima u Prilogu III. Tehničkim smjernicama o nenanošenju bitne štete (2021/C58/01).</w:t>
      </w:r>
    </w:p>
  </w:footnote>
  <w:footnote w:id="4">
    <w:p w14:paraId="7A539812" w14:textId="77777777" w:rsidR="00B93063" w:rsidRDefault="00B93063">
      <w:pPr>
        <w:pStyle w:val="FootnoteText"/>
      </w:pPr>
      <w:r>
        <w:rPr>
          <w:rStyle w:val="FootnoteReference"/>
        </w:rPr>
        <w:footnoteRef/>
      </w:r>
      <w:r>
        <w:t xml:space="preserve"> </w:t>
      </w:r>
      <w:r>
        <w:tab/>
        <w:t>Ako se djelatnošću koja prima potporu ostvaruju predviđene emisije stakleničkih plinova koje nisu znatno niže od relevantnih referentnih vrijednosti, trebalo bi navesti objašnjenje razloga zašto to nije moguće. Referentne vrijednosti utvrđene za besplatnu dodjelu za aktivnosti obuhvaćene područjem primjene sustava trgovanja emisijama, kako je utvrđeno u Provedbenoj uredbi Komisije (EU) 2021/447.</w:t>
      </w:r>
    </w:p>
  </w:footnote>
  <w:footnote w:id="5">
    <w:p w14:paraId="7A539813" w14:textId="77777777" w:rsidR="00B93063" w:rsidRDefault="00B93063">
      <w:pPr>
        <w:pStyle w:val="FootnoteText"/>
      </w:pPr>
      <w:r>
        <w:rPr>
          <w:rStyle w:val="FootnoteReference"/>
        </w:rPr>
        <w:footnoteRef/>
      </w:r>
      <w:r>
        <w:t xml:space="preserve"> </w:t>
      </w:r>
      <w:r>
        <w:tab/>
        <w:t>To se isključenje ne primjenjuje na djelovanja u okviru ove mjere u postrojenjima koja su namijenjena isključivo obradi opasnog otpada koji se ne može reciklirati i na postojeća postrojenja ako su djelovanja u okviru ove mjere namijenjena povećanju energetske učinkovitosti, hvatanju ispušnih plinova za skladištenje ili uporabu ili oporabu materijala iz pepela od spaljivanja, pod uvjetom da takve mjere u okviru ove mjere ne dovode do povećanja kapaciteta postrojenja za obradu otpada ili produljenja životnog vijeka postrojenja; za koje se dokazi pružaju na razini postrojenja.</w:t>
      </w:r>
    </w:p>
  </w:footnote>
  <w:footnote w:id="6">
    <w:p w14:paraId="7A539814" w14:textId="77777777" w:rsidR="00B93063" w:rsidRDefault="00B93063">
      <w:pPr>
        <w:pStyle w:val="FootnoteText"/>
      </w:pPr>
      <w:r>
        <w:rPr>
          <w:rStyle w:val="FootnoteReference"/>
        </w:rPr>
        <w:footnoteRef/>
      </w:r>
      <w:r>
        <w:t xml:space="preserve"> </w:t>
      </w:r>
      <w:r>
        <w:tab/>
        <w:t>To se isključenje ne primjenjuje na aktivnosti u okviru ove mjere u postojećim postrojenjima za mehaničko-biološku obradu ako su aktivnosti u okviru ove mjere usmjerene na povećanje energetske učinkovitosti ili naknadnu ugradnju odvojenog otpada u postupke recikliranja radi kompostiranja biološkog otpada i anaerobne razgradnje biološkog otpada, pod uvjetom da takve aktivnosti u okviru ove mjere ne dovode do povećanja kapaciteta postrojenja za obradu otpada ili produljenja životnog vijeka postrojenja; za koje se dokazi pružaju na razini postrojenja.</w:t>
      </w:r>
    </w:p>
  </w:footnote>
  <w:footnote w:id="7">
    <w:p w14:paraId="7A539815" w14:textId="77777777" w:rsidR="00B93063" w:rsidRDefault="00B93063">
      <w:pPr>
        <w:pStyle w:val="FootnoteText"/>
      </w:pPr>
      <w:r>
        <w:rPr>
          <w:rStyle w:val="FootnoteReference"/>
        </w:rPr>
        <w:footnoteRef/>
      </w:r>
      <w:r>
        <w:t xml:space="preserve"> </w:t>
      </w:r>
      <w:r>
        <w:tab/>
        <w:t>SF-36 označava istraživanje o zdravlju u skraćenom obrascu (36) koje je provedeno na 36 predmeta i koje su prijavili pacijenti. Pokazatelji MH1 i MH2 izračunavaju se na temelju odgovora na odgovarajuća pitanja u odjeljku ankete o mentalnom zdravlju.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2E437" w14:textId="77777777" w:rsidR="00B1199F" w:rsidRPr="00B1199F" w:rsidRDefault="00B1199F" w:rsidP="00B1199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C2" w14:textId="77777777" w:rsidR="00B93063" w:rsidRDefault="00B9306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C3" w14:textId="77777777" w:rsidR="00B93063" w:rsidRDefault="00B9306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C6" w14:textId="77777777" w:rsidR="00B93063" w:rsidRDefault="00B9306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C8" w14:textId="77777777" w:rsidR="00B93063" w:rsidRDefault="00B9306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C9" w14:textId="77777777" w:rsidR="00B93063" w:rsidRDefault="00B93063">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CC" w14:textId="77777777" w:rsidR="00B93063" w:rsidRDefault="00B93063">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CE" w14:textId="77777777" w:rsidR="00B93063" w:rsidRDefault="00B9306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CF" w14:textId="77777777" w:rsidR="00B93063" w:rsidRDefault="00B9306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D2" w14:textId="77777777" w:rsidR="00B93063" w:rsidRDefault="00B93063">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D4" w14:textId="77777777" w:rsidR="00B93063" w:rsidRDefault="00B930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1C6DA" w14:textId="77777777" w:rsidR="00B1199F" w:rsidRPr="00B1199F" w:rsidRDefault="00B1199F" w:rsidP="00B1199F">
    <w:pPr>
      <w:pStyle w:val="HeaderCoverPage"/>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D5" w14:textId="77777777" w:rsidR="00B93063" w:rsidRDefault="00B9306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D8" w14:textId="77777777" w:rsidR="00B93063" w:rsidRDefault="00B93063">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DA" w14:textId="77777777" w:rsidR="00B93063" w:rsidRDefault="00B9306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DB" w14:textId="77777777" w:rsidR="00B93063" w:rsidRDefault="00B9306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DE" w14:textId="77777777" w:rsidR="00B93063" w:rsidRDefault="00B93063">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E0" w14:textId="77777777" w:rsidR="00B93063" w:rsidRDefault="00B9306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E1" w14:textId="77777777" w:rsidR="00B93063" w:rsidRDefault="00B93063">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E4" w14:textId="77777777" w:rsidR="00B93063" w:rsidRDefault="00B93063">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E6" w14:textId="77777777" w:rsidR="00B93063" w:rsidRDefault="00B93063">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E7" w14:textId="77777777" w:rsidR="00B93063" w:rsidRDefault="00B9306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5737E" w14:textId="77777777" w:rsidR="00B1199F" w:rsidRPr="00B1199F" w:rsidRDefault="00B1199F" w:rsidP="00B1199F">
    <w:pPr>
      <w:pStyle w:val="HeaderCoverPage"/>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EA" w14:textId="77777777" w:rsidR="00B93063" w:rsidRDefault="00B93063">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EC" w14:textId="77777777" w:rsidR="00B93063" w:rsidRDefault="00B93063">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ED" w14:textId="77777777" w:rsidR="00B93063" w:rsidRDefault="00B93063">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F0" w14:textId="77777777" w:rsidR="00B93063" w:rsidRDefault="00B93063">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F2" w14:textId="77777777" w:rsidR="00B93063" w:rsidRDefault="00B93063">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F3" w14:textId="77777777" w:rsidR="00B93063" w:rsidRDefault="00B93063">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F6" w14:textId="77777777" w:rsidR="00B93063" w:rsidRDefault="00B93063">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F8" w14:textId="77777777" w:rsidR="00B93063" w:rsidRDefault="00B93063">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F9" w14:textId="77777777" w:rsidR="00B93063" w:rsidRDefault="00B93063">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FC" w14:textId="77777777" w:rsidR="00B93063" w:rsidRDefault="00B9306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15D23" w14:textId="77777777" w:rsidR="00B93063" w:rsidRDefault="00B93063">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FE" w14:textId="77777777" w:rsidR="00B93063" w:rsidRDefault="00B93063">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FF" w14:textId="77777777" w:rsidR="00B93063" w:rsidRDefault="00B93063">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802" w14:textId="77777777" w:rsidR="00B93063" w:rsidRDefault="00B93063">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CADFC" w14:textId="77777777" w:rsidR="00B93063" w:rsidRDefault="00B93063">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34595" w14:textId="77777777" w:rsidR="00B93063" w:rsidRDefault="00B93063">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100E" w14:textId="77777777" w:rsidR="00B93063" w:rsidRDefault="00B93063">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80C" w14:textId="77777777" w:rsidR="00B93063" w:rsidRDefault="00B93063">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8717E" w14:textId="77777777" w:rsidR="00B93063" w:rsidRDefault="00B93063">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80E" w14:textId="77777777" w:rsidR="00B93063" w:rsidRDefault="00B9306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EB1BF" w14:textId="77777777" w:rsidR="00B93063" w:rsidRDefault="00B9306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D61A0" w14:textId="77777777" w:rsidR="00B93063" w:rsidRDefault="00B9306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BC" w14:textId="77777777" w:rsidR="00B93063" w:rsidRDefault="00B9306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BD" w14:textId="77777777" w:rsidR="00B93063" w:rsidRDefault="00B9306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5397C0" w14:textId="77777777" w:rsidR="00B93063" w:rsidRDefault="00B930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3E140CA2"/>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55A6272C"/>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3C20270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71682140"/>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BBC045F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4EC618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788A4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D31E9FD2"/>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0E20914"/>
    <w:multiLevelType w:val="hybridMultilevel"/>
    <w:tmpl w:val="EB6C4876"/>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4637507"/>
    <w:multiLevelType w:val="hybridMultilevel"/>
    <w:tmpl w:val="DF1A8378"/>
    <w:lvl w:ilvl="0" w:tplc="0809000F">
      <w:start w:val="1"/>
      <w:numFmt w:val="decimal"/>
      <w:lvlText w:val="%1."/>
      <w:lvlJc w:val="left"/>
      <w:pPr>
        <w:ind w:left="1570" w:hanging="360"/>
      </w:pPr>
    </w:lvl>
    <w:lvl w:ilvl="1" w:tplc="08090019" w:tentative="1">
      <w:start w:val="1"/>
      <w:numFmt w:val="lowerLetter"/>
      <w:lvlText w:val="%2."/>
      <w:lvlJc w:val="left"/>
      <w:pPr>
        <w:ind w:left="2290" w:hanging="360"/>
      </w:pPr>
    </w:lvl>
    <w:lvl w:ilvl="2" w:tplc="0809001B" w:tentative="1">
      <w:start w:val="1"/>
      <w:numFmt w:val="lowerRoman"/>
      <w:lvlText w:val="%3."/>
      <w:lvlJc w:val="right"/>
      <w:pPr>
        <w:ind w:left="3010" w:hanging="180"/>
      </w:pPr>
    </w:lvl>
    <w:lvl w:ilvl="3" w:tplc="0809000F" w:tentative="1">
      <w:start w:val="1"/>
      <w:numFmt w:val="decimal"/>
      <w:lvlText w:val="%4."/>
      <w:lvlJc w:val="left"/>
      <w:pPr>
        <w:ind w:left="3730" w:hanging="360"/>
      </w:pPr>
    </w:lvl>
    <w:lvl w:ilvl="4" w:tplc="08090019" w:tentative="1">
      <w:start w:val="1"/>
      <w:numFmt w:val="lowerLetter"/>
      <w:lvlText w:val="%5."/>
      <w:lvlJc w:val="left"/>
      <w:pPr>
        <w:ind w:left="4450" w:hanging="360"/>
      </w:pPr>
    </w:lvl>
    <w:lvl w:ilvl="5" w:tplc="0809001B" w:tentative="1">
      <w:start w:val="1"/>
      <w:numFmt w:val="lowerRoman"/>
      <w:lvlText w:val="%6."/>
      <w:lvlJc w:val="right"/>
      <w:pPr>
        <w:ind w:left="5170" w:hanging="180"/>
      </w:pPr>
    </w:lvl>
    <w:lvl w:ilvl="6" w:tplc="0809000F">
      <w:start w:val="1"/>
      <w:numFmt w:val="decimal"/>
      <w:lvlText w:val="%7."/>
      <w:lvlJc w:val="left"/>
      <w:pPr>
        <w:ind w:left="5890" w:hanging="360"/>
      </w:pPr>
    </w:lvl>
    <w:lvl w:ilvl="7" w:tplc="08090019" w:tentative="1">
      <w:start w:val="1"/>
      <w:numFmt w:val="lowerLetter"/>
      <w:lvlText w:val="%8."/>
      <w:lvlJc w:val="left"/>
      <w:pPr>
        <w:ind w:left="6610" w:hanging="360"/>
      </w:pPr>
    </w:lvl>
    <w:lvl w:ilvl="8" w:tplc="0809001B" w:tentative="1">
      <w:start w:val="1"/>
      <w:numFmt w:val="lowerRoman"/>
      <w:lvlText w:val="%9."/>
      <w:lvlJc w:val="right"/>
      <w:pPr>
        <w:ind w:left="7330" w:hanging="180"/>
      </w:pPr>
    </w:lvl>
  </w:abstractNum>
  <w:abstractNum w:abstractNumId="10" w15:restartNumberingAfterBreak="0">
    <w:nsid w:val="09B04D4C"/>
    <w:multiLevelType w:val="hybridMultilevel"/>
    <w:tmpl w:val="52947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35BB8"/>
    <w:multiLevelType w:val="hybridMultilevel"/>
    <w:tmpl w:val="AAEE1E9A"/>
    <w:lvl w:ilvl="0" w:tplc="41BC56A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5B327D5"/>
    <w:multiLevelType w:val="hybridMultilevel"/>
    <w:tmpl w:val="29088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4" w15:restartNumberingAfterBreak="0">
    <w:nsid w:val="22E44180"/>
    <w:multiLevelType w:val="multilevel"/>
    <w:tmpl w:val="DFC88CEC"/>
    <w:name w:val="0.3185803"/>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940136"/>
    <w:multiLevelType w:val="hybridMultilevel"/>
    <w:tmpl w:val="3B5C81D0"/>
    <w:lvl w:ilvl="0" w:tplc="FD729AC2">
      <w:numFmt w:val="bullet"/>
      <w:lvlText w:val="-"/>
      <w:lvlJc w:val="left"/>
      <w:pPr>
        <w:ind w:left="1080" w:hanging="360"/>
      </w:pPr>
      <w:rPr>
        <w:rFonts w:ascii="Times New Roman" w:eastAsiaTheme="minorHAnsi" w:hAnsi="Times New Roman" w:cs="Times New Roman" w:hint="default"/>
      </w:rPr>
    </w:lvl>
    <w:lvl w:ilvl="1" w:tplc="48EA9846">
      <w:numFmt w:val="bullet"/>
      <w:lvlText w:val="-"/>
      <w:lvlJc w:val="left"/>
      <w:pPr>
        <w:ind w:left="1800" w:hanging="360"/>
      </w:pPr>
      <w:rPr>
        <w:rFonts w:ascii="Calibri" w:eastAsiaTheme="minorHAnsi" w:hAnsi="Calibri" w:cs="Calibri"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7" w15:restartNumberingAfterBreak="0">
    <w:nsid w:val="2CCE0945"/>
    <w:multiLevelType w:val="hybridMultilevel"/>
    <w:tmpl w:val="90769C6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9" w15:restartNumberingAfterBreak="0">
    <w:nsid w:val="2F7D7A29"/>
    <w:multiLevelType w:val="hybridMultilevel"/>
    <w:tmpl w:val="6E66C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314BF4"/>
    <w:multiLevelType w:val="hybridMultilevel"/>
    <w:tmpl w:val="8788D4D4"/>
    <w:lvl w:ilvl="0" w:tplc="FD729AC2">
      <w:numFmt w:val="bullet"/>
      <w:lvlText w:val="-"/>
      <w:lvlJc w:val="left"/>
      <w:pPr>
        <w:ind w:left="1800" w:hanging="360"/>
      </w:pPr>
      <w:rPr>
        <w:rFonts w:ascii="Times New Roman" w:eastAsiaTheme="minorHAnsi" w:hAnsi="Times New Roman" w:cs="Times New Roman" w:hint="default"/>
      </w:rPr>
    </w:lvl>
    <w:lvl w:ilvl="1" w:tplc="18090003">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21" w15:restartNumberingAfterBreak="0">
    <w:nsid w:val="361E65FA"/>
    <w:multiLevelType w:val="hybridMultilevel"/>
    <w:tmpl w:val="BE4032AC"/>
    <w:lvl w:ilvl="0" w:tplc="2076987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EE45CF"/>
    <w:multiLevelType w:val="multilevel"/>
    <w:tmpl w:val="DFC88CEC"/>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CD09D2"/>
    <w:multiLevelType w:val="hybridMultilevel"/>
    <w:tmpl w:val="4BDCAED6"/>
    <w:lvl w:ilvl="0" w:tplc="54826954">
      <w:start w:val="1"/>
      <w:numFmt w:val="bullet"/>
      <w:lvlText w:val=""/>
      <w:lvlJc w:val="left"/>
      <w:pPr>
        <w:ind w:left="170" w:hanging="17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26" w15:restartNumberingAfterBreak="0">
    <w:nsid w:val="433628F7"/>
    <w:multiLevelType w:val="hybridMultilevel"/>
    <w:tmpl w:val="AC501D02"/>
    <w:lvl w:ilvl="0" w:tplc="08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4FFD6F52"/>
    <w:multiLevelType w:val="hybridMultilevel"/>
    <w:tmpl w:val="D638CB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50367C78"/>
    <w:multiLevelType w:val="hybridMultilevel"/>
    <w:tmpl w:val="A960758C"/>
    <w:lvl w:ilvl="0" w:tplc="2752B9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C72B2C"/>
    <w:multiLevelType w:val="hybridMultilevel"/>
    <w:tmpl w:val="F5008314"/>
    <w:lvl w:ilvl="0" w:tplc="0036856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3A3F96"/>
    <w:multiLevelType w:val="multilevel"/>
    <w:tmpl w:val="2CC6F754"/>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33" w15:restartNumberingAfterBreak="0">
    <w:nsid w:val="561D5C4F"/>
    <w:multiLevelType w:val="hybridMultilevel"/>
    <w:tmpl w:val="0C661B00"/>
    <w:lvl w:ilvl="0" w:tplc="77DA84EC">
      <w:start w:val="1"/>
      <w:numFmt w:val="bullet"/>
      <w:lvlText w:val="-"/>
      <w:lvlJc w:val="left"/>
      <w:pPr>
        <w:ind w:left="1560" w:hanging="360"/>
      </w:pPr>
      <w:rPr>
        <w:rFonts w:ascii="Tunga" w:hAnsi="Tunga" w:cs="Tunga" w:hint="default"/>
      </w:rPr>
    </w:lvl>
    <w:lvl w:ilvl="1" w:tplc="08090003" w:tentative="1">
      <w:start w:val="1"/>
      <w:numFmt w:val="bullet"/>
      <w:lvlText w:val="o"/>
      <w:lvlJc w:val="left"/>
      <w:pPr>
        <w:ind w:left="2280" w:hanging="360"/>
      </w:pPr>
      <w:rPr>
        <w:rFonts w:ascii="Courier New" w:hAnsi="Courier New" w:cs="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cs="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cs="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34"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35"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7"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9" w15:restartNumberingAfterBreak="0">
    <w:nsid w:val="6C3216D3"/>
    <w:multiLevelType w:val="multilevel"/>
    <w:tmpl w:val="72A4998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6EEB0C38"/>
    <w:multiLevelType w:val="hybridMultilevel"/>
    <w:tmpl w:val="DCFA15E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F2D5B86"/>
    <w:multiLevelType w:val="hybridMultilevel"/>
    <w:tmpl w:val="E57ECE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2" w15:restartNumberingAfterBreak="0">
    <w:nsid w:val="7A223D5F"/>
    <w:multiLevelType w:val="hybridMultilevel"/>
    <w:tmpl w:val="4FD89AD6"/>
    <w:lvl w:ilvl="0" w:tplc="6E482434">
      <w:start w:val="1"/>
      <w:numFmt w:val="lowerLetter"/>
      <w:lvlText w:val="%1)"/>
      <w:lvlJc w:val="left"/>
      <w:pPr>
        <w:ind w:left="485" w:hanging="360"/>
      </w:pPr>
      <w:rPr>
        <w:rFonts w:hint="default"/>
      </w:rPr>
    </w:lvl>
    <w:lvl w:ilvl="1" w:tplc="18090019" w:tentative="1">
      <w:start w:val="1"/>
      <w:numFmt w:val="lowerLetter"/>
      <w:lvlText w:val="%2."/>
      <w:lvlJc w:val="left"/>
      <w:pPr>
        <w:ind w:left="1205" w:hanging="360"/>
      </w:pPr>
    </w:lvl>
    <w:lvl w:ilvl="2" w:tplc="1809001B" w:tentative="1">
      <w:start w:val="1"/>
      <w:numFmt w:val="lowerRoman"/>
      <w:lvlText w:val="%3."/>
      <w:lvlJc w:val="right"/>
      <w:pPr>
        <w:ind w:left="1925" w:hanging="180"/>
      </w:pPr>
    </w:lvl>
    <w:lvl w:ilvl="3" w:tplc="1809000F" w:tentative="1">
      <w:start w:val="1"/>
      <w:numFmt w:val="decimal"/>
      <w:lvlText w:val="%4."/>
      <w:lvlJc w:val="left"/>
      <w:pPr>
        <w:ind w:left="2645" w:hanging="360"/>
      </w:pPr>
    </w:lvl>
    <w:lvl w:ilvl="4" w:tplc="18090019" w:tentative="1">
      <w:start w:val="1"/>
      <w:numFmt w:val="lowerLetter"/>
      <w:lvlText w:val="%5."/>
      <w:lvlJc w:val="left"/>
      <w:pPr>
        <w:ind w:left="3365" w:hanging="360"/>
      </w:pPr>
    </w:lvl>
    <w:lvl w:ilvl="5" w:tplc="1809001B" w:tentative="1">
      <w:start w:val="1"/>
      <w:numFmt w:val="lowerRoman"/>
      <w:lvlText w:val="%6."/>
      <w:lvlJc w:val="right"/>
      <w:pPr>
        <w:ind w:left="4085" w:hanging="180"/>
      </w:pPr>
    </w:lvl>
    <w:lvl w:ilvl="6" w:tplc="1809000F" w:tentative="1">
      <w:start w:val="1"/>
      <w:numFmt w:val="decimal"/>
      <w:lvlText w:val="%7."/>
      <w:lvlJc w:val="left"/>
      <w:pPr>
        <w:ind w:left="4805" w:hanging="360"/>
      </w:pPr>
    </w:lvl>
    <w:lvl w:ilvl="7" w:tplc="18090019" w:tentative="1">
      <w:start w:val="1"/>
      <w:numFmt w:val="lowerLetter"/>
      <w:lvlText w:val="%8."/>
      <w:lvlJc w:val="left"/>
      <w:pPr>
        <w:ind w:left="5525" w:hanging="360"/>
      </w:pPr>
    </w:lvl>
    <w:lvl w:ilvl="8" w:tplc="1809001B" w:tentative="1">
      <w:start w:val="1"/>
      <w:numFmt w:val="lowerRoman"/>
      <w:lvlText w:val="%9."/>
      <w:lvlJc w:val="right"/>
      <w:pPr>
        <w:ind w:left="6245" w:hanging="180"/>
      </w:pPr>
    </w:lvl>
  </w:abstractNum>
  <w:abstractNum w:abstractNumId="4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6"/>
  </w:num>
  <w:num w:numId="9">
    <w:abstractNumId w:val="2"/>
  </w:num>
  <w:num w:numId="10">
    <w:abstractNumId w:val="1"/>
  </w:num>
  <w:num w:numId="11">
    <w:abstractNumId w:val="0"/>
  </w:num>
  <w:num w:numId="12">
    <w:abstractNumId w:val="36"/>
  </w:num>
  <w:num w:numId="13">
    <w:abstractNumId w:val="24"/>
  </w:num>
  <w:num w:numId="14">
    <w:abstractNumId w:val="38"/>
  </w:num>
  <w:num w:numId="15">
    <w:abstractNumId w:val="18"/>
  </w:num>
  <w:num w:numId="16">
    <w:abstractNumId w:val="25"/>
  </w:num>
  <w:num w:numId="17">
    <w:abstractNumId w:val="37"/>
  </w:num>
  <w:num w:numId="18">
    <w:abstractNumId w:val="13"/>
  </w:num>
  <w:num w:numId="19">
    <w:abstractNumId w:val="27"/>
  </w:num>
  <w:num w:numId="20">
    <w:abstractNumId w:val="34"/>
  </w:num>
  <w:num w:numId="21">
    <w:abstractNumId w:val="35"/>
  </w:num>
  <w:num w:numId="22">
    <w:abstractNumId w:val="16"/>
  </w:num>
  <w:num w:numId="23">
    <w:abstractNumId w:val="32"/>
  </w:num>
  <w:num w:numId="24">
    <w:abstractNumId w:val="43"/>
  </w:num>
  <w:num w:numId="25">
    <w:abstractNumId w:val="9"/>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30"/>
  </w:num>
  <w:num w:numId="29">
    <w:abstractNumId w:val="41"/>
  </w:num>
  <w:num w:numId="30">
    <w:abstractNumId w:val="17"/>
  </w:num>
  <w:num w:numId="31">
    <w:abstractNumId w:val="23"/>
  </w:num>
  <w:num w:numId="32">
    <w:abstractNumId w:val="8"/>
  </w:num>
  <w:num w:numId="33">
    <w:abstractNumId w:val="26"/>
  </w:num>
  <w:num w:numId="34">
    <w:abstractNumId w:val="28"/>
  </w:num>
  <w:num w:numId="35">
    <w:abstractNumId w:val="12"/>
  </w:num>
  <w:num w:numId="36">
    <w:abstractNumId w:val="29"/>
  </w:num>
  <w:num w:numId="37">
    <w:abstractNumId w:val="40"/>
  </w:num>
  <w:num w:numId="38">
    <w:abstractNumId w:val="21"/>
  </w:num>
  <w:num w:numId="39">
    <w:abstractNumId w:val="20"/>
  </w:num>
  <w:num w:numId="40">
    <w:abstractNumId w:val="15"/>
  </w:num>
  <w:num w:numId="41">
    <w:abstractNumId w:val="33"/>
  </w:num>
  <w:num w:numId="42">
    <w:abstractNumId w:val="22"/>
  </w:num>
  <w:num w:numId="43">
    <w:abstractNumId w:val="39"/>
  </w:num>
  <w:num w:numId="44">
    <w:abstractNumId w:val="19"/>
  </w:num>
  <w:num w:numId="45">
    <w:abstractNumId w:val="37"/>
  </w:num>
  <w:num w:numId="46">
    <w:abstractNumId w:val="10"/>
  </w:num>
  <w:num w:numId="47">
    <w:abstractNumId w:val="42"/>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BE" w:vendorID="64" w:dllVersion="6"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de-DE"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uncil" w:val="true"/>
    <w:docVar w:name="CoverPageOnWordDoc" w:val="true"/>
    <w:docVar w:name="DocStatus" w:val="Green"/>
    <w:docVar w:name="DocuWriteMetaData" w:val="&lt;metadataset docuwriteversion=&quot;4.5.2&quot; technicalblockguid=&quot;5504867335885398674&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6&quot; text=&quot;NOTE&quot; /&gt;_x000d__x000a_    &lt;/basicdatatype&gt;_x000d__x000a_  &lt;/metadata&gt;_x000d__x000a_  &lt;metadata key=&quot;md_HeadingText&quot;&gt;_x000d__x000a_    &lt;headingtext text=&quot;NOTE&quot;&gt;_x000d__x000a_      &lt;formattedtext&gt;_x000d__x000a_        &lt;xaml text=&quot;NOTE&quot;&gt;&amp;lt;FlowDocument xmlns=&quot;http://schemas.microsoft.com/winfx/2006/xaml/presentation&quot;&amp;gt;&amp;lt;Paragraph&amp;gt;NOTE&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1-09-28&lt;/text&gt;_x000d__x000a_  &lt;/metadata&gt;_x000d__x000a_  &lt;metadata key=&quot;md_Prefix&quot;&gt;_x000d__x000a_    &lt;text&gt;&lt;/text&gt;_x000d__x000a_  &lt;/metadata&gt;_x000d__x000a_  &lt;metadata key=&quot;md_DocumentNumber&quot;&gt;_x000d__x000a_    &lt;text&gt;11941&lt;/text&gt;_x000d__x000a_  &lt;/metadata&gt;_x000d__x000a_  &lt;metadata key=&quot;md_YearDocumentNumber&quot;&gt;_x000d__x000a_    &lt;text&gt;2021&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COFIN 855&lt;/text&gt;_x000d__x000a_      &lt;text&gt;CADREFIN 412&lt;/text&gt;_x000d__x000a_      &lt;text&gt;UEM 264&lt;/text&gt;_x000d__x000a_      &lt;text&gt;FIN 701&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1/0298 (NLE)&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09&quot; text=&quot;General Secretariat of the Council&quot; /&gt;_x000d__x000a_    &lt;/basicdatatype&gt;_x000d__x000a_  &lt;/metadata&gt;_x000d__x000a_  &lt;metadata key=&quot;md_Recipient&quot;&gt;_x000d__x000a_    &lt;basicdatatype&gt;_x000d__x000a_      &lt;recipient key=&quot;re_07&quot; text=&quot;Delegations&quot; /&gt;_x000d__x000a_    &lt;/basicdatatype&gt;_x000d__x000a_  &lt;/metadata&gt;_x000d__x000a_  &lt;metadata key=&quot;md_DateOfReceipt&quot;&gt;_x000d__x000a_    &lt;text&gt;&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 /&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ANNEX to the Council Implementing Decision on the approval of the assessment of the recovery and resilience plan for Malta&quot;&gt;&amp;lt;FlowDocument FontFamily=&quot;Segoe UI&quot; FontSize=&quot;12&quot; LineHeight=&quot;6&quot; PageWidth=&quot;329&quot; PagePadding=&quot;2,2,2,2&quot; AllowDrop=&quot;False&quot; xmlns=&quot;http://schemas.microsoft.com/winfx/2006/xaml/presentation&quot;&amp;gt;&amp;lt;Paragraph&amp;gt;ANNEX to the Council Implementing Decision on the approval of the assessment of the recovery and resilience plan for &amp;lt;Run xml:lang=&quot;fr-be&quot;&amp;gt;Malta&amp;lt;/Run&amp;gt;&amp;lt;/Paragraph&amp;gt;&amp;lt;/FlowDocument&amp;gt;&lt;/xaml&gt;_x000d__x000a_  &lt;/metadata&gt;_x000d__x000a_  &lt;metadata key=&quot;md_SubjectFootnote&quot; /&gt;_x000d__x000a_  &lt;metadata key=&quot;md_DG&quot;&gt;_x000d__x000a_    &lt;text&gt;ECOMP 1A&lt;/text&gt;_x000d__x000a_  &lt;/metadata&gt;_x000d__x000a_  &lt;metadata key=&quot;md_Initials&quot;&gt;_x000d__x000a_    &lt;text&gt;JPS/sr&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1&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lt;/text&gt;_x000d__x000a_  &lt;/metadata&gt;_x000d__x000a_  &lt;metadata key=&quot;md_Rectif_Source2_Suffixes&quot;&gt;_x000d__x000a_    &lt;text&gt;&lt;/text&gt;_x000d__x000a_  &lt;/metadata&gt;_x000d__x000a_  &lt;metadata key=&quot;md_CoverPageDocWithCouncilFooter&quot;&gt;_x000d__x000a_    &lt;text&gt;true&lt;/text&gt;_x000d__x000a_  &lt;/metadata&gt;_x000d__x000a_  &lt;metadata key=&quot;md_SourceDocLanguage&quot;&gt;_x000d__x000a_    &lt;text&gt;EN&lt;/text&gt;_x000d__x000a_  &lt;/metadata&gt;_x000d__x000a_  &lt;metadata key=&quot;md_SourceDocType&quot;&gt;_x000d__x000a_    &lt;text&gt;&lt;/text&gt;_x000d__x000a_  &lt;/metadata&gt;_x000d__x000a_  &lt;metadata key=&quot;md_SourceDocTitle&quot;&gt;_x000d__x000a_    &lt;text&gt;&lt;/text&gt;_x000d__x000a_  &lt;/metadata&gt;_x000d__x000a_  &lt;metadata key=&quot;md_SourceDocIsCECDoc&quot;&gt;_x000d__x000a_    &lt;text&gt;fals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ocuWriteMetaDataSource1" w:val="&lt;metadataset docuwriteversion=&quot;4.5.2&quot; technicalblockguid=&quot;5447206305477054280&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DocumentLanguagesAutomatic&quot;&gt;_x000d__x000a_    &lt;text&gt;&lt;/text&gt;_x000d__x000a_  &lt;/metadata&gt;_x000d__x000a_  &lt;metadata key=&quot;md_UniqueHeading&quot;&gt;_x000d__x000a_    &lt;basicdatatype&gt;_x000d__x000a_      &lt;heading key=&quot;uh_64&quot; text=&quot;COVER NOTE&quot; /&gt;_x000d__x000a_    &lt;/basicdatatype&gt;_x000d__x000a_  &lt;/metadata&gt;_x000d__x000a_  &lt;metadata key=&quot;md_HeadingText&quot;&gt;_x000d__x000a_    &lt;headingtext text=&quot;COVER NOTE&quot;&gt;_x000d__x000a_      &lt;formattedtext&gt;_x000d__x000a_        &lt;xaml text=&quot;COVER NOTE&quot;&gt;&amp;lt;FlowDocument xmlns=&quot;http://schemas.microsoft.com/winfx/2006/xaml/presentation&quot;&amp;gt;&amp;lt;Paragraph&amp;gt;COVER NOTE&amp;lt;/Paragraph&amp;gt;&amp;lt;/FlowDocument&amp;gt;&lt;/xaml&gt;_x000d__x000a_      &lt;/formattedtext&gt;_x000d__x000a_    &lt;/headingtext&gt;_x000d__x000a_  &lt;/metadata&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1-09-16&lt;/text&gt;_x000d__x000a_  &lt;/metadata&gt;_x000d__x000a_  &lt;metadata key=&quot;md_Prefix&quot;&gt;_x000d__x000a_    &lt;text&gt;&lt;/text&gt;_x000d__x000a_  &lt;/metadata&gt;_x000d__x000a_  &lt;metadata key=&quot;md_DocumentNumber&quot;&gt;_x000d__x000a_    &lt;text&gt;11938&lt;/text&gt;_x000d__x000a_  &lt;/metadata&gt;_x000d__x000a_  &lt;metadata key=&quot;md_YearDocumentNumber&quot;&gt;_x000d__x000a_    &lt;text&gt;2021&lt;/text&gt;_x000d__x000a_  &lt;/metadata&gt;_x000d__x000a_  &lt;metadata key=&quot;md_Suffixes&quot;&gt;_x000d__x000a_    &lt;text&gt;ADD 1&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ECOFIN 854&lt;/text&gt;_x000d__x000a_      &lt;text&gt;CADREFIN 411&lt;/text&gt;_x000d__x000a_      &lt;text&gt;UEM 263&lt;/text&gt;_x000d__x000a_      &lt;text&gt;FIN 700&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typeofhead_06&quot; text=&quot;Other&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1/0298 (NLE)&lt;/text&gt;_x000d__x000a_    &lt;/textlist&gt;_x000d__x000a_  &lt;/metadata&gt;_x000d__x000a_  &lt;metadata key=&quot;md_AdditionalReferences&quot; /&gt;_x000d__x000a_  &lt;metadata key=&quot;md_LEXNumber&quot; /&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Secretary-General of the European Commission, signed by Ms Martine DEPREZ, Director&quot; /&gt;_x000d__x000a_    &lt;/basicdatatype&gt;_x000d__x000a_  &lt;/metadata&gt;_x000d__x000a_  &lt;metadata key=&quot;md_Recipient&quot;&gt;_x000d__x000a_    &lt;basicdatatype&gt;_x000d__x000a_      &lt;recipient key=&quot;re_02&quot; text=&quot;Mr Jeppe TRANHOLM-MIKKELSEN, Secretary-General of the Council of the European Union&quot; /&gt;_x000d__x000a_    &lt;/basicdatatype&gt;_x000d__x000a_  &lt;/metadata&gt;_x000d__x000a_  &lt;metadata key=&quot;md_DateOfReceipt&quot;&gt;_x000d__x000a_    &lt;text&gt;2021-09-16&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1) 584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ANNEX to the Proposal for a Council Implementing Decision on the approval of the assessment of the recovery and resilience plan for Malta&quot;&gt;&amp;lt;FlowDocument FontFamily=&quot;Segoe UI&quot; FontSize=&quot;12&quot; PagePadding=&quot;2,2,2,2&quot; AllowDrop=&quot;False&quot; xmlns=&quot;http://schemas.microsoft.com/winfx/2006/xaml/presentation&quot;&amp;gt;&amp;lt;Paragraph&amp;gt;ANNEX to the Proposal for a Council Implementing Decision on the approval of the assessment of the recovery and resilience plan for Malta&amp;lt;/Paragraph&amp;gt;&amp;lt;/FlowDocument&amp;gt;&lt;/xaml&gt;_x000d__x000a_  &lt;/metadata&gt;_x000d__x000a_  &lt;metadata key=&quot;md_SubjectFootnote&quot; /&gt;_x000d__x000a_  &lt;metadata key=&quot;md_DG&quot;&gt;_x000d__x000a_    &lt;text&gt;ECOMP 1A&lt;/text&gt;_x000d__x000a_  &lt;/metadata&gt;_x000d__x000a_  &lt;metadata key=&quot;md_Initials&quot;&gt;_x000d__x000a_    &lt;text&gt;JPS/sr&lt;/text&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1&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1&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ANNEX_x000d__x000a_&lt;/text&gt;_x000d__x000a_  &lt;/metadata&gt;_x000d__x000a_  &lt;metadata key=&quot;md_SourceDocTitle&quot;&gt;_x000d__x000a_    &lt;text&gt;to the _x000d__x000a_Proposal for a Council Implementing Decision _x000d__x000a_on the approval of the assessment of the recovery and resilience plan for Malta&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CustomNB&quot; /&gt;_x000d__x000a_  &lt;metadata key=&quot;md_Meetings&quot; /&gt;_x000d__x000a_  &lt;metadata key=&quot;md_VisualRepresentation&quot;&gt;_x000d__x000a_    &lt;basicdatatype&gt;_x000d__x000a_      &lt;visualrepresentation key=&quot;visrep_02&quot; text=&quot;New visual identity&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LW_ACCOMPAGNANT.CP" w:val="&lt;UNUSED&gt;"/>
    <w:docVar w:name="LW_ANNEX_NBR_FIRST" w:val="1"/>
    <w:docVar w:name="LW_ANNEX_NBR_LAST" w:val="1"/>
    <w:docVar w:name="LW_ANNEX_UNIQUE" w:val="1"/>
    <w:docVar w:name="LW_CORRIGENDUM" w:val="&lt;UNUSED&gt;"/>
    <w:docVar w:name="LW_COVERPAGE_EXISTS" w:val="True"/>
    <w:docVar w:name="LW_COVERPAGE_GUID" w:val="ED7D6B68-18F7-4427-916B-C988D56C1BBF"/>
    <w:docVar w:name="LW_COVERPAGE_TYPE" w:val="1"/>
    <w:docVar w:name="LW_CROSSREFERENCE" w:val="{SWD(2023) 235 final}"/>
    <w:docVar w:name="LW_DocType" w:val="NORMAL"/>
    <w:docVar w:name="LW_EMISSION" w:val="26.6.2023."/>
    <w:docVar w:name="LW_EMISSION_ISODATE" w:val="2023-06-26"/>
    <w:docVar w:name="LW_EMISSION_LOCATION" w:val="BRX"/>
    <w:docVar w:name="LW_EMISSION_PREFIX" w:val="Bruxelles, "/>
    <w:docVar w:name="LW_EMISSION_SUFFIX" w:val="&lt;EMPTY&gt;"/>
    <w:docVar w:name="LW_ID_DOCTYPE_NONLW" w:val="CP-036"/>
    <w:docVar w:name="LW_LANGUE" w:val="HR"/>
    <w:docVar w:name="LW_LEVEL_OF_SENSITIVITY" w:val="Standard treatment"/>
    <w:docVar w:name="LW_NOM.INST" w:val="EUROPSKA KOMISIJA"/>
    <w:docVar w:name="LW_NOM.INST_JOINTDOC" w:val="&lt;EMPTY&gt;"/>
    <w:docVar w:name="LW_OBJETACTEPRINCIPAL.CP" w:val="o izmjeni Provedbene odluke Vijeća (EU) (ST 11941/2021; St 11941/2021 ADD 1) od 5. listopada 2021. o odobrenju ocjene plana za oporavak i otpornost Malte"/>
    <w:docVar w:name="LW_PART_NBR" w:val="1"/>
    <w:docVar w:name="LW_PART_NBR_TOTAL" w:val="1"/>
    <w:docVar w:name="LW_REF.INST.NEW" w:val="COM"/>
    <w:docVar w:name="LW_REF.INST.NEW_ADOPTED" w:val="final"/>
    <w:docVar w:name="LW_REF.INST.NEW_TEXT" w:val="(2023) 372"/>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CP" w:val="PRILOG_x000b_"/>
    <w:docVar w:name="LW_TYPEACTEPRINCIPAL.CP" w:val="Prijedlogu PROVEDBENOJ ODLUCI VIJEĆA"/>
    <w:docVar w:name="LwApiVersions" w:val="LW4CoDe 1.23.2.0; LW 8.0, Build 20211117"/>
  </w:docVars>
  <w:rsids>
    <w:rsidRoot w:val="00B94F7C"/>
    <w:rsid w:val="000018B7"/>
    <w:rsid w:val="000035CD"/>
    <w:rsid w:val="00003964"/>
    <w:rsid w:val="00007D88"/>
    <w:rsid w:val="00010C59"/>
    <w:rsid w:val="000119A6"/>
    <w:rsid w:val="00012141"/>
    <w:rsid w:val="00014AA0"/>
    <w:rsid w:val="0001750E"/>
    <w:rsid w:val="000218D3"/>
    <w:rsid w:val="00021D1E"/>
    <w:rsid w:val="00022BD3"/>
    <w:rsid w:val="000312FA"/>
    <w:rsid w:val="000332C1"/>
    <w:rsid w:val="0003788E"/>
    <w:rsid w:val="000467EC"/>
    <w:rsid w:val="000470C3"/>
    <w:rsid w:val="00053569"/>
    <w:rsid w:val="0005612E"/>
    <w:rsid w:val="000563A8"/>
    <w:rsid w:val="00061A22"/>
    <w:rsid w:val="00061DFB"/>
    <w:rsid w:val="00064B4F"/>
    <w:rsid w:val="00065C4C"/>
    <w:rsid w:val="0007180D"/>
    <w:rsid w:val="00071857"/>
    <w:rsid w:val="00075175"/>
    <w:rsid w:val="00075DC8"/>
    <w:rsid w:val="0007799A"/>
    <w:rsid w:val="00083879"/>
    <w:rsid w:val="00085704"/>
    <w:rsid w:val="00091BEE"/>
    <w:rsid w:val="00093CE1"/>
    <w:rsid w:val="00094697"/>
    <w:rsid w:val="000948AA"/>
    <w:rsid w:val="00094C90"/>
    <w:rsid w:val="000A0DDE"/>
    <w:rsid w:val="000A3E32"/>
    <w:rsid w:val="000A3F45"/>
    <w:rsid w:val="000A68D2"/>
    <w:rsid w:val="000B241B"/>
    <w:rsid w:val="000B656E"/>
    <w:rsid w:val="000C03CE"/>
    <w:rsid w:val="000C55AD"/>
    <w:rsid w:val="000C5A0E"/>
    <w:rsid w:val="000C7297"/>
    <w:rsid w:val="000D01B3"/>
    <w:rsid w:val="000D15D5"/>
    <w:rsid w:val="000D3B65"/>
    <w:rsid w:val="000D4C26"/>
    <w:rsid w:val="000D6111"/>
    <w:rsid w:val="000D61B5"/>
    <w:rsid w:val="000D6C33"/>
    <w:rsid w:val="000E1053"/>
    <w:rsid w:val="000E45D0"/>
    <w:rsid w:val="000F315C"/>
    <w:rsid w:val="000F3D67"/>
    <w:rsid w:val="000F4E78"/>
    <w:rsid w:val="00100533"/>
    <w:rsid w:val="00100566"/>
    <w:rsid w:val="00103E42"/>
    <w:rsid w:val="00107268"/>
    <w:rsid w:val="00116D2E"/>
    <w:rsid w:val="001304BD"/>
    <w:rsid w:val="00131B53"/>
    <w:rsid w:val="001338F6"/>
    <w:rsid w:val="0014285E"/>
    <w:rsid w:val="00142F5B"/>
    <w:rsid w:val="001446AA"/>
    <w:rsid w:val="00144BAB"/>
    <w:rsid w:val="00144CE2"/>
    <w:rsid w:val="0014517C"/>
    <w:rsid w:val="001514AC"/>
    <w:rsid w:val="00151F6B"/>
    <w:rsid w:val="001566B4"/>
    <w:rsid w:val="00157034"/>
    <w:rsid w:val="0016008F"/>
    <w:rsid w:val="001649B2"/>
    <w:rsid w:val="00165ADB"/>
    <w:rsid w:val="00167801"/>
    <w:rsid w:val="00170E21"/>
    <w:rsid w:val="0017148B"/>
    <w:rsid w:val="0017407E"/>
    <w:rsid w:val="0017446F"/>
    <w:rsid w:val="00177ED8"/>
    <w:rsid w:val="001818B1"/>
    <w:rsid w:val="0018245E"/>
    <w:rsid w:val="001842C8"/>
    <w:rsid w:val="00184A00"/>
    <w:rsid w:val="00187290"/>
    <w:rsid w:val="00187B95"/>
    <w:rsid w:val="00191B82"/>
    <w:rsid w:val="00191BE6"/>
    <w:rsid w:val="0019294A"/>
    <w:rsid w:val="001A01F2"/>
    <w:rsid w:val="001A5312"/>
    <w:rsid w:val="001A7521"/>
    <w:rsid w:val="001B1504"/>
    <w:rsid w:val="001C0598"/>
    <w:rsid w:val="001C4F50"/>
    <w:rsid w:val="001D0DF2"/>
    <w:rsid w:val="001D4E46"/>
    <w:rsid w:val="001D5DCF"/>
    <w:rsid w:val="001D6565"/>
    <w:rsid w:val="001D76A4"/>
    <w:rsid w:val="001E0390"/>
    <w:rsid w:val="001E2D04"/>
    <w:rsid w:val="001E3E16"/>
    <w:rsid w:val="001E7244"/>
    <w:rsid w:val="001F0994"/>
    <w:rsid w:val="001F4D1B"/>
    <w:rsid w:val="001F5195"/>
    <w:rsid w:val="00200716"/>
    <w:rsid w:val="002027A0"/>
    <w:rsid w:val="00203973"/>
    <w:rsid w:val="00204319"/>
    <w:rsid w:val="00206EB2"/>
    <w:rsid w:val="00210023"/>
    <w:rsid w:val="002130EE"/>
    <w:rsid w:val="00213513"/>
    <w:rsid w:val="002149F9"/>
    <w:rsid w:val="00216D30"/>
    <w:rsid w:val="002178E2"/>
    <w:rsid w:val="00221D18"/>
    <w:rsid w:val="00222B4A"/>
    <w:rsid w:val="002279AA"/>
    <w:rsid w:val="0023420C"/>
    <w:rsid w:val="00234447"/>
    <w:rsid w:val="002349E2"/>
    <w:rsid w:val="00235082"/>
    <w:rsid w:val="002439F9"/>
    <w:rsid w:val="00252596"/>
    <w:rsid w:val="0025262D"/>
    <w:rsid w:val="002545D8"/>
    <w:rsid w:val="00254B7E"/>
    <w:rsid w:val="0025679D"/>
    <w:rsid w:val="002607F7"/>
    <w:rsid w:val="00262D04"/>
    <w:rsid w:val="00266D52"/>
    <w:rsid w:val="002739E5"/>
    <w:rsid w:val="00282524"/>
    <w:rsid w:val="00282919"/>
    <w:rsid w:val="002872D6"/>
    <w:rsid w:val="00287308"/>
    <w:rsid w:val="00291EB2"/>
    <w:rsid w:val="002965C2"/>
    <w:rsid w:val="00296A29"/>
    <w:rsid w:val="00297CCB"/>
    <w:rsid w:val="002A2174"/>
    <w:rsid w:val="002A32F8"/>
    <w:rsid w:val="002B0847"/>
    <w:rsid w:val="002B2935"/>
    <w:rsid w:val="002B36F0"/>
    <w:rsid w:val="002B3B62"/>
    <w:rsid w:val="002C0301"/>
    <w:rsid w:val="002C158B"/>
    <w:rsid w:val="002C1FE8"/>
    <w:rsid w:val="002C574F"/>
    <w:rsid w:val="002D2512"/>
    <w:rsid w:val="002D284D"/>
    <w:rsid w:val="002D5A04"/>
    <w:rsid w:val="002D5CBB"/>
    <w:rsid w:val="002D6A98"/>
    <w:rsid w:val="002E6F0F"/>
    <w:rsid w:val="002F0195"/>
    <w:rsid w:val="002F223A"/>
    <w:rsid w:val="002F416A"/>
    <w:rsid w:val="002F61C8"/>
    <w:rsid w:val="00301CBA"/>
    <w:rsid w:val="00305538"/>
    <w:rsid w:val="003075FD"/>
    <w:rsid w:val="00320587"/>
    <w:rsid w:val="003224D8"/>
    <w:rsid w:val="00325173"/>
    <w:rsid w:val="00334AE6"/>
    <w:rsid w:val="00343907"/>
    <w:rsid w:val="0034463B"/>
    <w:rsid w:val="00352178"/>
    <w:rsid w:val="00353FA6"/>
    <w:rsid w:val="00355A42"/>
    <w:rsid w:val="00356032"/>
    <w:rsid w:val="00357EDB"/>
    <w:rsid w:val="00361259"/>
    <w:rsid w:val="00362AF5"/>
    <w:rsid w:val="00362D4D"/>
    <w:rsid w:val="00363D5C"/>
    <w:rsid w:val="00363FC7"/>
    <w:rsid w:val="00365586"/>
    <w:rsid w:val="003674C2"/>
    <w:rsid w:val="003717BB"/>
    <w:rsid w:val="00372262"/>
    <w:rsid w:val="00374D17"/>
    <w:rsid w:val="00377C79"/>
    <w:rsid w:val="00380FBC"/>
    <w:rsid w:val="003813DB"/>
    <w:rsid w:val="003844B7"/>
    <w:rsid w:val="003854E7"/>
    <w:rsid w:val="0039187B"/>
    <w:rsid w:val="0039266C"/>
    <w:rsid w:val="0039652F"/>
    <w:rsid w:val="00396697"/>
    <w:rsid w:val="003A7553"/>
    <w:rsid w:val="003B1225"/>
    <w:rsid w:val="003B15A0"/>
    <w:rsid w:val="003B39BF"/>
    <w:rsid w:val="003C0AF5"/>
    <w:rsid w:val="003C2081"/>
    <w:rsid w:val="003C3728"/>
    <w:rsid w:val="003C69EF"/>
    <w:rsid w:val="003D33AE"/>
    <w:rsid w:val="003E2710"/>
    <w:rsid w:val="003E6519"/>
    <w:rsid w:val="003F2FF2"/>
    <w:rsid w:val="003F5E71"/>
    <w:rsid w:val="003F65E3"/>
    <w:rsid w:val="00401E52"/>
    <w:rsid w:val="00402638"/>
    <w:rsid w:val="00407C8F"/>
    <w:rsid w:val="004134F4"/>
    <w:rsid w:val="00421440"/>
    <w:rsid w:val="00422156"/>
    <w:rsid w:val="00425063"/>
    <w:rsid w:val="004264DB"/>
    <w:rsid w:val="00433472"/>
    <w:rsid w:val="00435224"/>
    <w:rsid w:val="00435701"/>
    <w:rsid w:val="00435E97"/>
    <w:rsid w:val="00442CBF"/>
    <w:rsid w:val="00443F05"/>
    <w:rsid w:val="00445250"/>
    <w:rsid w:val="00445F1C"/>
    <w:rsid w:val="004463FA"/>
    <w:rsid w:val="00454E72"/>
    <w:rsid w:val="00457DD7"/>
    <w:rsid w:val="0046185D"/>
    <w:rsid w:val="00461D97"/>
    <w:rsid w:val="00461FD2"/>
    <w:rsid w:val="00470C35"/>
    <w:rsid w:val="0048328D"/>
    <w:rsid w:val="00483339"/>
    <w:rsid w:val="0048390A"/>
    <w:rsid w:val="0049062A"/>
    <w:rsid w:val="00491DA0"/>
    <w:rsid w:val="00494429"/>
    <w:rsid w:val="00496209"/>
    <w:rsid w:val="004971F7"/>
    <w:rsid w:val="00497758"/>
    <w:rsid w:val="004A4A77"/>
    <w:rsid w:val="004A4B85"/>
    <w:rsid w:val="004B3E7F"/>
    <w:rsid w:val="004B40BB"/>
    <w:rsid w:val="004C1E67"/>
    <w:rsid w:val="004C4B4B"/>
    <w:rsid w:val="004C70B8"/>
    <w:rsid w:val="004D3816"/>
    <w:rsid w:val="004D527F"/>
    <w:rsid w:val="004D64EF"/>
    <w:rsid w:val="004E1429"/>
    <w:rsid w:val="004E2683"/>
    <w:rsid w:val="004E45FE"/>
    <w:rsid w:val="004E4DC3"/>
    <w:rsid w:val="004F2BCE"/>
    <w:rsid w:val="004F4ED7"/>
    <w:rsid w:val="00501ACF"/>
    <w:rsid w:val="005069E1"/>
    <w:rsid w:val="005079DE"/>
    <w:rsid w:val="00511C2E"/>
    <w:rsid w:val="0051626E"/>
    <w:rsid w:val="005171C8"/>
    <w:rsid w:val="00522E0A"/>
    <w:rsid w:val="005346B1"/>
    <w:rsid w:val="005437AC"/>
    <w:rsid w:val="00547BAD"/>
    <w:rsid w:val="00550416"/>
    <w:rsid w:val="00552A67"/>
    <w:rsid w:val="00554BA4"/>
    <w:rsid w:val="00554E91"/>
    <w:rsid w:val="00560BA4"/>
    <w:rsid w:val="00562298"/>
    <w:rsid w:val="00562919"/>
    <w:rsid w:val="005718FF"/>
    <w:rsid w:val="00575FA6"/>
    <w:rsid w:val="005773A3"/>
    <w:rsid w:val="00591917"/>
    <w:rsid w:val="00596153"/>
    <w:rsid w:val="005A0093"/>
    <w:rsid w:val="005A0C24"/>
    <w:rsid w:val="005A15F7"/>
    <w:rsid w:val="005A25B9"/>
    <w:rsid w:val="005A27CC"/>
    <w:rsid w:val="005A2990"/>
    <w:rsid w:val="005A44A8"/>
    <w:rsid w:val="005A4716"/>
    <w:rsid w:val="005A5FE1"/>
    <w:rsid w:val="005A7C13"/>
    <w:rsid w:val="005B0948"/>
    <w:rsid w:val="005B1473"/>
    <w:rsid w:val="005B6C29"/>
    <w:rsid w:val="005C43AD"/>
    <w:rsid w:val="005C4741"/>
    <w:rsid w:val="005C6E77"/>
    <w:rsid w:val="005D611C"/>
    <w:rsid w:val="005E4E51"/>
    <w:rsid w:val="005E62F4"/>
    <w:rsid w:val="005E7867"/>
    <w:rsid w:val="005F7F64"/>
    <w:rsid w:val="006000C7"/>
    <w:rsid w:val="0060135D"/>
    <w:rsid w:val="00602671"/>
    <w:rsid w:val="00605E8E"/>
    <w:rsid w:val="0060722C"/>
    <w:rsid w:val="00615EFA"/>
    <w:rsid w:val="00621D1D"/>
    <w:rsid w:val="00623B5A"/>
    <w:rsid w:val="00627137"/>
    <w:rsid w:val="00630295"/>
    <w:rsid w:val="00634906"/>
    <w:rsid w:val="00634CA9"/>
    <w:rsid w:val="00641B54"/>
    <w:rsid w:val="00645981"/>
    <w:rsid w:val="006464D8"/>
    <w:rsid w:val="006504B7"/>
    <w:rsid w:val="00657335"/>
    <w:rsid w:val="00657725"/>
    <w:rsid w:val="0066232F"/>
    <w:rsid w:val="006669AD"/>
    <w:rsid w:val="0066760B"/>
    <w:rsid w:val="00667B80"/>
    <w:rsid w:val="0067555F"/>
    <w:rsid w:val="0067742B"/>
    <w:rsid w:val="00685D0F"/>
    <w:rsid w:val="006908C2"/>
    <w:rsid w:val="00691B9A"/>
    <w:rsid w:val="00694318"/>
    <w:rsid w:val="0069505C"/>
    <w:rsid w:val="00697198"/>
    <w:rsid w:val="006A032D"/>
    <w:rsid w:val="006A6E37"/>
    <w:rsid w:val="006B3A57"/>
    <w:rsid w:val="006B5857"/>
    <w:rsid w:val="006B61D7"/>
    <w:rsid w:val="006B64E7"/>
    <w:rsid w:val="006C5632"/>
    <w:rsid w:val="006C7E97"/>
    <w:rsid w:val="006D2F71"/>
    <w:rsid w:val="006D3561"/>
    <w:rsid w:val="006D4557"/>
    <w:rsid w:val="006D55E7"/>
    <w:rsid w:val="006D57FE"/>
    <w:rsid w:val="006D5908"/>
    <w:rsid w:val="006E3AB0"/>
    <w:rsid w:val="006E505F"/>
    <w:rsid w:val="006E6F27"/>
    <w:rsid w:val="006E7CF8"/>
    <w:rsid w:val="006F270D"/>
    <w:rsid w:val="006F29AC"/>
    <w:rsid w:val="006F6B44"/>
    <w:rsid w:val="006F7AA3"/>
    <w:rsid w:val="007051B6"/>
    <w:rsid w:val="0070718C"/>
    <w:rsid w:val="00710E10"/>
    <w:rsid w:val="00712C91"/>
    <w:rsid w:val="00712F0B"/>
    <w:rsid w:val="0071365A"/>
    <w:rsid w:val="0071662C"/>
    <w:rsid w:val="00721383"/>
    <w:rsid w:val="00730C7D"/>
    <w:rsid w:val="0074056D"/>
    <w:rsid w:val="0074295F"/>
    <w:rsid w:val="00744317"/>
    <w:rsid w:val="00746EA4"/>
    <w:rsid w:val="007505F0"/>
    <w:rsid w:val="00750EC2"/>
    <w:rsid w:val="007536A3"/>
    <w:rsid w:val="00755916"/>
    <w:rsid w:val="00757033"/>
    <w:rsid w:val="00763346"/>
    <w:rsid w:val="007643E9"/>
    <w:rsid w:val="007660C3"/>
    <w:rsid w:val="007740DB"/>
    <w:rsid w:val="00774FCE"/>
    <w:rsid w:val="00775374"/>
    <w:rsid w:val="00775F8A"/>
    <w:rsid w:val="00777532"/>
    <w:rsid w:val="007832F4"/>
    <w:rsid w:val="007838CA"/>
    <w:rsid w:val="00790A40"/>
    <w:rsid w:val="00792E63"/>
    <w:rsid w:val="00793E36"/>
    <w:rsid w:val="007944CE"/>
    <w:rsid w:val="0079549D"/>
    <w:rsid w:val="007A0D66"/>
    <w:rsid w:val="007A1970"/>
    <w:rsid w:val="007A56A2"/>
    <w:rsid w:val="007B0BDC"/>
    <w:rsid w:val="007B511C"/>
    <w:rsid w:val="007B6861"/>
    <w:rsid w:val="007C01E7"/>
    <w:rsid w:val="007C07BA"/>
    <w:rsid w:val="007C0A9A"/>
    <w:rsid w:val="007C3EB2"/>
    <w:rsid w:val="007C3F53"/>
    <w:rsid w:val="007C4133"/>
    <w:rsid w:val="007C5F9D"/>
    <w:rsid w:val="007C6CF4"/>
    <w:rsid w:val="007C7F5F"/>
    <w:rsid w:val="007E379E"/>
    <w:rsid w:val="007E4CC2"/>
    <w:rsid w:val="007E659C"/>
    <w:rsid w:val="007E660B"/>
    <w:rsid w:val="007E7FD0"/>
    <w:rsid w:val="007F0E87"/>
    <w:rsid w:val="007F0EBE"/>
    <w:rsid w:val="007F2B79"/>
    <w:rsid w:val="007F7384"/>
    <w:rsid w:val="00803A7C"/>
    <w:rsid w:val="0080410E"/>
    <w:rsid w:val="0081001E"/>
    <w:rsid w:val="008130FC"/>
    <w:rsid w:val="008146B3"/>
    <w:rsid w:val="00814852"/>
    <w:rsid w:val="00816364"/>
    <w:rsid w:val="00821AC6"/>
    <w:rsid w:val="008271E2"/>
    <w:rsid w:val="008273B8"/>
    <w:rsid w:val="0082746C"/>
    <w:rsid w:val="008276DD"/>
    <w:rsid w:val="00832837"/>
    <w:rsid w:val="00832E80"/>
    <w:rsid w:val="00835E36"/>
    <w:rsid w:val="00836414"/>
    <w:rsid w:val="00841462"/>
    <w:rsid w:val="008425B6"/>
    <w:rsid w:val="008458CA"/>
    <w:rsid w:val="008467C9"/>
    <w:rsid w:val="00851393"/>
    <w:rsid w:val="00853EDB"/>
    <w:rsid w:val="00855C0B"/>
    <w:rsid w:val="00864C79"/>
    <w:rsid w:val="00867DE5"/>
    <w:rsid w:val="00871FBA"/>
    <w:rsid w:val="00874794"/>
    <w:rsid w:val="00875C7C"/>
    <w:rsid w:val="00876422"/>
    <w:rsid w:val="00880B53"/>
    <w:rsid w:val="00882479"/>
    <w:rsid w:val="0088323E"/>
    <w:rsid w:val="00885278"/>
    <w:rsid w:val="0088648E"/>
    <w:rsid w:val="00891EFB"/>
    <w:rsid w:val="00897966"/>
    <w:rsid w:val="008A3CB3"/>
    <w:rsid w:val="008A5555"/>
    <w:rsid w:val="008B5A03"/>
    <w:rsid w:val="008B64EF"/>
    <w:rsid w:val="008B74B9"/>
    <w:rsid w:val="008B7A22"/>
    <w:rsid w:val="008C2195"/>
    <w:rsid w:val="008C6051"/>
    <w:rsid w:val="008C7109"/>
    <w:rsid w:val="008D04E0"/>
    <w:rsid w:val="008D3F3A"/>
    <w:rsid w:val="008D478B"/>
    <w:rsid w:val="008D5F97"/>
    <w:rsid w:val="008D6851"/>
    <w:rsid w:val="008E1400"/>
    <w:rsid w:val="008E1C1B"/>
    <w:rsid w:val="008E5F94"/>
    <w:rsid w:val="008E70BD"/>
    <w:rsid w:val="008F02C6"/>
    <w:rsid w:val="008F07C9"/>
    <w:rsid w:val="008F3176"/>
    <w:rsid w:val="008F3F49"/>
    <w:rsid w:val="008F665E"/>
    <w:rsid w:val="00903EEC"/>
    <w:rsid w:val="00904E63"/>
    <w:rsid w:val="00905966"/>
    <w:rsid w:val="00906780"/>
    <w:rsid w:val="0091003B"/>
    <w:rsid w:val="00911A27"/>
    <w:rsid w:val="00917865"/>
    <w:rsid w:val="00920339"/>
    <w:rsid w:val="00921983"/>
    <w:rsid w:val="00922801"/>
    <w:rsid w:val="00924945"/>
    <w:rsid w:val="00927A51"/>
    <w:rsid w:val="00930B78"/>
    <w:rsid w:val="009321AA"/>
    <w:rsid w:val="0093758C"/>
    <w:rsid w:val="00943B09"/>
    <w:rsid w:val="00943E8C"/>
    <w:rsid w:val="009464F4"/>
    <w:rsid w:val="009472D0"/>
    <w:rsid w:val="0095324C"/>
    <w:rsid w:val="00963B0F"/>
    <w:rsid w:val="00964EAF"/>
    <w:rsid w:val="00965611"/>
    <w:rsid w:val="0097252C"/>
    <w:rsid w:val="00973517"/>
    <w:rsid w:val="0097358E"/>
    <w:rsid w:val="00976536"/>
    <w:rsid w:val="0098241F"/>
    <w:rsid w:val="00983A96"/>
    <w:rsid w:val="00984F0B"/>
    <w:rsid w:val="00986A91"/>
    <w:rsid w:val="00992722"/>
    <w:rsid w:val="009969B1"/>
    <w:rsid w:val="009A2E36"/>
    <w:rsid w:val="009B06D9"/>
    <w:rsid w:val="009B0B11"/>
    <w:rsid w:val="009B3F80"/>
    <w:rsid w:val="009B68BF"/>
    <w:rsid w:val="009C6E62"/>
    <w:rsid w:val="009D249A"/>
    <w:rsid w:val="009D42F7"/>
    <w:rsid w:val="009D7884"/>
    <w:rsid w:val="009E02D2"/>
    <w:rsid w:val="009E2383"/>
    <w:rsid w:val="009E3D73"/>
    <w:rsid w:val="009E5B5B"/>
    <w:rsid w:val="009E5F16"/>
    <w:rsid w:val="009E7233"/>
    <w:rsid w:val="00A006A1"/>
    <w:rsid w:val="00A014A0"/>
    <w:rsid w:val="00A0461E"/>
    <w:rsid w:val="00A04E7F"/>
    <w:rsid w:val="00A10145"/>
    <w:rsid w:val="00A130B3"/>
    <w:rsid w:val="00A14ED6"/>
    <w:rsid w:val="00A17031"/>
    <w:rsid w:val="00A239C2"/>
    <w:rsid w:val="00A257C5"/>
    <w:rsid w:val="00A25A69"/>
    <w:rsid w:val="00A315FA"/>
    <w:rsid w:val="00A35D3C"/>
    <w:rsid w:val="00A40304"/>
    <w:rsid w:val="00A40705"/>
    <w:rsid w:val="00A40FE4"/>
    <w:rsid w:val="00A45B08"/>
    <w:rsid w:val="00A507E6"/>
    <w:rsid w:val="00A50D65"/>
    <w:rsid w:val="00A513D0"/>
    <w:rsid w:val="00A52A5C"/>
    <w:rsid w:val="00A554FF"/>
    <w:rsid w:val="00A56403"/>
    <w:rsid w:val="00A61C0A"/>
    <w:rsid w:val="00A6218B"/>
    <w:rsid w:val="00A66412"/>
    <w:rsid w:val="00A73F36"/>
    <w:rsid w:val="00A75125"/>
    <w:rsid w:val="00A76FC5"/>
    <w:rsid w:val="00A77B4C"/>
    <w:rsid w:val="00A800BB"/>
    <w:rsid w:val="00A91ACA"/>
    <w:rsid w:val="00A938EE"/>
    <w:rsid w:val="00A96CA9"/>
    <w:rsid w:val="00A96F19"/>
    <w:rsid w:val="00AA1E5A"/>
    <w:rsid w:val="00AA5AA1"/>
    <w:rsid w:val="00AA7E3C"/>
    <w:rsid w:val="00AB572B"/>
    <w:rsid w:val="00AB5D54"/>
    <w:rsid w:val="00AC02EA"/>
    <w:rsid w:val="00AC181A"/>
    <w:rsid w:val="00AC7349"/>
    <w:rsid w:val="00AC7818"/>
    <w:rsid w:val="00AD0E12"/>
    <w:rsid w:val="00AD5713"/>
    <w:rsid w:val="00AE19D2"/>
    <w:rsid w:val="00AE1CA8"/>
    <w:rsid w:val="00AE28B1"/>
    <w:rsid w:val="00AE3D73"/>
    <w:rsid w:val="00AF0803"/>
    <w:rsid w:val="00AF15CF"/>
    <w:rsid w:val="00AF6C98"/>
    <w:rsid w:val="00B10AAA"/>
    <w:rsid w:val="00B1199F"/>
    <w:rsid w:val="00B133D1"/>
    <w:rsid w:val="00B1526D"/>
    <w:rsid w:val="00B16BA8"/>
    <w:rsid w:val="00B21B85"/>
    <w:rsid w:val="00B25E3C"/>
    <w:rsid w:val="00B276B6"/>
    <w:rsid w:val="00B32FC0"/>
    <w:rsid w:val="00B33E9D"/>
    <w:rsid w:val="00B356FE"/>
    <w:rsid w:val="00B35DEE"/>
    <w:rsid w:val="00B403C1"/>
    <w:rsid w:val="00B41963"/>
    <w:rsid w:val="00B41F56"/>
    <w:rsid w:val="00B421C9"/>
    <w:rsid w:val="00B42776"/>
    <w:rsid w:val="00B4707A"/>
    <w:rsid w:val="00B475FF"/>
    <w:rsid w:val="00B5015B"/>
    <w:rsid w:val="00B52E9B"/>
    <w:rsid w:val="00B52F89"/>
    <w:rsid w:val="00B577B4"/>
    <w:rsid w:val="00B61D7B"/>
    <w:rsid w:val="00B621B4"/>
    <w:rsid w:val="00B65392"/>
    <w:rsid w:val="00B66E0C"/>
    <w:rsid w:val="00B67570"/>
    <w:rsid w:val="00B67815"/>
    <w:rsid w:val="00B740E7"/>
    <w:rsid w:val="00B74D40"/>
    <w:rsid w:val="00B763AF"/>
    <w:rsid w:val="00B842F7"/>
    <w:rsid w:val="00B848D4"/>
    <w:rsid w:val="00B84C45"/>
    <w:rsid w:val="00B8611D"/>
    <w:rsid w:val="00B8666B"/>
    <w:rsid w:val="00B86F2E"/>
    <w:rsid w:val="00B9245F"/>
    <w:rsid w:val="00B93063"/>
    <w:rsid w:val="00B94F7C"/>
    <w:rsid w:val="00BA18A5"/>
    <w:rsid w:val="00BA1C45"/>
    <w:rsid w:val="00BB2AE9"/>
    <w:rsid w:val="00BB44C2"/>
    <w:rsid w:val="00BB4C53"/>
    <w:rsid w:val="00BD4089"/>
    <w:rsid w:val="00BD4B1E"/>
    <w:rsid w:val="00BE1982"/>
    <w:rsid w:val="00BE24DF"/>
    <w:rsid w:val="00BE2937"/>
    <w:rsid w:val="00BE36B0"/>
    <w:rsid w:val="00BE4B57"/>
    <w:rsid w:val="00BF2B77"/>
    <w:rsid w:val="00BF5AD2"/>
    <w:rsid w:val="00C011C5"/>
    <w:rsid w:val="00C054E9"/>
    <w:rsid w:val="00C10071"/>
    <w:rsid w:val="00C11288"/>
    <w:rsid w:val="00C123EE"/>
    <w:rsid w:val="00C1384E"/>
    <w:rsid w:val="00C147BA"/>
    <w:rsid w:val="00C14A5E"/>
    <w:rsid w:val="00C14AAC"/>
    <w:rsid w:val="00C176A7"/>
    <w:rsid w:val="00C21125"/>
    <w:rsid w:val="00C226AF"/>
    <w:rsid w:val="00C30B21"/>
    <w:rsid w:val="00C31ED1"/>
    <w:rsid w:val="00C34406"/>
    <w:rsid w:val="00C375A1"/>
    <w:rsid w:val="00C42873"/>
    <w:rsid w:val="00C42C64"/>
    <w:rsid w:val="00C4349C"/>
    <w:rsid w:val="00C435FD"/>
    <w:rsid w:val="00C44496"/>
    <w:rsid w:val="00C46208"/>
    <w:rsid w:val="00C545D8"/>
    <w:rsid w:val="00C54A9E"/>
    <w:rsid w:val="00C55CD8"/>
    <w:rsid w:val="00C55FFF"/>
    <w:rsid w:val="00C57FE8"/>
    <w:rsid w:val="00C70439"/>
    <w:rsid w:val="00C7078C"/>
    <w:rsid w:val="00C70C67"/>
    <w:rsid w:val="00C83DD1"/>
    <w:rsid w:val="00C83EFA"/>
    <w:rsid w:val="00C94439"/>
    <w:rsid w:val="00C945B6"/>
    <w:rsid w:val="00CA63F3"/>
    <w:rsid w:val="00CB31F4"/>
    <w:rsid w:val="00CB4834"/>
    <w:rsid w:val="00CB5C1B"/>
    <w:rsid w:val="00CB72C8"/>
    <w:rsid w:val="00CC13F2"/>
    <w:rsid w:val="00CC286A"/>
    <w:rsid w:val="00CC3B8F"/>
    <w:rsid w:val="00CC3C52"/>
    <w:rsid w:val="00CC6132"/>
    <w:rsid w:val="00CD719A"/>
    <w:rsid w:val="00CF1E75"/>
    <w:rsid w:val="00CF35A1"/>
    <w:rsid w:val="00CF3AFC"/>
    <w:rsid w:val="00CF3FB3"/>
    <w:rsid w:val="00CF51AD"/>
    <w:rsid w:val="00D04B29"/>
    <w:rsid w:val="00D06321"/>
    <w:rsid w:val="00D15969"/>
    <w:rsid w:val="00D17420"/>
    <w:rsid w:val="00D20F33"/>
    <w:rsid w:val="00D2127C"/>
    <w:rsid w:val="00D21988"/>
    <w:rsid w:val="00D23661"/>
    <w:rsid w:val="00D23EFD"/>
    <w:rsid w:val="00D24640"/>
    <w:rsid w:val="00D30AFB"/>
    <w:rsid w:val="00D315FB"/>
    <w:rsid w:val="00D31995"/>
    <w:rsid w:val="00D338E8"/>
    <w:rsid w:val="00D33DD4"/>
    <w:rsid w:val="00D361EA"/>
    <w:rsid w:val="00D36A06"/>
    <w:rsid w:val="00D44FE3"/>
    <w:rsid w:val="00D50D8B"/>
    <w:rsid w:val="00D52AC3"/>
    <w:rsid w:val="00D52FEB"/>
    <w:rsid w:val="00D55AF4"/>
    <w:rsid w:val="00D64A95"/>
    <w:rsid w:val="00D73183"/>
    <w:rsid w:val="00D73501"/>
    <w:rsid w:val="00D7447D"/>
    <w:rsid w:val="00D77E92"/>
    <w:rsid w:val="00D81222"/>
    <w:rsid w:val="00D842B4"/>
    <w:rsid w:val="00D868A7"/>
    <w:rsid w:val="00D90FE1"/>
    <w:rsid w:val="00D94F94"/>
    <w:rsid w:val="00D9541D"/>
    <w:rsid w:val="00D96C97"/>
    <w:rsid w:val="00DA3B93"/>
    <w:rsid w:val="00DB5196"/>
    <w:rsid w:val="00DC4347"/>
    <w:rsid w:val="00DC45FB"/>
    <w:rsid w:val="00DD7476"/>
    <w:rsid w:val="00DE2313"/>
    <w:rsid w:val="00DE347C"/>
    <w:rsid w:val="00DE3714"/>
    <w:rsid w:val="00DE60CB"/>
    <w:rsid w:val="00DE66B5"/>
    <w:rsid w:val="00DF5434"/>
    <w:rsid w:val="00DF6AD5"/>
    <w:rsid w:val="00DF7DC6"/>
    <w:rsid w:val="00E0396B"/>
    <w:rsid w:val="00E05299"/>
    <w:rsid w:val="00E10284"/>
    <w:rsid w:val="00E10FEE"/>
    <w:rsid w:val="00E1137C"/>
    <w:rsid w:val="00E12736"/>
    <w:rsid w:val="00E13A94"/>
    <w:rsid w:val="00E14BAF"/>
    <w:rsid w:val="00E15BDB"/>
    <w:rsid w:val="00E2098C"/>
    <w:rsid w:val="00E20ECC"/>
    <w:rsid w:val="00E22438"/>
    <w:rsid w:val="00E25323"/>
    <w:rsid w:val="00E25B6B"/>
    <w:rsid w:val="00E311AA"/>
    <w:rsid w:val="00E34060"/>
    <w:rsid w:val="00E40072"/>
    <w:rsid w:val="00E41D02"/>
    <w:rsid w:val="00E435AE"/>
    <w:rsid w:val="00E4476C"/>
    <w:rsid w:val="00E4516E"/>
    <w:rsid w:val="00E5057F"/>
    <w:rsid w:val="00E532DD"/>
    <w:rsid w:val="00E5694B"/>
    <w:rsid w:val="00E60FB0"/>
    <w:rsid w:val="00E6268F"/>
    <w:rsid w:val="00E7159F"/>
    <w:rsid w:val="00E729FC"/>
    <w:rsid w:val="00E751E2"/>
    <w:rsid w:val="00E76367"/>
    <w:rsid w:val="00E77C2C"/>
    <w:rsid w:val="00E81B38"/>
    <w:rsid w:val="00E81DBA"/>
    <w:rsid w:val="00E85E1B"/>
    <w:rsid w:val="00E861B3"/>
    <w:rsid w:val="00E87CA3"/>
    <w:rsid w:val="00E92260"/>
    <w:rsid w:val="00E9347A"/>
    <w:rsid w:val="00EA184A"/>
    <w:rsid w:val="00EA34BE"/>
    <w:rsid w:val="00EA5203"/>
    <w:rsid w:val="00EA5385"/>
    <w:rsid w:val="00EA7EF9"/>
    <w:rsid w:val="00EB1947"/>
    <w:rsid w:val="00EB20E3"/>
    <w:rsid w:val="00EB310C"/>
    <w:rsid w:val="00EB5FC7"/>
    <w:rsid w:val="00EB6475"/>
    <w:rsid w:val="00EC4C15"/>
    <w:rsid w:val="00ED1814"/>
    <w:rsid w:val="00ED4760"/>
    <w:rsid w:val="00ED5243"/>
    <w:rsid w:val="00ED526F"/>
    <w:rsid w:val="00ED68B4"/>
    <w:rsid w:val="00ED7334"/>
    <w:rsid w:val="00EE415B"/>
    <w:rsid w:val="00EE5785"/>
    <w:rsid w:val="00EF0F6F"/>
    <w:rsid w:val="00EF17EB"/>
    <w:rsid w:val="00EF6D14"/>
    <w:rsid w:val="00EF70C2"/>
    <w:rsid w:val="00F013AA"/>
    <w:rsid w:val="00F01E0F"/>
    <w:rsid w:val="00F03A0D"/>
    <w:rsid w:val="00F07E27"/>
    <w:rsid w:val="00F1555B"/>
    <w:rsid w:val="00F1586C"/>
    <w:rsid w:val="00F15FA8"/>
    <w:rsid w:val="00F1699C"/>
    <w:rsid w:val="00F2242E"/>
    <w:rsid w:val="00F238DC"/>
    <w:rsid w:val="00F23A73"/>
    <w:rsid w:val="00F252D5"/>
    <w:rsid w:val="00F26263"/>
    <w:rsid w:val="00F31010"/>
    <w:rsid w:val="00F34E66"/>
    <w:rsid w:val="00F36AB2"/>
    <w:rsid w:val="00F43C3F"/>
    <w:rsid w:val="00F44AC2"/>
    <w:rsid w:val="00F45658"/>
    <w:rsid w:val="00F46ED5"/>
    <w:rsid w:val="00F50795"/>
    <w:rsid w:val="00F51EB4"/>
    <w:rsid w:val="00F551AC"/>
    <w:rsid w:val="00F55B31"/>
    <w:rsid w:val="00F604EF"/>
    <w:rsid w:val="00F6417D"/>
    <w:rsid w:val="00F655EC"/>
    <w:rsid w:val="00F74228"/>
    <w:rsid w:val="00F82EBA"/>
    <w:rsid w:val="00F84394"/>
    <w:rsid w:val="00F84A9E"/>
    <w:rsid w:val="00F8734B"/>
    <w:rsid w:val="00F93CFC"/>
    <w:rsid w:val="00F95EA4"/>
    <w:rsid w:val="00F97524"/>
    <w:rsid w:val="00FA1B26"/>
    <w:rsid w:val="00FA1EED"/>
    <w:rsid w:val="00FA3B7B"/>
    <w:rsid w:val="00FB1052"/>
    <w:rsid w:val="00FB1781"/>
    <w:rsid w:val="00FB3070"/>
    <w:rsid w:val="00FC3148"/>
    <w:rsid w:val="00FC53D0"/>
    <w:rsid w:val="00FC5C1D"/>
    <w:rsid w:val="00FC602F"/>
    <w:rsid w:val="00FC74A2"/>
    <w:rsid w:val="00FC7C18"/>
    <w:rsid w:val="00FD436B"/>
    <w:rsid w:val="00FD5707"/>
    <w:rsid w:val="00FE1BF8"/>
    <w:rsid w:val="00FE3335"/>
    <w:rsid w:val="00FE3A05"/>
    <w:rsid w:val="00FF1B7E"/>
    <w:rsid w:val="00FF221B"/>
    <w:rsid w:val="00FF2C8E"/>
    <w:rsid w:val="00FF31D6"/>
    <w:rsid w:val="00FF3E8A"/>
    <w:rsid w:val="00FF41B8"/>
    <w:rsid w:val="00FF697F"/>
    <w:rsid w:val="00FF7027"/>
    <w:rsid w:val="02117367"/>
    <w:rsid w:val="02A9D3B9"/>
    <w:rsid w:val="0379DDA2"/>
    <w:rsid w:val="0395A926"/>
    <w:rsid w:val="049BD8F1"/>
    <w:rsid w:val="053ED2FB"/>
    <w:rsid w:val="055A97D9"/>
    <w:rsid w:val="05A436EF"/>
    <w:rsid w:val="05AB2CCC"/>
    <w:rsid w:val="06676029"/>
    <w:rsid w:val="081C58FE"/>
    <w:rsid w:val="0BBED46C"/>
    <w:rsid w:val="0C3DFB7A"/>
    <w:rsid w:val="0C6FE710"/>
    <w:rsid w:val="0E6A46AB"/>
    <w:rsid w:val="0EB9FDCB"/>
    <w:rsid w:val="0F5DFF77"/>
    <w:rsid w:val="0FAF89EE"/>
    <w:rsid w:val="105C2647"/>
    <w:rsid w:val="10B91DF7"/>
    <w:rsid w:val="10C0ADE4"/>
    <w:rsid w:val="10FBE9D7"/>
    <w:rsid w:val="11BB65A4"/>
    <w:rsid w:val="11BD0679"/>
    <w:rsid w:val="11F35327"/>
    <w:rsid w:val="1277A536"/>
    <w:rsid w:val="12E7F3FE"/>
    <w:rsid w:val="136C8779"/>
    <w:rsid w:val="137EEBB8"/>
    <w:rsid w:val="1525EB3F"/>
    <w:rsid w:val="15D57685"/>
    <w:rsid w:val="16BC9E92"/>
    <w:rsid w:val="172E4217"/>
    <w:rsid w:val="1754FE45"/>
    <w:rsid w:val="183071E6"/>
    <w:rsid w:val="1915F8E8"/>
    <w:rsid w:val="19BD123B"/>
    <w:rsid w:val="19F43F54"/>
    <w:rsid w:val="1BEB2D3F"/>
    <w:rsid w:val="1BED18A9"/>
    <w:rsid w:val="1D5084F0"/>
    <w:rsid w:val="1D853C5E"/>
    <w:rsid w:val="1DC14482"/>
    <w:rsid w:val="202C53BF"/>
    <w:rsid w:val="208EC2C5"/>
    <w:rsid w:val="212E8E4F"/>
    <w:rsid w:val="217CFD6A"/>
    <w:rsid w:val="22822EAA"/>
    <w:rsid w:val="2297FD52"/>
    <w:rsid w:val="22CA5EB0"/>
    <w:rsid w:val="2449F34A"/>
    <w:rsid w:val="254A18A6"/>
    <w:rsid w:val="25A9EF14"/>
    <w:rsid w:val="265A85C7"/>
    <w:rsid w:val="2AFD72E9"/>
    <w:rsid w:val="2B432A23"/>
    <w:rsid w:val="2B65FBB9"/>
    <w:rsid w:val="2C62C959"/>
    <w:rsid w:val="2C999CAB"/>
    <w:rsid w:val="2CB37611"/>
    <w:rsid w:val="2D27A272"/>
    <w:rsid w:val="2D2F5ADE"/>
    <w:rsid w:val="2DD915D1"/>
    <w:rsid w:val="2E6E304B"/>
    <w:rsid w:val="2EFF0183"/>
    <w:rsid w:val="2F6482F4"/>
    <w:rsid w:val="30B56FB3"/>
    <w:rsid w:val="30E9F469"/>
    <w:rsid w:val="31BFC8B1"/>
    <w:rsid w:val="326FFB15"/>
    <w:rsid w:val="3305A3E2"/>
    <w:rsid w:val="330F1F2A"/>
    <w:rsid w:val="33CEC733"/>
    <w:rsid w:val="33FD2169"/>
    <w:rsid w:val="34FE649F"/>
    <w:rsid w:val="3665ACF8"/>
    <w:rsid w:val="3720905C"/>
    <w:rsid w:val="38A567C4"/>
    <w:rsid w:val="38A855A0"/>
    <w:rsid w:val="3911AF50"/>
    <w:rsid w:val="393B00CD"/>
    <w:rsid w:val="39D0FA19"/>
    <w:rsid w:val="3B2021A0"/>
    <w:rsid w:val="3DEA5EF0"/>
    <w:rsid w:val="3E4B4CCB"/>
    <w:rsid w:val="3E54F8B3"/>
    <w:rsid w:val="3F791DBF"/>
    <w:rsid w:val="44E42B0F"/>
    <w:rsid w:val="453509DB"/>
    <w:rsid w:val="45674CBF"/>
    <w:rsid w:val="478E4E02"/>
    <w:rsid w:val="47B6B181"/>
    <w:rsid w:val="485D2B58"/>
    <w:rsid w:val="48963A60"/>
    <w:rsid w:val="4A599A0A"/>
    <w:rsid w:val="4BCE4AD0"/>
    <w:rsid w:val="4CBC3D8D"/>
    <w:rsid w:val="4DADE330"/>
    <w:rsid w:val="4DE8C9DA"/>
    <w:rsid w:val="4EA06B79"/>
    <w:rsid w:val="5061EBAA"/>
    <w:rsid w:val="51446B6A"/>
    <w:rsid w:val="535DB4E2"/>
    <w:rsid w:val="56585161"/>
    <w:rsid w:val="56E3C2C0"/>
    <w:rsid w:val="5700C6CD"/>
    <w:rsid w:val="5A7BD57F"/>
    <w:rsid w:val="5ACEA796"/>
    <w:rsid w:val="5BB58B8A"/>
    <w:rsid w:val="5BF6FF9F"/>
    <w:rsid w:val="5C0B44DF"/>
    <w:rsid w:val="5CBD9ED1"/>
    <w:rsid w:val="5D24D477"/>
    <w:rsid w:val="5D7D60F9"/>
    <w:rsid w:val="5E636346"/>
    <w:rsid w:val="5ED9B4AC"/>
    <w:rsid w:val="60183239"/>
    <w:rsid w:val="6141DAB3"/>
    <w:rsid w:val="618D5D45"/>
    <w:rsid w:val="62D82892"/>
    <w:rsid w:val="636526F1"/>
    <w:rsid w:val="63CE389F"/>
    <w:rsid w:val="64C9AB67"/>
    <w:rsid w:val="661604E5"/>
    <w:rsid w:val="667662B1"/>
    <w:rsid w:val="66B1C3EE"/>
    <w:rsid w:val="66C930A9"/>
    <w:rsid w:val="66CE5F56"/>
    <w:rsid w:val="66F3D32C"/>
    <w:rsid w:val="677BACFC"/>
    <w:rsid w:val="6828882F"/>
    <w:rsid w:val="684583D6"/>
    <w:rsid w:val="6865010A"/>
    <w:rsid w:val="68AE7972"/>
    <w:rsid w:val="6B21BFE4"/>
    <w:rsid w:val="6D760D1F"/>
    <w:rsid w:val="6D8835F0"/>
    <w:rsid w:val="6E4D78C8"/>
    <w:rsid w:val="6E913DD9"/>
    <w:rsid w:val="6EA0BA3D"/>
    <w:rsid w:val="6F2E68C6"/>
    <w:rsid w:val="7086E189"/>
    <w:rsid w:val="72326620"/>
    <w:rsid w:val="737107E5"/>
    <w:rsid w:val="7444ACD6"/>
    <w:rsid w:val="74BC0527"/>
    <w:rsid w:val="74E60034"/>
    <w:rsid w:val="7603BEB4"/>
    <w:rsid w:val="760A4DA0"/>
    <w:rsid w:val="7693A9AB"/>
    <w:rsid w:val="76D04E7A"/>
    <w:rsid w:val="77355071"/>
    <w:rsid w:val="77EFDD86"/>
    <w:rsid w:val="78C75D34"/>
    <w:rsid w:val="7928975C"/>
    <w:rsid w:val="7A3D3813"/>
    <w:rsid w:val="7AC6FAC1"/>
    <w:rsid w:val="7ACB548D"/>
    <w:rsid w:val="7ADF51E7"/>
    <w:rsid w:val="7BB5C8AC"/>
    <w:rsid w:val="7BFB9D1C"/>
    <w:rsid w:val="7C29AB4B"/>
    <w:rsid w:val="7C59D7DB"/>
    <w:rsid w:val="7C86533F"/>
    <w:rsid w:val="7CF59F75"/>
    <w:rsid w:val="7D0C3C99"/>
    <w:rsid w:val="7EA25C1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A53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hr" w:eastAsia="hr-H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Text1"/>
    <w:link w:val="Heading1Char"/>
    <w:uiPriority w:val="9"/>
    <w:qFormat/>
    <w:pPr>
      <w:keepNext/>
      <w:numPr>
        <w:numId w:val="17"/>
      </w:numPr>
      <w:spacing w:before="360" w:after="120" w:line="240" w:lineRule="auto"/>
      <w:jc w:val="both"/>
      <w:outlineLvl w:val="0"/>
    </w:pPr>
    <w:rPr>
      <w:rFonts w:ascii="Times New Roman" w:eastAsiaTheme="majorEastAsia" w:hAnsi="Times New Roman" w:cs="Times New Roman"/>
      <w:b/>
      <w:smallCaps/>
      <w:sz w:val="24"/>
    </w:rPr>
  </w:style>
  <w:style w:type="paragraph" w:styleId="Heading2">
    <w:name w:val="heading 2"/>
    <w:basedOn w:val="Normal"/>
    <w:next w:val="Text1"/>
    <w:link w:val="Heading2Char"/>
    <w:uiPriority w:val="9"/>
    <w:semiHidden/>
    <w:unhideWhenUsed/>
    <w:qFormat/>
    <w:pPr>
      <w:keepNext/>
      <w:numPr>
        <w:ilvl w:val="1"/>
        <w:numId w:val="17"/>
      </w:numPr>
      <w:spacing w:before="120" w:after="120" w:line="240" w:lineRule="auto"/>
      <w:jc w:val="both"/>
      <w:outlineLvl w:val="1"/>
    </w:pPr>
    <w:rPr>
      <w:rFonts w:ascii="Times New Roman" w:eastAsiaTheme="majorEastAsia" w:hAnsi="Times New Roman" w:cs="Times New Roman"/>
      <w:b/>
      <w:sz w:val="24"/>
    </w:rPr>
  </w:style>
  <w:style w:type="paragraph" w:styleId="Heading3">
    <w:name w:val="heading 3"/>
    <w:basedOn w:val="Normal"/>
    <w:next w:val="Text1"/>
    <w:link w:val="Heading3Char"/>
    <w:uiPriority w:val="9"/>
    <w:semiHidden/>
    <w:unhideWhenUsed/>
    <w:qFormat/>
    <w:pPr>
      <w:keepNext/>
      <w:numPr>
        <w:ilvl w:val="2"/>
        <w:numId w:val="17"/>
      </w:numPr>
      <w:spacing w:before="120" w:after="120" w:line="240" w:lineRule="auto"/>
      <w:jc w:val="both"/>
      <w:outlineLvl w:val="2"/>
    </w:pPr>
    <w:rPr>
      <w:rFonts w:ascii="Times New Roman" w:eastAsiaTheme="majorEastAsia" w:hAnsi="Times New Roman" w:cs="Times New Roman"/>
      <w:i/>
      <w:sz w:val="24"/>
    </w:rPr>
  </w:style>
  <w:style w:type="paragraph" w:styleId="Heading4">
    <w:name w:val="heading 4"/>
    <w:basedOn w:val="Normal"/>
    <w:next w:val="Text1"/>
    <w:link w:val="Heading4Char"/>
    <w:uiPriority w:val="9"/>
    <w:semiHidden/>
    <w:unhideWhenUsed/>
    <w:qFormat/>
    <w:pPr>
      <w:keepNext/>
      <w:numPr>
        <w:ilvl w:val="3"/>
        <w:numId w:val="17"/>
      </w:numPr>
      <w:spacing w:before="120" w:after="120" w:line="240" w:lineRule="auto"/>
      <w:jc w:val="both"/>
      <w:outlineLvl w:val="3"/>
    </w:pPr>
    <w:rPr>
      <w:rFonts w:ascii="Times New Roman" w:eastAsiaTheme="majorEastAsia" w:hAnsi="Times New Roman" w:cs="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imes New Roman"/>
      <w:b/>
      <w:smallCaps/>
      <w:sz w:val="24"/>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sz w:val="24"/>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sz w:val="24"/>
    </w:rPr>
  </w:style>
  <w:style w:type="character" w:styleId="CommentReference">
    <w:name w:val="annotation reference"/>
    <w:basedOn w:val="DefaultParagraphFont"/>
    <w:uiPriority w:val="99"/>
    <w:unhideWhenUsed/>
    <w:rPr>
      <w:sz w:val="16"/>
    </w:rPr>
  </w:style>
  <w:style w:type="paragraph" w:styleId="CommentText">
    <w:name w:val="annotation text"/>
    <w:basedOn w:val="Normal"/>
    <w:link w:val="CommentTextChar"/>
    <w:uiPriority w:val="99"/>
    <w:unhideWhenUsed/>
    <w:pPr>
      <w:spacing w:before="120" w:after="120" w:line="240" w:lineRule="auto"/>
      <w:jc w:val="both"/>
    </w:pPr>
    <w:rPr>
      <w:rFonts w:ascii="Times New Roman" w:hAnsi="Times New Roman" w:cs="Times New Roman"/>
      <w:sz w:val="20"/>
    </w:rPr>
  </w:style>
  <w:style w:type="character" w:customStyle="1" w:styleId="CommentTextChar">
    <w:name w:val="Comment Text Char"/>
    <w:basedOn w:val="DefaultParagraphFont"/>
    <w:link w:val="CommentText"/>
    <w:uiPriority w:val="99"/>
    <w:rPr>
      <w:rFonts w:ascii="Times New Roman" w:hAnsi="Times New Roman" w:cs="Times New Roman"/>
      <w:sz w:val="20"/>
    </w:rPr>
  </w:style>
  <w:style w:type="paragraph" w:styleId="ListParagraph">
    <w:name w:val="List Paragraph"/>
    <w:aliases w:val="numbered list,2,OBC Bullet,Normal 1,Task Body,Viñetas (Inicio Parrafo),Paragrafo elenco,3 Txt tabla,Zerrenda-paragrafoa,Fiche List Paragraph,Dot pt,F5 List Paragraph,List Paragraph1,No Spacing1,List Paragraph Char Char Char,Indicator Text"/>
    <w:basedOn w:val="Normal"/>
    <w:link w:val="ListParagraphChar"/>
    <w:uiPriority w:val="34"/>
    <w:qFormat/>
    <w:pPr>
      <w:spacing w:after="160" w:line="259" w:lineRule="auto"/>
      <w:ind w:left="720"/>
      <w:contextualSpacing/>
    </w:pPr>
  </w:style>
  <w:style w:type="character" w:customStyle="1" w:styleId="ListParagraphChar">
    <w:name w:val="List Paragraph Char"/>
    <w:aliases w:val="numbered list Char,2 Char,OBC Bullet Char,Normal 1 Char,Task Body Char,Viñetas (Inicio Parrafo) Char,Paragrafo elenco Char,3 Txt tabla Char,Zerrenda-paragrafoa Char,Fiche List Paragraph Char,Dot pt Char,F5 List Paragraph Char"/>
    <w:basedOn w:val="DefaultParagraphFont"/>
    <w:link w:val="ListParagraph"/>
    <w:uiPriority w:val="34"/>
    <w:qFormat/>
    <w:locked/>
  </w:style>
  <w:style w:type="character" w:styleId="IntenseEmphasis">
    <w:name w:val="Intense Emphasis"/>
    <w:basedOn w:val="DefaultParagraphFont"/>
    <w:uiPriority w:val="21"/>
    <w:qFormat/>
    <w:rPr>
      <w:i/>
      <w:color w:val="4F81BD" w:themeColor="accent1"/>
    </w:rPr>
  </w:style>
  <w:style w:type="paragraph" w:styleId="BalloonText">
    <w:name w:val="Balloon Text"/>
    <w:basedOn w:val="Normal"/>
    <w:link w:val="BalloonTextChar"/>
    <w:uiPriority w:val="99"/>
    <w:semiHidden/>
    <w:unhideWhenUsed/>
    <w:pPr>
      <w:spacing w:after="0" w:line="240" w:lineRule="auto"/>
      <w:jc w:val="both"/>
    </w:pPr>
    <w:rPr>
      <w:rFonts w:ascii="Segoe UI" w:hAnsi="Segoe UI" w:cs="Segoe UI"/>
      <w:sz w:val="18"/>
    </w:rPr>
  </w:style>
  <w:style w:type="character" w:customStyle="1" w:styleId="BalloonTextChar">
    <w:name w:val="Balloon Text Char"/>
    <w:basedOn w:val="DefaultParagraphFont"/>
    <w:link w:val="BalloonText"/>
    <w:uiPriority w:val="99"/>
    <w:semiHidden/>
    <w:rPr>
      <w:rFonts w:ascii="Segoe UI" w:hAnsi="Segoe UI" w:cs="Segoe UI"/>
      <w:sz w:val="18"/>
    </w:rPr>
  </w:style>
  <w:style w:type="paragraph" w:styleId="ListBullet">
    <w:name w:val="List Bullet"/>
    <w:basedOn w:val="Normal"/>
    <w:uiPriority w:val="99"/>
    <w:semiHidden/>
    <w:unhideWhenUsed/>
    <w:pPr>
      <w:numPr>
        <w:numId w:val="1"/>
      </w:numPr>
      <w:spacing w:before="120" w:after="120" w:line="240" w:lineRule="auto"/>
      <w:contextualSpacing/>
      <w:jc w:val="both"/>
    </w:pPr>
    <w:rPr>
      <w:rFonts w:ascii="Times New Roman" w:hAnsi="Times New Roman" w:cs="Times New Roman"/>
      <w:sz w:val="24"/>
    </w:rPr>
  </w:style>
  <w:style w:type="paragraph" w:styleId="ListBullet2">
    <w:name w:val="List Bullet 2"/>
    <w:basedOn w:val="Normal"/>
    <w:uiPriority w:val="99"/>
    <w:semiHidden/>
    <w:unhideWhenUsed/>
    <w:pPr>
      <w:numPr>
        <w:numId w:val="2"/>
      </w:numPr>
      <w:spacing w:before="120" w:after="120" w:line="240" w:lineRule="auto"/>
      <w:contextualSpacing/>
      <w:jc w:val="both"/>
    </w:pPr>
    <w:rPr>
      <w:rFonts w:ascii="Times New Roman" w:hAnsi="Times New Roman" w:cs="Times New Roman"/>
      <w:sz w:val="24"/>
    </w:rPr>
  </w:style>
  <w:style w:type="paragraph" w:styleId="ListBullet3">
    <w:name w:val="List Bullet 3"/>
    <w:basedOn w:val="Normal"/>
    <w:uiPriority w:val="99"/>
    <w:semiHidden/>
    <w:unhideWhenUsed/>
    <w:pPr>
      <w:numPr>
        <w:numId w:val="3"/>
      </w:numPr>
      <w:spacing w:before="120" w:after="120" w:line="240" w:lineRule="auto"/>
      <w:contextualSpacing/>
      <w:jc w:val="both"/>
    </w:pPr>
    <w:rPr>
      <w:rFonts w:ascii="Times New Roman" w:hAnsi="Times New Roman" w:cs="Times New Roman"/>
      <w:sz w:val="24"/>
    </w:rPr>
  </w:style>
  <w:style w:type="paragraph" w:styleId="ListBullet4">
    <w:name w:val="List Bullet 4"/>
    <w:basedOn w:val="Normal"/>
    <w:uiPriority w:val="99"/>
    <w:semiHidden/>
    <w:unhideWhenUsed/>
    <w:pPr>
      <w:numPr>
        <w:numId w:val="4"/>
      </w:numPr>
      <w:spacing w:before="120" w:after="120" w:line="240" w:lineRule="auto"/>
      <w:contextualSpacing/>
      <w:jc w:val="both"/>
    </w:pPr>
    <w:rPr>
      <w:rFonts w:ascii="Times New Roman" w:hAnsi="Times New Roman" w:cs="Times New Roman"/>
      <w:sz w:val="24"/>
    </w:rPr>
  </w:style>
  <w:style w:type="paragraph" w:styleId="CommentSubject">
    <w:name w:val="annotation subject"/>
    <w:basedOn w:val="CommentText"/>
    <w:next w:val="CommentText"/>
    <w:link w:val="CommentSubjectChar"/>
    <w:uiPriority w:val="99"/>
    <w:semiHidden/>
    <w:unhideWhenUsed/>
    <w:rPr>
      <w:b/>
    </w:rPr>
  </w:style>
  <w:style w:type="character" w:customStyle="1" w:styleId="CommentSubjectChar">
    <w:name w:val="Comment Subject Char"/>
    <w:basedOn w:val="CommentTextChar"/>
    <w:link w:val="CommentSubject"/>
    <w:uiPriority w:val="99"/>
    <w:semiHidden/>
    <w:rPr>
      <w:rFonts w:ascii="Times New Roman" w:hAnsi="Times New Roman" w:cs="Times New Roman"/>
      <w:b/>
      <w:sz w:val="20"/>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Caption">
    <w:name w:val="caption"/>
    <w:basedOn w:val="Normal"/>
    <w:next w:val="Normal"/>
    <w:uiPriority w:val="35"/>
    <w:semiHidden/>
    <w:unhideWhenUsed/>
    <w:qFormat/>
    <w:pPr>
      <w:spacing w:line="240" w:lineRule="auto"/>
      <w:jc w:val="both"/>
    </w:pPr>
    <w:rPr>
      <w:rFonts w:ascii="Times New Roman" w:hAnsi="Times New Roman" w:cs="Times New Roman"/>
      <w:i/>
      <w:color w:val="1F497D" w:themeColor="text2"/>
      <w:sz w:val="18"/>
    </w:rPr>
  </w:style>
  <w:style w:type="paragraph" w:styleId="TableofFigures">
    <w:name w:val="table of figures"/>
    <w:basedOn w:val="Normal"/>
    <w:next w:val="Normal"/>
    <w:uiPriority w:val="99"/>
    <w:semiHidden/>
    <w:unhideWhenUsed/>
    <w:pPr>
      <w:spacing w:before="120" w:after="0" w:line="240" w:lineRule="auto"/>
      <w:jc w:val="both"/>
    </w:pPr>
    <w:rPr>
      <w:rFonts w:ascii="Times New Roman" w:hAnsi="Times New Roman" w:cs="Times New Roman"/>
      <w:sz w:val="24"/>
    </w:rPr>
  </w:style>
  <w:style w:type="paragraph" w:styleId="ListNumber">
    <w:name w:val="List Number"/>
    <w:basedOn w:val="Normal"/>
    <w:uiPriority w:val="99"/>
    <w:semiHidden/>
    <w:unhideWhenUsed/>
    <w:pPr>
      <w:numPr>
        <w:numId w:val="8"/>
      </w:numPr>
      <w:spacing w:before="120" w:after="120" w:line="240" w:lineRule="auto"/>
      <w:contextualSpacing/>
      <w:jc w:val="both"/>
    </w:pPr>
    <w:rPr>
      <w:rFonts w:ascii="Times New Roman" w:hAnsi="Times New Roman" w:cs="Times New Roman"/>
      <w:sz w:val="24"/>
    </w:rPr>
  </w:style>
  <w:style w:type="paragraph" w:styleId="ListNumber2">
    <w:name w:val="List Number 2"/>
    <w:basedOn w:val="Normal"/>
    <w:uiPriority w:val="99"/>
    <w:semiHidden/>
    <w:unhideWhenUsed/>
    <w:pPr>
      <w:numPr>
        <w:numId w:val="9"/>
      </w:numPr>
      <w:spacing w:before="120" w:after="120" w:line="240" w:lineRule="auto"/>
      <w:contextualSpacing/>
      <w:jc w:val="both"/>
    </w:pPr>
    <w:rPr>
      <w:rFonts w:ascii="Times New Roman" w:hAnsi="Times New Roman" w:cs="Times New Roman"/>
      <w:sz w:val="24"/>
    </w:rPr>
  </w:style>
  <w:style w:type="paragraph" w:styleId="ListNumber3">
    <w:name w:val="List Number 3"/>
    <w:basedOn w:val="Normal"/>
    <w:uiPriority w:val="99"/>
    <w:semiHidden/>
    <w:unhideWhenUsed/>
    <w:pPr>
      <w:numPr>
        <w:numId w:val="10"/>
      </w:numPr>
      <w:spacing w:before="120" w:after="120" w:line="240" w:lineRule="auto"/>
      <w:contextualSpacing/>
      <w:jc w:val="both"/>
    </w:pPr>
    <w:rPr>
      <w:rFonts w:ascii="Times New Roman" w:hAnsi="Times New Roman" w:cs="Times New Roman"/>
      <w:sz w:val="24"/>
    </w:rPr>
  </w:style>
  <w:style w:type="paragraph" w:styleId="ListNumber4">
    <w:name w:val="List Number 4"/>
    <w:basedOn w:val="Normal"/>
    <w:uiPriority w:val="99"/>
    <w:semiHidden/>
    <w:unhideWhenUsed/>
    <w:pPr>
      <w:numPr>
        <w:numId w:val="11"/>
      </w:numPr>
      <w:spacing w:before="120" w:after="120" w:line="240" w:lineRule="auto"/>
      <w:contextualSpacing/>
      <w:jc w:val="both"/>
    </w:pPr>
    <w:rPr>
      <w:rFonts w:ascii="Times New Roman" w:hAnsi="Times New Roman" w:cs="Times New Roman"/>
      <w:sz w:val="24"/>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after="120" w:line="240" w:lineRule="auto"/>
      <w:jc w:val="both"/>
    </w:pPr>
    <w:rPr>
      <w:rFonts w:ascii="Times New Roman" w:hAnsi="Times New Roman" w:cs="Times New Roman"/>
      <w:sz w:val="24"/>
    </w:r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har">
    <w:name w:val="Footer Char"/>
    <w:basedOn w:val="DefaultParagraphFont"/>
    <w:link w:val="Footer"/>
    <w:uiPriority w:val="99"/>
    <w:rPr>
      <w:rFonts w:ascii="Times New Roman" w:hAnsi="Times New Roman" w:cs="Times New Roman"/>
      <w:sz w:val="24"/>
    </w:rPr>
  </w:style>
  <w:style w:type="paragraph" w:styleId="FootnoteText">
    <w:name w:val="footnote text"/>
    <w:aliases w:val="Char1,Footnote Text Char3 Char,Footnote Text Char1 Char1 Char,Footnote Text Char2 Char Char Char,Footnote Text Char1 Char1 Char Char Char,Footnote Text Char2 Char Char Char Char Char,Footnote Text Char3,fn,Plonk,o,f,Ch,single space,ft,Plo"/>
    <w:basedOn w:val="Normal"/>
    <w:link w:val="FootnoteTextChar"/>
    <w:uiPriority w:val="99"/>
    <w:unhideWhenUsed/>
    <w:qFormat/>
    <w:pPr>
      <w:spacing w:after="0" w:line="240" w:lineRule="auto"/>
      <w:ind w:left="720" w:hanging="720"/>
      <w:jc w:val="both"/>
    </w:pPr>
    <w:rPr>
      <w:rFonts w:ascii="Times New Roman" w:hAnsi="Times New Roman" w:cs="Times New Roman"/>
      <w:sz w:val="20"/>
    </w:rPr>
  </w:style>
  <w:style w:type="character" w:customStyle="1" w:styleId="FootnoteTextChar">
    <w:name w:val="Footnote Text Char"/>
    <w:aliases w:val="Char1 Char,Footnote Text Char3 Char Char,Footnote Text Char1 Char1 Char Char,Footnote Text Char2 Char Char Char Char,Footnote Text Char1 Char1 Char Char Char Char,Footnote Text Char2 Char Char Char Char Char Char,fn Char,Plonk Char"/>
    <w:basedOn w:val="DefaultParagraphFont"/>
    <w:link w:val="FootnoteText"/>
    <w:uiPriority w:val="99"/>
    <w:rPr>
      <w:rFonts w:ascii="Times New Roman" w:hAnsi="Times New Roman" w:cs="Times New Roman"/>
      <w:sz w:val="20"/>
    </w:rPr>
  </w:style>
  <w:style w:type="paragraph" w:styleId="TOCHeading">
    <w:name w:val="TOC Heading"/>
    <w:basedOn w:val="Normal"/>
    <w:next w:val="Normal"/>
    <w:uiPriority w:val="39"/>
    <w:semiHidden/>
    <w:unhideWhenUsed/>
    <w:qFormat/>
    <w:pPr>
      <w:spacing w:before="120" w:after="240" w:line="240" w:lineRule="auto"/>
      <w:jc w:val="center"/>
    </w:pPr>
    <w:rPr>
      <w:rFonts w:ascii="Times New Roman" w:hAnsi="Times New Roman" w:cs="Times New Roman"/>
      <w:b/>
      <w:sz w:val="28"/>
    </w:rPr>
  </w:style>
  <w:style w:type="paragraph" w:styleId="TOC1">
    <w:name w:val="toc 1"/>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2">
    <w:name w:val="toc 2"/>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3">
    <w:name w:val="toc 3"/>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4">
    <w:name w:val="toc 4"/>
    <w:basedOn w:val="Normal"/>
    <w:next w:val="Normal"/>
    <w:uiPriority w:val="39"/>
    <w:semiHidden/>
    <w:unhideWhenUsed/>
    <w:pPr>
      <w:tabs>
        <w:tab w:val="right" w:leader="dot" w:pos="9071"/>
      </w:tabs>
      <w:spacing w:before="60" w:after="120" w:line="240" w:lineRule="auto"/>
      <w:ind w:left="850" w:hanging="850"/>
    </w:pPr>
    <w:rPr>
      <w:rFonts w:ascii="Times New Roman" w:hAnsi="Times New Roman" w:cs="Times New Roman"/>
      <w:sz w:val="24"/>
    </w:rPr>
  </w:style>
  <w:style w:type="paragraph" w:styleId="TOC5">
    <w:name w:val="toc 5"/>
    <w:basedOn w:val="Normal"/>
    <w:next w:val="Normal"/>
    <w:uiPriority w:val="39"/>
    <w:semiHidden/>
    <w:unhideWhenUsed/>
    <w:pPr>
      <w:tabs>
        <w:tab w:val="right" w:leader="dot" w:pos="9071"/>
      </w:tabs>
      <w:spacing w:before="300" w:after="120" w:line="240" w:lineRule="auto"/>
    </w:pPr>
    <w:rPr>
      <w:rFonts w:ascii="Times New Roman" w:hAnsi="Times New Roman" w:cs="Times New Roman"/>
      <w:sz w:val="24"/>
    </w:rPr>
  </w:style>
  <w:style w:type="paragraph" w:styleId="TOC6">
    <w:name w:val="toc 6"/>
    <w:basedOn w:val="Normal"/>
    <w:next w:val="Normal"/>
    <w:uiPriority w:val="39"/>
    <w:semiHidden/>
    <w:unhideWhenUsed/>
    <w:pPr>
      <w:tabs>
        <w:tab w:val="right" w:leader="dot" w:pos="9071"/>
      </w:tabs>
      <w:spacing w:before="240" w:after="120" w:line="240" w:lineRule="auto"/>
    </w:pPr>
    <w:rPr>
      <w:rFonts w:ascii="Times New Roman" w:hAnsi="Times New Roman" w:cs="Times New Roman"/>
      <w:sz w:val="24"/>
    </w:rPr>
  </w:style>
  <w:style w:type="paragraph" w:styleId="TOC7">
    <w:name w:val="toc 7"/>
    <w:basedOn w:val="Normal"/>
    <w:next w:val="Normal"/>
    <w:uiPriority w:val="39"/>
    <w:semiHidden/>
    <w:unhideWhenUsed/>
    <w:pPr>
      <w:tabs>
        <w:tab w:val="right" w:leader="dot" w:pos="9071"/>
      </w:tabs>
      <w:spacing w:before="180" w:after="120" w:line="240" w:lineRule="auto"/>
    </w:pPr>
    <w:rPr>
      <w:rFonts w:ascii="Times New Roman" w:hAnsi="Times New Roman" w:cs="Times New Roman"/>
      <w:sz w:val="24"/>
    </w:rPr>
  </w:style>
  <w:style w:type="paragraph" w:styleId="TOC8">
    <w:name w:val="toc 8"/>
    <w:basedOn w:val="Normal"/>
    <w:next w:val="Normal"/>
    <w:uiPriority w:val="39"/>
    <w:semiHidden/>
    <w:unhideWhenUsed/>
    <w:pPr>
      <w:tabs>
        <w:tab w:val="right" w:leader="dot" w:pos="9071"/>
      </w:tabs>
      <w:spacing w:before="120" w:after="120" w:line="240" w:lineRule="auto"/>
    </w:pPr>
    <w:rPr>
      <w:rFonts w:ascii="Times New Roman" w:hAnsi="Times New Roman" w:cs="Times New Roman"/>
      <w:sz w:val="24"/>
    </w:rPr>
  </w:style>
  <w:style w:type="paragraph" w:styleId="TOC9">
    <w:name w:val="toc 9"/>
    <w:basedOn w:val="Normal"/>
    <w:next w:val="Normal"/>
    <w:uiPriority w:val="39"/>
    <w:semiHidden/>
    <w:unhideWhenUsed/>
    <w:pPr>
      <w:tabs>
        <w:tab w:val="right" w:leader="dot" w:pos="9071"/>
      </w:tabs>
      <w:spacing w:before="120" w:after="120" w:line="240" w:lineRule="auto"/>
      <w:jc w:val="both"/>
    </w:pPr>
    <w:rPr>
      <w:rFonts w:ascii="Times New Roman" w:hAnsi="Times New Roman" w:cs="Times New Roman"/>
      <w:sz w:val="24"/>
    </w:rPr>
  </w:style>
  <w:style w:type="paragraph" w:customStyle="1" w:styleId="HeaderLandscape">
    <w:name w:val="HeaderLandscape"/>
    <w:basedOn w:val="Normal"/>
    <w:pPr>
      <w:tabs>
        <w:tab w:val="center" w:pos="7285"/>
        <w:tab w:val="right" w:pos="14003"/>
      </w:tabs>
      <w:spacing w:after="120" w:line="240" w:lineRule="auto"/>
      <w:jc w:val="both"/>
    </w:pPr>
    <w:rPr>
      <w:rFonts w:ascii="Times New Roman" w:hAnsi="Times New Roman" w:cs="Times New Roman"/>
      <w:sz w:val="24"/>
    </w:rPr>
  </w:style>
  <w:style w:type="paragraph" w:customStyle="1" w:styleId="FooterLandscape">
    <w:name w:val="FooterLandscape"/>
    <w:basedOn w:val="Normal"/>
    <w:pPr>
      <w:tabs>
        <w:tab w:val="center" w:pos="7285"/>
        <w:tab w:val="center" w:pos="10913"/>
        <w:tab w:val="right" w:pos="15137"/>
      </w:tabs>
      <w:spacing w:before="360" w:after="0" w:line="240" w:lineRule="auto"/>
      <w:ind w:left="-567" w:right="-567"/>
    </w:pPr>
    <w:rPr>
      <w:rFonts w:ascii="Times New Roman" w:hAnsi="Times New Roman" w:cs="Times New Roman"/>
      <w:sz w:val="24"/>
    </w:r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paragraph" w:customStyle="1" w:styleId="HeaderSensitivityRight">
    <w:name w:val="Header Sensitivity Right"/>
    <w:basedOn w:val="Normal"/>
    <w:rsid w:val="00AE28B1"/>
    <w:pPr>
      <w:spacing w:after="120" w:line="240" w:lineRule="auto"/>
      <w:jc w:val="right"/>
    </w:pPr>
    <w:rPr>
      <w:rFonts w:ascii="Times New Roman" w:hAnsi="Times New Roman" w:cs="Times New Roman"/>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paragraph" w:customStyle="1" w:styleId="Text1">
    <w:name w:val="Text 1"/>
    <w:basedOn w:val="Normal"/>
    <w:pPr>
      <w:spacing w:before="120" w:after="120" w:line="240" w:lineRule="auto"/>
      <w:ind w:left="850"/>
      <w:jc w:val="both"/>
    </w:pPr>
    <w:rPr>
      <w:rFonts w:ascii="Times New Roman" w:hAnsi="Times New Roman" w:cs="Times New Roman"/>
      <w:sz w:val="24"/>
    </w:rPr>
  </w:style>
  <w:style w:type="paragraph" w:customStyle="1" w:styleId="Text2">
    <w:name w:val="Text 2"/>
    <w:basedOn w:val="Normal"/>
    <w:pPr>
      <w:spacing w:before="120" w:after="120" w:line="240" w:lineRule="auto"/>
      <w:ind w:left="1417"/>
      <w:jc w:val="both"/>
    </w:pPr>
    <w:rPr>
      <w:rFonts w:ascii="Times New Roman" w:hAnsi="Times New Roman" w:cs="Times New Roman"/>
      <w:sz w:val="24"/>
    </w:rPr>
  </w:style>
  <w:style w:type="paragraph" w:customStyle="1" w:styleId="Text3">
    <w:name w:val="Text 3"/>
    <w:basedOn w:val="Normal"/>
    <w:pPr>
      <w:spacing w:before="120" w:after="120" w:line="240" w:lineRule="auto"/>
      <w:ind w:left="1984"/>
      <w:jc w:val="both"/>
    </w:pPr>
    <w:rPr>
      <w:rFonts w:ascii="Times New Roman" w:hAnsi="Times New Roman" w:cs="Times New Roman"/>
      <w:sz w:val="24"/>
    </w:rPr>
  </w:style>
  <w:style w:type="paragraph" w:customStyle="1" w:styleId="Text4">
    <w:name w:val="Text 4"/>
    <w:basedOn w:val="Normal"/>
    <w:pPr>
      <w:spacing w:before="120" w:after="120" w:line="240" w:lineRule="auto"/>
      <w:ind w:left="2551"/>
      <w:jc w:val="both"/>
    </w:pPr>
    <w:rPr>
      <w:rFonts w:ascii="Times New Roman" w:hAnsi="Times New Roman" w:cs="Times New Roman"/>
      <w:sz w:val="24"/>
    </w:rPr>
  </w:style>
  <w:style w:type="paragraph" w:customStyle="1" w:styleId="NormalCentered">
    <w:name w:val="Normal Centered"/>
    <w:basedOn w:val="Normal"/>
    <w:pPr>
      <w:spacing w:before="120" w:after="120" w:line="240" w:lineRule="auto"/>
      <w:jc w:val="center"/>
    </w:pPr>
    <w:rPr>
      <w:rFonts w:ascii="Times New Roman" w:hAnsi="Times New Roman" w:cs="Times New Roman"/>
      <w:sz w:val="24"/>
    </w:rPr>
  </w:style>
  <w:style w:type="paragraph" w:customStyle="1" w:styleId="NormalLeft">
    <w:name w:val="Normal Left"/>
    <w:basedOn w:val="Normal"/>
    <w:pPr>
      <w:spacing w:before="120" w:after="120" w:line="240" w:lineRule="auto"/>
    </w:pPr>
    <w:rPr>
      <w:rFonts w:ascii="Times New Roman" w:hAnsi="Times New Roman" w:cs="Times New Roman"/>
      <w:sz w:val="24"/>
    </w:rPr>
  </w:style>
  <w:style w:type="paragraph" w:customStyle="1" w:styleId="NormalRight">
    <w:name w:val="Normal Right"/>
    <w:basedOn w:val="Normal"/>
    <w:pPr>
      <w:spacing w:before="120" w:after="120" w:line="240" w:lineRule="auto"/>
      <w:jc w:val="right"/>
    </w:pPr>
    <w:rPr>
      <w:rFonts w:ascii="Times New Roman" w:hAnsi="Times New Roman" w:cs="Times New Roman"/>
      <w:sz w:val="24"/>
    </w:rPr>
  </w:style>
  <w:style w:type="paragraph" w:customStyle="1" w:styleId="QuotedText">
    <w:name w:val="Quoted Text"/>
    <w:basedOn w:val="Normal"/>
    <w:pPr>
      <w:spacing w:before="120" w:after="120" w:line="240" w:lineRule="auto"/>
      <w:ind w:left="1417"/>
      <w:jc w:val="both"/>
    </w:pPr>
    <w:rPr>
      <w:rFonts w:ascii="Times New Roman" w:hAnsi="Times New Roman" w:cs="Times New Roman"/>
      <w:sz w:val="24"/>
    </w:rPr>
  </w:style>
  <w:style w:type="paragraph" w:customStyle="1" w:styleId="Point0">
    <w:name w:val="Point 0"/>
    <w:basedOn w:val="Normal"/>
    <w:pPr>
      <w:spacing w:before="120" w:after="120" w:line="240" w:lineRule="auto"/>
      <w:ind w:left="850" w:hanging="850"/>
      <w:jc w:val="both"/>
    </w:pPr>
    <w:rPr>
      <w:rFonts w:ascii="Times New Roman" w:hAnsi="Times New Roman" w:cs="Times New Roman"/>
      <w:sz w:val="24"/>
    </w:rPr>
  </w:style>
  <w:style w:type="paragraph" w:customStyle="1" w:styleId="Point1">
    <w:name w:val="Point 1"/>
    <w:basedOn w:val="Normal"/>
    <w:pPr>
      <w:spacing w:before="120" w:after="120" w:line="240" w:lineRule="auto"/>
      <w:ind w:left="1417" w:hanging="567"/>
      <w:jc w:val="both"/>
    </w:pPr>
    <w:rPr>
      <w:rFonts w:ascii="Times New Roman" w:hAnsi="Times New Roman" w:cs="Times New Roman"/>
      <w:sz w:val="24"/>
    </w:rPr>
  </w:style>
  <w:style w:type="paragraph" w:customStyle="1" w:styleId="Point2">
    <w:name w:val="Point 2"/>
    <w:basedOn w:val="Normal"/>
    <w:pPr>
      <w:spacing w:before="120" w:after="120" w:line="240" w:lineRule="auto"/>
      <w:ind w:left="1984" w:hanging="567"/>
      <w:jc w:val="both"/>
    </w:pPr>
    <w:rPr>
      <w:rFonts w:ascii="Times New Roman" w:hAnsi="Times New Roman" w:cs="Times New Roman"/>
      <w:sz w:val="24"/>
    </w:rPr>
  </w:style>
  <w:style w:type="paragraph" w:customStyle="1" w:styleId="Point3">
    <w:name w:val="Point 3"/>
    <w:basedOn w:val="Normal"/>
    <w:pPr>
      <w:spacing w:before="120" w:after="120" w:line="240" w:lineRule="auto"/>
      <w:ind w:left="2551" w:hanging="567"/>
      <w:jc w:val="both"/>
    </w:pPr>
    <w:rPr>
      <w:rFonts w:ascii="Times New Roman" w:hAnsi="Times New Roman" w:cs="Times New Roman"/>
      <w:sz w:val="24"/>
    </w:rPr>
  </w:style>
  <w:style w:type="paragraph" w:customStyle="1" w:styleId="Point4">
    <w:name w:val="Point 4"/>
    <w:basedOn w:val="Normal"/>
    <w:pPr>
      <w:spacing w:before="120" w:after="120" w:line="240" w:lineRule="auto"/>
      <w:ind w:left="3118" w:hanging="567"/>
      <w:jc w:val="both"/>
    </w:pPr>
    <w:rPr>
      <w:rFonts w:ascii="Times New Roman" w:hAnsi="Times New Roman" w:cs="Times New Roman"/>
      <w:sz w:val="24"/>
    </w:rPr>
  </w:style>
  <w:style w:type="paragraph" w:customStyle="1" w:styleId="Tiret0">
    <w:name w:val="Tiret 0"/>
    <w:basedOn w:val="Point0"/>
    <w:pPr>
      <w:numPr>
        <w:numId w:val="12"/>
      </w:numPr>
    </w:pPr>
  </w:style>
  <w:style w:type="paragraph" w:customStyle="1" w:styleId="Tiret1">
    <w:name w:val="Tiret 1"/>
    <w:basedOn w:val="Point1"/>
    <w:pPr>
      <w:numPr>
        <w:numId w:val="13"/>
      </w:numPr>
    </w:pPr>
  </w:style>
  <w:style w:type="paragraph" w:customStyle="1" w:styleId="Tiret2">
    <w:name w:val="Tiret 2"/>
    <w:basedOn w:val="Point2"/>
    <w:pPr>
      <w:numPr>
        <w:numId w:val="14"/>
      </w:numPr>
    </w:pPr>
  </w:style>
  <w:style w:type="paragraph" w:customStyle="1" w:styleId="Tiret3">
    <w:name w:val="Tiret 3"/>
    <w:basedOn w:val="Point3"/>
    <w:pPr>
      <w:numPr>
        <w:numId w:val="15"/>
      </w:numPr>
    </w:pPr>
  </w:style>
  <w:style w:type="paragraph" w:customStyle="1" w:styleId="Tiret4">
    <w:name w:val="Tiret 4"/>
    <w:basedOn w:val="Point4"/>
    <w:pPr>
      <w:numPr>
        <w:numId w:val="16"/>
      </w:numPr>
    </w:pPr>
  </w:style>
  <w:style w:type="paragraph" w:customStyle="1" w:styleId="PointDouble0">
    <w:name w:val="PointDouble 0"/>
    <w:basedOn w:val="Normal"/>
    <w:pPr>
      <w:tabs>
        <w:tab w:val="left" w:pos="850"/>
      </w:tabs>
      <w:spacing w:before="120" w:after="120" w:line="240" w:lineRule="auto"/>
      <w:ind w:left="1417" w:hanging="1417"/>
      <w:jc w:val="both"/>
    </w:pPr>
    <w:rPr>
      <w:rFonts w:ascii="Times New Roman" w:hAnsi="Times New Roman" w:cs="Times New Roman"/>
      <w:sz w:val="24"/>
    </w:rPr>
  </w:style>
  <w:style w:type="paragraph" w:customStyle="1" w:styleId="PointDouble1">
    <w:name w:val="PointDouble 1"/>
    <w:basedOn w:val="Normal"/>
    <w:pPr>
      <w:tabs>
        <w:tab w:val="left" w:pos="1417"/>
      </w:tabs>
      <w:spacing w:before="120" w:after="120" w:line="240" w:lineRule="auto"/>
      <w:ind w:left="1984" w:hanging="1134"/>
      <w:jc w:val="both"/>
    </w:pPr>
    <w:rPr>
      <w:rFonts w:ascii="Times New Roman" w:hAnsi="Times New Roman" w:cs="Times New Roman"/>
      <w:sz w:val="24"/>
    </w:rPr>
  </w:style>
  <w:style w:type="paragraph" w:customStyle="1" w:styleId="PointDouble2">
    <w:name w:val="PointDouble 2"/>
    <w:basedOn w:val="Normal"/>
    <w:pPr>
      <w:tabs>
        <w:tab w:val="left" w:pos="1984"/>
      </w:tabs>
      <w:spacing w:before="120" w:after="120" w:line="240" w:lineRule="auto"/>
      <w:ind w:left="2551" w:hanging="1134"/>
      <w:jc w:val="both"/>
    </w:pPr>
    <w:rPr>
      <w:rFonts w:ascii="Times New Roman" w:hAnsi="Times New Roman" w:cs="Times New Roman"/>
      <w:sz w:val="24"/>
    </w:rPr>
  </w:style>
  <w:style w:type="paragraph" w:customStyle="1" w:styleId="PointDouble3">
    <w:name w:val="PointDouble 3"/>
    <w:basedOn w:val="Normal"/>
    <w:pPr>
      <w:tabs>
        <w:tab w:val="left" w:pos="2551"/>
      </w:tabs>
      <w:spacing w:before="120" w:after="120" w:line="240" w:lineRule="auto"/>
      <w:ind w:left="3118" w:hanging="1134"/>
      <w:jc w:val="both"/>
    </w:pPr>
    <w:rPr>
      <w:rFonts w:ascii="Times New Roman" w:hAnsi="Times New Roman" w:cs="Times New Roman"/>
      <w:sz w:val="24"/>
    </w:rPr>
  </w:style>
  <w:style w:type="paragraph" w:customStyle="1" w:styleId="PointDouble4">
    <w:name w:val="PointDouble 4"/>
    <w:basedOn w:val="Normal"/>
    <w:pPr>
      <w:tabs>
        <w:tab w:val="left" w:pos="3118"/>
      </w:tabs>
      <w:spacing w:before="120" w:after="120" w:line="240" w:lineRule="auto"/>
      <w:ind w:left="3685" w:hanging="1134"/>
      <w:jc w:val="both"/>
    </w:pPr>
    <w:rPr>
      <w:rFonts w:ascii="Times New Roman" w:hAnsi="Times New Roman" w:cs="Times New Roman"/>
      <w:sz w:val="24"/>
    </w:rPr>
  </w:style>
  <w:style w:type="paragraph" w:customStyle="1" w:styleId="PointTriple0">
    <w:name w:val="PointTriple 0"/>
    <w:basedOn w:val="Normal"/>
    <w:pPr>
      <w:tabs>
        <w:tab w:val="left" w:pos="850"/>
        <w:tab w:val="left" w:pos="1417"/>
      </w:tabs>
      <w:spacing w:before="120" w:after="120" w:line="240" w:lineRule="auto"/>
      <w:ind w:left="1984" w:hanging="1984"/>
      <w:jc w:val="both"/>
    </w:pPr>
    <w:rPr>
      <w:rFonts w:ascii="Times New Roman" w:hAnsi="Times New Roman" w:cs="Times New Roman"/>
      <w:sz w:val="24"/>
    </w:rPr>
  </w:style>
  <w:style w:type="paragraph" w:customStyle="1" w:styleId="PointTriple1">
    <w:name w:val="PointTriple 1"/>
    <w:basedOn w:val="Normal"/>
    <w:pPr>
      <w:tabs>
        <w:tab w:val="left" w:pos="1417"/>
        <w:tab w:val="left" w:pos="1984"/>
      </w:tabs>
      <w:spacing w:before="120" w:after="120" w:line="240" w:lineRule="auto"/>
      <w:ind w:left="2551" w:hanging="1701"/>
      <w:jc w:val="both"/>
    </w:pPr>
    <w:rPr>
      <w:rFonts w:ascii="Times New Roman" w:hAnsi="Times New Roman" w:cs="Times New Roman"/>
      <w:sz w:val="24"/>
    </w:rPr>
  </w:style>
  <w:style w:type="paragraph" w:customStyle="1" w:styleId="PointTriple2">
    <w:name w:val="PointTriple 2"/>
    <w:basedOn w:val="Normal"/>
    <w:pPr>
      <w:tabs>
        <w:tab w:val="left" w:pos="1984"/>
        <w:tab w:val="left" w:pos="2551"/>
      </w:tabs>
      <w:spacing w:before="120" w:after="120" w:line="240" w:lineRule="auto"/>
      <w:ind w:left="3118" w:hanging="1701"/>
      <w:jc w:val="both"/>
    </w:pPr>
    <w:rPr>
      <w:rFonts w:ascii="Times New Roman" w:hAnsi="Times New Roman" w:cs="Times New Roman"/>
      <w:sz w:val="24"/>
    </w:rPr>
  </w:style>
  <w:style w:type="paragraph" w:customStyle="1" w:styleId="PointTriple3">
    <w:name w:val="PointTriple 3"/>
    <w:basedOn w:val="Normal"/>
    <w:pPr>
      <w:tabs>
        <w:tab w:val="left" w:pos="2551"/>
        <w:tab w:val="left" w:pos="3118"/>
      </w:tabs>
      <w:spacing w:before="120" w:after="120" w:line="240" w:lineRule="auto"/>
      <w:ind w:left="3685" w:hanging="1701"/>
      <w:jc w:val="both"/>
    </w:pPr>
    <w:rPr>
      <w:rFonts w:ascii="Times New Roman" w:hAnsi="Times New Roman" w:cs="Times New Roman"/>
      <w:sz w:val="24"/>
    </w:rPr>
  </w:style>
  <w:style w:type="paragraph" w:customStyle="1" w:styleId="PointTriple4">
    <w:name w:val="PointTriple 4"/>
    <w:basedOn w:val="Normal"/>
    <w:pPr>
      <w:tabs>
        <w:tab w:val="left" w:pos="3118"/>
        <w:tab w:val="left" w:pos="3685"/>
      </w:tabs>
      <w:spacing w:before="120" w:after="120" w:line="240" w:lineRule="auto"/>
      <w:ind w:left="4252" w:hanging="1701"/>
      <w:jc w:val="both"/>
    </w:pPr>
    <w:rPr>
      <w:rFonts w:ascii="Times New Roman" w:hAnsi="Times New Roman" w:cs="Times New Roman"/>
      <w:sz w:val="24"/>
    </w:rPr>
  </w:style>
  <w:style w:type="paragraph" w:customStyle="1" w:styleId="NumPar1">
    <w:name w:val="NumPar 1"/>
    <w:basedOn w:val="Normal"/>
    <w:next w:val="Text1"/>
    <w:pPr>
      <w:tabs>
        <w:tab w:val="num" w:pos="850"/>
      </w:tabs>
      <w:spacing w:before="120" w:after="120" w:line="240" w:lineRule="auto"/>
      <w:ind w:left="850" w:hanging="850"/>
      <w:jc w:val="both"/>
    </w:pPr>
    <w:rPr>
      <w:rFonts w:ascii="Times New Roman" w:hAnsi="Times New Roman" w:cs="Times New Roman"/>
      <w:sz w:val="24"/>
    </w:rPr>
  </w:style>
  <w:style w:type="paragraph" w:customStyle="1" w:styleId="NumPar2">
    <w:name w:val="NumPar 2"/>
    <w:basedOn w:val="Normal"/>
    <w:next w:val="Text1"/>
    <w:pPr>
      <w:tabs>
        <w:tab w:val="num" w:pos="850"/>
      </w:tabs>
      <w:spacing w:before="120" w:after="120" w:line="240" w:lineRule="auto"/>
      <w:ind w:left="850" w:hanging="850"/>
      <w:jc w:val="both"/>
    </w:pPr>
    <w:rPr>
      <w:rFonts w:ascii="Times New Roman" w:hAnsi="Times New Roman" w:cs="Times New Roman"/>
      <w:sz w:val="24"/>
    </w:rPr>
  </w:style>
  <w:style w:type="paragraph" w:customStyle="1" w:styleId="NumPar3">
    <w:name w:val="NumPar 3"/>
    <w:basedOn w:val="Normal"/>
    <w:next w:val="Text1"/>
    <w:pPr>
      <w:tabs>
        <w:tab w:val="num" w:pos="850"/>
      </w:tabs>
      <w:spacing w:before="120" w:after="120" w:line="240" w:lineRule="auto"/>
      <w:ind w:left="850" w:hanging="850"/>
      <w:jc w:val="both"/>
    </w:pPr>
    <w:rPr>
      <w:rFonts w:ascii="Times New Roman" w:hAnsi="Times New Roman" w:cs="Times New Roman"/>
      <w:sz w:val="24"/>
    </w:rPr>
  </w:style>
  <w:style w:type="paragraph" w:customStyle="1" w:styleId="NumPar4">
    <w:name w:val="NumPar 4"/>
    <w:basedOn w:val="Normal"/>
    <w:next w:val="Text1"/>
    <w:pPr>
      <w:tabs>
        <w:tab w:val="num" w:pos="850"/>
      </w:tabs>
      <w:spacing w:before="120" w:after="120" w:line="240" w:lineRule="auto"/>
      <w:ind w:left="850" w:hanging="850"/>
      <w:jc w:val="both"/>
    </w:pPr>
    <w:rPr>
      <w:rFonts w:ascii="Times New Roman" w:hAnsi="Times New Roman" w:cs="Times New Roman"/>
      <w:sz w:val="24"/>
    </w:rPr>
  </w:style>
  <w:style w:type="paragraph" w:customStyle="1" w:styleId="ManualNumPar1">
    <w:name w:val="Manual NumPar 1"/>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2">
    <w:name w:val="Manual NumPar 2"/>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3">
    <w:name w:val="Manual NumPar 3"/>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ManualNumPar4">
    <w:name w:val="Manual NumPar 4"/>
    <w:basedOn w:val="Normal"/>
    <w:next w:val="Text1"/>
    <w:pPr>
      <w:spacing w:before="120" w:after="120" w:line="240" w:lineRule="auto"/>
      <w:ind w:left="850" w:hanging="850"/>
      <w:jc w:val="both"/>
    </w:pPr>
    <w:rPr>
      <w:rFonts w:ascii="Times New Roman" w:hAnsi="Times New Roman" w:cs="Times New Roman"/>
      <w:sz w:val="24"/>
    </w:rPr>
  </w:style>
  <w:style w:type="paragraph" w:customStyle="1" w:styleId="QuotedNumPar">
    <w:name w:val="Quoted NumPar"/>
    <w:basedOn w:val="Normal"/>
    <w:pPr>
      <w:spacing w:before="120" w:after="120" w:line="240" w:lineRule="auto"/>
      <w:ind w:left="1417" w:hanging="567"/>
      <w:jc w:val="both"/>
    </w:pPr>
    <w:rPr>
      <w:rFonts w:ascii="Times New Roman" w:hAnsi="Times New Roman" w:cs="Times New Roman"/>
      <w:sz w:val="24"/>
    </w:rPr>
  </w:style>
  <w:style w:type="paragraph" w:customStyle="1" w:styleId="ManualHeading1">
    <w:name w:val="Manual Heading 1"/>
    <w:basedOn w:val="Normal"/>
    <w:next w:val="Text1"/>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paragraph" w:customStyle="1" w:styleId="ManualHeading2">
    <w:name w:val="Manual Heading 2"/>
    <w:basedOn w:val="Normal"/>
    <w:next w:val="Text1"/>
    <w:pPr>
      <w:keepNext/>
      <w:tabs>
        <w:tab w:val="left" w:pos="850"/>
      </w:tabs>
      <w:spacing w:before="120" w:after="120" w:line="240" w:lineRule="auto"/>
      <w:ind w:left="850" w:hanging="850"/>
      <w:jc w:val="both"/>
      <w:outlineLvl w:val="1"/>
    </w:pPr>
    <w:rPr>
      <w:rFonts w:ascii="Times New Roman" w:hAnsi="Times New Roman" w:cs="Times New Roman"/>
      <w:b/>
      <w:sz w:val="24"/>
    </w:rPr>
  </w:style>
  <w:style w:type="paragraph" w:customStyle="1" w:styleId="ManualHeading3">
    <w:name w:val="Manual Heading 3"/>
    <w:basedOn w:val="Normal"/>
    <w:next w:val="Text1"/>
    <w:pPr>
      <w:keepNext/>
      <w:tabs>
        <w:tab w:val="left" w:pos="850"/>
      </w:tabs>
      <w:spacing w:before="120" w:after="120" w:line="240" w:lineRule="auto"/>
      <w:ind w:left="850" w:hanging="850"/>
      <w:jc w:val="both"/>
      <w:outlineLvl w:val="2"/>
    </w:pPr>
    <w:rPr>
      <w:rFonts w:ascii="Times New Roman" w:hAnsi="Times New Roman" w:cs="Times New Roman"/>
      <w:i/>
      <w:sz w:val="24"/>
    </w:rPr>
  </w:style>
  <w:style w:type="paragraph" w:customStyle="1" w:styleId="ManualHeading4">
    <w:name w:val="Manual Heading 4"/>
    <w:basedOn w:val="Normal"/>
    <w:next w:val="Text1"/>
    <w:pPr>
      <w:keepNext/>
      <w:tabs>
        <w:tab w:val="left" w:pos="850"/>
      </w:tabs>
      <w:spacing w:before="120" w:after="120" w:line="240" w:lineRule="auto"/>
      <w:ind w:left="850" w:hanging="850"/>
      <w:jc w:val="both"/>
      <w:outlineLvl w:val="3"/>
    </w:pPr>
    <w:rPr>
      <w:rFonts w:ascii="Times New Roman" w:hAnsi="Times New Roman" w:cs="Times New Roman"/>
      <w:sz w:val="24"/>
    </w:rPr>
  </w:style>
  <w:style w:type="paragraph" w:customStyle="1" w:styleId="ChapterTitle">
    <w:name w:val="ChapterTitle"/>
    <w:basedOn w:val="Normal"/>
    <w:next w:val="Normal"/>
    <w:pPr>
      <w:keepNext/>
      <w:spacing w:before="120" w:after="360" w:line="240" w:lineRule="auto"/>
      <w:jc w:val="center"/>
    </w:pPr>
    <w:rPr>
      <w:rFonts w:ascii="Times New Roman" w:hAnsi="Times New Roman" w:cs="Times New Roman"/>
      <w:b/>
      <w:sz w:val="32"/>
    </w:rPr>
  </w:style>
  <w:style w:type="paragraph" w:customStyle="1" w:styleId="PartTitle">
    <w:name w:val="PartTitle"/>
    <w:basedOn w:val="Normal"/>
    <w:next w:val="ChapterTitle"/>
    <w:pPr>
      <w:keepNext/>
      <w:pageBreakBefore/>
      <w:spacing w:before="120" w:after="360" w:line="240" w:lineRule="auto"/>
      <w:jc w:val="center"/>
    </w:pPr>
    <w:rPr>
      <w:rFonts w:ascii="Times New Roman" w:hAnsi="Times New Roman" w:cs="Times New Roman"/>
      <w:b/>
      <w:sz w:val="36"/>
    </w:rPr>
  </w:style>
  <w:style w:type="paragraph" w:customStyle="1" w:styleId="SectionTitle">
    <w:name w:val="SectionTitle"/>
    <w:basedOn w:val="Normal"/>
    <w:next w:val="Heading1"/>
    <w:pPr>
      <w:keepNext/>
      <w:spacing w:before="120" w:after="360" w:line="240" w:lineRule="auto"/>
      <w:jc w:val="center"/>
    </w:pPr>
    <w:rPr>
      <w:rFonts w:ascii="Times New Roman" w:hAnsi="Times New Roman" w:cs="Times New Roman"/>
      <w:b/>
      <w:smallCaps/>
      <w:sz w:val="28"/>
    </w:rPr>
  </w:style>
  <w:style w:type="paragraph" w:customStyle="1" w:styleId="TableTitle">
    <w:name w:val="Table Title"/>
    <w:basedOn w:val="Normal"/>
    <w:next w:val="Normal"/>
    <w:pPr>
      <w:spacing w:before="120" w:after="120" w:line="240" w:lineRule="auto"/>
      <w:jc w:val="center"/>
    </w:pPr>
    <w:rPr>
      <w:rFonts w:ascii="Times New Roman" w:hAnsi="Times New Roman" w:cs="Times New Roman"/>
      <w:b/>
      <w:sz w:val="24"/>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spacing w:before="120" w:after="120" w:line="240" w:lineRule="auto"/>
      <w:jc w:val="both"/>
    </w:pPr>
    <w:rPr>
      <w:rFonts w:ascii="Times New Roman" w:hAnsi="Times New Roman" w:cs="Times New Roman"/>
      <w:sz w:val="24"/>
    </w:rPr>
  </w:style>
  <w:style w:type="paragraph" w:customStyle="1" w:styleId="Point1number">
    <w:name w:val="Point 1 (number)"/>
    <w:basedOn w:val="Normal"/>
    <w:pPr>
      <w:numPr>
        <w:ilvl w:val="2"/>
        <w:numId w:val="18"/>
      </w:numPr>
      <w:spacing w:before="120" w:after="120" w:line="240" w:lineRule="auto"/>
      <w:jc w:val="both"/>
    </w:pPr>
    <w:rPr>
      <w:rFonts w:ascii="Times New Roman" w:hAnsi="Times New Roman" w:cs="Times New Roman"/>
      <w:sz w:val="24"/>
    </w:rPr>
  </w:style>
  <w:style w:type="paragraph" w:customStyle="1" w:styleId="Point2number">
    <w:name w:val="Point 2 (number)"/>
    <w:basedOn w:val="Normal"/>
    <w:pPr>
      <w:numPr>
        <w:ilvl w:val="4"/>
        <w:numId w:val="18"/>
      </w:numPr>
      <w:spacing w:before="120" w:after="120" w:line="240" w:lineRule="auto"/>
      <w:jc w:val="both"/>
    </w:pPr>
    <w:rPr>
      <w:rFonts w:ascii="Times New Roman" w:hAnsi="Times New Roman" w:cs="Times New Roman"/>
      <w:sz w:val="24"/>
    </w:rPr>
  </w:style>
  <w:style w:type="paragraph" w:customStyle="1" w:styleId="Point3number">
    <w:name w:val="Point 3 (number)"/>
    <w:basedOn w:val="Normal"/>
    <w:pPr>
      <w:numPr>
        <w:ilvl w:val="6"/>
        <w:numId w:val="18"/>
      </w:numPr>
      <w:spacing w:before="120" w:after="120" w:line="240" w:lineRule="auto"/>
      <w:jc w:val="both"/>
    </w:pPr>
    <w:rPr>
      <w:rFonts w:ascii="Times New Roman" w:hAnsi="Times New Roman" w:cs="Times New Roman"/>
      <w:sz w:val="24"/>
    </w:rPr>
  </w:style>
  <w:style w:type="paragraph" w:customStyle="1" w:styleId="Point0letter">
    <w:name w:val="Point 0 (letter)"/>
    <w:basedOn w:val="Normal"/>
    <w:pPr>
      <w:numPr>
        <w:ilvl w:val="1"/>
        <w:numId w:val="18"/>
      </w:numPr>
      <w:spacing w:before="120" w:after="120" w:line="240" w:lineRule="auto"/>
      <w:jc w:val="both"/>
    </w:pPr>
    <w:rPr>
      <w:rFonts w:ascii="Times New Roman" w:hAnsi="Times New Roman" w:cs="Times New Roman"/>
      <w:sz w:val="24"/>
    </w:rPr>
  </w:style>
  <w:style w:type="paragraph" w:customStyle="1" w:styleId="Point1letter">
    <w:name w:val="Point 1 (letter)"/>
    <w:basedOn w:val="Normal"/>
    <w:pPr>
      <w:numPr>
        <w:ilvl w:val="3"/>
        <w:numId w:val="18"/>
      </w:numPr>
      <w:spacing w:before="120" w:after="120" w:line="240" w:lineRule="auto"/>
      <w:jc w:val="both"/>
    </w:pPr>
    <w:rPr>
      <w:rFonts w:ascii="Times New Roman" w:hAnsi="Times New Roman" w:cs="Times New Roman"/>
      <w:sz w:val="24"/>
    </w:rPr>
  </w:style>
  <w:style w:type="paragraph" w:customStyle="1" w:styleId="Point2letter">
    <w:name w:val="Point 2 (letter)"/>
    <w:basedOn w:val="Normal"/>
    <w:pPr>
      <w:numPr>
        <w:ilvl w:val="5"/>
        <w:numId w:val="18"/>
      </w:numPr>
      <w:spacing w:before="120" w:after="120" w:line="240" w:lineRule="auto"/>
      <w:jc w:val="both"/>
    </w:pPr>
    <w:rPr>
      <w:rFonts w:ascii="Times New Roman" w:hAnsi="Times New Roman" w:cs="Times New Roman"/>
      <w:sz w:val="24"/>
    </w:rPr>
  </w:style>
  <w:style w:type="paragraph" w:customStyle="1" w:styleId="Point3letter">
    <w:name w:val="Point 3 (letter)"/>
    <w:basedOn w:val="Normal"/>
    <w:pPr>
      <w:numPr>
        <w:ilvl w:val="7"/>
        <w:numId w:val="18"/>
      </w:numPr>
      <w:spacing w:before="120" w:after="120" w:line="240" w:lineRule="auto"/>
      <w:jc w:val="both"/>
    </w:pPr>
    <w:rPr>
      <w:rFonts w:ascii="Times New Roman" w:hAnsi="Times New Roman" w:cs="Times New Roman"/>
      <w:sz w:val="24"/>
    </w:rPr>
  </w:style>
  <w:style w:type="paragraph" w:customStyle="1" w:styleId="Point4letter">
    <w:name w:val="Point 4 (letter)"/>
    <w:basedOn w:val="Normal"/>
    <w:pPr>
      <w:numPr>
        <w:ilvl w:val="8"/>
        <w:numId w:val="18"/>
      </w:numPr>
      <w:spacing w:before="120" w:after="120" w:line="240" w:lineRule="auto"/>
      <w:jc w:val="both"/>
    </w:pPr>
    <w:rPr>
      <w:rFonts w:ascii="Times New Roman" w:hAnsi="Times New Roman" w:cs="Times New Roman"/>
      <w:sz w:val="24"/>
    </w:rPr>
  </w:style>
  <w:style w:type="paragraph" w:customStyle="1" w:styleId="Bullet0">
    <w:name w:val="Bullet 0"/>
    <w:basedOn w:val="Normal"/>
    <w:pPr>
      <w:numPr>
        <w:numId w:val="19"/>
      </w:numPr>
      <w:spacing w:before="120" w:after="120" w:line="240" w:lineRule="auto"/>
      <w:jc w:val="both"/>
    </w:pPr>
    <w:rPr>
      <w:rFonts w:ascii="Times New Roman" w:hAnsi="Times New Roman" w:cs="Times New Roman"/>
      <w:sz w:val="24"/>
    </w:rPr>
  </w:style>
  <w:style w:type="paragraph" w:customStyle="1" w:styleId="Bullet1">
    <w:name w:val="Bullet 1"/>
    <w:basedOn w:val="Normal"/>
    <w:pPr>
      <w:numPr>
        <w:numId w:val="20"/>
      </w:numPr>
      <w:spacing w:before="120" w:after="120" w:line="240" w:lineRule="auto"/>
      <w:jc w:val="both"/>
    </w:pPr>
    <w:rPr>
      <w:rFonts w:ascii="Times New Roman" w:hAnsi="Times New Roman" w:cs="Times New Roman"/>
      <w:sz w:val="24"/>
    </w:rPr>
  </w:style>
  <w:style w:type="paragraph" w:customStyle="1" w:styleId="Bullet2">
    <w:name w:val="Bullet 2"/>
    <w:basedOn w:val="Normal"/>
    <w:pPr>
      <w:numPr>
        <w:numId w:val="21"/>
      </w:numPr>
      <w:spacing w:before="120" w:after="120" w:line="240" w:lineRule="auto"/>
      <w:jc w:val="both"/>
    </w:pPr>
    <w:rPr>
      <w:rFonts w:ascii="Times New Roman" w:hAnsi="Times New Roman" w:cs="Times New Roman"/>
      <w:sz w:val="24"/>
    </w:rPr>
  </w:style>
  <w:style w:type="paragraph" w:customStyle="1" w:styleId="Bullet3">
    <w:name w:val="Bullet 3"/>
    <w:basedOn w:val="Normal"/>
    <w:pPr>
      <w:numPr>
        <w:numId w:val="22"/>
      </w:numPr>
      <w:spacing w:before="120" w:after="120" w:line="240" w:lineRule="auto"/>
      <w:jc w:val="both"/>
    </w:pPr>
    <w:rPr>
      <w:rFonts w:ascii="Times New Roman" w:hAnsi="Times New Roman" w:cs="Times New Roman"/>
      <w:sz w:val="24"/>
    </w:rPr>
  </w:style>
  <w:style w:type="paragraph" w:customStyle="1" w:styleId="Bullet4">
    <w:name w:val="Bullet 4"/>
    <w:basedOn w:val="Normal"/>
    <w:pPr>
      <w:numPr>
        <w:numId w:val="23"/>
      </w:numPr>
      <w:spacing w:before="120" w:after="120" w:line="240" w:lineRule="auto"/>
      <w:jc w:val="both"/>
    </w:pPr>
    <w:rPr>
      <w:rFonts w:ascii="Times New Roman" w:hAnsi="Times New Roman" w:cs="Times New Roman"/>
      <w:sz w:val="24"/>
    </w:rPr>
  </w:style>
  <w:style w:type="paragraph" w:customStyle="1" w:styleId="Langue">
    <w:name w:val="Langue"/>
    <w:basedOn w:val="Normal"/>
    <w:next w:val="Rfrenceinterne"/>
    <w:pPr>
      <w:framePr w:wrap="around" w:vAnchor="page" w:hAnchor="text" w:xAlign="center" w:y="14741"/>
      <w:spacing w:after="600" w:line="240" w:lineRule="auto"/>
      <w:jc w:val="center"/>
    </w:pPr>
    <w:rPr>
      <w:rFonts w:ascii="Times New Roman" w:hAnsi="Times New Roman" w:cs="Times New Roman"/>
      <w:b/>
      <w:caps/>
      <w:sz w:val="24"/>
    </w:rPr>
  </w:style>
  <w:style w:type="paragraph" w:customStyle="1" w:styleId="Nomdelinstitution">
    <w:name w:val="Nom de l'institution"/>
    <w:basedOn w:val="Normal"/>
    <w:next w:val="Emission"/>
    <w:pPr>
      <w:spacing w:after="0" w:line="240" w:lineRule="auto"/>
    </w:pPr>
    <w:rPr>
      <w:rFonts w:ascii="Arial" w:hAnsi="Arial" w:cs="Arial"/>
      <w:sz w:val="24"/>
    </w:rPr>
  </w:style>
  <w:style w:type="paragraph" w:customStyle="1" w:styleId="Emission">
    <w:name w:val="Emission"/>
    <w:basedOn w:val="Normal"/>
    <w:next w:val="Rfrenceinstitutionnelle"/>
    <w:pPr>
      <w:spacing w:after="0" w:line="240" w:lineRule="auto"/>
      <w:ind w:left="5103"/>
    </w:pPr>
    <w:rPr>
      <w:rFonts w:ascii="Times New Roman" w:hAnsi="Times New Roman" w:cs="Times New Roman"/>
      <w:sz w:val="24"/>
    </w:rPr>
  </w:style>
  <w:style w:type="paragraph" w:customStyle="1" w:styleId="Rfrenceinstitutionnelle">
    <w:name w:val="Référence institutionnelle"/>
    <w:basedOn w:val="Normal"/>
    <w:next w:val="Confidentialit"/>
    <w:pPr>
      <w:spacing w:after="240" w:line="240" w:lineRule="auto"/>
      <w:ind w:left="5103"/>
    </w:pPr>
    <w:rPr>
      <w:rFonts w:ascii="Times New Roman" w:hAnsi="Times New Roman" w:cs="Times New Roman"/>
      <w:sz w:val="24"/>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Declassification">
    <w:name w:val="Declassification"/>
    <w:basedOn w:val="Normal"/>
    <w:next w:val="Normal"/>
    <w:pPr>
      <w:spacing w:after="0" w:line="240" w:lineRule="auto"/>
      <w:jc w:val="both"/>
    </w:pPr>
    <w:rPr>
      <w:rFonts w:ascii="Times New Roman" w:hAnsi="Times New Roman" w:cs="Times New Roman"/>
      <w:sz w:val="24"/>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rsid w:val="00AE28B1"/>
    <w:pPr>
      <w:spacing w:after="0"/>
      <w:ind w:left="5103"/>
    </w:pPr>
    <w:rPr>
      <w:rFonts w:ascii="Times New Roman" w:hAnsi="Times New Roman" w:cs="Times New Roman"/>
      <w:sz w:val="28"/>
    </w:rPr>
  </w:style>
  <w:style w:type="paragraph" w:customStyle="1" w:styleId="DateMarking">
    <w:name w:val="DateMarking"/>
    <w:basedOn w:val="Normal"/>
    <w:rsid w:val="00AE28B1"/>
    <w:pPr>
      <w:spacing w:after="0"/>
      <w:ind w:left="5103"/>
    </w:pPr>
    <w:rPr>
      <w:rFonts w:ascii="Times New Roman" w:hAnsi="Times New Roman" w:cs="Times New Roman"/>
      <w:i/>
      <w:sz w:val="28"/>
    </w:rPr>
  </w:style>
  <w:style w:type="paragraph" w:customStyle="1" w:styleId="ReleasableTo">
    <w:name w:val="ReleasableTo"/>
    <w:basedOn w:val="Normal"/>
    <w:rsid w:val="00AE28B1"/>
    <w:pPr>
      <w:spacing w:after="0"/>
      <w:ind w:left="5103"/>
    </w:pPr>
    <w:rPr>
      <w:rFonts w:ascii="Times New Roman" w:hAnsi="Times New Roman" w:cs="Times New Roman"/>
      <w:i/>
      <w:sz w:val="28"/>
    </w:rPr>
  </w:style>
  <w:style w:type="paragraph" w:customStyle="1" w:styleId="Annexetitreexpos">
    <w:name w:val="Annexe titre (exposé)"/>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
    <w:name w:val="Annex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Annexetitrefichefinancire">
    <w:name w:val="Annexe titre (fiche financière)"/>
    <w:basedOn w:val="Normal"/>
    <w:next w:val="Normal"/>
    <w:pPr>
      <w:spacing w:before="120" w:after="120" w:line="240" w:lineRule="auto"/>
      <w:jc w:val="center"/>
    </w:pPr>
    <w:rPr>
      <w:rFonts w:ascii="Times New Roman" w:hAnsi="Times New Roman" w:cs="Times New Roman"/>
      <w:b/>
      <w:sz w:val="24"/>
      <w:u w:val="single"/>
    </w:rPr>
  </w:style>
  <w:style w:type="paragraph" w:customStyle="1" w:styleId="Applicationdirecte">
    <w:name w:val="Application directe"/>
    <w:basedOn w:val="Normal"/>
    <w:next w:val="Fait"/>
    <w:pPr>
      <w:spacing w:before="480" w:after="120" w:line="240" w:lineRule="auto"/>
      <w:jc w:val="both"/>
    </w:pPr>
    <w:rPr>
      <w:rFonts w:ascii="Times New Roman" w:hAnsi="Times New Roman" w:cs="Times New Roman"/>
      <w:sz w:val="24"/>
    </w:rPr>
  </w:style>
  <w:style w:type="paragraph" w:customStyle="1" w:styleId="Avertissementtitre">
    <w:name w:val="Avertissement titre"/>
    <w:basedOn w:val="Normal"/>
    <w:next w:val="Normal"/>
    <w:pPr>
      <w:keepNext/>
      <w:spacing w:before="480" w:after="120" w:line="240" w:lineRule="auto"/>
      <w:jc w:val="both"/>
    </w:pPr>
    <w:rPr>
      <w:rFonts w:ascii="Times New Roman" w:hAnsi="Times New Roman" w:cs="Times New Roman"/>
      <w:sz w:val="24"/>
      <w:u w:val="single"/>
    </w:rPr>
  </w:style>
  <w:style w:type="paragraph" w:customStyle="1" w:styleId="Confidence">
    <w:name w:val="Confidence"/>
    <w:basedOn w:val="Normal"/>
    <w:next w:val="Normal"/>
    <w:pPr>
      <w:spacing w:before="360" w:after="120" w:line="240" w:lineRule="auto"/>
      <w:jc w:val="center"/>
    </w:pPr>
    <w:rPr>
      <w:rFonts w:ascii="Times New Roman" w:hAnsi="Times New Roman" w:cs="Times New Roman"/>
      <w:sz w:val="24"/>
    </w:rPr>
  </w:style>
  <w:style w:type="paragraph" w:customStyle="1" w:styleId="Confidentialit">
    <w:name w:val="Confidentialité"/>
    <w:basedOn w:val="Normal"/>
    <w:next w:val="TypedudocumentPagedecouverture"/>
    <w:pPr>
      <w:spacing w:before="240" w:after="240" w:line="240" w:lineRule="auto"/>
      <w:ind w:left="5103"/>
    </w:pPr>
    <w:rPr>
      <w:rFonts w:ascii="Times New Roman" w:hAnsi="Times New Roman" w:cs="Times New Roman"/>
      <w:i/>
      <w:sz w:val="32"/>
    </w:rPr>
  </w:style>
  <w:style w:type="paragraph" w:customStyle="1" w:styleId="Considrant">
    <w:name w:val="Considérant"/>
    <w:basedOn w:val="Normal"/>
    <w:pPr>
      <w:numPr>
        <w:numId w:val="24"/>
      </w:numPr>
      <w:spacing w:before="120" w:after="120" w:line="240" w:lineRule="auto"/>
      <w:jc w:val="both"/>
    </w:pPr>
    <w:rPr>
      <w:rFonts w:ascii="Times New Roman" w:hAnsi="Times New Roman" w:cs="Times New Roman"/>
      <w:sz w:val="24"/>
    </w:rPr>
  </w:style>
  <w:style w:type="paragraph" w:customStyle="1" w:styleId="Corrigendum">
    <w:name w:val="Corrigendum"/>
    <w:basedOn w:val="Normal"/>
    <w:next w:val="Normal"/>
    <w:pPr>
      <w:spacing w:after="240" w:line="240" w:lineRule="auto"/>
    </w:pPr>
    <w:rPr>
      <w:rFonts w:ascii="Times New Roman" w:hAnsi="Times New Roman" w:cs="Times New Roman"/>
      <w:sz w:val="24"/>
    </w:rPr>
  </w:style>
  <w:style w:type="paragraph" w:customStyle="1" w:styleId="Datedadoption">
    <w:name w:val="Date d'adoption"/>
    <w:basedOn w:val="Normal"/>
    <w:next w:val="IntrtEEE"/>
    <w:pPr>
      <w:spacing w:before="360" w:after="0" w:line="240" w:lineRule="auto"/>
      <w:jc w:val="center"/>
    </w:pPr>
    <w:rPr>
      <w:rFonts w:ascii="Times New Roman" w:hAnsi="Times New Roman" w:cs="Times New Roman"/>
      <w:b/>
      <w:sz w:val="24"/>
    </w:rPr>
  </w:style>
  <w:style w:type="paragraph" w:customStyle="1" w:styleId="Exposdesmotifstitre">
    <w:name w:val="Exposé des motifs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Fait">
    <w:name w:val="Fait à"/>
    <w:basedOn w:val="Normal"/>
    <w:next w:val="Institutionquisigne"/>
    <w:pPr>
      <w:keepNext/>
      <w:spacing w:before="120" w:after="0" w:line="240" w:lineRule="auto"/>
      <w:jc w:val="both"/>
    </w:pPr>
    <w:rPr>
      <w:rFonts w:ascii="Times New Roman" w:hAnsi="Times New Roman" w:cs="Times New Roman"/>
      <w:sz w:val="24"/>
    </w:rPr>
  </w:style>
  <w:style w:type="paragraph" w:customStyle="1" w:styleId="Formuledadoption">
    <w:name w:val="Formule d'adoption"/>
    <w:basedOn w:val="Normal"/>
    <w:next w:val="Titrearticle"/>
    <w:pPr>
      <w:keepNext/>
      <w:spacing w:before="120" w:after="120" w:line="240" w:lineRule="auto"/>
      <w:jc w:val="both"/>
    </w:pPr>
    <w:rPr>
      <w:rFonts w:ascii="Times New Roman" w:hAnsi="Times New Roman" w:cs="Times New Roman"/>
      <w:sz w:val="24"/>
    </w:rPr>
  </w:style>
  <w:style w:type="paragraph" w:customStyle="1" w:styleId="Institutionquiagit">
    <w:name w:val="Institution qui agit"/>
    <w:basedOn w:val="Normal"/>
    <w:next w:val="Normal"/>
    <w:pPr>
      <w:keepNext/>
      <w:spacing w:before="600" w:after="120" w:line="240" w:lineRule="auto"/>
      <w:jc w:val="both"/>
    </w:pPr>
    <w:rPr>
      <w:rFonts w:ascii="Times New Roman" w:hAnsi="Times New Roman" w:cs="Times New Roman"/>
      <w:sz w:val="24"/>
    </w:rPr>
  </w:style>
  <w:style w:type="paragraph" w:customStyle="1" w:styleId="Institutionquisigne">
    <w:name w:val="Institution qui signe"/>
    <w:basedOn w:val="Normal"/>
    <w:next w:val="Personnequisigne"/>
    <w:pPr>
      <w:keepNext/>
      <w:tabs>
        <w:tab w:val="left" w:pos="4252"/>
      </w:tabs>
      <w:spacing w:before="720" w:after="0" w:line="240" w:lineRule="auto"/>
      <w:jc w:val="both"/>
    </w:pPr>
    <w:rPr>
      <w:rFonts w:ascii="Times New Roman" w:hAnsi="Times New Roman" w:cs="Times New Roman"/>
      <w:i/>
      <w:sz w:val="24"/>
    </w:rPr>
  </w:style>
  <w:style w:type="paragraph" w:customStyle="1" w:styleId="ManualConsidrant">
    <w:name w:val="Manual Considérant"/>
    <w:basedOn w:val="Normal"/>
    <w:pPr>
      <w:spacing w:before="120" w:after="120" w:line="240" w:lineRule="auto"/>
      <w:ind w:left="709" w:hanging="709"/>
      <w:jc w:val="both"/>
    </w:pPr>
    <w:rPr>
      <w:rFonts w:ascii="Times New Roman" w:hAnsi="Times New Roman" w:cs="Times New Roman"/>
      <w:sz w:val="24"/>
    </w:rPr>
  </w:style>
  <w:style w:type="paragraph" w:customStyle="1" w:styleId="Personnequisigne">
    <w:name w:val="Personne qui signe"/>
    <w:basedOn w:val="Normal"/>
    <w:next w:val="Institutionquisigne"/>
    <w:pPr>
      <w:tabs>
        <w:tab w:val="left" w:pos="4252"/>
      </w:tabs>
      <w:spacing w:after="0" w:line="240" w:lineRule="auto"/>
    </w:pPr>
    <w:rPr>
      <w:rFonts w:ascii="Times New Roman" w:hAnsi="Times New Roman" w:cs="Times New Roman"/>
      <w:i/>
      <w:sz w:val="24"/>
    </w:rPr>
  </w:style>
  <w:style w:type="paragraph" w:customStyle="1" w:styleId="Rfrenceinterinstitutionnelle">
    <w:name w:val="Référence interinstitutionnelle"/>
    <w:basedOn w:val="Normal"/>
    <w:next w:val="Statut"/>
    <w:pPr>
      <w:spacing w:after="0" w:line="240" w:lineRule="auto"/>
      <w:ind w:left="5103"/>
    </w:pPr>
    <w:rPr>
      <w:rFonts w:ascii="Times New Roman" w:hAnsi="Times New Roman" w:cs="Times New Roman"/>
      <w:sz w:val="24"/>
    </w:rPr>
  </w:style>
  <w:style w:type="paragraph" w:customStyle="1" w:styleId="Rfrenceinterne">
    <w:name w:val="Référence interne"/>
    <w:basedOn w:val="Normal"/>
    <w:next w:val="Rfrenceinterinstitutionnelle"/>
    <w:pPr>
      <w:spacing w:after="0" w:line="240" w:lineRule="auto"/>
      <w:ind w:left="5103"/>
    </w:pPr>
    <w:rPr>
      <w:rFonts w:ascii="Times New Roman" w:hAnsi="Times New Roman" w:cs="Times New Roman"/>
      <w:sz w:val="24"/>
    </w:rPr>
  </w:style>
  <w:style w:type="paragraph" w:customStyle="1" w:styleId="Statut">
    <w:name w:val="Statut"/>
    <w:basedOn w:val="Normal"/>
    <w:next w:val="Typedudocument"/>
    <w:pPr>
      <w:spacing w:after="240" w:line="240" w:lineRule="auto"/>
      <w:jc w:val="center"/>
    </w:pPr>
    <w:rPr>
      <w:rFonts w:ascii="Times New Roman" w:hAnsi="Times New Roman" w:cs="Times New Roman"/>
      <w:sz w:val="24"/>
    </w:rPr>
  </w:style>
  <w:style w:type="paragraph" w:customStyle="1" w:styleId="Titrearticle">
    <w:name w:val="Titre article"/>
    <w:basedOn w:val="Normal"/>
    <w:next w:val="Normal"/>
    <w:pPr>
      <w:keepNext/>
      <w:spacing w:before="360" w:after="120" w:line="240" w:lineRule="auto"/>
      <w:jc w:val="center"/>
    </w:pPr>
    <w:rPr>
      <w:rFonts w:ascii="Times New Roman" w:hAnsi="Times New Roman" w:cs="Times New Roman"/>
      <w:i/>
      <w:sz w:val="24"/>
    </w:rPr>
  </w:style>
  <w:style w:type="paragraph" w:customStyle="1" w:styleId="Typedudocument">
    <w:name w:val="Type du document"/>
    <w:basedOn w:val="Normal"/>
    <w:next w:val="Accompagnant"/>
    <w:pPr>
      <w:spacing w:before="360" w:after="180" w:line="240" w:lineRule="auto"/>
      <w:jc w:val="center"/>
    </w:pPr>
    <w:rPr>
      <w:rFonts w:ascii="Times New Roman" w:hAnsi="Times New Roman" w:cs="Times New Roman"/>
      <w:b/>
      <w:sz w:val="24"/>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before="120" w:after="120" w:line="360" w:lineRule="auto"/>
      <w:ind w:left="3402"/>
    </w:pPr>
    <w:rPr>
      <w:rFonts w:ascii="Times New Roman" w:hAnsi="Times New Roman" w:cs="Times New Roman"/>
      <w:sz w:val="24"/>
    </w:rPr>
  </w:style>
  <w:style w:type="paragraph" w:customStyle="1" w:styleId="Objetexterne">
    <w:name w:val="Objet externe"/>
    <w:basedOn w:val="Normal"/>
    <w:next w:val="Normal"/>
    <w:pPr>
      <w:spacing w:before="120" w:after="120" w:line="240" w:lineRule="auto"/>
      <w:jc w:val="both"/>
    </w:pPr>
    <w:rPr>
      <w:rFonts w:ascii="Times New Roman" w:hAnsi="Times New Roman" w:cs="Times New Roman"/>
      <w:i/>
      <w:caps/>
      <w:sz w:val="24"/>
    </w:rPr>
  </w:style>
  <w:style w:type="paragraph" w:customStyle="1" w:styleId="Supertitre">
    <w:name w:val="Supertitre"/>
    <w:basedOn w:val="Normal"/>
    <w:next w:val="Normal"/>
    <w:pPr>
      <w:spacing w:after="600" w:line="240" w:lineRule="auto"/>
      <w:jc w:val="center"/>
    </w:pPr>
    <w:rPr>
      <w:rFonts w:ascii="Times New Roman" w:hAnsi="Times New Roman" w:cs="Times New Roman"/>
      <w:b/>
      <w:sz w:val="24"/>
    </w:rPr>
  </w:style>
  <w:style w:type="paragraph" w:customStyle="1" w:styleId="Languesfaisantfoi">
    <w:name w:val="Langues faisant foi"/>
    <w:basedOn w:val="Normal"/>
    <w:next w:val="Normal"/>
    <w:pPr>
      <w:spacing w:before="360" w:after="0" w:line="240" w:lineRule="auto"/>
      <w:jc w:val="center"/>
    </w:pPr>
    <w:rPr>
      <w:rFonts w:ascii="Times New Roman" w:hAnsi="Times New Roman" w:cs="Times New Roman"/>
      <w:sz w:val="24"/>
    </w:rPr>
  </w:style>
  <w:style w:type="paragraph" w:customStyle="1" w:styleId="Rfrencecroise">
    <w:name w:val="Référence croisée"/>
    <w:basedOn w:val="Normal"/>
    <w:pPr>
      <w:spacing w:after="0" w:line="240" w:lineRule="auto"/>
      <w:jc w:val="center"/>
    </w:pPr>
    <w:rPr>
      <w:rFonts w:ascii="Times New Roman" w:hAnsi="Times New Roman" w:cs="Times New Roman"/>
      <w:sz w:val="24"/>
    </w:rPr>
  </w:style>
  <w:style w:type="paragraph" w:customStyle="1" w:styleId="Fichefinanciretitre">
    <w:name w:val="Fiche financière titre"/>
    <w:basedOn w:val="Normal"/>
    <w:next w:val="Normal"/>
    <w:pPr>
      <w:spacing w:before="120" w:after="120" w:line="240" w:lineRule="auto"/>
      <w:jc w:val="center"/>
    </w:pPr>
    <w:rPr>
      <w:rFonts w:ascii="Times New Roman" w:hAnsi="Times New Roman" w:cs="Times New Roman"/>
      <w:b/>
      <w:sz w:val="24"/>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after="240" w:line="240" w:lineRule="auto"/>
      <w:ind w:left="5103"/>
    </w:pPr>
    <w:rPr>
      <w:rFonts w:ascii="Times New Roman" w:hAnsi="Times New Roman" w:cs="Times New Roman"/>
      <w:sz w:val="24"/>
    </w:r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line="240" w:lineRule="auto"/>
      <w:jc w:val="center"/>
    </w:pPr>
    <w:rPr>
      <w:rFonts w:ascii="Times New Roman" w:hAnsi="Times New Roman" w:cs="Times New Roman"/>
      <w:b/>
      <w:sz w:val="24"/>
    </w:rPr>
  </w:style>
  <w:style w:type="paragraph" w:customStyle="1" w:styleId="Typeacteprincipal">
    <w:name w:val="Type acte principal"/>
    <w:basedOn w:val="Normal"/>
    <w:next w:val="Objetacteprincipal"/>
    <w:pPr>
      <w:spacing w:after="240" w:line="240" w:lineRule="auto"/>
      <w:jc w:val="center"/>
    </w:pPr>
    <w:rPr>
      <w:rFonts w:ascii="Times New Roman" w:hAnsi="Times New Roman" w:cs="Times New Roman"/>
      <w:b/>
      <w:sz w:val="24"/>
    </w:rPr>
  </w:style>
  <w:style w:type="paragraph" w:customStyle="1" w:styleId="Objetacteprincipal">
    <w:name w:val="Objet acte principal"/>
    <w:basedOn w:val="Normal"/>
    <w:next w:val="Titrearticle"/>
    <w:pPr>
      <w:spacing w:after="360" w:line="240" w:lineRule="auto"/>
      <w:jc w:val="center"/>
    </w:pPr>
    <w:rPr>
      <w:rFonts w:ascii="Times New Roman" w:hAnsi="Times New Roman" w:cs="Times New Roman"/>
      <w:b/>
      <w:sz w:val="24"/>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line="240" w:lineRule="auto"/>
      <w:jc w:val="center"/>
    </w:pPr>
    <w:rPr>
      <w:rFonts w:ascii="Times New Roman" w:hAnsi="Times New Roman" w:cs="Times New Roman"/>
      <w:sz w:val="24"/>
    </w:rPr>
  </w:style>
  <w:style w:type="character" w:styleId="FollowedHyperlink">
    <w:name w:val="FollowedHyperlink"/>
    <w:basedOn w:val="DefaultParagraphFont"/>
    <w:uiPriority w:val="99"/>
    <w:semiHidden/>
    <w:unhideWhenUsed/>
    <w:rPr>
      <w:color w:val="954F72"/>
      <w:u w:val="single"/>
    </w:rPr>
  </w:style>
  <w:style w:type="paragraph" w:customStyle="1" w:styleId="msonormal0">
    <w:name w:val="msonormal"/>
    <w:basedOn w:val="Normal"/>
    <w:pPr>
      <w:spacing w:before="100" w:beforeAutospacing="1" w:after="100" w:afterAutospacing="1" w:line="240" w:lineRule="auto"/>
    </w:pPr>
    <w:rPr>
      <w:rFonts w:ascii="Times New Roman" w:eastAsia="Times New Roman" w:hAnsi="Times New Roman" w:cs="Times New Roman"/>
      <w:sz w:val="24"/>
    </w:rPr>
  </w:style>
  <w:style w:type="paragraph" w:customStyle="1" w:styleId="font5">
    <w:name w:val="font5"/>
    <w:basedOn w:val="Normal"/>
    <w:pPr>
      <w:spacing w:before="100" w:beforeAutospacing="1" w:after="100" w:afterAutospacing="1" w:line="240" w:lineRule="auto"/>
    </w:pPr>
    <w:rPr>
      <w:rFonts w:ascii="Calibri" w:eastAsia="Times New Roman" w:hAnsi="Calibri" w:cs="Calibri"/>
      <w:color w:val="006100"/>
    </w:rPr>
  </w:style>
  <w:style w:type="paragraph" w:customStyle="1" w:styleId="font6">
    <w:name w:val="font6"/>
    <w:basedOn w:val="Normal"/>
    <w:pPr>
      <w:spacing w:before="100" w:beforeAutospacing="1" w:after="100" w:afterAutospacing="1" w:line="240" w:lineRule="auto"/>
    </w:pPr>
    <w:rPr>
      <w:rFonts w:ascii="Calibri" w:eastAsia="Times New Roman" w:hAnsi="Calibri" w:cs="Calibri"/>
      <w:b/>
      <w:color w:val="006100"/>
    </w:rPr>
  </w:style>
  <w:style w:type="paragraph" w:customStyle="1" w:styleId="font7">
    <w:name w:val="font7"/>
    <w:basedOn w:val="Normal"/>
    <w:pPr>
      <w:spacing w:before="100" w:beforeAutospacing="1" w:after="100" w:afterAutospacing="1" w:line="240" w:lineRule="auto"/>
    </w:pPr>
    <w:rPr>
      <w:rFonts w:ascii="Tahoma" w:eastAsia="Times New Roman" w:hAnsi="Tahoma" w:cs="Tahoma"/>
      <w:b/>
      <w:color w:val="000000"/>
      <w:sz w:val="18"/>
    </w:rPr>
  </w:style>
  <w:style w:type="paragraph" w:customStyle="1" w:styleId="font8">
    <w:name w:val="font8"/>
    <w:basedOn w:val="Normal"/>
    <w:pPr>
      <w:spacing w:before="100" w:beforeAutospacing="1" w:after="100" w:afterAutospacing="1" w:line="240" w:lineRule="auto"/>
    </w:pPr>
    <w:rPr>
      <w:rFonts w:ascii="Tahoma" w:eastAsia="Times New Roman" w:hAnsi="Tahoma" w:cs="Tahoma"/>
      <w:color w:val="000000"/>
      <w:sz w:val="18"/>
    </w:rPr>
  </w:style>
  <w:style w:type="paragraph" w:customStyle="1" w:styleId="xl68">
    <w:name w:val="xl68"/>
    <w:basedOn w:val="Normal"/>
    <w:pPr>
      <w:spacing w:before="100" w:beforeAutospacing="1" w:after="100" w:afterAutospacing="1" w:line="240" w:lineRule="auto"/>
    </w:pPr>
    <w:rPr>
      <w:rFonts w:ascii="Times New Roman" w:eastAsia="Times New Roman" w:hAnsi="Times New Roman" w:cs="Times New Roman"/>
      <w:sz w:val="24"/>
    </w:rPr>
  </w:style>
  <w:style w:type="paragraph" w:customStyle="1" w:styleId="xl69">
    <w:name w:val="xl69"/>
    <w:basedOn w:val="Normal"/>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sz w:val="24"/>
    </w:rPr>
  </w:style>
  <w:style w:type="paragraph" w:customStyle="1" w:styleId="xl70">
    <w:name w:val="xl70"/>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71">
    <w:name w:val="xl71"/>
    <w:basedOn w:val="Normal"/>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72">
    <w:name w:val="xl72"/>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74">
    <w:name w:val="xl74"/>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sz w:val="24"/>
    </w:rPr>
  </w:style>
  <w:style w:type="paragraph" w:customStyle="1" w:styleId="xl75">
    <w:name w:val="xl75"/>
    <w:basedOn w:val="Normal"/>
    <w:pPr>
      <w:spacing w:before="100" w:beforeAutospacing="1" w:after="100" w:afterAutospacing="1" w:line="240" w:lineRule="auto"/>
      <w:jc w:val="center"/>
      <w:textAlignment w:val="top"/>
    </w:pPr>
    <w:rPr>
      <w:rFonts w:ascii="Times New Roman" w:eastAsia="Times New Roman" w:hAnsi="Times New Roman" w:cs="Times New Roman"/>
      <w:sz w:val="24"/>
    </w:rPr>
  </w:style>
  <w:style w:type="paragraph" w:customStyle="1" w:styleId="xl76">
    <w:name w:val="xl76"/>
    <w:basedOn w:val="Normal"/>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77">
    <w:name w:val="xl77"/>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3A3838"/>
      <w:sz w:val="24"/>
    </w:rPr>
  </w:style>
  <w:style w:type="paragraph" w:customStyle="1" w:styleId="xl78">
    <w:name w:val="xl78"/>
    <w:basedOn w:val="Normal"/>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79">
    <w:name w:val="xl79"/>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80">
    <w:name w:val="xl80"/>
    <w:basedOn w:val="Normal"/>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3A3838"/>
      <w:sz w:val="24"/>
    </w:rPr>
  </w:style>
  <w:style w:type="paragraph" w:customStyle="1" w:styleId="xl81">
    <w:name w:val="xl81"/>
    <w:basedOn w:val="Normal"/>
    <w:pPr>
      <w:pBdr>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82">
    <w:name w:val="xl82"/>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83">
    <w:name w:val="xl83"/>
    <w:basedOn w:val="Normal"/>
    <w:pPr>
      <w:pBdr>
        <w:top w:val="single" w:sz="8"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84">
    <w:name w:val="xl84"/>
    <w:basedOn w:val="Normal"/>
    <w:pPr>
      <w:pBdr>
        <w:top w:val="single" w:sz="8"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85">
    <w:name w:val="xl85"/>
    <w:basedOn w:val="Normal"/>
    <w:pPr>
      <w:pBdr>
        <w:top w:val="single" w:sz="4" w:space="0" w:color="auto"/>
        <w:left w:val="single" w:sz="4" w:space="0" w:color="auto"/>
        <w:bottom w:val="single" w:sz="8"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86">
    <w:name w:val="xl86"/>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87">
    <w:name w:val="xl87"/>
    <w:basedOn w:val="Normal"/>
    <w:pPr>
      <w:pBdr>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88">
    <w:name w:val="xl88"/>
    <w:basedOn w:val="Normal"/>
    <w:pPr>
      <w:spacing w:before="100" w:beforeAutospacing="1" w:after="100" w:afterAutospacing="1" w:line="240" w:lineRule="auto"/>
      <w:jc w:val="center"/>
    </w:pPr>
    <w:rPr>
      <w:rFonts w:ascii="Times New Roman" w:eastAsia="Times New Roman" w:hAnsi="Times New Roman" w:cs="Times New Roman"/>
      <w:sz w:val="24"/>
    </w:rPr>
  </w:style>
  <w:style w:type="paragraph" w:customStyle="1" w:styleId="xl89">
    <w:name w:val="xl89"/>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90">
    <w:name w:val="xl90"/>
    <w:basedOn w:val="Normal"/>
    <w:pPr>
      <w:pBdr>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91">
    <w:name w:val="xl91"/>
    <w:basedOn w:val="Normal"/>
    <w:pPr>
      <w:pBdr>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3A3838"/>
      <w:sz w:val="24"/>
    </w:rPr>
  </w:style>
  <w:style w:type="paragraph" w:customStyle="1" w:styleId="xl92">
    <w:name w:val="xl92"/>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3A3838"/>
      <w:sz w:val="24"/>
    </w:rPr>
  </w:style>
  <w:style w:type="paragraph" w:customStyle="1" w:styleId="xl93">
    <w:name w:val="xl93"/>
    <w:basedOn w:val="Normal"/>
    <w:pPr>
      <w:pBdr>
        <w:top w:val="single" w:sz="4" w:space="0" w:color="auto"/>
        <w:left w:val="single" w:sz="4" w:space="0" w:color="auto"/>
        <w:bottom w:val="single" w:sz="4" w:space="0" w:color="auto"/>
        <w:right w:val="single" w:sz="4" w:space="0" w:color="auto"/>
      </w:pBdr>
      <w:shd w:val="clear" w:color="000000" w:fill="C6EFCE"/>
      <w:spacing w:before="100" w:beforeAutospacing="1" w:after="100" w:afterAutospacing="1" w:line="240" w:lineRule="auto"/>
      <w:textAlignment w:val="top"/>
    </w:pPr>
    <w:rPr>
      <w:rFonts w:ascii="Times New Roman" w:eastAsia="Times New Roman" w:hAnsi="Times New Roman" w:cs="Times New Roman"/>
      <w:color w:val="006100"/>
      <w:sz w:val="24"/>
    </w:rPr>
  </w:style>
  <w:style w:type="paragraph" w:customStyle="1" w:styleId="xl94">
    <w:name w:val="xl94"/>
    <w:basedOn w:val="Normal"/>
    <w:pPr>
      <w:pBdr>
        <w:left w:val="single" w:sz="4" w:space="0" w:color="auto"/>
        <w:bottom w:val="single" w:sz="4" w:space="0" w:color="auto"/>
        <w:right w:val="single" w:sz="4" w:space="0" w:color="auto"/>
      </w:pBdr>
      <w:shd w:val="clear" w:color="000000" w:fill="C6EFCE"/>
      <w:spacing w:before="100" w:beforeAutospacing="1" w:after="100" w:afterAutospacing="1" w:line="240" w:lineRule="auto"/>
      <w:jc w:val="center"/>
      <w:textAlignment w:val="top"/>
    </w:pPr>
    <w:rPr>
      <w:rFonts w:ascii="Times New Roman" w:eastAsia="Times New Roman" w:hAnsi="Times New Roman" w:cs="Times New Roman"/>
      <w:color w:val="006100"/>
      <w:sz w:val="24"/>
    </w:rPr>
  </w:style>
  <w:style w:type="paragraph" w:customStyle="1" w:styleId="xl95">
    <w:name w:val="xl95"/>
    <w:basedOn w:val="Normal"/>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sz w:val="24"/>
    </w:rPr>
  </w:style>
  <w:style w:type="paragraph" w:customStyle="1" w:styleId="xl96">
    <w:name w:val="xl96"/>
    <w:basedOn w:val="Normal"/>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sz w:val="24"/>
    </w:rPr>
  </w:style>
  <w:style w:type="paragraph" w:customStyle="1" w:styleId="xl97">
    <w:name w:val="xl97"/>
    <w:basedOn w:val="Normal"/>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top"/>
    </w:pPr>
    <w:rPr>
      <w:rFonts w:ascii="Times New Roman" w:eastAsia="Times New Roman" w:hAnsi="Times New Roman" w:cs="Times New Roman"/>
      <w:b/>
      <w:sz w:val="24"/>
    </w:rPr>
  </w:style>
  <w:style w:type="paragraph" w:customStyle="1" w:styleId="xl98">
    <w:name w:val="xl98"/>
    <w:basedOn w:val="Normal"/>
    <w:pPr>
      <w:pBdr>
        <w:left w:val="single" w:sz="4" w:space="0" w:color="auto"/>
        <w:bottom w:val="single" w:sz="4" w:space="0" w:color="auto"/>
        <w:right w:val="single" w:sz="4" w:space="0" w:color="auto"/>
      </w:pBdr>
      <w:shd w:val="clear" w:color="000000" w:fill="BDD7EE"/>
      <w:spacing w:before="100" w:beforeAutospacing="1" w:after="100" w:afterAutospacing="1" w:line="240" w:lineRule="auto"/>
      <w:jc w:val="center"/>
      <w:textAlignment w:val="top"/>
    </w:pPr>
    <w:rPr>
      <w:rFonts w:ascii="Times New Roman" w:eastAsia="Times New Roman" w:hAnsi="Times New Roman" w:cs="Times New Roman"/>
      <w:b/>
      <w:sz w:val="24"/>
    </w:rPr>
  </w:style>
  <w:style w:type="paragraph" w:customStyle="1" w:styleId="xl99">
    <w:name w:val="xl99"/>
    <w:basedOn w:val="Normal"/>
    <w:pPr>
      <w:pBdr>
        <w:top w:val="single" w:sz="4" w:space="0" w:color="auto"/>
        <w:left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sz w:val="24"/>
    </w:rPr>
  </w:style>
  <w:style w:type="paragraph" w:customStyle="1" w:styleId="xl100">
    <w:name w:val="xl100"/>
    <w:basedOn w:val="Normal"/>
    <w:pPr>
      <w:pBdr>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sz w:val="24"/>
    </w:rPr>
  </w:style>
  <w:style w:type="paragraph" w:customStyle="1" w:styleId="xl101">
    <w:name w:val="xl101"/>
    <w:basedOn w:val="Normal"/>
    <w:pPr>
      <w:pBdr>
        <w:top w:val="single" w:sz="4" w:space="0" w:color="auto"/>
        <w:right w:val="single" w:sz="4" w:space="0" w:color="auto"/>
      </w:pBdr>
      <w:shd w:val="clear" w:color="000000" w:fill="BDD7EE"/>
      <w:spacing w:before="100" w:beforeAutospacing="1" w:after="100" w:afterAutospacing="1" w:line="240" w:lineRule="auto"/>
      <w:jc w:val="center"/>
      <w:textAlignment w:val="center"/>
    </w:pPr>
    <w:rPr>
      <w:rFonts w:ascii="Times New Roman" w:eastAsia="Times New Roman" w:hAnsi="Times New Roman" w:cs="Times New Roman"/>
      <w:b/>
      <w:sz w:val="24"/>
    </w:rPr>
  </w:style>
  <w:style w:type="paragraph" w:customStyle="1" w:styleId="xl102">
    <w:name w:val="xl102"/>
    <w:basedOn w:val="Normal"/>
    <w:pPr>
      <w:pBdr>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b/>
      <w:sz w:val="24"/>
    </w:rPr>
  </w:style>
  <w:style w:type="paragraph" w:customStyle="1" w:styleId="xl103">
    <w:name w:val="xl103"/>
    <w:basedOn w:val="Normal"/>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line="240" w:lineRule="auto"/>
      <w:textAlignment w:val="center"/>
    </w:pPr>
    <w:rPr>
      <w:rFonts w:ascii="Times New Roman" w:eastAsia="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ManualHeading">
    <w:name w:val="Manual Heading é"/>
    <w:basedOn w:val="Normal"/>
    <w:pPr>
      <w:keepNext/>
      <w:tabs>
        <w:tab w:val="left" w:pos="850"/>
      </w:tabs>
      <w:spacing w:before="360" w:after="120" w:line="240" w:lineRule="auto"/>
      <w:ind w:left="850" w:hanging="850"/>
      <w:jc w:val="both"/>
      <w:outlineLvl w:val="0"/>
    </w:pPr>
    <w:rPr>
      <w:rFonts w:ascii="Times New Roman" w:hAnsi="Times New Roman" w:cs="Times New Roman"/>
      <w:b/>
      <w:smallCaps/>
      <w:sz w:val="24"/>
    </w:rPr>
  </w:style>
  <w:style w:type="character" w:customStyle="1" w:styleId="normaltextrun">
    <w:name w:val="normaltextrun"/>
    <w:basedOn w:val="DefaultParagraphFont"/>
  </w:style>
  <w:style w:type="character" w:customStyle="1" w:styleId="findhit">
    <w:name w:val="findhit"/>
    <w:basedOn w:val="DefaultParagraphFont"/>
  </w:style>
  <w:style w:type="paragraph" w:customStyle="1" w:styleId="TechnicalBlock">
    <w:name w:val="Technical Block"/>
    <w:basedOn w:val="Normal"/>
    <w:link w:val="TechnicalBlockChar"/>
    <w:pPr>
      <w:spacing w:after="240" w:line="240" w:lineRule="auto"/>
      <w:jc w:val="center"/>
    </w:pPr>
  </w:style>
  <w:style w:type="character" w:customStyle="1" w:styleId="TechnicalBlockChar">
    <w:name w:val="Technical Block Char"/>
    <w:basedOn w:val="DefaultParagraphFont"/>
    <w:link w:val="TechnicalBlock"/>
  </w:style>
  <w:style w:type="paragraph" w:customStyle="1" w:styleId="EntText">
    <w:name w:val="EntText"/>
    <w:basedOn w:val="Normal"/>
    <w:pPr>
      <w:spacing w:before="120" w:after="120" w:line="360" w:lineRule="auto"/>
    </w:pPr>
    <w:rPr>
      <w:rFonts w:ascii="Times New Roman" w:hAnsi="Times New Roman" w:cs="Times New Roman"/>
      <w:sz w:val="24"/>
    </w:rPr>
  </w:style>
  <w:style w:type="paragraph" w:customStyle="1" w:styleId="Lignefinal">
    <w:name w:val="Ligne final"/>
    <w:basedOn w:val="Normal"/>
    <w:next w:val="Normal"/>
    <w:pPr>
      <w:pBdr>
        <w:bottom w:val="single" w:sz="4" w:space="0" w:color="000000"/>
      </w:pBdr>
      <w:spacing w:before="360" w:after="120" w:line="360" w:lineRule="auto"/>
      <w:ind w:left="3400" w:right="3400"/>
      <w:jc w:val="center"/>
    </w:pPr>
    <w:rPr>
      <w:rFonts w:ascii="Times New Roman" w:hAnsi="Times New Roman" w:cs="Times New Roman"/>
      <w:b/>
      <w:sz w:val="24"/>
    </w:rPr>
  </w:style>
  <w:style w:type="paragraph" w:customStyle="1" w:styleId="pj">
    <w:name w:val="p.j."/>
    <w:basedOn w:val="Normal"/>
    <w:link w:val="pjChar"/>
    <w:pPr>
      <w:spacing w:before="1200" w:after="120" w:line="240" w:lineRule="auto"/>
      <w:ind w:left="1440" w:hanging="1440"/>
    </w:pPr>
    <w:rPr>
      <w:rFonts w:ascii="Times New Roman" w:hAnsi="Times New Roman" w:cs="Times New Roman"/>
      <w:sz w:val="24"/>
    </w:rPr>
  </w:style>
  <w:style w:type="character" w:customStyle="1" w:styleId="pjChar">
    <w:name w:val="p.j. Char"/>
    <w:basedOn w:val="TechnicalBlockChar"/>
    <w:link w:val="pj"/>
    <w:rPr>
      <w:rFonts w:ascii="Times New Roman" w:hAnsi="Times New Roman" w:cs="Times New Roman"/>
      <w:sz w:val="24"/>
    </w:rPr>
  </w:style>
  <w:style w:type="paragraph" w:customStyle="1" w:styleId="nbbordered">
    <w:name w:val="nb bordered"/>
    <w:basedOn w:val="Normal"/>
    <w:link w:val="nbborderedChar"/>
    <w:pPr>
      <w:pBdr>
        <w:top w:val="single" w:sz="4" w:space="1" w:color="auto"/>
        <w:left w:val="single" w:sz="4" w:space="4" w:color="auto"/>
        <w:bottom w:val="single" w:sz="4" w:space="1" w:color="auto"/>
        <w:right w:val="single" w:sz="4" w:space="4" w:color="auto"/>
        <w:between w:val="single" w:sz="4" w:space="0" w:color="auto"/>
      </w:pBdr>
      <w:spacing w:after="160" w:line="240" w:lineRule="auto"/>
      <w:ind w:left="480" w:hanging="480"/>
    </w:pPr>
    <w:rPr>
      <w:rFonts w:ascii="Times New Roman" w:hAnsi="Times New Roman" w:cs="Times New Roman"/>
      <w:b/>
      <w:sz w:val="24"/>
    </w:rPr>
  </w:style>
  <w:style w:type="character" w:customStyle="1" w:styleId="nbborderedChar">
    <w:name w:val="nb bordered Char"/>
    <w:basedOn w:val="TechnicalBlockChar"/>
    <w:link w:val="nbbordered"/>
    <w:rPr>
      <w:rFonts w:ascii="Times New Roman" w:hAnsi="Times New Roman" w:cs="Times New Roman"/>
      <w:b/>
      <w:sz w:val="24"/>
    </w:rPr>
  </w:style>
  <w:style w:type="paragraph" w:customStyle="1" w:styleId="HeaderCouncil">
    <w:name w:val="Header Council"/>
    <w:basedOn w:val="Normal"/>
    <w:link w:val="HeaderCouncilChar"/>
    <w:pPr>
      <w:spacing w:after="0"/>
    </w:pPr>
    <w:rPr>
      <w:sz w:val="2"/>
    </w:rPr>
  </w:style>
  <w:style w:type="character" w:customStyle="1" w:styleId="HeaderCouncilChar">
    <w:name w:val="Header Council Char"/>
    <w:basedOn w:val="DefaultParagraphFont"/>
    <w:link w:val="HeaderCouncil"/>
    <w:rPr>
      <w:sz w:val="2"/>
    </w:rPr>
  </w:style>
  <w:style w:type="paragraph" w:customStyle="1" w:styleId="HeaderCouncilLarge">
    <w:name w:val="Header Council Large"/>
    <w:basedOn w:val="Normal"/>
    <w:link w:val="HeaderCouncilLargeChar"/>
    <w:pPr>
      <w:spacing w:after="440"/>
    </w:pPr>
    <w:rPr>
      <w:sz w:val="2"/>
    </w:rPr>
  </w:style>
  <w:style w:type="character" w:customStyle="1" w:styleId="HeaderCouncilLargeChar">
    <w:name w:val="Header Council Large Char"/>
    <w:basedOn w:val="DefaultParagraphFont"/>
    <w:link w:val="HeaderCouncilLarge"/>
    <w:rPr>
      <w:sz w:val="2"/>
    </w:rPr>
  </w:style>
  <w:style w:type="paragraph" w:customStyle="1" w:styleId="FooterCouncil">
    <w:name w:val="Footer Council"/>
    <w:basedOn w:val="Normal"/>
    <w:link w:val="FooterCouncilChar"/>
    <w:pPr>
      <w:spacing w:after="0"/>
    </w:pPr>
    <w:rPr>
      <w:sz w:val="2"/>
    </w:rPr>
  </w:style>
  <w:style w:type="character" w:customStyle="1" w:styleId="FooterCouncilChar">
    <w:name w:val="Footer Council Char"/>
    <w:basedOn w:val="DefaultParagraphFont"/>
    <w:link w:val="FooterCouncil"/>
    <w:rPr>
      <w:sz w:val="2"/>
    </w:rPr>
  </w:style>
  <w:style w:type="paragraph" w:customStyle="1" w:styleId="FooterText">
    <w:name w:val="Footer Text"/>
    <w:basedOn w:val="Normal"/>
    <w:pPr>
      <w:spacing w:after="0" w:line="240" w:lineRule="auto"/>
    </w:pPr>
    <w:rPr>
      <w:rFonts w:ascii="Times New Roman" w:eastAsia="Times New Roman" w:hAnsi="Times New Roman" w:cs="Times New Roman"/>
      <w:sz w:val="24"/>
    </w:rPr>
  </w:style>
  <w:style w:type="character" w:styleId="PlaceholderText">
    <w:name w:val="Placeholder Text"/>
    <w:basedOn w:val="DefaultParagraphFont"/>
    <w:uiPriority w:val="99"/>
    <w:semiHidden/>
    <w:rPr>
      <w:color w:val="808080"/>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character" w:customStyle="1" w:styleId="Mention3">
    <w:name w:val="Mention3"/>
    <w:basedOn w:val="DefaultParagraphFont"/>
    <w:uiPriority w:val="99"/>
    <w:unhideWhenUsed/>
    <w:rPr>
      <w:color w:val="2B579A"/>
      <w:shd w:val="clear" w:color="auto" w:fill="E6E6E6"/>
    </w:rPr>
  </w:style>
  <w:style w:type="character" w:customStyle="1" w:styleId="eop">
    <w:name w:val="eop"/>
    <w:basedOn w:val="DefaultParagraphFont"/>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4">
    <w:name w:val="Mention4"/>
    <w:basedOn w:val="DefaultParagraphFont"/>
    <w:uiPriority w:val="99"/>
    <w:unhideWhenUsed/>
    <w:rPr>
      <w:color w:val="2B579A"/>
      <w:shd w:val="clear" w:color="auto" w:fill="E6E6E6"/>
    </w:rPr>
  </w:style>
  <w:style w:type="character" w:customStyle="1" w:styleId="Mention5">
    <w:name w:val="Mention5"/>
    <w:basedOn w:val="DefaultParagraphFont"/>
    <w:uiPriority w:val="99"/>
    <w:unhideWhenUsed/>
    <w:rPr>
      <w:color w:val="2B579A"/>
      <w:shd w:val="clear" w:color="auto" w:fill="E6E6E6"/>
    </w:rPr>
  </w:style>
  <w:style w:type="character" w:customStyle="1" w:styleId="Mention6">
    <w:name w:val="Mention6"/>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unhideWhenUsed/>
    <w:rsid w:val="00976536"/>
    <w:rPr>
      <w:color w:val="605E5C"/>
      <w:shd w:val="clear" w:color="auto" w:fill="E1DFDD"/>
    </w:rPr>
  </w:style>
  <w:style w:type="character" w:customStyle="1" w:styleId="Mention7">
    <w:name w:val="Mention7"/>
    <w:basedOn w:val="DefaultParagraphFont"/>
    <w:uiPriority w:val="99"/>
    <w:unhideWhenUsed/>
    <w:rsid w:val="00DF5434"/>
    <w:rPr>
      <w:color w:val="2B579A"/>
      <w:shd w:val="clear" w:color="auto" w:fill="E1DFDD"/>
    </w:rPr>
  </w:style>
  <w:style w:type="numbering" w:customStyle="1" w:styleId="NoList1">
    <w:name w:val="No List1"/>
    <w:next w:val="NoList"/>
    <w:uiPriority w:val="99"/>
    <w:semiHidden/>
    <w:unhideWhenUsed/>
    <w:rsid w:val="00E25323"/>
  </w:style>
  <w:style w:type="paragraph" w:customStyle="1" w:styleId="P68B1DB1-Heading11">
    <w:name w:val="P68B1DB1-Heading11"/>
    <w:basedOn w:val="Heading1"/>
    <w:rPr>
      <w:u w:val="single"/>
    </w:rPr>
  </w:style>
  <w:style w:type="paragraph" w:customStyle="1" w:styleId="P68B1DB1-ManualHeading22">
    <w:name w:val="P68B1DB1-ManualHeading22"/>
    <w:basedOn w:val="ManualHeading2"/>
    <w:rPr>
      <w:rFonts w:ascii="Times New Roman Bold" w:hAnsi="Times New Roman Bold"/>
      <w:smallCaps/>
    </w:rPr>
  </w:style>
  <w:style w:type="paragraph" w:customStyle="1" w:styleId="P68B1DB1-Normal3">
    <w:name w:val="P68B1DB1-Normal3"/>
    <w:basedOn w:val="Normal"/>
    <w:rPr>
      <w:rFonts w:ascii="Times New Roman" w:hAnsi="Times New Roman"/>
      <w:sz w:val="24"/>
    </w:rPr>
  </w:style>
  <w:style w:type="paragraph" w:customStyle="1" w:styleId="P68B1DB1-ManualHeading34">
    <w:name w:val="P68B1DB1-ManualHeading34"/>
    <w:basedOn w:val="ManualHeading3"/>
    <w:rPr>
      <w:b/>
      <w:i w:val="0"/>
    </w:rPr>
  </w:style>
  <w:style w:type="paragraph" w:customStyle="1" w:styleId="P68B1DB1-Normal5">
    <w:name w:val="P68B1DB1-Normal5"/>
    <w:basedOn w:val="Normal"/>
    <w:rPr>
      <w:rFonts w:ascii="Times New Roman" w:hAnsi="Times New Roman"/>
      <w:sz w:val="24"/>
      <w:u w:val="single"/>
    </w:rPr>
  </w:style>
  <w:style w:type="paragraph" w:customStyle="1" w:styleId="P68B1DB1-Normal6">
    <w:name w:val="P68B1DB1-Normal6"/>
    <w:basedOn w:val="Normal"/>
    <w:rPr>
      <w:rFonts w:ascii="Times New Roman" w:hAnsi="Times New Roman"/>
      <w:b/>
      <w:sz w:val="18"/>
    </w:rPr>
  </w:style>
  <w:style w:type="paragraph" w:customStyle="1" w:styleId="P68B1DB1-Normal7">
    <w:name w:val="P68B1DB1-Normal7"/>
    <w:basedOn w:val="Normal"/>
    <w:rPr>
      <w:rFonts w:ascii="Calibri" w:hAnsi="Calibri"/>
      <w:sz w:val="18"/>
    </w:rPr>
  </w:style>
  <w:style w:type="paragraph" w:customStyle="1" w:styleId="P68B1DB1-Normal8">
    <w:name w:val="P68B1DB1-Normal8"/>
    <w:basedOn w:val="Normal"/>
    <w:rPr>
      <w:rFonts w:ascii="Calibri" w:hAnsi="Calibri"/>
      <w:color w:val="000000" w:themeColor="text1"/>
      <w:sz w:val="18"/>
    </w:rPr>
  </w:style>
  <w:style w:type="paragraph" w:customStyle="1" w:styleId="P68B1DB1-Normal9">
    <w:name w:val="P68B1DB1-Normal9"/>
    <w:basedOn w:val="Normal"/>
    <w:rPr>
      <w:sz w:val="18"/>
    </w:rPr>
  </w:style>
  <w:style w:type="paragraph" w:customStyle="1" w:styleId="P68B1DB1-ListParagraph10">
    <w:name w:val="P68B1DB1-ListParagraph10"/>
    <w:basedOn w:val="ListParagraph"/>
    <w:rPr>
      <w:rFonts w:ascii="Calibri" w:hAnsi="Calibri"/>
      <w:sz w:val="18"/>
    </w:rPr>
  </w:style>
  <w:style w:type="paragraph" w:customStyle="1" w:styleId="P68B1DB1-Normal11">
    <w:name w:val="P68B1DB1-Normal11"/>
    <w:basedOn w:val="Normal"/>
    <w:rPr>
      <w:rFonts w:ascii="Times New Roman" w:hAnsi="Times New Roman"/>
      <w:color w:val="000000" w:themeColor="text1"/>
      <w:sz w:val="24"/>
    </w:rPr>
  </w:style>
  <w:style w:type="paragraph" w:customStyle="1" w:styleId="P68B1DB1-Normal12">
    <w:name w:val="P68B1DB1-Normal12"/>
    <w:basedOn w:val="Normal"/>
    <w:rPr>
      <w:rFonts w:ascii="Times New Roman" w:hAnsi="Times New Roman"/>
      <w:color w:val="000000" w:themeColor="text1"/>
      <w:sz w:val="24"/>
      <w:u w:val="single"/>
    </w:rPr>
  </w:style>
  <w:style w:type="paragraph" w:customStyle="1" w:styleId="P68B1DB1-Normal13">
    <w:name w:val="P68B1DB1-Normal13"/>
    <w:basedOn w:val="Normal"/>
    <w:rPr>
      <w:rFonts w:ascii="Times New Roman" w:hAnsi="Times New Roman"/>
    </w:rPr>
  </w:style>
  <w:style w:type="paragraph" w:customStyle="1" w:styleId="P68B1DB1-Normal14">
    <w:name w:val="P68B1DB1-Normal14"/>
    <w:basedOn w:val="Normal"/>
    <w:rPr>
      <w:color w:val="000000"/>
      <w:sz w:val="24"/>
    </w:rPr>
  </w:style>
  <w:style w:type="paragraph" w:customStyle="1" w:styleId="P68B1DB1-Normal15">
    <w:name w:val="P68B1DB1-Normal15"/>
    <w:basedOn w:val="Normal"/>
    <w:rPr>
      <w:b/>
      <w:sz w:val="18"/>
    </w:rPr>
  </w:style>
  <w:style w:type="paragraph" w:customStyle="1" w:styleId="P68B1DB1-NumPar116">
    <w:name w:val="P68B1DB1-NumPar116"/>
    <w:basedOn w:val="NumPar1"/>
    <w:rPr>
      <w:b/>
    </w:rPr>
  </w:style>
  <w:style w:type="paragraph" w:customStyle="1" w:styleId="P68B1DB1-ListParagraph17">
    <w:name w:val="P68B1DB1-ListParagraph17"/>
    <w:basedOn w:val="ListParagraph"/>
    <w:rPr>
      <w:rFonts w:ascii="Times New Roman" w:hAnsi="Times New Roman"/>
      <w:sz w:val="24"/>
    </w:rPr>
  </w:style>
  <w:style w:type="paragraph" w:customStyle="1" w:styleId="P68B1DB1-Normal18">
    <w:name w:val="P68B1DB1-Normal18"/>
    <w:basedOn w:val="Normal"/>
    <w:rPr>
      <w:rFonts w:ascii="Times New Roman" w:hAnsi="Times New Roman"/>
      <w:b/>
      <w:color w:val="000000"/>
      <w:sz w:val="18"/>
    </w:rPr>
  </w:style>
  <w:style w:type="paragraph" w:customStyle="1" w:styleId="P68B1DB1-Normal19">
    <w:name w:val="P68B1DB1-Normal19"/>
    <w:basedOn w:val="Normal"/>
    <w:rPr>
      <w:rFonts w:ascii="Times New Roman" w:hAnsi="Times New Roman"/>
      <w:sz w:val="18"/>
    </w:rPr>
  </w:style>
  <w:style w:type="paragraph" w:customStyle="1" w:styleId="P68B1DB1-Normal20">
    <w:name w:val="P68B1DB1-Normal20"/>
    <w:basedOn w:val="Normal"/>
    <w:rPr>
      <w:rFonts w:ascii="Times New Roman" w:hAnsi="Times New Roman"/>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900611">
      <w:bodyDiv w:val="1"/>
      <w:marLeft w:val="0"/>
      <w:marRight w:val="0"/>
      <w:marTop w:val="0"/>
      <w:marBottom w:val="0"/>
      <w:divBdr>
        <w:top w:val="none" w:sz="0" w:space="0" w:color="auto"/>
        <w:left w:val="none" w:sz="0" w:space="0" w:color="auto"/>
        <w:bottom w:val="none" w:sz="0" w:space="0" w:color="auto"/>
        <w:right w:val="none" w:sz="0" w:space="0" w:color="auto"/>
      </w:divBdr>
    </w:div>
    <w:div w:id="636574367">
      <w:bodyDiv w:val="1"/>
      <w:marLeft w:val="0"/>
      <w:marRight w:val="0"/>
      <w:marTop w:val="0"/>
      <w:marBottom w:val="0"/>
      <w:divBdr>
        <w:top w:val="none" w:sz="0" w:space="0" w:color="auto"/>
        <w:left w:val="none" w:sz="0" w:space="0" w:color="auto"/>
        <w:bottom w:val="none" w:sz="0" w:space="0" w:color="auto"/>
        <w:right w:val="none" w:sz="0" w:space="0" w:color="auto"/>
      </w:divBdr>
    </w:div>
    <w:div w:id="1341152827">
      <w:bodyDiv w:val="1"/>
      <w:marLeft w:val="0"/>
      <w:marRight w:val="0"/>
      <w:marTop w:val="0"/>
      <w:marBottom w:val="0"/>
      <w:divBdr>
        <w:top w:val="none" w:sz="0" w:space="0" w:color="auto"/>
        <w:left w:val="none" w:sz="0" w:space="0" w:color="auto"/>
        <w:bottom w:val="none" w:sz="0" w:space="0" w:color="auto"/>
        <w:right w:val="none" w:sz="0" w:space="0" w:color="auto"/>
      </w:divBdr>
    </w:div>
    <w:div w:id="207666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footer" Target="footer5.xml"/><Relationship Id="rId42" Type="http://schemas.openxmlformats.org/officeDocument/2006/relationships/header" Target="header16.xml"/><Relationship Id="rId47" Type="http://schemas.openxmlformats.org/officeDocument/2006/relationships/footer" Target="footer18.xml"/><Relationship Id="rId63" Type="http://schemas.openxmlformats.org/officeDocument/2006/relationships/footer" Target="footer26.xml"/><Relationship Id="rId68" Type="http://schemas.openxmlformats.org/officeDocument/2006/relationships/footer" Target="footer28.xml"/><Relationship Id="rId84" Type="http://schemas.openxmlformats.org/officeDocument/2006/relationships/header" Target="header37.xml"/><Relationship Id="rId89" Type="http://schemas.openxmlformats.org/officeDocument/2006/relationships/footer" Target="footer39.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footer" Target="footer9.xml"/><Relationship Id="rId107" Type="http://schemas.openxmlformats.org/officeDocument/2006/relationships/footer" Target="footer48.xml"/><Relationship Id="rId11" Type="http://schemas.openxmlformats.org/officeDocument/2006/relationships/image" Target="media/image1.emf"/><Relationship Id="rId24" Type="http://schemas.openxmlformats.org/officeDocument/2006/relationships/header" Target="header7.xml"/><Relationship Id="rId32" Type="http://schemas.openxmlformats.org/officeDocument/2006/relationships/footer" Target="footer10.xml"/><Relationship Id="rId37" Type="http://schemas.openxmlformats.org/officeDocument/2006/relationships/header" Target="header14.xml"/><Relationship Id="rId40" Type="http://schemas.openxmlformats.org/officeDocument/2006/relationships/header" Target="header15.xml"/><Relationship Id="rId45" Type="http://schemas.openxmlformats.org/officeDocument/2006/relationships/footer" Target="footer17.xml"/><Relationship Id="rId53" Type="http://schemas.openxmlformats.org/officeDocument/2006/relationships/footer" Target="footer21.xml"/><Relationship Id="rId58" Type="http://schemas.openxmlformats.org/officeDocument/2006/relationships/header" Target="header24.xml"/><Relationship Id="rId66" Type="http://schemas.openxmlformats.org/officeDocument/2006/relationships/header" Target="header28.xml"/><Relationship Id="rId74" Type="http://schemas.openxmlformats.org/officeDocument/2006/relationships/footer" Target="footer31.xml"/><Relationship Id="rId79" Type="http://schemas.openxmlformats.org/officeDocument/2006/relationships/header" Target="header35.xml"/><Relationship Id="rId87" Type="http://schemas.openxmlformats.org/officeDocument/2006/relationships/footer" Target="footer38.xml"/><Relationship Id="rId102" Type="http://schemas.openxmlformats.org/officeDocument/2006/relationships/header" Target="header46.xml"/><Relationship Id="rId5" Type="http://schemas.openxmlformats.org/officeDocument/2006/relationships/numbering" Target="numbering.xml"/><Relationship Id="rId61" Type="http://schemas.openxmlformats.org/officeDocument/2006/relationships/header" Target="header26.xml"/><Relationship Id="rId82" Type="http://schemas.openxmlformats.org/officeDocument/2006/relationships/header" Target="header36.xml"/><Relationship Id="rId90" Type="http://schemas.openxmlformats.org/officeDocument/2006/relationships/header" Target="header40.xml"/><Relationship Id="rId95" Type="http://schemas.openxmlformats.org/officeDocument/2006/relationships/footer" Target="footer42.xml"/><Relationship Id="rId19" Type="http://schemas.openxmlformats.org/officeDocument/2006/relationships/header" Target="header5.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header" Target="header10.xml"/><Relationship Id="rId35" Type="http://schemas.openxmlformats.org/officeDocument/2006/relationships/footer" Target="footer12.xml"/><Relationship Id="rId43" Type="http://schemas.openxmlformats.org/officeDocument/2006/relationships/header" Target="header17.xml"/><Relationship Id="rId48" Type="http://schemas.openxmlformats.org/officeDocument/2006/relationships/header" Target="header19.xml"/><Relationship Id="rId56" Type="http://schemas.openxmlformats.org/officeDocument/2006/relationships/footer" Target="footer22.xml"/><Relationship Id="rId64" Type="http://schemas.openxmlformats.org/officeDocument/2006/relationships/header" Target="header27.xml"/><Relationship Id="rId69" Type="http://schemas.openxmlformats.org/officeDocument/2006/relationships/footer" Target="footer29.xml"/><Relationship Id="rId77" Type="http://schemas.openxmlformats.org/officeDocument/2006/relationships/footer" Target="footer33.xml"/><Relationship Id="rId100" Type="http://schemas.openxmlformats.org/officeDocument/2006/relationships/header" Target="header45.xml"/><Relationship Id="rId105" Type="http://schemas.openxmlformats.org/officeDocument/2006/relationships/footer" Target="footer47.xml"/><Relationship Id="rId8" Type="http://schemas.openxmlformats.org/officeDocument/2006/relationships/webSettings" Target="webSettings.xml"/><Relationship Id="rId51" Type="http://schemas.openxmlformats.org/officeDocument/2006/relationships/footer" Target="footer20.xml"/><Relationship Id="rId72" Type="http://schemas.openxmlformats.org/officeDocument/2006/relationships/header" Target="header31.xml"/><Relationship Id="rId80" Type="http://schemas.openxmlformats.org/officeDocument/2006/relationships/footer" Target="footer34.xml"/><Relationship Id="rId85" Type="http://schemas.openxmlformats.org/officeDocument/2006/relationships/header" Target="header38.xml"/><Relationship Id="rId93" Type="http://schemas.openxmlformats.org/officeDocument/2006/relationships/footer" Target="footer41.xml"/><Relationship Id="rId98" Type="http://schemas.openxmlformats.org/officeDocument/2006/relationships/footer" Target="footer43.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footer" Target="footer11.xml"/><Relationship Id="rId38" Type="http://schemas.openxmlformats.org/officeDocument/2006/relationships/footer" Target="footer13.xml"/><Relationship Id="rId46" Type="http://schemas.openxmlformats.org/officeDocument/2006/relationships/header" Target="header18.xml"/><Relationship Id="rId59" Type="http://schemas.openxmlformats.org/officeDocument/2006/relationships/footer" Target="footer24.xml"/><Relationship Id="rId67" Type="http://schemas.openxmlformats.org/officeDocument/2006/relationships/header" Target="header29.xml"/><Relationship Id="rId103" Type="http://schemas.openxmlformats.org/officeDocument/2006/relationships/header" Target="header47.xml"/><Relationship Id="rId108" Type="http://schemas.openxmlformats.org/officeDocument/2006/relationships/fontTable" Target="fontTable.xml"/><Relationship Id="rId20" Type="http://schemas.openxmlformats.org/officeDocument/2006/relationships/footer" Target="footer4.xml"/><Relationship Id="rId41" Type="http://schemas.openxmlformats.org/officeDocument/2006/relationships/footer" Target="footer15.xml"/><Relationship Id="rId54" Type="http://schemas.openxmlformats.org/officeDocument/2006/relationships/header" Target="header22.xml"/><Relationship Id="rId62" Type="http://schemas.openxmlformats.org/officeDocument/2006/relationships/footer" Target="footer25.xml"/><Relationship Id="rId70" Type="http://schemas.openxmlformats.org/officeDocument/2006/relationships/header" Target="header30.xml"/><Relationship Id="rId75" Type="http://schemas.openxmlformats.org/officeDocument/2006/relationships/footer" Target="footer32.xml"/><Relationship Id="rId83" Type="http://schemas.openxmlformats.org/officeDocument/2006/relationships/footer" Target="footer36.xml"/><Relationship Id="rId88" Type="http://schemas.openxmlformats.org/officeDocument/2006/relationships/header" Target="header39.xml"/><Relationship Id="rId91" Type="http://schemas.openxmlformats.org/officeDocument/2006/relationships/header" Target="header41.xml"/><Relationship Id="rId96" Type="http://schemas.openxmlformats.org/officeDocument/2006/relationships/header" Target="header4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9.xml"/><Relationship Id="rId36" Type="http://schemas.openxmlformats.org/officeDocument/2006/relationships/header" Target="header13.xml"/><Relationship Id="rId49" Type="http://schemas.openxmlformats.org/officeDocument/2006/relationships/header" Target="header20.xml"/><Relationship Id="rId57" Type="http://schemas.openxmlformats.org/officeDocument/2006/relationships/footer" Target="footer23.xml"/><Relationship Id="rId106" Type="http://schemas.openxmlformats.org/officeDocument/2006/relationships/header" Target="header48.xml"/><Relationship Id="rId10" Type="http://schemas.openxmlformats.org/officeDocument/2006/relationships/endnotes" Target="endnotes.xml"/><Relationship Id="rId31" Type="http://schemas.openxmlformats.org/officeDocument/2006/relationships/header" Target="header11.xml"/><Relationship Id="rId44" Type="http://schemas.openxmlformats.org/officeDocument/2006/relationships/footer" Target="footer16.xml"/><Relationship Id="rId52" Type="http://schemas.openxmlformats.org/officeDocument/2006/relationships/header" Target="header21.xml"/><Relationship Id="rId60" Type="http://schemas.openxmlformats.org/officeDocument/2006/relationships/header" Target="header25.xml"/><Relationship Id="rId65" Type="http://schemas.openxmlformats.org/officeDocument/2006/relationships/footer" Target="footer27.xml"/><Relationship Id="rId73" Type="http://schemas.openxmlformats.org/officeDocument/2006/relationships/header" Target="header32.xml"/><Relationship Id="rId78" Type="http://schemas.openxmlformats.org/officeDocument/2006/relationships/header" Target="header34.xml"/><Relationship Id="rId81" Type="http://schemas.openxmlformats.org/officeDocument/2006/relationships/footer" Target="footer35.xml"/><Relationship Id="rId86" Type="http://schemas.openxmlformats.org/officeDocument/2006/relationships/footer" Target="footer37.xml"/><Relationship Id="rId94" Type="http://schemas.openxmlformats.org/officeDocument/2006/relationships/header" Target="header42.xml"/><Relationship Id="rId99" Type="http://schemas.openxmlformats.org/officeDocument/2006/relationships/footer" Target="footer44.xml"/><Relationship Id="rId101" Type="http://schemas.openxmlformats.org/officeDocument/2006/relationships/footer" Target="footer45.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4.xml"/><Relationship Id="rId39" Type="http://schemas.openxmlformats.org/officeDocument/2006/relationships/footer" Target="footer14.xml"/><Relationship Id="rId109" Type="http://schemas.openxmlformats.org/officeDocument/2006/relationships/theme" Target="theme/theme1.xml"/><Relationship Id="rId34" Type="http://schemas.openxmlformats.org/officeDocument/2006/relationships/header" Target="header12.xml"/><Relationship Id="rId50" Type="http://schemas.openxmlformats.org/officeDocument/2006/relationships/footer" Target="footer19.xml"/><Relationship Id="rId55" Type="http://schemas.openxmlformats.org/officeDocument/2006/relationships/header" Target="header23.xml"/><Relationship Id="rId76" Type="http://schemas.openxmlformats.org/officeDocument/2006/relationships/header" Target="header33.xml"/><Relationship Id="rId97" Type="http://schemas.openxmlformats.org/officeDocument/2006/relationships/header" Target="header44.xml"/><Relationship Id="rId104" Type="http://schemas.openxmlformats.org/officeDocument/2006/relationships/footer" Target="footer46.xml"/><Relationship Id="rId7" Type="http://schemas.openxmlformats.org/officeDocument/2006/relationships/settings" Target="settings.xml"/><Relationship Id="rId71" Type="http://schemas.openxmlformats.org/officeDocument/2006/relationships/footer" Target="footer30.xml"/><Relationship Id="rId92" Type="http://schemas.openxmlformats.org/officeDocument/2006/relationships/footer" Target="footer4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2094E9F29D6C04F85860C631ABC812A" ma:contentTypeVersion="17" ma:contentTypeDescription="Crée un document." ma:contentTypeScope="" ma:versionID="48b99c61cd0644ea87edd45fbd6713a9">
  <xsd:schema xmlns:xsd="http://www.w3.org/2001/XMLSchema" xmlns:xs="http://www.w3.org/2001/XMLSchema" xmlns:p="http://schemas.microsoft.com/office/2006/metadata/properties" xmlns:ns2="1700ab43-7395-48ff-866c-657c86ba7f4e" xmlns:ns3="e6c3bc29-9e11-4027-900b-c73633d7928a" targetNamespace="http://schemas.microsoft.com/office/2006/metadata/properties" ma:root="true" ma:fieldsID="7bf063b13a4753149670b636a0b6a812" ns2:_="" ns3:_="">
    <xsd:import namespace="1700ab43-7395-48ff-866c-657c86ba7f4e"/>
    <xsd:import namespace="e6c3bc29-9e11-4027-900b-c73633d792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3:TaxCatchAll" minOccurs="0"/>
                <xsd:element ref="ns2:MediaServiceGenerationTime" minOccurs="0"/>
                <xsd:element ref="ns2:MediaServiceEventHashCode"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00ab43-7395-48ff-866c-657c86ba7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c3bc29-9e11-4027-900b-c73633d7928a"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c2b685cb-75d0-462f-9ca5-5edd93ddd782}" ma:internalName="TaxCatchAll" ma:showField="CatchAllData" ma:web="e6c3bc29-9e11-4027-900b-c73633d792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6c3bc29-9e11-4027-900b-c73633d7928a" xsi:nil="true"/>
    <lcf76f155ced4ddcb4097134ff3c332f xmlns="1700ab43-7395-48ff-866c-657c86ba7f4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2145A-5047-4735-BBDD-0E137D1E41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00ab43-7395-48ff-866c-657c86ba7f4e"/>
    <ds:schemaRef ds:uri="e6c3bc29-9e11-4027-900b-c73633d792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B77D20-901C-4C43-8152-2553C8A1BE78}">
  <ds:schemaRefs>
    <ds:schemaRef ds:uri="http://schemas.microsoft.com/sharepoint/v3/contenttype/forms"/>
  </ds:schemaRefs>
</ds:datastoreItem>
</file>

<file path=customXml/itemProps3.xml><?xml version="1.0" encoding="utf-8"?>
<ds:datastoreItem xmlns:ds="http://schemas.openxmlformats.org/officeDocument/2006/customXml" ds:itemID="{EA14F837-2774-4D76-B7B2-1B5DAA6727BC}">
  <ds:schemaRefs>
    <ds:schemaRef ds:uri="http://schemas.microsoft.com/office/2006/metadata/properties"/>
    <ds:schemaRef ds:uri="http://schemas.microsoft.com/office/infopath/2007/PartnerControls"/>
    <ds:schemaRef ds:uri="e6c3bc29-9e11-4027-900b-c73633d7928a"/>
    <ds:schemaRef ds:uri="1700ab43-7395-48ff-866c-657c86ba7f4e"/>
  </ds:schemaRefs>
</ds:datastoreItem>
</file>

<file path=customXml/itemProps4.xml><?xml version="1.0" encoding="utf-8"?>
<ds:datastoreItem xmlns:ds="http://schemas.openxmlformats.org/officeDocument/2006/customXml" ds:itemID="{A458D6E2-82B1-474B-9980-90758DB46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28085</Words>
  <Characters>160088</Characters>
  <Application>Microsoft Office Word</Application>
  <DocSecurity>0</DocSecurity>
  <Lines>1334</Lines>
  <Paragraphs>375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2023-06-22T15:16:00Z</dcterms:created>
  <dcterms:modified xsi:type="dcterms:W3CDTF">2023-07-05T12:21:00Z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0x01010062094E9F29D6C04F85860C631ABC812A</vt:lpwstr>
  </property>
  <property fmtid="{D5CDD505-2E9C-101B-9397-08002B2CF9AE}" pid="3" name="MSIP_Label_6bd9ddd1-4d20-43f6-abfa-fc3c07406f94_Enabled">
    <vt:lpwstr>true</vt:lpwstr>
  </property>
  <property fmtid="{D5CDD505-2E9C-101B-9397-08002B2CF9AE}" pid="4" name="MSIP_Label_6bd9ddd1-4d20-43f6-abfa-fc3c07406f94_SetDate">
    <vt:lpwstr>2023-06-02T15:34:41Z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8e887d8a-e5ba-433e-9f3f-1636a5dfbb95</vt:lpwstr>
  </property>
  <property fmtid="{D5CDD505-2E9C-101B-9397-08002B2CF9AE}" pid="9" name="MSIP_Label_6bd9ddd1-4d20-43f6-abfa-fc3c07406f94_ContentBits">
    <vt:lpwstr>0</vt:lpwstr>
  </property>
  <property fmtid="{D5CDD505-2E9C-101B-9397-08002B2CF9AE}" pid="10" name="MediaServiceImageTags">
    <vt:lpwstr/>
  </property>
  <property fmtid="{D5CDD505-2E9C-101B-9397-08002B2CF9AE}" pid="11" name="Level of sensitivity">
    <vt:lpwstr>Standard treatment</vt:lpwstr>
  </property>
  <property fmtid="{D5CDD505-2E9C-101B-9397-08002B2CF9AE}" pid="12" name="Last edited using">
    <vt:lpwstr>LW 9.0, Build 20230317</vt:lpwstr>
  </property>
  <property fmtid="{D5CDD505-2E9C-101B-9397-08002B2CF9AE}" pid="13" name="DocStatus">
    <vt:lpwstr>Green</vt:lpwstr>
  </property>
  <property fmtid="{D5CDD505-2E9C-101B-9397-08002B2CF9AE}" pid="14" name="First annex">
    <vt:lpwstr>1</vt:lpwstr>
  </property>
  <property fmtid="{D5CDD505-2E9C-101B-9397-08002B2CF9AE}" pid="15" name="Last annex">
    <vt:lpwstr>1</vt:lpwstr>
  </property>
  <property fmtid="{D5CDD505-2E9C-101B-9397-08002B2CF9AE}" pid="16" name="Unique annex">
    <vt:lpwstr>1</vt:lpwstr>
  </property>
  <property fmtid="{D5CDD505-2E9C-101B-9397-08002B2CF9AE}" pid="17" name="Part">
    <vt:lpwstr>1</vt:lpwstr>
  </property>
  <property fmtid="{D5CDD505-2E9C-101B-9397-08002B2CF9AE}" pid="18" name="Total parts">
    <vt:lpwstr>1</vt:lpwstr>
  </property>
  <property fmtid="{D5CDD505-2E9C-101B-9397-08002B2CF9AE}" pid="19" name="CPTemplateID">
    <vt:lpwstr>CP-036</vt:lpwstr>
  </property>
</Properties>
</file>