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48FFB" w14:textId="6D0F0ABA" w:rsidR="009065BF" w:rsidRPr="00DF3EF6" w:rsidRDefault="008B3F9A" w:rsidP="008B3F9A">
      <w:pPr>
        <w:pStyle w:val="Pagedecouverture"/>
        <w:rPr>
          <w:noProof/>
        </w:rPr>
      </w:pPr>
      <w:r>
        <w:rPr>
          <w:noProof/>
        </w:rPr>
        <w:pict w14:anchorId="0CF49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60BB0EE9-1AB5-4C66-B4E1-2C8434C47BBB" style="width:455.25pt;height:426pt">
            <v:imagedata r:id="rId10" o:title=""/>
          </v:shape>
        </w:pict>
      </w:r>
    </w:p>
    <w:p w14:paraId="074487B3" w14:textId="77777777" w:rsidR="009065BF" w:rsidRPr="00DF3EF6" w:rsidRDefault="009065BF" w:rsidP="009065BF">
      <w:pPr>
        <w:rPr>
          <w:noProof/>
        </w:rPr>
        <w:sectPr w:rsidR="009065BF" w:rsidRPr="00DF3EF6" w:rsidSect="008B3F9A">
          <w:footerReference w:type="default" r:id="rId11"/>
          <w:pgSz w:w="11907" w:h="16839"/>
          <w:pgMar w:top="1134" w:right="1417" w:bottom="1134" w:left="1417" w:header="709" w:footer="709" w:gutter="0"/>
          <w:pgNumType w:start="0"/>
          <w:cols w:space="720"/>
          <w:docGrid w:linePitch="360"/>
        </w:sectPr>
      </w:pPr>
    </w:p>
    <w:p w14:paraId="6B1686B6" w14:textId="77777777" w:rsidR="00E25235" w:rsidRPr="00DF3EF6" w:rsidRDefault="00E25235" w:rsidP="00E25235">
      <w:pPr>
        <w:pStyle w:val="Exposdesmotifstitre"/>
        <w:rPr>
          <w:noProof/>
        </w:rPr>
      </w:pPr>
      <w:bookmarkStart w:id="0" w:name="_GoBack"/>
      <w:bookmarkEnd w:id="0"/>
      <w:r w:rsidRPr="00DF3EF6">
        <w:rPr>
          <w:noProof/>
        </w:rPr>
        <w:lastRenderedPageBreak/>
        <w:t>UZASADNIENIE</w:t>
      </w:r>
    </w:p>
    <w:p w14:paraId="5A3AE628" w14:textId="77777777" w:rsidR="00E25235" w:rsidRPr="00DF3EF6" w:rsidRDefault="00E25235" w:rsidP="00E25235">
      <w:pPr>
        <w:pStyle w:val="ManualHeading1"/>
        <w:rPr>
          <w:noProof/>
        </w:rPr>
      </w:pPr>
      <w:r w:rsidRPr="00DF3EF6">
        <w:rPr>
          <w:noProof/>
        </w:rPr>
        <w:t>1.</w:t>
      </w:r>
      <w:r w:rsidRPr="00DF3EF6">
        <w:rPr>
          <w:noProof/>
        </w:rPr>
        <w:tab/>
        <w:t>KONTEKST WNIOSKU</w:t>
      </w:r>
    </w:p>
    <w:p w14:paraId="209C780E" w14:textId="33B7629C" w:rsidR="00E25235" w:rsidRPr="00DF3EF6" w:rsidRDefault="00E25235" w:rsidP="00E25235">
      <w:pPr>
        <w:pStyle w:val="ManualHeading2"/>
        <w:rPr>
          <w:noProof/>
        </w:rPr>
      </w:pPr>
      <w:r w:rsidRPr="00DF3EF6">
        <w:rPr>
          <w:noProof/>
          <w:u w:color="000000"/>
          <w:bdr w:val="nil"/>
        </w:rPr>
        <w:t>•</w:t>
      </w:r>
      <w:r w:rsidRPr="00DF3EF6">
        <w:rPr>
          <w:noProof/>
        </w:rPr>
        <w:tab/>
        <w:t>Przyczyny</w:t>
      </w:r>
      <w:r w:rsidR="0031342C" w:rsidRPr="00DF3EF6">
        <w:rPr>
          <w:noProof/>
        </w:rPr>
        <w:t xml:space="preserve"> i</w:t>
      </w:r>
      <w:r w:rsidR="0031342C">
        <w:rPr>
          <w:noProof/>
        </w:rPr>
        <w:t> </w:t>
      </w:r>
      <w:r w:rsidR="0031342C" w:rsidRPr="00DF3EF6">
        <w:rPr>
          <w:noProof/>
        </w:rPr>
        <w:t>cel</w:t>
      </w:r>
      <w:r w:rsidRPr="00DF3EF6">
        <w:rPr>
          <w:noProof/>
        </w:rPr>
        <w:t>e wniosku</w:t>
      </w:r>
    </w:p>
    <w:p w14:paraId="2DB67DAA" w14:textId="627376B1" w:rsidR="00E25235" w:rsidRPr="00DF3EF6" w:rsidRDefault="00E25235" w:rsidP="00E25235">
      <w:pPr>
        <w:pBdr>
          <w:top w:val="nil"/>
          <w:left w:val="nil"/>
          <w:bottom w:val="nil"/>
          <w:right w:val="nil"/>
          <w:between w:val="nil"/>
          <w:bar w:val="nil"/>
        </w:pBdr>
        <w:spacing w:after="240"/>
        <w:rPr>
          <w:noProof/>
        </w:rPr>
      </w:pPr>
      <w:bookmarkStart w:id="1" w:name="_Hlk124249252"/>
      <w:r w:rsidRPr="00DF3EF6">
        <w:rPr>
          <w:noProof/>
        </w:rPr>
        <w:t>Proponowane zmiany dyrektywy 2014/49/UE</w:t>
      </w:r>
      <w:r w:rsidRPr="00DF3EF6">
        <w:rPr>
          <w:rStyle w:val="FootnoteReference"/>
          <w:noProof/>
        </w:rPr>
        <w:footnoteReference w:id="2"/>
      </w:r>
      <w:r w:rsidRPr="00DF3EF6">
        <w:rPr>
          <w:noProof/>
        </w:rPr>
        <w:t xml:space="preserve"> (dyrektywa</w:t>
      </w:r>
      <w:r w:rsidR="0031342C" w:rsidRPr="00DF3EF6">
        <w:rPr>
          <w:noProof/>
        </w:rPr>
        <w:t xml:space="preserve"> w</w:t>
      </w:r>
      <w:r w:rsidR="0031342C">
        <w:rPr>
          <w:noProof/>
        </w:rPr>
        <w:t> </w:t>
      </w:r>
      <w:r w:rsidR="0031342C" w:rsidRPr="00DF3EF6">
        <w:rPr>
          <w:noProof/>
        </w:rPr>
        <w:t>spr</w:t>
      </w:r>
      <w:r w:rsidRPr="00DF3EF6">
        <w:rPr>
          <w:noProof/>
        </w:rPr>
        <w:t>awie systemów gwarancji depozytów) stanowią element pakietu legislacyjnego dotyczącego zarządzania kryzysowego</w:t>
      </w:r>
      <w:r w:rsidR="0031342C" w:rsidRPr="00DF3EF6">
        <w:rPr>
          <w:noProof/>
        </w:rPr>
        <w:t xml:space="preserve"> i</w:t>
      </w:r>
      <w:r w:rsidR="0031342C">
        <w:rPr>
          <w:noProof/>
        </w:rPr>
        <w:t> </w:t>
      </w:r>
      <w:r w:rsidR="0031342C" w:rsidRPr="00DF3EF6">
        <w:rPr>
          <w:noProof/>
        </w:rPr>
        <w:t>gwa</w:t>
      </w:r>
      <w:r w:rsidRPr="00DF3EF6">
        <w:rPr>
          <w:noProof/>
        </w:rPr>
        <w:t>rantowania depozytów (CMDI), obejmującego również zmiany dyrektywy 2014/59/UE</w:t>
      </w:r>
      <w:r w:rsidRPr="00DF3EF6">
        <w:rPr>
          <w:rStyle w:val="FootnoteReference"/>
          <w:noProof/>
        </w:rPr>
        <w:footnoteReference w:id="3"/>
      </w:r>
      <w:r w:rsidRPr="00DF3EF6">
        <w:rPr>
          <w:noProof/>
        </w:rPr>
        <w:t xml:space="preserve"> (dyrektywa</w:t>
      </w:r>
      <w:r w:rsidR="0031342C" w:rsidRPr="00DF3EF6">
        <w:rPr>
          <w:noProof/>
        </w:rPr>
        <w:t xml:space="preserve"> w</w:t>
      </w:r>
      <w:r w:rsidR="0031342C">
        <w:rPr>
          <w:noProof/>
        </w:rPr>
        <w:t> </w:t>
      </w:r>
      <w:r w:rsidR="0031342C" w:rsidRPr="00DF3EF6">
        <w:rPr>
          <w:noProof/>
        </w:rPr>
        <w:t>spr</w:t>
      </w:r>
      <w:r w:rsidRPr="00DF3EF6">
        <w:rPr>
          <w:noProof/>
        </w:rPr>
        <w:t>awie naprawy oraz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banków lub dyrektywa BRRD)</w:t>
      </w:r>
      <w:r w:rsidR="0031342C" w:rsidRPr="00DF3EF6">
        <w:rPr>
          <w:noProof/>
        </w:rPr>
        <w:t xml:space="preserve"> i</w:t>
      </w:r>
      <w:r w:rsidR="0031342C">
        <w:rPr>
          <w:noProof/>
        </w:rPr>
        <w:t> </w:t>
      </w:r>
      <w:r w:rsidR="0031342C" w:rsidRPr="00DF3EF6">
        <w:rPr>
          <w:noProof/>
        </w:rPr>
        <w:t>roz</w:t>
      </w:r>
      <w:r w:rsidRPr="00DF3EF6">
        <w:rPr>
          <w:noProof/>
        </w:rPr>
        <w:t xml:space="preserve">porządzenia (UE) </w:t>
      </w:r>
      <w:r w:rsidRPr="0031342C">
        <w:rPr>
          <w:noProof/>
        </w:rPr>
        <w:t>nr</w:t>
      </w:r>
      <w:r w:rsidR="0031342C" w:rsidRPr="0031342C">
        <w:rPr>
          <w:noProof/>
        </w:rPr>
        <w:t> </w:t>
      </w:r>
      <w:r w:rsidRPr="0031342C">
        <w:rPr>
          <w:noProof/>
        </w:rPr>
        <w:t>8</w:t>
      </w:r>
      <w:r w:rsidRPr="00DF3EF6">
        <w:rPr>
          <w:noProof/>
        </w:rPr>
        <w:t>06/2014</w:t>
      </w:r>
      <w:r w:rsidRPr="00DF3EF6">
        <w:rPr>
          <w:rStyle w:val="FootnoteReference"/>
          <w:noProof/>
        </w:rPr>
        <w:footnoteReference w:id="4"/>
      </w:r>
      <w:r w:rsidRPr="00DF3EF6">
        <w:rPr>
          <w:noProof/>
        </w:rPr>
        <w:t xml:space="preserve"> (rozporządzenie</w:t>
      </w:r>
      <w:r w:rsidR="0031342C" w:rsidRPr="00DF3EF6">
        <w:rPr>
          <w:noProof/>
        </w:rPr>
        <w:t xml:space="preserve"> w</w:t>
      </w:r>
      <w:r w:rsidR="0031342C">
        <w:rPr>
          <w:noProof/>
        </w:rPr>
        <w:t> </w:t>
      </w:r>
      <w:r w:rsidR="0031342C" w:rsidRPr="00DF3EF6">
        <w:rPr>
          <w:noProof/>
        </w:rPr>
        <w:t>spr</w:t>
      </w:r>
      <w:r w:rsidRPr="00DF3EF6">
        <w:rPr>
          <w:noProof/>
        </w:rPr>
        <w:t>awie jednolitego mechanizmu restrukturyzacji</w:t>
      </w:r>
      <w:r w:rsidR="0031342C" w:rsidRPr="00DF3EF6">
        <w:rPr>
          <w:noProof/>
        </w:rPr>
        <w:t xml:space="preserve"> i</w:t>
      </w:r>
      <w:r w:rsidR="0031342C">
        <w:rPr>
          <w:noProof/>
        </w:rPr>
        <w:t> </w:t>
      </w:r>
      <w:r w:rsidR="0031342C" w:rsidRPr="00DF3EF6">
        <w:rPr>
          <w:noProof/>
        </w:rPr>
        <w:t>upo</w:t>
      </w:r>
      <w:r w:rsidRPr="00DF3EF6">
        <w:rPr>
          <w:noProof/>
        </w:rPr>
        <w:t xml:space="preserve">rządkowanej likwidacji lub rozporządzenie SRMR). </w:t>
      </w:r>
      <w:bookmarkEnd w:id="1"/>
    </w:p>
    <w:p w14:paraId="4CFFAEA9" w14:textId="776D13E1" w:rsidR="00E25235" w:rsidRPr="00DF3EF6" w:rsidRDefault="00E25235" w:rsidP="00E25235">
      <w:pPr>
        <w:pBdr>
          <w:top w:val="nil"/>
          <w:left w:val="nil"/>
          <w:bottom w:val="nil"/>
          <w:right w:val="nil"/>
          <w:between w:val="nil"/>
          <w:bar w:val="nil"/>
        </w:pBdr>
        <w:spacing w:after="240"/>
        <w:rPr>
          <w:noProof/>
        </w:rPr>
      </w:pPr>
      <w:r w:rsidRPr="00DF3EF6">
        <w:rPr>
          <w:noProof/>
        </w:rPr>
        <w:t>Unijne ramy zarządzania kryzysowego są ugruntowane, jednak poprzednie przypadki upadłości banków pokazały, że istnieje konieczność dokonania usprawnień. Celem reformy CMDI jest uzupełnienie celów ram zarządzania kryzysowego</w:t>
      </w:r>
      <w:r w:rsidR="0031342C" w:rsidRPr="00DF3EF6">
        <w:rPr>
          <w:noProof/>
        </w:rPr>
        <w:t xml:space="preserve"> i</w:t>
      </w:r>
      <w:r w:rsidR="0031342C">
        <w:rPr>
          <w:noProof/>
        </w:rPr>
        <w:t> </w:t>
      </w:r>
      <w:r w:rsidR="0031342C" w:rsidRPr="00DF3EF6">
        <w:rPr>
          <w:noProof/>
        </w:rPr>
        <w:t>zap</w:t>
      </w:r>
      <w:r w:rsidRPr="00DF3EF6">
        <w:rPr>
          <w:noProof/>
        </w:rPr>
        <w:t>ewnienie spójniejszego podejścia do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aby każdy bank znajdujący się</w:t>
      </w:r>
      <w:r w:rsidR="0031342C" w:rsidRPr="00DF3EF6">
        <w:rPr>
          <w:noProof/>
        </w:rPr>
        <w:t xml:space="preserve"> w</w:t>
      </w:r>
      <w:r w:rsidR="0031342C">
        <w:rPr>
          <w:noProof/>
        </w:rPr>
        <w:t> </w:t>
      </w:r>
      <w:r w:rsidR="0031342C" w:rsidRPr="00DF3EF6">
        <w:rPr>
          <w:noProof/>
        </w:rPr>
        <w:t>syt</w:t>
      </w:r>
      <w:r w:rsidRPr="00DF3EF6">
        <w:rPr>
          <w:noProof/>
        </w:rPr>
        <w:t>uacji kryzysowej mógł opuścić rynek</w:t>
      </w:r>
      <w:r w:rsidR="0031342C" w:rsidRPr="00DF3EF6">
        <w:rPr>
          <w:noProof/>
        </w:rPr>
        <w:t xml:space="preserve"> w</w:t>
      </w:r>
      <w:r w:rsidR="0031342C">
        <w:rPr>
          <w:noProof/>
        </w:rPr>
        <w:t> </w:t>
      </w:r>
      <w:r w:rsidR="0031342C" w:rsidRPr="00DF3EF6">
        <w:rPr>
          <w:noProof/>
        </w:rPr>
        <w:t>spo</w:t>
      </w:r>
      <w:r w:rsidRPr="00DF3EF6">
        <w:rPr>
          <w:noProof/>
        </w:rPr>
        <w:t>sób uporządkowany,</w:t>
      </w:r>
      <w:r w:rsidR="0031342C" w:rsidRPr="00DF3EF6">
        <w:rPr>
          <w:noProof/>
        </w:rPr>
        <w:t xml:space="preserve"> z</w:t>
      </w:r>
      <w:r w:rsidR="0031342C">
        <w:rPr>
          <w:noProof/>
        </w:rPr>
        <w:t> </w:t>
      </w:r>
      <w:r w:rsidR="0031342C" w:rsidRPr="00DF3EF6">
        <w:rPr>
          <w:noProof/>
        </w:rPr>
        <w:t>jed</w:t>
      </w:r>
      <w:r w:rsidRPr="00DF3EF6">
        <w:rPr>
          <w:noProof/>
        </w:rPr>
        <w:t>noczesnym zachowaniem stabilności finansowej, pieniędzy podatników</w:t>
      </w:r>
      <w:r w:rsidR="0031342C" w:rsidRPr="00DF3EF6">
        <w:rPr>
          <w:noProof/>
        </w:rPr>
        <w:t xml:space="preserve"> i</w:t>
      </w:r>
      <w:r w:rsidR="0031342C">
        <w:rPr>
          <w:noProof/>
        </w:rPr>
        <w:t> </w:t>
      </w:r>
      <w:r w:rsidR="0031342C" w:rsidRPr="00DF3EF6">
        <w:rPr>
          <w:noProof/>
        </w:rPr>
        <w:t>zap</w:t>
      </w:r>
      <w:r w:rsidRPr="00DF3EF6">
        <w:rPr>
          <w:noProof/>
        </w:rPr>
        <w:t>ewnieniem zaufania deponentów</w:t>
      </w:r>
      <w:r w:rsidR="0031342C" w:rsidRPr="00DF3EF6">
        <w:rPr>
          <w:noProof/>
        </w:rPr>
        <w:t>. W</w:t>
      </w:r>
      <w:r w:rsidR="0031342C">
        <w:rPr>
          <w:noProof/>
        </w:rPr>
        <w:t> </w:t>
      </w:r>
      <w:r w:rsidR="0031342C" w:rsidRPr="00DF3EF6">
        <w:rPr>
          <w:noProof/>
        </w:rPr>
        <w:t>szc</w:t>
      </w:r>
      <w:r w:rsidRPr="00DF3EF6">
        <w:rPr>
          <w:noProof/>
        </w:rPr>
        <w:t>zególności</w:t>
      </w:r>
      <w:r w:rsidR="0031342C" w:rsidRPr="00DF3EF6">
        <w:rPr>
          <w:noProof/>
        </w:rPr>
        <w:t xml:space="preserve"> w</w:t>
      </w:r>
      <w:r w:rsidR="0031342C">
        <w:rPr>
          <w:noProof/>
        </w:rPr>
        <w:t> </w:t>
      </w:r>
      <w:r w:rsidR="0031342C" w:rsidRPr="00DF3EF6">
        <w:rPr>
          <w:noProof/>
        </w:rPr>
        <w:t>prz</w:t>
      </w:r>
      <w:r w:rsidRPr="00DF3EF6">
        <w:rPr>
          <w:noProof/>
        </w:rPr>
        <w:t>ypadku mniejszych banków</w:t>
      </w:r>
      <w:r w:rsidR="0031342C" w:rsidRPr="00DF3EF6">
        <w:rPr>
          <w:noProof/>
        </w:rPr>
        <w:t xml:space="preserve"> i</w:t>
      </w:r>
      <w:r w:rsidR="0031342C">
        <w:rPr>
          <w:noProof/>
        </w:rPr>
        <w:t> </w:t>
      </w:r>
      <w:r w:rsidR="0031342C" w:rsidRPr="00DF3EF6">
        <w:rPr>
          <w:noProof/>
        </w:rPr>
        <w:t>ban</w:t>
      </w:r>
      <w:r w:rsidRPr="00DF3EF6">
        <w:rPr>
          <w:noProof/>
        </w:rPr>
        <w:t>ków średniej wielkości należy wzmocnić istniejące ramy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pod względem ich koncepcji, wdrażania i, co najważniejsze, zachęt do ich stosowania, tak aby można je było</w:t>
      </w:r>
      <w:r w:rsidR="0031342C" w:rsidRPr="00DF3EF6">
        <w:rPr>
          <w:noProof/>
        </w:rPr>
        <w:t xml:space="preserve"> w</w:t>
      </w:r>
      <w:r w:rsidR="0031342C">
        <w:rPr>
          <w:noProof/>
        </w:rPr>
        <w:t> </w:t>
      </w:r>
      <w:r w:rsidR="0031342C" w:rsidRPr="00DF3EF6">
        <w:rPr>
          <w:noProof/>
        </w:rPr>
        <w:t>spo</w:t>
      </w:r>
      <w:r w:rsidRPr="00DF3EF6">
        <w:rPr>
          <w:noProof/>
        </w:rPr>
        <w:t>sób bardziej wiarygodny stosować do tych banków. Należy ponadto ulepszyć ramy ochrony deponentów, aby zapewnić spójne stosowanie przepisów</w:t>
      </w:r>
      <w:r w:rsidR="0031342C" w:rsidRPr="00DF3EF6">
        <w:rPr>
          <w:noProof/>
        </w:rPr>
        <w:t xml:space="preserve"> i</w:t>
      </w:r>
      <w:r w:rsidR="0031342C">
        <w:rPr>
          <w:noProof/>
        </w:rPr>
        <w:t> </w:t>
      </w:r>
      <w:r w:rsidR="0031342C" w:rsidRPr="00DF3EF6">
        <w:rPr>
          <w:noProof/>
        </w:rPr>
        <w:t>rów</w:t>
      </w:r>
      <w:r w:rsidRPr="00DF3EF6">
        <w:rPr>
          <w:noProof/>
        </w:rPr>
        <w:t>ne warunki działania, jednocześnie chroniąc stabilność finansową, zwiększając zaufanie deponentów</w:t>
      </w:r>
      <w:r w:rsidR="0031342C" w:rsidRPr="00DF3EF6">
        <w:rPr>
          <w:noProof/>
        </w:rPr>
        <w:t xml:space="preserve"> i</w:t>
      </w:r>
      <w:r w:rsidR="0031342C">
        <w:rPr>
          <w:noProof/>
        </w:rPr>
        <w:t> </w:t>
      </w:r>
      <w:r w:rsidR="0031342C" w:rsidRPr="00DF3EF6">
        <w:rPr>
          <w:noProof/>
        </w:rPr>
        <w:t>zap</w:t>
      </w:r>
      <w:r w:rsidRPr="00DF3EF6">
        <w:rPr>
          <w:noProof/>
        </w:rPr>
        <w:t xml:space="preserve">obiegając efektowi domina. </w:t>
      </w:r>
    </w:p>
    <w:p w14:paraId="07DC6350" w14:textId="77777777" w:rsidR="00E25235" w:rsidRPr="00DF3EF6" w:rsidRDefault="00E25235" w:rsidP="00834CAF">
      <w:pPr>
        <w:pStyle w:val="ManualHeading2"/>
        <w:rPr>
          <w:noProof/>
        </w:rPr>
      </w:pPr>
      <w:r w:rsidRPr="00DF3EF6">
        <w:rPr>
          <w:noProof/>
        </w:rPr>
        <w:t>Kontekst wniosku</w:t>
      </w:r>
    </w:p>
    <w:p w14:paraId="2CDAA657" w14:textId="5B6C295F" w:rsidR="00E25235" w:rsidRPr="00DF3EF6" w:rsidRDefault="00E25235" w:rsidP="00E25235">
      <w:pPr>
        <w:pBdr>
          <w:top w:val="nil"/>
          <w:left w:val="nil"/>
          <w:bottom w:val="nil"/>
          <w:right w:val="nil"/>
          <w:between w:val="nil"/>
          <w:bar w:val="nil"/>
        </w:pBdr>
        <w:spacing w:after="240"/>
        <w:rPr>
          <w:noProof/>
        </w:rPr>
      </w:pPr>
      <w:r w:rsidRPr="00DF3EF6">
        <w:rPr>
          <w:noProof/>
        </w:rPr>
        <w:t>W następstwie globalnego kryzysu finansowego</w:t>
      </w:r>
      <w:r w:rsidR="0031342C" w:rsidRPr="00DF3EF6">
        <w:rPr>
          <w:noProof/>
        </w:rPr>
        <w:t xml:space="preserve"> i</w:t>
      </w:r>
      <w:r w:rsidR="0031342C">
        <w:rPr>
          <w:noProof/>
        </w:rPr>
        <w:t> </w:t>
      </w:r>
      <w:r w:rsidR="0031342C" w:rsidRPr="00DF3EF6">
        <w:rPr>
          <w:noProof/>
        </w:rPr>
        <w:t>zad</w:t>
      </w:r>
      <w:r w:rsidRPr="00DF3EF6">
        <w:rPr>
          <w:noProof/>
        </w:rPr>
        <w:t>łużeniowego UE podjęła zdecydowane działania zgodnie</w:t>
      </w:r>
      <w:r w:rsidR="0031342C" w:rsidRPr="00DF3EF6">
        <w:rPr>
          <w:noProof/>
        </w:rPr>
        <w:t xml:space="preserve"> z</w:t>
      </w:r>
      <w:r w:rsidR="0031342C">
        <w:rPr>
          <w:noProof/>
        </w:rPr>
        <w:t> </w:t>
      </w:r>
      <w:r w:rsidR="0031342C" w:rsidRPr="00DF3EF6">
        <w:rPr>
          <w:noProof/>
        </w:rPr>
        <w:t>mię</w:t>
      </w:r>
      <w:r w:rsidRPr="00DF3EF6">
        <w:rPr>
          <w:noProof/>
        </w:rPr>
        <w:t>dzynarodowymi wezwaniami do przeprowadzenia reform,</w:t>
      </w:r>
      <w:r w:rsidR="0031342C" w:rsidRPr="00DF3EF6">
        <w:rPr>
          <w:noProof/>
        </w:rPr>
        <w:t xml:space="preserve"> w</w:t>
      </w:r>
      <w:r w:rsidR="0031342C">
        <w:rPr>
          <w:noProof/>
        </w:rPr>
        <w:t> </w:t>
      </w:r>
      <w:r w:rsidR="0031342C" w:rsidRPr="00DF3EF6">
        <w:rPr>
          <w:noProof/>
        </w:rPr>
        <w:t>cel</w:t>
      </w:r>
      <w:r w:rsidRPr="00DF3EF6">
        <w:rPr>
          <w:noProof/>
        </w:rPr>
        <w:t>u stworzenia bezpieczniejszego sektora finansowego dla jednolitego rynku UE. Obejmowały one zapewnienie instrumentów</w:t>
      </w:r>
      <w:r w:rsidR="0031342C" w:rsidRPr="00DF3EF6">
        <w:rPr>
          <w:noProof/>
        </w:rPr>
        <w:t xml:space="preserve"> i</w:t>
      </w:r>
      <w:r w:rsidR="0031342C">
        <w:rPr>
          <w:noProof/>
        </w:rPr>
        <w:t> </w:t>
      </w:r>
      <w:r w:rsidR="0031342C" w:rsidRPr="00DF3EF6">
        <w:rPr>
          <w:noProof/>
        </w:rPr>
        <w:t>upr</w:t>
      </w:r>
      <w:r w:rsidRPr="00DF3EF6">
        <w:rPr>
          <w:noProof/>
        </w:rPr>
        <w:t>awnień do podjęcia stosownych działań</w:t>
      </w:r>
      <w:r w:rsidR="0031342C" w:rsidRPr="00DF3EF6">
        <w:rPr>
          <w:noProof/>
        </w:rPr>
        <w:t xml:space="preserve"> w</w:t>
      </w:r>
      <w:r w:rsidR="0031342C">
        <w:rPr>
          <w:noProof/>
        </w:rPr>
        <w:t> </w:t>
      </w:r>
      <w:r w:rsidR="0031342C" w:rsidRPr="00DF3EF6">
        <w:rPr>
          <w:noProof/>
        </w:rPr>
        <w:t>prz</w:t>
      </w:r>
      <w:r w:rsidRPr="00DF3EF6">
        <w:rPr>
          <w:noProof/>
        </w:rPr>
        <w:t>ypadku upadłości dowolnego banku</w:t>
      </w:r>
      <w:r w:rsidR="0031342C" w:rsidRPr="00DF3EF6">
        <w:rPr>
          <w:noProof/>
        </w:rPr>
        <w:t xml:space="preserve"> w</w:t>
      </w:r>
      <w:r w:rsidR="0031342C">
        <w:rPr>
          <w:noProof/>
        </w:rPr>
        <w:t> </w:t>
      </w:r>
      <w:r w:rsidR="0031342C" w:rsidRPr="00DF3EF6">
        <w:rPr>
          <w:noProof/>
        </w:rPr>
        <w:t>spo</w:t>
      </w:r>
      <w:r w:rsidRPr="00DF3EF6">
        <w:rPr>
          <w:noProof/>
        </w:rPr>
        <w:t>sób uporządkowany przy jednoczesnym zachowaniu stabilności finansowej, finansów publicznych</w:t>
      </w:r>
      <w:r w:rsidR="0031342C" w:rsidRPr="00DF3EF6">
        <w:rPr>
          <w:noProof/>
        </w:rPr>
        <w:t xml:space="preserve"> i</w:t>
      </w:r>
      <w:r w:rsidR="0031342C">
        <w:rPr>
          <w:noProof/>
        </w:rPr>
        <w:t> </w:t>
      </w:r>
      <w:r w:rsidR="0031342C" w:rsidRPr="00DF3EF6">
        <w:rPr>
          <w:noProof/>
        </w:rPr>
        <w:t>och</w:t>
      </w:r>
      <w:r w:rsidRPr="00DF3EF6">
        <w:rPr>
          <w:noProof/>
        </w:rPr>
        <w:t>rony deponentów. Unię bankową utworzono</w:t>
      </w:r>
      <w:r w:rsidR="0031342C" w:rsidRPr="00DF3EF6">
        <w:rPr>
          <w:noProof/>
        </w:rPr>
        <w:t xml:space="preserve"> w</w:t>
      </w:r>
      <w:r w:rsidR="0031342C">
        <w:rPr>
          <w:noProof/>
        </w:rPr>
        <w:t> </w:t>
      </w:r>
      <w:r w:rsidR="0031342C" w:rsidRPr="00DF3EF6">
        <w:rPr>
          <w:noProof/>
        </w:rPr>
        <w:t>2</w:t>
      </w:r>
      <w:r w:rsidRPr="00DF3EF6">
        <w:rPr>
          <w:noProof/>
        </w:rPr>
        <w:t>0</w:t>
      </w:r>
      <w:r w:rsidRPr="0031342C">
        <w:rPr>
          <w:noProof/>
        </w:rPr>
        <w:t>14</w:t>
      </w:r>
      <w:r w:rsidR="0031342C" w:rsidRPr="0031342C">
        <w:rPr>
          <w:noProof/>
        </w:rPr>
        <w:t> </w:t>
      </w:r>
      <w:r w:rsidRPr="0031342C">
        <w:rPr>
          <w:noProof/>
        </w:rPr>
        <w:t>r.</w:t>
      </w:r>
      <w:r w:rsidR="0031342C" w:rsidRPr="00DF3EF6">
        <w:rPr>
          <w:noProof/>
        </w:rPr>
        <w:t xml:space="preserve"> i</w:t>
      </w:r>
      <w:r w:rsidR="0031342C">
        <w:rPr>
          <w:noProof/>
        </w:rPr>
        <w:t> </w:t>
      </w:r>
      <w:r w:rsidR="0031342C" w:rsidRPr="00DF3EF6">
        <w:rPr>
          <w:noProof/>
        </w:rPr>
        <w:t>obe</w:t>
      </w:r>
      <w:r w:rsidRPr="00DF3EF6">
        <w:rPr>
          <w:noProof/>
        </w:rPr>
        <w:t>cnie składa się ona</w:t>
      </w:r>
      <w:r w:rsidR="0031342C" w:rsidRPr="00DF3EF6">
        <w:rPr>
          <w:noProof/>
        </w:rPr>
        <w:t xml:space="preserve"> z</w:t>
      </w:r>
      <w:r w:rsidR="0031342C">
        <w:rPr>
          <w:noProof/>
        </w:rPr>
        <w:t> </w:t>
      </w:r>
      <w:r w:rsidR="0031342C" w:rsidRPr="00DF3EF6">
        <w:rPr>
          <w:noProof/>
        </w:rPr>
        <w:t>dwó</w:t>
      </w:r>
      <w:r w:rsidRPr="00DF3EF6">
        <w:rPr>
          <w:noProof/>
        </w:rPr>
        <w:t>ch filarów: Jednolitego Mechanizmu Nadzorczego</w:t>
      </w:r>
      <w:r w:rsidR="0031342C" w:rsidRPr="00DF3EF6">
        <w:rPr>
          <w:noProof/>
        </w:rPr>
        <w:t xml:space="preserve"> i</w:t>
      </w:r>
      <w:r w:rsidR="0031342C">
        <w:rPr>
          <w:noProof/>
        </w:rPr>
        <w:t> </w:t>
      </w:r>
      <w:r w:rsidR="0031342C" w:rsidRPr="00DF3EF6">
        <w:rPr>
          <w:noProof/>
        </w:rPr>
        <w:t>jed</w:t>
      </w:r>
      <w:r w:rsidRPr="00DF3EF6">
        <w:rPr>
          <w:noProof/>
        </w:rPr>
        <w:t>nolitego mechanizmu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Nadal jednak nie dokończono budowy unii bankowej</w:t>
      </w:r>
      <w:r w:rsidR="0031342C" w:rsidRPr="00DF3EF6">
        <w:rPr>
          <w:noProof/>
        </w:rPr>
        <w:t xml:space="preserve"> i</w:t>
      </w:r>
      <w:r w:rsidR="0031342C">
        <w:rPr>
          <w:noProof/>
        </w:rPr>
        <w:t> </w:t>
      </w:r>
      <w:r w:rsidR="0031342C" w:rsidRPr="00DF3EF6">
        <w:rPr>
          <w:noProof/>
        </w:rPr>
        <w:t>nie</w:t>
      </w:r>
      <w:r w:rsidRPr="00DF3EF6">
        <w:rPr>
          <w:noProof/>
        </w:rPr>
        <w:t xml:space="preserve"> określono jej trzeciego filaru: </w:t>
      </w:r>
      <w:r w:rsidRPr="00DF3EF6">
        <w:rPr>
          <w:noProof/>
        </w:rPr>
        <w:lastRenderedPageBreak/>
        <w:t>europejskiego systemu gwarantowania depozytów (EDIS)</w:t>
      </w:r>
      <w:r w:rsidRPr="00DF3EF6">
        <w:rPr>
          <w:rStyle w:val="FootnoteReference"/>
          <w:noProof/>
        </w:rPr>
        <w:footnoteReference w:id="5"/>
      </w:r>
      <w:r w:rsidRPr="00DF3EF6">
        <w:rPr>
          <w:noProof/>
        </w:rPr>
        <w:t>. Wniosek Komisji przyjęty 24 listopada 20</w:t>
      </w:r>
      <w:r w:rsidRPr="0031342C">
        <w:rPr>
          <w:noProof/>
        </w:rPr>
        <w:t>15</w:t>
      </w:r>
      <w:r w:rsidR="0031342C" w:rsidRPr="0031342C">
        <w:rPr>
          <w:noProof/>
        </w:rPr>
        <w:t> </w:t>
      </w:r>
      <w:r w:rsidRPr="0031342C">
        <w:rPr>
          <w:noProof/>
        </w:rPr>
        <w:t>r.</w:t>
      </w:r>
      <w:r w:rsidR="0031342C" w:rsidRPr="00DF3EF6">
        <w:rPr>
          <w:noProof/>
        </w:rPr>
        <w:t xml:space="preserve"> w</w:t>
      </w:r>
      <w:r w:rsidR="0031342C">
        <w:rPr>
          <w:noProof/>
        </w:rPr>
        <w:t> </w:t>
      </w:r>
      <w:r w:rsidR="0031342C" w:rsidRPr="00DF3EF6">
        <w:rPr>
          <w:noProof/>
        </w:rPr>
        <w:t>spr</w:t>
      </w:r>
      <w:r w:rsidRPr="00DF3EF6">
        <w:rPr>
          <w:noProof/>
        </w:rPr>
        <w:t>awie ustanowienia EDIS</w:t>
      </w:r>
      <w:r w:rsidRPr="00DF3EF6">
        <w:rPr>
          <w:rStyle w:val="FootnoteReference"/>
          <w:noProof/>
        </w:rPr>
        <w:footnoteReference w:id="6"/>
      </w:r>
      <w:r w:rsidRPr="00DF3EF6">
        <w:rPr>
          <w:noProof/>
        </w:rPr>
        <w:t xml:space="preserve"> nadal oczekuje na rozpatrzenie.</w:t>
      </w:r>
    </w:p>
    <w:p w14:paraId="5B2C2CDF" w14:textId="06C6B840" w:rsidR="00E25235" w:rsidRPr="00DF3EF6" w:rsidRDefault="00E25235" w:rsidP="00E25235">
      <w:pPr>
        <w:pBdr>
          <w:top w:val="nil"/>
          <w:left w:val="nil"/>
          <w:bottom w:val="nil"/>
          <w:right w:val="nil"/>
          <w:between w:val="nil"/>
          <w:bar w:val="nil"/>
        </w:pBdr>
        <w:spacing w:after="240"/>
        <w:rPr>
          <w:noProof/>
        </w:rPr>
      </w:pPr>
      <w:r w:rsidRPr="00DF3EF6">
        <w:rPr>
          <w:noProof/>
        </w:rPr>
        <w:t>Unię bankową wspiera jednolity zbiór przepisów, który</w:t>
      </w:r>
      <w:r w:rsidR="0031342C" w:rsidRPr="00DF3EF6">
        <w:rPr>
          <w:noProof/>
        </w:rPr>
        <w:t xml:space="preserve"> w</w:t>
      </w:r>
      <w:r w:rsidR="0031342C">
        <w:rPr>
          <w:noProof/>
        </w:rPr>
        <w:t> </w:t>
      </w:r>
      <w:r w:rsidR="0031342C" w:rsidRPr="00DF3EF6">
        <w:rPr>
          <w:noProof/>
        </w:rPr>
        <w:t>odn</w:t>
      </w:r>
      <w:r w:rsidRPr="00DF3EF6">
        <w:rPr>
          <w:noProof/>
        </w:rPr>
        <w:t>iesieniu do CMDI składa się</w:t>
      </w:r>
      <w:r w:rsidR="0031342C" w:rsidRPr="00DF3EF6">
        <w:rPr>
          <w:noProof/>
        </w:rPr>
        <w:t xml:space="preserve"> z</w:t>
      </w:r>
      <w:r w:rsidR="0031342C">
        <w:rPr>
          <w:noProof/>
        </w:rPr>
        <w:t> </w:t>
      </w:r>
      <w:r w:rsidR="0031342C" w:rsidRPr="00DF3EF6">
        <w:rPr>
          <w:noProof/>
        </w:rPr>
        <w:t>trz</w:t>
      </w:r>
      <w:r w:rsidRPr="00DF3EF6">
        <w:rPr>
          <w:noProof/>
        </w:rPr>
        <w:t>ech aktów prawnych UE przyjętych</w:t>
      </w:r>
      <w:r w:rsidR="0031342C" w:rsidRPr="00DF3EF6">
        <w:rPr>
          <w:noProof/>
        </w:rPr>
        <w:t xml:space="preserve"> w</w:t>
      </w:r>
      <w:r w:rsidR="0031342C">
        <w:rPr>
          <w:noProof/>
        </w:rPr>
        <w:t> </w:t>
      </w:r>
      <w:r w:rsidR="0031342C" w:rsidRPr="00DF3EF6">
        <w:rPr>
          <w:noProof/>
        </w:rPr>
        <w:t>2</w:t>
      </w:r>
      <w:r w:rsidRPr="00DF3EF6">
        <w:rPr>
          <w:noProof/>
        </w:rPr>
        <w:t>0</w:t>
      </w:r>
      <w:r w:rsidRPr="0031342C">
        <w:rPr>
          <w:noProof/>
        </w:rPr>
        <w:t>14</w:t>
      </w:r>
      <w:r w:rsidR="0031342C" w:rsidRPr="0031342C">
        <w:rPr>
          <w:noProof/>
        </w:rPr>
        <w:t> </w:t>
      </w:r>
      <w:r w:rsidRPr="0031342C">
        <w:rPr>
          <w:noProof/>
        </w:rPr>
        <w:t>r.</w:t>
      </w:r>
      <w:r w:rsidRPr="00DF3EF6">
        <w:rPr>
          <w:noProof/>
        </w:rPr>
        <w:t>: dyrektywy</w:t>
      </w:r>
      <w:r w:rsidR="0031342C" w:rsidRPr="00DF3EF6">
        <w:rPr>
          <w:noProof/>
        </w:rPr>
        <w:t xml:space="preserve"> w</w:t>
      </w:r>
      <w:r w:rsidR="0031342C">
        <w:rPr>
          <w:noProof/>
        </w:rPr>
        <w:t> </w:t>
      </w:r>
      <w:r w:rsidR="0031342C" w:rsidRPr="00DF3EF6">
        <w:rPr>
          <w:noProof/>
        </w:rPr>
        <w:t>spr</w:t>
      </w:r>
      <w:r w:rsidRPr="00DF3EF6">
        <w:rPr>
          <w:noProof/>
        </w:rPr>
        <w:t>awie naprawy oraz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banków, rozporządzenia SRMR oraz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r w:rsidR="0031342C" w:rsidRPr="00DF3EF6">
        <w:rPr>
          <w:noProof/>
        </w:rPr>
        <w:t>.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naprawy oraz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banków zdefiniowano uprawnienia, zasady</w:t>
      </w:r>
      <w:r w:rsidR="0031342C" w:rsidRPr="00DF3EF6">
        <w:rPr>
          <w:noProof/>
        </w:rPr>
        <w:t xml:space="preserve"> i</w:t>
      </w:r>
      <w:r w:rsidR="0031342C">
        <w:rPr>
          <w:noProof/>
        </w:rPr>
        <w:t> </w:t>
      </w:r>
      <w:r w:rsidR="0031342C" w:rsidRPr="00DF3EF6">
        <w:rPr>
          <w:noProof/>
        </w:rPr>
        <w:t>pro</w:t>
      </w:r>
      <w:r w:rsidRPr="00DF3EF6">
        <w:rPr>
          <w:noProof/>
        </w:rPr>
        <w:t>cedury dotyczące naprawy oraz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banków,</w:t>
      </w:r>
      <w:r w:rsidR="0031342C" w:rsidRPr="00DF3EF6">
        <w:rPr>
          <w:noProof/>
        </w:rPr>
        <w:t xml:space="preserve"> w</w:t>
      </w:r>
      <w:r w:rsidR="0031342C">
        <w:rPr>
          <w:noProof/>
        </w:rPr>
        <w:t> </w:t>
      </w:r>
      <w:r w:rsidR="0031342C" w:rsidRPr="00DF3EF6">
        <w:rPr>
          <w:noProof/>
        </w:rPr>
        <w:t>tym</w:t>
      </w:r>
      <w:r w:rsidRPr="00DF3EF6">
        <w:rPr>
          <w:noProof/>
        </w:rPr>
        <w:t xml:space="preserve"> porozumienia dotyczące współpracy transgranicznej</w:t>
      </w:r>
      <w:r w:rsidR="0031342C" w:rsidRPr="00DF3EF6">
        <w:rPr>
          <w:noProof/>
        </w:rPr>
        <w:t xml:space="preserve"> w</w:t>
      </w:r>
      <w:r w:rsidR="0031342C">
        <w:rPr>
          <w:noProof/>
        </w:rPr>
        <w:t> </w:t>
      </w:r>
      <w:r w:rsidR="0031342C" w:rsidRPr="00DF3EF6">
        <w:rPr>
          <w:noProof/>
        </w:rPr>
        <w:t>cel</w:t>
      </w:r>
      <w:r w:rsidRPr="00DF3EF6">
        <w:rPr>
          <w:noProof/>
        </w:rPr>
        <w:t>u przeciwdziałania transgranicznym upadłościom banków. Rozporządzeniem SRMR utworzono Jednolitą Radę ds.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(SRB) oraz jednolity fundusz restrukturyzacji</w:t>
      </w:r>
      <w:r w:rsidR="0031342C" w:rsidRPr="00DF3EF6">
        <w:rPr>
          <w:noProof/>
        </w:rPr>
        <w:t xml:space="preserve"> i</w:t>
      </w:r>
      <w:r w:rsidR="0031342C">
        <w:rPr>
          <w:noProof/>
        </w:rPr>
        <w:t> </w:t>
      </w:r>
      <w:r w:rsidR="0031342C" w:rsidRPr="00DF3EF6">
        <w:rPr>
          <w:noProof/>
        </w:rPr>
        <w:t>upo</w:t>
      </w:r>
      <w:r w:rsidRPr="00DF3EF6">
        <w:rPr>
          <w:noProof/>
        </w:rPr>
        <w:t>rządkowanej likwidacji,</w:t>
      </w:r>
      <w:r w:rsidR="0031342C" w:rsidRPr="00DF3EF6">
        <w:rPr>
          <w:noProof/>
        </w:rPr>
        <w:t xml:space="preserve"> a</w:t>
      </w:r>
      <w:r w:rsidR="0031342C">
        <w:rPr>
          <w:noProof/>
        </w:rPr>
        <w:t> </w:t>
      </w:r>
      <w:r w:rsidR="0031342C" w:rsidRPr="00DF3EF6">
        <w:rPr>
          <w:noProof/>
        </w:rPr>
        <w:t>tak</w:t>
      </w:r>
      <w:r w:rsidRPr="00DF3EF6">
        <w:rPr>
          <w:noProof/>
        </w:rPr>
        <w:t>że zdefiniowano</w:t>
      </w:r>
      <w:r w:rsidR="0031342C" w:rsidRPr="00DF3EF6">
        <w:rPr>
          <w:noProof/>
        </w:rPr>
        <w:t xml:space="preserve"> w</w:t>
      </w:r>
      <w:r w:rsidR="0031342C">
        <w:rPr>
          <w:noProof/>
        </w:rPr>
        <w:t> </w:t>
      </w:r>
      <w:r w:rsidR="0031342C" w:rsidRPr="00DF3EF6">
        <w:rPr>
          <w:noProof/>
        </w:rPr>
        <w:t>nim</w:t>
      </w:r>
      <w:r w:rsidRPr="00DF3EF6">
        <w:rPr>
          <w:noProof/>
        </w:rPr>
        <w:t xml:space="preserve"> uprawnienia, zasady</w:t>
      </w:r>
      <w:r w:rsidR="0031342C" w:rsidRPr="00DF3EF6">
        <w:rPr>
          <w:noProof/>
        </w:rPr>
        <w:t xml:space="preserve"> i</w:t>
      </w:r>
      <w:r w:rsidR="0031342C">
        <w:rPr>
          <w:noProof/>
        </w:rPr>
        <w:t> </w:t>
      </w:r>
      <w:r w:rsidR="0031342C" w:rsidRPr="00DF3EF6">
        <w:rPr>
          <w:noProof/>
        </w:rPr>
        <w:t>pro</w:t>
      </w:r>
      <w:r w:rsidRPr="00DF3EF6">
        <w:rPr>
          <w:noProof/>
        </w:rPr>
        <w:t>cedury dotyczące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podmiotów mających siedzibę</w:t>
      </w:r>
      <w:r w:rsidR="0031342C" w:rsidRPr="00DF3EF6">
        <w:rPr>
          <w:noProof/>
        </w:rPr>
        <w:t xml:space="preserve"> w</w:t>
      </w:r>
      <w:r w:rsidR="0031342C">
        <w:rPr>
          <w:noProof/>
        </w:rPr>
        <w:t> </w:t>
      </w:r>
      <w:r w:rsidR="0031342C" w:rsidRPr="00DF3EF6">
        <w:rPr>
          <w:noProof/>
        </w:rPr>
        <w:t>uni</w:t>
      </w:r>
      <w:r w:rsidRPr="00DF3EF6">
        <w:rPr>
          <w:noProof/>
        </w:rPr>
        <w:t>i bankowej</w:t>
      </w:r>
      <w:r w:rsidR="0031342C" w:rsidRPr="00DF3EF6">
        <w:rPr>
          <w:noProof/>
        </w:rPr>
        <w:t xml:space="preserve"> w</w:t>
      </w:r>
      <w:r w:rsidR="0031342C">
        <w:rPr>
          <w:noProof/>
        </w:rPr>
        <w:t> </w:t>
      </w:r>
      <w:r w:rsidR="0031342C" w:rsidRPr="00DF3EF6">
        <w:rPr>
          <w:noProof/>
        </w:rPr>
        <w:t>kon</w:t>
      </w:r>
      <w:r w:rsidRPr="00DF3EF6">
        <w:rPr>
          <w:noProof/>
        </w:rPr>
        <w:t>tekście jednolitego mechanizmu restrukturyzacji</w:t>
      </w:r>
      <w:r w:rsidR="0031342C" w:rsidRPr="00DF3EF6">
        <w:rPr>
          <w:noProof/>
        </w:rPr>
        <w:t xml:space="preserve"> i</w:t>
      </w:r>
      <w:r w:rsidR="0031342C">
        <w:rPr>
          <w:noProof/>
        </w:rPr>
        <w:t> </w:t>
      </w:r>
      <w:r w:rsidR="0031342C" w:rsidRPr="00DF3EF6">
        <w:rPr>
          <w:noProof/>
        </w:rPr>
        <w:t>upo</w:t>
      </w:r>
      <w:r w:rsidRPr="00DF3EF6">
        <w:rPr>
          <w:noProof/>
        </w:rPr>
        <w:t>rządkowanej likwidacji</w:t>
      </w:r>
      <w:r w:rsidR="0031342C" w:rsidRPr="00DF3EF6">
        <w:rPr>
          <w:noProof/>
        </w:rPr>
        <w:t>.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systemów gwarancji depozytów określono zasady korzystania ze środków systemu gwarantowania depozytów (SGD)</w:t>
      </w:r>
      <w:r w:rsidR="0031342C" w:rsidRPr="00DF3EF6">
        <w:rPr>
          <w:noProof/>
        </w:rPr>
        <w:t xml:space="preserve"> i</w:t>
      </w:r>
      <w:r w:rsidR="0031342C">
        <w:rPr>
          <w:noProof/>
        </w:rPr>
        <w:t> </w:t>
      </w:r>
      <w:r w:rsidR="0031342C" w:rsidRPr="00DF3EF6">
        <w:rPr>
          <w:noProof/>
        </w:rPr>
        <w:t>zap</w:t>
      </w:r>
      <w:r w:rsidRPr="00DF3EF6">
        <w:rPr>
          <w:noProof/>
        </w:rPr>
        <w:t>ewniono ochronę deponentów. Dyrektywa</w:t>
      </w:r>
      <w:r w:rsidR="0031342C" w:rsidRPr="00DF3EF6">
        <w:rPr>
          <w:noProof/>
        </w:rPr>
        <w:t xml:space="preserve"> w</w:t>
      </w:r>
      <w:r w:rsidR="0031342C">
        <w:rPr>
          <w:noProof/>
        </w:rPr>
        <w:t> </w:t>
      </w:r>
      <w:r w:rsidR="0031342C" w:rsidRPr="00DF3EF6">
        <w:rPr>
          <w:noProof/>
        </w:rPr>
        <w:t>spr</w:t>
      </w:r>
      <w:r w:rsidRPr="00DF3EF6">
        <w:rPr>
          <w:noProof/>
        </w:rPr>
        <w:t>awie naprawy oraz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banków oraz dyrektywa</w:t>
      </w:r>
      <w:r w:rsidR="0031342C" w:rsidRPr="00DF3EF6">
        <w:rPr>
          <w:noProof/>
        </w:rPr>
        <w:t xml:space="preserve"> w</w:t>
      </w:r>
      <w:r w:rsidR="0031342C">
        <w:rPr>
          <w:noProof/>
        </w:rPr>
        <w:t> </w:t>
      </w:r>
      <w:r w:rsidR="0031342C" w:rsidRPr="00DF3EF6">
        <w:rPr>
          <w:noProof/>
        </w:rPr>
        <w:t>spr</w:t>
      </w:r>
      <w:r w:rsidRPr="00DF3EF6">
        <w:rPr>
          <w:noProof/>
        </w:rPr>
        <w:t>awie systemów gwarancji depozytów mają zastosowanie we wszystkich państwach członkowskich, natomiast rozporządzenie SRMR ma zastosowanie</w:t>
      </w:r>
      <w:r w:rsidR="0031342C" w:rsidRPr="00DF3EF6">
        <w:rPr>
          <w:noProof/>
        </w:rPr>
        <w:t xml:space="preserve"> w</w:t>
      </w:r>
      <w:r w:rsidR="0031342C">
        <w:rPr>
          <w:noProof/>
        </w:rPr>
        <w:t> </w:t>
      </w:r>
      <w:r w:rsidR="0031342C" w:rsidRPr="00DF3EF6">
        <w:rPr>
          <w:noProof/>
        </w:rPr>
        <w:t>pań</w:t>
      </w:r>
      <w:r w:rsidRPr="00DF3EF6">
        <w:rPr>
          <w:noProof/>
        </w:rPr>
        <w:t>stwach członkowskich uczestniczących</w:t>
      </w:r>
      <w:r w:rsidR="0031342C" w:rsidRPr="00DF3EF6">
        <w:rPr>
          <w:noProof/>
        </w:rPr>
        <w:t xml:space="preserve"> w</w:t>
      </w:r>
      <w:r w:rsidR="0031342C">
        <w:rPr>
          <w:noProof/>
        </w:rPr>
        <w:t> </w:t>
      </w:r>
      <w:r w:rsidR="0031342C" w:rsidRPr="00DF3EF6">
        <w:rPr>
          <w:noProof/>
        </w:rPr>
        <w:t>uni</w:t>
      </w:r>
      <w:r w:rsidRPr="00DF3EF6">
        <w:rPr>
          <w:noProof/>
        </w:rPr>
        <w:t>i bankowej.</w:t>
      </w:r>
    </w:p>
    <w:p w14:paraId="48C25BF9" w14:textId="22DBCA4D" w:rsidR="00E25235" w:rsidRPr="00DF3EF6" w:rsidRDefault="00E25235" w:rsidP="00E25235">
      <w:pPr>
        <w:pBdr>
          <w:top w:val="nil"/>
          <w:left w:val="nil"/>
          <w:bottom w:val="nil"/>
          <w:right w:val="nil"/>
          <w:between w:val="nil"/>
          <w:bar w:val="nil"/>
        </w:pBdr>
        <w:spacing w:after="240"/>
        <w:rPr>
          <w:noProof/>
        </w:rPr>
      </w:pPr>
      <w:r w:rsidRPr="00DF3EF6">
        <w:rPr>
          <w:noProof/>
        </w:rPr>
        <w:t>Pakietem bankowym</w:t>
      </w:r>
      <w:r w:rsidR="0031342C" w:rsidRPr="00DF3EF6">
        <w:rPr>
          <w:noProof/>
        </w:rPr>
        <w:t xml:space="preserve"> z</w:t>
      </w:r>
      <w:r w:rsidR="0031342C">
        <w:rPr>
          <w:noProof/>
        </w:rPr>
        <w:t> </w:t>
      </w:r>
      <w:r w:rsidR="0031342C" w:rsidRPr="00DF3EF6">
        <w:rPr>
          <w:noProof/>
        </w:rPr>
        <w:t>2</w:t>
      </w:r>
      <w:r w:rsidRPr="00DF3EF6">
        <w:rPr>
          <w:noProof/>
        </w:rPr>
        <w:t>0</w:t>
      </w:r>
      <w:r w:rsidRPr="0031342C">
        <w:rPr>
          <w:noProof/>
        </w:rPr>
        <w:t>19</w:t>
      </w:r>
      <w:r w:rsidR="0031342C" w:rsidRPr="0031342C">
        <w:rPr>
          <w:noProof/>
        </w:rPr>
        <w:t> </w:t>
      </w:r>
      <w:r w:rsidRPr="0031342C">
        <w:rPr>
          <w:noProof/>
        </w:rPr>
        <w:t>r.</w:t>
      </w:r>
      <w:r w:rsidRPr="00DF3EF6">
        <w:rPr>
          <w:noProof/>
        </w:rPr>
        <w:t>, znanym również jako „pakiet na rzecz ograniczenia ryzyka”, zmieniono dyrektywę</w:t>
      </w:r>
      <w:r w:rsidR="0031342C" w:rsidRPr="00DF3EF6">
        <w:rPr>
          <w:noProof/>
        </w:rPr>
        <w:t xml:space="preserve"> w</w:t>
      </w:r>
      <w:r w:rsidR="0031342C">
        <w:rPr>
          <w:noProof/>
        </w:rPr>
        <w:t> </w:t>
      </w:r>
      <w:r w:rsidR="0031342C" w:rsidRPr="00DF3EF6">
        <w:rPr>
          <w:noProof/>
        </w:rPr>
        <w:t>spr</w:t>
      </w:r>
      <w:r w:rsidRPr="00DF3EF6">
        <w:rPr>
          <w:noProof/>
        </w:rPr>
        <w:t>awie naprawy oraz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banków, rozporządzenie SRMR, rozporządzenie</w:t>
      </w:r>
      <w:r w:rsidR="0031342C" w:rsidRPr="00DF3EF6">
        <w:rPr>
          <w:noProof/>
        </w:rPr>
        <w:t xml:space="preserve"> w</w:t>
      </w:r>
      <w:r w:rsidR="0031342C">
        <w:rPr>
          <w:noProof/>
        </w:rPr>
        <w:t> </w:t>
      </w:r>
      <w:r w:rsidR="0031342C" w:rsidRPr="00DF3EF6">
        <w:rPr>
          <w:noProof/>
        </w:rPr>
        <w:t>spr</w:t>
      </w:r>
      <w:r w:rsidRPr="00DF3EF6">
        <w:rPr>
          <w:noProof/>
        </w:rPr>
        <w:t>awie wymogów kapitałowych (CRR</w:t>
      </w:r>
      <w:r w:rsidRPr="00DF3EF6">
        <w:rPr>
          <w:rStyle w:val="FootnoteReference"/>
          <w:noProof/>
        </w:rPr>
        <w:footnoteReference w:id="7"/>
      </w:r>
      <w:r w:rsidRPr="00DF3EF6">
        <w:rPr>
          <w:noProof/>
        </w:rPr>
        <w:t>)</w:t>
      </w:r>
      <w:r w:rsidR="0031342C" w:rsidRPr="00DF3EF6">
        <w:rPr>
          <w:noProof/>
        </w:rPr>
        <w:t xml:space="preserve"> i</w:t>
      </w:r>
      <w:r w:rsidR="0031342C">
        <w:rPr>
          <w:noProof/>
        </w:rPr>
        <w:t> </w:t>
      </w:r>
      <w:r w:rsidR="0031342C" w:rsidRPr="00DF3EF6">
        <w:rPr>
          <w:noProof/>
        </w:rPr>
        <w:t>dyr</w:t>
      </w:r>
      <w:r w:rsidRPr="00DF3EF6">
        <w:rPr>
          <w:noProof/>
        </w:rPr>
        <w:t>ektywę</w:t>
      </w:r>
      <w:r w:rsidR="0031342C" w:rsidRPr="00DF3EF6">
        <w:rPr>
          <w:noProof/>
        </w:rPr>
        <w:t xml:space="preserve"> w</w:t>
      </w:r>
      <w:r w:rsidR="0031342C">
        <w:rPr>
          <w:noProof/>
        </w:rPr>
        <w:t> </w:t>
      </w:r>
      <w:r w:rsidR="0031342C" w:rsidRPr="00DF3EF6">
        <w:rPr>
          <w:noProof/>
        </w:rPr>
        <w:t>spr</w:t>
      </w:r>
      <w:r w:rsidRPr="00DF3EF6">
        <w:rPr>
          <w:noProof/>
        </w:rPr>
        <w:t>awie wymogów kapitałowych (CRD</w:t>
      </w:r>
      <w:r w:rsidRPr="00DF3EF6">
        <w:rPr>
          <w:rStyle w:val="FootnoteReference"/>
          <w:noProof/>
        </w:rPr>
        <w:footnoteReference w:id="8"/>
      </w:r>
      <w:r w:rsidRPr="00DF3EF6">
        <w:rPr>
          <w:noProof/>
        </w:rPr>
        <w:t>). Zmiany te obejmowały środki służące realizacji zobowiązań UE podjętych na forach międzynarodowych</w:t>
      </w:r>
      <w:r w:rsidRPr="00DF3EF6">
        <w:rPr>
          <w:rStyle w:val="FootnoteReference"/>
          <w:noProof/>
        </w:rPr>
        <w:footnoteReference w:id="9"/>
      </w:r>
      <w:r w:rsidRPr="00DF3EF6">
        <w:rPr>
          <w:noProof/>
        </w:rPr>
        <w:t xml:space="preserve"> oraz dotyczyły podjęcia dalszych kroków</w:t>
      </w:r>
      <w:r w:rsidR="0031342C" w:rsidRPr="00DF3EF6">
        <w:rPr>
          <w:noProof/>
        </w:rPr>
        <w:t xml:space="preserve"> w</w:t>
      </w:r>
      <w:r w:rsidR="0031342C">
        <w:rPr>
          <w:noProof/>
        </w:rPr>
        <w:t> </w:t>
      </w:r>
      <w:r w:rsidR="0031342C" w:rsidRPr="00DF3EF6">
        <w:rPr>
          <w:noProof/>
        </w:rPr>
        <w:t>kie</w:t>
      </w:r>
      <w:r w:rsidRPr="00DF3EF6">
        <w:rPr>
          <w:noProof/>
        </w:rPr>
        <w:t>runku dokończenia budowy unii bankowej poprzez zapewnienie wiarygodnych środków ograniczających ryzyko</w:t>
      </w:r>
      <w:r w:rsidR="0031342C" w:rsidRPr="00DF3EF6">
        <w:rPr>
          <w:noProof/>
        </w:rPr>
        <w:t xml:space="preserve"> w</w:t>
      </w:r>
      <w:r w:rsidR="0031342C">
        <w:rPr>
          <w:noProof/>
        </w:rPr>
        <w:t> </w:t>
      </w:r>
      <w:r w:rsidR="0031342C" w:rsidRPr="00DF3EF6">
        <w:rPr>
          <w:noProof/>
        </w:rPr>
        <w:t>cel</w:t>
      </w:r>
      <w:r w:rsidRPr="00DF3EF6">
        <w:rPr>
          <w:noProof/>
        </w:rPr>
        <w:t>u zmniejszenia zagrożeń dla stabilności finansowej.</w:t>
      </w:r>
    </w:p>
    <w:p w14:paraId="634F4E0D" w14:textId="04571557" w:rsidR="00E25235" w:rsidRPr="00DF3EF6" w:rsidRDefault="00E25235" w:rsidP="00E25235">
      <w:pPr>
        <w:pBdr>
          <w:top w:val="nil"/>
          <w:left w:val="nil"/>
          <w:bottom w:val="nil"/>
          <w:right w:val="nil"/>
          <w:between w:val="nil"/>
          <w:bar w:val="nil"/>
        </w:pBdr>
        <w:spacing w:after="240"/>
        <w:rPr>
          <w:noProof/>
        </w:rPr>
      </w:pPr>
      <w:r w:rsidRPr="00DF3EF6">
        <w:rPr>
          <w:noProof/>
        </w:rPr>
        <w:lastRenderedPageBreak/>
        <w:t>W listopadzie 20</w:t>
      </w:r>
      <w:r w:rsidRPr="0031342C">
        <w:rPr>
          <w:noProof/>
        </w:rPr>
        <w:t>20</w:t>
      </w:r>
      <w:r w:rsidR="0031342C" w:rsidRPr="0031342C">
        <w:rPr>
          <w:noProof/>
        </w:rPr>
        <w:t> </w:t>
      </w:r>
      <w:r w:rsidRPr="0031342C">
        <w:rPr>
          <w:noProof/>
        </w:rPr>
        <w:t>r.</w:t>
      </w:r>
      <w:r w:rsidRPr="00DF3EF6">
        <w:rPr>
          <w:noProof/>
        </w:rPr>
        <w:t xml:space="preserve"> Eurogrupa uzgodniła utworzenie</w:t>
      </w:r>
      <w:r w:rsidR="0031342C" w:rsidRPr="00DF3EF6">
        <w:rPr>
          <w:noProof/>
        </w:rPr>
        <w:t xml:space="preserve"> i</w:t>
      </w:r>
      <w:r w:rsidR="0031342C">
        <w:rPr>
          <w:noProof/>
        </w:rPr>
        <w:t> </w:t>
      </w:r>
      <w:r w:rsidR="0031342C" w:rsidRPr="00DF3EF6">
        <w:rPr>
          <w:noProof/>
        </w:rPr>
        <w:t>wcz</w:t>
      </w:r>
      <w:r w:rsidRPr="00DF3EF6">
        <w:rPr>
          <w:noProof/>
        </w:rPr>
        <w:t>esne wprowadzenie wspólnego mechanizmu ochronnego dla jednolitego funduszu restrukturyzacji</w:t>
      </w:r>
      <w:r w:rsidR="0031342C" w:rsidRPr="00DF3EF6">
        <w:rPr>
          <w:noProof/>
        </w:rPr>
        <w:t xml:space="preserve"> i</w:t>
      </w:r>
      <w:r w:rsidR="0031342C">
        <w:rPr>
          <w:noProof/>
        </w:rPr>
        <w:t> </w:t>
      </w:r>
      <w:r w:rsidR="0031342C" w:rsidRPr="00DF3EF6">
        <w:rPr>
          <w:noProof/>
        </w:rPr>
        <w:t>upo</w:t>
      </w:r>
      <w:r w:rsidRPr="00DF3EF6">
        <w:rPr>
          <w:noProof/>
        </w:rPr>
        <w:t>rządkowanej likwidacji</w:t>
      </w:r>
      <w:r w:rsidR="0031342C" w:rsidRPr="00DF3EF6">
        <w:rPr>
          <w:noProof/>
        </w:rPr>
        <w:t xml:space="preserve"> w</w:t>
      </w:r>
      <w:r w:rsidR="0031342C">
        <w:rPr>
          <w:noProof/>
        </w:rPr>
        <w:t> </w:t>
      </w:r>
      <w:r w:rsidR="0031342C" w:rsidRPr="00DF3EF6">
        <w:rPr>
          <w:noProof/>
        </w:rPr>
        <w:t>ram</w:t>
      </w:r>
      <w:r w:rsidRPr="00DF3EF6">
        <w:rPr>
          <w:noProof/>
        </w:rPr>
        <w:t>ach Europejskiego Mechanizmu Stabilności (EMS)</w:t>
      </w:r>
      <w:r w:rsidRPr="00DF3EF6">
        <w:rPr>
          <w:rStyle w:val="FootnoteReference"/>
          <w:noProof/>
        </w:rPr>
        <w:footnoteReference w:id="10"/>
      </w:r>
      <w:r w:rsidRPr="00DF3EF6">
        <w:rPr>
          <w:noProof/>
        </w:rPr>
        <w:t xml:space="preserve">. </w:t>
      </w:r>
    </w:p>
    <w:p w14:paraId="74722674" w14:textId="70F3CF23" w:rsidR="00E25235" w:rsidRPr="00DF3EF6" w:rsidRDefault="00E25235" w:rsidP="00A601F7">
      <w:pPr>
        <w:pStyle w:val="ManualHeading2"/>
        <w:rPr>
          <w:noProof/>
        </w:rPr>
      </w:pPr>
      <w:r w:rsidRPr="00DF3EF6">
        <w:rPr>
          <w:noProof/>
        </w:rPr>
        <w:t>Reforma zarządzania kryzysowego</w:t>
      </w:r>
      <w:r w:rsidR="0031342C" w:rsidRPr="00DF3EF6">
        <w:rPr>
          <w:noProof/>
        </w:rPr>
        <w:t xml:space="preserve"> i</w:t>
      </w:r>
      <w:r w:rsidR="0031342C">
        <w:rPr>
          <w:noProof/>
        </w:rPr>
        <w:t> </w:t>
      </w:r>
      <w:r w:rsidR="0031342C" w:rsidRPr="00DF3EF6">
        <w:rPr>
          <w:noProof/>
        </w:rPr>
        <w:t>gwa</w:t>
      </w:r>
      <w:r w:rsidRPr="00DF3EF6">
        <w:rPr>
          <w:noProof/>
        </w:rPr>
        <w:t>rantowania depozytów (CMDI) oraz szersze implikacje dla unii bankowej</w:t>
      </w:r>
    </w:p>
    <w:p w14:paraId="5A3A3942" w14:textId="4DB19774" w:rsidR="00E25235" w:rsidRPr="00DF3EF6" w:rsidRDefault="00E25235" w:rsidP="00E25235">
      <w:pPr>
        <w:rPr>
          <w:noProof/>
          <w:sz w:val="32"/>
        </w:rPr>
      </w:pPr>
      <w:r w:rsidRPr="00DF3EF6">
        <w:rPr>
          <w:noProof/>
        </w:rPr>
        <w:t>Wraz</w:t>
      </w:r>
      <w:r w:rsidR="0031342C" w:rsidRPr="00DF3EF6">
        <w:rPr>
          <w:noProof/>
        </w:rPr>
        <w:t xml:space="preserve"> z</w:t>
      </w:r>
      <w:r w:rsidR="0031342C">
        <w:rPr>
          <w:noProof/>
        </w:rPr>
        <w:t> </w:t>
      </w:r>
      <w:r w:rsidR="0031342C" w:rsidRPr="00DF3EF6">
        <w:rPr>
          <w:noProof/>
        </w:rPr>
        <w:t>ref</w:t>
      </w:r>
      <w:r w:rsidRPr="00DF3EF6">
        <w:rPr>
          <w:noProof/>
        </w:rPr>
        <w:t>ormą CMDI urzeczywistniona unia bankowa,</w:t>
      </w:r>
      <w:r w:rsidR="0031342C" w:rsidRPr="00DF3EF6">
        <w:rPr>
          <w:noProof/>
        </w:rPr>
        <w:t xml:space="preserve"> w</w:t>
      </w:r>
      <w:r w:rsidR="0031342C">
        <w:rPr>
          <w:noProof/>
        </w:rPr>
        <w:t> </w:t>
      </w:r>
      <w:r w:rsidR="0031342C" w:rsidRPr="00DF3EF6">
        <w:rPr>
          <w:noProof/>
        </w:rPr>
        <w:t>tym</w:t>
      </w:r>
      <w:r w:rsidRPr="00DF3EF6">
        <w:rPr>
          <w:noProof/>
        </w:rPr>
        <w:t xml:space="preserve"> jej trzeci filar – EDIS, zapewniłaby wyższy poziom ochrony finansowej</w:t>
      </w:r>
      <w:r w:rsidR="0031342C" w:rsidRPr="00DF3EF6">
        <w:rPr>
          <w:noProof/>
        </w:rPr>
        <w:t xml:space="preserve"> i</w:t>
      </w:r>
      <w:r w:rsidR="0031342C">
        <w:rPr>
          <w:noProof/>
        </w:rPr>
        <w:t> </w:t>
      </w:r>
      <w:r w:rsidR="0031342C" w:rsidRPr="00DF3EF6">
        <w:rPr>
          <w:noProof/>
        </w:rPr>
        <w:t>zau</w:t>
      </w:r>
      <w:r w:rsidRPr="00DF3EF6">
        <w:rPr>
          <w:noProof/>
        </w:rPr>
        <w:t>fania gospodarstwom domowym</w:t>
      </w:r>
      <w:r w:rsidR="0031342C" w:rsidRPr="00DF3EF6">
        <w:rPr>
          <w:noProof/>
        </w:rPr>
        <w:t xml:space="preserve"> i</w:t>
      </w:r>
      <w:r w:rsidR="0031342C">
        <w:rPr>
          <w:noProof/>
        </w:rPr>
        <w:t> </w:t>
      </w:r>
      <w:r w:rsidR="0031342C" w:rsidRPr="00DF3EF6">
        <w:rPr>
          <w:noProof/>
        </w:rPr>
        <w:t>prz</w:t>
      </w:r>
      <w:r w:rsidRPr="00DF3EF6">
        <w:rPr>
          <w:noProof/>
        </w:rPr>
        <w:t>edsiębiorstwom w UE, zwiększyłaby zaufanie</w:t>
      </w:r>
      <w:r w:rsidR="0031342C" w:rsidRPr="00DF3EF6">
        <w:rPr>
          <w:noProof/>
        </w:rPr>
        <w:t xml:space="preserve"> i</w:t>
      </w:r>
      <w:r w:rsidR="0031342C">
        <w:rPr>
          <w:noProof/>
        </w:rPr>
        <w:t> </w:t>
      </w:r>
      <w:r w:rsidR="0031342C" w:rsidRPr="00DF3EF6">
        <w:rPr>
          <w:noProof/>
        </w:rPr>
        <w:t>wzm</w:t>
      </w:r>
      <w:r w:rsidRPr="00DF3EF6">
        <w:rPr>
          <w:noProof/>
        </w:rPr>
        <w:t>ocniła stabilność finansową będące niezbędnymi warunkami wzrostu gospodarczego, dobrobytu</w:t>
      </w:r>
      <w:r w:rsidR="0031342C" w:rsidRPr="00DF3EF6">
        <w:rPr>
          <w:noProof/>
        </w:rPr>
        <w:t xml:space="preserve"> i</w:t>
      </w:r>
      <w:r w:rsidR="0031342C">
        <w:rPr>
          <w:noProof/>
        </w:rPr>
        <w:t> </w:t>
      </w:r>
      <w:r w:rsidR="0031342C" w:rsidRPr="00DF3EF6">
        <w:rPr>
          <w:noProof/>
        </w:rPr>
        <w:t>odp</w:t>
      </w:r>
      <w:r w:rsidRPr="00DF3EF6">
        <w:rPr>
          <w:noProof/>
        </w:rPr>
        <w:t>orności</w:t>
      </w:r>
      <w:r w:rsidR="0031342C" w:rsidRPr="00DF3EF6">
        <w:rPr>
          <w:noProof/>
        </w:rPr>
        <w:t xml:space="preserve"> w</w:t>
      </w:r>
      <w:r w:rsidR="0031342C">
        <w:rPr>
          <w:noProof/>
        </w:rPr>
        <w:t> </w:t>
      </w:r>
      <w:r w:rsidR="0031342C" w:rsidRPr="00DF3EF6">
        <w:rPr>
          <w:noProof/>
        </w:rPr>
        <w:t>uni</w:t>
      </w:r>
      <w:r w:rsidRPr="00DF3EF6">
        <w:rPr>
          <w:noProof/>
        </w:rPr>
        <w:t>i gospodarczej</w:t>
      </w:r>
      <w:r w:rsidR="0031342C" w:rsidRPr="00DF3EF6">
        <w:rPr>
          <w:noProof/>
        </w:rPr>
        <w:t xml:space="preserve"> i</w:t>
      </w:r>
      <w:r w:rsidR="0031342C">
        <w:rPr>
          <w:noProof/>
        </w:rPr>
        <w:t> </w:t>
      </w:r>
      <w:r w:rsidR="0031342C" w:rsidRPr="00DF3EF6">
        <w:rPr>
          <w:noProof/>
        </w:rPr>
        <w:t>wal</w:t>
      </w:r>
      <w:r w:rsidRPr="00DF3EF6">
        <w:rPr>
          <w:noProof/>
        </w:rPr>
        <w:t>utowej oraz ogólnie w UE. Unia rynków kapitałowych stanowi uzupełnienie unii bankowej, ponieważ obie inicjatywy mają zasadnicze znaczenie dla finansowania dwojakiej transformacji (cyfrowej</w:t>
      </w:r>
      <w:r w:rsidR="0031342C" w:rsidRPr="00DF3EF6">
        <w:rPr>
          <w:noProof/>
        </w:rPr>
        <w:t xml:space="preserve"> i</w:t>
      </w:r>
      <w:r w:rsidR="0031342C">
        <w:rPr>
          <w:noProof/>
        </w:rPr>
        <w:t> </w:t>
      </w:r>
      <w:r w:rsidR="0031342C" w:rsidRPr="00DF3EF6">
        <w:rPr>
          <w:noProof/>
        </w:rPr>
        <w:t>eko</w:t>
      </w:r>
      <w:r w:rsidRPr="00DF3EF6">
        <w:rPr>
          <w:noProof/>
        </w:rPr>
        <w:t>logicznej), zwiększenia międzynarodowej roli euro oraz wzmocnienia otwartej strategicznej autonomii UE</w:t>
      </w:r>
      <w:r w:rsidR="0031342C" w:rsidRPr="00DF3EF6">
        <w:rPr>
          <w:noProof/>
        </w:rPr>
        <w:t xml:space="preserve"> i</w:t>
      </w:r>
      <w:r w:rsidR="0031342C">
        <w:rPr>
          <w:noProof/>
        </w:rPr>
        <w:t> </w:t>
      </w:r>
      <w:r w:rsidR="0031342C" w:rsidRPr="00DF3EF6">
        <w:rPr>
          <w:noProof/>
        </w:rPr>
        <w:t>jej</w:t>
      </w:r>
      <w:r w:rsidRPr="00DF3EF6">
        <w:rPr>
          <w:noProof/>
        </w:rPr>
        <w:t xml:space="preserve"> konkurencyjności</w:t>
      </w:r>
      <w:r w:rsidR="0031342C" w:rsidRPr="00DF3EF6">
        <w:rPr>
          <w:noProof/>
        </w:rPr>
        <w:t xml:space="preserve"> w</w:t>
      </w:r>
      <w:r w:rsidR="0031342C">
        <w:rPr>
          <w:noProof/>
        </w:rPr>
        <w:t> </w:t>
      </w:r>
      <w:r w:rsidR="0031342C" w:rsidRPr="00DF3EF6">
        <w:rPr>
          <w:noProof/>
        </w:rPr>
        <w:t>zmi</w:t>
      </w:r>
      <w:r w:rsidRPr="00DF3EF6">
        <w:rPr>
          <w:noProof/>
        </w:rPr>
        <w:t>eniającym się świecie,</w:t>
      </w:r>
      <w:r w:rsidR="0031342C" w:rsidRPr="00DF3EF6">
        <w:rPr>
          <w:noProof/>
        </w:rPr>
        <w:t xml:space="preserve"> w</w:t>
      </w:r>
      <w:r w:rsidR="0031342C">
        <w:rPr>
          <w:noProof/>
        </w:rPr>
        <w:t> </w:t>
      </w:r>
      <w:r w:rsidR="0031342C" w:rsidRPr="00DF3EF6">
        <w:rPr>
          <w:noProof/>
        </w:rPr>
        <w:t>szc</w:t>
      </w:r>
      <w:r w:rsidRPr="00DF3EF6">
        <w:rPr>
          <w:noProof/>
        </w:rPr>
        <w:t>zególności</w:t>
      </w:r>
      <w:r w:rsidR="0031342C" w:rsidRPr="00DF3EF6">
        <w:rPr>
          <w:noProof/>
        </w:rPr>
        <w:t xml:space="preserve"> w</w:t>
      </w:r>
      <w:r w:rsidR="0031342C">
        <w:rPr>
          <w:noProof/>
        </w:rPr>
        <w:t> </w:t>
      </w:r>
      <w:r w:rsidR="0031342C" w:rsidRPr="00DF3EF6">
        <w:rPr>
          <w:noProof/>
        </w:rPr>
        <w:t>świ</w:t>
      </w:r>
      <w:r w:rsidRPr="00DF3EF6">
        <w:rPr>
          <w:noProof/>
        </w:rPr>
        <w:t>etle istniejących obecnie trudnych warunków gospodarczych</w:t>
      </w:r>
      <w:r w:rsidR="0031342C" w:rsidRPr="00DF3EF6">
        <w:rPr>
          <w:noProof/>
        </w:rPr>
        <w:t xml:space="preserve"> i</w:t>
      </w:r>
      <w:r w:rsidR="0031342C">
        <w:rPr>
          <w:noProof/>
        </w:rPr>
        <w:t> </w:t>
      </w:r>
      <w:r w:rsidR="0031342C" w:rsidRPr="00DF3EF6">
        <w:rPr>
          <w:noProof/>
        </w:rPr>
        <w:t>geo</w:t>
      </w:r>
      <w:r w:rsidRPr="00DF3EF6">
        <w:rPr>
          <w:noProof/>
        </w:rPr>
        <w:t>politycznych</w:t>
      </w:r>
      <w:r w:rsidRPr="00DF3EF6">
        <w:rPr>
          <w:rStyle w:val="FootnoteReference"/>
          <w:noProof/>
        </w:rPr>
        <w:footnoteReference w:id="11"/>
      </w:r>
      <w:r w:rsidRPr="00DF3EF6">
        <w:rPr>
          <w:noProof/>
          <w:vertAlign w:val="superscript"/>
        </w:rPr>
        <w:t>,</w:t>
      </w:r>
      <w:r w:rsidRPr="00DF3EF6">
        <w:rPr>
          <w:noProof/>
        </w:rPr>
        <w:t xml:space="preserve"> </w:t>
      </w:r>
      <w:r w:rsidRPr="00DF3EF6">
        <w:rPr>
          <w:rStyle w:val="FootnoteReference"/>
          <w:noProof/>
        </w:rPr>
        <w:footnoteReference w:id="12"/>
      </w:r>
      <w:r w:rsidRPr="00DF3EF6">
        <w:rPr>
          <w:noProof/>
        </w:rPr>
        <w:t>.</w:t>
      </w:r>
    </w:p>
    <w:p w14:paraId="06B38268" w14:textId="15244C29" w:rsidR="00E25235" w:rsidRPr="00DF3EF6" w:rsidRDefault="00E25235" w:rsidP="00E25235">
      <w:pPr>
        <w:rPr>
          <w:rFonts w:ascii="Calibri" w:eastAsia="Calibri" w:hAnsi="Calibri" w:cs="Arial"/>
          <w:noProof/>
          <w:sz w:val="22"/>
        </w:rPr>
      </w:pPr>
      <w:r w:rsidRPr="00DF3EF6">
        <w:rPr>
          <w:noProof/>
        </w:rPr>
        <w:t>W czerwcu 20</w:t>
      </w:r>
      <w:r w:rsidRPr="0031342C">
        <w:rPr>
          <w:noProof/>
        </w:rPr>
        <w:t>22</w:t>
      </w:r>
      <w:r w:rsidR="0031342C" w:rsidRPr="0031342C">
        <w:rPr>
          <w:noProof/>
        </w:rPr>
        <w:t> </w:t>
      </w:r>
      <w:r w:rsidRPr="0031342C">
        <w:rPr>
          <w:noProof/>
        </w:rPr>
        <w:t>r.</w:t>
      </w:r>
      <w:r w:rsidRPr="00DF3EF6">
        <w:rPr>
          <w:noProof/>
        </w:rPr>
        <w:t xml:space="preserve"> Eurogrupa nie zgodziła się na bardziej kompleksowy plan prac</w:t>
      </w:r>
      <w:r w:rsidR="0031342C" w:rsidRPr="00DF3EF6">
        <w:rPr>
          <w:noProof/>
        </w:rPr>
        <w:t xml:space="preserve"> w</w:t>
      </w:r>
      <w:r w:rsidR="0031342C">
        <w:rPr>
          <w:noProof/>
        </w:rPr>
        <w:t> </w:t>
      </w:r>
      <w:r w:rsidR="0031342C" w:rsidRPr="00DF3EF6">
        <w:rPr>
          <w:noProof/>
        </w:rPr>
        <w:t>cel</w:t>
      </w:r>
      <w:r w:rsidRPr="00DF3EF6">
        <w:rPr>
          <w:noProof/>
        </w:rPr>
        <w:t>u dokończenia budowy unii bankowej</w:t>
      </w:r>
      <w:r w:rsidR="0031342C" w:rsidRPr="00DF3EF6">
        <w:rPr>
          <w:noProof/>
        </w:rPr>
        <w:t xml:space="preserve"> w</w:t>
      </w:r>
      <w:r w:rsidR="0031342C">
        <w:rPr>
          <w:noProof/>
        </w:rPr>
        <w:t> </w:t>
      </w:r>
      <w:r w:rsidR="0031342C" w:rsidRPr="00DF3EF6">
        <w:rPr>
          <w:noProof/>
        </w:rPr>
        <w:t>dro</w:t>
      </w:r>
      <w:r w:rsidRPr="00DF3EF6">
        <w:rPr>
          <w:noProof/>
        </w:rPr>
        <w:t>dze uwzględnienia EDIS. Eurogrupa zwróciła się natomiast do Komisji</w:t>
      </w:r>
      <w:r w:rsidR="0031342C" w:rsidRPr="00DF3EF6">
        <w:rPr>
          <w:noProof/>
        </w:rPr>
        <w:t xml:space="preserve"> o</w:t>
      </w:r>
      <w:r w:rsidR="0031342C">
        <w:rPr>
          <w:noProof/>
        </w:rPr>
        <w:t> </w:t>
      </w:r>
      <w:r w:rsidR="0031342C" w:rsidRPr="00DF3EF6">
        <w:rPr>
          <w:noProof/>
        </w:rPr>
        <w:t>prz</w:t>
      </w:r>
      <w:r w:rsidRPr="00DF3EF6">
        <w:rPr>
          <w:noProof/>
        </w:rPr>
        <w:t>edstawienie bardziej ukierunkowanych wniosków ustawodawczych dotyczących reformy unijnych ram zarządzania bankami</w:t>
      </w:r>
      <w:r w:rsidR="0031342C" w:rsidRPr="00DF3EF6">
        <w:rPr>
          <w:noProof/>
        </w:rPr>
        <w:t xml:space="preserve"> w</w:t>
      </w:r>
      <w:r w:rsidR="0031342C">
        <w:rPr>
          <w:noProof/>
        </w:rPr>
        <w:t> </w:t>
      </w:r>
      <w:r w:rsidR="0031342C" w:rsidRPr="00DF3EF6">
        <w:rPr>
          <w:noProof/>
        </w:rPr>
        <w:t>syt</w:t>
      </w:r>
      <w:r w:rsidRPr="00DF3EF6">
        <w:rPr>
          <w:noProof/>
        </w:rPr>
        <w:t>uacji kryzysowej</w:t>
      </w:r>
      <w:r w:rsidR="0031342C" w:rsidRPr="00DF3EF6">
        <w:rPr>
          <w:noProof/>
        </w:rPr>
        <w:t xml:space="preserve"> i</w:t>
      </w:r>
      <w:r w:rsidR="0031342C">
        <w:rPr>
          <w:noProof/>
        </w:rPr>
        <w:t> </w:t>
      </w:r>
      <w:r w:rsidR="0031342C" w:rsidRPr="00DF3EF6">
        <w:rPr>
          <w:noProof/>
        </w:rPr>
        <w:t>kra</w:t>
      </w:r>
      <w:r w:rsidRPr="00DF3EF6">
        <w:rPr>
          <w:noProof/>
        </w:rPr>
        <w:t>jowych systemów gwarantowania depozytów</w:t>
      </w:r>
      <w:r w:rsidRPr="00DF3EF6">
        <w:rPr>
          <w:rStyle w:val="FootnoteReference"/>
          <w:noProof/>
        </w:rPr>
        <w:footnoteReference w:id="13"/>
      </w:r>
      <w:r w:rsidRPr="00DF3EF6">
        <w:rPr>
          <w:noProof/>
        </w:rPr>
        <w:t xml:space="preserve">. </w:t>
      </w:r>
    </w:p>
    <w:p w14:paraId="2F9E72B3" w14:textId="5B597DFE" w:rsidR="00E25235" w:rsidRPr="00DF3EF6" w:rsidRDefault="00E25235" w:rsidP="00E25235">
      <w:pPr>
        <w:pBdr>
          <w:top w:val="nil"/>
          <w:left w:val="nil"/>
          <w:bottom w:val="nil"/>
          <w:right w:val="nil"/>
          <w:between w:val="nil"/>
          <w:bar w:val="nil"/>
        </w:pBdr>
        <w:spacing w:after="240"/>
        <w:rPr>
          <w:b/>
          <w:noProof/>
        </w:rPr>
      </w:pPr>
      <w:r w:rsidRPr="00DF3EF6">
        <w:rPr>
          <w:noProof/>
        </w:rPr>
        <w:t>Jednocześnie</w:t>
      </w:r>
      <w:r w:rsidR="0031342C" w:rsidRPr="00DF3EF6">
        <w:rPr>
          <w:noProof/>
        </w:rPr>
        <w:t xml:space="preserve"> w</w:t>
      </w:r>
      <w:r w:rsidR="0031342C">
        <w:rPr>
          <w:noProof/>
        </w:rPr>
        <w:t> </w:t>
      </w:r>
      <w:r w:rsidR="0031342C" w:rsidRPr="00DF3EF6">
        <w:rPr>
          <w:noProof/>
        </w:rPr>
        <w:t>swo</w:t>
      </w:r>
      <w:r w:rsidRPr="00DF3EF6">
        <w:rPr>
          <w:noProof/>
        </w:rPr>
        <w:t>im sprawozdaniu</w:t>
      </w:r>
      <w:r w:rsidR="0031342C" w:rsidRPr="00DF3EF6">
        <w:rPr>
          <w:noProof/>
        </w:rPr>
        <w:t xml:space="preserve"> w</w:t>
      </w:r>
      <w:r w:rsidR="0031342C">
        <w:rPr>
          <w:noProof/>
        </w:rPr>
        <w:t> </w:t>
      </w:r>
      <w:r w:rsidR="0031342C" w:rsidRPr="00DF3EF6">
        <w:rPr>
          <w:noProof/>
        </w:rPr>
        <w:t>spr</w:t>
      </w:r>
      <w:r w:rsidRPr="00DF3EF6">
        <w:rPr>
          <w:noProof/>
        </w:rPr>
        <w:t xml:space="preserve">awie unii bankowej za </w:t>
      </w:r>
      <w:r w:rsidRPr="0031342C">
        <w:rPr>
          <w:noProof/>
        </w:rPr>
        <w:t>rok</w:t>
      </w:r>
      <w:r w:rsidR="0031342C" w:rsidRPr="0031342C">
        <w:rPr>
          <w:noProof/>
        </w:rPr>
        <w:t> </w:t>
      </w:r>
      <w:r w:rsidRPr="0031342C">
        <w:rPr>
          <w:noProof/>
        </w:rPr>
        <w:t>2</w:t>
      </w:r>
      <w:r w:rsidRPr="00DF3EF6">
        <w:rPr>
          <w:noProof/>
        </w:rPr>
        <w:t>021</w:t>
      </w:r>
      <w:r w:rsidRPr="00DF3EF6">
        <w:rPr>
          <w:rStyle w:val="FootnoteReference"/>
          <w:noProof/>
        </w:rPr>
        <w:footnoteReference w:id="14"/>
      </w:r>
      <w:r w:rsidRPr="00DF3EF6">
        <w:rPr>
          <w:noProof/>
        </w:rPr>
        <w:t xml:space="preserve"> Parlament Europejski również podkreślił znaczenie dokończenia budowy unii bankowej</w:t>
      </w:r>
      <w:r w:rsidR="0031342C" w:rsidRPr="00DF3EF6">
        <w:rPr>
          <w:noProof/>
        </w:rPr>
        <w:t xml:space="preserve"> w</w:t>
      </w:r>
      <w:r w:rsidR="0031342C">
        <w:rPr>
          <w:noProof/>
        </w:rPr>
        <w:t> </w:t>
      </w:r>
      <w:r w:rsidR="0031342C" w:rsidRPr="00DF3EF6">
        <w:rPr>
          <w:noProof/>
        </w:rPr>
        <w:t>dro</w:t>
      </w:r>
      <w:r w:rsidRPr="00DF3EF6">
        <w:rPr>
          <w:noProof/>
        </w:rPr>
        <w:t>dze ustanowienia EDIS</w:t>
      </w:r>
      <w:r w:rsidR="0031342C" w:rsidRPr="00DF3EF6">
        <w:rPr>
          <w:noProof/>
        </w:rPr>
        <w:t xml:space="preserve"> i</w:t>
      </w:r>
      <w:r w:rsidR="0031342C">
        <w:rPr>
          <w:noProof/>
        </w:rPr>
        <w:t> </w:t>
      </w:r>
      <w:r w:rsidR="0031342C" w:rsidRPr="00DF3EF6">
        <w:rPr>
          <w:noProof/>
        </w:rPr>
        <w:t>pop</w:t>
      </w:r>
      <w:r w:rsidRPr="00DF3EF6">
        <w:rPr>
          <w:noProof/>
        </w:rPr>
        <w:t>arł działania Komisji</w:t>
      </w:r>
      <w:r w:rsidR="0031342C" w:rsidRPr="00DF3EF6">
        <w:rPr>
          <w:noProof/>
        </w:rPr>
        <w:t xml:space="preserve"> w</w:t>
      </w:r>
      <w:r w:rsidR="0031342C">
        <w:rPr>
          <w:noProof/>
        </w:rPr>
        <w:t> </w:t>
      </w:r>
      <w:r w:rsidR="0031342C" w:rsidRPr="00DF3EF6">
        <w:rPr>
          <w:noProof/>
        </w:rPr>
        <w:t>zak</w:t>
      </w:r>
      <w:r w:rsidRPr="00DF3EF6">
        <w:rPr>
          <w:noProof/>
        </w:rPr>
        <w:t>resie przedstawienia wniosku ustawodawczego</w:t>
      </w:r>
      <w:r w:rsidR="0031342C" w:rsidRPr="00DF3EF6">
        <w:rPr>
          <w:noProof/>
        </w:rPr>
        <w:t xml:space="preserve"> w</w:t>
      </w:r>
      <w:r w:rsidR="0031342C">
        <w:rPr>
          <w:noProof/>
        </w:rPr>
        <w:t> </w:t>
      </w:r>
      <w:r w:rsidR="0031342C" w:rsidRPr="00DF3EF6">
        <w:rPr>
          <w:noProof/>
        </w:rPr>
        <w:t>spr</w:t>
      </w:r>
      <w:r w:rsidRPr="00DF3EF6">
        <w:rPr>
          <w:noProof/>
        </w:rPr>
        <w:t>awie przeglądu CMDI. Chociaż Eurogrupa nie zatwierdziła wyraźnie EDIS, dzięki niemu reforma CMDI byłaby bardziej solidna</w:t>
      </w:r>
      <w:r w:rsidR="0031342C" w:rsidRPr="00DF3EF6">
        <w:rPr>
          <w:noProof/>
        </w:rPr>
        <w:t xml:space="preserve"> i</w:t>
      </w:r>
      <w:r w:rsidR="0031342C">
        <w:rPr>
          <w:noProof/>
        </w:rPr>
        <w:t> </w:t>
      </w:r>
      <w:r w:rsidR="0031342C" w:rsidRPr="00DF3EF6">
        <w:rPr>
          <w:noProof/>
        </w:rPr>
        <w:t>zap</w:t>
      </w:r>
      <w:r w:rsidRPr="00DF3EF6">
        <w:rPr>
          <w:noProof/>
        </w:rPr>
        <w:t>ewniłaby synergię</w:t>
      </w:r>
      <w:r w:rsidR="0031342C" w:rsidRPr="00DF3EF6">
        <w:rPr>
          <w:noProof/>
        </w:rPr>
        <w:t xml:space="preserve"> i</w:t>
      </w:r>
      <w:r w:rsidR="0031342C">
        <w:rPr>
          <w:noProof/>
        </w:rPr>
        <w:t> </w:t>
      </w:r>
      <w:r w:rsidR="0031342C" w:rsidRPr="00DF3EF6">
        <w:rPr>
          <w:noProof/>
        </w:rPr>
        <w:t>prz</w:t>
      </w:r>
      <w:r w:rsidRPr="00DF3EF6">
        <w:rPr>
          <w:noProof/>
        </w:rPr>
        <w:t>yrost wydajności dla sektora bankowego. Taki pakiet legislacyjny byłby częścią programu działań mającego na celu dokończenie budowy unii bankowej, jak podkreśliła</w:t>
      </w:r>
      <w:r w:rsidR="0031342C" w:rsidRPr="00DF3EF6">
        <w:rPr>
          <w:noProof/>
        </w:rPr>
        <w:t xml:space="preserve"> w</w:t>
      </w:r>
      <w:r w:rsidR="0031342C">
        <w:rPr>
          <w:noProof/>
        </w:rPr>
        <w:t> </w:t>
      </w:r>
      <w:r w:rsidR="0031342C" w:rsidRPr="00DF3EF6">
        <w:rPr>
          <w:noProof/>
        </w:rPr>
        <w:t>wyt</w:t>
      </w:r>
      <w:r w:rsidRPr="00DF3EF6">
        <w:rPr>
          <w:noProof/>
        </w:rPr>
        <w:t>ycznych politycznych przewodnicząca Ursula von der Leyen,</w:t>
      </w:r>
      <w:r w:rsidR="0031342C" w:rsidRPr="00DF3EF6">
        <w:rPr>
          <w:noProof/>
        </w:rPr>
        <w:t xml:space="preserve"> w</w:t>
      </w:r>
      <w:r w:rsidR="0031342C">
        <w:rPr>
          <w:noProof/>
        </w:rPr>
        <w:t> </w:t>
      </w:r>
      <w:r w:rsidR="0031342C" w:rsidRPr="00DF3EF6">
        <w:rPr>
          <w:noProof/>
        </w:rPr>
        <w:t>któ</w:t>
      </w:r>
      <w:r w:rsidRPr="00DF3EF6">
        <w:rPr>
          <w:noProof/>
        </w:rPr>
        <w:t>rych przypomniała również</w:t>
      </w:r>
      <w:r w:rsidR="0031342C" w:rsidRPr="00DF3EF6">
        <w:rPr>
          <w:noProof/>
        </w:rPr>
        <w:t xml:space="preserve"> o</w:t>
      </w:r>
      <w:r w:rsidR="0031342C">
        <w:rPr>
          <w:noProof/>
        </w:rPr>
        <w:t> </w:t>
      </w:r>
      <w:r w:rsidR="0031342C" w:rsidRPr="00DF3EF6">
        <w:rPr>
          <w:noProof/>
        </w:rPr>
        <w:t>zna</w:t>
      </w:r>
      <w:r w:rsidRPr="00DF3EF6">
        <w:rPr>
          <w:noProof/>
        </w:rPr>
        <w:t>czeniu EDIS, oraz zgodnie</w:t>
      </w:r>
      <w:r w:rsidR="0031342C" w:rsidRPr="00DF3EF6">
        <w:rPr>
          <w:noProof/>
        </w:rPr>
        <w:t xml:space="preserve"> z</w:t>
      </w:r>
      <w:r w:rsidR="0031342C">
        <w:rPr>
          <w:noProof/>
        </w:rPr>
        <w:t> </w:t>
      </w:r>
      <w:r w:rsidR="0031342C" w:rsidRPr="00DF3EF6">
        <w:rPr>
          <w:noProof/>
        </w:rPr>
        <w:t>reg</w:t>
      </w:r>
      <w:r w:rsidRPr="00DF3EF6">
        <w:rPr>
          <w:noProof/>
        </w:rPr>
        <w:t>ularnym poparciem przywódców</w:t>
      </w:r>
      <w:r w:rsidRPr="00DF3EF6">
        <w:rPr>
          <w:rStyle w:val="FootnoteReference"/>
          <w:noProof/>
        </w:rPr>
        <w:footnoteReference w:id="15"/>
      </w:r>
      <w:r w:rsidRPr="00DF3EF6">
        <w:rPr>
          <w:noProof/>
        </w:rPr>
        <w:t>.</w:t>
      </w:r>
    </w:p>
    <w:p w14:paraId="6CA3093A" w14:textId="5B05A62D" w:rsidR="00E25235" w:rsidRPr="00DF3EF6" w:rsidRDefault="00E25235" w:rsidP="00E25235">
      <w:pPr>
        <w:pBdr>
          <w:top w:val="nil"/>
          <w:left w:val="nil"/>
          <w:bottom w:val="nil"/>
          <w:right w:val="nil"/>
          <w:between w:val="nil"/>
          <w:bar w:val="nil"/>
        </w:pBdr>
        <w:spacing w:after="240"/>
        <w:rPr>
          <w:b/>
          <w:noProof/>
        </w:rPr>
      </w:pPr>
      <w:r w:rsidRPr="00DF3EF6">
        <w:rPr>
          <w:b/>
          <w:noProof/>
        </w:rPr>
        <w:t>Cele dyrektywy</w:t>
      </w:r>
      <w:r w:rsidR="0031342C" w:rsidRPr="00DF3EF6">
        <w:rPr>
          <w:b/>
          <w:noProof/>
        </w:rPr>
        <w:t xml:space="preserve"> w</w:t>
      </w:r>
      <w:r w:rsidR="0031342C">
        <w:rPr>
          <w:b/>
          <w:noProof/>
        </w:rPr>
        <w:t> </w:t>
      </w:r>
      <w:r w:rsidR="0031342C" w:rsidRPr="00DF3EF6">
        <w:rPr>
          <w:b/>
          <w:noProof/>
        </w:rPr>
        <w:t>spr</w:t>
      </w:r>
      <w:r w:rsidRPr="00DF3EF6">
        <w:rPr>
          <w:b/>
          <w:noProof/>
        </w:rPr>
        <w:t>awie systemów gwarancji depozytów</w:t>
      </w:r>
    </w:p>
    <w:p w14:paraId="45A5EBDC" w14:textId="15E3CCD6" w:rsidR="00E25235" w:rsidRPr="00DF3EF6" w:rsidRDefault="00E25235" w:rsidP="00E25235">
      <w:pPr>
        <w:pBdr>
          <w:top w:val="nil"/>
          <w:left w:val="nil"/>
          <w:bottom w:val="nil"/>
          <w:right w:val="nil"/>
          <w:between w:val="nil"/>
          <w:bar w:val="nil"/>
        </w:pBdr>
        <w:spacing w:after="240"/>
        <w:rPr>
          <w:noProof/>
        </w:rPr>
      </w:pPr>
      <w:r w:rsidRPr="00DF3EF6">
        <w:rPr>
          <w:noProof/>
        </w:rPr>
        <w:t>W ramach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zharmonizowano mechanizmy ochrony depozytów</w:t>
      </w:r>
      <w:r w:rsidR="0031342C" w:rsidRPr="00DF3EF6">
        <w:rPr>
          <w:noProof/>
        </w:rPr>
        <w:t xml:space="preserve"> w</w:t>
      </w:r>
      <w:r w:rsidR="0031342C">
        <w:rPr>
          <w:noProof/>
        </w:rPr>
        <w:t> </w:t>
      </w:r>
      <w:r w:rsidR="0031342C" w:rsidRPr="00DF3EF6">
        <w:rPr>
          <w:noProof/>
        </w:rPr>
        <w:t>cał</w:t>
      </w:r>
      <w:r w:rsidRPr="00DF3EF6">
        <w:rPr>
          <w:noProof/>
        </w:rPr>
        <w:t xml:space="preserve">ej UE. Ochrona depozytów ma kluczowe znaczenie dla zapewnienia wzrostu zaufania deponentów, wzmocnienia stabilności finansowej systemu </w:t>
      </w:r>
      <w:r w:rsidRPr="00DF3EF6">
        <w:rPr>
          <w:noProof/>
        </w:rPr>
        <w:lastRenderedPageBreak/>
        <w:t>bankowego oraz zabezpieczenia funkcjonowania jednolitego rynku</w:t>
      </w:r>
      <w:r w:rsidR="0031342C" w:rsidRPr="00DF3EF6">
        <w:rPr>
          <w:noProof/>
        </w:rPr>
        <w:t>. W</w:t>
      </w:r>
      <w:r w:rsidR="0031342C">
        <w:rPr>
          <w:noProof/>
        </w:rPr>
        <w:t> </w:t>
      </w:r>
      <w:r w:rsidR="0031342C" w:rsidRPr="00DF3EF6">
        <w:rPr>
          <w:noProof/>
        </w:rPr>
        <w:t>tym</w:t>
      </w:r>
      <w:r w:rsidRPr="00DF3EF6">
        <w:rPr>
          <w:noProof/>
        </w:rPr>
        <w:t xml:space="preserve"> celu</w:t>
      </w:r>
      <w:r w:rsidR="0031342C" w:rsidRPr="00DF3EF6">
        <w:rPr>
          <w:noProof/>
        </w:rPr>
        <w:t xml:space="preserve"> w</w:t>
      </w:r>
      <w:r w:rsidR="0031342C">
        <w:rPr>
          <w:noProof/>
        </w:rPr>
        <w:t> </w:t>
      </w:r>
      <w:r w:rsidR="0031342C" w:rsidRPr="00DF3EF6">
        <w:rPr>
          <w:noProof/>
        </w:rPr>
        <w:t>każ</w:t>
      </w:r>
      <w:r w:rsidRPr="00DF3EF6">
        <w:rPr>
          <w:noProof/>
        </w:rPr>
        <w:t>dym państwie członkowskim utworzono co najmniej jeden system gwarancji depozytów, aby zapewnić szybkie dokonywanie wypłat na rzecz deponentów</w:t>
      </w:r>
      <w:r w:rsidR="0031342C" w:rsidRPr="00DF3EF6">
        <w:rPr>
          <w:noProof/>
        </w:rPr>
        <w:t xml:space="preserve"> w</w:t>
      </w:r>
      <w:r w:rsidR="0031342C">
        <w:rPr>
          <w:noProof/>
        </w:rPr>
        <w:t> </w:t>
      </w:r>
      <w:r w:rsidR="0031342C" w:rsidRPr="00DF3EF6">
        <w:rPr>
          <w:noProof/>
        </w:rPr>
        <w:t>prz</w:t>
      </w:r>
      <w:r w:rsidRPr="00DF3EF6">
        <w:rPr>
          <w:noProof/>
        </w:rPr>
        <w:t>ypadku upadłości banku (wypłata), oraz ustalono jednolity poziom ochrony</w:t>
      </w:r>
      <w:r w:rsidR="0031342C" w:rsidRPr="00DF3EF6">
        <w:rPr>
          <w:noProof/>
        </w:rPr>
        <w:t xml:space="preserve"> w</w:t>
      </w:r>
      <w:r w:rsidR="0031342C">
        <w:rPr>
          <w:noProof/>
        </w:rPr>
        <w:t> </w:t>
      </w:r>
      <w:r w:rsidR="0031342C" w:rsidRPr="00DF3EF6">
        <w:rPr>
          <w:noProof/>
        </w:rPr>
        <w:t>wys</w:t>
      </w:r>
      <w:r w:rsidRPr="00DF3EF6">
        <w:rPr>
          <w:noProof/>
        </w:rPr>
        <w:t>okości 100 000 EUR. Co ważne, systemy gwarancji depozytów odgrywają również rolę</w:t>
      </w:r>
      <w:r w:rsidR="0031342C" w:rsidRPr="00DF3EF6">
        <w:rPr>
          <w:noProof/>
        </w:rPr>
        <w:t xml:space="preserve"> w</w:t>
      </w:r>
      <w:r w:rsidR="0031342C">
        <w:rPr>
          <w:noProof/>
        </w:rPr>
        <w:t> </w:t>
      </w:r>
      <w:r w:rsidR="0031342C" w:rsidRPr="00DF3EF6">
        <w:rPr>
          <w:noProof/>
        </w:rPr>
        <w:t>zar</w:t>
      </w:r>
      <w:r w:rsidRPr="00DF3EF6">
        <w:rPr>
          <w:noProof/>
        </w:rPr>
        <w:t>ządzaniu kryzysowym banków. Mogą one wnosić wkład</w:t>
      </w:r>
      <w:r w:rsidR="0031342C" w:rsidRPr="00DF3EF6">
        <w:rPr>
          <w:noProof/>
        </w:rPr>
        <w:t xml:space="preserve"> w</w:t>
      </w:r>
      <w:r w:rsidR="0031342C">
        <w:rPr>
          <w:noProof/>
        </w:rPr>
        <w:t> </w:t>
      </w:r>
      <w:r w:rsidR="0031342C" w:rsidRPr="00DF3EF6">
        <w:rPr>
          <w:noProof/>
        </w:rPr>
        <w:t>res</w:t>
      </w:r>
      <w:r w:rsidRPr="00DF3EF6">
        <w:rPr>
          <w:noProof/>
        </w:rPr>
        <w:t>trukturyzację</w:t>
      </w:r>
      <w:r w:rsidR="0031342C" w:rsidRPr="00DF3EF6">
        <w:rPr>
          <w:noProof/>
        </w:rPr>
        <w:t xml:space="preserve"> i</w:t>
      </w:r>
      <w:r w:rsidR="0031342C">
        <w:rPr>
          <w:noProof/>
        </w:rPr>
        <w:t> </w:t>
      </w:r>
      <w:r w:rsidR="0031342C" w:rsidRPr="00DF3EF6">
        <w:rPr>
          <w:noProof/>
        </w:rPr>
        <w:t>upo</w:t>
      </w:r>
      <w:r w:rsidRPr="00DF3EF6">
        <w:rPr>
          <w:noProof/>
        </w:rPr>
        <w:t>rządkowaną likwidację lub zapewniać finansowanie innych środków, przy jednoczesnym zachowaniu dostępu deponentów do depozytów gwarantowanych.</w:t>
      </w:r>
    </w:p>
    <w:p w14:paraId="09561F15" w14:textId="77777777" w:rsidR="00E25235" w:rsidRPr="00DF3EF6" w:rsidRDefault="00E25235" w:rsidP="00E25235">
      <w:pPr>
        <w:pStyle w:val="ManualHeading2"/>
        <w:rPr>
          <w:noProof/>
        </w:rPr>
      </w:pPr>
      <w:r w:rsidRPr="00DF3EF6">
        <w:rPr>
          <w:noProof/>
        </w:rPr>
        <w:t>Powody przedstawienia wniosku</w:t>
      </w:r>
    </w:p>
    <w:p w14:paraId="47F31908" w14:textId="5CE968E7" w:rsidR="00E25235" w:rsidRPr="00DF3EF6" w:rsidRDefault="00E25235" w:rsidP="00E25235">
      <w:pPr>
        <w:rPr>
          <w:noProof/>
        </w:rPr>
      </w:pPr>
      <w:r w:rsidRPr="00DF3EF6">
        <w:rPr>
          <w:noProof/>
        </w:rPr>
        <w:t>Zgodnie</w:t>
      </w:r>
      <w:r w:rsidR="0031342C" w:rsidRPr="00DF3EF6">
        <w:rPr>
          <w:noProof/>
        </w:rPr>
        <w:t xml:space="preserve"> z</w:t>
      </w:r>
      <w:r w:rsidR="0031342C">
        <w:rPr>
          <w:noProof/>
        </w:rPr>
        <w:t> </w:t>
      </w:r>
      <w:r w:rsidR="0031342C" w:rsidRPr="00DF3EF6">
        <w:rPr>
          <w:noProof/>
        </w:rPr>
        <w:t>upr</w:t>
      </w:r>
      <w:r w:rsidRPr="00DF3EF6">
        <w:rPr>
          <w:noProof/>
        </w:rPr>
        <w:t>awnieniami wynikającymi</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9 </w:t>
      </w:r>
      <w:r w:rsidRPr="0031342C">
        <w:rPr>
          <w:noProof/>
        </w:rPr>
        <w:t>ust.</w:t>
      </w:r>
      <w:r w:rsidR="0031342C" w:rsidRPr="0031342C">
        <w:rPr>
          <w:noProof/>
        </w:rPr>
        <w:t> </w:t>
      </w:r>
      <w:r w:rsidRPr="0031342C">
        <w:rPr>
          <w:noProof/>
        </w:rPr>
        <w:t>6</w:t>
      </w:r>
      <w:r w:rsidRPr="00DF3EF6">
        <w:rPr>
          <w:noProof/>
        </w:rPr>
        <w:t xml:space="preserve">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Komisja przeprowadziła kompleksową ocenę funkcjonowania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Na podstawie wniosków potwierdzono, że główne elementy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r w:rsidR="0031342C" w:rsidRPr="00DF3EF6">
        <w:rPr>
          <w:noProof/>
        </w:rPr>
        <w:t xml:space="preserve"> w</w:t>
      </w:r>
      <w:r w:rsidR="0031342C">
        <w:rPr>
          <w:noProof/>
        </w:rPr>
        <w:t> </w:t>
      </w:r>
      <w:r w:rsidR="0031342C" w:rsidRPr="00DF3EF6">
        <w:rPr>
          <w:noProof/>
        </w:rPr>
        <w:t>szc</w:t>
      </w:r>
      <w:r w:rsidRPr="00DF3EF6">
        <w:rPr>
          <w:noProof/>
        </w:rPr>
        <w:t>zególności standardowy poziom gwarancji wynoszący 100 000 EUR na deponenta na bank, minimalny poziom docelowy finansowania</w:t>
      </w:r>
      <w:r w:rsidR="0031342C" w:rsidRPr="00DF3EF6">
        <w:rPr>
          <w:noProof/>
        </w:rPr>
        <w:t xml:space="preserve"> w</w:t>
      </w:r>
      <w:r w:rsidR="0031342C">
        <w:rPr>
          <w:noProof/>
        </w:rPr>
        <w:t> </w:t>
      </w:r>
      <w:r w:rsidR="0031342C" w:rsidRPr="00DF3EF6">
        <w:rPr>
          <w:noProof/>
        </w:rPr>
        <w:t>ram</w:t>
      </w:r>
      <w:r w:rsidRPr="00DF3EF6">
        <w:rPr>
          <w:noProof/>
        </w:rPr>
        <w:t xml:space="preserve">ach systemu gwarancji depozytów oraz krótkie terminy wypłat środków deponentom, co do zasady przyniosły korzyści deponentom. </w:t>
      </w:r>
    </w:p>
    <w:p w14:paraId="54142EC8" w14:textId="216713D8" w:rsidR="00E25235" w:rsidRPr="00DF3EF6" w:rsidRDefault="00E25235" w:rsidP="00E25235">
      <w:pPr>
        <w:widowControl w:val="0"/>
        <w:shd w:val="clear" w:color="auto" w:fill="FFFFFF"/>
        <w:autoSpaceDE w:val="0"/>
        <w:autoSpaceDN w:val="0"/>
        <w:adjustRightInd w:val="0"/>
        <w:spacing w:before="230" w:after="0" w:line="269" w:lineRule="exact"/>
        <w:rPr>
          <w:noProof/>
        </w:rPr>
      </w:pPr>
      <w:r w:rsidRPr="00DF3EF6">
        <w:rPr>
          <w:noProof/>
        </w:rPr>
        <w:t>Z doświadczenia praktycznego</w:t>
      </w:r>
      <w:r w:rsidR="0031342C" w:rsidRPr="00DF3EF6">
        <w:rPr>
          <w:noProof/>
        </w:rPr>
        <w:t xml:space="preserve"> w</w:t>
      </w:r>
      <w:r w:rsidR="0031342C">
        <w:rPr>
          <w:noProof/>
        </w:rPr>
        <w:t> </w:t>
      </w:r>
      <w:r w:rsidR="0031342C" w:rsidRPr="00DF3EF6">
        <w:rPr>
          <w:noProof/>
        </w:rPr>
        <w:t>sto</w:t>
      </w:r>
      <w:r w:rsidRPr="00DF3EF6">
        <w:rPr>
          <w:noProof/>
        </w:rPr>
        <w:t>sowaniu tych ram wynika jednak, że istnieją obszary wymagające poprawy. Obszary te dotyczą zakresu ochrony deponentów, rozbieżnej interpretacji warunków wykorzystania środków SGD do celów interwencji wykraczających poza wypłatę depozytów gwarantowanych, skuteczności operacyjnej</w:t>
      </w:r>
      <w:r w:rsidR="0031342C" w:rsidRPr="00DF3EF6">
        <w:rPr>
          <w:noProof/>
        </w:rPr>
        <w:t xml:space="preserve"> i</w:t>
      </w:r>
      <w:r w:rsidR="0031342C">
        <w:rPr>
          <w:noProof/>
        </w:rPr>
        <w:t> </w:t>
      </w:r>
      <w:r w:rsidR="0031342C" w:rsidRPr="00DF3EF6">
        <w:rPr>
          <w:noProof/>
        </w:rPr>
        <w:t>wyd</w:t>
      </w:r>
      <w:r w:rsidRPr="00DF3EF6">
        <w:rPr>
          <w:noProof/>
        </w:rPr>
        <w:t>ajności</w:t>
      </w:r>
      <w:r w:rsidR="0031342C" w:rsidRPr="00DF3EF6">
        <w:rPr>
          <w:noProof/>
        </w:rPr>
        <w:t xml:space="preserve"> w</w:t>
      </w:r>
      <w:r w:rsidR="0031342C">
        <w:rPr>
          <w:noProof/>
        </w:rPr>
        <w:t> </w:t>
      </w:r>
      <w:r w:rsidR="0031342C" w:rsidRPr="00DF3EF6">
        <w:rPr>
          <w:noProof/>
        </w:rPr>
        <w:t>spo</w:t>
      </w:r>
      <w:r w:rsidRPr="00DF3EF6">
        <w:rPr>
          <w:noProof/>
        </w:rPr>
        <w:t>sobie działania systemów gwarancji depozytów, opcji</w:t>
      </w:r>
      <w:r w:rsidR="0031342C" w:rsidRPr="00DF3EF6">
        <w:rPr>
          <w:noProof/>
        </w:rPr>
        <w:t xml:space="preserve"> i</w:t>
      </w:r>
      <w:r w:rsidR="0031342C">
        <w:rPr>
          <w:noProof/>
        </w:rPr>
        <w:t> </w:t>
      </w:r>
      <w:r w:rsidR="0031342C" w:rsidRPr="00DF3EF6">
        <w:rPr>
          <w:noProof/>
        </w:rPr>
        <w:t>swo</w:t>
      </w:r>
      <w:r w:rsidRPr="00DF3EF6">
        <w:rPr>
          <w:noProof/>
        </w:rPr>
        <w:t>bód uznania oraz potrzeby skuteczniejszej koordynacji między sieciami bezpieczeństwa istniejącymi na potrzeby restrukturyzacji</w:t>
      </w:r>
      <w:r w:rsidR="0031342C" w:rsidRPr="00DF3EF6">
        <w:rPr>
          <w:noProof/>
        </w:rPr>
        <w:t xml:space="preserve"> i</w:t>
      </w:r>
      <w:r w:rsidR="0031342C">
        <w:rPr>
          <w:noProof/>
        </w:rPr>
        <w:t> </w:t>
      </w:r>
      <w:r w:rsidR="0031342C" w:rsidRPr="00DF3EF6">
        <w:rPr>
          <w:noProof/>
        </w:rPr>
        <w:t>upo</w:t>
      </w:r>
      <w:r w:rsidRPr="00DF3EF6">
        <w:rPr>
          <w:noProof/>
        </w:rPr>
        <w:t>rządkowanej likwidacji</w:t>
      </w:r>
      <w:r w:rsidR="0031342C" w:rsidRPr="00DF3EF6">
        <w:rPr>
          <w:noProof/>
        </w:rPr>
        <w:t xml:space="preserve"> a</w:t>
      </w:r>
      <w:r w:rsidR="0031342C">
        <w:rPr>
          <w:noProof/>
        </w:rPr>
        <w:t> </w:t>
      </w:r>
      <w:r w:rsidR="0031342C" w:rsidRPr="00DF3EF6">
        <w:rPr>
          <w:noProof/>
        </w:rPr>
        <w:t>sie</w:t>
      </w:r>
      <w:r w:rsidRPr="00DF3EF6">
        <w:rPr>
          <w:noProof/>
        </w:rPr>
        <w:t>ciami bezpieczeństwa istniejącymi na potrzeby gwarantowania depozytów.</w:t>
      </w:r>
    </w:p>
    <w:p w14:paraId="2553978F" w14:textId="2B8AC011" w:rsidR="00E25235" w:rsidRPr="00DF3EF6" w:rsidRDefault="00E25235" w:rsidP="00E25235">
      <w:pPr>
        <w:rPr>
          <w:noProof/>
        </w:rPr>
      </w:pPr>
      <w:r w:rsidRPr="00DF3EF6">
        <w:rPr>
          <w:noProof/>
        </w:rPr>
        <w:t>Stanowiąc integralną część przeglądu prawodawstwa Komisji</w:t>
      </w:r>
      <w:r w:rsidR="0031342C" w:rsidRPr="00DF3EF6">
        <w:rPr>
          <w:noProof/>
        </w:rPr>
        <w:t xml:space="preserve"> w</w:t>
      </w:r>
      <w:r w:rsidR="0031342C">
        <w:rPr>
          <w:noProof/>
        </w:rPr>
        <w:t> </w:t>
      </w:r>
      <w:r w:rsidR="0031342C" w:rsidRPr="00DF3EF6">
        <w:rPr>
          <w:noProof/>
        </w:rPr>
        <w:t>zak</w:t>
      </w:r>
      <w:r w:rsidRPr="00DF3EF6">
        <w:rPr>
          <w:noProof/>
        </w:rPr>
        <w:t>resie zarządzania kryzysowego</w:t>
      </w:r>
      <w:r w:rsidR="0031342C" w:rsidRPr="00DF3EF6">
        <w:rPr>
          <w:noProof/>
        </w:rPr>
        <w:t xml:space="preserve"> i</w:t>
      </w:r>
      <w:r w:rsidR="0031342C">
        <w:rPr>
          <w:noProof/>
        </w:rPr>
        <w:t> </w:t>
      </w:r>
      <w:r w:rsidR="0031342C" w:rsidRPr="00DF3EF6">
        <w:rPr>
          <w:noProof/>
        </w:rPr>
        <w:t>gwa</w:t>
      </w:r>
      <w:r w:rsidRPr="00DF3EF6">
        <w:rPr>
          <w:noProof/>
        </w:rPr>
        <w:t>rantowania depozytów (CMDI), wniosek dotyczący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opiera się</w:t>
      </w:r>
      <w:r w:rsidR="0031342C" w:rsidRPr="00DF3EF6">
        <w:rPr>
          <w:noProof/>
        </w:rPr>
        <w:t xml:space="preserve"> w</w:t>
      </w:r>
      <w:r w:rsidR="0031342C">
        <w:rPr>
          <w:noProof/>
        </w:rPr>
        <w:t> </w:t>
      </w:r>
      <w:r w:rsidR="0031342C" w:rsidRPr="00DF3EF6">
        <w:rPr>
          <w:noProof/>
        </w:rPr>
        <w:t>duż</w:t>
      </w:r>
      <w:r w:rsidRPr="00DF3EF6">
        <w:rPr>
          <w:noProof/>
        </w:rPr>
        <w:t>ej mierze na pracach przygotowawczych oraz na zaleceniach opracowanych przez Europejski Urząd Nadzoru Bankowego (EUNB), zawartych</w:t>
      </w:r>
      <w:r w:rsidR="0031342C" w:rsidRPr="00DF3EF6">
        <w:rPr>
          <w:noProof/>
        </w:rPr>
        <w:t xml:space="preserve"> w</w:t>
      </w:r>
      <w:r w:rsidR="0031342C">
        <w:rPr>
          <w:noProof/>
        </w:rPr>
        <w:t> </w:t>
      </w:r>
      <w:r w:rsidR="0031342C" w:rsidRPr="00DF3EF6">
        <w:rPr>
          <w:noProof/>
        </w:rPr>
        <w:t>jeg</w:t>
      </w:r>
      <w:r w:rsidRPr="00DF3EF6">
        <w:rPr>
          <w:noProof/>
        </w:rPr>
        <w:t>o pięciu opiniach</w:t>
      </w:r>
      <w:r w:rsidRPr="00DF3EF6">
        <w:rPr>
          <w:rStyle w:val="FootnoteReference"/>
          <w:noProof/>
        </w:rPr>
        <w:footnoteReference w:id="16"/>
      </w:r>
      <w:r w:rsidRPr="00DF3EF6">
        <w:rPr>
          <w:noProof/>
        </w:rPr>
        <w:t xml:space="preserve"> dotyczących stosowania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przy czym wniosek ten uwzględnia przypadki,</w:t>
      </w:r>
      <w:r w:rsidR="0031342C" w:rsidRPr="00DF3EF6">
        <w:rPr>
          <w:noProof/>
        </w:rPr>
        <w:t xml:space="preserve"> w</w:t>
      </w:r>
      <w:r w:rsidR="0031342C">
        <w:rPr>
          <w:noProof/>
        </w:rPr>
        <w:t> </w:t>
      </w:r>
      <w:r w:rsidR="0031342C" w:rsidRPr="00DF3EF6">
        <w:rPr>
          <w:noProof/>
        </w:rPr>
        <w:t>któ</w:t>
      </w:r>
      <w:r w:rsidRPr="00DF3EF6">
        <w:rPr>
          <w:noProof/>
        </w:rPr>
        <w:t>rych praktyczne stosowanie dyrektywy nie doprowadziło do osiągnięcia niektórych</w:t>
      </w:r>
      <w:r w:rsidR="0031342C" w:rsidRPr="00DF3EF6">
        <w:rPr>
          <w:noProof/>
        </w:rPr>
        <w:t xml:space="preserve"> z</w:t>
      </w:r>
      <w:r w:rsidR="0031342C">
        <w:rPr>
          <w:noProof/>
        </w:rPr>
        <w:t> </w:t>
      </w:r>
      <w:r w:rsidR="0031342C" w:rsidRPr="00DF3EF6">
        <w:rPr>
          <w:noProof/>
        </w:rPr>
        <w:t>waż</w:t>
      </w:r>
      <w:r w:rsidRPr="00DF3EF6">
        <w:rPr>
          <w:noProof/>
        </w:rPr>
        <w:t>nych celów określonych</w:t>
      </w:r>
      <w:r w:rsidR="0031342C" w:rsidRPr="00DF3EF6">
        <w:rPr>
          <w:noProof/>
        </w:rPr>
        <w:t xml:space="preserve"> w</w:t>
      </w:r>
      <w:r w:rsidR="0031342C">
        <w:rPr>
          <w:noProof/>
        </w:rPr>
        <w:t> </w:t>
      </w:r>
      <w:r w:rsidR="0031342C" w:rsidRPr="00DF3EF6">
        <w:rPr>
          <w:noProof/>
        </w:rPr>
        <w:t>tej</w:t>
      </w:r>
      <w:r w:rsidRPr="00DF3EF6">
        <w:rPr>
          <w:noProof/>
        </w:rPr>
        <w:t xml:space="preserve"> dyrektywie lub doprowadziło jedynie do częściowego ich osiągnięcia. </w:t>
      </w:r>
    </w:p>
    <w:p w14:paraId="12EA07D1" w14:textId="70EEA4C9" w:rsidR="00E25235" w:rsidRPr="00DF3EF6" w:rsidRDefault="00E25235" w:rsidP="00A601F7">
      <w:pPr>
        <w:pStyle w:val="ManualHeading2"/>
        <w:rPr>
          <w:noProof/>
        </w:rPr>
      </w:pPr>
      <w:r w:rsidRPr="00DF3EF6">
        <w:rPr>
          <w:noProof/>
        </w:rPr>
        <w:t>Podsumowanie zmian</w:t>
      </w:r>
      <w:r w:rsidR="0031342C" w:rsidRPr="00DF3EF6">
        <w:rPr>
          <w:noProof/>
        </w:rPr>
        <w:t xml:space="preserve">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r w:rsidR="0031342C" w:rsidRPr="00DF3EF6">
        <w:rPr>
          <w:noProof/>
        </w:rPr>
        <w:t xml:space="preserve"> w</w:t>
      </w:r>
      <w:r w:rsidR="0031342C">
        <w:rPr>
          <w:noProof/>
        </w:rPr>
        <w:t> </w:t>
      </w:r>
      <w:r w:rsidR="0031342C" w:rsidRPr="00DF3EF6">
        <w:rPr>
          <w:noProof/>
        </w:rPr>
        <w:t>ram</w:t>
      </w:r>
      <w:r w:rsidRPr="00DF3EF6">
        <w:rPr>
          <w:noProof/>
        </w:rPr>
        <w:t>ach reformy zarządzania kryzysowego</w:t>
      </w:r>
      <w:r w:rsidR="0031342C" w:rsidRPr="00DF3EF6">
        <w:rPr>
          <w:noProof/>
        </w:rPr>
        <w:t xml:space="preserve"> i</w:t>
      </w:r>
      <w:r w:rsidR="0031342C">
        <w:rPr>
          <w:noProof/>
        </w:rPr>
        <w:t> </w:t>
      </w:r>
      <w:r w:rsidR="0031342C" w:rsidRPr="00DF3EF6">
        <w:rPr>
          <w:noProof/>
        </w:rPr>
        <w:t>gwa</w:t>
      </w:r>
      <w:r w:rsidRPr="00DF3EF6">
        <w:rPr>
          <w:noProof/>
        </w:rPr>
        <w:t>rantowania depozytów (CMDI)</w:t>
      </w:r>
    </w:p>
    <w:p w14:paraId="373A9F9D" w14:textId="37146286" w:rsidR="00E25235" w:rsidRPr="00DF3EF6" w:rsidRDefault="00E25235" w:rsidP="00E25235">
      <w:pPr>
        <w:pBdr>
          <w:top w:val="nil"/>
          <w:left w:val="nil"/>
          <w:bottom w:val="nil"/>
          <w:right w:val="nil"/>
          <w:between w:val="nil"/>
          <w:bar w:val="nil"/>
        </w:pBdr>
        <w:spacing w:before="0" w:after="240"/>
        <w:rPr>
          <w:noProof/>
        </w:rPr>
      </w:pPr>
      <w:r w:rsidRPr="00DF3EF6">
        <w:rPr>
          <w:noProof/>
        </w:rPr>
        <w:t>Wniosek dotyczący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obejmuje szereg aspektów polityki</w:t>
      </w:r>
      <w:r w:rsidR="0031342C" w:rsidRPr="00DF3EF6">
        <w:rPr>
          <w:noProof/>
        </w:rPr>
        <w:t xml:space="preserve"> i</w:t>
      </w:r>
      <w:r w:rsidR="0031342C">
        <w:rPr>
          <w:noProof/>
        </w:rPr>
        <w:t> </w:t>
      </w:r>
      <w:r w:rsidR="0031342C" w:rsidRPr="00DF3EF6">
        <w:rPr>
          <w:noProof/>
        </w:rPr>
        <w:t>sta</w:t>
      </w:r>
      <w:r w:rsidRPr="00DF3EF6">
        <w:rPr>
          <w:noProof/>
        </w:rPr>
        <w:t>nowi spójną odpowiedź na zidentyfikowane problemy. Jest on zatem ukierunkowany na:</w:t>
      </w:r>
    </w:p>
    <w:p w14:paraId="5F0A16D6" w14:textId="7B53CF59" w:rsidR="00E25235" w:rsidRPr="00DF3EF6" w:rsidRDefault="00DF3EF6" w:rsidP="00DF3EF6">
      <w:pPr>
        <w:pStyle w:val="Point0"/>
        <w:rPr>
          <w:noProof/>
        </w:rPr>
      </w:pPr>
      <w:r>
        <w:rPr>
          <w:noProof/>
        </w:rPr>
        <w:t>1)</w:t>
      </w:r>
      <w:r>
        <w:rPr>
          <w:noProof/>
        </w:rPr>
        <w:tab/>
      </w:r>
      <w:r w:rsidR="00E25235" w:rsidRPr="00DF3EF6">
        <w:rPr>
          <w:noProof/>
        </w:rPr>
        <w:t>wyjaśnienie zakresu ochrony deponenta przez usunięcie zidentyfikowanych rozbieżności</w:t>
      </w:r>
      <w:r w:rsidR="0031342C" w:rsidRPr="00DF3EF6">
        <w:rPr>
          <w:noProof/>
        </w:rPr>
        <w:t xml:space="preserve"> w</w:t>
      </w:r>
      <w:r w:rsidR="0031342C">
        <w:rPr>
          <w:noProof/>
        </w:rPr>
        <w:t> </w:t>
      </w:r>
      <w:r w:rsidR="0031342C" w:rsidRPr="00DF3EF6">
        <w:rPr>
          <w:noProof/>
        </w:rPr>
        <w:t>cel</w:t>
      </w:r>
      <w:r w:rsidR="00E25235" w:rsidRPr="00DF3EF6">
        <w:rPr>
          <w:noProof/>
        </w:rPr>
        <w:t>u zaoferowania deponentom unijnym jednolitego</w:t>
      </w:r>
      <w:r w:rsidR="0031342C" w:rsidRPr="00DF3EF6">
        <w:rPr>
          <w:noProof/>
        </w:rPr>
        <w:t xml:space="preserve"> i</w:t>
      </w:r>
      <w:r w:rsidR="0031342C">
        <w:rPr>
          <w:noProof/>
        </w:rPr>
        <w:t> </w:t>
      </w:r>
      <w:r w:rsidR="0031342C" w:rsidRPr="00DF3EF6">
        <w:rPr>
          <w:noProof/>
        </w:rPr>
        <w:t>wys</w:t>
      </w:r>
      <w:r w:rsidR="00E25235" w:rsidRPr="00DF3EF6">
        <w:rPr>
          <w:noProof/>
        </w:rPr>
        <w:t>okiego poziomu ochrony;</w:t>
      </w:r>
    </w:p>
    <w:p w14:paraId="211AF08D" w14:textId="3B99140E" w:rsidR="00E25235" w:rsidRPr="00DF3EF6" w:rsidRDefault="00DF3EF6" w:rsidP="00DF3EF6">
      <w:pPr>
        <w:pStyle w:val="Point0"/>
        <w:rPr>
          <w:noProof/>
        </w:rPr>
      </w:pPr>
      <w:r>
        <w:rPr>
          <w:noProof/>
        </w:rPr>
        <w:lastRenderedPageBreak/>
        <w:t>2)</w:t>
      </w:r>
      <w:r>
        <w:rPr>
          <w:noProof/>
        </w:rPr>
        <w:tab/>
      </w:r>
      <w:r w:rsidR="00E25235" w:rsidRPr="00DF3EF6">
        <w:rPr>
          <w:noProof/>
        </w:rPr>
        <w:t>ujednolicenie testu najniższego kosztu</w:t>
      </w:r>
      <w:r w:rsidR="0031342C" w:rsidRPr="00DF3EF6">
        <w:rPr>
          <w:noProof/>
        </w:rPr>
        <w:t xml:space="preserve"> w</w:t>
      </w:r>
      <w:r w:rsidR="0031342C">
        <w:rPr>
          <w:noProof/>
        </w:rPr>
        <w:t> </w:t>
      </w:r>
      <w:r w:rsidR="0031342C" w:rsidRPr="00DF3EF6">
        <w:rPr>
          <w:noProof/>
        </w:rPr>
        <w:t>odn</w:t>
      </w:r>
      <w:r w:rsidR="00E25235" w:rsidRPr="00DF3EF6">
        <w:rPr>
          <w:noProof/>
        </w:rPr>
        <w:t>iesieniu do wszystkich rodzajów interwencji systemu gwarancji depozytów innych niż wypłata depozytów gwarantowanych</w:t>
      </w:r>
      <w:r w:rsidR="0031342C" w:rsidRPr="00DF3EF6">
        <w:rPr>
          <w:noProof/>
        </w:rPr>
        <w:t xml:space="preserve"> w</w:t>
      </w:r>
      <w:r w:rsidR="0031342C">
        <w:rPr>
          <w:noProof/>
        </w:rPr>
        <w:t> </w:t>
      </w:r>
      <w:r w:rsidR="0031342C" w:rsidRPr="00DF3EF6">
        <w:rPr>
          <w:noProof/>
        </w:rPr>
        <w:t>raz</w:t>
      </w:r>
      <w:r w:rsidR="00E25235" w:rsidRPr="00DF3EF6">
        <w:rPr>
          <w:noProof/>
        </w:rPr>
        <w:t>ie upadłości</w:t>
      </w:r>
      <w:r w:rsidR="0031342C" w:rsidRPr="00DF3EF6">
        <w:rPr>
          <w:noProof/>
        </w:rPr>
        <w:t xml:space="preserve"> w</w:t>
      </w:r>
      <w:r w:rsidR="0031342C">
        <w:rPr>
          <w:noProof/>
        </w:rPr>
        <w:t> </w:t>
      </w:r>
      <w:r w:rsidR="0031342C" w:rsidRPr="00DF3EF6">
        <w:rPr>
          <w:noProof/>
        </w:rPr>
        <w:t>cel</w:t>
      </w:r>
      <w:r w:rsidR="00E25235" w:rsidRPr="00DF3EF6">
        <w:rPr>
          <w:noProof/>
        </w:rPr>
        <w:t>u poprawy równych warunków działania</w:t>
      </w:r>
      <w:r w:rsidR="0031342C" w:rsidRPr="00DF3EF6">
        <w:rPr>
          <w:noProof/>
        </w:rPr>
        <w:t xml:space="preserve"> i</w:t>
      </w:r>
      <w:r w:rsidR="0031342C">
        <w:rPr>
          <w:noProof/>
        </w:rPr>
        <w:t> </w:t>
      </w:r>
      <w:r w:rsidR="0031342C" w:rsidRPr="00DF3EF6">
        <w:rPr>
          <w:noProof/>
        </w:rPr>
        <w:t>zap</w:t>
      </w:r>
      <w:r w:rsidR="00E25235" w:rsidRPr="00DF3EF6">
        <w:rPr>
          <w:noProof/>
        </w:rPr>
        <w:t>ewnienia spójności wyników podczas zarządzania przypadkami upadłości banków;</w:t>
      </w:r>
    </w:p>
    <w:p w14:paraId="218B1EC7" w14:textId="498A8B68" w:rsidR="00E25235" w:rsidRPr="00DF3EF6" w:rsidRDefault="00DF3EF6" w:rsidP="00DF3EF6">
      <w:pPr>
        <w:pStyle w:val="Point0"/>
        <w:rPr>
          <w:noProof/>
        </w:rPr>
      </w:pPr>
      <w:r>
        <w:rPr>
          <w:noProof/>
        </w:rPr>
        <w:t>3)</w:t>
      </w:r>
      <w:r>
        <w:rPr>
          <w:noProof/>
        </w:rPr>
        <w:tab/>
      </w:r>
      <w:r w:rsidR="00E25235" w:rsidRPr="00DF3EF6">
        <w:rPr>
          <w:noProof/>
        </w:rPr>
        <w:t>poprawę funkcjonowania systemów gwarancji depozytów przez uproszczenie procedur administracyjnych, przy jednoczesnym zwiększeniu przejrzystości ich solidności finansowej</w:t>
      </w:r>
      <w:r w:rsidR="0031342C" w:rsidRPr="00DF3EF6">
        <w:rPr>
          <w:noProof/>
        </w:rPr>
        <w:t xml:space="preserve"> i</w:t>
      </w:r>
      <w:r w:rsidR="0031342C">
        <w:rPr>
          <w:noProof/>
        </w:rPr>
        <w:t> </w:t>
      </w:r>
      <w:r w:rsidR="0031342C" w:rsidRPr="00DF3EF6">
        <w:rPr>
          <w:noProof/>
        </w:rPr>
        <w:t>wyk</w:t>
      </w:r>
      <w:r w:rsidR="00E25235" w:rsidRPr="00DF3EF6">
        <w:rPr>
          <w:noProof/>
        </w:rPr>
        <w:t xml:space="preserve">orzystania środków pieniężnych; </w:t>
      </w:r>
    </w:p>
    <w:p w14:paraId="71286BB1" w14:textId="0D7A52D4" w:rsidR="00E25235" w:rsidRPr="00DF3EF6" w:rsidRDefault="00DF3EF6" w:rsidP="00DF3EF6">
      <w:pPr>
        <w:pStyle w:val="Point0"/>
        <w:rPr>
          <w:noProof/>
        </w:rPr>
      </w:pPr>
      <w:r>
        <w:rPr>
          <w:noProof/>
        </w:rPr>
        <w:t>4)</w:t>
      </w:r>
      <w:r>
        <w:rPr>
          <w:noProof/>
        </w:rPr>
        <w:tab/>
      </w:r>
      <w:r w:rsidR="00E25235" w:rsidRPr="00DF3EF6">
        <w:rPr>
          <w:noProof/>
        </w:rPr>
        <w:t>zwiększenie stopnia zbieżności praktyk</w:t>
      </w:r>
      <w:r w:rsidR="0031342C" w:rsidRPr="00DF3EF6">
        <w:rPr>
          <w:noProof/>
        </w:rPr>
        <w:t xml:space="preserve"> w</w:t>
      </w:r>
      <w:r w:rsidR="0031342C">
        <w:rPr>
          <w:noProof/>
        </w:rPr>
        <w:t> </w:t>
      </w:r>
      <w:r w:rsidR="0031342C" w:rsidRPr="00DF3EF6">
        <w:rPr>
          <w:noProof/>
        </w:rPr>
        <w:t>zak</w:t>
      </w:r>
      <w:r w:rsidR="00E25235" w:rsidRPr="00DF3EF6">
        <w:rPr>
          <w:noProof/>
        </w:rPr>
        <w:t>resie systemów gwarancji depozytów</w:t>
      </w:r>
      <w:r w:rsidR="0031342C" w:rsidRPr="00DF3EF6">
        <w:rPr>
          <w:noProof/>
        </w:rPr>
        <w:t xml:space="preserve"> i</w:t>
      </w:r>
      <w:r w:rsidR="0031342C">
        <w:rPr>
          <w:noProof/>
        </w:rPr>
        <w:t> </w:t>
      </w:r>
      <w:r w:rsidR="0031342C" w:rsidRPr="00DF3EF6">
        <w:rPr>
          <w:noProof/>
        </w:rPr>
        <w:t>mię</w:t>
      </w:r>
      <w:r w:rsidR="00E25235" w:rsidRPr="00DF3EF6">
        <w:rPr>
          <w:noProof/>
        </w:rPr>
        <w:t>dzy organami; oraz</w:t>
      </w:r>
    </w:p>
    <w:p w14:paraId="36B8565E" w14:textId="7ACC96BB" w:rsidR="00E25235" w:rsidRPr="00DF3EF6" w:rsidRDefault="00DF3EF6" w:rsidP="00DF3EF6">
      <w:pPr>
        <w:pStyle w:val="Point0"/>
        <w:rPr>
          <w:noProof/>
        </w:rPr>
      </w:pPr>
      <w:r>
        <w:rPr>
          <w:noProof/>
        </w:rPr>
        <w:t>5)</w:t>
      </w:r>
      <w:r>
        <w:rPr>
          <w:noProof/>
        </w:rPr>
        <w:tab/>
      </w:r>
      <w:r w:rsidR="00E25235" w:rsidRPr="00DF3EF6">
        <w:rPr>
          <w:noProof/>
        </w:rPr>
        <w:t>poprawę współpracy transgranicznej między systemami gwarancji depozytów</w:t>
      </w:r>
      <w:r w:rsidR="0031342C" w:rsidRPr="00DF3EF6">
        <w:rPr>
          <w:noProof/>
        </w:rPr>
        <w:t xml:space="preserve"> w</w:t>
      </w:r>
      <w:r w:rsidR="0031342C">
        <w:rPr>
          <w:noProof/>
        </w:rPr>
        <w:t> </w:t>
      </w:r>
      <w:r w:rsidR="0031342C" w:rsidRPr="00DF3EF6">
        <w:rPr>
          <w:noProof/>
        </w:rPr>
        <w:t>zak</w:t>
      </w:r>
      <w:r w:rsidR="00E25235" w:rsidRPr="00DF3EF6">
        <w:rPr>
          <w:noProof/>
        </w:rPr>
        <w:t>resie wypłat na rzecz deponentów</w:t>
      </w:r>
      <w:r w:rsidR="0031342C" w:rsidRPr="00DF3EF6">
        <w:rPr>
          <w:noProof/>
        </w:rPr>
        <w:t xml:space="preserve"> z</w:t>
      </w:r>
      <w:r w:rsidR="0031342C">
        <w:rPr>
          <w:noProof/>
        </w:rPr>
        <w:t> </w:t>
      </w:r>
      <w:r w:rsidR="0031342C" w:rsidRPr="00DF3EF6">
        <w:rPr>
          <w:noProof/>
        </w:rPr>
        <w:t>sie</w:t>
      </w:r>
      <w:r w:rsidR="00E25235" w:rsidRPr="00DF3EF6">
        <w:rPr>
          <w:noProof/>
        </w:rPr>
        <w:t>dzibą</w:t>
      </w:r>
      <w:r w:rsidR="0031342C" w:rsidRPr="00DF3EF6">
        <w:rPr>
          <w:noProof/>
        </w:rPr>
        <w:t xml:space="preserve"> w</w:t>
      </w:r>
      <w:r w:rsidR="0031342C">
        <w:rPr>
          <w:noProof/>
        </w:rPr>
        <w:t> </w:t>
      </w:r>
      <w:r w:rsidR="0031342C" w:rsidRPr="00DF3EF6">
        <w:rPr>
          <w:noProof/>
        </w:rPr>
        <w:t>inn</w:t>
      </w:r>
      <w:r w:rsidR="00E25235" w:rsidRPr="00DF3EF6">
        <w:rPr>
          <w:noProof/>
        </w:rPr>
        <w:t>ych państwach członkowskich UE lub</w:t>
      </w:r>
      <w:r w:rsidR="0031342C" w:rsidRPr="00DF3EF6">
        <w:rPr>
          <w:noProof/>
        </w:rPr>
        <w:t xml:space="preserve"> w</w:t>
      </w:r>
      <w:r w:rsidR="0031342C">
        <w:rPr>
          <w:noProof/>
        </w:rPr>
        <w:t> </w:t>
      </w:r>
      <w:r w:rsidR="0031342C" w:rsidRPr="00DF3EF6">
        <w:rPr>
          <w:noProof/>
        </w:rPr>
        <w:t>prz</w:t>
      </w:r>
      <w:r w:rsidR="00E25235" w:rsidRPr="00DF3EF6">
        <w:rPr>
          <w:noProof/>
        </w:rPr>
        <w:t>ypadku zmiany przynależności do systemu gwarancji depozytów przez banki.</w:t>
      </w:r>
    </w:p>
    <w:p w14:paraId="58D631BC" w14:textId="29AFFFB7" w:rsidR="00E25235" w:rsidRPr="00DF3EF6" w:rsidRDefault="00E25235" w:rsidP="00E25235">
      <w:pPr>
        <w:pStyle w:val="ManualHeading2"/>
        <w:rPr>
          <w:noProof/>
          <w:u w:color="000000"/>
          <w:bdr w:val="nil"/>
        </w:rPr>
      </w:pPr>
      <w:r w:rsidRPr="00DF3EF6">
        <w:rPr>
          <w:noProof/>
          <w:u w:color="000000"/>
          <w:bdr w:val="nil"/>
        </w:rPr>
        <w:t>•</w:t>
      </w:r>
      <w:r w:rsidRPr="00DF3EF6">
        <w:rPr>
          <w:noProof/>
        </w:rPr>
        <w:tab/>
        <w:t>Spójność</w:t>
      </w:r>
      <w:r w:rsidR="0031342C" w:rsidRPr="00DF3EF6">
        <w:rPr>
          <w:noProof/>
        </w:rPr>
        <w:t xml:space="preserve"> z</w:t>
      </w:r>
      <w:r w:rsidR="0031342C">
        <w:rPr>
          <w:noProof/>
        </w:rPr>
        <w:t> </w:t>
      </w:r>
      <w:r w:rsidR="0031342C" w:rsidRPr="00DF3EF6">
        <w:rPr>
          <w:noProof/>
        </w:rPr>
        <w:t>prz</w:t>
      </w:r>
      <w:r w:rsidRPr="00DF3EF6">
        <w:rPr>
          <w:noProof/>
        </w:rPr>
        <w:t>episami obowiązującymi</w:t>
      </w:r>
      <w:r w:rsidR="0031342C" w:rsidRPr="00DF3EF6">
        <w:rPr>
          <w:noProof/>
        </w:rPr>
        <w:t xml:space="preserve"> w</w:t>
      </w:r>
      <w:r w:rsidR="0031342C">
        <w:rPr>
          <w:noProof/>
        </w:rPr>
        <w:t> </w:t>
      </w:r>
      <w:r w:rsidR="0031342C" w:rsidRPr="00DF3EF6">
        <w:rPr>
          <w:noProof/>
        </w:rPr>
        <w:t>tej</w:t>
      </w:r>
      <w:r w:rsidRPr="00DF3EF6">
        <w:rPr>
          <w:noProof/>
        </w:rPr>
        <w:t xml:space="preserve"> dziedzinie polityki</w:t>
      </w:r>
    </w:p>
    <w:p w14:paraId="2C3ECE1E" w14:textId="4B9DC9E4" w:rsidR="00E25235" w:rsidRPr="00DF3EF6" w:rsidRDefault="00E25235" w:rsidP="00E25235">
      <w:pPr>
        <w:pBdr>
          <w:top w:val="nil"/>
          <w:left w:val="nil"/>
          <w:bottom w:val="nil"/>
          <w:right w:val="nil"/>
          <w:between w:val="nil"/>
          <w:bar w:val="nil"/>
        </w:pBdr>
        <w:spacing w:before="0" w:after="240"/>
        <w:rPr>
          <w:noProof/>
        </w:rPr>
      </w:pPr>
      <w:r w:rsidRPr="00DF3EF6">
        <w:rPr>
          <w:noProof/>
        </w:rPr>
        <w:t>Niniejszy wniosek opiera się na obowiązujących ramach gwarancji depozytów określonych</w:t>
      </w:r>
      <w:r w:rsidR="0031342C" w:rsidRPr="00DF3EF6">
        <w:rPr>
          <w:noProof/>
        </w:rPr>
        <w:t xml:space="preserve">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r w:rsidR="0031342C" w:rsidRPr="00DF3EF6">
        <w:rPr>
          <w:noProof/>
        </w:rPr>
        <w:t xml:space="preserve"> i</w:t>
      </w:r>
      <w:r w:rsidR="0031342C">
        <w:rPr>
          <w:noProof/>
        </w:rPr>
        <w:t> </w:t>
      </w:r>
      <w:r w:rsidR="0031342C" w:rsidRPr="00DF3EF6">
        <w:rPr>
          <w:noProof/>
        </w:rPr>
        <w:t>jes</w:t>
      </w:r>
      <w:r w:rsidRPr="00DF3EF6">
        <w:rPr>
          <w:noProof/>
        </w:rPr>
        <w:t>t ukierunkowany na wzmocnienie tych ram</w:t>
      </w:r>
      <w:r w:rsidR="0031342C" w:rsidRPr="00DF3EF6">
        <w:rPr>
          <w:noProof/>
        </w:rPr>
        <w:t>. W</w:t>
      </w:r>
      <w:r w:rsidR="0031342C">
        <w:rPr>
          <w:noProof/>
        </w:rPr>
        <w:t> </w:t>
      </w:r>
      <w:r w:rsidR="0031342C" w:rsidRPr="00DF3EF6">
        <w:rPr>
          <w:noProof/>
        </w:rPr>
        <w:t>zwi</w:t>
      </w:r>
      <w:r w:rsidRPr="00DF3EF6">
        <w:rPr>
          <w:noProof/>
        </w:rPr>
        <w:t>ązku</w:t>
      </w:r>
      <w:r w:rsidR="0031342C" w:rsidRPr="00DF3EF6">
        <w:rPr>
          <w:noProof/>
        </w:rPr>
        <w:t xml:space="preserve"> z</w:t>
      </w:r>
      <w:r w:rsidR="0031342C">
        <w:rPr>
          <w:noProof/>
        </w:rPr>
        <w:t> </w:t>
      </w:r>
      <w:r w:rsidR="0031342C" w:rsidRPr="00DF3EF6">
        <w:rPr>
          <w:noProof/>
        </w:rPr>
        <w:t>tym</w:t>
      </w:r>
      <w:r w:rsidRPr="00DF3EF6">
        <w:rPr>
          <w:noProof/>
        </w:rPr>
        <w:t xml:space="preserve"> wiele elementów wniosku wynika</w:t>
      </w:r>
      <w:r w:rsidR="0031342C" w:rsidRPr="00DF3EF6">
        <w:rPr>
          <w:noProof/>
        </w:rPr>
        <w:t xml:space="preserve"> z</w:t>
      </w:r>
      <w:r w:rsidR="0031342C">
        <w:rPr>
          <w:noProof/>
        </w:rPr>
        <w:t> </w:t>
      </w:r>
      <w:r w:rsidR="0031342C" w:rsidRPr="00DF3EF6">
        <w:rPr>
          <w:noProof/>
        </w:rPr>
        <w:t>pra</w:t>
      </w:r>
      <w:r w:rsidRPr="00DF3EF6">
        <w:rPr>
          <w:noProof/>
        </w:rPr>
        <w:t>c podjętych przez EUNB we współpracy</w:t>
      </w:r>
      <w:r w:rsidR="0031342C" w:rsidRPr="00DF3EF6">
        <w:rPr>
          <w:noProof/>
        </w:rPr>
        <w:t xml:space="preserve"> z</w:t>
      </w:r>
      <w:r w:rsidR="0031342C">
        <w:rPr>
          <w:noProof/>
        </w:rPr>
        <w:t> </w:t>
      </w:r>
      <w:r w:rsidR="0031342C" w:rsidRPr="00DF3EF6">
        <w:rPr>
          <w:noProof/>
        </w:rPr>
        <w:t>kra</w:t>
      </w:r>
      <w:r w:rsidRPr="00DF3EF6">
        <w:rPr>
          <w:noProof/>
        </w:rPr>
        <w:t>jowymi systemami gwarancji depozytów</w:t>
      </w:r>
      <w:r w:rsidR="0031342C" w:rsidRPr="00DF3EF6">
        <w:rPr>
          <w:noProof/>
        </w:rPr>
        <w:t xml:space="preserve"> i</w:t>
      </w:r>
      <w:r w:rsidR="0031342C">
        <w:rPr>
          <w:noProof/>
        </w:rPr>
        <w:t> </w:t>
      </w:r>
      <w:r w:rsidR="0031342C" w:rsidRPr="00DF3EF6">
        <w:rPr>
          <w:noProof/>
        </w:rPr>
        <w:t>wyz</w:t>
      </w:r>
      <w:r w:rsidRPr="00DF3EF6">
        <w:rPr>
          <w:noProof/>
        </w:rPr>
        <w:t>naczonymi organami. Zaproponowano</w:t>
      </w:r>
      <w:r w:rsidR="0031342C" w:rsidRPr="00DF3EF6">
        <w:rPr>
          <w:noProof/>
        </w:rPr>
        <w:t xml:space="preserve"> w</w:t>
      </w:r>
      <w:r w:rsidR="0031342C">
        <w:rPr>
          <w:noProof/>
        </w:rPr>
        <w:t> </w:t>
      </w:r>
      <w:r w:rsidR="0031342C" w:rsidRPr="00DF3EF6">
        <w:rPr>
          <w:noProof/>
        </w:rPr>
        <w:t>nim</w:t>
      </w:r>
      <w:r w:rsidRPr="00DF3EF6">
        <w:rPr>
          <w:noProof/>
        </w:rPr>
        <w:t xml:space="preserve"> zmiany odzwierciedlające doświadczenia praktyczne zdobyte podczas krajowej transpozycji prawa Unii</w:t>
      </w:r>
      <w:r w:rsidR="0031342C" w:rsidRPr="00DF3EF6">
        <w:rPr>
          <w:noProof/>
        </w:rPr>
        <w:t xml:space="preserve"> i</w:t>
      </w:r>
      <w:r w:rsidR="0031342C">
        <w:rPr>
          <w:noProof/>
        </w:rPr>
        <w:t> </w:t>
      </w:r>
      <w:r w:rsidR="0031342C" w:rsidRPr="00DF3EF6">
        <w:rPr>
          <w:noProof/>
        </w:rPr>
        <w:t>sto</w:t>
      </w:r>
      <w:r w:rsidRPr="00DF3EF6">
        <w:rPr>
          <w:noProof/>
        </w:rPr>
        <w:t>sowania niektórych przepisów,</w:t>
      </w:r>
      <w:r w:rsidR="0031342C" w:rsidRPr="00DF3EF6">
        <w:rPr>
          <w:noProof/>
        </w:rPr>
        <w:t xml:space="preserve"> w</w:t>
      </w:r>
      <w:r w:rsidR="0031342C">
        <w:rPr>
          <w:noProof/>
        </w:rPr>
        <w:t> </w:t>
      </w:r>
      <w:r w:rsidR="0031342C" w:rsidRPr="00DF3EF6">
        <w:rPr>
          <w:noProof/>
        </w:rPr>
        <w:t>tym w</w:t>
      </w:r>
      <w:r w:rsidR="0031342C">
        <w:rPr>
          <w:noProof/>
        </w:rPr>
        <w:t> </w:t>
      </w:r>
      <w:r w:rsidR="0031342C" w:rsidRPr="00DF3EF6">
        <w:rPr>
          <w:noProof/>
        </w:rPr>
        <w:t>kon</w:t>
      </w:r>
      <w:r w:rsidRPr="00DF3EF6">
        <w:rPr>
          <w:noProof/>
        </w:rPr>
        <w:t>tekście unii bankowej. Wniosek wdrożono równolegle</w:t>
      </w:r>
      <w:r w:rsidR="0031342C" w:rsidRPr="00DF3EF6">
        <w:rPr>
          <w:noProof/>
        </w:rPr>
        <w:t xml:space="preserve"> z</w:t>
      </w:r>
      <w:r w:rsidR="0031342C">
        <w:rPr>
          <w:noProof/>
        </w:rPr>
        <w:t> </w:t>
      </w:r>
      <w:r w:rsidR="0031342C" w:rsidRPr="00DF3EF6">
        <w:rPr>
          <w:noProof/>
        </w:rPr>
        <w:t>prz</w:t>
      </w:r>
      <w:r w:rsidRPr="00DF3EF6">
        <w:rPr>
          <w:noProof/>
        </w:rPr>
        <w:t>eglądem dyrektywy BRRD</w:t>
      </w:r>
      <w:r w:rsidR="0031342C" w:rsidRPr="00DF3EF6">
        <w:rPr>
          <w:noProof/>
        </w:rPr>
        <w:t xml:space="preserve"> i</w:t>
      </w:r>
      <w:r w:rsidR="0031342C">
        <w:rPr>
          <w:noProof/>
        </w:rPr>
        <w:t> </w:t>
      </w:r>
      <w:r w:rsidR="0031342C" w:rsidRPr="00DF3EF6">
        <w:rPr>
          <w:noProof/>
        </w:rPr>
        <w:t>roz</w:t>
      </w:r>
      <w:r w:rsidRPr="00DF3EF6">
        <w:rPr>
          <w:noProof/>
        </w:rPr>
        <w:t>porządzenia SRMR, aby zapewnić ogólną spójność unijnych ram zarządzania bankami</w:t>
      </w:r>
      <w:r w:rsidR="0031342C" w:rsidRPr="00DF3EF6">
        <w:rPr>
          <w:noProof/>
        </w:rPr>
        <w:t xml:space="preserve"> w</w:t>
      </w:r>
      <w:r w:rsidR="0031342C">
        <w:rPr>
          <w:noProof/>
        </w:rPr>
        <w:t> </w:t>
      </w:r>
      <w:r w:rsidR="0031342C" w:rsidRPr="00DF3EF6">
        <w:rPr>
          <w:noProof/>
        </w:rPr>
        <w:t>syt</w:t>
      </w:r>
      <w:r w:rsidRPr="00DF3EF6">
        <w:rPr>
          <w:noProof/>
        </w:rPr>
        <w:t xml:space="preserve">uacji kryzysowej. </w:t>
      </w:r>
    </w:p>
    <w:p w14:paraId="0076200E" w14:textId="248FCCF8" w:rsidR="00E25235" w:rsidRPr="00DF3EF6" w:rsidRDefault="00E25235" w:rsidP="00A601F7">
      <w:pPr>
        <w:pStyle w:val="ManualHeading2"/>
        <w:rPr>
          <w:noProof/>
        </w:rPr>
      </w:pPr>
      <w:r w:rsidRPr="00DF3EF6">
        <w:rPr>
          <w:noProof/>
          <w:u w:color="000000"/>
          <w:bdr w:val="nil"/>
        </w:rPr>
        <w:t>•</w:t>
      </w:r>
      <w:r w:rsidRPr="00DF3EF6">
        <w:rPr>
          <w:noProof/>
        </w:rPr>
        <w:tab/>
        <w:t>Spójność</w:t>
      </w:r>
      <w:r w:rsidR="0031342C" w:rsidRPr="00DF3EF6">
        <w:rPr>
          <w:noProof/>
        </w:rPr>
        <w:t xml:space="preserve"> z</w:t>
      </w:r>
      <w:r w:rsidR="0031342C">
        <w:rPr>
          <w:noProof/>
        </w:rPr>
        <w:t> </w:t>
      </w:r>
      <w:r w:rsidR="0031342C" w:rsidRPr="00DF3EF6">
        <w:rPr>
          <w:noProof/>
        </w:rPr>
        <w:t>inn</w:t>
      </w:r>
      <w:r w:rsidRPr="00DF3EF6">
        <w:rPr>
          <w:noProof/>
        </w:rPr>
        <w:t>ymi politykami Unii</w:t>
      </w:r>
    </w:p>
    <w:p w14:paraId="4EB873AE" w14:textId="65BF041C" w:rsidR="00E25235" w:rsidRPr="00DF3EF6" w:rsidRDefault="00E25235" w:rsidP="00E25235">
      <w:pPr>
        <w:pBdr>
          <w:top w:val="nil"/>
          <w:left w:val="nil"/>
          <w:bottom w:val="nil"/>
          <w:right w:val="nil"/>
          <w:between w:val="nil"/>
          <w:bar w:val="nil"/>
        </w:pBdr>
        <w:spacing w:before="0" w:after="240"/>
        <w:rPr>
          <w:noProof/>
        </w:rPr>
      </w:pPr>
      <w:r w:rsidRPr="00DF3EF6">
        <w:rPr>
          <w:noProof/>
        </w:rPr>
        <w:t>Wniosek opiera się na reformach przeprowadzonych</w:t>
      </w:r>
      <w:r w:rsidR="0031342C" w:rsidRPr="00DF3EF6">
        <w:rPr>
          <w:noProof/>
        </w:rPr>
        <w:t xml:space="preserve"> w</w:t>
      </w:r>
      <w:r w:rsidR="0031342C">
        <w:rPr>
          <w:noProof/>
        </w:rPr>
        <w:t> </w:t>
      </w:r>
      <w:r w:rsidR="0031342C" w:rsidRPr="00DF3EF6">
        <w:rPr>
          <w:noProof/>
        </w:rPr>
        <w:t>nas</w:t>
      </w:r>
      <w:r w:rsidRPr="00DF3EF6">
        <w:rPr>
          <w:noProof/>
        </w:rPr>
        <w:t>tępstwie kryzysu finansowego, które doprowadziły do utworzenia unii bankowej</w:t>
      </w:r>
      <w:r w:rsidR="0031342C" w:rsidRPr="00DF3EF6">
        <w:rPr>
          <w:noProof/>
        </w:rPr>
        <w:t xml:space="preserve"> i</w:t>
      </w:r>
      <w:r w:rsidR="0031342C">
        <w:rPr>
          <w:noProof/>
        </w:rPr>
        <w:t> </w:t>
      </w:r>
      <w:r w:rsidR="0031342C" w:rsidRPr="00DF3EF6">
        <w:rPr>
          <w:noProof/>
        </w:rPr>
        <w:t>jed</w:t>
      </w:r>
      <w:r w:rsidRPr="00DF3EF6">
        <w:rPr>
          <w:noProof/>
        </w:rPr>
        <w:t>nolitego zbioru przepisów dla wszystkich banków w UE.</w:t>
      </w:r>
    </w:p>
    <w:p w14:paraId="153AB5B4" w14:textId="5BECBC41" w:rsidR="00E25235" w:rsidRPr="00DF3EF6" w:rsidRDefault="00E25235" w:rsidP="00E25235">
      <w:pPr>
        <w:pBdr>
          <w:top w:val="nil"/>
          <w:left w:val="nil"/>
          <w:bottom w:val="nil"/>
          <w:right w:val="nil"/>
          <w:between w:val="nil"/>
          <w:bar w:val="nil"/>
        </w:pBdr>
        <w:spacing w:before="0" w:after="240"/>
        <w:rPr>
          <w:noProof/>
        </w:rPr>
      </w:pPr>
      <w:r w:rsidRPr="00DF3EF6">
        <w:rPr>
          <w:noProof/>
        </w:rPr>
        <w:t>Dzięki zwiększeniu zaufania deponentów</w:t>
      </w:r>
      <w:r w:rsidR="0031342C" w:rsidRPr="00DF3EF6">
        <w:rPr>
          <w:noProof/>
        </w:rPr>
        <w:t xml:space="preserve"> i</w:t>
      </w:r>
      <w:r w:rsidR="0031342C">
        <w:rPr>
          <w:noProof/>
        </w:rPr>
        <w:t> </w:t>
      </w:r>
      <w:r w:rsidR="0031342C" w:rsidRPr="00DF3EF6">
        <w:rPr>
          <w:noProof/>
        </w:rPr>
        <w:t>sta</w:t>
      </w:r>
      <w:r w:rsidRPr="00DF3EF6">
        <w:rPr>
          <w:noProof/>
        </w:rPr>
        <w:t>bilności finansowej niniejszy wniosek przyczynia się do zapewnienia odporności unijnego sektora bankowego</w:t>
      </w:r>
      <w:r w:rsidR="0031342C" w:rsidRPr="00DF3EF6">
        <w:rPr>
          <w:noProof/>
        </w:rPr>
        <w:t xml:space="preserve"> i</w:t>
      </w:r>
      <w:r w:rsidR="0031342C">
        <w:rPr>
          <w:noProof/>
        </w:rPr>
        <w:t> </w:t>
      </w:r>
      <w:r w:rsidR="0031342C" w:rsidRPr="00DF3EF6">
        <w:rPr>
          <w:noProof/>
        </w:rPr>
        <w:t>jeg</w:t>
      </w:r>
      <w:r w:rsidRPr="00DF3EF6">
        <w:rPr>
          <w:noProof/>
        </w:rPr>
        <w:t>o zdolności do wspierania ożywienia gospodarczego po pandemii COVID-19, zgodnie</w:t>
      </w:r>
      <w:r w:rsidR="0031342C" w:rsidRPr="00DF3EF6">
        <w:rPr>
          <w:noProof/>
        </w:rPr>
        <w:t xml:space="preserve"> z</w:t>
      </w:r>
      <w:r w:rsidR="0031342C">
        <w:rPr>
          <w:noProof/>
        </w:rPr>
        <w:t> </w:t>
      </w:r>
      <w:r w:rsidR="0031342C" w:rsidRPr="00DF3EF6">
        <w:rPr>
          <w:noProof/>
        </w:rPr>
        <w:t>cel</w:t>
      </w:r>
      <w:r w:rsidRPr="00DF3EF6">
        <w:rPr>
          <w:noProof/>
        </w:rPr>
        <w:t>ami politycznymi otwartej strategicznej autonomii europejskiej. Dokładniej rzecz ujmując, wniosek przyczynia się również do poprawy ochrony konsumentów przez ujednolicenie poziomu</w:t>
      </w:r>
      <w:r w:rsidR="0031342C" w:rsidRPr="00DF3EF6">
        <w:rPr>
          <w:noProof/>
        </w:rPr>
        <w:t xml:space="preserve"> i</w:t>
      </w:r>
      <w:r w:rsidR="0031342C">
        <w:rPr>
          <w:noProof/>
        </w:rPr>
        <w:t> </w:t>
      </w:r>
      <w:r w:rsidR="0031342C" w:rsidRPr="00DF3EF6">
        <w:rPr>
          <w:noProof/>
        </w:rPr>
        <w:t>okr</w:t>
      </w:r>
      <w:r w:rsidRPr="00DF3EF6">
        <w:rPr>
          <w:noProof/>
        </w:rPr>
        <w:t>esu obowiązywania ochrony określonych depozytów detalicznych, które są krótkoterminowe</w:t>
      </w:r>
      <w:r w:rsidR="0031342C" w:rsidRPr="00DF3EF6">
        <w:rPr>
          <w:noProof/>
        </w:rPr>
        <w:t xml:space="preserve"> i</w:t>
      </w:r>
      <w:r w:rsidR="0031342C">
        <w:rPr>
          <w:noProof/>
        </w:rPr>
        <w:t> </w:t>
      </w:r>
      <w:r w:rsidR="0031342C" w:rsidRPr="00DF3EF6">
        <w:rPr>
          <w:noProof/>
        </w:rPr>
        <w:t>uza</w:t>
      </w:r>
      <w:r w:rsidRPr="00DF3EF6">
        <w:rPr>
          <w:noProof/>
        </w:rPr>
        <w:t>leżnione od określonych zdarzeń życiowych („tymczasowo wysokie salda”), lub przez tworzenie warunków sprzyjających ujawnianiu informacji konsumentom.</w:t>
      </w:r>
    </w:p>
    <w:p w14:paraId="08597104" w14:textId="61FB05A9" w:rsidR="00E25235" w:rsidRPr="00DF3EF6" w:rsidRDefault="00E25235" w:rsidP="00E25235">
      <w:pPr>
        <w:pBdr>
          <w:top w:val="nil"/>
          <w:left w:val="nil"/>
          <w:bottom w:val="nil"/>
          <w:right w:val="nil"/>
          <w:between w:val="nil"/>
          <w:bar w:val="nil"/>
        </w:pBdr>
        <w:spacing w:before="0" w:after="240"/>
        <w:rPr>
          <w:noProof/>
        </w:rPr>
      </w:pPr>
      <w:r w:rsidRPr="00DF3EF6">
        <w:rPr>
          <w:noProof/>
        </w:rPr>
        <w:t>Ponadto, aby ograniczyć ryzyko wypłat</w:t>
      </w:r>
      <w:r w:rsidR="0031342C" w:rsidRPr="00DF3EF6">
        <w:rPr>
          <w:noProof/>
        </w:rPr>
        <w:t xml:space="preserve"> w</w:t>
      </w:r>
      <w:r w:rsidR="0031342C">
        <w:rPr>
          <w:noProof/>
        </w:rPr>
        <w:t> </w:t>
      </w:r>
      <w:r w:rsidR="0031342C" w:rsidRPr="00DF3EF6">
        <w:rPr>
          <w:noProof/>
        </w:rPr>
        <w:t>ram</w:t>
      </w:r>
      <w:r w:rsidRPr="00DF3EF6">
        <w:rPr>
          <w:noProof/>
        </w:rPr>
        <w:t>ach systemów gwarancji depozytów na rzecz deponentów zaangażowanych</w:t>
      </w:r>
      <w:r w:rsidR="0031342C" w:rsidRPr="00DF3EF6">
        <w:rPr>
          <w:noProof/>
        </w:rPr>
        <w:t xml:space="preserve"> w</w:t>
      </w:r>
      <w:r w:rsidR="0031342C">
        <w:rPr>
          <w:noProof/>
        </w:rPr>
        <w:t> </w:t>
      </w:r>
      <w:r w:rsidR="0031342C" w:rsidRPr="00DF3EF6">
        <w:rPr>
          <w:noProof/>
        </w:rPr>
        <w:t>dzi</w:t>
      </w:r>
      <w:r w:rsidRPr="00DF3EF6">
        <w:rPr>
          <w:noProof/>
        </w:rPr>
        <w:t>ałalność związaną</w:t>
      </w:r>
      <w:r w:rsidR="0031342C" w:rsidRPr="00DF3EF6">
        <w:rPr>
          <w:noProof/>
        </w:rPr>
        <w:t xml:space="preserve"> z</w:t>
      </w:r>
      <w:r w:rsidR="0031342C">
        <w:rPr>
          <w:noProof/>
        </w:rPr>
        <w:t> </w:t>
      </w:r>
      <w:r w:rsidR="0031342C" w:rsidRPr="00DF3EF6">
        <w:rPr>
          <w:noProof/>
        </w:rPr>
        <w:t>pra</w:t>
      </w:r>
      <w:r w:rsidRPr="00DF3EF6">
        <w:rPr>
          <w:noProof/>
        </w:rPr>
        <w:t>niem pieniędzy</w:t>
      </w:r>
      <w:r w:rsidR="0031342C" w:rsidRPr="00DF3EF6">
        <w:rPr>
          <w:noProof/>
        </w:rPr>
        <w:t xml:space="preserve"> i</w:t>
      </w:r>
      <w:r w:rsidR="0031342C">
        <w:rPr>
          <w:noProof/>
        </w:rPr>
        <w:t> </w:t>
      </w:r>
      <w:r w:rsidR="0031342C" w:rsidRPr="00DF3EF6">
        <w:rPr>
          <w:noProof/>
        </w:rPr>
        <w:t>fin</w:t>
      </w:r>
      <w:r w:rsidRPr="00DF3EF6">
        <w:rPr>
          <w:noProof/>
        </w:rPr>
        <w:t>ansowaniem terroryzmu, zmiany opierają się na dyrektywie (UE) 2015/849</w:t>
      </w:r>
      <w:r w:rsidR="0031342C" w:rsidRPr="00DF3EF6">
        <w:rPr>
          <w:noProof/>
        </w:rPr>
        <w:t xml:space="preserve"> w</w:t>
      </w:r>
      <w:r w:rsidR="0031342C">
        <w:rPr>
          <w:noProof/>
        </w:rPr>
        <w:t> </w:t>
      </w:r>
      <w:r w:rsidR="0031342C" w:rsidRPr="00DF3EF6">
        <w:rPr>
          <w:noProof/>
        </w:rPr>
        <w:t>spr</w:t>
      </w:r>
      <w:r w:rsidRPr="00DF3EF6">
        <w:rPr>
          <w:noProof/>
        </w:rPr>
        <w:t>awie przeciwdziałania praniu pieniędzy</w:t>
      </w:r>
      <w:r w:rsidR="0031342C" w:rsidRPr="00DF3EF6">
        <w:rPr>
          <w:noProof/>
        </w:rPr>
        <w:t xml:space="preserve"> i</w:t>
      </w:r>
      <w:r w:rsidR="0031342C">
        <w:rPr>
          <w:noProof/>
        </w:rPr>
        <w:t> </w:t>
      </w:r>
      <w:r w:rsidR="0031342C" w:rsidRPr="00DF3EF6">
        <w:rPr>
          <w:noProof/>
        </w:rPr>
        <w:t>uwz</w:t>
      </w:r>
      <w:r w:rsidRPr="00DF3EF6">
        <w:rPr>
          <w:noProof/>
        </w:rPr>
        <w:t>ględniają kierunek zaproponowany</w:t>
      </w:r>
      <w:r w:rsidR="0031342C" w:rsidRPr="00DF3EF6">
        <w:rPr>
          <w:noProof/>
        </w:rPr>
        <w:t xml:space="preserve"> w</w:t>
      </w:r>
      <w:r w:rsidR="0031342C">
        <w:rPr>
          <w:noProof/>
        </w:rPr>
        <w:t> </w:t>
      </w:r>
      <w:r w:rsidR="0031342C" w:rsidRPr="00DF3EF6">
        <w:rPr>
          <w:noProof/>
        </w:rPr>
        <w:t>pak</w:t>
      </w:r>
      <w:r w:rsidRPr="00DF3EF6">
        <w:rPr>
          <w:noProof/>
        </w:rPr>
        <w:t>iecie legislacyjnym Komisji dotyczącym unijnego systemu przeciwdziałania praniu pieniędzy</w:t>
      </w:r>
      <w:r w:rsidR="0031342C" w:rsidRPr="00DF3EF6">
        <w:rPr>
          <w:noProof/>
        </w:rPr>
        <w:t xml:space="preserve"> i</w:t>
      </w:r>
      <w:r w:rsidR="0031342C">
        <w:rPr>
          <w:noProof/>
        </w:rPr>
        <w:t> </w:t>
      </w:r>
      <w:r w:rsidR="0031342C" w:rsidRPr="00DF3EF6">
        <w:rPr>
          <w:noProof/>
        </w:rPr>
        <w:t>fin</w:t>
      </w:r>
      <w:r w:rsidRPr="00DF3EF6">
        <w:rPr>
          <w:noProof/>
        </w:rPr>
        <w:t>ansowaniu terroryzmu (AML/CFT), przyjętym 20 lipca 20</w:t>
      </w:r>
      <w:r w:rsidRPr="0031342C">
        <w:rPr>
          <w:noProof/>
        </w:rPr>
        <w:t>21</w:t>
      </w:r>
      <w:r w:rsidR="0031342C" w:rsidRPr="0031342C">
        <w:rPr>
          <w:noProof/>
        </w:rPr>
        <w:t> </w:t>
      </w:r>
      <w:r w:rsidRPr="0031342C">
        <w:rPr>
          <w:noProof/>
        </w:rPr>
        <w:t>r.</w:t>
      </w:r>
      <w:r w:rsidRPr="00DF3EF6">
        <w:rPr>
          <w:noProof/>
        </w:rPr>
        <w:t xml:space="preserve"> </w:t>
      </w:r>
    </w:p>
    <w:p w14:paraId="6A5169E3" w14:textId="3267FB7B" w:rsidR="00E25235" w:rsidRPr="00DF3EF6" w:rsidRDefault="00E25235" w:rsidP="00E25235">
      <w:pPr>
        <w:pBdr>
          <w:top w:val="nil"/>
          <w:left w:val="nil"/>
          <w:bottom w:val="nil"/>
          <w:right w:val="nil"/>
          <w:between w:val="nil"/>
          <w:bar w:val="nil"/>
        </w:pBdr>
        <w:spacing w:before="0" w:after="240"/>
        <w:rPr>
          <w:noProof/>
        </w:rPr>
      </w:pPr>
      <w:r w:rsidRPr="00DF3EF6">
        <w:rPr>
          <w:noProof/>
        </w:rPr>
        <w:t>Aby zwiększyć wykonalność przepisów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zmiany odnoszą się do uprawnień nadzorczych określonych</w:t>
      </w:r>
      <w:r w:rsidR="0031342C" w:rsidRPr="00DF3EF6">
        <w:rPr>
          <w:noProof/>
        </w:rPr>
        <w:t xml:space="preserve"> w</w:t>
      </w:r>
      <w:r w:rsidR="0031342C">
        <w:rPr>
          <w:noProof/>
        </w:rPr>
        <w:t> </w:t>
      </w:r>
      <w:r w:rsidR="0031342C" w:rsidRPr="00DF3EF6">
        <w:rPr>
          <w:noProof/>
        </w:rPr>
        <w:t>dyr</w:t>
      </w:r>
      <w:r w:rsidRPr="00DF3EF6">
        <w:rPr>
          <w:noProof/>
        </w:rPr>
        <w:t xml:space="preserve">ektywie </w:t>
      </w:r>
      <w:r w:rsidRPr="00DF3EF6">
        <w:rPr>
          <w:noProof/>
        </w:rPr>
        <w:lastRenderedPageBreak/>
        <w:t>2013/36/UE (dyrektywa</w:t>
      </w:r>
      <w:r w:rsidR="0031342C" w:rsidRPr="00DF3EF6">
        <w:rPr>
          <w:noProof/>
        </w:rPr>
        <w:t xml:space="preserve"> w</w:t>
      </w:r>
      <w:r w:rsidR="0031342C">
        <w:rPr>
          <w:noProof/>
        </w:rPr>
        <w:t> </w:t>
      </w:r>
      <w:r w:rsidR="0031342C" w:rsidRPr="00DF3EF6">
        <w:rPr>
          <w:noProof/>
        </w:rPr>
        <w:t>spr</w:t>
      </w:r>
      <w:r w:rsidRPr="00DF3EF6">
        <w:rPr>
          <w:noProof/>
        </w:rPr>
        <w:t>awie wymogów kapitałowych lub CRD). Podejście to potwierdza, że zgodność</w:t>
      </w:r>
      <w:r w:rsidR="0031342C" w:rsidRPr="00DF3EF6">
        <w:rPr>
          <w:noProof/>
        </w:rPr>
        <w:t xml:space="preserve"> z</w:t>
      </w:r>
      <w:r w:rsidR="0031342C">
        <w:rPr>
          <w:noProof/>
        </w:rPr>
        <w:t> </w:t>
      </w:r>
      <w:r w:rsidR="0031342C" w:rsidRPr="00DF3EF6">
        <w:rPr>
          <w:noProof/>
        </w:rPr>
        <w:t>wym</w:t>
      </w:r>
      <w:r w:rsidRPr="00DF3EF6">
        <w:rPr>
          <w:noProof/>
        </w:rPr>
        <w:t>ogami systemu gwarancji depozytów jest wymogiem pierwszego rzędu dla wszystkich banków</w:t>
      </w:r>
      <w:r w:rsidR="0031342C" w:rsidRPr="00DF3EF6">
        <w:rPr>
          <w:noProof/>
        </w:rPr>
        <w:t xml:space="preserve"> i</w:t>
      </w:r>
      <w:r w:rsidR="0031342C">
        <w:rPr>
          <w:noProof/>
        </w:rPr>
        <w:t> </w:t>
      </w:r>
      <w:r w:rsidR="0031342C" w:rsidRPr="00DF3EF6">
        <w:rPr>
          <w:noProof/>
        </w:rPr>
        <w:t>sta</w:t>
      </w:r>
      <w:r w:rsidRPr="00DF3EF6">
        <w:rPr>
          <w:noProof/>
        </w:rPr>
        <w:t>nowi podstawę dla kolejności zdarzeń, jakie należy podjąć</w:t>
      </w:r>
      <w:r w:rsidR="0031342C" w:rsidRPr="00DF3EF6">
        <w:rPr>
          <w:noProof/>
        </w:rPr>
        <w:t xml:space="preserve"> w</w:t>
      </w:r>
      <w:r w:rsidR="0031342C">
        <w:rPr>
          <w:noProof/>
        </w:rPr>
        <w:t> </w:t>
      </w:r>
      <w:r w:rsidR="0031342C" w:rsidRPr="00DF3EF6">
        <w:rPr>
          <w:noProof/>
        </w:rPr>
        <w:t>cel</w:t>
      </w:r>
      <w:r w:rsidRPr="00DF3EF6">
        <w:rPr>
          <w:noProof/>
        </w:rPr>
        <w:t xml:space="preserve">u zdyscyplinowania banku, który nie wypełniłby takich obowiązków. </w:t>
      </w:r>
    </w:p>
    <w:p w14:paraId="50581596" w14:textId="39E9D515" w:rsidR="00E25235" w:rsidRPr="00DF3EF6" w:rsidRDefault="00E25235" w:rsidP="00E25235">
      <w:pPr>
        <w:pBdr>
          <w:top w:val="nil"/>
          <w:left w:val="nil"/>
          <w:bottom w:val="nil"/>
          <w:right w:val="nil"/>
          <w:between w:val="nil"/>
          <w:bar w:val="nil"/>
        </w:pBdr>
        <w:spacing w:before="0" w:after="240"/>
        <w:rPr>
          <w:noProof/>
        </w:rPr>
      </w:pPr>
      <w:r w:rsidRPr="00DF3EF6">
        <w:rPr>
          <w:noProof/>
        </w:rPr>
        <w:t>W ramach zmian ujednolicono</w:t>
      </w:r>
      <w:r w:rsidR="0031342C" w:rsidRPr="00DF3EF6">
        <w:rPr>
          <w:noProof/>
        </w:rPr>
        <w:t xml:space="preserve"> i</w:t>
      </w:r>
      <w:r w:rsidR="0031342C">
        <w:rPr>
          <w:noProof/>
        </w:rPr>
        <w:t> </w:t>
      </w:r>
      <w:r w:rsidR="0031342C" w:rsidRPr="00DF3EF6">
        <w:rPr>
          <w:noProof/>
        </w:rPr>
        <w:t>wyj</w:t>
      </w:r>
      <w:r w:rsidRPr="00DF3EF6">
        <w:rPr>
          <w:noProof/>
        </w:rPr>
        <w:t>aśniono również przepisy mające zastosowanie do środków zapobiegawczych</w:t>
      </w:r>
      <w:r w:rsidR="0031342C" w:rsidRPr="00DF3EF6">
        <w:rPr>
          <w:noProof/>
        </w:rPr>
        <w:t xml:space="preserve"> i</w:t>
      </w:r>
      <w:r w:rsidR="0031342C">
        <w:rPr>
          <w:noProof/>
        </w:rPr>
        <w:t> </w:t>
      </w:r>
      <w:r w:rsidR="0031342C" w:rsidRPr="00DF3EF6">
        <w:rPr>
          <w:noProof/>
        </w:rPr>
        <w:t>alt</w:t>
      </w:r>
      <w:r w:rsidRPr="00DF3EF6">
        <w:rPr>
          <w:noProof/>
        </w:rPr>
        <w:t>ernatywnych finansowanych ze środków SGD. Przepisy te należy oceniać</w:t>
      </w:r>
      <w:r w:rsidR="0031342C" w:rsidRPr="00DF3EF6">
        <w:rPr>
          <w:noProof/>
        </w:rPr>
        <w:t xml:space="preserve"> w</w:t>
      </w:r>
      <w:r w:rsidR="0031342C">
        <w:rPr>
          <w:noProof/>
        </w:rPr>
        <w:t> </w:t>
      </w:r>
      <w:r w:rsidR="0031342C" w:rsidRPr="00DF3EF6">
        <w:rPr>
          <w:noProof/>
        </w:rPr>
        <w:t>pow</w:t>
      </w:r>
      <w:r w:rsidRPr="00DF3EF6">
        <w:rPr>
          <w:noProof/>
        </w:rPr>
        <w:t>iązaniu</w:t>
      </w:r>
      <w:r w:rsidR="0031342C" w:rsidRPr="00DF3EF6">
        <w:rPr>
          <w:noProof/>
        </w:rPr>
        <w:t xml:space="preserve"> z</w:t>
      </w:r>
      <w:r w:rsidR="0031342C">
        <w:rPr>
          <w:noProof/>
        </w:rPr>
        <w:t> </w:t>
      </w:r>
      <w:r w:rsidR="0031342C" w:rsidRPr="00DF3EF6">
        <w:rPr>
          <w:noProof/>
        </w:rPr>
        <w:t>obo</w:t>
      </w:r>
      <w:r w:rsidRPr="00DF3EF6">
        <w:rPr>
          <w:noProof/>
        </w:rPr>
        <w:t>wiązującymi już wymogami dotyczącymi pomocy państwa na rzecz instytucji finansowych, określonymi</w:t>
      </w:r>
      <w:r w:rsidR="0031342C" w:rsidRPr="00DF3EF6">
        <w:rPr>
          <w:noProof/>
        </w:rPr>
        <w:t xml:space="preserve"> w</w:t>
      </w:r>
      <w:r w:rsidR="0031342C">
        <w:rPr>
          <w:noProof/>
        </w:rPr>
        <w:t> </w:t>
      </w:r>
      <w:r w:rsidR="0031342C" w:rsidRPr="00DF3EF6">
        <w:rPr>
          <w:noProof/>
        </w:rPr>
        <w:t>kom</w:t>
      </w:r>
      <w:r w:rsidRPr="00DF3EF6">
        <w:rPr>
          <w:noProof/>
        </w:rPr>
        <w:t>unikacie bankowym Komisji</w:t>
      </w:r>
      <w:r w:rsidRPr="00DF3EF6">
        <w:rPr>
          <w:rStyle w:val="FootnoteReference"/>
          <w:noProof/>
        </w:rPr>
        <w:footnoteReference w:id="17"/>
      </w:r>
      <w:r w:rsidRPr="00DF3EF6">
        <w:rPr>
          <w:noProof/>
        </w:rPr>
        <w:t>.</w:t>
      </w:r>
    </w:p>
    <w:p w14:paraId="5E40F973" w14:textId="7A263118" w:rsidR="00E25235" w:rsidRPr="00DF3EF6" w:rsidRDefault="00E25235" w:rsidP="00E25235">
      <w:pPr>
        <w:pBdr>
          <w:top w:val="nil"/>
          <w:left w:val="nil"/>
          <w:bottom w:val="nil"/>
          <w:right w:val="nil"/>
          <w:between w:val="nil"/>
          <w:bar w:val="nil"/>
        </w:pBdr>
        <w:spacing w:before="0" w:after="240"/>
        <w:rPr>
          <w:noProof/>
        </w:rPr>
      </w:pPr>
      <w:r w:rsidRPr="00DF3EF6">
        <w:rPr>
          <w:noProof/>
        </w:rPr>
        <w:t>Zmiany zapewniają również większą jasność</w:t>
      </w:r>
      <w:r w:rsidR="0031342C" w:rsidRPr="00DF3EF6">
        <w:rPr>
          <w:noProof/>
        </w:rPr>
        <w:t xml:space="preserve"> w</w:t>
      </w:r>
      <w:r w:rsidR="0031342C">
        <w:rPr>
          <w:noProof/>
        </w:rPr>
        <w:t> </w:t>
      </w:r>
      <w:r w:rsidR="0031342C" w:rsidRPr="00DF3EF6">
        <w:rPr>
          <w:noProof/>
        </w:rPr>
        <w:t>zak</w:t>
      </w:r>
      <w:r w:rsidRPr="00DF3EF6">
        <w:rPr>
          <w:noProof/>
        </w:rPr>
        <w:t>resie ochrony środków finansowych należących do klientów przechowywanych</w:t>
      </w:r>
      <w:r w:rsidR="0031342C" w:rsidRPr="00DF3EF6">
        <w:rPr>
          <w:noProof/>
        </w:rPr>
        <w:t xml:space="preserve"> w</w:t>
      </w:r>
      <w:r w:rsidR="0031342C">
        <w:rPr>
          <w:noProof/>
        </w:rPr>
        <w:t> </w:t>
      </w:r>
      <w:r w:rsidR="0031342C" w:rsidRPr="00DF3EF6">
        <w:rPr>
          <w:noProof/>
        </w:rPr>
        <w:t>ban</w:t>
      </w:r>
      <w:r w:rsidRPr="00DF3EF6">
        <w:rPr>
          <w:noProof/>
        </w:rPr>
        <w:t>ku przez instytucje niebędące bankiem zgodnie</w:t>
      </w:r>
      <w:r w:rsidR="0031342C" w:rsidRPr="00DF3EF6">
        <w:rPr>
          <w:noProof/>
        </w:rPr>
        <w:t xml:space="preserve"> z</w:t>
      </w:r>
      <w:r w:rsidR="0031342C">
        <w:rPr>
          <w:noProof/>
        </w:rPr>
        <w:t> </w:t>
      </w:r>
      <w:r w:rsidR="0031342C" w:rsidRPr="00DF3EF6">
        <w:rPr>
          <w:noProof/>
        </w:rPr>
        <w:t>wym</w:t>
      </w:r>
      <w:r w:rsidRPr="00DF3EF6">
        <w:rPr>
          <w:noProof/>
        </w:rPr>
        <w:t xml:space="preserve">ogami dotyczącymi rozdzielenia środków pieniężnych klientów określonymi w </w:t>
      </w:r>
      <w:hyperlink r:id="rId12" w:history="1">
        <w:r w:rsidRPr="00DF3EF6">
          <w:rPr>
            <w:rStyle w:val="Hyperlink"/>
            <w:noProof/>
            <w:u w:val="none"/>
          </w:rPr>
          <w:t>dyrektywie</w:t>
        </w:r>
        <w:r w:rsidR="0031342C" w:rsidRPr="00DF3EF6">
          <w:rPr>
            <w:rStyle w:val="Hyperlink"/>
            <w:noProof/>
            <w:u w:val="none"/>
          </w:rPr>
          <w:t xml:space="preserve"> w</w:t>
        </w:r>
        <w:r w:rsidR="0031342C">
          <w:rPr>
            <w:rStyle w:val="Hyperlink"/>
            <w:noProof/>
            <w:u w:val="none"/>
          </w:rPr>
          <w:t> </w:t>
        </w:r>
        <w:r w:rsidR="0031342C" w:rsidRPr="00DF3EF6">
          <w:rPr>
            <w:rStyle w:val="Hyperlink"/>
            <w:noProof/>
            <w:u w:val="none"/>
          </w:rPr>
          <w:t>spr</w:t>
        </w:r>
        <w:r w:rsidRPr="00DF3EF6">
          <w:rPr>
            <w:rStyle w:val="Hyperlink"/>
            <w:noProof/>
            <w:u w:val="none"/>
          </w:rPr>
          <w:t>awie usług płatniczych</w:t>
        </w:r>
        <w:r w:rsidRPr="00DF3EF6">
          <w:rPr>
            <w:rStyle w:val="FootnoteReference"/>
            <w:noProof/>
          </w:rPr>
          <w:footnoteReference w:id="18"/>
        </w:r>
      </w:hyperlink>
      <w:r w:rsidRPr="00DF3EF6">
        <w:rPr>
          <w:noProof/>
        </w:rPr>
        <w:t xml:space="preserve">, </w:t>
      </w:r>
      <w:hyperlink r:id="rId13" w:history="1">
        <w:r w:rsidRPr="00DF3EF6">
          <w:rPr>
            <w:rStyle w:val="Hyperlink"/>
            <w:noProof/>
            <w:u w:val="none"/>
          </w:rPr>
          <w:t>dyrektywie</w:t>
        </w:r>
        <w:r w:rsidR="0031342C" w:rsidRPr="00DF3EF6">
          <w:rPr>
            <w:rStyle w:val="Hyperlink"/>
            <w:noProof/>
            <w:u w:val="none"/>
          </w:rPr>
          <w:t xml:space="preserve"> w</w:t>
        </w:r>
        <w:r w:rsidR="0031342C">
          <w:rPr>
            <w:rStyle w:val="Hyperlink"/>
            <w:noProof/>
            <w:u w:val="none"/>
          </w:rPr>
          <w:t> </w:t>
        </w:r>
        <w:r w:rsidR="0031342C" w:rsidRPr="00DF3EF6">
          <w:rPr>
            <w:rStyle w:val="Hyperlink"/>
            <w:noProof/>
            <w:u w:val="none"/>
          </w:rPr>
          <w:t>spr</w:t>
        </w:r>
        <w:r w:rsidRPr="00DF3EF6">
          <w:rPr>
            <w:rStyle w:val="Hyperlink"/>
            <w:noProof/>
            <w:u w:val="none"/>
          </w:rPr>
          <w:t xml:space="preserve">awie pieniądza elektronicznego </w:t>
        </w:r>
      </w:hyperlink>
      <w:r w:rsidRPr="00DF3EF6">
        <w:rPr>
          <w:noProof/>
        </w:rPr>
        <w:t>i</w:t>
      </w:r>
      <w:r w:rsidR="0031342C" w:rsidRPr="00DF3EF6">
        <w:rPr>
          <w:noProof/>
        </w:rPr>
        <w:t xml:space="preserve"> w</w:t>
      </w:r>
      <w:r w:rsidR="0031342C">
        <w:rPr>
          <w:noProof/>
        </w:rPr>
        <w:t> </w:t>
      </w:r>
      <w:r w:rsidR="0031342C" w:rsidRPr="00DF3EF6">
        <w:rPr>
          <w:noProof/>
        </w:rPr>
        <w:t>dyr</w:t>
      </w:r>
      <w:r w:rsidRPr="00DF3EF6">
        <w:rPr>
          <w:noProof/>
        </w:rPr>
        <w:t>ektywie delegowanej Komisji (UE) 2017/593</w:t>
      </w:r>
      <w:r w:rsidRPr="00DF3EF6">
        <w:rPr>
          <w:rStyle w:val="FootnoteReference"/>
          <w:noProof/>
        </w:rPr>
        <w:footnoteReference w:id="19"/>
      </w:r>
      <w:r w:rsidR="0031342C" w:rsidRPr="00DF3EF6">
        <w:rPr>
          <w:noProof/>
        </w:rPr>
        <w:t>. W</w:t>
      </w:r>
      <w:r w:rsidR="0031342C">
        <w:rPr>
          <w:noProof/>
        </w:rPr>
        <w:t> </w:t>
      </w:r>
      <w:r w:rsidR="0031342C" w:rsidRPr="00DF3EF6">
        <w:rPr>
          <w:noProof/>
        </w:rPr>
        <w:t>zwi</w:t>
      </w:r>
      <w:r w:rsidRPr="00DF3EF6">
        <w:rPr>
          <w:noProof/>
        </w:rPr>
        <w:t>ązku</w:t>
      </w:r>
      <w:r w:rsidR="0031342C" w:rsidRPr="00DF3EF6">
        <w:rPr>
          <w:noProof/>
        </w:rPr>
        <w:t xml:space="preserve"> z</w:t>
      </w:r>
      <w:r w:rsidR="0031342C">
        <w:rPr>
          <w:noProof/>
        </w:rPr>
        <w:t> </w:t>
      </w:r>
      <w:r w:rsidR="0031342C" w:rsidRPr="00DF3EF6">
        <w:rPr>
          <w:noProof/>
        </w:rPr>
        <w:t>szy</w:t>
      </w:r>
      <w:r w:rsidRPr="00DF3EF6">
        <w:rPr>
          <w:noProof/>
        </w:rPr>
        <w:t>bkim rozwojem innowacyjnych usług finansowych zapewnienie większej jasności służy budowaniu zaufania klientów do instytucji niebędących bankiem</w:t>
      </w:r>
      <w:r w:rsidR="0031342C" w:rsidRPr="00DF3EF6">
        <w:rPr>
          <w:noProof/>
        </w:rPr>
        <w:t xml:space="preserve"> i</w:t>
      </w:r>
      <w:r w:rsidR="0031342C">
        <w:rPr>
          <w:noProof/>
        </w:rPr>
        <w:t> </w:t>
      </w:r>
      <w:r w:rsidR="0031342C" w:rsidRPr="00DF3EF6">
        <w:rPr>
          <w:noProof/>
        </w:rPr>
        <w:t>ich</w:t>
      </w:r>
      <w:r w:rsidRPr="00DF3EF6">
        <w:rPr>
          <w:noProof/>
        </w:rPr>
        <w:t xml:space="preserve"> ciągłości działania</w:t>
      </w:r>
      <w:r w:rsidR="0031342C" w:rsidRPr="00DF3EF6">
        <w:rPr>
          <w:noProof/>
        </w:rPr>
        <w:t xml:space="preserve"> w</w:t>
      </w:r>
      <w:r w:rsidR="0031342C">
        <w:rPr>
          <w:noProof/>
        </w:rPr>
        <w:t> </w:t>
      </w:r>
      <w:r w:rsidR="0031342C" w:rsidRPr="00DF3EF6">
        <w:rPr>
          <w:noProof/>
        </w:rPr>
        <w:t>prz</w:t>
      </w:r>
      <w:r w:rsidRPr="00DF3EF6">
        <w:rPr>
          <w:noProof/>
        </w:rPr>
        <w:t>ypadku upadłości banku.</w:t>
      </w:r>
    </w:p>
    <w:p w14:paraId="7DAEA86F" w14:textId="77777777" w:rsidR="00E25235" w:rsidRPr="00DF3EF6" w:rsidRDefault="00E25235" w:rsidP="00E25235">
      <w:pPr>
        <w:pStyle w:val="ManualHeading1"/>
        <w:rPr>
          <w:noProof/>
        </w:rPr>
      </w:pPr>
      <w:r w:rsidRPr="00DF3EF6">
        <w:rPr>
          <w:noProof/>
        </w:rPr>
        <w:t>2.</w:t>
      </w:r>
      <w:r w:rsidRPr="00DF3EF6">
        <w:rPr>
          <w:noProof/>
        </w:rPr>
        <w:tab/>
        <w:t>PODSTAWA PRAWNA, POMOCNICZOŚĆ I PROPORCJONALNOŚĆ</w:t>
      </w:r>
    </w:p>
    <w:p w14:paraId="3080AD9A" w14:textId="77777777" w:rsidR="00E25235" w:rsidRPr="00DF3EF6" w:rsidRDefault="00E25235" w:rsidP="00E25235">
      <w:pPr>
        <w:pStyle w:val="ManualHeading2"/>
        <w:rPr>
          <w:noProof/>
          <w:u w:color="000000"/>
          <w:bdr w:val="nil"/>
        </w:rPr>
      </w:pPr>
      <w:r w:rsidRPr="00DF3EF6">
        <w:rPr>
          <w:noProof/>
          <w:u w:color="000000"/>
          <w:bdr w:val="nil"/>
        </w:rPr>
        <w:t>•</w:t>
      </w:r>
      <w:r w:rsidRPr="00DF3EF6">
        <w:rPr>
          <w:noProof/>
        </w:rPr>
        <w:tab/>
      </w:r>
      <w:r w:rsidRPr="00DF3EF6">
        <w:rPr>
          <w:noProof/>
          <w:u w:color="000000"/>
          <w:bdr w:val="nil"/>
        </w:rPr>
        <w:t>Podstawa prawna</w:t>
      </w:r>
    </w:p>
    <w:p w14:paraId="5390A969" w14:textId="18A4DBE0" w:rsidR="00E25235" w:rsidRPr="00DF3EF6" w:rsidRDefault="00E25235" w:rsidP="00E25235">
      <w:pPr>
        <w:pBdr>
          <w:top w:val="nil"/>
          <w:left w:val="nil"/>
          <w:bottom w:val="nil"/>
          <w:right w:val="nil"/>
          <w:between w:val="nil"/>
          <w:bar w:val="nil"/>
        </w:pBdr>
        <w:spacing w:before="0" w:after="240"/>
        <w:rPr>
          <w:noProof/>
        </w:rPr>
      </w:pPr>
      <w:r w:rsidRPr="00DF3EF6">
        <w:rPr>
          <w:noProof/>
        </w:rPr>
        <w:t>Na podstawie wniosku zmienia się obowiązującą dyrektywę</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r w:rsidR="0031342C" w:rsidRPr="00DF3EF6">
        <w:rPr>
          <w:noProof/>
        </w:rPr>
        <w:t xml:space="preserve"> w</w:t>
      </w:r>
      <w:r w:rsidR="0031342C">
        <w:rPr>
          <w:noProof/>
        </w:rPr>
        <w:t> </w:t>
      </w:r>
      <w:r w:rsidR="0031342C" w:rsidRPr="00DF3EF6">
        <w:rPr>
          <w:noProof/>
        </w:rPr>
        <w:t>szc</w:t>
      </w:r>
      <w:r w:rsidRPr="00DF3EF6">
        <w:rPr>
          <w:noProof/>
        </w:rPr>
        <w:t>zególności</w:t>
      </w:r>
      <w:r w:rsidR="0031342C" w:rsidRPr="00DF3EF6">
        <w:rPr>
          <w:noProof/>
        </w:rPr>
        <w:t xml:space="preserve"> w</w:t>
      </w:r>
      <w:r w:rsidR="0031342C">
        <w:rPr>
          <w:noProof/>
        </w:rPr>
        <w:t> </w:t>
      </w:r>
      <w:r w:rsidR="0031342C" w:rsidRPr="00DF3EF6">
        <w:rPr>
          <w:noProof/>
        </w:rPr>
        <w:t>odn</w:t>
      </w:r>
      <w:r w:rsidRPr="00DF3EF6">
        <w:rPr>
          <w:noProof/>
        </w:rPr>
        <w:t>iesieniu do skuteczniejszego stosowania instrumentów, które są już dostępne</w:t>
      </w:r>
      <w:r w:rsidR="0031342C" w:rsidRPr="00DF3EF6">
        <w:rPr>
          <w:noProof/>
        </w:rPr>
        <w:t xml:space="preserve"> w</w:t>
      </w:r>
      <w:r w:rsidR="0031342C">
        <w:rPr>
          <w:noProof/>
        </w:rPr>
        <w:t> </w:t>
      </w:r>
      <w:r w:rsidR="0031342C" w:rsidRPr="00DF3EF6">
        <w:rPr>
          <w:noProof/>
        </w:rPr>
        <w:t>ram</w:t>
      </w:r>
      <w:r w:rsidRPr="00DF3EF6">
        <w:rPr>
          <w:noProof/>
        </w:rPr>
        <w:t xml:space="preserve">ach ochrony depozytów. </w:t>
      </w:r>
    </w:p>
    <w:p w14:paraId="6FC01162" w14:textId="48E69E14" w:rsidR="00E25235" w:rsidRPr="00DF3EF6" w:rsidRDefault="00E25235" w:rsidP="00E25235">
      <w:pPr>
        <w:pBdr>
          <w:top w:val="nil"/>
          <w:left w:val="nil"/>
          <w:bottom w:val="nil"/>
          <w:right w:val="nil"/>
          <w:between w:val="nil"/>
          <w:bar w:val="nil"/>
        </w:pBdr>
        <w:spacing w:before="0" w:after="240"/>
        <w:rPr>
          <w:noProof/>
        </w:rPr>
      </w:pPr>
      <w:r w:rsidRPr="00DF3EF6">
        <w:rPr>
          <w:noProof/>
        </w:rPr>
        <w:t>W związku</w:t>
      </w:r>
      <w:r w:rsidR="0031342C" w:rsidRPr="00DF3EF6">
        <w:rPr>
          <w:noProof/>
        </w:rPr>
        <w:t xml:space="preserve"> z</w:t>
      </w:r>
      <w:r w:rsidR="0031342C">
        <w:rPr>
          <w:noProof/>
        </w:rPr>
        <w:t> </w:t>
      </w:r>
      <w:r w:rsidR="0031342C" w:rsidRPr="00DF3EF6">
        <w:rPr>
          <w:noProof/>
        </w:rPr>
        <w:t>tym</w:t>
      </w:r>
      <w:r w:rsidRPr="00DF3EF6">
        <w:rPr>
          <w:noProof/>
        </w:rPr>
        <w:t xml:space="preserve"> podstawa prawna wniosku jest taka sama jak podstawa prawna pierwotnego aktu ustawodawczego,</w:t>
      </w:r>
      <w:r w:rsidR="0031342C" w:rsidRPr="00DF3EF6">
        <w:rPr>
          <w:noProof/>
        </w:rPr>
        <w:t xml:space="preserve"> a</w:t>
      </w:r>
      <w:r w:rsidR="0031342C">
        <w:rPr>
          <w:noProof/>
        </w:rPr>
        <w:t> </w:t>
      </w:r>
      <w:r w:rsidR="0031342C" w:rsidRPr="00DF3EF6">
        <w:rPr>
          <w:noProof/>
        </w:rPr>
        <w:t>mia</w:t>
      </w:r>
      <w:r w:rsidRPr="00DF3EF6">
        <w:rPr>
          <w:noProof/>
        </w:rPr>
        <w:t xml:space="preserve">nowicie </w:t>
      </w:r>
      <w:r w:rsidRPr="0031342C">
        <w:rPr>
          <w:noProof/>
        </w:rPr>
        <w:t>art.</w:t>
      </w:r>
      <w:r w:rsidR="0031342C" w:rsidRPr="0031342C">
        <w:rPr>
          <w:noProof/>
        </w:rPr>
        <w:t> </w:t>
      </w:r>
      <w:r w:rsidRPr="0031342C">
        <w:rPr>
          <w:noProof/>
        </w:rPr>
        <w:t>5</w:t>
      </w:r>
      <w:r w:rsidRPr="00DF3EF6">
        <w:rPr>
          <w:noProof/>
        </w:rPr>
        <w:t xml:space="preserve">3 </w:t>
      </w:r>
      <w:r w:rsidRPr="0031342C">
        <w:rPr>
          <w:noProof/>
        </w:rPr>
        <w:t>ust.</w:t>
      </w:r>
      <w:r w:rsidR="0031342C" w:rsidRPr="0031342C">
        <w:rPr>
          <w:noProof/>
        </w:rPr>
        <w:t> </w:t>
      </w:r>
      <w:r w:rsidRPr="0031342C">
        <w:rPr>
          <w:noProof/>
        </w:rPr>
        <w:t>1</w:t>
      </w:r>
      <w:r w:rsidRPr="00DF3EF6">
        <w:rPr>
          <w:noProof/>
        </w:rPr>
        <w:t xml:space="preserve"> TFUE dotyczący prawa przedsiębiorczości, który stanowi również podstawę prawną zmienianej dyrektywy. Zgodnie</w:t>
      </w:r>
      <w:r w:rsidR="0031342C" w:rsidRPr="00DF3EF6">
        <w:rPr>
          <w:noProof/>
        </w:rPr>
        <w:t xml:space="preserve"> z</w:t>
      </w:r>
      <w:r w:rsidR="0031342C">
        <w:rPr>
          <w:noProof/>
        </w:rPr>
        <w:t> </w:t>
      </w:r>
      <w:r w:rsidR="0031342C" w:rsidRPr="00DF3EF6">
        <w:rPr>
          <w:noProof/>
        </w:rPr>
        <w:t>orz</w:t>
      </w:r>
      <w:r w:rsidRPr="00DF3EF6">
        <w:rPr>
          <w:noProof/>
        </w:rPr>
        <w:t>ecznictwem UE</w:t>
      </w:r>
      <w:r w:rsidRPr="00DF3EF6">
        <w:rPr>
          <w:rStyle w:val="FootnoteReference"/>
          <w:noProof/>
        </w:rPr>
        <w:footnoteReference w:id="20"/>
      </w:r>
      <w:r w:rsidR="0031342C" w:rsidRPr="00DF3EF6">
        <w:rPr>
          <w:noProof/>
        </w:rPr>
        <w:t xml:space="preserve"> w</w:t>
      </w:r>
      <w:r w:rsidR="0031342C">
        <w:rPr>
          <w:noProof/>
        </w:rPr>
        <w:t> </w:t>
      </w:r>
      <w:r w:rsidR="0031342C" w:rsidRPr="00DF3EF6">
        <w:rPr>
          <w:noProof/>
        </w:rPr>
        <w:t>prz</w:t>
      </w:r>
      <w:r w:rsidRPr="00DF3EF6">
        <w:rPr>
          <w:noProof/>
        </w:rPr>
        <w:t>ypadku gdy celem aktu ustawodawczego jest jedynie uzupełnienie lub korekta innego aktu ustawodawczego, bez zmiany jego pierwotnego celu, unijny organ ustawodawczy jest</w:t>
      </w:r>
      <w:r w:rsidR="0031342C" w:rsidRPr="00DF3EF6">
        <w:rPr>
          <w:noProof/>
        </w:rPr>
        <w:t xml:space="preserve"> w</w:t>
      </w:r>
      <w:r w:rsidR="0031342C">
        <w:rPr>
          <w:noProof/>
        </w:rPr>
        <w:t> </w:t>
      </w:r>
      <w:r w:rsidR="0031342C" w:rsidRPr="00DF3EF6">
        <w:rPr>
          <w:noProof/>
        </w:rPr>
        <w:t>peł</w:t>
      </w:r>
      <w:r w:rsidRPr="00DF3EF6">
        <w:rPr>
          <w:noProof/>
        </w:rPr>
        <w:t xml:space="preserve">ni uprawniony do oparcia tego drugiego aktu na podstawie prawnej aktu pierwszego. </w:t>
      </w:r>
    </w:p>
    <w:p w14:paraId="3667E08D" w14:textId="77777777" w:rsidR="00E25235" w:rsidRPr="00DF3EF6" w:rsidRDefault="00E25235" w:rsidP="00E25235">
      <w:pPr>
        <w:pStyle w:val="ManualHeading2"/>
        <w:rPr>
          <w:noProof/>
          <w:u w:color="000000"/>
          <w:bdr w:val="nil"/>
        </w:rPr>
      </w:pPr>
      <w:r w:rsidRPr="00DF3EF6">
        <w:rPr>
          <w:noProof/>
          <w:u w:color="000000"/>
          <w:bdr w:val="nil"/>
        </w:rPr>
        <w:lastRenderedPageBreak/>
        <w:t>•</w:t>
      </w:r>
      <w:r w:rsidRPr="00DF3EF6">
        <w:rPr>
          <w:noProof/>
        </w:rPr>
        <w:tab/>
      </w:r>
      <w:r w:rsidRPr="00DF3EF6">
        <w:rPr>
          <w:noProof/>
          <w:u w:color="000000"/>
          <w:bdr w:val="nil"/>
        </w:rPr>
        <w:t xml:space="preserve">Pomocniczość (w przypadku kompetencji niewyłącznych) </w:t>
      </w:r>
    </w:p>
    <w:p w14:paraId="4A1E561E" w14:textId="5B9D6D86" w:rsidR="00E25235" w:rsidRPr="00DF3EF6" w:rsidRDefault="00E25235" w:rsidP="00E25235">
      <w:pPr>
        <w:pBdr>
          <w:top w:val="nil"/>
          <w:left w:val="nil"/>
          <w:bottom w:val="nil"/>
          <w:right w:val="nil"/>
          <w:between w:val="nil"/>
          <w:bar w:val="nil"/>
        </w:pBdr>
        <w:spacing w:before="0" w:after="240"/>
        <w:rPr>
          <w:noProof/>
        </w:rPr>
      </w:pPr>
      <w:r w:rsidRPr="00DF3EF6">
        <w:rPr>
          <w:noProof/>
        </w:rPr>
        <w:t>Zmiany</w:t>
      </w:r>
      <w:r w:rsidR="0031342C" w:rsidRPr="00DF3EF6">
        <w:rPr>
          <w:noProof/>
        </w:rPr>
        <w:t xml:space="preserve">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systemów gwarancji depozytów są zgodne</w:t>
      </w:r>
      <w:r w:rsidR="0031342C" w:rsidRPr="00DF3EF6">
        <w:rPr>
          <w:noProof/>
        </w:rPr>
        <w:t xml:space="preserve"> z</w:t>
      </w:r>
      <w:r w:rsidR="0031342C">
        <w:rPr>
          <w:noProof/>
        </w:rPr>
        <w:t> </w:t>
      </w:r>
      <w:r w:rsidR="0031342C" w:rsidRPr="00DF3EF6">
        <w:rPr>
          <w:noProof/>
        </w:rPr>
        <w:t>zas</w:t>
      </w:r>
      <w:r w:rsidRPr="00DF3EF6">
        <w:rPr>
          <w:noProof/>
        </w:rPr>
        <w:t>adą pomocniczości. Przepisy krajowe nie są</w:t>
      </w:r>
      <w:r w:rsidR="0031342C" w:rsidRPr="00DF3EF6">
        <w:rPr>
          <w:noProof/>
        </w:rPr>
        <w:t xml:space="preserve"> w</w:t>
      </w:r>
      <w:r w:rsidR="0031342C">
        <w:rPr>
          <w:noProof/>
        </w:rPr>
        <w:t> </w:t>
      </w:r>
      <w:r w:rsidR="0031342C" w:rsidRPr="00DF3EF6">
        <w:rPr>
          <w:noProof/>
        </w:rPr>
        <w:t>sta</w:t>
      </w:r>
      <w:r w:rsidRPr="00DF3EF6">
        <w:rPr>
          <w:noProof/>
        </w:rPr>
        <w:t>nie zapewnić jednolitego poziomu ochrony deponentów ani jednolitego zbioru zasad dotyczących finansowania</w:t>
      </w:r>
      <w:r w:rsidR="0031342C" w:rsidRPr="00DF3EF6">
        <w:rPr>
          <w:noProof/>
        </w:rPr>
        <w:t xml:space="preserve"> i</w:t>
      </w:r>
      <w:r w:rsidR="0031342C">
        <w:rPr>
          <w:noProof/>
        </w:rPr>
        <w:t> </w:t>
      </w:r>
      <w:r w:rsidR="0031342C" w:rsidRPr="00DF3EF6">
        <w:rPr>
          <w:noProof/>
        </w:rPr>
        <w:t>fun</w:t>
      </w:r>
      <w:r w:rsidRPr="00DF3EF6">
        <w:rPr>
          <w:noProof/>
        </w:rPr>
        <w:t>kcjonowania systemów gwarancji depozytów. Konieczne są zatem działania na poziomie UE</w:t>
      </w:r>
      <w:r w:rsidR="0031342C" w:rsidRPr="00DF3EF6">
        <w:rPr>
          <w:noProof/>
        </w:rPr>
        <w:t xml:space="preserve"> w</w:t>
      </w:r>
      <w:r w:rsidR="0031342C">
        <w:rPr>
          <w:noProof/>
        </w:rPr>
        <w:t> </w:t>
      </w:r>
      <w:r w:rsidR="0031342C" w:rsidRPr="00DF3EF6">
        <w:rPr>
          <w:noProof/>
        </w:rPr>
        <w:t>cel</w:t>
      </w:r>
      <w:r w:rsidRPr="00DF3EF6">
        <w:rPr>
          <w:noProof/>
        </w:rPr>
        <w:t>u zapewnienia równych warunków działania</w:t>
      </w:r>
      <w:r w:rsidR="0031342C" w:rsidRPr="00DF3EF6">
        <w:rPr>
          <w:noProof/>
        </w:rPr>
        <w:t xml:space="preserve"> w</w:t>
      </w:r>
      <w:r w:rsidR="0031342C">
        <w:rPr>
          <w:noProof/>
        </w:rPr>
        <w:t> </w:t>
      </w:r>
      <w:r w:rsidR="0031342C" w:rsidRPr="00DF3EF6">
        <w:rPr>
          <w:noProof/>
        </w:rPr>
        <w:t>cał</w:t>
      </w:r>
      <w:r w:rsidRPr="00DF3EF6">
        <w:rPr>
          <w:noProof/>
        </w:rPr>
        <w:t>ej UE</w:t>
      </w:r>
      <w:r w:rsidR="0031342C" w:rsidRPr="00DF3EF6">
        <w:rPr>
          <w:noProof/>
        </w:rPr>
        <w:t xml:space="preserve"> i</w:t>
      </w:r>
      <w:r w:rsidR="0031342C">
        <w:rPr>
          <w:noProof/>
        </w:rPr>
        <w:t> </w:t>
      </w:r>
      <w:r w:rsidR="0031342C" w:rsidRPr="00DF3EF6">
        <w:rPr>
          <w:noProof/>
        </w:rPr>
        <w:t>uni</w:t>
      </w:r>
      <w:r w:rsidRPr="00DF3EF6">
        <w:rPr>
          <w:noProof/>
        </w:rPr>
        <w:t>knięcia nieuzasadnionej przewagi konkurencyjnej między instytucjami finansowymi związanej</w:t>
      </w:r>
      <w:r w:rsidR="0031342C" w:rsidRPr="00DF3EF6">
        <w:rPr>
          <w:noProof/>
        </w:rPr>
        <w:t xml:space="preserve"> z</w:t>
      </w:r>
      <w:r w:rsidR="0031342C">
        <w:rPr>
          <w:noProof/>
        </w:rPr>
        <w:t> </w:t>
      </w:r>
      <w:r w:rsidR="0031342C" w:rsidRPr="00DF3EF6">
        <w:rPr>
          <w:noProof/>
        </w:rPr>
        <w:t>roz</w:t>
      </w:r>
      <w:r w:rsidRPr="00DF3EF6">
        <w:rPr>
          <w:noProof/>
        </w:rPr>
        <w:t>bieżnymi przepisami dotyczącymi ochrony depozytów. EUNB podkreślił tę kwestię również</w:t>
      </w:r>
      <w:r w:rsidR="0031342C" w:rsidRPr="00DF3EF6">
        <w:rPr>
          <w:noProof/>
        </w:rPr>
        <w:t xml:space="preserve"> w</w:t>
      </w:r>
      <w:r w:rsidR="0031342C">
        <w:rPr>
          <w:noProof/>
        </w:rPr>
        <w:t> </w:t>
      </w:r>
      <w:r w:rsidR="0031342C" w:rsidRPr="00DF3EF6">
        <w:rPr>
          <w:noProof/>
        </w:rPr>
        <w:t>swo</w:t>
      </w:r>
      <w:r w:rsidRPr="00DF3EF6">
        <w:rPr>
          <w:noProof/>
        </w:rPr>
        <w:t>ich opiniach na temat przeglądu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p>
    <w:p w14:paraId="08DA8F06" w14:textId="08E3B600" w:rsidR="00E25235" w:rsidRPr="00DF3EF6" w:rsidRDefault="00E25235" w:rsidP="00E25235">
      <w:pPr>
        <w:pBdr>
          <w:top w:val="nil"/>
          <w:left w:val="nil"/>
          <w:bottom w:val="nil"/>
          <w:right w:val="nil"/>
          <w:between w:val="nil"/>
          <w:bar w:val="nil"/>
        </w:pBdr>
        <w:spacing w:before="0" w:after="240"/>
        <w:rPr>
          <w:noProof/>
        </w:rPr>
      </w:pPr>
      <w:r w:rsidRPr="00DF3EF6">
        <w:rPr>
          <w:noProof/>
        </w:rPr>
        <w:t>Ponadto zakładanie banków</w:t>
      </w:r>
      <w:r w:rsidR="0031342C" w:rsidRPr="00DF3EF6">
        <w:rPr>
          <w:noProof/>
        </w:rPr>
        <w:t xml:space="preserve"> i</w:t>
      </w:r>
      <w:r w:rsidR="0031342C">
        <w:rPr>
          <w:noProof/>
        </w:rPr>
        <w:t> </w:t>
      </w:r>
      <w:r w:rsidR="0031342C" w:rsidRPr="00DF3EF6">
        <w:rPr>
          <w:noProof/>
        </w:rPr>
        <w:t>świ</w:t>
      </w:r>
      <w:r w:rsidRPr="00DF3EF6">
        <w:rPr>
          <w:noProof/>
        </w:rPr>
        <w:t>adczenie usług bankowych,</w:t>
      </w:r>
      <w:r w:rsidR="0031342C" w:rsidRPr="00DF3EF6">
        <w:rPr>
          <w:noProof/>
        </w:rPr>
        <w:t xml:space="preserve"> w</w:t>
      </w:r>
      <w:r w:rsidR="0031342C">
        <w:rPr>
          <w:noProof/>
        </w:rPr>
        <w:t> </w:t>
      </w:r>
      <w:r w:rsidR="0031342C" w:rsidRPr="00DF3EF6">
        <w:rPr>
          <w:noProof/>
        </w:rPr>
        <w:t>tym</w:t>
      </w:r>
      <w:r w:rsidRPr="00DF3EF6">
        <w:rPr>
          <w:noProof/>
        </w:rPr>
        <w:t xml:space="preserve"> przyjmowanie depozytów, może odbywać się na poziomie transgranicznym. Transgraniczny charakter systemów bankowych może wiązać się</w:t>
      </w:r>
      <w:r w:rsidR="0031342C" w:rsidRPr="00DF3EF6">
        <w:rPr>
          <w:noProof/>
        </w:rPr>
        <w:t xml:space="preserve"> z</w:t>
      </w:r>
      <w:r w:rsidR="0031342C">
        <w:rPr>
          <w:noProof/>
        </w:rPr>
        <w:t> </w:t>
      </w:r>
      <w:r w:rsidR="0031342C" w:rsidRPr="00DF3EF6">
        <w:rPr>
          <w:noProof/>
        </w:rPr>
        <w:t>wie</w:t>
      </w:r>
      <w:r w:rsidRPr="00DF3EF6">
        <w:rPr>
          <w:noProof/>
        </w:rPr>
        <w:t>loma wyzwaniami</w:t>
      </w:r>
      <w:r w:rsidR="0031342C" w:rsidRPr="00DF3EF6">
        <w:rPr>
          <w:noProof/>
        </w:rPr>
        <w:t xml:space="preserve"> w</w:t>
      </w:r>
      <w:r w:rsidR="0031342C">
        <w:rPr>
          <w:noProof/>
        </w:rPr>
        <w:t> </w:t>
      </w:r>
      <w:r w:rsidR="0031342C" w:rsidRPr="00DF3EF6">
        <w:rPr>
          <w:noProof/>
        </w:rPr>
        <w:t>odn</w:t>
      </w:r>
      <w:r w:rsidRPr="00DF3EF6">
        <w:rPr>
          <w:noProof/>
        </w:rPr>
        <w:t>iesieniu do systemów gwarancji depozytów (zmiany przynależności banku do systemu gwarancji depozytów, prowadzenie rejestrów klientów lub współpraca transgraniczna), co stwarza potrzebę interwencji ze strony UE.</w:t>
      </w:r>
    </w:p>
    <w:p w14:paraId="43AD8FA7" w14:textId="7CF6412C" w:rsidR="00E25235" w:rsidRPr="00DF3EF6" w:rsidRDefault="00E25235" w:rsidP="00E25235">
      <w:pPr>
        <w:pBdr>
          <w:top w:val="nil"/>
          <w:left w:val="nil"/>
          <w:bottom w:val="nil"/>
          <w:right w:val="nil"/>
          <w:between w:val="nil"/>
          <w:bar w:val="nil"/>
        </w:pBdr>
        <w:spacing w:before="0" w:after="240"/>
        <w:rPr>
          <w:noProof/>
        </w:rPr>
      </w:pPr>
      <w:r w:rsidRPr="00DF3EF6">
        <w:rPr>
          <w:noProof/>
        </w:rPr>
        <w:t>Większość zmian uwzględnionych we wniosku stanowi aktualizację obowiązującego prawa UE,</w:t>
      </w:r>
      <w:r w:rsidR="0031342C" w:rsidRPr="00DF3EF6">
        <w:rPr>
          <w:noProof/>
        </w:rPr>
        <w:t xml:space="preserve"> w</w:t>
      </w:r>
      <w:r w:rsidR="0031342C">
        <w:rPr>
          <w:noProof/>
        </w:rPr>
        <w:t> </w:t>
      </w:r>
      <w:r w:rsidR="0031342C" w:rsidRPr="00DF3EF6">
        <w:rPr>
          <w:noProof/>
        </w:rPr>
        <w:t>zwi</w:t>
      </w:r>
      <w:r w:rsidRPr="00DF3EF6">
        <w:rPr>
          <w:noProof/>
        </w:rPr>
        <w:t>ązku</w:t>
      </w:r>
      <w:r w:rsidR="0031342C" w:rsidRPr="00DF3EF6">
        <w:rPr>
          <w:noProof/>
        </w:rPr>
        <w:t xml:space="preserve"> z</w:t>
      </w:r>
      <w:r w:rsidR="0031342C">
        <w:rPr>
          <w:noProof/>
        </w:rPr>
        <w:t> </w:t>
      </w:r>
      <w:r w:rsidR="0031342C" w:rsidRPr="00DF3EF6">
        <w:rPr>
          <w:noProof/>
        </w:rPr>
        <w:t>czy</w:t>
      </w:r>
      <w:r w:rsidRPr="00DF3EF6">
        <w:rPr>
          <w:noProof/>
        </w:rPr>
        <w:t>m dotyczą one obszarów,</w:t>
      </w:r>
      <w:r w:rsidR="0031342C" w:rsidRPr="00DF3EF6">
        <w:rPr>
          <w:noProof/>
        </w:rPr>
        <w:t xml:space="preserve"> w</w:t>
      </w:r>
      <w:r w:rsidR="0031342C">
        <w:rPr>
          <w:noProof/>
        </w:rPr>
        <w:t> </w:t>
      </w:r>
      <w:r w:rsidR="0031342C" w:rsidRPr="00DF3EF6">
        <w:rPr>
          <w:noProof/>
        </w:rPr>
        <w:t>któ</w:t>
      </w:r>
      <w:r w:rsidRPr="00DF3EF6">
        <w:rPr>
          <w:noProof/>
        </w:rPr>
        <w:t>rych UE wykonywała już swoje kompetencje</w:t>
      </w:r>
      <w:r w:rsidR="0031342C" w:rsidRPr="00DF3EF6">
        <w:rPr>
          <w:noProof/>
        </w:rPr>
        <w:t>. W</w:t>
      </w:r>
      <w:r w:rsidR="0031342C">
        <w:rPr>
          <w:noProof/>
        </w:rPr>
        <w:t> </w:t>
      </w:r>
      <w:r w:rsidR="0031342C" w:rsidRPr="00DF3EF6">
        <w:rPr>
          <w:noProof/>
        </w:rPr>
        <w:t>ram</w:t>
      </w:r>
      <w:r w:rsidRPr="00DF3EF6">
        <w:rPr>
          <w:noProof/>
        </w:rPr>
        <w:t>ach szeregu działań określonych we wniosku wprowadza się dodatkowy stopień harmonizacji, aby konsekwentnie realizować cele określone</w:t>
      </w:r>
      <w:r w:rsidR="0031342C" w:rsidRPr="00DF3EF6">
        <w:rPr>
          <w:noProof/>
        </w:rPr>
        <w:t xml:space="preserve">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p>
    <w:p w14:paraId="746CD587" w14:textId="77777777" w:rsidR="00E25235" w:rsidRPr="00DF3EF6" w:rsidRDefault="00E25235" w:rsidP="00E25235">
      <w:pPr>
        <w:pStyle w:val="ManualHeading2"/>
        <w:rPr>
          <w:noProof/>
          <w:u w:color="000000"/>
          <w:bdr w:val="nil"/>
        </w:rPr>
      </w:pPr>
      <w:r w:rsidRPr="00DF3EF6">
        <w:rPr>
          <w:noProof/>
          <w:u w:color="000000"/>
          <w:bdr w:val="nil"/>
        </w:rPr>
        <w:t>•</w:t>
      </w:r>
      <w:r w:rsidRPr="00DF3EF6">
        <w:rPr>
          <w:noProof/>
        </w:rPr>
        <w:tab/>
      </w:r>
      <w:r w:rsidRPr="00DF3EF6">
        <w:rPr>
          <w:noProof/>
          <w:u w:color="000000"/>
          <w:bdr w:val="nil"/>
        </w:rPr>
        <w:t>Proporcjonalność</w:t>
      </w:r>
    </w:p>
    <w:p w14:paraId="0E489069" w14:textId="26840A5E" w:rsidR="00E25235" w:rsidRPr="00DF3EF6" w:rsidRDefault="00E25235" w:rsidP="00E25235">
      <w:pPr>
        <w:pBdr>
          <w:top w:val="nil"/>
          <w:left w:val="nil"/>
          <w:bottom w:val="nil"/>
          <w:right w:val="nil"/>
          <w:between w:val="nil"/>
          <w:bar w:val="nil"/>
        </w:pBdr>
        <w:spacing w:before="0" w:after="240"/>
        <w:rPr>
          <w:noProof/>
        </w:rPr>
      </w:pPr>
      <w:r w:rsidRPr="00DF3EF6">
        <w:rPr>
          <w:noProof/>
        </w:rPr>
        <w:t>Zmiany są proporcjonalne do tego, co jest konieczne do osiągnięcia celów określonych</w:t>
      </w:r>
      <w:r w:rsidR="0031342C" w:rsidRPr="00DF3EF6">
        <w:rPr>
          <w:noProof/>
        </w:rPr>
        <w:t xml:space="preserve">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 xml:space="preserve">awie systemów gwarancji depozytów. </w:t>
      </w:r>
    </w:p>
    <w:p w14:paraId="10D8C312" w14:textId="58DC5849" w:rsidR="00E25235" w:rsidRPr="00DF3EF6" w:rsidRDefault="00E25235" w:rsidP="00E25235">
      <w:pPr>
        <w:pBdr>
          <w:top w:val="nil"/>
          <w:left w:val="nil"/>
          <w:bottom w:val="nil"/>
          <w:right w:val="nil"/>
          <w:between w:val="nil"/>
          <w:bar w:val="nil"/>
        </w:pBdr>
        <w:spacing w:before="0" w:after="240"/>
        <w:rPr>
          <w:noProof/>
        </w:rPr>
      </w:pPr>
      <w:r w:rsidRPr="00DF3EF6">
        <w:rPr>
          <w:noProof/>
        </w:rPr>
        <w:t>W ramach zmian ustanowiono wspólne wymogi</w:t>
      </w:r>
      <w:r w:rsidR="0031342C" w:rsidRPr="00DF3EF6">
        <w:rPr>
          <w:noProof/>
        </w:rPr>
        <w:t xml:space="preserve"> w</w:t>
      </w:r>
      <w:r w:rsidR="0031342C">
        <w:rPr>
          <w:noProof/>
        </w:rPr>
        <w:t> </w:t>
      </w:r>
      <w:r w:rsidR="0031342C" w:rsidRPr="00DF3EF6">
        <w:rPr>
          <w:noProof/>
        </w:rPr>
        <w:t>cel</w:t>
      </w:r>
      <w:r w:rsidRPr="00DF3EF6">
        <w:rPr>
          <w:noProof/>
        </w:rPr>
        <w:t>u zwiększenia</w:t>
      </w:r>
      <w:r w:rsidR="0031342C" w:rsidRPr="00DF3EF6">
        <w:rPr>
          <w:noProof/>
        </w:rPr>
        <w:t xml:space="preserve"> i</w:t>
      </w:r>
      <w:r w:rsidR="0031342C">
        <w:rPr>
          <w:noProof/>
        </w:rPr>
        <w:t> </w:t>
      </w:r>
      <w:r w:rsidR="0031342C" w:rsidRPr="00DF3EF6">
        <w:rPr>
          <w:noProof/>
        </w:rPr>
        <w:t>uje</w:t>
      </w:r>
      <w:r w:rsidRPr="00DF3EF6">
        <w:rPr>
          <w:noProof/>
        </w:rPr>
        <w:t>dnolicenia poziomu ochrony deponentów w UE. Niniejszy wniosek nie reguluje jednak modeli organizacyjnych, struktury prawnej unijnych systemów gwarancji depozytów ani zarządzania wewnętrznego tymi systemami</w:t>
      </w:r>
      <w:r w:rsidR="0031342C" w:rsidRPr="00DF3EF6">
        <w:rPr>
          <w:noProof/>
        </w:rPr>
        <w:t>. W</w:t>
      </w:r>
      <w:r w:rsidR="0031342C">
        <w:rPr>
          <w:noProof/>
        </w:rPr>
        <w:t> </w:t>
      </w:r>
      <w:r w:rsidR="0031342C" w:rsidRPr="00DF3EF6">
        <w:rPr>
          <w:noProof/>
        </w:rPr>
        <w:t>zwi</w:t>
      </w:r>
      <w:r w:rsidRPr="00DF3EF6">
        <w:rPr>
          <w:noProof/>
        </w:rPr>
        <w:t>ązku</w:t>
      </w:r>
      <w:r w:rsidR="0031342C" w:rsidRPr="00DF3EF6">
        <w:rPr>
          <w:noProof/>
        </w:rPr>
        <w:t xml:space="preserve"> z</w:t>
      </w:r>
      <w:r w:rsidR="0031342C">
        <w:rPr>
          <w:noProof/>
        </w:rPr>
        <w:t> </w:t>
      </w:r>
      <w:r w:rsidR="0031342C" w:rsidRPr="00DF3EF6">
        <w:rPr>
          <w:noProof/>
        </w:rPr>
        <w:t>tym</w:t>
      </w:r>
      <w:r w:rsidRPr="00DF3EF6">
        <w:rPr>
          <w:noProof/>
        </w:rPr>
        <w:t xml:space="preserve"> ustanowiona unijna struktura gwarantowania depozytów opiera się</w:t>
      </w:r>
      <w:r w:rsidR="0031342C" w:rsidRPr="00DF3EF6">
        <w:rPr>
          <w:noProof/>
        </w:rPr>
        <w:t xml:space="preserve"> i</w:t>
      </w:r>
      <w:r w:rsidR="0031342C">
        <w:rPr>
          <w:noProof/>
        </w:rPr>
        <w:t> </w:t>
      </w:r>
      <w:r w:rsidR="0031342C" w:rsidRPr="00DF3EF6">
        <w:rPr>
          <w:noProof/>
        </w:rPr>
        <w:t>nad</w:t>
      </w:r>
      <w:r w:rsidRPr="00DF3EF6">
        <w:rPr>
          <w:noProof/>
        </w:rPr>
        <w:t>al będzie opierać się na sieci krajowych systemów gwarancji depozytów zorganizowanej zgodnie</w:t>
      </w:r>
      <w:r w:rsidR="0031342C" w:rsidRPr="00DF3EF6">
        <w:rPr>
          <w:noProof/>
        </w:rPr>
        <w:t xml:space="preserve"> z</w:t>
      </w:r>
      <w:r w:rsidR="0031342C">
        <w:rPr>
          <w:noProof/>
        </w:rPr>
        <w:t> </w:t>
      </w:r>
      <w:r w:rsidR="0031342C" w:rsidRPr="00DF3EF6">
        <w:rPr>
          <w:noProof/>
        </w:rPr>
        <w:t>róż</w:t>
      </w:r>
      <w:r w:rsidRPr="00DF3EF6">
        <w:rPr>
          <w:noProof/>
        </w:rPr>
        <w:t>nymi modelami (publiczne systemy gwarancji depozytów, prywatne systemy gwarancji depozytów, instytucjonalne systemy ochrony (IPS))</w:t>
      </w:r>
      <w:r w:rsidR="0031342C" w:rsidRPr="00DF3EF6">
        <w:rPr>
          <w:noProof/>
        </w:rPr>
        <w:t xml:space="preserve"> i</w:t>
      </w:r>
      <w:r w:rsidR="0031342C">
        <w:rPr>
          <w:noProof/>
        </w:rPr>
        <w:t> </w:t>
      </w:r>
      <w:r w:rsidR="0031342C" w:rsidRPr="00DF3EF6">
        <w:rPr>
          <w:noProof/>
        </w:rPr>
        <w:t>rod</w:t>
      </w:r>
      <w:r w:rsidRPr="00DF3EF6">
        <w:rPr>
          <w:noProof/>
        </w:rPr>
        <w:t>zajami relacji między wyznaczonym organem ds. systemów gwarancji depozytów</w:t>
      </w:r>
      <w:r w:rsidR="0031342C" w:rsidRPr="00DF3EF6">
        <w:rPr>
          <w:noProof/>
        </w:rPr>
        <w:t xml:space="preserve"> a</w:t>
      </w:r>
      <w:r w:rsidR="0031342C">
        <w:rPr>
          <w:noProof/>
        </w:rPr>
        <w:t> </w:t>
      </w:r>
      <w:r w:rsidR="0031342C" w:rsidRPr="00DF3EF6">
        <w:rPr>
          <w:noProof/>
        </w:rPr>
        <w:t>org</w:t>
      </w:r>
      <w:r w:rsidRPr="00DF3EF6">
        <w:rPr>
          <w:noProof/>
        </w:rPr>
        <w:t>anem ds.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(w ramach tego samego podmiotu parasolowego lub</w:t>
      </w:r>
      <w:r w:rsidR="0031342C" w:rsidRPr="00DF3EF6">
        <w:rPr>
          <w:noProof/>
        </w:rPr>
        <w:t xml:space="preserve"> w</w:t>
      </w:r>
      <w:r w:rsidR="0031342C">
        <w:rPr>
          <w:noProof/>
        </w:rPr>
        <w:t> </w:t>
      </w:r>
      <w:r w:rsidR="0031342C" w:rsidRPr="00DF3EF6">
        <w:rPr>
          <w:noProof/>
        </w:rPr>
        <w:t>odr</w:t>
      </w:r>
      <w:r w:rsidRPr="00DF3EF6">
        <w:rPr>
          <w:noProof/>
        </w:rPr>
        <w:t>ębnych instytucjach).</w:t>
      </w:r>
    </w:p>
    <w:p w14:paraId="66C0427C" w14:textId="6D5F9070" w:rsidR="00E25235" w:rsidRPr="00DF3EF6" w:rsidRDefault="00E25235" w:rsidP="00E25235">
      <w:pPr>
        <w:pBdr>
          <w:top w:val="nil"/>
          <w:left w:val="nil"/>
          <w:bottom w:val="nil"/>
          <w:right w:val="nil"/>
          <w:between w:val="nil"/>
          <w:bar w:val="nil"/>
        </w:pBdr>
        <w:spacing w:before="0" w:after="240"/>
        <w:rPr>
          <w:noProof/>
        </w:rPr>
      </w:pPr>
      <w:r w:rsidRPr="00DF3EF6">
        <w:rPr>
          <w:noProof/>
        </w:rPr>
        <w:t>We wniosku przyznaje się ponadto znaczne uprawnienia organom krajowym, począwszy od przeprowadzania testu najniższego kosztu,</w:t>
      </w:r>
      <w:r w:rsidR="0031342C" w:rsidRPr="00DF3EF6">
        <w:rPr>
          <w:noProof/>
        </w:rPr>
        <w:t xml:space="preserve"> w</w:t>
      </w:r>
      <w:r w:rsidR="0031342C">
        <w:rPr>
          <w:noProof/>
        </w:rPr>
        <w:t> </w:t>
      </w:r>
      <w:r w:rsidR="0031342C" w:rsidRPr="00DF3EF6">
        <w:rPr>
          <w:noProof/>
        </w:rPr>
        <w:t>ram</w:t>
      </w:r>
      <w:r w:rsidRPr="00DF3EF6">
        <w:rPr>
          <w:noProof/>
        </w:rPr>
        <w:t>ach którego określa się oszczędność kosztową</w:t>
      </w:r>
      <w:r w:rsidR="0031342C" w:rsidRPr="00DF3EF6">
        <w:rPr>
          <w:noProof/>
        </w:rPr>
        <w:t xml:space="preserve"> w</w:t>
      </w:r>
      <w:r w:rsidR="0031342C">
        <w:rPr>
          <w:noProof/>
        </w:rPr>
        <w:t> </w:t>
      </w:r>
      <w:r w:rsidR="0031342C" w:rsidRPr="00DF3EF6">
        <w:rPr>
          <w:noProof/>
        </w:rPr>
        <w:t>zak</w:t>
      </w:r>
      <w:r w:rsidRPr="00DF3EF6">
        <w:rPr>
          <w:noProof/>
        </w:rPr>
        <w:t>resie wykorzystania środków SGD. Większość tematów poruszonych we wniosku (wspólny poziom tymczasowo wysokich sald, ochrona środków finansowych należących do klientów, ochrona organów publicznych) odnosi się do obszarów,</w:t>
      </w:r>
      <w:r w:rsidR="0031342C" w:rsidRPr="00DF3EF6">
        <w:rPr>
          <w:noProof/>
        </w:rPr>
        <w:t xml:space="preserve"> w</w:t>
      </w:r>
      <w:r w:rsidR="0031342C">
        <w:rPr>
          <w:noProof/>
        </w:rPr>
        <w:t> </w:t>
      </w:r>
      <w:r w:rsidR="0031342C" w:rsidRPr="00DF3EF6">
        <w:rPr>
          <w:noProof/>
        </w:rPr>
        <w:t>któ</w:t>
      </w:r>
      <w:r w:rsidRPr="00DF3EF6">
        <w:rPr>
          <w:noProof/>
        </w:rPr>
        <w:t>rych państwa członkowskie UE zdecydowanie zwróciły się</w:t>
      </w:r>
      <w:r w:rsidR="0031342C" w:rsidRPr="00DF3EF6">
        <w:rPr>
          <w:noProof/>
        </w:rPr>
        <w:t xml:space="preserve"> o</w:t>
      </w:r>
      <w:r w:rsidR="0031342C">
        <w:rPr>
          <w:noProof/>
        </w:rPr>
        <w:t> </w:t>
      </w:r>
      <w:r w:rsidR="0031342C" w:rsidRPr="00DF3EF6">
        <w:rPr>
          <w:noProof/>
        </w:rPr>
        <w:t>opr</w:t>
      </w:r>
      <w:r w:rsidRPr="00DF3EF6">
        <w:rPr>
          <w:noProof/>
        </w:rPr>
        <w:t>acowanie ogólnounijnego standardu</w:t>
      </w:r>
      <w:r w:rsidR="0031342C" w:rsidRPr="00DF3EF6">
        <w:rPr>
          <w:noProof/>
        </w:rPr>
        <w:t xml:space="preserve"> w</w:t>
      </w:r>
      <w:r w:rsidR="0031342C">
        <w:rPr>
          <w:noProof/>
        </w:rPr>
        <w:t> </w:t>
      </w:r>
      <w:r w:rsidR="0031342C" w:rsidRPr="00DF3EF6">
        <w:rPr>
          <w:noProof/>
        </w:rPr>
        <w:t>cel</w:t>
      </w:r>
      <w:r w:rsidRPr="00DF3EF6">
        <w:rPr>
          <w:noProof/>
        </w:rPr>
        <w:t>u zapewnienia większej pewności prawa</w:t>
      </w:r>
      <w:r w:rsidR="0031342C" w:rsidRPr="00DF3EF6">
        <w:rPr>
          <w:noProof/>
        </w:rPr>
        <w:t xml:space="preserve"> w</w:t>
      </w:r>
      <w:r w:rsidR="0031342C">
        <w:rPr>
          <w:noProof/>
        </w:rPr>
        <w:t> </w:t>
      </w:r>
      <w:r w:rsidR="0031342C" w:rsidRPr="00DF3EF6">
        <w:rPr>
          <w:noProof/>
        </w:rPr>
        <w:t>zak</w:t>
      </w:r>
      <w:r w:rsidRPr="00DF3EF6">
        <w:rPr>
          <w:noProof/>
        </w:rPr>
        <w:t>resie ochrony deponentów. Upoważnienia udzielone EUNB</w:t>
      </w:r>
      <w:r w:rsidR="0031342C" w:rsidRPr="00DF3EF6">
        <w:rPr>
          <w:noProof/>
        </w:rPr>
        <w:t xml:space="preserve"> w</w:t>
      </w:r>
      <w:r w:rsidR="0031342C">
        <w:rPr>
          <w:noProof/>
        </w:rPr>
        <w:t> </w:t>
      </w:r>
      <w:r w:rsidR="0031342C" w:rsidRPr="00DF3EF6">
        <w:rPr>
          <w:noProof/>
        </w:rPr>
        <w:t>ram</w:t>
      </w:r>
      <w:r w:rsidRPr="00DF3EF6">
        <w:rPr>
          <w:noProof/>
        </w:rPr>
        <w:t>ach niniejszego wniosku (za pomocą wytycznych</w:t>
      </w:r>
      <w:r w:rsidR="0031342C" w:rsidRPr="00DF3EF6">
        <w:rPr>
          <w:noProof/>
        </w:rPr>
        <w:t xml:space="preserve"> i</w:t>
      </w:r>
      <w:r w:rsidR="0031342C">
        <w:rPr>
          <w:noProof/>
        </w:rPr>
        <w:t> </w:t>
      </w:r>
      <w:r w:rsidR="0031342C" w:rsidRPr="00DF3EF6">
        <w:rPr>
          <w:noProof/>
        </w:rPr>
        <w:t>sta</w:t>
      </w:r>
      <w:r w:rsidRPr="00DF3EF6">
        <w:rPr>
          <w:noProof/>
        </w:rPr>
        <w:t>ndardów) ograniczają się do najbardziej technicznych tematów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r w:rsidR="0031342C" w:rsidRPr="00DF3EF6">
        <w:rPr>
          <w:noProof/>
        </w:rPr>
        <w:t xml:space="preserve"> w</w:t>
      </w:r>
      <w:r w:rsidR="0031342C">
        <w:rPr>
          <w:noProof/>
        </w:rPr>
        <w:t> </w:t>
      </w:r>
      <w:r w:rsidR="0031342C" w:rsidRPr="00DF3EF6">
        <w:rPr>
          <w:noProof/>
        </w:rPr>
        <w:t>odn</w:t>
      </w:r>
      <w:r w:rsidRPr="00DF3EF6">
        <w:rPr>
          <w:noProof/>
        </w:rPr>
        <w:t>iesieniu do których potrzebne jest bardziej szczegółowe wyjaśnienie wymogów.</w:t>
      </w:r>
    </w:p>
    <w:p w14:paraId="78C36AAE" w14:textId="1ABADB6B" w:rsidR="00E25235" w:rsidRPr="00DF3EF6" w:rsidRDefault="00E25235" w:rsidP="00E25235">
      <w:pPr>
        <w:pBdr>
          <w:top w:val="nil"/>
          <w:left w:val="nil"/>
          <w:bottom w:val="nil"/>
          <w:right w:val="nil"/>
          <w:between w:val="nil"/>
          <w:bar w:val="nil"/>
        </w:pBdr>
        <w:spacing w:before="0" w:after="240"/>
        <w:rPr>
          <w:noProof/>
        </w:rPr>
      </w:pPr>
      <w:r w:rsidRPr="00DF3EF6">
        <w:rPr>
          <w:noProof/>
        </w:rPr>
        <w:lastRenderedPageBreak/>
        <w:t>We wniosku utrzymano również obowiązujące wymogi,</w:t>
      </w:r>
      <w:r w:rsidR="0031342C" w:rsidRPr="00DF3EF6">
        <w:rPr>
          <w:noProof/>
        </w:rPr>
        <w:t xml:space="preserve"> w</w:t>
      </w:r>
      <w:r w:rsidR="0031342C">
        <w:rPr>
          <w:noProof/>
        </w:rPr>
        <w:t> </w:t>
      </w:r>
      <w:r w:rsidR="0031342C" w:rsidRPr="00DF3EF6">
        <w:rPr>
          <w:noProof/>
        </w:rPr>
        <w:t>ram</w:t>
      </w:r>
      <w:r w:rsidRPr="00DF3EF6">
        <w:rPr>
          <w:noProof/>
        </w:rPr>
        <w:t>ach których uznaje się specyfikę krajową</w:t>
      </w:r>
      <w:r w:rsidR="0031342C" w:rsidRPr="00DF3EF6">
        <w:rPr>
          <w:noProof/>
        </w:rPr>
        <w:t xml:space="preserve"> i</w:t>
      </w:r>
      <w:r w:rsidR="0031342C">
        <w:rPr>
          <w:noProof/>
        </w:rPr>
        <w:t> </w:t>
      </w:r>
      <w:r w:rsidR="0031342C" w:rsidRPr="00DF3EF6">
        <w:rPr>
          <w:noProof/>
        </w:rPr>
        <w:t>zap</w:t>
      </w:r>
      <w:r w:rsidRPr="00DF3EF6">
        <w:rPr>
          <w:noProof/>
        </w:rPr>
        <w:t>ewnia się proporcjonalne stosowanie przepisów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np. przez wybór wariantów krajowych, możliwość stosowania niższego poziomu docelowego przez określone państwa członkowskie lub możliwość korzystania</w:t>
      </w:r>
      <w:r w:rsidR="0031342C" w:rsidRPr="00DF3EF6">
        <w:rPr>
          <w:noProof/>
        </w:rPr>
        <w:t xml:space="preserve"> z</w:t>
      </w:r>
      <w:r w:rsidR="0031342C">
        <w:rPr>
          <w:noProof/>
        </w:rPr>
        <w:t> </w:t>
      </w:r>
      <w:r w:rsidR="0031342C" w:rsidRPr="00DF3EF6">
        <w:rPr>
          <w:noProof/>
        </w:rPr>
        <w:t>obn</w:t>
      </w:r>
      <w:r w:rsidRPr="00DF3EF6">
        <w:rPr>
          <w:noProof/>
        </w:rPr>
        <w:t>iżonych składek przez członków IPS.</w:t>
      </w:r>
    </w:p>
    <w:p w14:paraId="7BE09B08" w14:textId="77777777" w:rsidR="00E25235" w:rsidRPr="00DF3EF6" w:rsidRDefault="00E25235" w:rsidP="00E25235">
      <w:pPr>
        <w:pStyle w:val="ManualHeading2"/>
        <w:rPr>
          <w:noProof/>
          <w:u w:color="000000"/>
          <w:bdr w:val="nil"/>
        </w:rPr>
      </w:pPr>
      <w:r w:rsidRPr="00DF3EF6">
        <w:rPr>
          <w:noProof/>
          <w:u w:color="000000"/>
          <w:bdr w:val="nil"/>
        </w:rPr>
        <w:t>•</w:t>
      </w:r>
      <w:r w:rsidRPr="00DF3EF6">
        <w:rPr>
          <w:noProof/>
        </w:rPr>
        <w:tab/>
      </w:r>
      <w:r w:rsidRPr="00DF3EF6">
        <w:rPr>
          <w:noProof/>
          <w:u w:color="000000"/>
          <w:bdr w:val="nil"/>
        </w:rPr>
        <w:t>Wybór instrumentu</w:t>
      </w:r>
    </w:p>
    <w:p w14:paraId="72A86BA1" w14:textId="0E3A0123" w:rsidR="00E25235" w:rsidRPr="00DF3EF6" w:rsidRDefault="00E25235" w:rsidP="00E25235">
      <w:pPr>
        <w:pBdr>
          <w:top w:val="nil"/>
          <w:left w:val="nil"/>
          <w:bottom w:val="nil"/>
          <w:right w:val="nil"/>
          <w:between w:val="nil"/>
          <w:bar w:val="nil"/>
        </w:pBdr>
        <w:spacing w:before="0" w:after="240"/>
        <w:rPr>
          <w:noProof/>
        </w:rPr>
      </w:pPr>
      <w:r w:rsidRPr="00DF3EF6">
        <w:rPr>
          <w:noProof/>
        </w:rPr>
        <w:t>Proponuje się wdrożenie środków poprzez zmianę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r w:rsidR="0031342C" w:rsidRPr="00DF3EF6">
        <w:rPr>
          <w:noProof/>
        </w:rPr>
        <w:t xml:space="preserve"> w</w:t>
      </w:r>
      <w:r w:rsidR="0031342C">
        <w:rPr>
          <w:noProof/>
        </w:rPr>
        <w:t> </w:t>
      </w:r>
      <w:r w:rsidR="0031342C" w:rsidRPr="00DF3EF6">
        <w:rPr>
          <w:noProof/>
        </w:rPr>
        <w:t>dro</w:t>
      </w:r>
      <w:r w:rsidRPr="00DF3EF6">
        <w:rPr>
          <w:noProof/>
        </w:rPr>
        <w:t>dze dyrektywy. Proponowane środki odnoszą się do już istniejących przepisów zawartych</w:t>
      </w:r>
      <w:r w:rsidR="0031342C" w:rsidRPr="00DF3EF6">
        <w:rPr>
          <w:noProof/>
        </w:rPr>
        <w:t xml:space="preserve"> w</w:t>
      </w:r>
      <w:r w:rsidR="0031342C">
        <w:rPr>
          <w:noProof/>
        </w:rPr>
        <w:t> </w:t>
      </w:r>
      <w:r w:rsidR="0031342C" w:rsidRPr="00DF3EF6">
        <w:rPr>
          <w:noProof/>
        </w:rPr>
        <w:t>tym</w:t>
      </w:r>
      <w:r w:rsidRPr="00DF3EF6">
        <w:rPr>
          <w:noProof/>
        </w:rPr>
        <w:t xml:space="preserve"> instrumencie prawnym lub rozwijają te przepisy. Ponieważ gwarantowanie depozytów jest ściśle związane</w:t>
      </w:r>
      <w:r w:rsidR="0031342C" w:rsidRPr="00DF3EF6">
        <w:rPr>
          <w:noProof/>
        </w:rPr>
        <w:t xml:space="preserve"> z</w:t>
      </w:r>
      <w:r w:rsidR="0031342C">
        <w:rPr>
          <w:noProof/>
        </w:rPr>
        <w:t> </w:t>
      </w:r>
      <w:r w:rsidR="0031342C" w:rsidRPr="00DF3EF6">
        <w:rPr>
          <w:noProof/>
        </w:rPr>
        <w:t>nie</w:t>
      </w:r>
      <w:r w:rsidRPr="00DF3EF6">
        <w:rPr>
          <w:noProof/>
        </w:rPr>
        <w:t xml:space="preserve">zharmonizowanymi obszarami prawa krajowego, takimi jak prawo dotyczące niewypłacalności, transpozycja jest konieczna, aby możliwie najskuteczniej włączyć proponowane przepisy do prawa krajowego. </w:t>
      </w:r>
    </w:p>
    <w:p w14:paraId="4235E4B7" w14:textId="77777777" w:rsidR="00E25235" w:rsidRPr="00DF3EF6" w:rsidRDefault="00E25235" w:rsidP="00E25235">
      <w:pPr>
        <w:pStyle w:val="ManualHeading1"/>
        <w:rPr>
          <w:noProof/>
        </w:rPr>
      </w:pPr>
      <w:r w:rsidRPr="00DF3EF6">
        <w:rPr>
          <w:noProof/>
        </w:rPr>
        <w:t>3.</w:t>
      </w:r>
      <w:r w:rsidRPr="00DF3EF6">
        <w:rPr>
          <w:noProof/>
        </w:rPr>
        <w:tab/>
        <w:t xml:space="preserve">WYNIKI OCEN </w:t>
      </w:r>
      <w:r w:rsidRPr="00DF3EF6">
        <w:rPr>
          <w:i/>
          <w:noProof/>
        </w:rPr>
        <w:t>EX POST</w:t>
      </w:r>
      <w:r w:rsidRPr="00DF3EF6">
        <w:rPr>
          <w:noProof/>
        </w:rPr>
        <w:t>, KONSULTACJI Z ZAINTERESOWANYMI STRONAMI I OCEN SKUTKÓW</w:t>
      </w:r>
    </w:p>
    <w:p w14:paraId="2894299B" w14:textId="77777777" w:rsidR="00E25235" w:rsidRPr="00DF3EF6" w:rsidRDefault="00E25235" w:rsidP="00E25235">
      <w:pPr>
        <w:pStyle w:val="ManualHeading2"/>
        <w:rPr>
          <w:noProof/>
          <w:u w:color="000000"/>
          <w:bdr w:val="nil"/>
        </w:rPr>
      </w:pPr>
      <w:r w:rsidRPr="00DF3EF6">
        <w:rPr>
          <w:noProof/>
          <w:u w:color="000000"/>
          <w:bdr w:val="nil"/>
        </w:rPr>
        <w:t>•</w:t>
      </w:r>
      <w:r w:rsidRPr="00DF3EF6">
        <w:rPr>
          <w:noProof/>
        </w:rPr>
        <w:tab/>
        <w:t xml:space="preserve">Oceny </w:t>
      </w:r>
      <w:r w:rsidRPr="00DF3EF6">
        <w:rPr>
          <w:i/>
          <w:noProof/>
          <w:u w:color="000000"/>
          <w:bdr w:val="nil"/>
        </w:rPr>
        <w:t>ex post</w:t>
      </w:r>
      <w:r w:rsidRPr="00DF3EF6">
        <w:rPr>
          <w:noProof/>
          <w:u w:color="000000"/>
          <w:bdr w:val="nil"/>
        </w:rPr>
        <w:t>/oceny adekwatności obowiązującego prawodawstwa</w:t>
      </w:r>
    </w:p>
    <w:p w14:paraId="570CF314" w14:textId="53A5C4FD" w:rsidR="00E25235" w:rsidRPr="00DF3EF6" w:rsidRDefault="00E25235" w:rsidP="00E25235">
      <w:pPr>
        <w:rPr>
          <w:noProof/>
        </w:rPr>
      </w:pPr>
      <w:r w:rsidRPr="00DF3EF6">
        <w:rPr>
          <w:noProof/>
        </w:rPr>
        <w:t>Ramy CMDI opracowano, aby zapobiegać przypadkom upadłości instytucji niezależnie od ich wielkości lub modelu biznesowego</w:t>
      </w:r>
      <w:r w:rsidR="0031342C" w:rsidRPr="00DF3EF6">
        <w:rPr>
          <w:noProof/>
        </w:rPr>
        <w:t xml:space="preserve"> i</w:t>
      </w:r>
      <w:r w:rsidR="0031342C">
        <w:rPr>
          <w:noProof/>
        </w:rPr>
        <w:t> </w:t>
      </w:r>
      <w:r w:rsidR="0031342C" w:rsidRPr="00DF3EF6">
        <w:rPr>
          <w:noProof/>
        </w:rPr>
        <w:t>zar</w:t>
      </w:r>
      <w:r w:rsidRPr="00DF3EF6">
        <w:rPr>
          <w:noProof/>
        </w:rPr>
        <w:t>ządzać taką upadłością. Opracowano je</w:t>
      </w:r>
      <w:r w:rsidR="0031342C" w:rsidRPr="00DF3EF6">
        <w:rPr>
          <w:noProof/>
        </w:rPr>
        <w:t xml:space="preserve"> w</w:t>
      </w:r>
      <w:r w:rsidR="0031342C">
        <w:rPr>
          <w:noProof/>
        </w:rPr>
        <w:t> </w:t>
      </w:r>
      <w:r w:rsidR="0031342C" w:rsidRPr="00DF3EF6">
        <w:rPr>
          <w:noProof/>
        </w:rPr>
        <w:t>cel</w:t>
      </w:r>
      <w:r w:rsidRPr="00DF3EF6">
        <w:rPr>
          <w:noProof/>
        </w:rPr>
        <w:t>u utrzymania stabilności finansowej, ochrony deponentów, zminimalizowania wykorzystania wsparcia publicznego, ograniczenia pokusy nadużycia</w:t>
      </w:r>
      <w:r w:rsidR="0031342C" w:rsidRPr="00DF3EF6">
        <w:rPr>
          <w:noProof/>
        </w:rPr>
        <w:t xml:space="preserve"> i</w:t>
      </w:r>
      <w:r w:rsidR="0031342C">
        <w:rPr>
          <w:noProof/>
        </w:rPr>
        <w:t> </w:t>
      </w:r>
      <w:r w:rsidR="0031342C" w:rsidRPr="00DF3EF6">
        <w:rPr>
          <w:noProof/>
        </w:rPr>
        <w:t>pop</w:t>
      </w:r>
      <w:r w:rsidRPr="00DF3EF6">
        <w:rPr>
          <w:noProof/>
        </w:rPr>
        <w:t>rawy funkcjonowania wewnętrznego rynku usług finansowych</w:t>
      </w:r>
      <w:r w:rsidR="0031342C" w:rsidRPr="00DF3EF6">
        <w:rPr>
          <w:noProof/>
        </w:rPr>
        <w:t>. W</w:t>
      </w:r>
      <w:r w:rsidR="0031342C">
        <w:rPr>
          <w:noProof/>
        </w:rPr>
        <w:t> </w:t>
      </w:r>
      <w:r w:rsidR="0031342C" w:rsidRPr="00DF3EF6">
        <w:rPr>
          <w:noProof/>
        </w:rPr>
        <w:t>oce</w:t>
      </w:r>
      <w:r w:rsidRPr="00DF3EF6">
        <w:rPr>
          <w:noProof/>
        </w:rPr>
        <w:t xml:space="preserve">nie stwierdzono, że co do zasady ramy CMDI </w:t>
      </w:r>
      <w:bookmarkStart w:id="3" w:name="_Hlk130493821"/>
      <w:r w:rsidRPr="00DF3EF6">
        <w:rPr>
          <w:noProof/>
        </w:rPr>
        <w:t>należy ulepszyć pod pewnymi względami</w:t>
      </w:r>
      <w:bookmarkEnd w:id="3"/>
      <w:r w:rsidRPr="00DF3EF6">
        <w:rPr>
          <w:noProof/>
        </w:rPr>
        <w:t>.</w:t>
      </w:r>
    </w:p>
    <w:p w14:paraId="26D622F4" w14:textId="5D9D24E0" w:rsidR="00E25235" w:rsidRPr="00DF3EF6" w:rsidRDefault="00E25235" w:rsidP="00E25235">
      <w:pPr>
        <w:rPr>
          <w:noProof/>
        </w:rPr>
      </w:pPr>
      <w:r w:rsidRPr="00DF3EF6">
        <w:rPr>
          <w:noProof/>
        </w:rPr>
        <w:t>W szczególności</w:t>
      </w:r>
      <w:r w:rsidR="0031342C" w:rsidRPr="00DF3EF6">
        <w:rPr>
          <w:noProof/>
        </w:rPr>
        <w:t xml:space="preserve"> z</w:t>
      </w:r>
      <w:r w:rsidR="0031342C">
        <w:rPr>
          <w:noProof/>
        </w:rPr>
        <w:t> </w:t>
      </w:r>
      <w:r w:rsidR="0031342C" w:rsidRPr="00DF3EF6">
        <w:rPr>
          <w:noProof/>
        </w:rPr>
        <w:t>oce</w:t>
      </w:r>
      <w:r w:rsidRPr="00DF3EF6">
        <w:rPr>
          <w:noProof/>
        </w:rPr>
        <w:t>ny wynika, że pewność prawa</w:t>
      </w:r>
      <w:r w:rsidR="0031342C" w:rsidRPr="00DF3EF6">
        <w:rPr>
          <w:noProof/>
        </w:rPr>
        <w:t xml:space="preserve"> i</w:t>
      </w:r>
      <w:r w:rsidR="0031342C">
        <w:rPr>
          <w:noProof/>
        </w:rPr>
        <w:t> </w:t>
      </w:r>
      <w:r w:rsidR="0031342C" w:rsidRPr="00DF3EF6">
        <w:rPr>
          <w:noProof/>
        </w:rPr>
        <w:t>prz</w:t>
      </w:r>
      <w:r w:rsidRPr="00DF3EF6">
        <w:rPr>
          <w:noProof/>
        </w:rPr>
        <w:t>ewidywalność</w:t>
      </w:r>
      <w:r w:rsidR="0031342C" w:rsidRPr="00DF3EF6">
        <w:rPr>
          <w:noProof/>
        </w:rPr>
        <w:t xml:space="preserve"> w</w:t>
      </w:r>
      <w:r w:rsidR="0031342C">
        <w:rPr>
          <w:noProof/>
        </w:rPr>
        <w:t> </w:t>
      </w:r>
      <w:r w:rsidR="0031342C" w:rsidRPr="00DF3EF6">
        <w:rPr>
          <w:noProof/>
        </w:rPr>
        <w:t>zar</w:t>
      </w:r>
      <w:r w:rsidRPr="00DF3EF6">
        <w:rPr>
          <w:noProof/>
        </w:rPr>
        <w:t>ządzaniu przypadkami upadłości banków są nadal niewystarczające. Decyzje organów publicznych dotyczące wszczęcia procedury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lub postępowania upadłościowego mogą się znacznie różnić</w:t>
      </w:r>
      <w:r w:rsidR="0031342C" w:rsidRPr="00DF3EF6">
        <w:rPr>
          <w:noProof/>
        </w:rPr>
        <w:t xml:space="preserve"> w</w:t>
      </w:r>
      <w:r w:rsidR="0031342C">
        <w:rPr>
          <w:noProof/>
        </w:rPr>
        <w:t> </w:t>
      </w:r>
      <w:r w:rsidR="0031342C" w:rsidRPr="00DF3EF6">
        <w:rPr>
          <w:noProof/>
        </w:rPr>
        <w:t>pos</w:t>
      </w:r>
      <w:r w:rsidRPr="00DF3EF6">
        <w:rPr>
          <w:noProof/>
        </w:rPr>
        <w:t>zczególnych państwach członkowskich. Ponadto sieci bezpieczeństwa finansowane przez sektor bankowy nie zawsze są skuteczne</w:t>
      </w:r>
      <w:r w:rsidR="0031342C" w:rsidRPr="00DF3EF6">
        <w:rPr>
          <w:noProof/>
        </w:rPr>
        <w:t xml:space="preserve"> i</w:t>
      </w:r>
      <w:r w:rsidR="0031342C">
        <w:rPr>
          <w:noProof/>
        </w:rPr>
        <w:t> </w:t>
      </w:r>
      <w:r w:rsidR="0031342C" w:rsidRPr="00DF3EF6">
        <w:rPr>
          <w:noProof/>
        </w:rPr>
        <w:t>utr</w:t>
      </w:r>
      <w:r w:rsidRPr="00DF3EF6">
        <w:rPr>
          <w:noProof/>
        </w:rPr>
        <w:t>zymują się rozbieżne warunki dostępu do finansowania</w:t>
      </w:r>
      <w:r w:rsidR="0031342C" w:rsidRPr="00DF3EF6">
        <w:rPr>
          <w:noProof/>
        </w:rPr>
        <w:t xml:space="preserve"> w</w:t>
      </w:r>
      <w:r w:rsidR="0031342C">
        <w:rPr>
          <w:noProof/>
        </w:rPr>
        <w:t> </w:t>
      </w:r>
      <w:r w:rsidR="0031342C" w:rsidRPr="00DF3EF6">
        <w:rPr>
          <w:noProof/>
        </w:rPr>
        <w:t>ram</w:t>
      </w:r>
      <w:r w:rsidRPr="00DF3EF6">
        <w:rPr>
          <w:noProof/>
        </w:rPr>
        <w:t>ach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oraz poza nią. Wpływają one na zachęty</w:t>
      </w:r>
      <w:r w:rsidR="0031342C" w:rsidRPr="00DF3EF6">
        <w:rPr>
          <w:noProof/>
        </w:rPr>
        <w:t xml:space="preserve"> i</w:t>
      </w:r>
      <w:r w:rsidR="0031342C">
        <w:rPr>
          <w:noProof/>
        </w:rPr>
        <w:t> </w:t>
      </w:r>
      <w:r w:rsidR="0031342C" w:rsidRPr="00DF3EF6">
        <w:rPr>
          <w:noProof/>
        </w:rPr>
        <w:t>stw</w:t>
      </w:r>
      <w:r w:rsidRPr="00DF3EF6">
        <w:rPr>
          <w:noProof/>
        </w:rPr>
        <w:t>arzają możliwości arbitrażu przy podejmowaniu decyzji</w:t>
      </w:r>
      <w:r w:rsidR="0031342C" w:rsidRPr="00DF3EF6">
        <w:rPr>
          <w:noProof/>
        </w:rPr>
        <w:t xml:space="preserve"> o</w:t>
      </w:r>
      <w:r w:rsidR="0031342C">
        <w:rPr>
          <w:noProof/>
        </w:rPr>
        <w:t> </w:t>
      </w:r>
      <w:r w:rsidR="0031342C" w:rsidRPr="00DF3EF6">
        <w:rPr>
          <w:noProof/>
        </w:rPr>
        <w:t>wyb</w:t>
      </w:r>
      <w:r w:rsidRPr="00DF3EF6">
        <w:rPr>
          <w:noProof/>
        </w:rPr>
        <w:t>orze instrumentu zarządzania kryzysowego. Ponadto ochrona deponentów nadal jest nierównomierna</w:t>
      </w:r>
      <w:r w:rsidR="0031342C" w:rsidRPr="00DF3EF6">
        <w:rPr>
          <w:noProof/>
        </w:rPr>
        <w:t xml:space="preserve"> i</w:t>
      </w:r>
      <w:r w:rsidR="0031342C">
        <w:rPr>
          <w:noProof/>
        </w:rPr>
        <w:t> </w:t>
      </w:r>
      <w:r w:rsidR="0031342C" w:rsidRPr="00DF3EF6">
        <w:rPr>
          <w:noProof/>
        </w:rPr>
        <w:t>nie</w:t>
      </w:r>
      <w:r w:rsidRPr="00DF3EF6">
        <w:rPr>
          <w:noProof/>
        </w:rPr>
        <w:t>spójna</w:t>
      </w:r>
      <w:r w:rsidR="0031342C" w:rsidRPr="00DF3EF6">
        <w:rPr>
          <w:noProof/>
        </w:rPr>
        <w:t xml:space="preserve"> w</w:t>
      </w:r>
      <w:r w:rsidR="0031342C">
        <w:rPr>
          <w:noProof/>
        </w:rPr>
        <w:t> </w:t>
      </w:r>
      <w:r w:rsidR="0031342C" w:rsidRPr="00DF3EF6">
        <w:rPr>
          <w:noProof/>
        </w:rPr>
        <w:t>pos</w:t>
      </w:r>
      <w:r w:rsidRPr="00DF3EF6">
        <w:rPr>
          <w:noProof/>
        </w:rPr>
        <w:t>zczególnych państwach członkowskich</w:t>
      </w:r>
      <w:r w:rsidR="0031342C" w:rsidRPr="00DF3EF6">
        <w:rPr>
          <w:noProof/>
        </w:rPr>
        <w:t xml:space="preserve"> w</w:t>
      </w:r>
      <w:r w:rsidR="0031342C">
        <w:rPr>
          <w:noProof/>
        </w:rPr>
        <w:t> </w:t>
      </w:r>
      <w:r w:rsidR="0031342C" w:rsidRPr="00DF3EF6">
        <w:rPr>
          <w:noProof/>
        </w:rPr>
        <w:t>wie</w:t>
      </w:r>
      <w:r w:rsidRPr="00DF3EF6">
        <w:rPr>
          <w:noProof/>
        </w:rPr>
        <w:t>lu obszarach.</w:t>
      </w:r>
    </w:p>
    <w:p w14:paraId="0007B892" w14:textId="56130D99" w:rsidR="00E25235" w:rsidRPr="00DF3EF6" w:rsidRDefault="00E25235" w:rsidP="00E25235">
      <w:pPr>
        <w:pStyle w:val="ManualHeading2"/>
        <w:rPr>
          <w:noProof/>
          <w:u w:color="000000"/>
          <w:bdr w:val="nil"/>
        </w:rPr>
      </w:pPr>
      <w:r w:rsidRPr="00DF3EF6">
        <w:rPr>
          <w:noProof/>
          <w:u w:color="000000"/>
          <w:bdr w:val="nil"/>
        </w:rPr>
        <w:t>•</w:t>
      </w:r>
      <w:r w:rsidRPr="00DF3EF6">
        <w:rPr>
          <w:noProof/>
        </w:rPr>
        <w:tab/>
      </w:r>
      <w:r w:rsidRPr="00DF3EF6">
        <w:rPr>
          <w:noProof/>
          <w:u w:color="000000"/>
          <w:bdr w:val="nil"/>
        </w:rPr>
        <w:t>Konsultacje</w:t>
      </w:r>
      <w:r w:rsidR="0031342C" w:rsidRPr="00DF3EF6">
        <w:rPr>
          <w:noProof/>
          <w:u w:color="000000"/>
          <w:bdr w:val="nil"/>
        </w:rPr>
        <w:t xml:space="preserve"> z</w:t>
      </w:r>
      <w:r w:rsidR="0031342C">
        <w:rPr>
          <w:noProof/>
          <w:u w:color="000000"/>
          <w:bdr w:val="nil"/>
        </w:rPr>
        <w:t> </w:t>
      </w:r>
      <w:r w:rsidR="0031342C" w:rsidRPr="00DF3EF6">
        <w:rPr>
          <w:noProof/>
          <w:u w:color="000000"/>
          <w:bdr w:val="nil"/>
        </w:rPr>
        <w:t>zai</w:t>
      </w:r>
      <w:r w:rsidRPr="00DF3EF6">
        <w:rPr>
          <w:noProof/>
          <w:u w:color="000000"/>
          <w:bdr w:val="nil"/>
        </w:rPr>
        <w:t>nteresowanymi stronami</w:t>
      </w:r>
    </w:p>
    <w:p w14:paraId="434068EB" w14:textId="63043E59" w:rsidR="00E25235" w:rsidRPr="00DF3EF6" w:rsidRDefault="00E25235" w:rsidP="00E25235">
      <w:pPr>
        <w:rPr>
          <w:noProof/>
        </w:rPr>
      </w:pPr>
      <w:r w:rsidRPr="00DF3EF6">
        <w:rPr>
          <w:noProof/>
        </w:rPr>
        <w:t>Komisja przeprowadziła szeroko zakrojoną wymianę informacji</w:t>
      </w:r>
      <w:r w:rsidR="0031342C" w:rsidRPr="00DF3EF6">
        <w:rPr>
          <w:noProof/>
        </w:rPr>
        <w:t xml:space="preserve"> w</w:t>
      </w:r>
      <w:r w:rsidR="0031342C">
        <w:rPr>
          <w:noProof/>
        </w:rPr>
        <w:t> </w:t>
      </w:r>
      <w:r w:rsidR="0031342C" w:rsidRPr="00DF3EF6">
        <w:rPr>
          <w:noProof/>
        </w:rPr>
        <w:t>dro</w:t>
      </w:r>
      <w:r w:rsidRPr="00DF3EF6">
        <w:rPr>
          <w:noProof/>
        </w:rPr>
        <w:t>dze różnych narzędzi konsultacji, aby dotrzeć do wszystkich zainteresowanych stron</w:t>
      </w:r>
      <w:r w:rsidR="0031342C" w:rsidRPr="00DF3EF6">
        <w:rPr>
          <w:noProof/>
        </w:rPr>
        <w:t xml:space="preserve"> w</w:t>
      </w:r>
      <w:r w:rsidR="0031342C">
        <w:rPr>
          <w:noProof/>
        </w:rPr>
        <w:t> </w:t>
      </w:r>
      <w:r w:rsidR="0031342C" w:rsidRPr="00DF3EF6">
        <w:rPr>
          <w:noProof/>
        </w:rPr>
        <w:t>cel</w:t>
      </w:r>
      <w:r w:rsidRPr="00DF3EF6">
        <w:rPr>
          <w:noProof/>
        </w:rPr>
        <w:t>u lepszego zrozumienia funkcjonowania ram,</w:t>
      </w:r>
      <w:r w:rsidR="0031342C" w:rsidRPr="00DF3EF6">
        <w:rPr>
          <w:noProof/>
        </w:rPr>
        <w:t xml:space="preserve"> a</w:t>
      </w:r>
      <w:r w:rsidR="0031342C">
        <w:rPr>
          <w:noProof/>
        </w:rPr>
        <w:t> </w:t>
      </w:r>
      <w:r w:rsidR="0031342C" w:rsidRPr="00DF3EF6">
        <w:rPr>
          <w:noProof/>
        </w:rPr>
        <w:t>tak</w:t>
      </w:r>
      <w:r w:rsidRPr="00DF3EF6">
        <w:rPr>
          <w:noProof/>
        </w:rPr>
        <w:t>że możliwego zakresu ulepszeń.</w:t>
      </w:r>
    </w:p>
    <w:p w14:paraId="1905DBD6" w14:textId="3CF21C1C" w:rsidR="00E25235" w:rsidRPr="00DF3EF6" w:rsidRDefault="00E25235" w:rsidP="00E25235">
      <w:pPr>
        <w:rPr>
          <w:noProof/>
        </w:rPr>
      </w:pPr>
      <w:r w:rsidRPr="00DF3EF6">
        <w:rPr>
          <w:noProof/>
        </w:rPr>
        <w:t>W 20</w:t>
      </w:r>
      <w:r w:rsidRPr="0031342C">
        <w:rPr>
          <w:noProof/>
        </w:rPr>
        <w:t>20</w:t>
      </w:r>
      <w:r w:rsidR="0031342C" w:rsidRPr="0031342C">
        <w:rPr>
          <w:noProof/>
        </w:rPr>
        <w:t> </w:t>
      </w:r>
      <w:r w:rsidRPr="0031342C">
        <w:rPr>
          <w:noProof/>
        </w:rPr>
        <w:t>r.</w:t>
      </w:r>
      <w:r w:rsidRPr="00DF3EF6">
        <w:rPr>
          <w:noProof/>
        </w:rPr>
        <w:t xml:space="preserve"> Komisja rozpoczęła konsultacje</w:t>
      </w:r>
      <w:r w:rsidR="0031342C" w:rsidRPr="00DF3EF6">
        <w:rPr>
          <w:noProof/>
        </w:rPr>
        <w:t xml:space="preserve"> w</w:t>
      </w:r>
      <w:r w:rsidR="0031342C">
        <w:rPr>
          <w:noProof/>
        </w:rPr>
        <w:t> </w:t>
      </w:r>
      <w:r w:rsidR="0031342C" w:rsidRPr="00DF3EF6">
        <w:rPr>
          <w:noProof/>
        </w:rPr>
        <w:t>spr</w:t>
      </w:r>
      <w:r w:rsidRPr="00DF3EF6">
        <w:rPr>
          <w:noProof/>
        </w:rPr>
        <w:t>awie połączonej wstępnej oceny skutków</w:t>
      </w:r>
      <w:r w:rsidR="0031342C" w:rsidRPr="00DF3EF6">
        <w:rPr>
          <w:noProof/>
        </w:rPr>
        <w:t xml:space="preserve"> i</w:t>
      </w:r>
      <w:r w:rsidR="0031342C">
        <w:rPr>
          <w:noProof/>
        </w:rPr>
        <w:t> </w:t>
      </w:r>
      <w:r w:rsidR="0031342C" w:rsidRPr="00DF3EF6">
        <w:rPr>
          <w:noProof/>
        </w:rPr>
        <w:t>pla</w:t>
      </w:r>
      <w:r w:rsidRPr="00DF3EF6">
        <w:rPr>
          <w:noProof/>
        </w:rPr>
        <w:t>nu działania mające na celu przedstawienie szczegółowej analizy działań, które należy podjąć na szczeblu UE, oraz potencjalnego wpływu różnych wariantów strategicznych na gospodarkę, społeczeństwo</w:t>
      </w:r>
      <w:r w:rsidR="0031342C" w:rsidRPr="00DF3EF6">
        <w:rPr>
          <w:noProof/>
        </w:rPr>
        <w:t xml:space="preserve"> i</w:t>
      </w:r>
      <w:r w:rsidR="0031342C">
        <w:rPr>
          <w:noProof/>
        </w:rPr>
        <w:t> </w:t>
      </w:r>
      <w:r w:rsidR="0031342C" w:rsidRPr="00DF3EF6">
        <w:rPr>
          <w:noProof/>
        </w:rPr>
        <w:t>śro</w:t>
      </w:r>
      <w:r w:rsidRPr="00DF3EF6">
        <w:rPr>
          <w:noProof/>
        </w:rPr>
        <w:t>dowisko.</w:t>
      </w:r>
    </w:p>
    <w:p w14:paraId="10CF6767" w14:textId="0A08ADFF" w:rsidR="00E25235" w:rsidRPr="00DF3EF6" w:rsidRDefault="00E25235" w:rsidP="00E25235">
      <w:pPr>
        <w:rPr>
          <w:noProof/>
        </w:rPr>
      </w:pPr>
      <w:r w:rsidRPr="00DF3EF6">
        <w:rPr>
          <w:noProof/>
        </w:rPr>
        <w:t>W 20</w:t>
      </w:r>
      <w:r w:rsidRPr="0031342C">
        <w:rPr>
          <w:noProof/>
        </w:rPr>
        <w:t>21</w:t>
      </w:r>
      <w:r w:rsidR="0031342C" w:rsidRPr="0031342C">
        <w:rPr>
          <w:noProof/>
        </w:rPr>
        <w:t> </w:t>
      </w:r>
      <w:r w:rsidRPr="0031342C">
        <w:rPr>
          <w:noProof/>
        </w:rPr>
        <w:t>r.</w:t>
      </w:r>
      <w:r w:rsidRPr="00DF3EF6">
        <w:rPr>
          <w:noProof/>
        </w:rPr>
        <w:t xml:space="preserve"> Komisja przeprowadziła dwie konsultacje: ukierunkowane konsultacje</w:t>
      </w:r>
      <w:r w:rsidR="0031342C" w:rsidRPr="00DF3EF6">
        <w:rPr>
          <w:noProof/>
        </w:rPr>
        <w:t xml:space="preserve"> i</w:t>
      </w:r>
      <w:r w:rsidR="0031342C">
        <w:rPr>
          <w:noProof/>
        </w:rPr>
        <w:t> </w:t>
      </w:r>
      <w:r w:rsidR="0031342C" w:rsidRPr="00DF3EF6">
        <w:rPr>
          <w:noProof/>
        </w:rPr>
        <w:t>kon</w:t>
      </w:r>
      <w:r w:rsidRPr="00DF3EF6">
        <w:rPr>
          <w:noProof/>
        </w:rPr>
        <w:t>sultacje publiczne, aby zebrać informacje zwrotne od zainteresowanych stron na temat sposobu stosowania ram CMDI</w:t>
      </w:r>
      <w:r w:rsidR="0031342C" w:rsidRPr="00DF3EF6">
        <w:rPr>
          <w:noProof/>
        </w:rPr>
        <w:t xml:space="preserve"> i</w:t>
      </w:r>
      <w:r w:rsidR="0031342C">
        <w:rPr>
          <w:noProof/>
        </w:rPr>
        <w:t> </w:t>
      </w:r>
      <w:r w:rsidR="0031342C" w:rsidRPr="00DF3EF6">
        <w:rPr>
          <w:noProof/>
        </w:rPr>
        <w:t>opi</w:t>
      </w:r>
      <w:r w:rsidRPr="00DF3EF6">
        <w:rPr>
          <w:noProof/>
        </w:rPr>
        <w:t>nie na temat możliwych modyfikacji. Ukierunkowane konsultacje, obejmujące 39 ogólnych</w:t>
      </w:r>
      <w:r w:rsidR="0031342C" w:rsidRPr="00DF3EF6">
        <w:rPr>
          <w:noProof/>
        </w:rPr>
        <w:t xml:space="preserve"> i</w:t>
      </w:r>
      <w:r w:rsidR="0031342C">
        <w:rPr>
          <w:noProof/>
        </w:rPr>
        <w:t> </w:t>
      </w:r>
      <w:r w:rsidR="0031342C" w:rsidRPr="00DF3EF6">
        <w:rPr>
          <w:noProof/>
        </w:rPr>
        <w:t>szc</w:t>
      </w:r>
      <w:r w:rsidRPr="00DF3EF6">
        <w:rPr>
          <w:noProof/>
        </w:rPr>
        <w:t>zegółowych pytań technicznych, były dostępne wyłącznie</w:t>
      </w:r>
      <w:r w:rsidR="0031342C" w:rsidRPr="00DF3EF6">
        <w:rPr>
          <w:noProof/>
        </w:rPr>
        <w:t xml:space="preserve"> w</w:t>
      </w:r>
      <w:r w:rsidR="0031342C">
        <w:rPr>
          <w:noProof/>
        </w:rPr>
        <w:t> </w:t>
      </w:r>
      <w:r w:rsidR="0031342C" w:rsidRPr="00DF3EF6">
        <w:rPr>
          <w:noProof/>
        </w:rPr>
        <w:t>jęz</w:t>
      </w:r>
      <w:r w:rsidRPr="00DF3EF6">
        <w:rPr>
          <w:noProof/>
        </w:rPr>
        <w:t>yku angielskim</w:t>
      </w:r>
      <w:r w:rsidR="0031342C" w:rsidRPr="00DF3EF6">
        <w:rPr>
          <w:noProof/>
        </w:rPr>
        <w:t xml:space="preserve"> i</w:t>
      </w:r>
      <w:r w:rsidR="0031342C">
        <w:rPr>
          <w:noProof/>
        </w:rPr>
        <w:t> </w:t>
      </w:r>
      <w:r w:rsidR="0031342C" w:rsidRPr="00DF3EF6">
        <w:rPr>
          <w:noProof/>
        </w:rPr>
        <w:t>trw</w:t>
      </w:r>
      <w:r w:rsidRPr="00DF3EF6">
        <w:rPr>
          <w:noProof/>
        </w:rPr>
        <w:t xml:space="preserve">ały </w:t>
      </w:r>
      <w:r w:rsidRPr="0031342C">
        <w:rPr>
          <w:noProof/>
        </w:rPr>
        <w:t>od</w:t>
      </w:r>
      <w:r w:rsidR="0031342C" w:rsidRPr="0031342C">
        <w:rPr>
          <w:noProof/>
        </w:rPr>
        <w:t> </w:t>
      </w:r>
      <w:r w:rsidRPr="0031342C">
        <w:rPr>
          <w:noProof/>
        </w:rPr>
        <w:t>2</w:t>
      </w:r>
      <w:r w:rsidRPr="00DF3EF6">
        <w:rPr>
          <w:noProof/>
        </w:rPr>
        <w:t xml:space="preserve">6 stycznia </w:t>
      </w:r>
      <w:r w:rsidRPr="0031342C">
        <w:rPr>
          <w:noProof/>
        </w:rPr>
        <w:t>do</w:t>
      </w:r>
      <w:r w:rsidR="0031342C" w:rsidRPr="0031342C">
        <w:rPr>
          <w:noProof/>
        </w:rPr>
        <w:t> </w:t>
      </w:r>
      <w:r w:rsidRPr="0031342C">
        <w:rPr>
          <w:noProof/>
        </w:rPr>
        <w:t>2</w:t>
      </w:r>
      <w:r w:rsidRPr="00DF3EF6">
        <w:rPr>
          <w:noProof/>
        </w:rPr>
        <w:t>0 kwietnia 20</w:t>
      </w:r>
      <w:r w:rsidRPr="0031342C">
        <w:rPr>
          <w:noProof/>
        </w:rPr>
        <w:t>21</w:t>
      </w:r>
      <w:r w:rsidR="0031342C" w:rsidRPr="0031342C">
        <w:rPr>
          <w:noProof/>
        </w:rPr>
        <w:t> </w:t>
      </w:r>
      <w:r w:rsidRPr="0031342C">
        <w:rPr>
          <w:noProof/>
        </w:rPr>
        <w:t>r.</w:t>
      </w:r>
      <w:r w:rsidRPr="00DF3EF6">
        <w:rPr>
          <w:noProof/>
        </w:rPr>
        <w:t xml:space="preserve"> Konsultacje publiczne składały się</w:t>
      </w:r>
      <w:r w:rsidR="0031342C" w:rsidRPr="00DF3EF6">
        <w:rPr>
          <w:noProof/>
        </w:rPr>
        <w:t xml:space="preserve"> z</w:t>
      </w:r>
      <w:r w:rsidR="0031342C">
        <w:rPr>
          <w:noProof/>
        </w:rPr>
        <w:t> </w:t>
      </w:r>
      <w:r w:rsidR="0031342C" w:rsidRPr="00DF3EF6">
        <w:rPr>
          <w:noProof/>
        </w:rPr>
        <w:t>1</w:t>
      </w:r>
      <w:r w:rsidRPr="00DF3EF6">
        <w:rPr>
          <w:noProof/>
        </w:rPr>
        <w:t>0 pytań ogólnych, dostępnych we wszystkich językach UE</w:t>
      </w:r>
      <w:r w:rsidR="0031342C" w:rsidRPr="00DF3EF6">
        <w:rPr>
          <w:noProof/>
        </w:rPr>
        <w:t xml:space="preserve"> i</w:t>
      </w:r>
      <w:r w:rsidR="0031342C">
        <w:rPr>
          <w:noProof/>
        </w:rPr>
        <w:t> </w:t>
      </w:r>
      <w:r w:rsidR="0031342C" w:rsidRPr="00DF3EF6">
        <w:rPr>
          <w:noProof/>
        </w:rPr>
        <w:t>trw</w:t>
      </w:r>
      <w:r w:rsidRPr="00DF3EF6">
        <w:rPr>
          <w:noProof/>
        </w:rPr>
        <w:t xml:space="preserve">ały </w:t>
      </w:r>
      <w:r w:rsidRPr="0031342C">
        <w:rPr>
          <w:noProof/>
        </w:rPr>
        <w:lastRenderedPageBreak/>
        <w:t>od</w:t>
      </w:r>
      <w:r w:rsidR="0031342C" w:rsidRPr="0031342C">
        <w:rPr>
          <w:noProof/>
        </w:rPr>
        <w:t> </w:t>
      </w:r>
      <w:r w:rsidRPr="0031342C">
        <w:rPr>
          <w:noProof/>
        </w:rPr>
        <w:t>2</w:t>
      </w:r>
      <w:r w:rsidRPr="00DF3EF6">
        <w:rPr>
          <w:noProof/>
        </w:rPr>
        <w:t xml:space="preserve">5 lutego </w:t>
      </w:r>
      <w:r w:rsidRPr="0031342C">
        <w:rPr>
          <w:noProof/>
        </w:rPr>
        <w:t>do</w:t>
      </w:r>
      <w:r w:rsidR="0031342C" w:rsidRPr="0031342C">
        <w:rPr>
          <w:noProof/>
        </w:rPr>
        <w:t> </w:t>
      </w:r>
      <w:r w:rsidRPr="0031342C">
        <w:rPr>
          <w:noProof/>
        </w:rPr>
        <w:t>2</w:t>
      </w:r>
      <w:r w:rsidRPr="00DF3EF6">
        <w:rPr>
          <w:noProof/>
        </w:rPr>
        <w:t>0 maja 20</w:t>
      </w:r>
      <w:r w:rsidRPr="0031342C">
        <w:rPr>
          <w:noProof/>
        </w:rPr>
        <w:t>21</w:t>
      </w:r>
      <w:r w:rsidR="0031342C" w:rsidRPr="0031342C">
        <w:rPr>
          <w:noProof/>
        </w:rPr>
        <w:t> </w:t>
      </w:r>
      <w:r w:rsidRPr="0031342C">
        <w:rPr>
          <w:noProof/>
        </w:rPr>
        <w:t>r.</w:t>
      </w:r>
      <w:r w:rsidRPr="00DF3EF6">
        <w:rPr>
          <w:noProof/>
        </w:rPr>
        <w:t xml:space="preserve"> Sprawozdanie podsumowujące dotyczące informacji zwrotnych uzyskanych</w:t>
      </w:r>
      <w:r w:rsidR="0031342C" w:rsidRPr="00DF3EF6">
        <w:rPr>
          <w:noProof/>
        </w:rPr>
        <w:t xml:space="preserve"> w</w:t>
      </w:r>
      <w:r w:rsidR="0031342C">
        <w:rPr>
          <w:noProof/>
        </w:rPr>
        <w:t> </w:t>
      </w:r>
      <w:r w:rsidR="0031342C" w:rsidRPr="00DF3EF6">
        <w:rPr>
          <w:noProof/>
        </w:rPr>
        <w:t>wyn</w:t>
      </w:r>
      <w:r w:rsidRPr="00DF3EF6">
        <w:rPr>
          <w:noProof/>
        </w:rPr>
        <w:t>iku tych konsultacji opublikowano 7 lipca 20</w:t>
      </w:r>
      <w:r w:rsidRPr="0031342C">
        <w:rPr>
          <w:noProof/>
        </w:rPr>
        <w:t>21</w:t>
      </w:r>
      <w:r w:rsidR="0031342C" w:rsidRPr="0031342C">
        <w:rPr>
          <w:noProof/>
        </w:rPr>
        <w:t> </w:t>
      </w:r>
      <w:r w:rsidRPr="0031342C">
        <w:rPr>
          <w:noProof/>
        </w:rPr>
        <w:t>r.</w:t>
      </w:r>
      <w:r w:rsidRPr="00DF3EF6">
        <w:rPr>
          <w:rStyle w:val="FootnoteReference"/>
          <w:noProof/>
        </w:rPr>
        <w:footnoteReference w:id="21"/>
      </w:r>
      <w:r w:rsidRPr="00DF3EF6">
        <w:rPr>
          <w:noProof/>
        </w:rPr>
        <w:t xml:space="preserve"> Z konsultacji wynika, że większość respondentów uważa, iż depozyty organów publicznych,</w:t>
      </w:r>
      <w:r w:rsidR="0031342C" w:rsidRPr="00DF3EF6">
        <w:rPr>
          <w:noProof/>
        </w:rPr>
        <w:t xml:space="preserve"> w</w:t>
      </w:r>
      <w:r w:rsidR="0031342C">
        <w:rPr>
          <w:noProof/>
        </w:rPr>
        <w:t> </w:t>
      </w:r>
      <w:r w:rsidR="0031342C" w:rsidRPr="00DF3EF6">
        <w:rPr>
          <w:noProof/>
        </w:rPr>
        <w:t>tym</w:t>
      </w:r>
      <w:r w:rsidRPr="00DF3EF6">
        <w:rPr>
          <w:noProof/>
        </w:rPr>
        <w:t xml:space="preserve"> władz lokalnych, powinny być również chronione przez system gwarancji depozytów. Większość banków</w:t>
      </w:r>
      <w:r w:rsidR="0031342C" w:rsidRPr="00DF3EF6">
        <w:rPr>
          <w:noProof/>
        </w:rPr>
        <w:t xml:space="preserve"> i</w:t>
      </w:r>
      <w:r w:rsidR="0031342C">
        <w:rPr>
          <w:noProof/>
        </w:rPr>
        <w:t> </w:t>
      </w:r>
      <w:r w:rsidR="0031342C" w:rsidRPr="00DF3EF6">
        <w:rPr>
          <w:noProof/>
        </w:rPr>
        <w:t>prz</w:t>
      </w:r>
      <w:r w:rsidRPr="00DF3EF6">
        <w:rPr>
          <w:noProof/>
        </w:rPr>
        <w:t>edstawicieli systemów gwarancji depozytów uznała, że obecny proces regularnego ujawniania informacji jest wystarczający</w:t>
      </w:r>
      <w:r w:rsidR="0031342C" w:rsidRPr="00DF3EF6">
        <w:rPr>
          <w:noProof/>
        </w:rPr>
        <w:t xml:space="preserve"> i</w:t>
      </w:r>
      <w:r w:rsidR="0031342C">
        <w:rPr>
          <w:noProof/>
        </w:rPr>
        <w:t> </w:t>
      </w:r>
      <w:r w:rsidR="0031342C" w:rsidRPr="00DF3EF6">
        <w:rPr>
          <w:noProof/>
        </w:rPr>
        <w:t>nie</w:t>
      </w:r>
      <w:r w:rsidRPr="00DF3EF6">
        <w:rPr>
          <w:noProof/>
        </w:rPr>
        <w:t xml:space="preserve"> są potrzebne żadne zmiany. Komunikację cyfrową często uważano za najbardziej odpowiedni sposób na obniżenie kosztów.</w:t>
      </w:r>
    </w:p>
    <w:p w14:paraId="7FBE98E8" w14:textId="04380F1C" w:rsidR="00E25235" w:rsidRPr="00DF3EF6" w:rsidRDefault="00E25235" w:rsidP="00E25235">
      <w:pPr>
        <w:pBdr>
          <w:top w:val="nil"/>
          <w:left w:val="nil"/>
          <w:bottom w:val="nil"/>
          <w:right w:val="nil"/>
          <w:between w:val="nil"/>
          <w:bar w:val="nil"/>
        </w:pBdr>
        <w:spacing w:before="0" w:after="240"/>
        <w:rPr>
          <w:noProof/>
        </w:rPr>
      </w:pPr>
      <w:r w:rsidRPr="00DF3EF6">
        <w:rPr>
          <w:noProof/>
        </w:rPr>
        <w:t>Ponadto 18 marca 20</w:t>
      </w:r>
      <w:r w:rsidRPr="0031342C">
        <w:rPr>
          <w:noProof/>
        </w:rPr>
        <w:t>21</w:t>
      </w:r>
      <w:r w:rsidR="0031342C" w:rsidRPr="0031342C">
        <w:rPr>
          <w:noProof/>
        </w:rPr>
        <w:t> </w:t>
      </w:r>
      <w:r w:rsidRPr="0031342C">
        <w:rPr>
          <w:noProof/>
        </w:rPr>
        <w:t>r.</w:t>
      </w:r>
      <w:r w:rsidRPr="00DF3EF6">
        <w:rPr>
          <w:noProof/>
        </w:rPr>
        <w:t xml:space="preserve"> Komisja zorganizowała konferencję wysokiego szczebla,</w:t>
      </w:r>
      <w:r w:rsidR="0031342C" w:rsidRPr="00DF3EF6">
        <w:rPr>
          <w:noProof/>
        </w:rPr>
        <w:t xml:space="preserve"> w</w:t>
      </w:r>
      <w:r w:rsidR="0031342C">
        <w:rPr>
          <w:noProof/>
        </w:rPr>
        <w:t> </w:t>
      </w:r>
      <w:r w:rsidR="0031342C" w:rsidRPr="00DF3EF6">
        <w:rPr>
          <w:noProof/>
        </w:rPr>
        <w:t>któ</w:t>
      </w:r>
      <w:r w:rsidRPr="00DF3EF6">
        <w:rPr>
          <w:noProof/>
        </w:rPr>
        <w:t>rej wzięli udział przedstawiciele wszystkich zainteresowanych stron. Na konferencji potwierdzono znaczenie skutecznych ram, ale także podkreślono ich obecne słabości. Uczestnicy konferencji zauważyli, że dalsza harmonizacja</w:t>
      </w:r>
      <w:r w:rsidR="0031342C" w:rsidRPr="00DF3EF6">
        <w:rPr>
          <w:noProof/>
        </w:rPr>
        <w:t xml:space="preserve"> i</w:t>
      </w:r>
      <w:r w:rsidR="0031342C">
        <w:rPr>
          <w:noProof/>
        </w:rPr>
        <w:t> </w:t>
      </w:r>
      <w:r w:rsidR="0031342C" w:rsidRPr="00DF3EF6">
        <w:rPr>
          <w:noProof/>
        </w:rPr>
        <w:t>wię</w:t>
      </w:r>
      <w:r w:rsidRPr="00DF3EF6">
        <w:rPr>
          <w:noProof/>
        </w:rPr>
        <w:t>ksza współzależność</w:t>
      </w:r>
      <w:r w:rsidR="0031342C" w:rsidRPr="00DF3EF6">
        <w:rPr>
          <w:noProof/>
        </w:rPr>
        <w:t xml:space="preserve"> z</w:t>
      </w:r>
      <w:r w:rsidR="0031342C">
        <w:rPr>
          <w:noProof/>
        </w:rPr>
        <w:t> </w:t>
      </w:r>
      <w:r w:rsidR="0031342C" w:rsidRPr="00DF3EF6">
        <w:rPr>
          <w:noProof/>
        </w:rPr>
        <w:t>prz</w:t>
      </w:r>
      <w:r w:rsidRPr="00DF3EF6">
        <w:rPr>
          <w:noProof/>
        </w:rPr>
        <w:t>episami określonymi</w:t>
      </w:r>
      <w:r w:rsidR="0031342C" w:rsidRPr="00DF3EF6">
        <w:rPr>
          <w:noProof/>
        </w:rPr>
        <w:t xml:space="preserve">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przeciwdziałania praniu pieniędzy, dyrektywie</w:t>
      </w:r>
      <w:r w:rsidR="0031342C" w:rsidRPr="00DF3EF6">
        <w:rPr>
          <w:noProof/>
        </w:rPr>
        <w:t xml:space="preserve"> w</w:t>
      </w:r>
      <w:r w:rsidR="0031342C">
        <w:rPr>
          <w:noProof/>
        </w:rPr>
        <w:t> </w:t>
      </w:r>
      <w:r w:rsidR="0031342C" w:rsidRPr="00DF3EF6">
        <w:rPr>
          <w:noProof/>
        </w:rPr>
        <w:t>spr</w:t>
      </w:r>
      <w:r w:rsidRPr="00DF3EF6">
        <w:rPr>
          <w:noProof/>
        </w:rPr>
        <w:t>awie usług płatniczych</w:t>
      </w:r>
      <w:r w:rsidR="0031342C" w:rsidRPr="00DF3EF6">
        <w:rPr>
          <w:noProof/>
        </w:rPr>
        <w:t xml:space="preserve"> i</w:t>
      </w:r>
      <w:r w:rsidR="0031342C">
        <w:rPr>
          <w:noProof/>
        </w:rPr>
        <w:t> </w:t>
      </w:r>
      <w:r w:rsidR="0031342C" w:rsidRPr="00DF3EF6">
        <w:rPr>
          <w:noProof/>
        </w:rPr>
        <w:t>zas</w:t>
      </w:r>
      <w:r w:rsidRPr="00DF3EF6">
        <w:rPr>
          <w:noProof/>
        </w:rPr>
        <w:t>adach pomocy państwa będą korzystne dla ram określonych</w:t>
      </w:r>
      <w:r w:rsidR="0031342C" w:rsidRPr="00DF3EF6">
        <w:rPr>
          <w:noProof/>
        </w:rPr>
        <w:t xml:space="preserve">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systemów gwarancji depozytów. Pewność</w:t>
      </w:r>
      <w:r w:rsidR="0031342C" w:rsidRPr="00DF3EF6">
        <w:rPr>
          <w:noProof/>
        </w:rPr>
        <w:t xml:space="preserve"> i</w:t>
      </w:r>
      <w:r w:rsidR="0031342C">
        <w:rPr>
          <w:noProof/>
        </w:rPr>
        <w:t> </w:t>
      </w:r>
      <w:r w:rsidR="0031342C" w:rsidRPr="00DF3EF6">
        <w:rPr>
          <w:noProof/>
        </w:rPr>
        <w:t>zau</w:t>
      </w:r>
      <w:r w:rsidRPr="00DF3EF6">
        <w:rPr>
          <w:noProof/>
        </w:rPr>
        <w:t>fanie konsumentów powinny również znaleźć odzwierciedlenie</w:t>
      </w:r>
      <w:r w:rsidR="0031342C" w:rsidRPr="00DF3EF6">
        <w:rPr>
          <w:noProof/>
        </w:rPr>
        <w:t xml:space="preserve"> w</w:t>
      </w:r>
      <w:r w:rsidR="0031342C">
        <w:rPr>
          <w:noProof/>
        </w:rPr>
        <w:t> </w:t>
      </w:r>
      <w:r w:rsidR="0031342C" w:rsidRPr="00DF3EF6">
        <w:rPr>
          <w:noProof/>
        </w:rPr>
        <w:t>prz</w:t>
      </w:r>
      <w:r w:rsidRPr="00DF3EF6">
        <w:rPr>
          <w:noProof/>
        </w:rPr>
        <w:t>eglądzie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podobnie jak sytuacja na mniejszych rynkach.</w:t>
      </w:r>
    </w:p>
    <w:p w14:paraId="4DFCE8DA" w14:textId="7EF60C12" w:rsidR="00E25235" w:rsidRPr="00DF3EF6" w:rsidRDefault="00E25235" w:rsidP="00E25235">
      <w:pPr>
        <w:rPr>
          <w:noProof/>
        </w:rPr>
      </w:pPr>
      <w:r w:rsidRPr="00DF3EF6">
        <w:rPr>
          <w:noProof/>
        </w:rPr>
        <w:t>Ponadto służby Komisji wielokrotnie przeprowadzały konsultacje</w:t>
      </w:r>
      <w:r w:rsidR="0031342C" w:rsidRPr="00DF3EF6">
        <w:rPr>
          <w:noProof/>
        </w:rPr>
        <w:t xml:space="preserve"> z</w:t>
      </w:r>
      <w:r w:rsidR="0031342C">
        <w:rPr>
          <w:noProof/>
        </w:rPr>
        <w:t> </w:t>
      </w:r>
      <w:r w:rsidR="0031342C" w:rsidRPr="00DF3EF6">
        <w:rPr>
          <w:noProof/>
        </w:rPr>
        <w:t>pań</w:t>
      </w:r>
      <w:r w:rsidRPr="00DF3EF6">
        <w:rPr>
          <w:noProof/>
        </w:rPr>
        <w:t>stwami członkowskimi</w:t>
      </w:r>
      <w:r w:rsidR="0031342C" w:rsidRPr="00DF3EF6">
        <w:rPr>
          <w:noProof/>
        </w:rPr>
        <w:t xml:space="preserve"> w</w:t>
      </w:r>
      <w:r w:rsidR="0031342C">
        <w:rPr>
          <w:noProof/>
        </w:rPr>
        <w:t> </w:t>
      </w:r>
      <w:r w:rsidR="0031342C" w:rsidRPr="00DF3EF6">
        <w:rPr>
          <w:noProof/>
        </w:rPr>
        <w:t>spr</w:t>
      </w:r>
      <w:r w:rsidRPr="00DF3EF6">
        <w:rPr>
          <w:noProof/>
        </w:rPr>
        <w:t>awie wdrożenia przez UE ram CMDI oraz ewentualnych przeglądów dyrektywy</w:t>
      </w:r>
      <w:r w:rsidR="0031342C" w:rsidRPr="00DF3EF6">
        <w:rPr>
          <w:noProof/>
        </w:rPr>
        <w:t xml:space="preserve"> w</w:t>
      </w:r>
      <w:r w:rsidR="0031342C">
        <w:rPr>
          <w:noProof/>
        </w:rPr>
        <w:t> </w:t>
      </w:r>
      <w:r w:rsidR="0031342C" w:rsidRPr="00DF3EF6">
        <w:rPr>
          <w:noProof/>
        </w:rPr>
        <w:t>spr</w:t>
      </w:r>
      <w:r w:rsidRPr="00DF3EF6">
        <w:rPr>
          <w:noProof/>
        </w:rPr>
        <w:t>awie naprawy oraz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banków/rozporządzenia SRMR oraz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r w:rsidR="0031342C" w:rsidRPr="00DF3EF6">
        <w:rPr>
          <w:noProof/>
        </w:rPr>
        <w:t xml:space="preserve"> w</w:t>
      </w:r>
      <w:r w:rsidR="0031342C">
        <w:rPr>
          <w:noProof/>
        </w:rPr>
        <w:t> </w:t>
      </w:r>
      <w:r w:rsidR="0031342C" w:rsidRPr="00DF3EF6">
        <w:rPr>
          <w:noProof/>
        </w:rPr>
        <w:t>kon</w:t>
      </w:r>
      <w:r w:rsidRPr="00DF3EF6">
        <w:rPr>
          <w:noProof/>
        </w:rPr>
        <w:t>tekście Grupy Ekspertów ds. Bankowości, Płatności</w:t>
      </w:r>
      <w:r w:rsidR="0031342C" w:rsidRPr="00DF3EF6">
        <w:rPr>
          <w:noProof/>
        </w:rPr>
        <w:t xml:space="preserve"> i</w:t>
      </w:r>
      <w:r w:rsidR="0031342C">
        <w:rPr>
          <w:noProof/>
        </w:rPr>
        <w:t> </w:t>
      </w:r>
      <w:r w:rsidR="0031342C" w:rsidRPr="00DF3EF6">
        <w:rPr>
          <w:noProof/>
        </w:rPr>
        <w:t>Ube</w:t>
      </w:r>
      <w:r w:rsidRPr="00DF3EF6">
        <w:rPr>
          <w:noProof/>
        </w:rPr>
        <w:t>zpieczeń. Równolegle</w:t>
      </w:r>
      <w:r w:rsidR="0031342C" w:rsidRPr="00DF3EF6">
        <w:rPr>
          <w:noProof/>
        </w:rPr>
        <w:t xml:space="preserve"> z</w:t>
      </w:r>
      <w:r w:rsidR="0031342C">
        <w:rPr>
          <w:noProof/>
        </w:rPr>
        <w:t> </w:t>
      </w:r>
      <w:r w:rsidR="0031342C" w:rsidRPr="00DF3EF6">
        <w:rPr>
          <w:noProof/>
        </w:rPr>
        <w:t>dys</w:t>
      </w:r>
      <w:r w:rsidRPr="00DF3EF6">
        <w:rPr>
          <w:noProof/>
        </w:rPr>
        <w:t>kusjami</w:t>
      </w:r>
      <w:r w:rsidR="0031342C" w:rsidRPr="00DF3EF6">
        <w:rPr>
          <w:noProof/>
        </w:rPr>
        <w:t xml:space="preserve"> w</w:t>
      </w:r>
      <w:r w:rsidR="0031342C">
        <w:rPr>
          <w:noProof/>
        </w:rPr>
        <w:t> </w:t>
      </w:r>
      <w:r w:rsidR="0031342C" w:rsidRPr="00DF3EF6">
        <w:rPr>
          <w:noProof/>
        </w:rPr>
        <w:t>gru</w:t>
      </w:r>
      <w:r w:rsidRPr="00DF3EF6">
        <w:rPr>
          <w:noProof/>
        </w:rPr>
        <w:t>pie ekspertów kwestie poruszone</w:t>
      </w:r>
      <w:r w:rsidR="0031342C" w:rsidRPr="00DF3EF6">
        <w:rPr>
          <w:noProof/>
        </w:rPr>
        <w:t xml:space="preserve"> w</w:t>
      </w:r>
      <w:r w:rsidR="0031342C">
        <w:rPr>
          <w:noProof/>
        </w:rPr>
        <w:t> </w:t>
      </w:r>
      <w:r w:rsidR="0031342C" w:rsidRPr="00DF3EF6">
        <w:rPr>
          <w:noProof/>
        </w:rPr>
        <w:t>nin</w:t>
      </w:r>
      <w:r w:rsidRPr="00DF3EF6">
        <w:rPr>
          <w:noProof/>
        </w:rPr>
        <w:t>iejszym wniosku były również przedmiotem posiedzeń organów przygotowawczych Rady,</w:t>
      </w:r>
      <w:r w:rsidR="0031342C" w:rsidRPr="00DF3EF6">
        <w:rPr>
          <w:noProof/>
        </w:rPr>
        <w:t xml:space="preserve"> a</w:t>
      </w:r>
      <w:r w:rsidR="0031342C">
        <w:rPr>
          <w:noProof/>
        </w:rPr>
        <w:t> </w:t>
      </w:r>
      <w:r w:rsidR="0031342C" w:rsidRPr="00DF3EF6">
        <w:rPr>
          <w:noProof/>
        </w:rPr>
        <w:t>mia</w:t>
      </w:r>
      <w:r w:rsidRPr="00DF3EF6">
        <w:rPr>
          <w:noProof/>
        </w:rPr>
        <w:t>nowicie Grupy Roboczej Rady ds. Usług Finansowych</w:t>
      </w:r>
      <w:r w:rsidR="0031342C" w:rsidRPr="00DF3EF6">
        <w:rPr>
          <w:noProof/>
        </w:rPr>
        <w:t xml:space="preserve"> i</w:t>
      </w:r>
      <w:r w:rsidR="0031342C">
        <w:rPr>
          <w:noProof/>
        </w:rPr>
        <w:t> </w:t>
      </w:r>
      <w:r w:rsidR="0031342C" w:rsidRPr="00DF3EF6">
        <w:rPr>
          <w:noProof/>
        </w:rPr>
        <w:t>Uni</w:t>
      </w:r>
      <w:r w:rsidRPr="00DF3EF6">
        <w:rPr>
          <w:noProof/>
        </w:rPr>
        <w:t>i Bankowej oraz grupy roboczej wysokiego szczebla ds. EDIS.</w:t>
      </w:r>
    </w:p>
    <w:p w14:paraId="7A7DD4AC" w14:textId="0B0B30DA" w:rsidR="00E25235" w:rsidRPr="00DF3EF6" w:rsidRDefault="00E25235" w:rsidP="00E25235">
      <w:pPr>
        <w:rPr>
          <w:noProof/>
        </w:rPr>
      </w:pPr>
      <w:r w:rsidRPr="00DF3EF6">
        <w:rPr>
          <w:noProof/>
        </w:rPr>
        <w:t>Ponadto na etapie przygotowywania prawodawstwa służby Komisji odbyły również szereg spotkań (fizycznych</w:t>
      </w:r>
      <w:r w:rsidR="0031342C" w:rsidRPr="00DF3EF6">
        <w:rPr>
          <w:noProof/>
        </w:rPr>
        <w:t xml:space="preserve"> i</w:t>
      </w:r>
      <w:r w:rsidR="0031342C">
        <w:rPr>
          <w:noProof/>
        </w:rPr>
        <w:t> </w:t>
      </w:r>
      <w:r w:rsidR="0031342C" w:rsidRPr="00DF3EF6">
        <w:rPr>
          <w:noProof/>
        </w:rPr>
        <w:t>wir</w:t>
      </w:r>
      <w:r w:rsidRPr="00DF3EF6">
        <w:rPr>
          <w:noProof/>
        </w:rPr>
        <w:t>tualnych)</w:t>
      </w:r>
      <w:r w:rsidR="0031342C" w:rsidRPr="00DF3EF6">
        <w:rPr>
          <w:noProof/>
        </w:rPr>
        <w:t xml:space="preserve"> z</w:t>
      </w:r>
      <w:r w:rsidR="0031342C">
        <w:rPr>
          <w:noProof/>
        </w:rPr>
        <w:t> </w:t>
      </w:r>
      <w:r w:rsidR="0031342C" w:rsidRPr="00DF3EF6">
        <w:rPr>
          <w:noProof/>
        </w:rPr>
        <w:t>prz</w:t>
      </w:r>
      <w:r w:rsidRPr="00DF3EF6">
        <w:rPr>
          <w:noProof/>
        </w:rPr>
        <w:t>edstawicielami sektora bankowego,</w:t>
      </w:r>
      <w:r w:rsidR="0031342C" w:rsidRPr="00DF3EF6">
        <w:rPr>
          <w:noProof/>
        </w:rPr>
        <w:t xml:space="preserve"> a</w:t>
      </w:r>
      <w:r w:rsidR="0031342C">
        <w:rPr>
          <w:noProof/>
        </w:rPr>
        <w:t> </w:t>
      </w:r>
      <w:r w:rsidR="0031342C" w:rsidRPr="00DF3EF6">
        <w:rPr>
          <w:noProof/>
        </w:rPr>
        <w:t>tak</w:t>
      </w:r>
      <w:r w:rsidRPr="00DF3EF6">
        <w:rPr>
          <w:noProof/>
        </w:rPr>
        <w:t>że</w:t>
      </w:r>
      <w:r w:rsidR="0031342C" w:rsidRPr="00DF3EF6">
        <w:rPr>
          <w:noProof/>
        </w:rPr>
        <w:t xml:space="preserve"> z</w:t>
      </w:r>
      <w:r w:rsidR="0031342C">
        <w:rPr>
          <w:noProof/>
        </w:rPr>
        <w:t> </w:t>
      </w:r>
      <w:r w:rsidR="0031342C" w:rsidRPr="00DF3EF6">
        <w:rPr>
          <w:noProof/>
        </w:rPr>
        <w:t>inn</w:t>
      </w:r>
      <w:r w:rsidRPr="00DF3EF6">
        <w:rPr>
          <w:noProof/>
        </w:rPr>
        <w:t>ymi zainteresowanymi stronami.</w:t>
      </w:r>
    </w:p>
    <w:p w14:paraId="4854D6C0" w14:textId="344F39CE" w:rsidR="00E25235" w:rsidRPr="00DF3EF6" w:rsidRDefault="00E25235" w:rsidP="00E25235">
      <w:pPr>
        <w:pBdr>
          <w:top w:val="nil"/>
          <w:left w:val="nil"/>
          <w:bottom w:val="nil"/>
          <w:right w:val="nil"/>
          <w:between w:val="nil"/>
          <w:bar w:val="nil"/>
        </w:pBdr>
        <w:spacing w:before="0" w:after="240"/>
        <w:rPr>
          <w:noProof/>
        </w:rPr>
      </w:pPr>
      <w:r w:rsidRPr="00DF3EF6">
        <w:rPr>
          <w:noProof/>
        </w:rPr>
        <w:t>Wyniki wszystkich wyżej wymienionych inicjatyw uwzględniono podczas przygotowywania niniejszego wniosku towarzyszącego ocenie skutków</w:t>
      </w:r>
      <w:r w:rsidR="0031342C" w:rsidRPr="00DF3EF6">
        <w:rPr>
          <w:noProof/>
        </w:rPr>
        <w:t>. W</w:t>
      </w:r>
      <w:r w:rsidR="0031342C">
        <w:rPr>
          <w:noProof/>
        </w:rPr>
        <w:t> </w:t>
      </w:r>
      <w:r w:rsidR="0031342C" w:rsidRPr="00DF3EF6">
        <w:rPr>
          <w:noProof/>
        </w:rPr>
        <w:t>wyn</w:t>
      </w:r>
      <w:r w:rsidRPr="00DF3EF6">
        <w:rPr>
          <w:noProof/>
        </w:rPr>
        <w:t>iku tych inicjatyw uzyskano wyraźne dowody na konieczność aktualizacji</w:t>
      </w:r>
      <w:r w:rsidR="0031342C" w:rsidRPr="00DF3EF6">
        <w:rPr>
          <w:noProof/>
        </w:rPr>
        <w:t xml:space="preserve"> i</w:t>
      </w:r>
      <w:r w:rsidR="0031342C">
        <w:rPr>
          <w:noProof/>
        </w:rPr>
        <w:t> </w:t>
      </w:r>
      <w:r w:rsidR="0031342C" w:rsidRPr="00DF3EF6">
        <w:rPr>
          <w:noProof/>
        </w:rPr>
        <w:t>uzu</w:t>
      </w:r>
      <w:r w:rsidRPr="00DF3EF6">
        <w:rPr>
          <w:noProof/>
        </w:rPr>
        <w:t>pełnienia obowiązujących przepisów</w:t>
      </w:r>
      <w:r w:rsidR="0031342C" w:rsidRPr="00DF3EF6">
        <w:rPr>
          <w:noProof/>
        </w:rPr>
        <w:t xml:space="preserve"> w</w:t>
      </w:r>
      <w:r w:rsidR="0031342C">
        <w:rPr>
          <w:noProof/>
        </w:rPr>
        <w:t> </w:t>
      </w:r>
      <w:r w:rsidR="0031342C" w:rsidRPr="00DF3EF6">
        <w:rPr>
          <w:noProof/>
        </w:rPr>
        <w:t>cel</w:t>
      </w:r>
      <w:r w:rsidRPr="00DF3EF6">
        <w:rPr>
          <w:noProof/>
        </w:rPr>
        <w:t>u jak najlepszego osiągnięcia celów ram. Załącznik 2 do oceny skutków zawiera streszczenie tych konsultacji</w:t>
      </w:r>
      <w:r w:rsidR="0031342C" w:rsidRPr="00DF3EF6">
        <w:rPr>
          <w:noProof/>
        </w:rPr>
        <w:t xml:space="preserve"> i</w:t>
      </w:r>
      <w:r w:rsidR="0031342C">
        <w:rPr>
          <w:noProof/>
        </w:rPr>
        <w:t> </w:t>
      </w:r>
      <w:r w:rsidR="0031342C" w:rsidRPr="00DF3EF6">
        <w:rPr>
          <w:noProof/>
        </w:rPr>
        <w:t>pub</w:t>
      </w:r>
      <w:r w:rsidRPr="00DF3EF6">
        <w:rPr>
          <w:noProof/>
        </w:rPr>
        <w:t>licznej konferencji.</w:t>
      </w:r>
    </w:p>
    <w:p w14:paraId="79BF5EC9" w14:textId="215D41EF" w:rsidR="00E25235" w:rsidRPr="00DF3EF6" w:rsidRDefault="00E25235" w:rsidP="00E25235">
      <w:pPr>
        <w:pStyle w:val="ManualHeading2"/>
        <w:rPr>
          <w:noProof/>
          <w:u w:color="000000"/>
          <w:bdr w:val="nil"/>
        </w:rPr>
      </w:pPr>
      <w:r w:rsidRPr="00DF3EF6">
        <w:rPr>
          <w:noProof/>
          <w:u w:color="000000"/>
          <w:bdr w:val="nil"/>
        </w:rPr>
        <w:t>•</w:t>
      </w:r>
      <w:r w:rsidRPr="00DF3EF6">
        <w:rPr>
          <w:noProof/>
        </w:rPr>
        <w:tab/>
      </w:r>
      <w:r w:rsidRPr="00DF3EF6">
        <w:rPr>
          <w:noProof/>
          <w:u w:color="000000"/>
          <w:bdr w:val="nil"/>
        </w:rPr>
        <w:t>Gromadzenie</w:t>
      </w:r>
      <w:r w:rsidR="0031342C" w:rsidRPr="00DF3EF6">
        <w:rPr>
          <w:noProof/>
          <w:u w:color="000000"/>
          <w:bdr w:val="nil"/>
        </w:rPr>
        <w:t xml:space="preserve"> i</w:t>
      </w:r>
      <w:r w:rsidR="0031342C">
        <w:rPr>
          <w:noProof/>
          <w:u w:color="000000"/>
          <w:bdr w:val="nil"/>
        </w:rPr>
        <w:t> </w:t>
      </w:r>
      <w:r w:rsidR="0031342C" w:rsidRPr="00DF3EF6">
        <w:rPr>
          <w:noProof/>
          <w:u w:color="000000"/>
          <w:bdr w:val="nil"/>
        </w:rPr>
        <w:t>wyk</w:t>
      </w:r>
      <w:r w:rsidRPr="00DF3EF6">
        <w:rPr>
          <w:noProof/>
          <w:u w:color="000000"/>
          <w:bdr w:val="nil"/>
        </w:rPr>
        <w:t>orzystanie wiedzy eksperckiej</w:t>
      </w:r>
    </w:p>
    <w:p w14:paraId="3DA43975" w14:textId="0DD78AA7" w:rsidR="00E25235" w:rsidRPr="00DF3EF6" w:rsidRDefault="00E25235" w:rsidP="00E25235">
      <w:pPr>
        <w:rPr>
          <w:noProof/>
        </w:rPr>
      </w:pPr>
      <w:r w:rsidRPr="00DF3EF6">
        <w:rPr>
          <w:noProof/>
        </w:rPr>
        <w:t>Aby uzyskać wsparcie dla swoich prac nad przeglądem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Komisja skierowała do EUNB kompleksowy wniosek</w:t>
      </w:r>
      <w:r w:rsidR="0031342C" w:rsidRPr="00DF3EF6">
        <w:rPr>
          <w:noProof/>
        </w:rPr>
        <w:t xml:space="preserve"> o</w:t>
      </w:r>
      <w:r w:rsidR="0031342C">
        <w:rPr>
          <w:noProof/>
        </w:rPr>
        <w:t> </w:t>
      </w:r>
      <w:r w:rsidR="0031342C" w:rsidRPr="00DF3EF6">
        <w:rPr>
          <w:noProof/>
        </w:rPr>
        <w:t>wyd</w:t>
      </w:r>
      <w:r w:rsidRPr="00DF3EF6">
        <w:rPr>
          <w:noProof/>
        </w:rPr>
        <w:t>anie opinii</w:t>
      </w:r>
      <w:r w:rsidRPr="00DF3EF6">
        <w:rPr>
          <w:rStyle w:val="FootnoteReference"/>
          <w:noProof/>
        </w:rPr>
        <w:footnoteReference w:id="22"/>
      </w:r>
      <w:r w:rsidRPr="00DF3EF6">
        <w:rPr>
          <w:noProof/>
        </w:rPr>
        <w:t>. EUNB udzielił odpowiedzi, przedkładając pięć opinii. Pierwszą opinię</w:t>
      </w:r>
      <w:r w:rsidR="0031342C" w:rsidRPr="00DF3EF6">
        <w:rPr>
          <w:noProof/>
        </w:rPr>
        <w:t xml:space="preserve"> w</w:t>
      </w:r>
      <w:r w:rsidR="0031342C">
        <w:rPr>
          <w:noProof/>
        </w:rPr>
        <w:t> </w:t>
      </w:r>
      <w:r w:rsidR="0031342C" w:rsidRPr="00DF3EF6">
        <w:rPr>
          <w:noProof/>
        </w:rPr>
        <w:t>spr</w:t>
      </w:r>
      <w:r w:rsidRPr="00DF3EF6">
        <w:rPr>
          <w:noProof/>
        </w:rPr>
        <w:t>awie kwalifikowalności depozytów, poziomu gwarancji</w:t>
      </w:r>
      <w:r w:rsidR="0031342C" w:rsidRPr="00DF3EF6">
        <w:rPr>
          <w:noProof/>
        </w:rPr>
        <w:t xml:space="preserve"> i</w:t>
      </w:r>
      <w:r w:rsidR="0031342C">
        <w:rPr>
          <w:noProof/>
        </w:rPr>
        <w:t> </w:t>
      </w:r>
      <w:r w:rsidR="0031342C" w:rsidRPr="00DF3EF6">
        <w:rPr>
          <w:noProof/>
        </w:rPr>
        <w:t>wsp</w:t>
      </w:r>
      <w:r w:rsidRPr="00DF3EF6">
        <w:rPr>
          <w:noProof/>
        </w:rPr>
        <w:t xml:space="preserve">ółpracy między systemami gwarancji </w:t>
      </w:r>
      <w:r w:rsidRPr="00DF3EF6">
        <w:rPr>
          <w:noProof/>
        </w:rPr>
        <w:lastRenderedPageBreak/>
        <w:t>depozytów przedstawiono</w:t>
      </w:r>
      <w:r w:rsidR="0031342C" w:rsidRPr="00DF3EF6">
        <w:rPr>
          <w:noProof/>
        </w:rPr>
        <w:t xml:space="preserve"> w</w:t>
      </w:r>
      <w:r w:rsidR="0031342C">
        <w:rPr>
          <w:noProof/>
        </w:rPr>
        <w:t> </w:t>
      </w:r>
      <w:r w:rsidR="0031342C" w:rsidRPr="00DF3EF6">
        <w:rPr>
          <w:noProof/>
        </w:rPr>
        <w:t>sie</w:t>
      </w:r>
      <w:r w:rsidRPr="00DF3EF6">
        <w:rPr>
          <w:noProof/>
        </w:rPr>
        <w:t>rpniu 20</w:t>
      </w:r>
      <w:r w:rsidRPr="0031342C">
        <w:rPr>
          <w:noProof/>
        </w:rPr>
        <w:t>19</w:t>
      </w:r>
      <w:r w:rsidR="0031342C" w:rsidRPr="0031342C">
        <w:rPr>
          <w:noProof/>
        </w:rPr>
        <w:t> </w:t>
      </w:r>
      <w:r w:rsidRPr="0031342C">
        <w:rPr>
          <w:noProof/>
        </w:rPr>
        <w:t>r.</w:t>
      </w:r>
      <w:r w:rsidRPr="00DF3EF6">
        <w:rPr>
          <w:rStyle w:val="FootnoteReference"/>
          <w:noProof/>
        </w:rPr>
        <w:footnoteReference w:id="23"/>
      </w:r>
      <w:r w:rsidRPr="00DF3EF6">
        <w:rPr>
          <w:noProof/>
        </w:rPr>
        <w:t xml:space="preserve"> Drugą opinię</w:t>
      </w:r>
      <w:r w:rsidR="0031342C" w:rsidRPr="00DF3EF6">
        <w:rPr>
          <w:noProof/>
        </w:rPr>
        <w:t xml:space="preserve"> w</w:t>
      </w:r>
      <w:r w:rsidR="0031342C">
        <w:rPr>
          <w:noProof/>
        </w:rPr>
        <w:t> </w:t>
      </w:r>
      <w:r w:rsidR="0031342C" w:rsidRPr="00DF3EF6">
        <w:rPr>
          <w:noProof/>
        </w:rPr>
        <w:t>spr</w:t>
      </w:r>
      <w:r w:rsidRPr="00DF3EF6">
        <w:rPr>
          <w:noProof/>
        </w:rPr>
        <w:t>awie wypłat</w:t>
      </w:r>
      <w:r w:rsidR="0031342C" w:rsidRPr="00DF3EF6">
        <w:rPr>
          <w:noProof/>
        </w:rPr>
        <w:t xml:space="preserve"> z</w:t>
      </w:r>
      <w:r w:rsidR="0031342C">
        <w:rPr>
          <w:noProof/>
        </w:rPr>
        <w:t> </w:t>
      </w:r>
      <w:r w:rsidR="0031342C" w:rsidRPr="00DF3EF6">
        <w:rPr>
          <w:noProof/>
        </w:rPr>
        <w:t>sys</w:t>
      </w:r>
      <w:r w:rsidRPr="00DF3EF6">
        <w:rPr>
          <w:noProof/>
        </w:rPr>
        <w:t>temu gwarancji depozytów przedstawiono</w:t>
      </w:r>
      <w:r w:rsidR="0031342C" w:rsidRPr="00DF3EF6">
        <w:rPr>
          <w:noProof/>
        </w:rPr>
        <w:t xml:space="preserve"> w</w:t>
      </w:r>
      <w:r w:rsidR="0031342C">
        <w:rPr>
          <w:noProof/>
        </w:rPr>
        <w:t> </w:t>
      </w:r>
      <w:r w:rsidR="0031342C" w:rsidRPr="00DF3EF6">
        <w:rPr>
          <w:noProof/>
        </w:rPr>
        <w:t>paź</w:t>
      </w:r>
      <w:r w:rsidRPr="00DF3EF6">
        <w:rPr>
          <w:noProof/>
        </w:rPr>
        <w:t>dzierniku 20</w:t>
      </w:r>
      <w:r w:rsidRPr="0031342C">
        <w:rPr>
          <w:noProof/>
        </w:rPr>
        <w:t>19</w:t>
      </w:r>
      <w:r w:rsidR="0031342C" w:rsidRPr="0031342C">
        <w:rPr>
          <w:noProof/>
        </w:rPr>
        <w:t> </w:t>
      </w:r>
      <w:r w:rsidRPr="0031342C">
        <w:rPr>
          <w:noProof/>
        </w:rPr>
        <w:t>r.</w:t>
      </w:r>
      <w:r w:rsidRPr="00DF3EF6">
        <w:rPr>
          <w:rStyle w:val="FootnoteReference"/>
          <w:noProof/>
        </w:rPr>
        <w:footnoteReference w:id="24"/>
      </w:r>
      <w:r w:rsidRPr="00DF3EF6">
        <w:rPr>
          <w:noProof/>
        </w:rPr>
        <w:t xml:space="preserve"> Trzecią opinię</w:t>
      </w:r>
      <w:r w:rsidR="0031342C" w:rsidRPr="00DF3EF6">
        <w:rPr>
          <w:noProof/>
        </w:rPr>
        <w:t xml:space="preserve"> w</w:t>
      </w:r>
      <w:r w:rsidR="0031342C">
        <w:rPr>
          <w:noProof/>
        </w:rPr>
        <w:t> </w:t>
      </w:r>
      <w:r w:rsidR="0031342C" w:rsidRPr="00DF3EF6">
        <w:rPr>
          <w:noProof/>
        </w:rPr>
        <w:t>spr</w:t>
      </w:r>
      <w:r w:rsidRPr="00DF3EF6">
        <w:rPr>
          <w:noProof/>
        </w:rPr>
        <w:t>awie finansowania systemów gwarancji depozytów</w:t>
      </w:r>
      <w:r w:rsidR="0031342C" w:rsidRPr="00DF3EF6">
        <w:rPr>
          <w:noProof/>
        </w:rPr>
        <w:t xml:space="preserve"> i</w:t>
      </w:r>
      <w:r w:rsidR="0031342C">
        <w:rPr>
          <w:noProof/>
        </w:rPr>
        <w:t> </w:t>
      </w:r>
      <w:r w:rsidR="0031342C" w:rsidRPr="00DF3EF6">
        <w:rPr>
          <w:noProof/>
        </w:rPr>
        <w:t>wyk</w:t>
      </w:r>
      <w:r w:rsidRPr="00DF3EF6">
        <w:rPr>
          <w:noProof/>
        </w:rPr>
        <w:t>orzystania środków systemów gwarancji depozytów przedstawiono</w:t>
      </w:r>
      <w:r w:rsidR="0031342C" w:rsidRPr="00DF3EF6">
        <w:rPr>
          <w:noProof/>
        </w:rPr>
        <w:t xml:space="preserve"> w</w:t>
      </w:r>
      <w:r w:rsidR="0031342C">
        <w:rPr>
          <w:noProof/>
        </w:rPr>
        <w:t> </w:t>
      </w:r>
      <w:r w:rsidR="0031342C" w:rsidRPr="00DF3EF6">
        <w:rPr>
          <w:noProof/>
        </w:rPr>
        <w:t>sty</w:t>
      </w:r>
      <w:r w:rsidRPr="00DF3EF6">
        <w:rPr>
          <w:noProof/>
        </w:rPr>
        <w:t>czniu 20</w:t>
      </w:r>
      <w:r w:rsidRPr="0031342C">
        <w:rPr>
          <w:noProof/>
        </w:rPr>
        <w:t>20</w:t>
      </w:r>
      <w:r w:rsidR="0031342C" w:rsidRPr="0031342C">
        <w:rPr>
          <w:noProof/>
        </w:rPr>
        <w:t> </w:t>
      </w:r>
      <w:r w:rsidRPr="0031342C">
        <w:rPr>
          <w:noProof/>
        </w:rPr>
        <w:t>r.</w:t>
      </w:r>
      <w:r w:rsidRPr="00DF3EF6">
        <w:rPr>
          <w:rStyle w:val="FootnoteReference"/>
          <w:noProof/>
        </w:rPr>
        <w:footnoteReference w:id="25"/>
      </w:r>
      <w:r w:rsidRPr="00DF3EF6">
        <w:rPr>
          <w:noProof/>
        </w:rPr>
        <w:t xml:space="preserve"> Czwartą opinię</w:t>
      </w:r>
      <w:r w:rsidR="0031342C" w:rsidRPr="00DF3EF6">
        <w:rPr>
          <w:noProof/>
        </w:rPr>
        <w:t xml:space="preserve"> w</w:t>
      </w:r>
      <w:r w:rsidR="0031342C">
        <w:rPr>
          <w:noProof/>
        </w:rPr>
        <w:t> </w:t>
      </w:r>
      <w:r w:rsidR="0031342C" w:rsidRPr="00DF3EF6">
        <w:rPr>
          <w:noProof/>
        </w:rPr>
        <w:t>spr</w:t>
      </w:r>
      <w:r w:rsidRPr="00DF3EF6">
        <w:rPr>
          <w:noProof/>
        </w:rPr>
        <w:t>awie traktowania środków finansowych należących do klientów przedstawiono</w:t>
      </w:r>
      <w:r w:rsidR="0031342C" w:rsidRPr="00DF3EF6">
        <w:rPr>
          <w:noProof/>
        </w:rPr>
        <w:t xml:space="preserve"> w</w:t>
      </w:r>
      <w:r w:rsidR="0031342C">
        <w:rPr>
          <w:noProof/>
        </w:rPr>
        <w:t> </w:t>
      </w:r>
      <w:r w:rsidR="0031342C" w:rsidRPr="00DF3EF6">
        <w:rPr>
          <w:noProof/>
        </w:rPr>
        <w:t>paź</w:t>
      </w:r>
      <w:r w:rsidRPr="00DF3EF6">
        <w:rPr>
          <w:noProof/>
        </w:rPr>
        <w:t>dzierniku 20</w:t>
      </w:r>
      <w:r w:rsidRPr="0031342C">
        <w:rPr>
          <w:noProof/>
        </w:rPr>
        <w:t>21</w:t>
      </w:r>
      <w:r w:rsidR="0031342C" w:rsidRPr="0031342C">
        <w:rPr>
          <w:noProof/>
        </w:rPr>
        <w:t> </w:t>
      </w:r>
      <w:r w:rsidRPr="0031342C">
        <w:rPr>
          <w:noProof/>
        </w:rPr>
        <w:t>r.</w:t>
      </w:r>
      <w:r w:rsidRPr="00DF3EF6">
        <w:rPr>
          <w:rStyle w:val="FootnoteReference"/>
          <w:noProof/>
        </w:rPr>
        <w:footnoteReference w:id="26"/>
      </w:r>
      <w:r w:rsidRPr="00DF3EF6">
        <w:rPr>
          <w:noProof/>
        </w:rPr>
        <w:t xml:space="preserve"> Komisja wzięła ponadto pod uwagę opinię EUNB</w:t>
      </w:r>
      <w:r w:rsidR="0031342C" w:rsidRPr="00DF3EF6">
        <w:rPr>
          <w:noProof/>
        </w:rPr>
        <w:t xml:space="preserve"> z</w:t>
      </w:r>
      <w:r w:rsidR="0031342C">
        <w:rPr>
          <w:noProof/>
        </w:rPr>
        <w:t> </w:t>
      </w:r>
      <w:r w:rsidR="0031342C" w:rsidRPr="00DF3EF6">
        <w:rPr>
          <w:noProof/>
        </w:rPr>
        <w:t>2</w:t>
      </w:r>
      <w:r w:rsidRPr="00DF3EF6">
        <w:rPr>
          <w:noProof/>
        </w:rPr>
        <w:t>0</w:t>
      </w:r>
      <w:r w:rsidRPr="0031342C">
        <w:rPr>
          <w:noProof/>
        </w:rPr>
        <w:t>20</w:t>
      </w:r>
      <w:r w:rsidR="0031342C" w:rsidRPr="0031342C">
        <w:rPr>
          <w:noProof/>
        </w:rPr>
        <w:t> </w:t>
      </w:r>
      <w:r w:rsidRPr="0031342C">
        <w:rPr>
          <w:noProof/>
        </w:rPr>
        <w:t>r.</w:t>
      </w:r>
      <w:r w:rsidR="0031342C" w:rsidRPr="00DF3EF6">
        <w:rPr>
          <w:noProof/>
        </w:rPr>
        <w:t xml:space="preserve"> w</w:t>
      </w:r>
      <w:r w:rsidR="0031342C">
        <w:rPr>
          <w:noProof/>
        </w:rPr>
        <w:t> </w:t>
      </w:r>
      <w:r w:rsidR="0031342C" w:rsidRPr="00DF3EF6">
        <w:rPr>
          <w:noProof/>
        </w:rPr>
        <w:t>spr</w:t>
      </w:r>
      <w:r w:rsidRPr="00DF3EF6">
        <w:rPr>
          <w:noProof/>
        </w:rPr>
        <w:t>awie wzajemnej zależności między dyrektywą UE</w:t>
      </w:r>
      <w:r w:rsidR="0031342C" w:rsidRPr="00DF3EF6">
        <w:rPr>
          <w:noProof/>
        </w:rPr>
        <w:t xml:space="preserve"> w</w:t>
      </w:r>
      <w:r w:rsidR="0031342C">
        <w:rPr>
          <w:noProof/>
        </w:rPr>
        <w:t> </w:t>
      </w:r>
      <w:r w:rsidR="0031342C" w:rsidRPr="00DF3EF6">
        <w:rPr>
          <w:noProof/>
        </w:rPr>
        <w:t>spr</w:t>
      </w:r>
      <w:r w:rsidRPr="00DF3EF6">
        <w:rPr>
          <w:noProof/>
        </w:rPr>
        <w:t>awie przeciwdziałania praniu pieniędzy</w:t>
      </w:r>
      <w:r w:rsidR="0031342C" w:rsidRPr="00DF3EF6">
        <w:rPr>
          <w:noProof/>
        </w:rPr>
        <w:t xml:space="preserve"> a</w:t>
      </w:r>
      <w:r w:rsidR="0031342C">
        <w:rPr>
          <w:noProof/>
        </w:rPr>
        <w:t> </w:t>
      </w:r>
      <w:r w:rsidR="0031342C" w:rsidRPr="00DF3EF6">
        <w:rPr>
          <w:noProof/>
        </w:rPr>
        <w:t>dyr</w:t>
      </w:r>
      <w:r w:rsidRPr="00DF3EF6">
        <w:rPr>
          <w:noProof/>
        </w:rPr>
        <w:t>ektywą UE</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r w:rsidRPr="00DF3EF6">
        <w:rPr>
          <w:rStyle w:val="FootnoteReference"/>
          <w:noProof/>
        </w:rPr>
        <w:footnoteReference w:id="27"/>
      </w:r>
      <w:r w:rsidRPr="00DF3EF6">
        <w:rPr>
          <w:noProof/>
        </w:rPr>
        <w:t xml:space="preserve"> oraz wydawaną raz na dwa lata opinię EUNB</w:t>
      </w:r>
      <w:r w:rsidR="0031342C" w:rsidRPr="00DF3EF6">
        <w:rPr>
          <w:noProof/>
        </w:rPr>
        <w:t xml:space="preserve"> z</w:t>
      </w:r>
      <w:r w:rsidR="0031342C">
        <w:rPr>
          <w:noProof/>
        </w:rPr>
        <w:t> </w:t>
      </w:r>
      <w:r w:rsidR="0031342C" w:rsidRPr="00DF3EF6">
        <w:rPr>
          <w:noProof/>
        </w:rPr>
        <w:t>2</w:t>
      </w:r>
      <w:r w:rsidRPr="00DF3EF6">
        <w:rPr>
          <w:noProof/>
        </w:rPr>
        <w:t>0</w:t>
      </w:r>
      <w:r w:rsidRPr="0031342C">
        <w:rPr>
          <w:noProof/>
        </w:rPr>
        <w:t>21</w:t>
      </w:r>
      <w:r w:rsidR="0031342C" w:rsidRPr="0031342C">
        <w:rPr>
          <w:noProof/>
        </w:rPr>
        <w:t> </w:t>
      </w:r>
      <w:r w:rsidRPr="0031342C">
        <w:rPr>
          <w:noProof/>
        </w:rPr>
        <w:t>r.</w:t>
      </w:r>
      <w:r w:rsidR="0031342C" w:rsidRPr="00DF3EF6">
        <w:rPr>
          <w:noProof/>
        </w:rPr>
        <w:t xml:space="preserve"> w</w:t>
      </w:r>
      <w:r w:rsidR="0031342C">
        <w:rPr>
          <w:noProof/>
        </w:rPr>
        <w:t> </w:t>
      </w:r>
      <w:r w:rsidR="0031342C" w:rsidRPr="00DF3EF6">
        <w:rPr>
          <w:noProof/>
        </w:rPr>
        <w:t>spr</w:t>
      </w:r>
      <w:r w:rsidRPr="00DF3EF6">
        <w:rPr>
          <w:noProof/>
        </w:rPr>
        <w:t>awie ryzyka związanego</w:t>
      </w:r>
      <w:r w:rsidR="0031342C" w:rsidRPr="00DF3EF6">
        <w:rPr>
          <w:noProof/>
        </w:rPr>
        <w:t xml:space="preserve"> z</w:t>
      </w:r>
      <w:r w:rsidR="0031342C">
        <w:rPr>
          <w:noProof/>
        </w:rPr>
        <w:t> </w:t>
      </w:r>
      <w:r w:rsidR="0031342C" w:rsidRPr="00DF3EF6">
        <w:rPr>
          <w:noProof/>
        </w:rPr>
        <w:t>pra</w:t>
      </w:r>
      <w:r w:rsidRPr="00DF3EF6">
        <w:rPr>
          <w:noProof/>
        </w:rPr>
        <w:t>niem pieniędzy</w:t>
      </w:r>
      <w:r w:rsidR="0031342C" w:rsidRPr="00DF3EF6">
        <w:rPr>
          <w:noProof/>
        </w:rPr>
        <w:t xml:space="preserve"> i</w:t>
      </w:r>
      <w:r w:rsidR="0031342C">
        <w:rPr>
          <w:noProof/>
        </w:rPr>
        <w:t> </w:t>
      </w:r>
      <w:r w:rsidR="0031342C" w:rsidRPr="00DF3EF6">
        <w:rPr>
          <w:noProof/>
        </w:rPr>
        <w:t>fin</w:t>
      </w:r>
      <w:r w:rsidRPr="00DF3EF6">
        <w:rPr>
          <w:noProof/>
        </w:rPr>
        <w:t>ansowaniem terroryzmu mającego wpływ na sektor finansowy UE</w:t>
      </w:r>
      <w:r w:rsidRPr="00DF3EF6">
        <w:rPr>
          <w:rStyle w:val="FootnoteReference"/>
          <w:noProof/>
        </w:rPr>
        <w:footnoteReference w:id="28"/>
      </w:r>
      <w:r w:rsidRPr="00DF3EF6">
        <w:rPr>
          <w:noProof/>
        </w:rPr>
        <w:t>.</w:t>
      </w:r>
    </w:p>
    <w:p w14:paraId="603D21D5" w14:textId="64A74D86" w:rsidR="00E25235" w:rsidRPr="00DF3EF6" w:rsidRDefault="00E25235" w:rsidP="00E25235">
      <w:pPr>
        <w:rPr>
          <w:noProof/>
        </w:rPr>
      </w:pPr>
      <w:r w:rsidRPr="00DF3EF6">
        <w:rPr>
          <w:noProof/>
        </w:rPr>
        <w:t>Komisja zleciła ponadto Centrum Studiów nad Polityką Europejską przygotowanie dwóch sprawozdań na temat gwarantowania depozytów, zatytułowanych: „Harmonising insolvency laws in the Euro area”</w:t>
      </w:r>
      <w:r w:rsidRPr="00DF3EF6">
        <w:rPr>
          <w:rStyle w:val="FootnoteReference"/>
          <w:noProof/>
        </w:rPr>
        <w:footnoteReference w:id="29"/>
      </w:r>
      <w:r w:rsidRPr="00DF3EF6">
        <w:rPr>
          <w:noProof/>
        </w:rPr>
        <w:t xml:space="preserve"> [„Harmonizacja prawa dotyczącego niewypłacalności</w:t>
      </w:r>
      <w:r w:rsidR="0031342C" w:rsidRPr="00DF3EF6">
        <w:rPr>
          <w:noProof/>
        </w:rPr>
        <w:t xml:space="preserve"> w</w:t>
      </w:r>
      <w:r w:rsidR="0031342C">
        <w:rPr>
          <w:noProof/>
        </w:rPr>
        <w:t> </w:t>
      </w:r>
      <w:r w:rsidR="0031342C" w:rsidRPr="00DF3EF6">
        <w:rPr>
          <w:noProof/>
        </w:rPr>
        <w:t>str</w:t>
      </w:r>
      <w:r w:rsidRPr="00DF3EF6">
        <w:rPr>
          <w:noProof/>
        </w:rPr>
        <w:t>efie euro”] i „Options and national discretions under the DGSD”</w:t>
      </w:r>
      <w:r w:rsidRPr="00DF3EF6">
        <w:rPr>
          <w:rStyle w:val="FootnoteReference"/>
          <w:noProof/>
        </w:rPr>
        <w:footnoteReference w:id="30"/>
      </w:r>
      <w:r w:rsidRPr="00DF3EF6">
        <w:rPr>
          <w:noProof/>
        </w:rPr>
        <w:t xml:space="preserve"> [„Opcje</w:t>
      </w:r>
      <w:r w:rsidR="0031342C" w:rsidRPr="00DF3EF6">
        <w:rPr>
          <w:noProof/>
        </w:rPr>
        <w:t xml:space="preserve"> i</w:t>
      </w:r>
      <w:r w:rsidR="0031342C">
        <w:rPr>
          <w:noProof/>
        </w:rPr>
        <w:t> </w:t>
      </w:r>
      <w:r w:rsidR="0031342C" w:rsidRPr="00DF3EF6">
        <w:rPr>
          <w:noProof/>
        </w:rPr>
        <w:t>swo</w:t>
      </w:r>
      <w:r w:rsidRPr="00DF3EF6">
        <w:rPr>
          <w:noProof/>
        </w:rPr>
        <w:t>body uznania</w:t>
      </w:r>
      <w:r w:rsidR="0031342C" w:rsidRPr="00DF3EF6">
        <w:rPr>
          <w:noProof/>
        </w:rPr>
        <w:t xml:space="preserve"> w</w:t>
      </w:r>
      <w:r w:rsidR="0031342C">
        <w:rPr>
          <w:noProof/>
        </w:rPr>
        <w:t> </w:t>
      </w:r>
      <w:r w:rsidR="0031342C" w:rsidRPr="00DF3EF6">
        <w:rPr>
          <w:noProof/>
        </w:rPr>
        <w:t>sys</w:t>
      </w:r>
      <w:r w:rsidRPr="00DF3EF6">
        <w:rPr>
          <w:noProof/>
        </w:rPr>
        <w:t>temach krajowych</w:t>
      </w:r>
      <w:r w:rsidR="0031342C" w:rsidRPr="00DF3EF6">
        <w:rPr>
          <w:noProof/>
        </w:rPr>
        <w:t xml:space="preserve"> w</w:t>
      </w:r>
      <w:r w:rsidR="0031342C">
        <w:rPr>
          <w:noProof/>
        </w:rPr>
        <w:t> </w:t>
      </w:r>
      <w:r w:rsidR="0031342C" w:rsidRPr="00DF3EF6">
        <w:rPr>
          <w:noProof/>
        </w:rPr>
        <w:t>ram</w:t>
      </w:r>
      <w:r w:rsidRPr="00DF3EF6">
        <w:rPr>
          <w:noProof/>
        </w:rPr>
        <w:t>ach dyrektywa</w:t>
      </w:r>
      <w:r w:rsidR="0031342C" w:rsidRPr="00DF3EF6">
        <w:rPr>
          <w:noProof/>
        </w:rPr>
        <w:t xml:space="preserve"> w</w:t>
      </w:r>
      <w:r w:rsidR="0031342C">
        <w:rPr>
          <w:noProof/>
        </w:rPr>
        <w:t> </w:t>
      </w:r>
      <w:r w:rsidR="0031342C" w:rsidRPr="00DF3EF6">
        <w:rPr>
          <w:noProof/>
        </w:rPr>
        <w:t>spr</w:t>
      </w:r>
      <w:r w:rsidRPr="00DF3EF6">
        <w:rPr>
          <w:noProof/>
        </w:rPr>
        <w:t>awie systemów gwarancji depozytów”], które opublikowano odpowiednio</w:t>
      </w:r>
      <w:r w:rsidR="0031342C" w:rsidRPr="00DF3EF6">
        <w:rPr>
          <w:noProof/>
        </w:rPr>
        <w:t xml:space="preserve"> w</w:t>
      </w:r>
      <w:r w:rsidR="0031342C">
        <w:rPr>
          <w:noProof/>
        </w:rPr>
        <w:t> </w:t>
      </w:r>
      <w:r w:rsidR="0031342C" w:rsidRPr="00DF3EF6">
        <w:rPr>
          <w:noProof/>
        </w:rPr>
        <w:t>gru</w:t>
      </w:r>
      <w:r w:rsidRPr="00DF3EF6">
        <w:rPr>
          <w:noProof/>
        </w:rPr>
        <w:t>dniu 20</w:t>
      </w:r>
      <w:r w:rsidRPr="0031342C">
        <w:rPr>
          <w:noProof/>
        </w:rPr>
        <w:t>16</w:t>
      </w:r>
      <w:r w:rsidR="0031342C" w:rsidRPr="0031342C">
        <w:rPr>
          <w:noProof/>
        </w:rPr>
        <w:t> </w:t>
      </w:r>
      <w:r w:rsidRPr="0031342C">
        <w:rPr>
          <w:noProof/>
        </w:rPr>
        <w:t>r.</w:t>
      </w:r>
      <w:r w:rsidR="0031342C" w:rsidRPr="00DF3EF6">
        <w:rPr>
          <w:noProof/>
        </w:rPr>
        <w:t xml:space="preserve"> i</w:t>
      </w:r>
      <w:r w:rsidR="0031342C">
        <w:rPr>
          <w:noProof/>
        </w:rPr>
        <w:t> </w:t>
      </w:r>
      <w:r w:rsidR="0031342C" w:rsidRPr="00DF3EF6">
        <w:rPr>
          <w:noProof/>
        </w:rPr>
        <w:t>lis</w:t>
      </w:r>
      <w:r w:rsidRPr="00DF3EF6">
        <w:rPr>
          <w:noProof/>
        </w:rPr>
        <w:t>topadzie 20</w:t>
      </w:r>
      <w:r w:rsidRPr="0031342C">
        <w:rPr>
          <w:noProof/>
        </w:rPr>
        <w:t>19</w:t>
      </w:r>
      <w:r w:rsidR="0031342C" w:rsidRPr="0031342C">
        <w:rPr>
          <w:noProof/>
        </w:rPr>
        <w:t> </w:t>
      </w:r>
      <w:r w:rsidRPr="0031342C">
        <w:rPr>
          <w:noProof/>
        </w:rPr>
        <w:t>r.</w:t>
      </w:r>
      <w:r w:rsidRPr="00DF3EF6">
        <w:rPr>
          <w:noProof/>
        </w:rPr>
        <w:t xml:space="preserve"> </w:t>
      </w:r>
    </w:p>
    <w:p w14:paraId="2447CA89" w14:textId="03A1F41D" w:rsidR="00E25235" w:rsidRPr="00DF3EF6" w:rsidRDefault="00E25235" w:rsidP="00E25235">
      <w:pPr>
        <w:rPr>
          <w:noProof/>
        </w:rPr>
      </w:pPr>
      <w:r w:rsidRPr="00DF3EF6">
        <w:rPr>
          <w:noProof/>
        </w:rPr>
        <w:t>Oprócz konsultacji</w:t>
      </w:r>
      <w:r w:rsidR="0031342C" w:rsidRPr="00DF3EF6">
        <w:rPr>
          <w:noProof/>
        </w:rPr>
        <w:t xml:space="preserve"> z</w:t>
      </w:r>
      <w:r w:rsidR="0031342C">
        <w:rPr>
          <w:noProof/>
        </w:rPr>
        <w:t> </w:t>
      </w:r>
      <w:r w:rsidR="0031342C" w:rsidRPr="00DF3EF6">
        <w:rPr>
          <w:noProof/>
        </w:rPr>
        <w:t>zai</w:t>
      </w:r>
      <w:r w:rsidRPr="00DF3EF6">
        <w:rPr>
          <w:noProof/>
        </w:rPr>
        <w:t>nteresowanymi stronami Komisja uczestniczyła</w:t>
      </w:r>
      <w:r w:rsidR="0031342C" w:rsidRPr="00DF3EF6">
        <w:rPr>
          <w:noProof/>
        </w:rPr>
        <w:t xml:space="preserve"> w</w:t>
      </w:r>
      <w:r w:rsidR="0031342C">
        <w:rPr>
          <w:noProof/>
        </w:rPr>
        <w:t> </w:t>
      </w:r>
      <w:r w:rsidR="0031342C" w:rsidRPr="00DF3EF6">
        <w:rPr>
          <w:noProof/>
        </w:rPr>
        <w:t>dys</w:t>
      </w:r>
      <w:r w:rsidRPr="00DF3EF6">
        <w:rPr>
          <w:noProof/>
        </w:rPr>
        <w:t>kusjach</w:t>
      </w:r>
      <w:r w:rsidR="0031342C" w:rsidRPr="00DF3EF6">
        <w:rPr>
          <w:noProof/>
        </w:rPr>
        <w:t xml:space="preserve"> i</w:t>
      </w:r>
      <w:r w:rsidR="0031342C">
        <w:rPr>
          <w:noProof/>
        </w:rPr>
        <w:t> </w:t>
      </w:r>
      <w:r w:rsidR="0031342C" w:rsidRPr="00DF3EF6">
        <w:rPr>
          <w:noProof/>
        </w:rPr>
        <w:t>wym</w:t>
      </w:r>
      <w:r w:rsidRPr="00DF3EF6">
        <w:rPr>
          <w:noProof/>
        </w:rPr>
        <w:t>ianie poglądów stanowiących wkład</w:t>
      </w:r>
      <w:r w:rsidR="0031342C" w:rsidRPr="00DF3EF6">
        <w:rPr>
          <w:noProof/>
        </w:rPr>
        <w:t xml:space="preserve"> w</w:t>
      </w:r>
      <w:r w:rsidR="0031342C">
        <w:rPr>
          <w:noProof/>
        </w:rPr>
        <w:t> </w:t>
      </w:r>
      <w:r w:rsidR="0031342C" w:rsidRPr="00DF3EF6">
        <w:rPr>
          <w:noProof/>
        </w:rPr>
        <w:t>pra</w:t>
      </w:r>
      <w:r w:rsidRPr="00DF3EF6">
        <w:rPr>
          <w:noProof/>
        </w:rPr>
        <w:t>ce grupy zadaniowej EUNB ds. systemów gwarancji depozytów oraz Grupy Ekspertów ds. Bankowości, Płatności</w:t>
      </w:r>
      <w:r w:rsidR="0031342C" w:rsidRPr="00DF3EF6">
        <w:rPr>
          <w:noProof/>
        </w:rPr>
        <w:t xml:space="preserve"> i</w:t>
      </w:r>
      <w:r w:rsidR="0031342C">
        <w:rPr>
          <w:noProof/>
        </w:rPr>
        <w:t> </w:t>
      </w:r>
      <w:r w:rsidR="0031342C" w:rsidRPr="00DF3EF6">
        <w:rPr>
          <w:noProof/>
        </w:rPr>
        <w:t>Ube</w:t>
      </w:r>
      <w:r w:rsidRPr="00DF3EF6">
        <w:rPr>
          <w:noProof/>
        </w:rPr>
        <w:t>zpieczeń.</w:t>
      </w:r>
    </w:p>
    <w:p w14:paraId="7131C1A8" w14:textId="6952E614" w:rsidR="00E25235" w:rsidRPr="00DF3EF6" w:rsidRDefault="00E25235" w:rsidP="00E25235">
      <w:pPr>
        <w:pStyle w:val="ManualHeading2"/>
        <w:rPr>
          <w:noProof/>
          <w:u w:color="000000"/>
          <w:bdr w:val="nil"/>
        </w:rPr>
      </w:pPr>
      <w:r w:rsidRPr="00DF3EF6">
        <w:rPr>
          <w:noProof/>
          <w:u w:color="000000"/>
          <w:bdr w:val="nil"/>
        </w:rPr>
        <w:t>•</w:t>
      </w:r>
      <w:r w:rsidRPr="00DF3EF6">
        <w:rPr>
          <w:noProof/>
        </w:rPr>
        <w:tab/>
      </w:r>
      <w:r w:rsidRPr="00DF3EF6">
        <w:rPr>
          <w:noProof/>
          <w:u w:color="000000"/>
          <w:bdr w:val="nil"/>
        </w:rPr>
        <w:t>Ocena skutków</w:t>
      </w:r>
      <w:r w:rsidRPr="00DF3EF6">
        <w:rPr>
          <w:rStyle w:val="FootnoteReference"/>
          <w:noProof/>
          <w:u w:color="000000"/>
          <w:bdr w:val="nil"/>
        </w:rPr>
        <w:footnoteReference w:id="31"/>
      </w:r>
    </w:p>
    <w:p w14:paraId="1CDF4CB5" w14:textId="59613365" w:rsidR="00E25235" w:rsidRPr="00DF3EF6" w:rsidRDefault="00E25235" w:rsidP="00E25235">
      <w:pPr>
        <w:rPr>
          <w:noProof/>
        </w:rPr>
      </w:pPr>
      <w:r w:rsidRPr="00DF3EF6">
        <w:rPr>
          <w:noProof/>
        </w:rPr>
        <w:t>W ramach niniejszego wniosku przeprowadzono ocenę skutków, która była wspólna</w:t>
      </w:r>
      <w:r w:rsidR="0031342C" w:rsidRPr="00DF3EF6">
        <w:rPr>
          <w:noProof/>
        </w:rPr>
        <w:t xml:space="preserve"> z</w:t>
      </w:r>
      <w:r w:rsidR="0031342C">
        <w:rPr>
          <w:noProof/>
        </w:rPr>
        <w:t> </w:t>
      </w:r>
      <w:r w:rsidR="0031342C" w:rsidRPr="00DF3EF6">
        <w:rPr>
          <w:noProof/>
        </w:rPr>
        <w:t>oce</w:t>
      </w:r>
      <w:r w:rsidRPr="00DF3EF6">
        <w:rPr>
          <w:noProof/>
        </w:rPr>
        <w:t>ną skutków wniosków dotyczących przeglądu dyrektywy BRRD</w:t>
      </w:r>
      <w:r w:rsidR="0031342C" w:rsidRPr="00DF3EF6">
        <w:rPr>
          <w:noProof/>
        </w:rPr>
        <w:t xml:space="preserve"> i</w:t>
      </w:r>
      <w:r w:rsidR="0031342C">
        <w:rPr>
          <w:noProof/>
        </w:rPr>
        <w:t> </w:t>
      </w:r>
      <w:r w:rsidR="0031342C" w:rsidRPr="00DF3EF6">
        <w:rPr>
          <w:noProof/>
        </w:rPr>
        <w:t>roz</w:t>
      </w:r>
      <w:r w:rsidRPr="00DF3EF6">
        <w:rPr>
          <w:noProof/>
        </w:rPr>
        <w:t xml:space="preserve">porządzenia SRMR, obejmującą informacje zwrotne otrzymane od zainteresowanych stron oraz potrzebę </w:t>
      </w:r>
      <w:r w:rsidRPr="00DF3EF6">
        <w:rPr>
          <w:noProof/>
        </w:rPr>
        <w:lastRenderedPageBreak/>
        <w:t>odniesienia się do różnych wzajemnie powiązanych kwestii obejmujących trzy różne teksty prawne</w:t>
      </w:r>
      <w:r w:rsidR="0031342C" w:rsidRPr="00DF3EF6">
        <w:rPr>
          <w:noProof/>
        </w:rPr>
        <w:t>. W</w:t>
      </w:r>
      <w:r w:rsidR="0031342C">
        <w:rPr>
          <w:noProof/>
        </w:rPr>
        <w:t> </w:t>
      </w:r>
      <w:r w:rsidR="0031342C" w:rsidRPr="00DF3EF6">
        <w:rPr>
          <w:noProof/>
        </w:rPr>
        <w:t>zał</w:t>
      </w:r>
      <w:r w:rsidRPr="00DF3EF6">
        <w:rPr>
          <w:noProof/>
        </w:rPr>
        <w:t>ączniku 6 do oceny skutków opisano kwestie związane</w:t>
      </w:r>
      <w:r w:rsidR="0031342C" w:rsidRPr="00DF3EF6">
        <w:rPr>
          <w:noProof/>
        </w:rPr>
        <w:t xml:space="preserve"> z</w:t>
      </w:r>
      <w:r w:rsidR="0031342C">
        <w:rPr>
          <w:noProof/>
        </w:rPr>
        <w:t> </w:t>
      </w:r>
      <w:r w:rsidR="0031342C" w:rsidRPr="00DF3EF6">
        <w:rPr>
          <w:noProof/>
        </w:rPr>
        <w:t>obe</w:t>
      </w:r>
      <w:r w:rsidRPr="00DF3EF6">
        <w:rPr>
          <w:noProof/>
        </w:rPr>
        <w:t>cnym funkcjonowaniem systemu gwarancji depozytów, przedstawiono możliwe scenariusze jego usprawnienia oraz uzasadniono warianty strategiczne, które wybrano</w:t>
      </w:r>
      <w:r w:rsidR="0031342C" w:rsidRPr="00DF3EF6">
        <w:rPr>
          <w:noProof/>
        </w:rPr>
        <w:t xml:space="preserve"> i</w:t>
      </w:r>
      <w:r w:rsidR="0031342C">
        <w:rPr>
          <w:noProof/>
        </w:rPr>
        <w:t> </w:t>
      </w:r>
      <w:r w:rsidR="0031342C" w:rsidRPr="00DF3EF6">
        <w:rPr>
          <w:noProof/>
        </w:rPr>
        <w:t>uwz</w:t>
      </w:r>
      <w:r w:rsidRPr="00DF3EF6">
        <w:rPr>
          <w:noProof/>
        </w:rPr>
        <w:t>ględniono</w:t>
      </w:r>
      <w:r w:rsidR="0031342C" w:rsidRPr="00DF3EF6">
        <w:rPr>
          <w:noProof/>
        </w:rPr>
        <w:t xml:space="preserve"> w</w:t>
      </w:r>
      <w:r w:rsidR="0031342C">
        <w:rPr>
          <w:noProof/>
        </w:rPr>
        <w:t> </w:t>
      </w:r>
      <w:r w:rsidR="0031342C" w:rsidRPr="00DF3EF6">
        <w:rPr>
          <w:noProof/>
        </w:rPr>
        <w:t>pro</w:t>
      </w:r>
      <w:r w:rsidRPr="00DF3EF6">
        <w:rPr>
          <w:noProof/>
        </w:rPr>
        <w:t>ponowanych zmianach. Stwierdzono, że dyrektywa</w:t>
      </w:r>
      <w:r w:rsidR="0031342C" w:rsidRPr="00DF3EF6">
        <w:rPr>
          <w:noProof/>
        </w:rPr>
        <w:t xml:space="preserve"> w</w:t>
      </w:r>
      <w:r w:rsidR="0031342C">
        <w:rPr>
          <w:noProof/>
        </w:rPr>
        <w:t> </w:t>
      </w:r>
      <w:r w:rsidR="0031342C" w:rsidRPr="00DF3EF6">
        <w:rPr>
          <w:noProof/>
        </w:rPr>
        <w:t>spr</w:t>
      </w:r>
      <w:r w:rsidRPr="00DF3EF6">
        <w:rPr>
          <w:noProof/>
        </w:rPr>
        <w:t>awie systemów gwarancji depozytów była zasadniczo skuteczna</w:t>
      </w:r>
      <w:r w:rsidR="0031342C" w:rsidRPr="00DF3EF6">
        <w:rPr>
          <w:noProof/>
        </w:rPr>
        <w:t xml:space="preserve"> w</w:t>
      </w:r>
      <w:r w:rsidR="0031342C">
        <w:rPr>
          <w:noProof/>
        </w:rPr>
        <w:t> </w:t>
      </w:r>
      <w:r w:rsidR="0031342C" w:rsidRPr="00DF3EF6">
        <w:rPr>
          <w:noProof/>
        </w:rPr>
        <w:t>zwi</w:t>
      </w:r>
      <w:r w:rsidRPr="00DF3EF6">
        <w:rPr>
          <w:noProof/>
        </w:rPr>
        <w:t>ększaniu poziomu ochrony deponentów w UE. Stosowanie środków zabezpieczających określonych</w:t>
      </w:r>
      <w:r w:rsidR="0031342C" w:rsidRPr="00DF3EF6">
        <w:rPr>
          <w:noProof/>
        </w:rPr>
        <w:t xml:space="preserve">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systemów gwarancji depozytów pozostaje jednak niejednolite wśród krajowych systemów gwarancji depozytów, co wyraźnie świadczy</w:t>
      </w:r>
      <w:r w:rsidR="0031342C" w:rsidRPr="00DF3EF6">
        <w:rPr>
          <w:noProof/>
        </w:rPr>
        <w:t xml:space="preserve"> o</w:t>
      </w:r>
      <w:r w:rsidR="0031342C">
        <w:rPr>
          <w:noProof/>
        </w:rPr>
        <w:t> </w:t>
      </w:r>
      <w:r w:rsidR="0031342C" w:rsidRPr="00DF3EF6">
        <w:rPr>
          <w:noProof/>
        </w:rPr>
        <w:t>pot</w:t>
      </w:r>
      <w:r w:rsidRPr="00DF3EF6">
        <w:rPr>
          <w:noProof/>
        </w:rPr>
        <w:t>rzebie ujednolicenia przepisów</w:t>
      </w:r>
      <w:r w:rsidR="0031342C" w:rsidRPr="00DF3EF6">
        <w:rPr>
          <w:noProof/>
        </w:rPr>
        <w:t xml:space="preserve"> w</w:t>
      </w:r>
      <w:r w:rsidR="0031342C">
        <w:rPr>
          <w:noProof/>
        </w:rPr>
        <w:t> </w:t>
      </w:r>
      <w:r w:rsidR="0031342C" w:rsidRPr="00DF3EF6">
        <w:rPr>
          <w:noProof/>
        </w:rPr>
        <w:t>cel</w:t>
      </w:r>
      <w:r w:rsidRPr="00DF3EF6">
        <w:rPr>
          <w:noProof/>
        </w:rPr>
        <w:t>u wyeliminowania rozbieżności mających niekorzystny wpływ na deponentów. Świadczy to również</w:t>
      </w:r>
      <w:r w:rsidR="0031342C" w:rsidRPr="00DF3EF6">
        <w:rPr>
          <w:noProof/>
        </w:rPr>
        <w:t xml:space="preserve"> o</w:t>
      </w:r>
      <w:r w:rsidR="0031342C">
        <w:rPr>
          <w:noProof/>
        </w:rPr>
        <w:t> </w:t>
      </w:r>
      <w:r w:rsidR="0031342C" w:rsidRPr="00DF3EF6">
        <w:rPr>
          <w:noProof/>
        </w:rPr>
        <w:t>pot</w:t>
      </w:r>
      <w:r w:rsidRPr="00DF3EF6">
        <w:rPr>
          <w:noProof/>
        </w:rPr>
        <w:t>rzebie wyjaśnienia zakresu gwarancji</w:t>
      </w:r>
      <w:r w:rsidR="0031342C" w:rsidRPr="00DF3EF6">
        <w:rPr>
          <w:noProof/>
        </w:rPr>
        <w:t xml:space="preserve"> w</w:t>
      </w:r>
      <w:r w:rsidR="0031342C">
        <w:rPr>
          <w:noProof/>
        </w:rPr>
        <w:t> </w:t>
      </w:r>
      <w:r w:rsidR="0031342C" w:rsidRPr="00DF3EF6">
        <w:rPr>
          <w:noProof/>
        </w:rPr>
        <w:t>odn</w:t>
      </w:r>
      <w:r w:rsidRPr="00DF3EF6">
        <w:rPr>
          <w:noProof/>
        </w:rPr>
        <w:t>iesieniu do określonych rodzajów deponentów.</w:t>
      </w:r>
    </w:p>
    <w:p w14:paraId="3D8E8D34" w14:textId="2B710D28" w:rsidR="00E25235" w:rsidRPr="00DF3EF6" w:rsidRDefault="00E25235" w:rsidP="00E25235">
      <w:pPr>
        <w:pBdr>
          <w:top w:val="nil"/>
          <w:left w:val="nil"/>
          <w:bottom w:val="nil"/>
          <w:right w:val="nil"/>
          <w:between w:val="nil"/>
          <w:bar w:val="nil"/>
        </w:pBdr>
        <w:spacing w:before="0" w:after="240"/>
        <w:rPr>
          <w:noProof/>
        </w:rPr>
      </w:pPr>
      <w:r w:rsidRPr="00DF3EF6">
        <w:rPr>
          <w:noProof/>
        </w:rPr>
        <w:t>We wszystkich wariantach strategicznych uwzględniono sugestie EUNB</w:t>
      </w:r>
      <w:r w:rsidR="0031342C" w:rsidRPr="00DF3EF6">
        <w:rPr>
          <w:noProof/>
        </w:rPr>
        <w:t xml:space="preserve"> i</w:t>
      </w:r>
      <w:r w:rsidR="0031342C">
        <w:rPr>
          <w:noProof/>
        </w:rPr>
        <w:t> </w:t>
      </w:r>
      <w:r w:rsidR="0031342C" w:rsidRPr="00DF3EF6">
        <w:rPr>
          <w:noProof/>
        </w:rPr>
        <w:t>póź</w:t>
      </w:r>
      <w:r w:rsidRPr="00DF3EF6">
        <w:rPr>
          <w:noProof/>
        </w:rPr>
        <w:t>niejsze informacje zwrotne otrzymane od ekspertów</w:t>
      </w:r>
      <w:r w:rsidR="0031342C" w:rsidRPr="00DF3EF6">
        <w:rPr>
          <w:noProof/>
        </w:rPr>
        <w:t xml:space="preserve"> z</w:t>
      </w:r>
      <w:r w:rsidR="0031342C">
        <w:rPr>
          <w:noProof/>
        </w:rPr>
        <w:t> </w:t>
      </w:r>
      <w:r w:rsidR="0031342C" w:rsidRPr="00DF3EF6">
        <w:rPr>
          <w:noProof/>
        </w:rPr>
        <w:t>pań</w:t>
      </w:r>
      <w:r w:rsidRPr="00DF3EF6">
        <w:rPr>
          <w:noProof/>
        </w:rPr>
        <w:t>stw członkowskich należących do Grupy Ekspertów Komisji ds. Bankowości, Płatności</w:t>
      </w:r>
      <w:r w:rsidR="0031342C" w:rsidRPr="00DF3EF6">
        <w:rPr>
          <w:noProof/>
        </w:rPr>
        <w:t xml:space="preserve"> i</w:t>
      </w:r>
      <w:r w:rsidR="0031342C">
        <w:rPr>
          <w:noProof/>
        </w:rPr>
        <w:t> </w:t>
      </w:r>
      <w:r w:rsidR="0031342C" w:rsidRPr="00DF3EF6">
        <w:rPr>
          <w:noProof/>
        </w:rPr>
        <w:t>Ube</w:t>
      </w:r>
      <w:r w:rsidRPr="00DF3EF6">
        <w:rPr>
          <w:noProof/>
        </w:rPr>
        <w:t>zpieczeń,</w:t>
      </w:r>
      <w:r w:rsidR="0031342C" w:rsidRPr="00DF3EF6">
        <w:rPr>
          <w:noProof/>
        </w:rPr>
        <w:t xml:space="preserve"> a</w:t>
      </w:r>
      <w:r w:rsidR="0031342C">
        <w:rPr>
          <w:noProof/>
        </w:rPr>
        <w:t> </w:t>
      </w:r>
      <w:r w:rsidR="0031342C" w:rsidRPr="00DF3EF6">
        <w:rPr>
          <w:noProof/>
        </w:rPr>
        <w:t>tak</w:t>
      </w:r>
      <w:r w:rsidRPr="00DF3EF6">
        <w:rPr>
          <w:noProof/>
        </w:rPr>
        <w:t>że inne dowody analityczne, jeżeli były dostępne.</w:t>
      </w:r>
    </w:p>
    <w:p w14:paraId="20CBC861" w14:textId="492DA77B" w:rsidR="00E25235" w:rsidRPr="00DF3EF6" w:rsidRDefault="00E25235" w:rsidP="00E25235">
      <w:pPr>
        <w:pBdr>
          <w:top w:val="nil"/>
          <w:left w:val="nil"/>
          <w:bottom w:val="nil"/>
          <w:right w:val="nil"/>
          <w:between w:val="nil"/>
          <w:bar w:val="nil"/>
        </w:pBdr>
        <w:spacing w:before="0" w:after="240"/>
        <w:rPr>
          <w:noProof/>
        </w:rPr>
      </w:pPr>
      <w:r w:rsidRPr="00DF3EF6">
        <w:rPr>
          <w:noProof/>
        </w:rPr>
        <w:t>W ocenie skutków podkreślono, że warianty strategiczne poddane ocenie usprawniłyby stosowanie gwarantowania depozytów</w:t>
      </w:r>
      <w:r w:rsidR="0031342C" w:rsidRPr="00DF3EF6">
        <w:rPr>
          <w:noProof/>
        </w:rPr>
        <w:t xml:space="preserve"> w</w:t>
      </w:r>
      <w:r w:rsidR="0031342C">
        <w:rPr>
          <w:noProof/>
        </w:rPr>
        <w:t> </w:t>
      </w:r>
      <w:r w:rsidR="0031342C" w:rsidRPr="00DF3EF6">
        <w:rPr>
          <w:noProof/>
        </w:rPr>
        <w:t>pań</w:t>
      </w:r>
      <w:r w:rsidRPr="00DF3EF6">
        <w:rPr>
          <w:noProof/>
        </w:rPr>
        <w:t>stwach członkowskich oraz przyczyniłyby się do zwiększenia pewności prawa</w:t>
      </w:r>
      <w:r w:rsidR="0031342C" w:rsidRPr="00DF3EF6">
        <w:rPr>
          <w:noProof/>
        </w:rPr>
        <w:t xml:space="preserve"> i</w:t>
      </w:r>
      <w:r w:rsidR="0031342C">
        <w:rPr>
          <w:noProof/>
        </w:rPr>
        <w:t> </w:t>
      </w:r>
      <w:r w:rsidR="0031342C" w:rsidRPr="00DF3EF6">
        <w:rPr>
          <w:noProof/>
        </w:rPr>
        <w:t>zau</w:t>
      </w:r>
      <w:r w:rsidRPr="00DF3EF6">
        <w:rPr>
          <w:noProof/>
        </w:rPr>
        <w:t>fania deponentów. Warianty te umożliwiłyby odpowiednie dostosowanie ochrony deponentów</w:t>
      </w:r>
      <w:r w:rsidR="0031342C" w:rsidRPr="00DF3EF6">
        <w:rPr>
          <w:noProof/>
        </w:rPr>
        <w:t xml:space="preserve"> w</w:t>
      </w:r>
      <w:r w:rsidR="0031342C">
        <w:rPr>
          <w:noProof/>
        </w:rPr>
        <w:t> </w:t>
      </w:r>
      <w:r w:rsidR="0031342C" w:rsidRPr="00DF3EF6">
        <w:rPr>
          <w:noProof/>
        </w:rPr>
        <w:t>świ</w:t>
      </w:r>
      <w:r w:rsidRPr="00DF3EF6">
        <w:rPr>
          <w:noProof/>
        </w:rPr>
        <w:t>etle ostatnich zmian</w:t>
      </w:r>
      <w:r w:rsidR="0031342C" w:rsidRPr="00DF3EF6">
        <w:rPr>
          <w:noProof/>
        </w:rPr>
        <w:t xml:space="preserve"> i</w:t>
      </w:r>
      <w:r w:rsidR="0031342C">
        <w:rPr>
          <w:noProof/>
        </w:rPr>
        <w:t> </w:t>
      </w:r>
      <w:r w:rsidR="0031342C" w:rsidRPr="00DF3EF6">
        <w:rPr>
          <w:noProof/>
        </w:rPr>
        <w:t>sła</w:t>
      </w:r>
      <w:r w:rsidRPr="00DF3EF6">
        <w:rPr>
          <w:noProof/>
        </w:rPr>
        <w:t>bości ekosystemu finansowego przez wprowadzenie przepisów szczegółowych ukierunkowanych na działalność transgraniczną, usługi świadczone przez podmioty</w:t>
      </w:r>
      <w:r w:rsidR="0031342C" w:rsidRPr="00DF3EF6">
        <w:rPr>
          <w:noProof/>
        </w:rPr>
        <w:t xml:space="preserve"> z</w:t>
      </w:r>
      <w:r w:rsidR="0031342C">
        <w:rPr>
          <w:noProof/>
        </w:rPr>
        <w:t> </w:t>
      </w:r>
      <w:r w:rsidR="0031342C" w:rsidRPr="00DF3EF6">
        <w:rPr>
          <w:noProof/>
        </w:rPr>
        <w:t>bra</w:t>
      </w:r>
      <w:r w:rsidRPr="00DF3EF6">
        <w:rPr>
          <w:noProof/>
        </w:rPr>
        <w:t>nży FinTech</w:t>
      </w:r>
      <w:r w:rsidR="0031342C" w:rsidRPr="00DF3EF6">
        <w:rPr>
          <w:noProof/>
        </w:rPr>
        <w:t xml:space="preserve"> i</w:t>
      </w:r>
      <w:r w:rsidR="0031342C">
        <w:rPr>
          <w:noProof/>
        </w:rPr>
        <w:t> </w:t>
      </w:r>
      <w:r w:rsidR="0031342C" w:rsidRPr="00DF3EF6">
        <w:rPr>
          <w:noProof/>
        </w:rPr>
        <w:t>prz</w:t>
      </w:r>
      <w:r w:rsidRPr="00DF3EF6">
        <w:rPr>
          <w:noProof/>
        </w:rPr>
        <w:t>eciwdziałanie praniu pieniędzy. Ułatwiłyby również wykorzystanie środków SGD do innych celów niż wypłaty depozytów gwarantowanych za pośrednictwem zmienionego testu najniższego kosztu,</w:t>
      </w:r>
      <w:r w:rsidR="0031342C" w:rsidRPr="00DF3EF6">
        <w:rPr>
          <w:noProof/>
        </w:rPr>
        <w:t xml:space="preserve"> w</w:t>
      </w:r>
      <w:r w:rsidR="0031342C">
        <w:rPr>
          <w:noProof/>
        </w:rPr>
        <w:t> </w:t>
      </w:r>
      <w:r w:rsidR="0031342C" w:rsidRPr="00DF3EF6">
        <w:rPr>
          <w:noProof/>
        </w:rPr>
        <w:t>prz</w:t>
      </w:r>
      <w:r w:rsidRPr="00DF3EF6">
        <w:rPr>
          <w:noProof/>
        </w:rPr>
        <w:t>ypadku gdy takie interwencje zapewniają dostęp deponentów do depozytów</w:t>
      </w:r>
      <w:r w:rsidR="0031342C" w:rsidRPr="00DF3EF6">
        <w:rPr>
          <w:noProof/>
        </w:rPr>
        <w:t xml:space="preserve"> w</w:t>
      </w:r>
      <w:r w:rsidR="0031342C">
        <w:rPr>
          <w:noProof/>
        </w:rPr>
        <w:t> </w:t>
      </w:r>
      <w:r w:rsidR="0031342C" w:rsidRPr="00DF3EF6">
        <w:rPr>
          <w:noProof/>
        </w:rPr>
        <w:t>bar</w:t>
      </w:r>
      <w:r w:rsidRPr="00DF3EF6">
        <w:rPr>
          <w:noProof/>
        </w:rPr>
        <w:t>dziej opłacalny sposób.</w:t>
      </w:r>
    </w:p>
    <w:p w14:paraId="44D2E577" w14:textId="0EAEC481" w:rsidR="00E25235" w:rsidRPr="00DF3EF6" w:rsidRDefault="00E25235" w:rsidP="00E25235">
      <w:pPr>
        <w:pBdr>
          <w:top w:val="nil"/>
          <w:left w:val="nil"/>
          <w:bottom w:val="nil"/>
          <w:right w:val="nil"/>
          <w:between w:val="nil"/>
          <w:bar w:val="nil"/>
        </w:pBdr>
        <w:spacing w:before="0" w:after="240"/>
        <w:rPr>
          <w:noProof/>
        </w:rPr>
      </w:pPr>
      <w:r w:rsidRPr="00DF3EF6">
        <w:rPr>
          <w:noProof/>
        </w:rPr>
        <w:t>Przez wyraźne włączenie określonych rodzajów deponentów</w:t>
      </w:r>
      <w:r w:rsidR="0031342C" w:rsidRPr="00DF3EF6">
        <w:rPr>
          <w:noProof/>
        </w:rPr>
        <w:t xml:space="preserve"> i</w:t>
      </w:r>
      <w:r w:rsidR="0031342C">
        <w:rPr>
          <w:noProof/>
        </w:rPr>
        <w:t> </w:t>
      </w:r>
      <w:r w:rsidR="0031342C" w:rsidRPr="00DF3EF6">
        <w:rPr>
          <w:noProof/>
        </w:rPr>
        <w:t>dep</w:t>
      </w:r>
      <w:r w:rsidRPr="00DF3EF6">
        <w:rPr>
          <w:noProof/>
        </w:rPr>
        <w:t>ozytów</w:t>
      </w:r>
      <w:r w:rsidR="0031342C" w:rsidRPr="00DF3EF6">
        <w:rPr>
          <w:noProof/>
        </w:rPr>
        <w:t xml:space="preserve"> w</w:t>
      </w:r>
      <w:r w:rsidR="0031342C">
        <w:rPr>
          <w:noProof/>
        </w:rPr>
        <w:t> </w:t>
      </w:r>
      <w:r w:rsidR="0031342C" w:rsidRPr="00DF3EF6">
        <w:rPr>
          <w:noProof/>
        </w:rPr>
        <w:t>zak</w:t>
      </w:r>
      <w:r w:rsidRPr="00DF3EF6">
        <w:rPr>
          <w:noProof/>
        </w:rPr>
        <w:t>res gwarancji (organy publiczne, środki finansowe należących do klientów)</w:t>
      </w:r>
      <w:r w:rsidR="0031342C" w:rsidRPr="00DF3EF6">
        <w:rPr>
          <w:noProof/>
        </w:rPr>
        <w:t xml:space="preserve"> i</w:t>
      </w:r>
      <w:r w:rsidR="0031342C">
        <w:rPr>
          <w:noProof/>
        </w:rPr>
        <w:t> </w:t>
      </w:r>
      <w:r w:rsidR="0031342C" w:rsidRPr="00DF3EF6">
        <w:rPr>
          <w:noProof/>
        </w:rPr>
        <w:t>dal</w:t>
      </w:r>
      <w:r w:rsidRPr="00DF3EF6">
        <w:rPr>
          <w:noProof/>
        </w:rPr>
        <w:t>szą harmonizację niektórych przepisów (minimalny poziom gwarancji dla tymczasowo wysokich sald, usunięcie możliwości dokonania odliczenia zobowiązań deponentów</w:t>
      </w:r>
      <w:r w:rsidR="0031342C" w:rsidRPr="00DF3EF6">
        <w:rPr>
          <w:noProof/>
        </w:rPr>
        <w:t xml:space="preserve"> z</w:t>
      </w:r>
      <w:r w:rsidR="0031342C">
        <w:rPr>
          <w:noProof/>
        </w:rPr>
        <w:t> </w:t>
      </w:r>
      <w:r w:rsidR="0031342C" w:rsidRPr="00DF3EF6">
        <w:rPr>
          <w:noProof/>
        </w:rPr>
        <w:t>kwo</w:t>
      </w:r>
      <w:r w:rsidRPr="00DF3EF6">
        <w:rPr>
          <w:noProof/>
        </w:rPr>
        <w:t>ty podlegającej spłacie) zmiany te mogą mieć wpływ – choć ograniczony – na koszty systemów gwarancji depozytów. Wpływ finansowy na system gwarancji depozytów mogłyby również wywrzeć zmiany testu najniższego kosztu</w:t>
      </w:r>
      <w:r w:rsidR="0031342C" w:rsidRPr="00DF3EF6">
        <w:rPr>
          <w:noProof/>
        </w:rPr>
        <w:t xml:space="preserve"> w</w:t>
      </w:r>
      <w:r w:rsidR="0031342C">
        <w:rPr>
          <w:noProof/>
        </w:rPr>
        <w:t> </w:t>
      </w:r>
      <w:r w:rsidR="0031342C" w:rsidRPr="00DF3EF6">
        <w:rPr>
          <w:noProof/>
        </w:rPr>
        <w:t>odn</w:t>
      </w:r>
      <w:r w:rsidRPr="00DF3EF6">
        <w:rPr>
          <w:noProof/>
        </w:rPr>
        <w:t>iesieniu do stosowania systemu gwarancji depozytów do celów interwencji innych niż dotyczące wypłaty. Koszty te byłyby ponoszone przez sektor bankowy</w:t>
      </w:r>
      <w:r w:rsidR="0031342C" w:rsidRPr="00DF3EF6">
        <w:rPr>
          <w:noProof/>
        </w:rPr>
        <w:t xml:space="preserve"> w</w:t>
      </w:r>
      <w:r w:rsidR="0031342C">
        <w:rPr>
          <w:noProof/>
        </w:rPr>
        <w:t> </w:t>
      </w:r>
      <w:r w:rsidR="0031342C" w:rsidRPr="00DF3EF6">
        <w:rPr>
          <w:noProof/>
        </w:rPr>
        <w:t>dro</w:t>
      </w:r>
      <w:r w:rsidRPr="00DF3EF6">
        <w:rPr>
          <w:noProof/>
        </w:rPr>
        <w:t>dze składek wnoszonych na rzecz systemu gwarancji depozytów,</w:t>
      </w:r>
      <w:r w:rsidR="0031342C" w:rsidRPr="00DF3EF6">
        <w:rPr>
          <w:noProof/>
        </w:rPr>
        <w:t xml:space="preserve"> a</w:t>
      </w:r>
      <w:r w:rsidR="0031342C">
        <w:rPr>
          <w:noProof/>
        </w:rPr>
        <w:t> </w:t>
      </w:r>
      <w:r w:rsidR="0031342C" w:rsidRPr="00DF3EF6">
        <w:rPr>
          <w:noProof/>
        </w:rPr>
        <w:t>zgo</w:t>
      </w:r>
      <w:r w:rsidRPr="00DF3EF6">
        <w:rPr>
          <w:noProof/>
        </w:rPr>
        <w:t>dnie</w:t>
      </w:r>
      <w:r w:rsidR="0031342C" w:rsidRPr="00DF3EF6">
        <w:rPr>
          <w:noProof/>
        </w:rPr>
        <w:t xml:space="preserve"> z</w:t>
      </w:r>
      <w:r w:rsidR="0031342C">
        <w:rPr>
          <w:noProof/>
        </w:rPr>
        <w:t> </w:t>
      </w:r>
      <w:r w:rsidR="0031342C" w:rsidRPr="00DF3EF6">
        <w:rPr>
          <w:noProof/>
        </w:rPr>
        <w:t>zas</w:t>
      </w:r>
      <w:r w:rsidRPr="00DF3EF6">
        <w:rPr>
          <w:noProof/>
        </w:rPr>
        <w:t>adą ochrony pieniędzy publicznych, ustanowionej</w:t>
      </w:r>
      <w:r w:rsidR="0031342C" w:rsidRPr="00DF3EF6">
        <w:rPr>
          <w:noProof/>
        </w:rPr>
        <w:t xml:space="preserve">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systemów gwarancji depozytów, nie miałyby wpływu na podatników.</w:t>
      </w:r>
    </w:p>
    <w:p w14:paraId="69B9D0DB" w14:textId="1B68827F" w:rsidR="00E25235" w:rsidRPr="00DF3EF6" w:rsidRDefault="00E25235" w:rsidP="00E25235">
      <w:pPr>
        <w:pBdr>
          <w:top w:val="nil"/>
          <w:left w:val="nil"/>
          <w:bottom w:val="nil"/>
          <w:right w:val="nil"/>
          <w:between w:val="nil"/>
          <w:bar w:val="nil"/>
        </w:pBdr>
        <w:spacing w:before="0" w:after="240"/>
        <w:rPr>
          <w:noProof/>
        </w:rPr>
      </w:pPr>
      <w:r w:rsidRPr="00DF3EF6">
        <w:rPr>
          <w:noProof/>
        </w:rPr>
        <w:t>W ocenie skutków potwierdzono także, że unijne ramy systemów gwarancji depozytów byłyby bardziej odporne, gdyby zostały zabezpieczone europejskim systemem gwarantowania depozytów. Łączenie środków pieniężnych we wspólnym systemie wzmocniłoby zdolność systemu gwarantowania depozytów</w:t>
      </w:r>
      <w:r w:rsidR="0031342C" w:rsidRPr="00DF3EF6">
        <w:rPr>
          <w:noProof/>
        </w:rPr>
        <w:t xml:space="preserve"> w</w:t>
      </w:r>
      <w:r w:rsidR="0031342C">
        <w:rPr>
          <w:noProof/>
        </w:rPr>
        <w:t> </w:t>
      </w:r>
      <w:r w:rsidR="0031342C" w:rsidRPr="00DF3EF6">
        <w:rPr>
          <w:noProof/>
        </w:rPr>
        <w:t>uni</w:t>
      </w:r>
      <w:r w:rsidRPr="00DF3EF6">
        <w:rPr>
          <w:noProof/>
        </w:rPr>
        <w:t>i bankowej do sprostania wypłatom</w:t>
      </w:r>
      <w:r w:rsidR="0031342C" w:rsidRPr="00DF3EF6">
        <w:rPr>
          <w:noProof/>
        </w:rPr>
        <w:t xml:space="preserve"> o</w:t>
      </w:r>
      <w:r w:rsidR="0031342C">
        <w:rPr>
          <w:noProof/>
        </w:rPr>
        <w:t> </w:t>
      </w:r>
      <w:r w:rsidR="0031342C" w:rsidRPr="00DF3EF6">
        <w:rPr>
          <w:noProof/>
        </w:rPr>
        <w:t>duż</w:t>
      </w:r>
      <w:r w:rsidRPr="00DF3EF6">
        <w:rPr>
          <w:noProof/>
        </w:rPr>
        <w:t>ej wartości</w:t>
      </w:r>
      <w:r w:rsidR="0031342C" w:rsidRPr="00DF3EF6">
        <w:rPr>
          <w:noProof/>
        </w:rPr>
        <w:t xml:space="preserve"> i</w:t>
      </w:r>
      <w:r w:rsidR="0031342C">
        <w:rPr>
          <w:noProof/>
        </w:rPr>
        <w:t> </w:t>
      </w:r>
      <w:r w:rsidR="0031342C" w:rsidRPr="00DF3EF6">
        <w:rPr>
          <w:noProof/>
        </w:rPr>
        <w:t>zwi</w:t>
      </w:r>
      <w:r w:rsidRPr="00DF3EF6">
        <w:rPr>
          <w:noProof/>
        </w:rPr>
        <w:t>ększenia zaufania deponentów. Chociaż pod względem technicznym wariant strategiczny zakładający utworzenie europejskiego systemu gwarantowania depozytów jest najsolidniejszym wariantem, to na tym etapie jest to niewykonalne</w:t>
      </w:r>
      <w:r w:rsidR="0031342C" w:rsidRPr="00DF3EF6">
        <w:rPr>
          <w:noProof/>
        </w:rPr>
        <w:t xml:space="preserve"> z</w:t>
      </w:r>
      <w:r w:rsidR="0031342C">
        <w:rPr>
          <w:noProof/>
        </w:rPr>
        <w:t> </w:t>
      </w:r>
      <w:r w:rsidR="0031342C" w:rsidRPr="00DF3EF6">
        <w:rPr>
          <w:noProof/>
        </w:rPr>
        <w:t>pol</w:t>
      </w:r>
      <w:r w:rsidRPr="00DF3EF6">
        <w:rPr>
          <w:noProof/>
        </w:rPr>
        <w:t>itycznego punktu widzenia.</w:t>
      </w:r>
    </w:p>
    <w:p w14:paraId="188E5E77" w14:textId="6F7C259B" w:rsidR="00E25235" w:rsidRPr="00DF3EF6" w:rsidRDefault="00E25235" w:rsidP="00E25235">
      <w:pPr>
        <w:pBdr>
          <w:top w:val="nil"/>
          <w:left w:val="nil"/>
          <w:bottom w:val="nil"/>
          <w:right w:val="nil"/>
          <w:between w:val="nil"/>
          <w:bar w:val="nil"/>
        </w:pBdr>
        <w:spacing w:before="0" w:after="240"/>
        <w:rPr>
          <w:noProof/>
        </w:rPr>
      </w:pPr>
      <w:r w:rsidRPr="00DF3EF6">
        <w:rPr>
          <w:noProof/>
        </w:rPr>
        <w:t>Rada ds. Kontroli Regulacyjnej zatwierdziła ocenę skutków po wydaniu pierwszej negatywnej opinii. Aby odnieść się do uwag zgłoszonych przez Radę</w:t>
      </w:r>
      <w:r w:rsidR="0031342C" w:rsidRPr="00DF3EF6">
        <w:rPr>
          <w:noProof/>
        </w:rPr>
        <w:t xml:space="preserve"> w</w:t>
      </w:r>
      <w:r w:rsidR="0031342C">
        <w:rPr>
          <w:noProof/>
        </w:rPr>
        <w:t> </w:t>
      </w:r>
      <w:r w:rsidR="0031342C" w:rsidRPr="00DF3EF6">
        <w:rPr>
          <w:noProof/>
        </w:rPr>
        <w:t>odn</w:t>
      </w:r>
      <w:r w:rsidRPr="00DF3EF6">
        <w:rPr>
          <w:noProof/>
        </w:rPr>
        <w:t xml:space="preserve">iesieniu do </w:t>
      </w:r>
      <w:r w:rsidRPr="00DF3EF6">
        <w:rPr>
          <w:noProof/>
        </w:rPr>
        <w:lastRenderedPageBreak/>
        <w:t>funkcjonowania systemu gwarancji depozytów, zmieniono ocenę skutków</w:t>
      </w:r>
      <w:r w:rsidR="0031342C" w:rsidRPr="00DF3EF6">
        <w:rPr>
          <w:noProof/>
        </w:rPr>
        <w:t xml:space="preserve"> w</w:t>
      </w:r>
      <w:r w:rsidR="0031342C">
        <w:rPr>
          <w:noProof/>
        </w:rPr>
        <w:t> </w:t>
      </w:r>
      <w:r w:rsidR="0031342C" w:rsidRPr="00DF3EF6">
        <w:rPr>
          <w:noProof/>
        </w:rPr>
        <w:t>cel</w:t>
      </w:r>
      <w:r w:rsidRPr="00DF3EF6">
        <w:rPr>
          <w:noProof/>
        </w:rPr>
        <w:t>u lepszego sprecyzowania powiązań między opinią EUNB</w:t>
      </w:r>
      <w:r w:rsidR="0031342C" w:rsidRPr="00DF3EF6">
        <w:rPr>
          <w:noProof/>
        </w:rPr>
        <w:t xml:space="preserve"> a</w:t>
      </w:r>
      <w:r w:rsidR="0031342C">
        <w:rPr>
          <w:noProof/>
        </w:rPr>
        <w:t> </w:t>
      </w:r>
      <w:r w:rsidR="0031342C" w:rsidRPr="00DF3EF6">
        <w:rPr>
          <w:noProof/>
        </w:rPr>
        <w:t>war</w:t>
      </w:r>
      <w:r w:rsidRPr="00DF3EF6">
        <w:rPr>
          <w:noProof/>
        </w:rPr>
        <w:t>iantami określonymi</w:t>
      </w:r>
      <w:r w:rsidR="0031342C" w:rsidRPr="00DF3EF6">
        <w:rPr>
          <w:noProof/>
        </w:rPr>
        <w:t xml:space="preserve"> w</w:t>
      </w:r>
      <w:r w:rsidR="0031342C">
        <w:rPr>
          <w:noProof/>
        </w:rPr>
        <w:t> </w:t>
      </w:r>
      <w:r w:rsidR="0031342C" w:rsidRPr="00DF3EF6">
        <w:rPr>
          <w:noProof/>
        </w:rPr>
        <w:t>oce</w:t>
      </w:r>
      <w:r w:rsidRPr="00DF3EF6">
        <w:rPr>
          <w:noProof/>
        </w:rPr>
        <w:t xml:space="preserve">nie skutków. </w:t>
      </w:r>
    </w:p>
    <w:p w14:paraId="28CACD34" w14:textId="36B5D536" w:rsidR="00E25235" w:rsidRPr="00DF3EF6" w:rsidRDefault="00E25235" w:rsidP="00E25235">
      <w:pPr>
        <w:pStyle w:val="ManualHeading2"/>
        <w:rPr>
          <w:noProof/>
          <w:u w:color="000000"/>
          <w:bdr w:val="nil"/>
        </w:rPr>
      </w:pPr>
      <w:r w:rsidRPr="00DF3EF6">
        <w:rPr>
          <w:noProof/>
          <w:u w:color="000000"/>
          <w:bdr w:val="nil"/>
        </w:rPr>
        <w:t>•</w:t>
      </w:r>
      <w:r w:rsidRPr="00DF3EF6">
        <w:rPr>
          <w:noProof/>
        </w:rPr>
        <w:tab/>
      </w:r>
      <w:r w:rsidRPr="00DF3EF6">
        <w:rPr>
          <w:noProof/>
          <w:u w:color="000000"/>
          <w:bdr w:val="nil"/>
        </w:rPr>
        <w:t>Sprawność regulacyjna</w:t>
      </w:r>
      <w:r w:rsidR="0031342C" w:rsidRPr="00DF3EF6">
        <w:rPr>
          <w:noProof/>
          <w:u w:color="000000"/>
          <w:bdr w:val="nil"/>
        </w:rPr>
        <w:t xml:space="preserve"> i</w:t>
      </w:r>
      <w:r w:rsidR="0031342C">
        <w:rPr>
          <w:noProof/>
          <w:u w:color="000000"/>
          <w:bdr w:val="nil"/>
        </w:rPr>
        <w:t> </w:t>
      </w:r>
      <w:r w:rsidR="0031342C" w:rsidRPr="00DF3EF6">
        <w:rPr>
          <w:noProof/>
          <w:u w:color="000000"/>
          <w:bdr w:val="nil"/>
        </w:rPr>
        <w:t>upr</w:t>
      </w:r>
      <w:r w:rsidRPr="00DF3EF6">
        <w:rPr>
          <w:noProof/>
          <w:u w:color="000000"/>
          <w:bdr w:val="nil"/>
        </w:rPr>
        <w:t>oszczenie</w:t>
      </w:r>
    </w:p>
    <w:p w14:paraId="072F12CB" w14:textId="32A04378" w:rsidR="00E25235" w:rsidRPr="00DF3EF6" w:rsidRDefault="00E25235" w:rsidP="00E25235">
      <w:pPr>
        <w:pBdr>
          <w:top w:val="nil"/>
          <w:left w:val="nil"/>
          <w:bottom w:val="nil"/>
          <w:right w:val="nil"/>
          <w:between w:val="nil"/>
          <w:bar w:val="nil"/>
        </w:pBdr>
        <w:spacing w:before="0" w:after="240"/>
        <w:rPr>
          <w:noProof/>
        </w:rPr>
      </w:pPr>
      <w:r w:rsidRPr="00DF3EF6">
        <w:rPr>
          <w:noProof/>
        </w:rPr>
        <w:t>Wniosek powinien przyczynić się do ograniczenia obciążenia regulacyjnego</w:t>
      </w:r>
      <w:r w:rsidR="0031342C" w:rsidRPr="00DF3EF6">
        <w:rPr>
          <w:noProof/>
        </w:rPr>
        <w:t xml:space="preserve"> i</w:t>
      </w:r>
      <w:r w:rsidR="0031342C">
        <w:rPr>
          <w:noProof/>
        </w:rPr>
        <w:t> </w:t>
      </w:r>
      <w:r w:rsidR="0031342C" w:rsidRPr="00DF3EF6">
        <w:rPr>
          <w:noProof/>
        </w:rPr>
        <w:t>adm</w:t>
      </w:r>
      <w:r w:rsidRPr="00DF3EF6">
        <w:rPr>
          <w:noProof/>
        </w:rPr>
        <w:t>inistracyjnego systemu gwarancji depozytów dzięki likwidacji niektórych krajowych opcji</w:t>
      </w:r>
      <w:r w:rsidR="0031342C" w:rsidRPr="00DF3EF6">
        <w:rPr>
          <w:noProof/>
        </w:rPr>
        <w:t xml:space="preserve"> i</w:t>
      </w:r>
      <w:r w:rsidR="0031342C">
        <w:rPr>
          <w:noProof/>
        </w:rPr>
        <w:t> </w:t>
      </w:r>
      <w:r w:rsidR="0031342C" w:rsidRPr="00DF3EF6">
        <w:rPr>
          <w:noProof/>
        </w:rPr>
        <w:t>swo</w:t>
      </w:r>
      <w:r w:rsidRPr="00DF3EF6">
        <w:rPr>
          <w:noProof/>
        </w:rPr>
        <w:t>bód, stosowaniu zasady równego traktowania oddziałów</w:t>
      </w:r>
      <w:r w:rsidR="0031342C" w:rsidRPr="00DF3EF6">
        <w:rPr>
          <w:noProof/>
        </w:rPr>
        <w:t xml:space="preserve"> z</w:t>
      </w:r>
      <w:r w:rsidR="0031342C">
        <w:rPr>
          <w:noProof/>
        </w:rPr>
        <w:t> </w:t>
      </w:r>
      <w:r w:rsidR="0031342C" w:rsidRPr="00DF3EF6">
        <w:rPr>
          <w:noProof/>
        </w:rPr>
        <w:t>pań</w:t>
      </w:r>
      <w:r w:rsidRPr="00DF3EF6">
        <w:rPr>
          <w:noProof/>
        </w:rPr>
        <w:t>stw trzecich oraz wzmocnieniu mechanizmów współpracy transgranicznej między systemami gwarancji depozytów. Dzięki uproszczeniu wymaganych informacji podlegających ujawnieniu</w:t>
      </w:r>
      <w:r w:rsidR="0031342C" w:rsidRPr="00DF3EF6">
        <w:rPr>
          <w:noProof/>
        </w:rPr>
        <w:t xml:space="preserve"> i</w:t>
      </w:r>
      <w:r w:rsidR="0031342C">
        <w:rPr>
          <w:noProof/>
        </w:rPr>
        <w:t> </w:t>
      </w:r>
      <w:r w:rsidR="0031342C" w:rsidRPr="00DF3EF6">
        <w:rPr>
          <w:noProof/>
        </w:rPr>
        <w:t>dos</w:t>
      </w:r>
      <w:r w:rsidRPr="00DF3EF6">
        <w:rPr>
          <w:noProof/>
        </w:rPr>
        <w:t>tosowaniu ich do tego, co jest niezbędne dla odbiorców, zmiany przyczynią się do zmniejszenia nakładu pracy administracyjnej</w:t>
      </w:r>
      <w:r w:rsidR="0031342C" w:rsidRPr="00DF3EF6">
        <w:rPr>
          <w:noProof/>
        </w:rPr>
        <w:t xml:space="preserve"> w</w:t>
      </w:r>
      <w:r w:rsidR="0031342C">
        <w:rPr>
          <w:noProof/>
        </w:rPr>
        <w:t> </w:t>
      </w:r>
      <w:r w:rsidR="0031342C" w:rsidRPr="00DF3EF6">
        <w:rPr>
          <w:noProof/>
        </w:rPr>
        <w:t>zak</w:t>
      </w:r>
      <w:r w:rsidRPr="00DF3EF6">
        <w:rPr>
          <w:noProof/>
        </w:rPr>
        <w:t xml:space="preserve">resie realizacji wymogów dotyczących systemu gwarancji depozytów. </w:t>
      </w:r>
    </w:p>
    <w:p w14:paraId="33F0B37D" w14:textId="5A5B1A8A" w:rsidR="00E25235" w:rsidRPr="00DF3EF6" w:rsidRDefault="00E25235" w:rsidP="00E25235">
      <w:pPr>
        <w:pBdr>
          <w:top w:val="nil"/>
          <w:left w:val="nil"/>
          <w:bottom w:val="nil"/>
          <w:right w:val="nil"/>
          <w:between w:val="nil"/>
          <w:bar w:val="nil"/>
        </w:pBdr>
        <w:spacing w:before="0" w:after="240"/>
        <w:rPr>
          <w:noProof/>
        </w:rPr>
      </w:pPr>
      <w:r w:rsidRPr="00DF3EF6">
        <w:rPr>
          <w:noProof/>
        </w:rPr>
        <w:t>Jeśli chodzi</w:t>
      </w:r>
      <w:r w:rsidR="0031342C" w:rsidRPr="00DF3EF6">
        <w:rPr>
          <w:noProof/>
        </w:rPr>
        <w:t xml:space="preserve"> o</w:t>
      </w:r>
      <w:r w:rsidR="0031342C">
        <w:rPr>
          <w:noProof/>
        </w:rPr>
        <w:t> </w:t>
      </w:r>
      <w:r w:rsidR="0031342C" w:rsidRPr="00DF3EF6">
        <w:rPr>
          <w:noProof/>
        </w:rPr>
        <w:t>got</w:t>
      </w:r>
      <w:r w:rsidRPr="00DF3EF6">
        <w:rPr>
          <w:noProof/>
        </w:rPr>
        <w:t>owość cyfrową, wniosek opiera się na zmianach technologicznych</w:t>
      </w:r>
      <w:r w:rsidR="0031342C" w:rsidRPr="00DF3EF6">
        <w:rPr>
          <w:noProof/>
        </w:rPr>
        <w:t xml:space="preserve"> i</w:t>
      </w:r>
      <w:r w:rsidR="0031342C">
        <w:rPr>
          <w:noProof/>
        </w:rPr>
        <w:t> </w:t>
      </w:r>
      <w:r w:rsidR="0031342C" w:rsidRPr="00DF3EF6">
        <w:rPr>
          <w:noProof/>
        </w:rPr>
        <w:t>pra</w:t>
      </w:r>
      <w:r w:rsidRPr="00DF3EF6">
        <w:rPr>
          <w:noProof/>
        </w:rPr>
        <w:t>wnych</w:t>
      </w:r>
      <w:r w:rsidR="0031342C" w:rsidRPr="00DF3EF6">
        <w:rPr>
          <w:noProof/>
        </w:rPr>
        <w:t xml:space="preserve"> w</w:t>
      </w:r>
      <w:r w:rsidR="0031342C">
        <w:rPr>
          <w:noProof/>
        </w:rPr>
        <w:t> </w:t>
      </w:r>
      <w:r w:rsidR="0031342C" w:rsidRPr="00DF3EF6">
        <w:rPr>
          <w:noProof/>
        </w:rPr>
        <w:t>cel</w:t>
      </w:r>
      <w:r w:rsidRPr="00DF3EF6">
        <w:rPr>
          <w:noProof/>
        </w:rPr>
        <w:t>u zapewnienia, aby informacje dla deponentów były łatwo dostępne oraz aby proces wypłat przebiegał możliwie jak najszybciej.</w:t>
      </w:r>
    </w:p>
    <w:p w14:paraId="34228FAA" w14:textId="0149D6FE" w:rsidR="00E25235" w:rsidRPr="00DF3EF6" w:rsidRDefault="00E25235" w:rsidP="00E25235">
      <w:pPr>
        <w:pBdr>
          <w:top w:val="nil"/>
          <w:left w:val="nil"/>
          <w:bottom w:val="nil"/>
          <w:right w:val="nil"/>
          <w:between w:val="nil"/>
          <w:bar w:val="nil"/>
        </w:pBdr>
        <w:spacing w:before="0" w:after="240"/>
        <w:rPr>
          <w:noProof/>
        </w:rPr>
      </w:pPr>
      <w:r w:rsidRPr="00DF3EF6">
        <w:rPr>
          <w:noProof/>
        </w:rPr>
        <w:t>Ponadto uprawnienia nadane EUNB umożliwią dalsze dostosowania</w:t>
      </w:r>
      <w:r w:rsidR="0031342C" w:rsidRPr="00DF3EF6">
        <w:rPr>
          <w:noProof/>
        </w:rPr>
        <w:t xml:space="preserve"> w</w:t>
      </w:r>
      <w:r w:rsidR="0031342C">
        <w:rPr>
          <w:noProof/>
        </w:rPr>
        <w:t> </w:t>
      </w:r>
      <w:r w:rsidR="0031342C" w:rsidRPr="00DF3EF6">
        <w:rPr>
          <w:noProof/>
        </w:rPr>
        <w:t>cel</w:t>
      </w:r>
      <w:r w:rsidRPr="00DF3EF6">
        <w:rPr>
          <w:noProof/>
        </w:rPr>
        <w:t>u dalszej poprawy</w:t>
      </w:r>
      <w:r w:rsidR="0031342C" w:rsidRPr="00DF3EF6">
        <w:rPr>
          <w:noProof/>
        </w:rPr>
        <w:t xml:space="preserve"> i</w:t>
      </w:r>
      <w:r w:rsidR="0031342C">
        <w:rPr>
          <w:noProof/>
        </w:rPr>
        <w:t> </w:t>
      </w:r>
      <w:r w:rsidR="0031342C" w:rsidRPr="00DF3EF6">
        <w:rPr>
          <w:noProof/>
        </w:rPr>
        <w:t>har</w:t>
      </w:r>
      <w:r w:rsidRPr="00DF3EF6">
        <w:rPr>
          <w:noProof/>
        </w:rPr>
        <w:t>monizacji praktycznego wdrażania przepisów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p>
    <w:p w14:paraId="2CEE2AA6" w14:textId="67664D22" w:rsidR="00E25235" w:rsidRPr="00DF3EF6" w:rsidRDefault="00E25235" w:rsidP="00E25235">
      <w:pPr>
        <w:pBdr>
          <w:top w:val="nil"/>
          <w:left w:val="nil"/>
          <w:bottom w:val="nil"/>
          <w:right w:val="nil"/>
          <w:between w:val="nil"/>
          <w:bar w:val="nil"/>
        </w:pBdr>
        <w:spacing w:before="0" w:after="240"/>
        <w:rPr>
          <w:noProof/>
        </w:rPr>
      </w:pPr>
      <w:r w:rsidRPr="00DF3EF6">
        <w:rPr>
          <w:noProof/>
        </w:rPr>
        <w:t>W odniesieniu do banków</w:t>
      </w:r>
      <w:r w:rsidR="0031342C" w:rsidRPr="00DF3EF6">
        <w:rPr>
          <w:noProof/>
        </w:rPr>
        <w:t xml:space="preserve"> i</w:t>
      </w:r>
      <w:r w:rsidR="0031342C">
        <w:rPr>
          <w:noProof/>
        </w:rPr>
        <w:t> </w:t>
      </w:r>
      <w:r w:rsidR="0031342C" w:rsidRPr="00DF3EF6">
        <w:rPr>
          <w:noProof/>
        </w:rPr>
        <w:t>org</w:t>
      </w:r>
      <w:r w:rsidRPr="00DF3EF6">
        <w:rPr>
          <w:noProof/>
        </w:rPr>
        <w:t>anów krajowych koszty byłyby bardzo ograniczone. Oczekuje się, że każde wzmocnienie ochrony deponentów przewidziane we wniosku</w:t>
      </w:r>
      <w:r w:rsidR="0031342C" w:rsidRPr="00DF3EF6">
        <w:rPr>
          <w:noProof/>
        </w:rPr>
        <w:t xml:space="preserve"> w</w:t>
      </w:r>
      <w:r w:rsidR="0031342C">
        <w:rPr>
          <w:noProof/>
        </w:rPr>
        <w:t> </w:t>
      </w:r>
      <w:r w:rsidR="0031342C" w:rsidRPr="00DF3EF6">
        <w:rPr>
          <w:noProof/>
        </w:rPr>
        <w:t>spr</w:t>
      </w:r>
      <w:r w:rsidRPr="00DF3EF6">
        <w:rPr>
          <w:noProof/>
        </w:rPr>
        <w:t>awie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(tymczasowo wysokie salda, środki finansowe należące do klientów, organy publiczne) będzie miało jedynie marginalny wpływ na środki SGD. Na przykład</w:t>
      </w:r>
      <w:r w:rsidR="0031342C" w:rsidRPr="00DF3EF6">
        <w:rPr>
          <w:noProof/>
        </w:rPr>
        <w:t xml:space="preserve"> w</w:t>
      </w:r>
      <w:r w:rsidR="0031342C">
        <w:rPr>
          <w:noProof/>
        </w:rPr>
        <w:t> </w:t>
      </w:r>
      <w:r w:rsidR="0031342C" w:rsidRPr="00DF3EF6">
        <w:rPr>
          <w:noProof/>
        </w:rPr>
        <w:t>1</w:t>
      </w:r>
      <w:r w:rsidRPr="00DF3EF6">
        <w:rPr>
          <w:noProof/>
        </w:rPr>
        <w:t xml:space="preserve">3 państwach członkowskich kwota środków finansowych należących do klientów stanowi mniej niż </w:t>
      </w:r>
      <w:r w:rsidRPr="0031342C">
        <w:rPr>
          <w:noProof/>
        </w:rPr>
        <w:t>1</w:t>
      </w:r>
      <w:r w:rsidR="0031342C" w:rsidRPr="0031342C">
        <w:rPr>
          <w:noProof/>
        </w:rPr>
        <w:t> </w:t>
      </w:r>
      <w:r w:rsidRPr="0031342C">
        <w:rPr>
          <w:noProof/>
        </w:rPr>
        <w:t>%</w:t>
      </w:r>
      <w:r w:rsidRPr="00DF3EF6">
        <w:rPr>
          <w:noProof/>
        </w:rPr>
        <w:t xml:space="preserve"> wszystkich depozytów gwarantowanych</w:t>
      </w:r>
      <w:r w:rsidR="0031342C" w:rsidRPr="00DF3EF6">
        <w:rPr>
          <w:noProof/>
        </w:rPr>
        <w:t xml:space="preserve"> w</w:t>
      </w:r>
      <w:r w:rsidR="0031342C">
        <w:rPr>
          <w:noProof/>
        </w:rPr>
        <w:t> </w:t>
      </w:r>
      <w:r w:rsidR="0031342C" w:rsidRPr="00DF3EF6">
        <w:rPr>
          <w:noProof/>
        </w:rPr>
        <w:t>dan</w:t>
      </w:r>
      <w:r w:rsidRPr="00DF3EF6">
        <w:rPr>
          <w:noProof/>
        </w:rPr>
        <w:t>ym państwie członkowskim. Wniosek przyczyni się</w:t>
      </w:r>
      <w:r w:rsidR="0031342C" w:rsidRPr="00DF3EF6">
        <w:rPr>
          <w:noProof/>
        </w:rPr>
        <w:t xml:space="preserve"> w</w:t>
      </w:r>
      <w:r w:rsidR="0031342C">
        <w:rPr>
          <w:noProof/>
        </w:rPr>
        <w:t> </w:t>
      </w:r>
      <w:r w:rsidR="0031342C" w:rsidRPr="00DF3EF6">
        <w:rPr>
          <w:noProof/>
        </w:rPr>
        <w:t>zwi</w:t>
      </w:r>
      <w:r w:rsidRPr="00DF3EF6">
        <w:rPr>
          <w:noProof/>
        </w:rPr>
        <w:t>ązku</w:t>
      </w:r>
      <w:r w:rsidR="0031342C" w:rsidRPr="00DF3EF6">
        <w:rPr>
          <w:noProof/>
        </w:rPr>
        <w:t xml:space="preserve"> z</w:t>
      </w:r>
      <w:r w:rsidR="0031342C">
        <w:rPr>
          <w:noProof/>
        </w:rPr>
        <w:t> </w:t>
      </w:r>
      <w:r w:rsidR="0031342C" w:rsidRPr="00DF3EF6">
        <w:rPr>
          <w:noProof/>
        </w:rPr>
        <w:t>tym</w:t>
      </w:r>
      <w:r w:rsidRPr="00DF3EF6">
        <w:rPr>
          <w:noProof/>
        </w:rPr>
        <w:t xml:space="preserve"> do zachowania konkurencyjności sektora bankowego UE</w:t>
      </w:r>
      <w:r w:rsidR="0031342C" w:rsidRPr="00DF3EF6">
        <w:rPr>
          <w:noProof/>
        </w:rPr>
        <w:t xml:space="preserve"> i</w:t>
      </w:r>
      <w:r w:rsidR="0031342C">
        <w:rPr>
          <w:noProof/>
        </w:rPr>
        <w:t> </w:t>
      </w:r>
      <w:r w:rsidR="0031342C" w:rsidRPr="00DF3EF6">
        <w:rPr>
          <w:noProof/>
        </w:rPr>
        <w:t>jed</w:t>
      </w:r>
      <w:r w:rsidRPr="00DF3EF6">
        <w:rPr>
          <w:noProof/>
        </w:rPr>
        <w:t>nocześnie do wzmocnienia ochrony oferowanej deponentom unijnym. Co więcej, potencjalne dodatkowe koszty – jakkolwiek ograniczone – wynikające</w:t>
      </w:r>
      <w:r w:rsidR="0031342C" w:rsidRPr="00DF3EF6">
        <w:rPr>
          <w:noProof/>
        </w:rPr>
        <w:t xml:space="preserve"> z</w:t>
      </w:r>
      <w:r w:rsidR="0031342C">
        <w:rPr>
          <w:noProof/>
        </w:rPr>
        <w:t> </w:t>
      </w:r>
      <w:r w:rsidR="0031342C" w:rsidRPr="00DF3EF6">
        <w:rPr>
          <w:noProof/>
        </w:rPr>
        <w:t>tyc</w:t>
      </w:r>
      <w:r w:rsidRPr="00DF3EF6">
        <w:rPr>
          <w:noProof/>
        </w:rPr>
        <w:t>h usprawnień zostałyby</w:t>
      </w:r>
      <w:r w:rsidR="0031342C" w:rsidRPr="00DF3EF6">
        <w:rPr>
          <w:noProof/>
        </w:rPr>
        <w:t xml:space="preserve"> w</w:t>
      </w:r>
      <w:r w:rsidR="0031342C">
        <w:rPr>
          <w:noProof/>
        </w:rPr>
        <w:t> </w:t>
      </w:r>
      <w:r w:rsidR="0031342C" w:rsidRPr="00DF3EF6">
        <w:rPr>
          <w:noProof/>
        </w:rPr>
        <w:t>zna</w:t>
      </w:r>
      <w:r w:rsidRPr="00DF3EF6">
        <w:rPr>
          <w:noProof/>
        </w:rPr>
        <w:t>cznym stopniu skompensowane przez obniżone koszty</w:t>
      </w:r>
      <w:r w:rsidR="0031342C" w:rsidRPr="00DF3EF6">
        <w:rPr>
          <w:noProof/>
        </w:rPr>
        <w:t xml:space="preserve"> w</w:t>
      </w:r>
      <w:r w:rsidR="0031342C">
        <w:rPr>
          <w:noProof/>
        </w:rPr>
        <w:t> </w:t>
      </w:r>
      <w:r w:rsidR="0031342C" w:rsidRPr="00DF3EF6">
        <w:rPr>
          <w:noProof/>
        </w:rPr>
        <w:t>odn</w:t>
      </w:r>
      <w:r w:rsidRPr="00DF3EF6">
        <w:rPr>
          <w:noProof/>
        </w:rPr>
        <w:t>iesieniu do systemów gwarancji depozytów ponoszone</w:t>
      </w:r>
      <w:r w:rsidR="0031342C" w:rsidRPr="00DF3EF6">
        <w:rPr>
          <w:noProof/>
        </w:rPr>
        <w:t xml:space="preserve"> w</w:t>
      </w:r>
      <w:r w:rsidR="0031342C">
        <w:rPr>
          <w:noProof/>
        </w:rPr>
        <w:t> </w:t>
      </w:r>
      <w:r w:rsidR="0031342C" w:rsidRPr="00DF3EF6">
        <w:rPr>
          <w:noProof/>
        </w:rPr>
        <w:t>ram</w:t>
      </w:r>
      <w:r w:rsidRPr="00DF3EF6">
        <w:rPr>
          <w:noProof/>
        </w:rPr>
        <w:t>ach ich bieżącej działalności, której podstawę stanowi dyrektywa podlegająca przeglądowi</w:t>
      </w:r>
      <w:r w:rsidR="0031342C" w:rsidRPr="00DF3EF6">
        <w:rPr>
          <w:noProof/>
        </w:rPr>
        <w:t>. W</w:t>
      </w:r>
      <w:r w:rsidR="0031342C">
        <w:rPr>
          <w:noProof/>
        </w:rPr>
        <w:t> </w:t>
      </w:r>
      <w:r w:rsidR="0031342C" w:rsidRPr="00DF3EF6">
        <w:rPr>
          <w:noProof/>
        </w:rPr>
        <w:t>ist</w:t>
      </w:r>
      <w:r w:rsidRPr="00DF3EF6">
        <w:rPr>
          <w:noProof/>
        </w:rPr>
        <w:t xml:space="preserve">ocie dzięki ograniczeniu liczby opcji, uproszczeniu istniejących mechanizmów współpracy transgranicznej oraz ustanowieniu na szczeblu UE wspólnej metodyki przeprowadzania testu najniższego kosztu, wniosek spowoduje uwolnienie zasobów administracyjnych systemu gwarancji depozytów. </w:t>
      </w:r>
    </w:p>
    <w:p w14:paraId="47E6FD7E" w14:textId="595C366B" w:rsidR="00E25235" w:rsidRPr="00DF3EF6" w:rsidRDefault="00E25235" w:rsidP="00E25235">
      <w:pPr>
        <w:pBdr>
          <w:top w:val="nil"/>
          <w:left w:val="nil"/>
          <w:bottom w:val="nil"/>
          <w:right w:val="nil"/>
          <w:between w:val="nil"/>
          <w:bar w:val="nil"/>
        </w:pBdr>
        <w:spacing w:before="0" w:after="240"/>
        <w:rPr>
          <w:noProof/>
        </w:rPr>
      </w:pPr>
      <w:r w:rsidRPr="00DF3EF6">
        <w:rPr>
          <w:noProof/>
        </w:rPr>
        <w:t>Ze względu na zwiększoną rolę systemów gwarancji depozytów</w:t>
      </w:r>
      <w:r w:rsidR="0031342C" w:rsidRPr="00DF3EF6">
        <w:rPr>
          <w:noProof/>
        </w:rPr>
        <w:t xml:space="preserve"> w</w:t>
      </w:r>
      <w:r w:rsidR="0031342C">
        <w:rPr>
          <w:noProof/>
        </w:rPr>
        <w:t> </w:t>
      </w:r>
      <w:r w:rsidR="0031342C" w:rsidRPr="00DF3EF6">
        <w:rPr>
          <w:noProof/>
        </w:rPr>
        <w:t>zar</w:t>
      </w:r>
      <w:r w:rsidRPr="00DF3EF6">
        <w:rPr>
          <w:noProof/>
        </w:rPr>
        <w:t>ządzaniu kryzysowym, wykorzystywanie ich środków finansowych pozyskiwanych</w:t>
      </w:r>
      <w:r w:rsidR="0031342C" w:rsidRPr="00DF3EF6">
        <w:rPr>
          <w:noProof/>
        </w:rPr>
        <w:t xml:space="preserve"> z</w:t>
      </w:r>
      <w:r w:rsidR="0031342C">
        <w:rPr>
          <w:noProof/>
        </w:rPr>
        <w:t> </w:t>
      </w:r>
      <w:r w:rsidR="0031342C" w:rsidRPr="00DF3EF6">
        <w:rPr>
          <w:noProof/>
        </w:rPr>
        <w:t>sek</w:t>
      </w:r>
      <w:r w:rsidRPr="00DF3EF6">
        <w:rPr>
          <w:noProof/>
        </w:rPr>
        <w:t>tora bankowego może wymagać częstszego uzupełniania ich funduszy. Zgodnie</w:t>
      </w:r>
      <w:r w:rsidR="0031342C" w:rsidRPr="00DF3EF6">
        <w:rPr>
          <w:noProof/>
        </w:rPr>
        <w:t xml:space="preserve"> z</w:t>
      </w:r>
      <w:r w:rsidR="0031342C">
        <w:rPr>
          <w:noProof/>
        </w:rPr>
        <w:t> </w:t>
      </w:r>
      <w:r w:rsidR="0031342C" w:rsidRPr="00DF3EF6">
        <w:rPr>
          <w:noProof/>
        </w:rPr>
        <w:t>tes</w:t>
      </w:r>
      <w:r w:rsidRPr="00DF3EF6">
        <w:rPr>
          <w:noProof/>
        </w:rPr>
        <w:t>tem najniższego kosztu możliwość zastosowania tego rodzaju środków dopuszcza się jednak wyłącznie wówczas, gdy środki te zostaną uznane za mniej kosztowne dla systemu gwarancji depozytów niż scenariusz zakładający wypłatę. Podejście to stanowi zabezpieczenie ich zasobów finansowych</w:t>
      </w:r>
      <w:r w:rsidR="0031342C" w:rsidRPr="00DF3EF6">
        <w:rPr>
          <w:noProof/>
        </w:rPr>
        <w:t xml:space="preserve"> w</w:t>
      </w:r>
      <w:r w:rsidR="0031342C">
        <w:rPr>
          <w:noProof/>
        </w:rPr>
        <w:t> </w:t>
      </w:r>
      <w:r w:rsidR="0031342C" w:rsidRPr="00DF3EF6">
        <w:rPr>
          <w:noProof/>
        </w:rPr>
        <w:t>per</w:t>
      </w:r>
      <w:r w:rsidRPr="00DF3EF6">
        <w:rPr>
          <w:noProof/>
        </w:rPr>
        <w:t>spektywie długoterminowej.</w:t>
      </w:r>
    </w:p>
    <w:p w14:paraId="0397A6CA" w14:textId="77777777" w:rsidR="00E25235" w:rsidRPr="00DF3EF6" w:rsidRDefault="00E25235" w:rsidP="00E25235">
      <w:pPr>
        <w:pStyle w:val="ManualHeading2"/>
        <w:rPr>
          <w:noProof/>
          <w:u w:color="000000"/>
          <w:bdr w:val="nil"/>
        </w:rPr>
      </w:pPr>
      <w:r w:rsidRPr="00DF3EF6">
        <w:rPr>
          <w:noProof/>
          <w:u w:color="000000"/>
          <w:bdr w:val="nil"/>
        </w:rPr>
        <w:t>•</w:t>
      </w:r>
      <w:r w:rsidRPr="00DF3EF6">
        <w:rPr>
          <w:noProof/>
        </w:rPr>
        <w:tab/>
      </w:r>
      <w:r w:rsidRPr="00DF3EF6">
        <w:rPr>
          <w:noProof/>
          <w:u w:color="000000"/>
          <w:bdr w:val="nil"/>
        </w:rPr>
        <w:t>Prawa podstawowe</w:t>
      </w:r>
    </w:p>
    <w:p w14:paraId="6BE648F4" w14:textId="5022C367" w:rsidR="00E25235" w:rsidRPr="00DF3EF6" w:rsidRDefault="00E25235" w:rsidP="00E25235">
      <w:pPr>
        <w:pBdr>
          <w:top w:val="nil"/>
          <w:left w:val="nil"/>
          <w:bottom w:val="nil"/>
          <w:right w:val="nil"/>
          <w:between w:val="nil"/>
          <w:bar w:val="nil"/>
        </w:pBdr>
        <w:spacing w:before="0" w:after="240"/>
        <w:rPr>
          <w:noProof/>
        </w:rPr>
      </w:pPr>
      <w:r w:rsidRPr="00DF3EF6">
        <w:rPr>
          <w:noProof/>
        </w:rPr>
        <w:t>Wniosek nie narusza praw podstawowych</w:t>
      </w:r>
      <w:r w:rsidR="0031342C" w:rsidRPr="00DF3EF6">
        <w:rPr>
          <w:noProof/>
        </w:rPr>
        <w:t xml:space="preserve"> i</w:t>
      </w:r>
      <w:r w:rsidR="0031342C">
        <w:rPr>
          <w:noProof/>
        </w:rPr>
        <w:t> </w:t>
      </w:r>
      <w:r w:rsidR="0031342C" w:rsidRPr="00DF3EF6">
        <w:rPr>
          <w:noProof/>
        </w:rPr>
        <w:t>jes</w:t>
      </w:r>
      <w:r w:rsidRPr="00DF3EF6">
        <w:rPr>
          <w:noProof/>
        </w:rPr>
        <w:t>t zgodny</w:t>
      </w:r>
      <w:r w:rsidR="0031342C" w:rsidRPr="00DF3EF6">
        <w:rPr>
          <w:noProof/>
        </w:rPr>
        <w:t xml:space="preserve"> z</w:t>
      </w:r>
      <w:r w:rsidR="0031342C">
        <w:rPr>
          <w:noProof/>
        </w:rPr>
        <w:t> </w:t>
      </w:r>
      <w:r w:rsidR="0031342C" w:rsidRPr="00DF3EF6">
        <w:rPr>
          <w:noProof/>
        </w:rPr>
        <w:t>zas</w:t>
      </w:r>
      <w:r w:rsidRPr="00DF3EF6">
        <w:rPr>
          <w:noProof/>
        </w:rPr>
        <w:t>adami zapisanymi</w:t>
      </w:r>
      <w:r w:rsidR="0031342C" w:rsidRPr="00DF3EF6">
        <w:rPr>
          <w:noProof/>
        </w:rPr>
        <w:t xml:space="preserve"> w</w:t>
      </w:r>
      <w:r w:rsidR="0031342C">
        <w:rPr>
          <w:noProof/>
        </w:rPr>
        <w:t> </w:t>
      </w:r>
      <w:r w:rsidR="0031342C" w:rsidRPr="00DF3EF6">
        <w:rPr>
          <w:noProof/>
        </w:rPr>
        <w:t>Kar</w:t>
      </w:r>
      <w:r w:rsidRPr="00DF3EF6">
        <w:rPr>
          <w:noProof/>
        </w:rPr>
        <w:t>cie praw podstawowych UE,</w:t>
      </w:r>
      <w:r w:rsidR="0031342C" w:rsidRPr="00DF3EF6">
        <w:rPr>
          <w:noProof/>
        </w:rPr>
        <w:t xml:space="preserve"> w</w:t>
      </w:r>
      <w:r w:rsidR="0031342C">
        <w:rPr>
          <w:noProof/>
        </w:rPr>
        <w:t> </w:t>
      </w:r>
      <w:r w:rsidR="0031342C" w:rsidRPr="00DF3EF6">
        <w:rPr>
          <w:noProof/>
        </w:rPr>
        <w:t>szc</w:t>
      </w:r>
      <w:r w:rsidRPr="00DF3EF6">
        <w:rPr>
          <w:noProof/>
        </w:rPr>
        <w:t>zególności</w:t>
      </w:r>
      <w:r w:rsidR="0031342C" w:rsidRPr="00DF3EF6">
        <w:rPr>
          <w:noProof/>
        </w:rPr>
        <w:t xml:space="preserve"> z</w:t>
      </w:r>
      <w:r w:rsidR="0031342C">
        <w:rPr>
          <w:noProof/>
        </w:rPr>
        <w:t> </w:t>
      </w:r>
      <w:r w:rsidR="0031342C" w:rsidRPr="00DF3EF6">
        <w:rPr>
          <w:noProof/>
        </w:rPr>
        <w:t>zas</w:t>
      </w:r>
      <w:r w:rsidRPr="00DF3EF6">
        <w:rPr>
          <w:noProof/>
        </w:rPr>
        <w:t xml:space="preserve">adą wolności prowadzenia działalności </w:t>
      </w:r>
      <w:r w:rsidRPr="00DF3EF6">
        <w:rPr>
          <w:noProof/>
        </w:rPr>
        <w:lastRenderedPageBreak/>
        <w:t>gospodarczej (</w:t>
      </w:r>
      <w:r w:rsidRPr="0031342C">
        <w:rPr>
          <w:noProof/>
        </w:rPr>
        <w:t>art.</w:t>
      </w:r>
      <w:r w:rsidR="0031342C" w:rsidRPr="0031342C">
        <w:rPr>
          <w:noProof/>
        </w:rPr>
        <w:t> </w:t>
      </w:r>
      <w:r w:rsidRPr="0031342C">
        <w:rPr>
          <w:noProof/>
        </w:rPr>
        <w:t>1</w:t>
      </w:r>
      <w:r w:rsidRPr="00DF3EF6">
        <w:rPr>
          <w:noProof/>
        </w:rPr>
        <w:t>6), prawem własności (</w:t>
      </w:r>
      <w:r w:rsidRPr="0031342C">
        <w:rPr>
          <w:noProof/>
        </w:rPr>
        <w:t>art.</w:t>
      </w:r>
      <w:r w:rsidR="0031342C" w:rsidRPr="0031342C">
        <w:rPr>
          <w:noProof/>
        </w:rPr>
        <w:t> </w:t>
      </w:r>
      <w:r w:rsidRPr="0031342C">
        <w:rPr>
          <w:noProof/>
        </w:rPr>
        <w:t>1</w:t>
      </w:r>
      <w:r w:rsidRPr="00DF3EF6">
        <w:rPr>
          <w:noProof/>
        </w:rPr>
        <w:t>7) oraz zasadą ochrony konsumentów (</w:t>
      </w:r>
      <w:r w:rsidRPr="0031342C">
        <w:rPr>
          <w:noProof/>
        </w:rPr>
        <w:t>art.</w:t>
      </w:r>
      <w:r w:rsidR="0031342C" w:rsidRPr="0031342C">
        <w:rPr>
          <w:noProof/>
        </w:rPr>
        <w:t> </w:t>
      </w:r>
      <w:r w:rsidRPr="0031342C">
        <w:rPr>
          <w:noProof/>
        </w:rPr>
        <w:t>3</w:t>
      </w:r>
      <w:r w:rsidRPr="00DF3EF6">
        <w:rPr>
          <w:noProof/>
        </w:rPr>
        <w:t>8).</w:t>
      </w:r>
    </w:p>
    <w:p w14:paraId="7C89B3F8" w14:textId="77777777" w:rsidR="00E25235" w:rsidRPr="00DF3EF6" w:rsidRDefault="00E25235" w:rsidP="00E25235">
      <w:pPr>
        <w:pStyle w:val="ManualHeading1"/>
        <w:rPr>
          <w:noProof/>
        </w:rPr>
      </w:pPr>
      <w:r w:rsidRPr="00DF3EF6">
        <w:rPr>
          <w:noProof/>
        </w:rPr>
        <w:t>4.</w:t>
      </w:r>
      <w:r w:rsidRPr="00DF3EF6">
        <w:rPr>
          <w:noProof/>
        </w:rPr>
        <w:tab/>
        <w:t>WPŁYW NA BUDŻET</w:t>
      </w:r>
    </w:p>
    <w:p w14:paraId="49CA30B2" w14:textId="1A8B138A" w:rsidR="00E25235" w:rsidRPr="00DF3EF6" w:rsidRDefault="00E25235" w:rsidP="00E25235">
      <w:pPr>
        <w:pBdr>
          <w:top w:val="nil"/>
          <w:left w:val="nil"/>
          <w:bottom w:val="nil"/>
          <w:right w:val="nil"/>
          <w:between w:val="nil"/>
          <w:bar w:val="nil"/>
        </w:pBdr>
        <w:spacing w:before="0" w:after="240"/>
        <w:rPr>
          <w:noProof/>
        </w:rPr>
      </w:pPr>
      <w:r w:rsidRPr="00DF3EF6">
        <w:rPr>
          <w:noProof/>
        </w:rPr>
        <w:t>Niniejszy wniosek nie ma wpływu na budżet UE. We wniosku wymaga się od EUNB opracowania siedmiu standardów technicznych</w:t>
      </w:r>
      <w:r w:rsidR="0031342C" w:rsidRPr="00DF3EF6">
        <w:rPr>
          <w:noProof/>
        </w:rPr>
        <w:t xml:space="preserve"> i</w:t>
      </w:r>
      <w:r w:rsidR="0031342C">
        <w:rPr>
          <w:noProof/>
        </w:rPr>
        <w:t> </w:t>
      </w:r>
      <w:r w:rsidR="0031342C" w:rsidRPr="00DF3EF6">
        <w:rPr>
          <w:noProof/>
        </w:rPr>
        <w:t>sze</w:t>
      </w:r>
      <w:r w:rsidRPr="00DF3EF6">
        <w:rPr>
          <w:noProof/>
        </w:rPr>
        <w:t>ściu wytycznych oprócz już zawartych</w:t>
      </w:r>
      <w:r w:rsidR="0031342C" w:rsidRPr="00DF3EF6">
        <w:rPr>
          <w:noProof/>
        </w:rPr>
        <w:t xml:space="preserve"> w</w:t>
      </w:r>
      <w:r w:rsidR="0031342C">
        <w:rPr>
          <w:noProof/>
        </w:rPr>
        <w:t> </w:t>
      </w:r>
      <w:r w:rsidR="0031342C" w:rsidRPr="00DF3EF6">
        <w:rPr>
          <w:noProof/>
        </w:rPr>
        <w:t>dyr</w:t>
      </w:r>
      <w:r w:rsidRPr="00DF3EF6">
        <w:rPr>
          <w:noProof/>
        </w:rPr>
        <w:t>ektywie</w:t>
      </w:r>
      <w:r w:rsidR="0031342C" w:rsidRPr="00DF3EF6">
        <w:rPr>
          <w:noProof/>
        </w:rPr>
        <w:t xml:space="preserve"> w</w:t>
      </w:r>
      <w:r w:rsidR="0031342C">
        <w:rPr>
          <w:noProof/>
        </w:rPr>
        <w:t> </w:t>
      </w:r>
      <w:r w:rsidR="0031342C" w:rsidRPr="00DF3EF6">
        <w:rPr>
          <w:noProof/>
        </w:rPr>
        <w:t>spr</w:t>
      </w:r>
      <w:r w:rsidRPr="00DF3EF6">
        <w:rPr>
          <w:noProof/>
        </w:rPr>
        <w:t>awie systemów gwarancji depozytów. Spośród sześciu nowych dyspozycji</w:t>
      </w:r>
      <w:r w:rsidR="0031342C" w:rsidRPr="00DF3EF6">
        <w:rPr>
          <w:noProof/>
        </w:rPr>
        <w:t xml:space="preserve"> w</w:t>
      </w:r>
      <w:r w:rsidR="0031342C">
        <w:rPr>
          <w:noProof/>
        </w:rPr>
        <w:t> </w:t>
      </w:r>
      <w:r w:rsidR="0031342C" w:rsidRPr="00DF3EF6">
        <w:rPr>
          <w:noProof/>
        </w:rPr>
        <w:t>spr</w:t>
      </w:r>
      <w:r w:rsidRPr="00DF3EF6">
        <w:rPr>
          <w:noProof/>
        </w:rPr>
        <w:t>awie wytycznych trzy mają na celu wyłącznie ujednolicenie</w:t>
      </w:r>
      <w:r w:rsidR="0031342C" w:rsidRPr="00DF3EF6">
        <w:rPr>
          <w:noProof/>
        </w:rPr>
        <w:t xml:space="preserve"> w</w:t>
      </w:r>
      <w:r w:rsidR="0031342C">
        <w:rPr>
          <w:noProof/>
        </w:rPr>
        <w:t> </w:t>
      </w:r>
      <w:r w:rsidR="0031342C" w:rsidRPr="00DF3EF6">
        <w:rPr>
          <w:noProof/>
        </w:rPr>
        <w:t>prz</w:t>
      </w:r>
      <w:r w:rsidRPr="00DF3EF6">
        <w:rPr>
          <w:noProof/>
        </w:rPr>
        <w:t>episach poziomu pierwszego już istniejących wytycznych (test warunków skrajnych, rozgraniczenie</w:t>
      </w:r>
      <w:r w:rsidR="0031342C" w:rsidRPr="00DF3EF6">
        <w:rPr>
          <w:noProof/>
        </w:rPr>
        <w:t xml:space="preserve"> i</w:t>
      </w:r>
      <w:r w:rsidR="0031342C">
        <w:rPr>
          <w:noProof/>
        </w:rPr>
        <w:t> </w:t>
      </w:r>
      <w:r w:rsidR="0031342C" w:rsidRPr="00DF3EF6">
        <w:rPr>
          <w:noProof/>
        </w:rPr>
        <w:t>zgł</w:t>
      </w:r>
      <w:r w:rsidRPr="00DF3EF6">
        <w:rPr>
          <w:noProof/>
        </w:rPr>
        <w:t>aszanie dostępnych środków finansowych, umowy</w:t>
      </w:r>
      <w:r w:rsidR="0031342C" w:rsidRPr="00DF3EF6">
        <w:rPr>
          <w:noProof/>
        </w:rPr>
        <w:t xml:space="preserve"> o</w:t>
      </w:r>
      <w:r w:rsidR="0031342C">
        <w:rPr>
          <w:noProof/>
        </w:rPr>
        <w:t> </w:t>
      </w:r>
      <w:r w:rsidR="0031342C" w:rsidRPr="00DF3EF6">
        <w:rPr>
          <w:noProof/>
        </w:rPr>
        <w:t>wsp</w:t>
      </w:r>
      <w:r w:rsidRPr="00DF3EF6">
        <w:rPr>
          <w:noProof/>
        </w:rPr>
        <w:t>ółpracy), które EUNB wydał</w:t>
      </w:r>
      <w:r w:rsidR="0031342C" w:rsidRPr="00DF3EF6">
        <w:rPr>
          <w:noProof/>
        </w:rPr>
        <w:t xml:space="preserve"> z</w:t>
      </w:r>
      <w:r w:rsidR="0031342C">
        <w:rPr>
          <w:noProof/>
        </w:rPr>
        <w:t> </w:t>
      </w:r>
      <w:r w:rsidR="0031342C" w:rsidRPr="00DF3EF6">
        <w:rPr>
          <w:noProof/>
        </w:rPr>
        <w:t>wła</w:t>
      </w:r>
      <w:r w:rsidRPr="00DF3EF6">
        <w:rPr>
          <w:noProof/>
        </w:rPr>
        <w:t>snej inicjatywy. Opracowanie tych wytycznych nie wymaga zatem znaczącego dodatkowego obciążenia pracą. Pozostałe uprawnienia przewidziane we wniosku dotyczą różnych tematów</w:t>
      </w:r>
      <w:r w:rsidR="0031342C" w:rsidRPr="00DF3EF6">
        <w:rPr>
          <w:noProof/>
        </w:rPr>
        <w:t xml:space="preserve"> i</w:t>
      </w:r>
      <w:r w:rsidR="0031342C">
        <w:rPr>
          <w:noProof/>
        </w:rPr>
        <w:t> </w:t>
      </w:r>
      <w:r w:rsidR="0031342C" w:rsidRPr="00DF3EF6">
        <w:rPr>
          <w:noProof/>
        </w:rPr>
        <w:t>obe</w:t>
      </w:r>
      <w:r w:rsidRPr="00DF3EF6">
        <w:rPr>
          <w:noProof/>
        </w:rPr>
        <w:t>jmują zarówno ściśle ukierunkowane upoważnienia (zasada dywersyfikacji aktywów</w:t>
      </w:r>
      <w:r w:rsidR="0031342C" w:rsidRPr="00DF3EF6">
        <w:rPr>
          <w:noProof/>
        </w:rPr>
        <w:t xml:space="preserve"> o</w:t>
      </w:r>
      <w:r w:rsidR="0031342C">
        <w:rPr>
          <w:noProof/>
        </w:rPr>
        <w:t> </w:t>
      </w:r>
      <w:r w:rsidR="0031342C" w:rsidRPr="00DF3EF6">
        <w:rPr>
          <w:noProof/>
        </w:rPr>
        <w:t>nis</w:t>
      </w:r>
      <w:r w:rsidRPr="00DF3EF6">
        <w:rPr>
          <w:noProof/>
        </w:rPr>
        <w:t>kim ryzyku), jak</w:t>
      </w:r>
      <w:r w:rsidR="0031342C" w:rsidRPr="00DF3EF6">
        <w:rPr>
          <w:noProof/>
        </w:rPr>
        <w:t xml:space="preserve"> i</w:t>
      </w:r>
      <w:r w:rsidR="0031342C">
        <w:rPr>
          <w:noProof/>
        </w:rPr>
        <w:t> </w:t>
      </w:r>
      <w:r w:rsidR="0031342C" w:rsidRPr="00DF3EF6">
        <w:rPr>
          <w:noProof/>
        </w:rPr>
        <w:t>sze</w:t>
      </w:r>
      <w:r w:rsidRPr="00DF3EF6">
        <w:rPr>
          <w:noProof/>
        </w:rPr>
        <w:t>rsze tematy (definicja najniższego kosztu).</w:t>
      </w:r>
    </w:p>
    <w:p w14:paraId="6CBB0363" w14:textId="276BEC3B" w:rsidR="00E25235" w:rsidRPr="00DF3EF6" w:rsidRDefault="00E25235" w:rsidP="00E25235">
      <w:pPr>
        <w:pBdr>
          <w:top w:val="nil"/>
          <w:left w:val="nil"/>
          <w:bottom w:val="nil"/>
          <w:right w:val="nil"/>
          <w:between w:val="nil"/>
          <w:bar w:val="nil"/>
        </w:pBdr>
        <w:spacing w:before="0" w:after="240"/>
        <w:rPr>
          <w:noProof/>
        </w:rPr>
      </w:pPr>
      <w:r w:rsidRPr="00DF3EF6">
        <w:rPr>
          <w:noProof/>
        </w:rPr>
        <w:t>Biorąc pod uwagę przeszłe</w:t>
      </w:r>
      <w:r w:rsidR="0031342C" w:rsidRPr="00DF3EF6">
        <w:rPr>
          <w:noProof/>
        </w:rPr>
        <w:t xml:space="preserve"> i</w:t>
      </w:r>
      <w:r w:rsidR="0031342C">
        <w:rPr>
          <w:noProof/>
        </w:rPr>
        <w:t> </w:t>
      </w:r>
      <w:r w:rsidR="0031342C" w:rsidRPr="00DF3EF6">
        <w:rPr>
          <w:noProof/>
        </w:rPr>
        <w:t>obe</w:t>
      </w:r>
      <w:r w:rsidRPr="00DF3EF6">
        <w:rPr>
          <w:noProof/>
        </w:rPr>
        <w:t>cne prace EUNB</w:t>
      </w:r>
      <w:r w:rsidR="0031342C" w:rsidRPr="00DF3EF6">
        <w:rPr>
          <w:noProof/>
        </w:rPr>
        <w:t xml:space="preserve"> w</w:t>
      </w:r>
      <w:r w:rsidR="0031342C">
        <w:rPr>
          <w:noProof/>
        </w:rPr>
        <w:t> </w:t>
      </w:r>
      <w:r w:rsidR="0031342C" w:rsidRPr="00DF3EF6">
        <w:rPr>
          <w:noProof/>
        </w:rPr>
        <w:t>zak</w:t>
      </w:r>
      <w:r w:rsidRPr="00DF3EF6">
        <w:rPr>
          <w:noProof/>
        </w:rPr>
        <w:t>resie zarządzania kryzysowego, uważa się, że proponowane zadania EUNB nie będą wymagały dodatkowych stanowisk</w:t>
      </w:r>
      <w:r w:rsidR="0031342C" w:rsidRPr="00DF3EF6">
        <w:rPr>
          <w:noProof/>
        </w:rPr>
        <w:t xml:space="preserve"> i</w:t>
      </w:r>
      <w:r w:rsidR="0031342C">
        <w:rPr>
          <w:noProof/>
        </w:rPr>
        <w:t> </w:t>
      </w:r>
      <w:r w:rsidR="0031342C" w:rsidRPr="00DF3EF6">
        <w:rPr>
          <w:noProof/>
        </w:rPr>
        <w:t>mog</w:t>
      </w:r>
      <w:r w:rsidRPr="00DF3EF6">
        <w:rPr>
          <w:noProof/>
        </w:rPr>
        <w:t>ą zostać zrealizowane przy wykorzystaniu obecnych zasobów.</w:t>
      </w:r>
    </w:p>
    <w:p w14:paraId="5D7DEE4A" w14:textId="277243E5" w:rsidR="00E25235" w:rsidRPr="00DF3EF6" w:rsidRDefault="00E25235" w:rsidP="00E25235">
      <w:pPr>
        <w:pBdr>
          <w:top w:val="nil"/>
          <w:left w:val="nil"/>
          <w:bottom w:val="nil"/>
          <w:right w:val="nil"/>
          <w:between w:val="nil"/>
          <w:bar w:val="nil"/>
        </w:pBdr>
        <w:spacing w:before="0" w:after="240"/>
        <w:rPr>
          <w:noProof/>
        </w:rPr>
      </w:pPr>
      <w:r w:rsidRPr="00DF3EF6">
        <w:rPr>
          <w:noProof/>
        </w:rPr>
        <w:t>Standardy techniczne mają zostać przedstawione 12 miesięcy po wejściu</w:t>
      </w:r>
      <w:r w:rsidR="0031342C" w:rsidRPr="00DF3EF6">
        <w:rPr>
          <w:noProof/>
        </w:rPr>
        <w:t xml:space="preserve"> w</w:t>
      </w:r>
      <w:r w:rsidR="0031342C">
        <w:rPr>
          <w:noProof/>
        </w:rPr>
        <w:t> </w:t>
      </w:r>
      <w:r w:rsidR="0031342C" w:rsidRPr="00DF3EF6">
        <w:rPr>
          <w:noProof/>
        </w:rPr>
        <w:t>życ</w:t>
      </w:r>
      <w:r w:rsidRPr="00DF3EF6">
        <w:rPr>
          <w:noProof/>
        </w:rPr>
        <w:t>ie dyrektywy. Termin ten powinien zapewnić EUNB wystarczającą ilość czasu na ich opracowanie, biorąc pod uwagę jego obecne zasoby.</w:t>
      </w:r>
    </w:p>
    <w:p w14:paraId="432B7A81" w14:textId="77777777" w:rsidR="00E25235" w:rsidRPr="00DF3EF6" w:rsidRDefault="00E25235" w:rsidP="00E25235">
      <w:pPr>
        <w:pStyle w:val="ManualHeading1"/>
        <w:rPr>
          <w:noProof/>
        </w:rPr>
      </w:pPr>
      <w:r w:rsidRPr="00DF3EF6">
        <w:rPr>
          <w:noProof/>
        </w:rPr>
        <w:t>5.</w:t>
      </w:r>
      <w:r w:rsidRPr="00DF3EF6">
        <w:rPr>
          <w:noProof/>
        </w:rPr>
        <w:tab/>
        <w:t>ELEMENTY FAKULTATYWNE</w:t>
      </w:r>
    </w:p>
    <w:p w14:paraId="760776BC" w14:textId="05E1B529" w:rsidR="00E25235" w:rsidRPr="00DF3EF6" w:rsidRDefault="00E25235" w:rsidP="00E25235">
      <w:pPr>
        <w:pStyle w:val="ManualHeading2"/>
        <w:rPr>
          <w:noProof/>
          <w:u w:color="000000"/>
          <w:bdr w:val="nil"/>
        </w:rPr>
      </w:pPr>
      <w:r w:rsidRPr="00DF3EF6">
        <w:rPr>
          <w:noProof/>
          <w:u w:color="000000"/>
          <w:bdr w:val="nil"/>
        </w:rPr>
        <w:t>•</w:t>
      </w:r>
      <w:r w:rsidRPr="00DF3EF6">
        <w:rPr>
          <w:noProof/>
        </w:rPr>
        <w:tab/>
      </w:r>
      <w:r w:rsidRPr="00DF3EF6">
        <w:rPr>
          <w:noProof/>
          <w:u w:color="000000"/>
          <w:bdr w:val="nil"/>
        </w:rPr>
        <w:t>Plany wdrożenia</w:t>
      </w:r>
      <w:r w:rsidR="0031342C" w:rsidRPr="00DF3EF6">
        <w:rPr>
          <w:noProof/>
          <w:u w:color="000000"/>
          <w:bdr w:val="nil"/>
        </w:rPr>
        <w:t xml:space="preserve"> i</w:t>
      </w:r>
      <w:r w:rsidR="0031342C">
        <w:rPr>
          <w:noProof/>
          <w:u w:color="000000"/>
          <w:bdr w:val="nil"/>
        </w:rPr>
        <w:t> </w:t>
      </w:r>
      <w:r w:rsidR="0031342C" w:rsidRPr="00DF3EF6">
        <w:rPr>
          <w:noProof/>
          <w:u w:color="000000"/>
          <w:bdr w:val="nil"/>
        </w:rPr>
        <w:t>mon</w:t>
      </w:r>
      <w:r w:rsidRPr="00DF3EF6">
        <w:rPr>
          <w:noProof/>
          <w:u w:color="000000"/>
          <w:bdr w:val="nil"/>
        </w:rPr>
        <w:t>itorowanie, ocena</w:t>
      </w:r>
      <w:r w:rsidR="0031342C" w:rsidRPr="00DF3EF6">
        <w:rPr>
          <w:noProof/>
          <w:u w:color="000000"/>
          <w:bdr w:val="nil"/>
        </w:rPr>
        <w:t xml:space="preserve"> i</w:t>
      </w:r>
      <w:r w:rsidR="0031342C">
        <w:rPr>
          <w:noProof/>
          <w:u w:color="000000"/>
          <w:bdr w:val="nil"/>
        </w:rPr>
        <w:t> </w:t>
      </w:r>
      <w:r w:rsidR="0031342C" w:rsidRPr="00DF3EF6">
        <w:rPr>
          <w:noProof/>
          <w:u w:color="000000"/>
          <w:bdr w:val="nil"/>
        </w:rPr>
        <w:t>spr</w:t>
      </w:r>
      <w:r w:rsidRPr="00DF3EF6">
        <w:rPr>
          <w:noProof/>
          <w:u w:color="000000"/>
          <w:bdr w:val="nil"/>
        </w:rPr>
        <w:t>awozdania</w:t>
      </w:r>
    </w:p>
    <w:p w14:paraId="1762FC44" w14:textId="1B9CC9FE" w:rsidR="00E25235" w:rsidRPr="00DF3EF6" w:rsidRDefault="00E25235" w:rsidP="00E25235">
      <w:pPr>
        <w:pBdr>
          <w:top w:val="nil"/>
          <w:left w:val="nil"/>
          <w:bottom w:val="nil"/>
          <w:right w:val="nil"/>
          <w:between w:val="nil"/>
          <w:bar w:val="nil"/>
        </w:pBdr>
        <w:spacing w:before="0" w:after="240"/>
        <w:rPr>
          <w:noProof/>
        </w:rPr>
      </w:pPr>
      <w:r w:rsidRPr="00DF3EF6">
        <w:rPr>
          <w:noProof/>
        </w:rPr>
        <w:t>W ramach regularnych kontaktów</w:t>
      </w:r>
      <w:r w:rsidR="0031342C" w:rsidRPr="00DF3EF6">
        <w:rPr>
          <w:noProof/>
        </w:rPr>
        <w:t xml:space="preserve"> z</w:t>
      </w:r>
      <w:r w:rsidR="0031342C">
        <w:rPr>
          <w:noProof/>
        </w:rPr>
        <w:t> </w:t>
      </w:r>
      <w:r w:rsidR="0031342C" w:rsidRPr="00DF3EF6">
        <w:rPr>
          <w:noProof/>
        </w:rPr>
        <w:t>Gru</w:t>
      </w:r>
      <w:r w:rsidRPr="00DF3EF6">
        <w:rPr>
          <w:noProof/>
        </w:rPr>
        <w:t>pą Zadaniową EUNB ds. Systemów Gwarancji Depozytów Komisja dokonuje oceny wdrożenia przepisów prawnych</w:t>
      </w:r>
      <w:r w:rsidRPr="00DF3EF6">
        <w:rPr>
          <w:rStyle w:val="FootnoteReference"/>
          <w:noProof/>
        </w:rPr>
        <w:footnoteReference w:id="32"/>
      </w:r>
      <w:r w:rsidR="0031342C" w:rsidRPr="00DF3EF6">
        <w:rPr>
          <w:noProof/>
        </w:rPr>
        <w:t xml:space="preserve"> i</w:t>
      </w:r>
      <w:r w:rsidR="0031342C">
        <w:rPr>
          <w:noProof/>
        </w:rPr>
        <w:t> </w:t>
      </w:r>
      <w:r w:rsidR="0031342C" w:rsidRPr="00DF3EF6">
        <w:rPr>
          <w:noProof/>
        </w:rPr>
        <w:t>wsp</w:t>
      </w:r>
      <w:r w:rsidRPr="00DF3EF6">
        <w:rPr>
          <w:noProof/>
        </w:rPr>
        <w:t>iera harmonizację poziomu ochrony deponentów</w:t>
      </w:r>
      <w:r w:rsidR="0031342C" w:rsidRPr="00DF3EF6">
        <w:rPr>
          <w:noProof/>
        </w:rPr>
        <w:t xml:space="preserve"> w</w:t>
      </w:r>
      <w:r w:rsidR="0031342C">
        <w:rPr>
          <w:noProof/>
        </w:rPr>
        <w:t> </w:t>
      </w:r>
      <w:r w:rsidR="0031342C" w:rsidRPr="00DF3EF6">
        <w:rPr>
          <w:noProof/>
        </w:rPr>
        <w:t>cał</w:t>
      </w:r>
      <w:r w:rsidRPr="00DF3EF6">
        <w:rPr>
          <w:noProof/>
        </w:rPr>
        <w:t>ej UE.</w:t>
      </w:r>
    </w:p>
    <w:p w14:paraId="4B747AD1" w14:textId="4A117504" w:rsidR="00E25235" w:rsidRPr="00DF3EF6" w:rsidRDefault="00E25235" w:rsidP="00E25235">
      <w:pPr>
        <w:pBdr>
          <w:top w:val="nil"/>
          <w:left w:val="nil"/>
          <w:bottom w:val="nil"/>
          <w:right w:val="nil"/>
          <w:between w:val="nil"/>
          <w:bar w:val="nil"/>
        </w:pBdr>
        <w:spacing w:before="0" w:after="240"/>
        <w:rPr>
          <w:noProof/>
        </w:rPr>
      </w:pPr>
      <w:r w:rsidRPr="00DF3EF6">
        <w:rPr>
          <w:noProof/>
        </w:rPr>
        <w:t>Jak już przewidziano</w:t>
      </w:r>
      <w:r w:rsidR="0031342C" w:rsidRPr="00DF3EF6">
        <w:rPr>
          <w:noProof/>
        </w:rPr>
        <w:t xml:space="preserve"> w</w:t>
      </w:r>
      <w:r w:rsidR="0031342C">
        <w:rPr>
          <w:noProof/>
        </w:rPr>
        <w:t> </w:t>
      </w:r>
      <w:r w:rsidR="0031342C" w:rsidRPr="00DF3EF6">
        <w:rPr>
          <w:noProof/>
        </w:rPr>
        <w:t>obo</w:t>
      </w:r>
      <w:r w:rsidRPr="00DF3EF6">
        <w:rPr>
          <w:noProof/>
        </w:rPr>
        <w:t>wiązującym systemie gwarancji depozytów, organy krajowe na bieżąco składają EUNB sprawozdania na temat kwot dostępnych środków finansowych, alternatywnych mechanizmów finansowania oraz wykorzystania środków SGD, które następnie EUNB podaje do wiadomości publicznej. We wniosku utrzymano także okresowe</w:t>
      </w:r>
      <w:r w:rsidR="0031342C" w:rsidRPr="00DF3EF6">
        <w:rPr>
          <w:noProof/>
        </w:rPr>
        <w:t xml:space="preserve"> i</w:t>
      </w:r>
      <w:r w:rsidR="0031342C">
        <w:rPr>
          <w:noProof/>
        </w:rPr>
        <w:t> </w:t>
      </w:r>
      <w:r w:rsidR="0031342C" w:rsidRPr="00DF3EF6">
        <w:rPr>
          <w:noProof/>
        </w:rPr>
        <w:t>nas</w:t>
      </w:r>
      <w:r w:rsidRPr="00DF3EF6">
        <w:rPr>
          <w:noProof/>
        </w:rPr>
        <w:t>tępcze przeglądy, przewidziane już</w:t>
      </w:r>
      <w:r w:rsidR="0031342C" w:rsidRPr="00DF3EF6">
        <w:rPr>
          <w:noProof/>
        </w:rPr>
        <w:t xml:space="preserve"> w</w:t>
      </w:r>
      <w:r w:rsidR="0031342C">
        <w:rPr>
          <w:noProof/>
        </w:rPr>
        <w:t> </w:t>
      </w:r>
      <w:r w:rsidR="0031342C" w:rsidRPr="00DF3EF6">
        <w:rPr>
          <w:noProof/>
        </w:rPr>
        <w:t>pie</w:t>
      </w:r>
      <w:r w:rsidRPr="00DF3EF6">
        <w:rPr>
          <w:noProof/>
        </w:rPr>
        <w:t>rwotnej dyrektywie, dotyczące testów warunków skrajnych systemów gwarancji depozytów, kryteriów składek zależnych od ryzyka oraz ponownej analizy poziomu gwarancji.</w:t>
      </w:r>
      <w:bookmarkStart w:id="4" w:name="_Hlk125539176"/>
    </w:p>
    <w:bookmarkEnd w:id="4"/>
    <w:p w14:paraId="4E989405" w14:textId="77777777" w:rsidR="00E25235" w:rsidRPr="00DF3EF6" w:rsidRDefault="00E25235" w:rsidP="00E25235">
      <w:pPr>
        <w:pStyle w:val="ManualHeading2"/>
        <w:rPr>
          <w:noProof/>
          <w:u w:color="000000"/>
          <w:bdr w:val="nil"/>
        </w:rPr>
      </w:pPr>
      <w:r w:rsidRPr="00DF3EF6">
        <w:rPr>
          <w:noProof/>
          <w:u w:color="000000"/>
          <w:bdr w:val="nil"/>
        </w:rPr>
        <w:t>•</w:t>
      </w:r>
      <w:r w:rsidRPr="00DF3EF6">
        <w:rPr>
          <w:noProof/>
        </w:rPr>
        <w:tab/>
      </w:r>
      <w:r w:rsidRPr="00DF3EF6">
        <w:rPr>
          <w:noProof/>
          <w:u w:color="000000"/>
          <w:bdr w:val="nil"/>
        </w:rPr>
        <w:t>Szczegółowe objaśnienia poszczególnych przepisów wniosku</w:t>
      </w:r>
    </w:p>
    <w:p w14:paraId="4E735377" w14:textId="02072262" w:rsidR="00E25235" w:rsidRPr="00DF3EF6" w:rsidRDefault="00E25235" w:rsidP="00E25235">
      <w:pPr>
        <w:rPr>
          <w:noProof/>
        </w:rPr>
      </w:pPr>
      <w:r w:rsidRPr="00DF3EF6">
        <w:rPr>
          <w:noProof/>
        </w:rPr>
        <w:t>Proponowane zmiany stanowią rozwinięcie</w:t>
      </w:r>
      <w:r w:rsidR="0031342C" w:rsidRPr="00DF3EF6">
        <w:rPr>
          <w:noProof/>
        </w:rPr>
        <w:t xml:space="preserve"> i</w:t>
      </w:r>
      <w:r w:rsidR="0031342C">
        <w:rPr>
          <w:noProof/>
        </w:rPr>
        <w:t> </w:t>
      </w:r>
      <w:r w:rsidR="0031342C" w:rsidRPr="00DF3EF6">
        <w:rPr>
          <w:noProof/>
        </w:rPr>
        <w:t>dop</w:t>
      </w:r>
      <w:r w:rsidRPr="00DF3EF6">
        <w:rPr>
          <w:noProof/>
        </w:rPr>
        <w:t>recyzowanie mandatu systemów gwarancji depozytów, aby zapewnić lepszą ochronę depozytów</w:t>
      </w:r>
      <w:r w:rsidR="0031342C" w:rsidRPr="00DF3EF6">
        <w:rPr>
          <w:noProof/>
        </w:rPr>
        <w:t xml:space="preserve"> w</w:t>
      </w:r>
      <w:r w:rsidR="0031342C">
        <w:rPr>
          <w:noProof/>
        </w:rPr>
        <w:t> </w:t>
      </w:r>
      <w:r w:rsidR="0031342C" w:rsidRPr="00DF3EF6">
        <w:rPr>
          <w:noProof/>
        </w:rPr>
        <w:t>kon</w:t>
      </w:r>
      <w:r w:rsidRPr="00DF3EF6">
        <w:rPr>
          <w:noProof/>
        </w:rPr>
        <w:t>tekście ich zwrotu deponentom. Przyczyniają się także do wzmocnienia roli systemu gwarancji depozytów</w:t>
      </w:r>
      <w:r w:rsidR="0031342C" w:rsidRPr="00DF3EF6">
        <w:rPr>
          <w:noProof/>
        </w:rPr>
        <w:t xml:space="preserve"> w</w:t>
      </w:r>
      <w:r w:rsidR="0031342C">
        <w:rPr>
          <w:noProof/>
        </w:rPr>
        <w:t> </w:t>
      </w:r>
      <w:r w:rsidR="0031342C" w:rsidRPr="00DF3EF6">
        <w:rPr>
          <w:noProof/>
        </w:rPr>
        <w:t>syt</w:t>
      </w:r>
      <w:r w:rsidRPr="00DF3EF6">
        <w:rPr>
          <w:noProof/>
        </w:rPr>
        <w:t>uacjach innych niż sytuacje,</w:t>
      </w:r>
      <w:r w:rsidR="0031342C" w:rsidRPr="00DF3EF6">
        <w:rPr>
          <w:noProof/>
        </w:rPr>
        <w:t xml:space="preserve"> w</w:t>
      </w:r>
      <w:r w:rsidR="0031342C">
        <w:rPr>
          <w:noProof/>
        </w:rPr>
        <w:t> </w:t>
      </w:r>
      <w:r w:rsidR="0031342C" w:rsidRPr="00DF3EF6">
        <w:rPr>
          <w:noProof/>
        </w:rPr>
        <w:t>któ</w:t>
      </w:r>
      <w:r w:rsidRPr="00DF3EF6">
        <w:rPr>
          <w:noProof/>
        </w:rPr>
        <w:t>rych</w:t>
      </w:r>
      <w:r w:rsidR="0031342C" w:rsidRPr="00DF3EF6">
        <w:rPr>
          <w:noProof/>
        </w:rPr>
        <w:t xml:space="preserve"> w</w:t>
      </w:r>
      <w:r w:rsidR="0031342C">
        <w:rPr>
          <w:noProof/>
        </w:rPr>
        <w:t> </w:t>
      </w:r>
      <w:r w:rsidR="0031342C" w:rsidRPr="00DF3EF6">
        <w:rPr>
          <w:noProof/>
        </w:rPr>
        <w:t>nas</w:t>
      </w:r>
      <w:r w:rsidRPr="00DF3EF6">
        <w:rPr>
          <w:noProof/>
        </w:rPr>
        <w:t>tępstwie upadłości banku system gwarancji depozytów dokonuje wypłat na rzecz deponentów na potrzeby bankowego zarządzania kryzysowego</w:t>
      </w:r>
      <w:r w:rsidR="0031342C" w:rsidRPr="00DF3EF6">
        <w:rPr>
          <w:noProof/>
        </w:rPr>
        <w:t xml:space="preserve"> w</w:t>
      </w:r>
      <w:r w:rsidR="0031342C">
        <w:rPr>
          <w:noProof/>
        </w:rPr>
        <w:t> </w:t>
      </w:r>
      <w:r w:rsidR="0031342C" w:rsidRPr="00DF3EF6">
        <w:rPr>
          <w:noProof/>
        </w:rPr>
        <w:t>cel</w:t>
      </w:r>
      <w:r w:rsidRPr="00DF3EF6">
        <w:rPr>
          <w:noProof/>
        </w:rPr>
        <w:t>u utrzymania zaufania deponentów</w:t>
      </w:r>
      <w:r w:rsidR="0031342C" w:rsidRPr="00DF3EF6">
        <w:rPr>
          <w:noProof/>
        </w:rPr>
        <w:t xml:space="preserve"> i</w:t>
      </w:r>
      <w:r w:rsidR="0031342C">
        <w:rPr>
          <w:noProof/>
        </w:rPr>
        <w:t> </w:t>
      </w:r>
      <w:r w:rsidR="0031342C" w:rsidRPr="00DF3EF6">
        <w:rPr>
          <w:noProof/>
        </w:rPr>
        <w:t>sta</w:t>
      </w:r>
      <w:r w:rsidRPr="00DF3EF6">
        <w:rPr>
          <w:noProof/>
        </w:rPr>
        <w:t>bilności finansowej. Ponadto</w:t>
      </w:r>
      <w:r w:rsidR="0031342C" w:rsidRPr="00DF3EF6">
        <w:rPr>
          <w:noProof/>
        </w:rPr>
        <w:t xml:space="preserve"> w</w:t>
      </w:r>
      <w:r w:rsidR="0031342C">
        <w:rPr>
          <w:noProof/>
        </w:rPr>
        <w:t> </w:t>
      </w:r>
      <w:r w:rsidR="0031342C" w:rsidRPr="00DF3EF6">
        <w:rPr>
          <w:noProof/>
        </w:rPr>
        <w:t>ich</w:t>
      </w:r>
      <w:r w:rsidRPr="00DF3EF6">
        <w:rPr>
          <w:noProof/>
        </w:rPr>
        <w:t xml:space="preserve"> ramach określone zostają szczegółowe wymogi</w:t>
      </w:r>
      <w:r w:rsidR="0031342C" w:rsidRPr="00DF3EF6">
        <w:rPr>
          <w:noProof/>
        </w:rPr>
        <w:t xml:space="preserve"> w</w:t>
      </w:r>
      <w:r w:rsidR="0031342C">
        <w:rPr>
          <w:noProof/>
        </w:rPr>
        <w:t> </w:t>
      </w:r>
      <w:r w:rsidR="0031342C" w:rsidRPr="00DF3EF6">
        <w:rPr>
          <w:noProof/>
        </w:rPr>
        <w:t>zak</w:t>
      </w:r>
      <w:r w:rsidRPr="00DF3EF6">
        <w:rPr>
          <w:noProof/>
        </w:rPr>
        <w:t xml:space="preserve">resie uproszczenia bieżącej działalności </w:t>
      </w:r>
      <w:r w:rsidRPr="00DF3EF6">
        <w:rPr>
          <w:noProof/>
        </w:rPr>
        <w:lastRenderedPageBreak/>
        <w:t>systemu gwarancji depozytów oraz uwzględnione sytuacje złożone pod względem administracyjnym.</w:t>
      </w:r>
    </w:p>
    <w:p w14:paraId="3955D94B" w14:textId="68F66D97" w:rsidR="00E25235" w:rsidRPr="00DF3EF6" w:rsidRDefault="00E25235" w:rsidP="00E25235">
      <w:pPr>
        <w:pBdr>
          <w:top w:val="nil"/>
          <w:left w:val="nil"/>
          <w:bottom w:val="nil"/>
          <w:right w:val="nil"/>
          <w:between w:val="nil"/>
          <w:bar w:val="nil"/>
        </w:pBdr>
        <w:spacing w:before="0" w:after="240"/>
        <w:rPr>
          <w:noProof/>
        </w:rPr>
      </w:pPr>
      <w:r w:rsidRPr="00DF3EF6">
        <w:rPr>
          <w:noProof/>
        </w:rPr>
        <w:t>Wniosek zmienia następujące przepisy dyrektywy</w:t>
      </w:r>
      <w:r w:rsidR="0031342C" w:rsidRPr="00DF3EF6">
        <w:rPr>
          <w:noProof/>
        </w:rPr>
        <w:t xml:space="preserve"> w</w:t>
      </w:r>
      <w:r w:rsidR="0031342C">
        <w:rPr>
          <w:noProof/>
        </w:rPr>
        <w:t> </w:t>
      </w:r>
      <w:r w:rsidR="0031342C" w:rsidRPr="00DF3EF6">
        <w:rPr>
          <w:noProof/>
        </w:rPr>
        <w:t>spr</w:t>
      </w:r>
      <w:r w:rsidRPr="00DF3EF6">
        <w:rPr>
          <w:noProof/>
        </w:rPr>
        <w:t xml:space="preserve">awie systemów gwarancji depozytów: </w:t>
      </w:r>
    </w:p>
    <w:p w14:paraId="2D7DDCA7" w14:textId="132DFE49" w:rsidR="00E25235" w:rsidRPr="00DF3EF6" w:rsidRDefault="003170E0" w:rsidP="00E25235">
      <w:pPr>
        <w:pBdr>
          <w:top w:val="nil"/>
          <w:left w:val="nil"/>
          <w:bottom w:val="nil"/>
          <w:right w:val="nil"/>
          <w:between w:val="nil"/>
          <w:bar w:val="nil"/>
        </w:pBdr>
        <w:spacing w:before="0" w:after="240"/>
        <w:rPr>
          <w:noProof/>
        </w:rPr>
      </w:pPr>
      <w:r w:rsidRPr="00DF3EF6">
        <w:rPr>
          <w:noProof/>
        </w:rPr>
        <w:t>Biorąc pod uwagę zwiększone możliwości wykorzystania systemu gwarancji depozytów do finansowania środków zapobiegawczych, strategii przeniesienia</w:t>
      </w:r>
      <w:r w:rsidR="0031342C" w:rsidRPr="00DF3EF6">
        <w:rPr>
          <w:noProof/>
        </w:rPr>
        <w:t xml:space="preserve"> w</w:t>
      </w:r>
      <w:r w:rsidR="0031342C">
        <w:rPr>
          <w:noProof/>
        </w:rPr>
        <w:t> </w:t>
      </w:r>
      <w:r w:rsidR="0031342C" w:rsidRPr="00DF3EF6">
        <w:rPr>
          <w:noProof/>
        </w:rPr>
        <w:t>res</w:t>
      </w:r>
      <w:r w:rsidRPr="00DF3EF6">
        <w:rPr>
          <w:noProof/>
        </w:rPr>
        <w:t>trukturyzacji</w:t>
      </w:r>
      <w:r w:rsidR="0031342C" w:rsidRPr="00DF3EF6">
        <w:rPr>
          <w:noProof/>
        </w:rPr>
        <w:t xml:space="preserve"> i</w:t>
      </w:r>
      <w:r w:rsidR="0031342C">
        <w:rPr>
          <w:noProof/>
        </w:rPr>
        <w:t> </w:t>
      </w:r>
      <w:r w:rsidR="0031342C" w:rsidRPr="00DF3EF6">
        <w:rPr>
          <w:noProof/>
        </w:rPr>
        <w:t>upo</w:t>
      </w:r>
      <w:r w:rsidRPr="00DF3EF6">
        <w:rPr>
          <w:noProof/>
        </w:rPr>
        <w:t>rządkowanej likwidacji oraz środków alternatywnych dotyczących upadłości,</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 („Przedmiot</w:t>
      </w:r>
      <w:r w:rsidR="0031342C" w:rsidRPr="00DF3EF6">
        <w:rPr>
          <w:noProof/>
        </w:rPr>
        <w:t xml:space="preserve"> i</w:t>
      </w:r>
      <w:r w:rsidR="0031342C">
        <w:rPr>
          <w:noProof/>
        </w:rPr>
        <w:t> </w:t>
      </w:r>
      <w:r w:rsidR="0031342C" w:rsidRPr="00DF3EF6">
        <w:rPr>
          <w:noProof/>
        </w:rPr>
        <w:t>zak</w:t>
      </w:r>
      <w:r w:rsidRPr="00DF3EF6">
        <w:rPr>
          <w:noProof/>
        </w:rPr>
        <w:t>res stosowania”) wprowadza się zmiany mające na celu wyjaśnienie, że</w:t>
      </w:r>
      <w:r w:rsidR="0031342C" w:rsidRPr="00DF3EF6">
        <w:rPr>
          <w:noProof/>
        </w:rPr>
        <w:t xml:space="preserve"> w</w:t>
      </w:r>
      <w:r w:rsidR="0031342C">
        <w:rPr>
          <w:noProof/>
        </w:rPr>
        <w:t> </w:t>
      </w:r>
      <w:r w:rsidR="0031342C" w:rsidRPr="00DF3EF6">
        <w:rPr>
          <w:noProof/>
        </w:rPr>
        <w:t>zak</w:t>
      </w:r>
      <w:r w:rsidRPr="00DF3EF6">
        <w:rPr>
          <w:noProof/>
        </w:rPr>
        <w:t>res stosowania niniejszej dyrektywy – oprócz ustanowienia</w:t>
      </w:r>
      <w:r w:rsidR="0031342C" w:rsidRPr="00DF3EF6">
        <w:rPr>
          <w:noProof/>
        </w:rPr>
        <w:t xml:space="preserve"> i</w:t>
      </w:r>
      <w:r w:rsidR="0031342C">
        <w:rPr>
          <w:noProof/>
        </w:rPr>
        <w:t> </w:t>
      </w:r>
      <w:r w:rsidR="0031342C" w:rsidRPr="00DF3EF6">
        <w:rPr>
          <w:noProof/>
        </w:rPr>
        <w:t>fun</w:t>
      </w:r>
      <w:r w:rsidRPr="00DF3EF6">
        <w:rPr>
          <w:noProof/>
        </w:rPr>
        <w:t>kcjonowania systemu gwarancji depozytów – wchodzą także gwarancja</w:t>
      </w:r>
      <w:r w:rsidR="0031342C" w:rsidRPr="00DF3EF6">
        <w:rPr>
          <w:noProof/>
        </w:rPr>
        <w:t xml:space="preserve"> i</w:t>
      </w:r>
      <w:r w:rsidR="0031342C">
        <w:rPr>
          <w:noProof/>
        </w:rPr>
        <w:t> </w:t>
      </w:r>
      <w:r w:rsidR="0031342C" w:rsidRPr="00DF3EF6">
        <w:rPr>
          <w:noProof/>
        </w:rPr>
        <w:t>wyp</w:t>
      </w:r>
      <w:r w:rsidRPr="00DF3EF6">
        <w:rPr>
          <w:noProof/>
        </w:rPr>
        <w:t>łata depozytów oraz wykorzystanie środków SGD na potrzeby utrzymania dostępu deponentów do ich depozytów</w:t>
      </w:r>
      <w:r w:rsidR="0031342C" w:rsidRPr="00DF3EF6">
        <w:rPr>
          <w:noProof/>
        </w:rPr>
        <w:t>. W</w:t>
      </w:r>
      <w:r w:rsidR="0031342C">
        <w:rPr>
          <w:noProof/>
        </w:rPr>
        <w:t> </w:t>
      </w:r>
      <w:r w:rsidR="0031342C" w:rsidRPr="0031342C">
        <w:rPr>
          <w:noProof/>
        </w:rPr>
        <w:t>ust</w:t>
      </w:r>
      <w:r w:rsidRPr="0031342C">
        <w:rPr>
          <w:noProof/>
        </w:rPr>
        <w:t>.</w:t>
      </w:r>
      <w:r w:rsidR="0031342C" w:rsidRPr="0031342C">
        <w:rPr>
          <w:noProof/>
        </w:rPr>
        <w:t> </w:t>
      </w:r>
      <w:r w:rsidRPr="0031342C">
        <w:rPr>
          <w:noProof/>
        </w:rPr>
        <w:t>2</w:t>
      </w:r>
      <w:r w:rsidRPr="00DF3EF6">
        <w:rPr>
          <w:noProof/>
        </w:rPr>
        <w:t xml:space="preserve"> </w:t>
      </w:r>
      <w:r w:rsidRPr="0031342C">
        <w:rPr>
          <w:noProof/>
        </w:rPr>
        <w:t>lit.</w:t>
      </w:r>
      <w:r w:rsidR="0031342C" w:rsidRPr="0031342C">
        <w:rPr>
          <w:noProof/>
        </w:rPr>
        <w:t> </w:t>
      </w:r>
      <w:r w:rsidRPr="0031342C">
        <w:rPr>
          <w:noProof/>
        </w:rPr>
        <w:t>d)</w:t>
      </w:r>
      <w:r w:rsidRPr="00DF3EF6">
        <w:rPr>
          <w:noProof/>
        </w:rPr>
        <w:t xml:space="preserve"> tego artykułu wprowadza się zmiany mające na celu wyjaśnienie, że zakresem stosowania dyrektywy są objęte oddziały instytucji kredytowych utworzone</w:t>
      </w:r>
      <w:r w:rsidR="0031342C" w:rsidRPr="00DF3EF6">
        <w:rPr>
          <w:noProof/>
        </w:rPr>
        <w:t xml:space="preserve"> w</w:t>
      </w:r>
      <w:r w:rsidR="0031342C">
        <w:rPr>
          <w:noProof/>
        </w:rPr>
        <w:t> </w:t>
      </w:r>
      <w:r w:rsidR="0031342C" w:rsidRPr="00DF3EF6">
        <w:rPr>
          <w:noProof/>
        </w:rPr>
        <w:t>pań</w:t>
      </w:r>
      <w:r w:rsidRPr="00DF3EF6">
        <w:rPr>
          <w:noProof/>
        </w:rPr>
        <w:t>stwach trzecich.</w:t>
      </w:r>
    </w:p>
    <w:p w14:paraId="5086B44E" w14:textId="21972A1A"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W </w:t>
      </w:r>
      <w:r w:rsidRPr="0031342C">
        <w:rPr>
          <w:noProof/>
        </w:rPr>
        <w:t>art.</w:t>
      </w:r>
      <w:r w:rsidR="0031342C" w:rsidRPr="0031342C">
        <w:rPr>
          <w:noProof/>
        </w:rPr>
        <w:t> </w:t>
      </w:r>
      <w:r w:rsidRPr="0031342C">
        <w:rPr>
          <w:noProof/>
        </w:rPr>
        <w:t>2</w:t>
      </w:r>
      <w:r w:rsidRPr="00DF3EF6">
        <w:rPr>
          <w:noProof/>
        </w:rPr>
        <w:t xml:space="preserve"> określono warunki</w:t>
      </w:r>
      <w:r w:rsidR="0031342C" w:rsidRPr="00DF3EF6">
        <w:rPr>
          <w:noProof/>
        </w:rPr>
        <w:t xml:space="preserve"> i</w:t>
      </w:r>
      <w:r w:rsidR="0031342C">
        <w:rPr>
          <w:noProof/>
        </w:rPr>
        <w:t> </w:t>
      </w:r>
      <w:r w:rsidR="0031342C" w:rsidRPr="00DF3EF6">
        <w:rPr>
          <w:noProof/>
        </w:rPr>
        <w:t>def</w:t>
      </w:r>
      <w:r w:rsidRPr="00DF3EF6">
        <w:rPr>
          <w:noProof/>
        </w:rPr>
        <w:t>inicje stosowane do celów niniejszej dyrektywy. Zmieniono go</w:t>
      </w:r>
      <w:r w:rsidR="0031342C" w:rsidRPr="00DF3EF6">
        <w:rPr>
          <w:noProof/>
        </w:rPr>
        <w:t xml:space="preserve"> w</w:t>
      </w:r>
      <w:r w:rsidR="0031342C">
        <w:rPr>
          <w:noProof/>
        </w:rPr>
        <w:t> </w:t>
      </w:r>
      <w:r w:rsidR="0031342C" w:rsidRPr="00DF3EF6">
        <w:rPr>
          <w:noProof/>
        </w:rPr>
        <w:t>cel</w:t>
      </w:r>
      <w:r w:rsidRPr="00DF3EF6">
        <w:rPr>
          <w:noProof/>
        </w:rPr>
        <w:t>u wprowadzenia definicji zgodnie</w:t>
      </w:r>
      <w:r w:rsidR="0031342C" w:rsidRPr="00DF3EF6">
        <w:rPr>
          <w:noProof/>
        </w:rPr>
        <w:t xml:space="preserve"> z</w:t>
      </w:r>
      <w:r w:rsidR="0031342C">
        <w:rPr>
          <w:noProof/>
        </w:rPr>
        <w:t> </w:t>
      </w:r>
      <w:r w:rsidR="0031342C" w:rsidRPr="00DF3EF6">
        <w:rPr>
          <w:noProof/>
        </w:rPr>
        <w:t>now</w:t>
      </w:r>
      <w:r w:rsidRPr="00DF3EF6">
        <w:rPr>
          <w:noProof/>
        </w:rPr>
        <w:t>ymi przepisami wprowadzonymi we wniosku na podstawie zaleceń EUNB wyrażonych</w:t>
      </w:r>
      <w:r w:rsidR="0031342C" w:rsidRPr="00DF3EF6">
        <w:rPr>
          <w:noProof/>
        </w:rPr>
        <w:t xml:space="preserve"> w</w:t>
      </w:r>
      <w:r w:rsidR="0031342C">
        <w:rPr>
          <w:noProof/>
        </w:rPr>
        <w:t> </w:t>
      </w:r>
      <w:r w:rsidR="0031342C" w:rsidRPr="00DF3EF6">
        <w:rPr>
          <w:noProof/>
        </w:rPr>
        <w:t>jeg</w:t>
      </w:r>
      <w:r w:rsidRPr="00DF3EF6">
        <w:rPr>
          <w:noProof/>
        </w:rPr>
        <w:t>o opiniach,</w:t>
      </w:r>
      <w:r w:rsidR="0031342C" w:rsidRPr="00DF3EF6">
        <w:rPr>
          <w:noProof/>
        </w:rPr>
        <w:t xml:space="preserve"> w</w:t>
      </w:r>
      <w:r w:rsidR="0031342C">
        <w:rPr>
          <w:noProof/>
        </w:rPr>
        <w:t> </w:t>
      </w:r>
      <w:r w:rsidR="0031342C" w:rsidRPr="00DF3EF6">
        <w:rPr>
          <w:noProof/>
        </w:rPr>
        <w:t>szc</w:t>
      </w:r>
      <w:r w:rsidRPr="00DF3EF6">
        <w:rPr>
          <w:noProof/>
        </w:rPr>
        <w:t>zególności</w:t>
      </w:r>
      <w:r w:rsidR="0031342C" w:rsidRPr="00DF3EF6">
        <w:rPr>
          <w:noProof/>
        </w:rPr>
        <w:t xml:space="preserve"> w</w:t>
      </w:r>
      <w:r w:rsidR="0031342C">
        <w:rPr>
          <w:noProof/>
        </w:rPr>
        <w:t> </w:t>
      </w:r>
      <w:r w:rsidR="0031342C" w:rsidRPr="00DF3EF6">
        <w:rPr>
          <w:noProof/>
        </w:rPr>
        <w:t>kwe</w:t>
      </w:r>
      <w:r w:rsidRPr="00DF3EF6">
        <w:rPr>
          <w:noProof/>
        </w:rPr>
        <w:t>stii depozytów ze środkami klientów oraz przeciwdziałania praniu pieniędzy</w:t>
      </w:r>
      <w:r w:rsidR="0031342C" w:rsidRPr="00DF3EF6">
        <w:rPr>
          <w:noProof/>
        </w:rPr>
        <w:t xml:space="preserve"> i</w:t>
      </w:r>
      <w:r w:rsidR="0031342C">
        <w:rPr>
          <w:noProof/>
        </w:rPr>
        <w:t> </w:t>
      </w:r>
      <w:r w:rsidR="0031342C" w:rsidRPr="00DF3EF6">
        <w:rPr>
          <w:noProof/>
        </w:rPr>
        <w:t>fin</w:t>
      </w:r>
      <w:r w:rsidRPr="00DF3EF6">
        <w:rPr>
          <w:noProof/>
        </w:rPr>
        <w:t xml:space="preserve">ansowaniu terroryzmu. </w:t>
      </w:r>
    </w:p>
    <w:p w14:paraId="5ABFF2AB" w14:textId="594BFBDA"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Przepis </w:t>
      </w:r>
      <w:r w:rsidRPr="0031342C">
        <w:rPr>
          <w:noProof/>
        </w:rPr>
        <w:t>art.</w:t>
      </w:r>
      <w:r w:rsidR="0031342C" w:rsidRPr="0031342C">
        <w:rPr>
          <w:noProof/>
        </w:rPr>
        <w:t> </w:t>
      </w:r>
      <w:r w:rsidRPr="0031342C">
        <w:rPr>
          <w:noProof/>
        </w:rPr>
        <w:t>4</w:t>
      </w:r>
      <w:r w:rsidRPr="00DF3EF6">
        <w:rPr>
          <w:noProof/>
        </w:rPr>
        <w:t xml:space="preserve"> </w:t>
      </w:r>
      <w:r w:rsidRPr="0031342C">
        <w:rPr>
          <w:noProof/>
        </w:rPr>
        <w:t>ust.</w:t>
      </w:r>
      <w:r w:rsidR="0031342C" w:rsidRPr="0031342C">
        <w:rPr>
          <w:noProof/>
        </w:rPr>
        <w:t> </w:t>
      </w:r>
      <w:r w:rsidRPr="0031342C">
        <w:rPr>
          <w:noProof/>
        </w:rPr>
        <w:t>8</w:t>
      </w:r>
      <w:r w:rsidRPr="00DF3EF6">
        <w:rPr>
          <w:noProof/>
        </w:rPr>
        <w:t xml:space="preserve"> przeniesiono – celem konsolidacji – do nowego </w:t>
      </w:r>
      <w:r w:rsidRPr="0031342C">
        <w:rPr>
          <w:noProof/>
        </w:rPr>
        <w:t>art.</w:t>
      </w:r>
      <w:r w:rsidR="0031342C" w:rsidRPr="0031342C">
        <w:rPr>
          <w:noProof/>
        </w:rPr>
        <w:t> </w:t>
      </w:r>
      <w:r w:rsidRPr="0031342C">
        <w:rPr>
          <w:noProof/>
        </w:rPr>
        <w:t>1</w:t>
      </w:r>
      <w:r w:rsidRPr="00DF3EF6">
        <w:rPr>
          <w:noProof/>
        </w:rPr>
        <w:t>6a dotyczącego wymiany informacji między instytucjami kredytowymi</w:t>
      </w:r>
      <w:r w:rsidR="0031342C" w:rsidRPr="00DF3EF6">
        <w:rPr>
          <w:noProof/>
        </w:rPr>
        <w:t xml:space="preserve"> a</w:t>
      </w:r>
      <w:r w:rsidR="0031342C">
        <w:rPr>
          <w:noProof/>
        </w:rPr>
        <w:t> </w:t>
      </w:r>
      <w:r w:rsidR="0031342C" w:rsidRPr="00DF3EF6">
        <w:rPr>
          <w:noProof/>
        </w:rPr>
        <w:t>sys</w:t>
      </w:r>
      <w:r w:rsidRPr="00DF3EF6">
        <w:rPr>
          <w:noProof/>
        </w:rPr>
        <w:t>temami gwarancji depozytów oraz sprawozdawczości organów (zob. poniżej).</w:t>
      </w:r>
    </w:p>
    <w:p w14:paraId="10CD7E43" w14:textId="5BA13667" w:rsidR="00E25235" w:rsidRPr="00DF3EF6" w:rsidRDefault="00E25235" w:rsidP="00E25235">
      <w:pPr>
        <w:pBdr>
          <w:top w:val="nil"/>
          <w:left w:val="nil"/>
          <w:bottom w:val="nil"/>
          <w:right w:val="nil"/>
          <w:between w:val="nil"/>
          <w:bar w:val="nil"/>
        </w:pBdr>
        <w:spacing w:before="0" w:after="240"/>
        <w:rPr>
          <w:noProof/>
        </w:rPr>
      </w:pPr>
      <w:r w:rsidRPr="00DF3EF6">
        <w:rPr>
          <w:noProof/>
        </w:rPr>
        <w:t>W swojej opinii EUNB wskazał na rozbieżne wdrażanie definicji organów publicznych. Doprowadziło to do różnego zakresu ochrony depozytów</w:t>
      </w:r>
      <w:r w:rsidR="0031342C" w:rsidRPr="00DF3EF6">
        <w:rPr>
          <w:noProof/>
        </w:rPr>
        <w:t xml:space="preserve"> w</w:t>
      </w:r>
      <w:r w:rsidR="0031342C">
        <w:rPr>
          <w:noProof/>
        </w:rPr>
        <w:t> </w:t>
      </w:r>
      <w:r w:rsidR="0031342C" w:rsidRPr="00DF3EF6">
        <w:rPr>
          <w:noProof/>
        </w:rPr>
        <w:t>pos</w:t>
      </w:r>
      <w:r w:rsidRPr="00DF3EF6">
        <w:rPr>
          <w:noProof/>
        </w:rPr>
        <w:t>zczególnych państwach członkowskich, co</w:t>
      </w:r>
      <w:r w:rsidR="0031342C" w:rsidRPr="00DF3EF6">
        <w:rPr>
          <w:noProof/>
        </w:rPr>
        <w:t xml:space="preserve"> w</w:t>
      </w:r>
      <w:r w:rsidR="0031342C">
        <w:rPr>
          <w:noProof/>
        </w:rPr>
        <w:t> </w:t>
      </w:r>
      <w:r w:rsidR="0031342C" w:rsidRPr="00DF3EF6">
        <w:rPr>
          <w:noProof/>
        </w:rPr>
        <w:t>nie</w:t>
      </w:r>
      <w:r w:rsidRPr="00DF3EF6">
        <w:rPr>
          <w:noProof/>
        </w:rPr>
        <w:t>których przypadkach powodowało wyłączenie</w:t>
      </w:r>
      <w:r w:rsidR="0031342C" w:rsidRPr="00DF3EF6">
        <w:rPr>
          <w:noProof/>
        </w:rPr>
        <w:t xml:space="preserve"> z</w:t>
      </w:r>
      <w:r w:rsidR="0031342C">
        <w:rPr>
          <w:noProof/>
        </w:rPr>
        <w:t> </w:t>
      </w:r>
      <w:r w:rsidR="0031342C" w:rsidRPr="00DF3EF6">
        <w:rPr>
          <w:noProof/>
        </w:rPr>
        <w:t>zak</w:t>
      </w:r>
      <w:r w:rsidRPr="00DF3EF6">
        <w:rPr>
          <w:noProof/>
        </w:rPr>
        <w:t>resu ochrony podmiotów publicznych, takich jak szkoły, szpitale lub służby miejskie, które nie należą do doświadczonych deponentów. Istniejące rozróżnienie między organami publicznymi, oparte na ich budżecie</w:t>
      </w:r>
      <w:r w:rsidR="0031342C" w:rsidRPr="00DF3EF6">
        <w:rPr>
          <w:noProof/>
        </w:rPr>
        <w:t xml:space="preserve"> i</w:t>
      </w:r>
      <w:r w:rsidR="0031342C">
        <w:rPr>
          <w:noProof/>
        </w:rPr>
        <w:t> </w:t>
      </w:r>
      <w:r w:rsidR="0031342C" w:rsidRPr="00DF3EF6">
        <w:rPr>
          <w:noProof/>
        </w:rPr>
        <w:t>inn</w:t>
      </w:r>
      <w:r w:rsidRPr="00DF3EF6">
        <w:rPr>
          <w:noProof/>
        </w:rPr>
        <w:t>ych cechach charakterystycznych, stwarza trudności operacyjne</w:t>
      </w:r>
      <w:r w:rsidR="0031342C" w:rsidRPr="00DF3EF6">
        <w:rPr>
          <w:noProof/>
        </w:rPr>
        <w:t xml:space="preserve"> w</w:t>
      </w:r>
      <w:r w:rsidR="0031342C">
        <w:rPr>
          <w:noProof/>
        </w:rPr>
        <w:t> </w:t>
      </w:r>
      <w:r w:rsidR="0031342C" w:rsidRPr="00DF3EF6">
        <w:rPr>
          <w:noProof/>
        </w:rPr>
        <w:t>odn</w:t>
      </w:r>
      <w:r w:rsidRPr="00DF3EF6">
        <w:rPr>
          <w:noProof/>
        </w:rPr>
        <w:t>iesieniu do instytucji kredytowych</w:t>
      </w:r>
      <w:r w:rsidR="0031342C" w:rsidRPr="00DF3EF6">
        <w:rPr>
          <w:noProof/>
        </w:rPr>
        <w:t xml:space="preserve"> i</w:t>
      </w:r>
      <w:r w:rsidR="0031342C">
        <w:rPr>
          <w:noProof/>
        </w:rPr>
        <w:t> </w:t>
      </w:r>
      <w:r w:rsidR="0031342C" w:rsidRPr="00DF3EF6">
        <w:rPr>
          <w:noProof/>
        </w:rPr>
        <w:t>sys</w:t>
      </w:r>
      <w:r w:rsidRPr="00DF3EF6">
        <w:rPr>
          <w:noProof/>
        </w:rPr>
        <w:t>temów gwarancji depozytów</w:t>
      </w:r>
      <w:r w:rsidR="0031342C" w:rsidRPr="00DF3EF6">
        <w:rPr>
          <w:noProof/>
        </w:rPr>
        <w:t>. W</w:t>
      </w:r>
      <w:r w:rsidR="0031342C">
        <w:rPr>
          <w:noProof/>
        </w:rPr>
        <w:t> </w:t>
      </w:r>
      <w:r w:rsidR="0031342C" w:rsidRPr="0031342C">
        <w:rPr>
          <w:noProof/>
        </w:rPr>
        <w:t>art</w:t>
      </w:r>
      <w:r w:rsidRPr="0031342C">
        <w:rPr>
          <w:noProof/>
        </w:rPr>
        <w:t>.</w:t>
      </w:r>
      <w:r w:rsidR="0031342C" w:rsidRPr="0031342C">
        <w:rPr>
          <w:noProof/>
        </w:rPr>
        <w:t> </w:t>
      </w:r>
      <w:r w:rsidRPr="0031342C">
        <w:rPr>
          <w:noProof/>
        </w:rPr>
        <w:t>5</w:t>
      </w:r>
      <w:r w:rsidRPr="00DF3EF6">
        <w:rPr>
          <w:noProof/>
        </w:rPr>
        <w:t xml:space="preserve"> organy publiczne nie są już zatem wyłączone</w:t>
      </w:r>
      <w:r w:rsidR="0031342C" w:rsidRPr="00DF3EF6">
        <w:rPr>
          <w:noProof/>
        </w:rPr>
        <w:t xml:space="preserve"> z</w:t>
      </w:r>
      <w:r w:rsidR="0031342C">
        <w:rPr>
          <w:noProof/>
        </w:rPr>
        <w:t> </w:t>
      </w:r>
      <w:r w:rsidR="0031342C" w:rsidRPr="00DF3EF6">
        <w:rPr>
          <w:noProof/>
        </w:rPr>
        <w:t>zak</w:t>
      </w:r>
      <w:r w:rsidRPr="00DF3EF6">
        <w:rPr>
          <w:noProof/>
        </w:rPr>
        <w:t>resu ochrony deponentów</w:t>
      </w:r>
      <w:r w:rsidR="0031342C" w:rsidRPr="00DF3EF6">
        <w:rPr>
          <w:noProof/>
        </w:rPr>
        <w:t xml:space="preserve"> w</w:t>
      </w:r>
      <w:r w:rsidR="0031342C">
        <w:rPr>
          <w:noProof/>
        </w:rPr>
        <w:t> </w:t>
      </w:r>
      <w:r w:rsidR="0031342C" w:rsidRPr="00DF3EF6">
        <w:rPr>
          <w:noProof/>
        </w:rPr>
        <w:t>cel</w:t>
      </w:r>
      <w:r w:rsidRPr="00DF3EF6">
        <w:rPr>
          <w:noProof/>
        </w:rPr>
        <w:t>u harmonizacji</w:t>
      </w:r>
      <w:r w:rsidR="0031342C" w:rsidRPr="00DF3EF6">
        <w:rPr>
          <w:noProof/>
        </w:rPr>
        <w:t xml:space="preserve"> i</w:t>
      </w:r>
      <w:r w:rsidR="0031342C">
        <w:rPr>
          <w:noProof/>
        </w:rPr>
        <w:t> </w:t>
      </w:r>
      <w:r w:rsidR="0031342C" w:rsidRPr="00DF3EF6">
        <w:rPr>
          <w:noProof/>
        </w:rPr>
        <w:t>wzm</w:t>
      </w:r>
      <w:r w:rsidRPr="00DF3EF6">
        <w:rPr>
          <w:noProof/>
        </w:rPr>
        <w:t>ocnienia ich ochrony</w:t>
      </w:r>
      <w:r w:rsidR="0031342C" w:rsidRPr="00DF3EF6">
        <w:rPr>
          <w:noProof/>
        </w:rPr>
        <w:t>. W</w:t>
      </w:r>
      <w:r w:rsidR="0031342C">
        <w:rPr>
          <w:noProof/>
        </w:rPr>
        <w:t> </w:t>
      </w:r>
      <w:r w:rsidR="0031342C" w:rsidRPr="00DF3EF6">
        <w:rPr>
          <w:noProof/>
        </w:rPr>
        <w:t>art</w:t>
      </w:r>
      <w:r w:rsidRPr="00DF3EF6">
        <w:rPr>
          <w:noProof/>
        </w:rPr>
        <w:t>ykule tym wyjaśniono również, że</w:t>
      </w:r>
      <w:r w:rsidR="0031342C" w:rsidRPr="00DF3EF6">
        <w:rPr>
          <w:noProof/>
        </w:rPr>
        <w:t xml:space="preserve"> z</w:t>
      </w:r>
      <w:r w:rsidR="0031342C">
        <w:rPr>
          <w:noProof/>
        </w:rPr>
        <w:t> </w:t>
      </w:r>
      <w:r w:rsidR="0031342C" w:rsidRPr="00DF3EF6">
        <w:rPr>
          <w:noProof/>
        </w:rPr>
        <w:t>och</w:t>
      </w:r>
      <w:r w:rsidRPr="00DF3EF6">
        <w:rPr>
          <w:noProof/>
        </w:rPr>
        <w:t>rony systemu gwarancji depozytów wyłączone są depozyty związane</w:t>
      </w:r>
      <w:r w:rsidR="0031342C" w:rsidRPr="00DF3EF6">
        <w:rPr>
          <w:noProof/>
        </w:rPr>
        <w:t xml:space="preserve"> z</w:t>
      </w:r>
      <w:r w:rsidR="0031342C">
        <w:rPr>
          <w:noProof/>
        </w:rPr>
        <w:t> </w:t>
      </w:r>
      <w:r w:rsidR="0031342C" w:rsidRPr="00DF3EF6">
        <w:rPr>
          <w:noProof/>
        </w:rPr>
        <w:t>fin</w:t>
      </w:r>
      <w:r w:rsidRPr="00DF3EF6">
        <w:rPr>
          <w:noProof/>
        </w:rPr>
        <w:t>ansowaniem terroryzmu.</w:t>
      </w:r>
    </w:p>
    <w:p w14:paraId="367198A6" w14:textId="122EFE9B"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W </w:t>
      </w:r>
      <w:r w:rsidRPr="0031342C">
        <w:rPr>
          <w:noProof/>
        </w:rPr>
        <w:t>art.</w:t>
      </w:r>
      <w:r w:rsidR="0031342C" w:rsidRPr="0031342C">
        <w:rPr>
          <w:noProof/>
        </w:rPr>
        <w:t> </w:t>
      </w:r>
      <w:r w:rsidRPr="0031342C">
        <w:rPr>
          <w:noProof/>
        </w:rPr>
        <w:t>6</w:t>
      </w:r>
      <w:r w:rsidRPr="00DF3EF6">
        <w:rPr>
          <w:noProof/>
        </w:rPr>
        <w:t>, regulującym poziom gwarancji ochrony deponentów, wprowadza się zmiany</w:t>
      </w:r>
      <w:r w:rsidR="0031342C" w:rsidRPr="00DF3EF6">
        <w:rPr>
          <w:noProof/>
        </w:rPr>
        <w:t xml:space="preserve"> w</w:t>
      </w:r>
      <w:r w:rsidR="0031342C">
        <w:rPr>
          <w:noProof/>
        </w:rPr>
        <w:t> </w:t>
      </w:r>
      <w:r w:rsidR="0031342C" w:rsidRPr="00DF3EF6">
        <w:rPr>
          <w:noProof/>
        </w:rPr>
        <w:t>cel</w:t>
      </w:r>
      <w:r w:rsidRPr="00DF3EF6">
        <w:rPr>
          <w:noProof/>
        </w:rPr>
        <w:t>u harmonizacji minimalnego poziomu ochrony tymczasowych wysokich sald, powiązanego okresu ochrony oraz</w:t>
      </w:r>
      <w:r w:rsidR="0031342C" w:rsidRPr="00DF3EF6">
        <w:rPr>
          <w:noProof/>
        </w:rPr>
        <w:t xml:space="preserve"> w</w:t>
      </w:r>
      <w:r w:rsidR="0031342C">
        <w:rPr>
          <w:noProof/>
        </w:rPr>
        <w:t> </w:t>
      </w:r>
      <w:r w:rsidR="0031342C" w:rsidRPr="00DF3EF6">
        <w:rPr>
          <w:noProof/>
        </w:rPr>
        <w:t>cel</w:t>
      </w:r>
      <w:r w:rsidRPr="00DF3EF6">
        <w:rPr>
          <w:noProof/>
        </w:rPr>
        <w:t>u wyjaśnienia zakresu chronionych depozytów przechowywanych na potrzeby transakcji dotyczących nieruchomości.</w:t>
      </w:r>
    </w:p>
    <w:p w14:paraId="3EF9D6A5" w14:textId="5BE9CB2F" w:rsidR="00E25235" w:rsidRPr="00DF3EF6" w:rsidRDefault="00E25235" w:rsidP="00E25235">
      <w:pPr>
        <w:pBdr>
          <w:top w:val="nil"/>
          <w:left w:val="nil"/>
          <w:bottom w:val="nil"/>
          <w:right w:val="nil"/>
          <w:between w:val="nil"/>
          <w:bar w:val="nil"/>
        </w:pBdr>
        <w:spacing w:before="0" w:after="240"/>
        <w:rPr>
          <w:noProof/>
        </w:rPr>
      </w:pPr>
      <w:r w:rsidRPr="00DF3EF6">
        <w:rPr>
          <w:noProof/>
        </w:rPr>
        <w:t>Biorąc pod uwagę rozbieżne interpretacje istniejących opcji związanych</w:t>
      </w:r>
      <w:r w:rsidR="0031342C" w:rsidRPr="00DF3EF6">
        <w:rPr>
          <w:noProof/>
        </w:rPr>
        <w:t xml:space="preserve"> z</w:t>
      </w:r>
      <w:r w:rsidR="0031342C">
        <w:rPr>
          <w:noProof/>
        </w:rPr>
        <w:t> </w:t>
      </w:r>
      <w:r w:rsidR="0031342C" w:rsidRPr="00DF3EF6">
        <w:rPr>
          <w:noProof/>
        </w:rPr>
        <w:t>odl</w:t>
      </w:r>
      <w:r w:rsidRPr="00DF3EF6">
        <w:rPr>
          <w:noProof/>
        </w:rPr>
        <w:t xml:space="preserve">iczeniem od kwoty podlegającej wypłacie zobowiązań deponentów, które stały się wymagalne, uchyla się </w:t>
      </w:r>
      <w:r w:rsidRPr="0031342C">
        <w:rPr>
          <w:noProof/>
        </w:rPr>
        <w:t>art.</w:t>
      </w:r>
      <w:r w:rsidR="0031342C" w:rsidRPr="0031342C">
        <w:rPr>
          <w:noProof/>
        </w:rPr>
        <w:t> </w:t>
      </w:r>
      <w:r w:rsidRPr="0031342C">
        <w:rPr>
          <w:noProof/>
        </w:rPr>
        <w:t>7</w:t>
      </w:r>
      <w:r w:rsidRPr="00DF3EF6">
        <w:rPr>
          <w:noProof/>
        </w:rPr>
        <w:t xml:space="preserve"> </w:t>
      </w:r>
      <w:r w:rsidRPr="0031342C">
        <w:rPr>
          <w:noProof/>
        </w:rPr>
        <w:t>ust.</w:t>
      </w:r>
      <w:r w:rsidR="0031342C" w:rsidRPr="0031342C">
        <w:rPr>
          <w:noProof/>
        </w:rPr>
        <w:t> </w:t>
      </w:r>
      <w:r w:rsidRPr="0031342C">
        <w:rPr>
          <w:noProof/>
        </w:rPr>
        <w:t>5</w:t>
      </w:r>
      <w:r w:rsidR="0031342C" w:rsidRPr="00DF3EF6">
        <w:rPr>
          <w:noProof/>
        </w:rPr>
        <w:t xml:space="preserve"> w</w:t>
      </w:r>
      <w:r w:rsidR="0031342C">
        <w:rPr>
          <w:noProof/>
        </w:rPr>
        <w:t> </w:t>
      </w:r>
      <w:r w:rsidR="0031342C" w:rsidRPr="00DF3EF6">
        <w:rPr>
          <w:noProof/>
        </w:rPr>
        <w:t>cel</w:t>
      </w:r>
      <w:r w:rsidRPr="00DF3EF6">
        <w:rPr>
          <w:noProof/>
        </w:rPr>
        <w:t>u harmonizacji przepisów dotyczących obliczenia kwoty podlegające wypłacie</w:t>
      </w:r>
      <w:r w:rsidR="0031342C" w:rsidRPr="00DF3EF6">
        <w:rPr>
          <w:noProof/>
        </w:rPr>
        <w:t>. W</w:t>
      </w:r>
      <w:r w:rsidR="0031342C">
        <w:rPr>
          <w:noProof/>
        </w:rPr>
        <w:t> </w:t>
      </w:r>
      <w:r w:rsidR="0031342C" w:rsidRPr="0031342C">
        <w:rPr>
          <w:noProof/>
        </w:rPr>
        <w:t>ust</w:t>
      </w:r>
      <w:r w:rsidRPr="0031342C">
        <w:rPr>
          <w:noProof/>
        </w:rPr>
        <w:t>.</w:t>
      </w:r>
      <w:r w:rsidR="0031342C" w:rsidRPr="0031342C">
        <w:rPr>
          <w:noProof/>
        </w:rPr>
        <w:t> </w:t>
      </w:r>
      <w:r w:rsidRPr="0031342C">
        <w:rPr>
          <w:noProof/>
        </w:rPr>
        <w:t>7</w:t>
      </w:r>
      <w:r w:rsidRPr="00DF3EF6">
        <w:rPr>
          <w:noProof/>
        </w:rPr>
        <w:t xml:space="preserve"> wprowadza się zmiany mające na celu uwzględnienie sytuacji,</w:t>
      </w:r>
      <w:r w:rsidR="0031342C" w:rsidRPr="00DF3EF6">
        <w:rPr>
          <w:noProof/>
        </w:rPr>
        <w:t xml:space="preserve"> w</w:t>
      </w:r>
      <w:r w:rsidR="0031342C">
        <w:rPr>
          <w:noProof/>
        </w:rPr>
        <w:t> </w:t>
      </w:r>
      <w:r w:rsidR="0031342C" w:rsidRPr="00DF3EF6">
        <w:rPr>
          <w:noProof/>
        </w:rPr>
        <w:t>któ</w:t>
      </w:r>
      <w:r w:rsidRPr="00DF3EF6">
        <w:rPr>
          <w:noProof/>
        </w:rPr>
        <w:t>rych stopa procentowa jest ujemna.</w:t>
      </w:r>
    </w:p>
    <w:p w14:paraId="11AC5694" w14:textId="208D95BA"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Wprowadza się nowy </w:t>
      </w:r>
      <w:r w:rsidRPr="0031342C">
        <w:rPr>
          <w:noProof/>
        </w:rPr>
        <w:t>art.</w:t>
      </w:r>
      <w:r w:rsidR="0031342C" w:rsidRPr="0031342C">
        <w:rPr>
          <w:noProof/>
        </w:rPr>
        <w:t> </w:t>
      </w:r>
      <w:r w:rsidRPr="0031342C">
        <w:rPr>
          <w:noProof/>
        </w:rPr>
        <w:t>7</w:t>
      </w:r>
      <w:r w:rsidRPr="00DF3EF6">
        <w:rPr>
          <w:noProof/>
        </w:rPr>
        <w:t>a, dotyczący ciężaru dowodu,</w:t>
      </w:r>
      <w:r w:rsidR="0031342C" w:rsidRPr="00DF3EF6">
        <w:rPr>
          <w:noProof/>
        </w:rPr>
        <w:t xml:space="preserve"> w</w:t>
      </w:r>
      <w:r w:rsidR="0031342C">
        <w:rPr>
          <w:noProof/>
        </w:rPr>
        <w:t> </w:t>
      </w:r>
      <w:r w:rsidR="0031342C" w:rsidRPr="00DF3EF6">
        <w:rPr>
          <w:noProof/>
        </w:rPr>
        <w:t>cel</w:t>
      </w:r>
      <w:r w:rsidRPr="00DF3EF6">
        <w:rPr>
          <w:noProof/>
        </w:rPr>
        <w:t>u wyjaśnienia aspektu proceduralnego kwalifikowalności depozytów lub uprawnienia do nich, nakładając na deponentów</w:t>
      </w:r>
      <w:r w:rsidR="0031342C" w:rsidRPr="00DF3EF6">
        <w:rPr>
          <w:noProof/>
        </w:rPr>
        <w:t xml:space="preserve"> i</w:t>
      </w:r>
      <w:r w:rsidR="0031342C">
        <w:rPr>
          <w:noProof/>
        </w:rPr>
        <w:t> </w:t>
      </w:r>
      <w:r w:rsidR="0031342C" w:rsidRPr="00DF3EF6">
        <w:rPr>
          <w:noProof/>
        </w:rPr>
        <w:t>pos</w:t>
      </w:r>
      <w:r w:rsidRPr="00DF3EF6">
        <w:rPr>
          <w:noProof/>
        </w:rPr>
        <w:t>iadaczy rachunków ciężar dowodu wskazującego na to, że mogą</w:t>
      </w:r>
      <w:r w:rsidR="0031342C" w:rsidRPr="00DF3EF6">
        <w:rPr>
          <w:noProof/>
        </w:rPr>
        <w:t xml:space="preserve"> w</w:t>
      </w:r>
      <w:r w:rsidR="0031342C">
        <w:rPr>
          <w:noProof/>
        </w:rPr>
        <w:t> </w:t>
      </w:r>
      <w:r w:rsidR="0031342C" w:rsidRPr="00DF3EF6">
        <w:rPr>
          <w:noProof/>
        </w:rPr>
        <w:t>spo</w:t>
      </w:r>
      <w:r w:rsidRPr="00DF3EF6">
        <w:rPr>
          <w:noProof/>
        </w:rPr>
        <w:t>sób nieograniczony dysponować depozytami na rachunkach powierniczych lub rachunkach</w:t>
      </w:r>
      <w:r w:rsidR="0031342C" w:rsidRPr="00DF3EF6">
        <w:rPr>
          <w:noProof/>
        </w:rPr>
        <w:t xml:space="preserve"> o</w:t>
      </w:r>
      <w:r w:rsidR="0031342C">
        <w:rPr>
          <w:noProof/>
        </w:rPr>
        <w:t> </w:t>
      </w:r>
      <w:r w:rsidR="0031342C" w:rsidRPr="00DF3EF6">
        <w:rPr>
          <w:noProof/>
        </w:rPr>
        <w:t>tym</w:t>
      </w:r>
      <w:r w:rsidRPr="00DF3EF6">
        <w:rPr>
          <w:noProof/>
        </w:rPr>
        <w:t xml:space="preserve">czasowo wysokich saldach. </w:t>
      </w:r>
    </w:p>
    <w:p w14:paraId="1B822F0E" w14:textId="5EACDFE6" w:rsidR="00E25235" w:rsidRPr="00DF3EF6" w:rsidRDefault="00E25235" w:rsidP="00E25235">
      <w:pPr>
        <w:pBdr>
          <w:top w:val="nil"/>
          <w:left w:val="nil"/>
          <w:bottom w:val="nil"/>
          <w:right w:val="nil"/>
          <w:between w:val="nil"/>
          <w:bar w:val="nil"/>
        </w:pBdr>
        <w:spacing w:before="0" w:after="240"/>
        <w:rPr>
          <w:noProof/>
        </w:rPr>
      </w:pPr>
      <w:r w:rsidRPr="00DF3EF6">
        <w:rPr>
          <w:noProof/>
        </w:rPr>
        <w:lastRenderedPageBreak/>
        <w:t>Aby zapewnić więcej czasu na weryfikację kwalifikowalności do wypłaty,</w:t>
      </w:r>
      <w:r w:rsidR="0031342C" w:rsidRPr="00DF3EF6">
        <w:rPr>
          <w:noProof/>
        </w:rPr>
        <w:t xml:space="preserve"> a</w:t>
      </w:r>
      <w:r w:rsidR="0031342C">
        <w:rPr>
          <w:noProof/>
        </w:rPr>
        <w:t> </w:t>
      </w:r>
      <w:r w:rsidR="0031342C" w:rsidRPr="00DF3EF6">
        <w:rPr>
          <w:noProof/>
        </w:rPr>
        <w:t>zar</w:t>
      </w:r>
      <w:r w:rsidRPr="00DF3EF6">
        <w:rPr>
          <w:noProof/>
        </w:rPr>
        <w:t>azem zgodnie</w:t>
      </w:r>
      <w:r w:rsidR="0031342C" w:rsidRPr="00DF3EF6">
        <w:rPr>
          <w:noProof/>
        </w:rPr>
        <w:t xml:space="preserve"> z</w:t>
      </w:r>
      <w:r w:rsidR="0031342C">
        <w:rPr>
          <w:noProof/>
        </w:rPr>
        <w:t> </w:t>
      </w:r>
      <w:r w:rsidR="0031342C" w:rsidRPr="00DF3EF6">
        <w:rPr>
          <w:noProof/>
        </w:rPr>
        <w:t>prz</w:t>
      </w:r>
      <w:r w:rsidRPr="00DF3EF6">
        <w:rPr>
          <w:noProof/>
        </w:rPr>
        <w:t>episem dotyczącym ciężaru dowodu ustanowionym</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7</w:t>
      </w:r>
      <w:r w:rsidRPr="00DF3EF6">
        <w:rPr>
          <w:noProof/>
        </w:rPr>
        <w:t>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8</w:t>
      </w:r>
      <w:r w:rsidRPr="00DF3EF6">
        <w:rPr>
          <w:noProof/>
        </w:rPr>
        <w:t xml:space="preserve"> wprowadza się zmiany umożliwiające systemowi gwarancji depozytów zastosowanie dłuższego okresu wynoszącego </w:t>
      </w:r>
      <w:r w:rsidRPr="0031342C">
        <w:rPr>
          <w:noProof/>
        </w:rPr>
        <w:t>do</w:t>
      </w:r>
      <w:r w:rsidR="0031342C" w:rsidRPr="0031342C">
        <w:rPr>
          <w:noProof/>
        </w:rPr>
        <w:t> </w:t>
      </w:r>
      <w:r w:rsidRPr="0031342C">
        <w:rPr>
          <w:noProof/>
        </w:rPr>
        <w:t>2</w:t>
      </w:r>
      <w:r w:rsidRPr="00DF3EF6">
        <w:rPr>
          <w:noProof/>
        </w:rPr>
        <w:t>0 dni roboczych</w:t>
      </w:r>
      <w:r w:rsidR="0031342C" w:rsidRPr="00DF3EF6">
        <w:rPr>
          <w:noProof/>
        </w:rPr>
        <w:t xml:space="preserve"> w</w:t>
      </w:r>
      <w:r w:rsidR="0031342C">
        <w:rPr>
          <w:noProof/>
        </w:rPr>
        <w:t> </w:t>
      </w:r>
      <w:r w:rsidR="0031342C" w:rsidRPr="00DF3EF6">
        <w:rPr>
          <w:noProof/>
        </w:rPr>
        <w:t>prz</w:t>
      </w:r>
      <w:r w:rsidRPr="00DF3EF6">
        <w:rPr>
          <w:noProof/>
        </w:rPr>
        <w:t>ypadku wypłaty</w:t>
      </w:r>
      <w:r w:rsidR="0031342C" w:rsidRPr="00DF3EF6">
        <w:rPr>
          <w:noProof/>
        </w:rPr>
        <w:t xml:space="preserve"> z</w:t>
      </w:r>
      <w:r w:rsidR="0031342C">
        <w:rPr>
          <w:noProof/>
        </w:rPr>
        <w:t> </w:t>
      </w:r>
      <w:r w:rsidR="0031342C" w:rsidRPr="00DF3EF6">
        <w:rPr>
          <w:noProof/>
        </w:rPr>
        <w:t>rac</w:t>
      </w:r>
      <w:r w:rsidRPr="00DF3EF6">
        <w:rPr>
          <w:noProof/>
        </w:rPr>
        <w:t>hunków powierniczych, wypłaty środków finansowych klienta oraz tymczasowo wysokich sald. Obliczanie daty granicznej rozpoczyna się od dnia,</w:t>
      </w:r>
      <w:r w:rsidR="0031342C" w:rsidRPr="00DF3EF6">
        <w:rPr>
          <w:noProof/>
        </w:rPr>
        <w:t xml:space="preserve"> w</w:t>
      </w:r>
      <w:r w:rsidR="0031342C">
        <w:rPr>
          <w:noProof/>
        </w:rPr>
        <w:t> </w:t>
      </w:r>
      <w:r w:rsidR="0031342C" w:rsidRPr="00DF3EF6">
        <w:rPr>
          <w:noProof/>
        </w:rPr>
        <w:t>któ</w:t>
      </w:r>
      <w:r w:rsidRPr="00DF3EF6">
        <w:rPr>
          <w:noProof/>
        </w:rPr>
        <w:t>rym system gwarancji depozytów otrzymał pełną dokumentację umożliwiającą kontrolę roszczeń</w:t>
      </w:r>
      <w:r w:rsidR="0031342C" w:rsidRPr="00DF3EF6">
        <w:rPr>
          <w:noProof/>
        </w:rPr>
        <w:t xml:space="preserve"> i</w:t>
      </w:r>
      <w:r w:rsidR="0031342C">
        <w:rPr>
          <w:noProof/>
        </w:rPr>
        <w:t> </w:t>
      </w:r>
      <w:r w:rsidR="0031342C" w:rsidRPr="00DF3EF6">
        <w:rPr>
          <w:noProof/>
        </w:rPr>
        <w:t>wer</w:t>
      </w:r>
      <w:r w:rsidRPr="00DF3EF6">
        <w:rPr>
          <w:noProof/>
        </w:rPr>
        <w:t>yfikację warunków wypłaty. Zmieniony artykuł umożliwia systemowi gwarancji depozytów także wprowadzenie progu wypłaty</w:t>
      </w:r>
      <w:r w:rsidR="0031342C" w:rsidRPr="00DF3EF6">
        <w:rPr>
          <w:noProof/>
        </w:rPr>
        <w:t xml:space="preserve"> z</w:t>
      </w:r>
      <w:r w:rsidR="0031342C">
        <w:rPr>
          <w:noProof/>
        </w:rPr>
        <w:t> </w:t>
      </w:r>
      <w:r w:rsidR="0031342C" w:rsidRPr="00DF3EF6">
        <w:rPr>
          <w:noProof/>
        </w:rPr>
        <w:t>rac</w:t>
      </w:r>
      <w:r w:rsidRPr="00DF3EF6">
        <w:rPr>
          <w:noProof/>
        </w:rPr>
        <w:t xml:space="preserve">hunków nieaktywnych. </w:t>
      </w:r>
    </w:p>
    <w:p w14:paraId="6C53E3E8" w14:textId="6608C579"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Dodaje się nowy </w:t>
      </w:r>
      <w:r w:rsidRPr="0031342C">
        <w:rPr>
          <w:noProof/>
        </w:rPr>
        <w:t>art.</w:t>
      </w:r>
      <w:r w:rsidR="0031342C" w:rsidRPr="0031342C">
        <w:rPr>
          <w:noProof/>
        </w:rPr>
        <w:t> </w:t>
      </w:r>
      <w:r w:rsidRPr="0031342C">
        <w:rPr>
          <w:noProof/>
        </w:rPr>
        <w:t>8</w:t>
      </w:r>
      <w:r w:rsidRPr="00DF3EF6">
        <w:rPr>
          <w:noProof/>
        </w:rPr>
        <w:t>a</w:t>
      </w:r>
      <w:r w:rsidR="0031342C" w:rsidRPr="00DF3EF6">
        <w:rPr>
          <w:noProof/>
        </w:rPr>
        <w:t xml:space="preserve"> w</w:t>
      </w:r>
      <w:r w:rsidR="0031342C">
        <w:rPr>
          <w:noProof/>
        </w:rPr>
        <w:t> </w:t>
      </w:r>
      <w:r w:rsidR="0031342C" w:rsidRPr="00DF3EF6">
        <w:rPr>
          <w:noProof/>
        </w:rPr>
        <w:t>cel</w:t>
      </w:r>
      <w:r w:rsidRPr="00DF3EF6">
        <w:rPr>
          <w:noProof/>
        </w:rPr>
        <w:t>u zapewnienia, aby wypłat na rzecz deponentów powyżej progu wynoszącego 10 000 EUR dokonywano za pośrednictwem poleceń przelewów zgodnie</w:t>
      </w:r>
      <w:r w:rsidR="0031342C" w:rsidRPr="00DF3EF6">
        <w:rPr>
          <w:noProof/>
        </w:rPr>
        <w:t xml:space="preserve"> z</w:t>
      </w:r>
      <w:r w:rsidR="0031342C">
        <w:rPr>
          <w:noProof/>
        </w:rPr>
        <w:t> </w:t>
      </w:r>
      <w:r w:rsidR="0031342C" w:rsidRPr="00DF3EF6">
        <w:rPr>
          <w:noProof/>
        </w:rPr>
        <w:t>zał</w:t>
      </w:r>
      <w:r w:rsidRPr="00DF3EF6">
        <w:rPr>
          <w:noProof/>
        </w:rPr>
        <w:t>ożeniami AML/CFT.</w:t>
      </w:r>
    </w:p>
    <w:p w14:paraId="695B217B" w14:textId="0C47EB90" w:rsidR="00E25235" w:rsidRPr="00DF3EF6" w:rsidRDefault="00E25235" w:rsidP="00E25235">
      <w:pPr>
        <w:pBdr>
          <w:top w:val="nil"/>
          <w:left w:val="nil"/>
          <w:bottom w:val="nil"/>
          <w:right w:val="nil"/>
          <w:between w:val="nil"/>
          <w:bar w:val="nil"/>
        </w:pBdr>
        <w:spacing w:before="0" w:after="240"/>
        <w:rPr>
          <w:noProof/>
        </w:rPr>
      </w:pPr>
      <w:r w:rsidRPr="00DF3EF6">
        <w:rPr>
          <w:noProof/>
        </w:rPr>
        <w:t>Instytucje finansowe, takie jak firmy inwestycyjne, instytucje płatnicze lub instytucje pieniądza elektronicznego pobierają od klientów środki pieniężne,</w:t>
      </w:r>
      <w:r w:rsidR="0031342C" w:rsidRPr="00DF3EF6">
        <w:rPr>
          <w:noProof/>
        </w:rPr>
        <w:t xml:space="preserve"> a</w:t>
      </w:r>
      <w:r w:rsidR="0031342C">
        <w:rPr>
          <w:noProof/>
        </w:rPr>
        <w:t> </w:t>
      </w:r>
      <w:r w:rsidR="0031342C" w:rsidRPr="00DF3EF6">
        <w:rPr>
          <w:noProof/>
        </w:rPr>
        <w:t>zas</w:t>
      </w:r>
      <w:r w:rsidRPr="00DF3EF6">
        <w:rPr>
          <w:noProof/>
        </w:rPr>
        <w:t>ady sektorowe nakładają na nie wymóg zabezpieczenia tych środków,</w:t>
      </w:r>
      <w:r w:rsidR="0031342C" w:rsidRPr="00DF3EF6">
        <w:rPr>
          <w:noProof/>
        </w:rPr>
        <w:t xml:space="preserve"> w</w:t>
      </w:r>
      <w:r w:rsidR="0031342C">
        <w:rPr>
          <w:noProof/>
        </w:rPr>
        <w:t> </w:t>
      </w:r>
      <w:r w:rsidR="0031342C" w:rsidRPr="00DF3EF6">
        <w:rPr>
          <w:noProof/>
        </w:rPr>
        <w:t>tym</w:t>
      </w:r>
      <w:r w:rsidRPr="00DF3EF6">
        <w:rPr>
          <w:noProof/>
        </w:rPr>
        <w:t xml:space="preserve"> między innymi poprzez umieszczenie ich na odrębnych rachunkach</w:t>
      </w:r>
      <w:r w:rsidR="0031342C" w:rsidRPr="00DF3EF6">
        <w:rPr>
          <w:noProof/>
        </w:rPr>
        <w:t xml:space="preserve"> w</w:t>
      </w:r>
      <w:r w:rsidR="0031342C">
        <w:rPr>
          <w:noProof/>
        </w:rPr>
        <w:t> </w:t>
      </w:r>
      <w:r w:rsidR="0031342C" w:rsidRPr="00DF3EF6">
        <w:rPr>
          <w:noProof/>
        </w:rPr>
        <w:t>ins</w:t>
      </w:r>
      <w:r w:rsidRPr="00DF3EF6">
        <w:rPr>
          <w:noProof/>
        </w:rPr>
        <w:t xml:space="preserve">tytucjach kredytowych. Nowym </w:t>
      </w:r>
      <w:r w:rsidRPr="0031342C">
        <w:rPr>
          <w:noProof/>
        </w:rPr>
        <w:t>art.</w:t>
      </w:r>
      <w:r w:rsidR="0031342C" w:rsidRPr="0031342C">
        <w:rPr>
          <w:noProof/>
        </w:rPr>
        <w:t> </w:t>
      </w:r>
      <w:r w:rsidRPr="0031342C">
        <w:rPr>
          <w:noProof/>
        </w:rPr>
        <w:t>8</w:t>
      </w:r>
      <w:r w:rsidRPr="00DF3EF6">
        <w:rPr>
          <w:noProof/>
        </w:rPr>
        <w:t>b wprowadza się zasady harmonizacji zakresu ochrony depozytów dla takich funduszy zdeponowanych</w:t>
      </w:r>
      <w:r w:rsidR="0031342C" w:rsidRPr="00DF3EF6">
        <w:rPr>
          <w:noProof/>
        </w:rPr>
        <w:t xml:space="preserve"> w</w:t>
      </w:r>
      <w:r w:rsidR="0031342C">
        <w:rPr>
          <w:noProof/>
        </w:rPr>
        <w:t> </w:t>
      </w:r>
      <w:r w:rsidR="0031342C" w:rsidRPr="00DF3EF6">
        <w:rPr>
          <w:noProof/>
        </w:rPr>
        <w:t>imi</w:t>
      </w:r>
      <w:r w:rsidRPr="00DF3EF6">
        <w:rPr>
          <w:noProof/>
        </w:rPr>
        <w:t>eniu i na rzecz klientów na potrzeby wyodrębnienia</w:t>
      </w:r>
      <w:r w:rsidR="0031342C" w:rsidRPr="00DF3EF6">
        <w:rPr>
          <w:noProof/>
        </w:rPr>
        <w:t>. W</w:t>
      </w:r>
      <w:r w:rsidR="0031342C">
        <w:rPr>
          <w:noProof/>
        </w:rPr>
        <w:t> </w:t>
      </w:r>
      <w:r w:rsidR="0031342C" w:rsidRPr="00DF3EF6">
        <w:rPr>
          <w:noProof/>
        </w:rPr>
        <w:t>art</w:t>
      </w:r>
      <w:r w:rsidRPr="00DF3EF6">
        <w:rPr>
          <w:noProof/>
        </w:rPr>
        <w:t>ykule tym szczegółowo określono warunki wypłaty na rzecz posiadacza rachunku lub klienta oraz upoważnienia EUNB do opracowania projektu regulacyjnych standardów technicznych na potrzeby identyfikacji klientów</w:t>
      </w:r>
      <w:r w:rsidR="0031342C" w:rsidRPr="00DF3EF6">
        <w:rPr>
          <w:noProof/>
        </w:rPr>
        <w:t xml:space="preserve"> w</w:t>
      </w:r>
      <w:r w:rsidR="0031342C">
        <w:rPr>
          <w:noProof/>
        </w:rPr>
        <w:t> </w:t>
      </w:r>
      <w:r w:rsidR="0031342C" w:rsidRPr="00DF3EF6">
        <w:rPr>
          <w:noProof/>
        </w:rPr>
        <w:t>tak</w:t>
      </w:r>
      <w:r w:rsidRPr="00DF3EF6">
        <w:rPr>
          <w:noProof/>
        </w:rPr>
        <w:t xml:space="preserve">ich przypadkach. </w:t>
      </w:r>
    </w:p>
    <w:p w14:paraId="68206298" w14:textId="305A8337" w:rsidR="00E25235" w:rsidRPr="00DF3EF6" w:rsidRDefault="003170E0" w:rsidP="00E25235">
      <w:pPr>
        <w:pBdr>
          <w:top w:val="nil"/>
          <w:left w:val="nil"/>
          <w:bottom w:val="nil"/>
          <w:right w:val="nil"/>
          <w:between w:val="nil"/>
          <w:bar w:val="nil"/>
        </w:pBdr>
        <w:spacing w:before="0" w:after="240"/>
        <w:rPr>
          <w:noProof/>
        </w:rPr>
      </w:pPr>
      <w:r w:rsidRPr="00DF3EF6">
        <w:rPr>
          <w:noProof/>
        </w:rPr>
        <w:t>We wniosku Komisji dotyczącym rozporządzenia</w:t>
      </w:r>
      <w:r w:rsidR="0031342C" w:rsidRPr="00DF3EF6">
        <w:rPr>
          <w:noProof/>
        </w:rPr>
        <w:t xml:space="preserve"> w</w:t>
      </w:r>
      <w:r w:rsidR="0031342C">
        <w:rPr>
          <w:noProof/>
        </w:rPr>
        <w:t> </w:t>
      </w:r>
      <w:r w:rsidR="0031342C" w:rsidRPr="00DF3EF6">
        <w:rPr>
          <w:noProof/>
        </w:rPr>
        <w:t>spr</w:t>
      </w:r>
      <w:r w:rsidRPr="00DF3EF6">
        <w:rPr>
          <w:noProof/>
        </w:rPr>
        <w:t>awie zapobiegania wykorzystywaniu systemu finansowego do prania pieniędzy lub finansowania terroryzmu</w:t>
      </w:r>
      <w:r w:rsidRPr="00DF3EF6">
        <w:rPr>
          <w:rStyle w:val="FootnoteReference"/>
          <w:noProof/>
        </w:rPr>
        <w:footnoteReference w:id="33"/>
      </w:r>
      <w:r w:rsidRPr="00DF3EF6">
        <w:rPr>
          <w:noProof/>
        </w:rPr>
        <w:t xml:space="preserve"> nakłada się na organy nadzoru finansowego wymóg współpracy</w:t>
      </w:r>
      <w:r w:rsidR="0031342C" w:rsidRPr="00DF3EF6">
        <w:rPr>
          <w:noProof/>
        </w:rPr>
        <w:t xml:space="preserve"> z</w:t>
      </w:r>
      <w:r w:rsidR="0031342C">
        <w:rPr>
          <w:noProof/>
        </w:rPr>
        <w:t> </w:t>
      </w:r>
      <w:r w:rsidR="0031342C" w:rsidRPr="00DF3EF6">
        <w:rPr>
          <w:noProof/>
        </w:rPr>
        <w:t>org</w:t>
      </w:r>
      <w:r w:rsidRPr="00DF3EF6">
        <w:rPr>
          <w:noProof/>
        </w:rPr>
        <w:t>anami ds.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lub wyznaczonymi organami oraz informowania tych organów</w:t>
      </w:r>
      <w:r w:rsidR="0031342C" w:rsidRPr="00DF3EF6">
        <w:rPr>
          <w:noProof/>
        </w:rPr>
        <w:t xml:space="preserve"> o</w:t>
      </w:r>
      <w:r w:rsidR="0031342C">
        <w:rPr>
          <w:noProof/>
        </w:rPr>
        <w:t> </w:t>
      </w:r>
      <w:r w:rsidR="0031342C" w:rsidRPr="00DF3EF6">
        <w:rPr>
          <w:noProof/>
        </w:rPr>
        <w:t>wyn</w:t>
      </w:r>
      <w:r w:rsidRPr="00DF3EF6">
        <w:rPr>
          <w:noProof/>
        </w:rPr>
        <w:t xml:space="preserve">ikach zastosowania środków należytej staranności wobec klienta. Wprowadza się nowy </w:t>
      </w:r>
      <w:r w:rsidRPr="0031342C">
        <w:rPr>
          <w:noProof/>
        </w:rPr>
        <w:t>art.</w:t>
      </w:r>
      <w:r w:rsidR="0031342C" w:rsidRPr="0031342C">
        <w:rPr>
          <w:noProof/>
        </w:rPr>
        <w:t> </w:t>
      </w:r>
      <w:r w:rsidRPr="0031342C">
        <w:rPr>
          <w:noProof/>
        </w:rPr>
        <w:t>8</w:t>
      </w:r>
      <w:r w:rsidRPr="00DF3EF6">
        <w:rPr>
          <w:noProof/>
        </w:rPr>
        <w:t>c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w:t>
      </w:r>
      <w:r w:rsidR="0031342C" w:rsidRPr="00DF3EF6">
        <w:rPr>
          <w:noProof/>
        </w:rPr>
        <w:t xml:space="preserve"> w</w:t>
      </w:r>
      <w:r w:rsidR="0031342C">
        <w:rPr>
          <w:noProof/>
        </w:rPr>
        <w:t> </w:t>
      </w:r>
      <w:r w:rsidR="0031342C" w:rsidRPr="00DF3EF6">
        <w:rPr>
          <w:noProof/>
        </w:rPr>
        <w:t>cel</w:t>
      </w:r>
      <w:r w:rsidRPr="00DF3EF6">
        <w:rPr>
          <w:noProof/>
        </w:rPr>
        <w:t>u uniknięcia wypłaty depozytów, jeżeli wyniki należytej staranności wobec klienta wykażą, że istnieje podejrzenie prania pieniędzy lub finansowania terroryzmu, jak również</w:t>
      </w:r>
      <w:r w:rsidR="0031342C" w:rsidRPr="00DF3EF6">
        <w:rPr>
          <w:noProof/>
        </w:rPr>
        <w:t xml:space="preserve"> w</w:t>
      </w:r>
      <w:r w:rsidR="0031342C">
        <w:rPr>
          <w:noProof/>
        </w:rPr>
        <w:t> </w:t>
      </w:r>
      <w:r w:rsidR="0031342C" w:rsidRPr="00DF3EF6">
        <w:rPr>
          <w:noProof/>
        </w:rPr>
        <w:t>cel</w:t>
      </w:r>
      <w:r w:rsidRPr="00DF3EF6">
        <w:rPr>
          <w:noProof/>
        </w:rPr>
        <w:t>u zapewnienia</w:t>
      </w:r>
      <w:r w:rsidR="0031342C" w:rsidRPr="00DF3EF6">
        <w:rPr>
          <w:noProof/>
        </w:rPr>
        <w:t xml:space="preserve"> w</w:t>
      </w:r>
      <w:r w:rsidR="0031342C">
        <w:rPr>
          <w:noProof/>
        </w:rPr>
        <w:t> </w:t>
      </w:r>
      <w:r w:rsidR="0031342C" w:rsidRPr="00DF3EF6">
        <w:rPr>
          <w:noProof/>
        </w:rPr>
        <w:t>tyc</w:t>
      </w:r>
      <w:r w:rsidRPr="00DF3EF6">
        <w:rPr>
          <w:noProof/>
        </w:rPr>
        <w:t>h przypadkach płynnej wymiany informacji między wyznaczonym organem</w:t>
      </w:r>
      <w:r w:rsidR="0031342C" w:rsidRPr="00DF3EF6">
        <w:rPr>
          <w:noProof/>
        </w:rPr>
        <w:t xml:space="preserve"> a</w:t>
      </w:r>
      <w:r w:rsidR="0031342C">
        <w:rPr>
          <w:noProof/>
        </w:rPr>
        <w:t> </w:t>
      </w:r>
      <w:r w:rsidR="0031342C" w:rsidRPr="00DF3EF6">
        <w:rPr>
          <w:noProof/>
        </w:rPr>
        <w:t>sys</w:t>
      </w:r>
      <w:r w:rsidRPr="00DF3EF6">
        <w:rPr>
          <w:noProof/>
        </w:rPr>
        <w:t>temem gwarancji depozytów. Ten nowy przepis wprowadza także ustalenia dotyczące wstrzymania wypłat</w:t>
      </w:r>
      <w:r w:rsidR="0031342C" w:rsidRPr="00DF3EF6">
        <w:rPr>
          <w:noProof/>
        </w:rPr>
        <w:t xml:space="preserve"> z</w:t>
      </w:r>
      <w:r w:rsidR="0031342C">
        <w:rPr>
          <w:noProof/>
        </w:rPr>
        <w:t> </w:t>
      </w:r>
      <w:r w:rsidR="0031342C" w:rsidRPr="00DF3EF6">
        <w:rPr>
          <w:noProof/>
        </w:rPr>
        <w:t>sys</w:t>
      </w:r>
      <w:r w:rsidRPr="00DF3EF6">
        <w:rPr>
          <w:noProof/>
        </w:rPr>
        <w:t>temu gwarancji depozytów</w:t>
      </w:r>
      <w:r w:rsidR="0031342C" w:rsidRPr="00DF3EF6">
        <w:rPr>
          <w:noProof/>
        </w:rPr>
        <w:t xml:space="preserve"> w</w:t>
      </w:r>
      <w:r w:rsidR="0031342C">
        <w:rPr>
          <w:noProof/>
        </w:rPr>
        <w:t> </w:t>
      </w:r>
      <w:r w:rsidR="0031342C" w:rsidRPr="00DF3EF6">
        <w:rPr>
          <w:noProof/>
        </w:rPr>
        <w:t>odn</w:t>
      </w:r>
      <w:r w:rsidRPr="00DF3EF6">
        <w:rPr>
          <w:noProof/>
        </w:rPr>
        <w:t>iesieniu do wypłat depozytów gwarantowanych, pociągających za sobą obawy związane</w:t>
      </w:r>
      <w:r w:rsidR="0031342C" w:rsidRPr="00DF3EF6">
        <w:rPr>
          <w:noProof/>
        </w:rPr>
        <w:t xml:space="preserve"> z</w:t>
      </w:r>
      <w:r w:rsidR="0031342C">
        <w:rPr>
          <w:noProof/>
        </w:rPr>
        <w:t> </w:t>
      </w:r>
      <w:r w:rsidR="0031342C" w:rsidRPr="00DF3EF6">
        <w:rPr>
          <w:noProof/>
        </w:rPr>
        <w:t>pra</w:t>
      </w:r>
      <w:r w:rsidRPr="00DF3EF6">
        <w:rPr>
          <w:noProof/>
        </w:rPr>
        <w:t>niem pieniędzy/finansowaniem terroryzmu.</w:t>
      </w:r>
    </w:p>
    <w:p w14:paraId="3D73452C" w14:textId="2AA84A4D" w:rsidR="00E25235" w:rsidRPr="00DF3EF6" w:rsidRDefault="00E25235" w:rsidP="00E25235">
      <w:pPr>
        <w:pBdr>
          <w:top w:val="nil"/>
          <w:left w:val="nil"/>
          <w:bottom w:val="nil"/>
          <w:right w:val="nil"/>
          <w:between w:val="nil"/>
          <w:bar w:val="nil"/>
        </w:pBdr>
        <w:spacing w:before="0" w:after="240"/>
        <w:rPr>
          <w:noProof/>
        </w:rPr>
      </w:pPr>
      <w:r w:rsidRPr="00DF3EF6">
        <w:rPr>
          <w:noProof/>
        </w:rPr>
        <w:t>Art. 9 dyrektywy</w:t>
      </w:r>
      <w:r w:rsidR="0031342C" w:rsidRPr="00DF3EF6">
        <w:rPr>
          <w:noProof/>
        </w:rPr>
        <w:t xml:space="preserve"> w</w:t>
      </w:r>
      <w:r w:rsidR="0031342C">
        <w:rPr>
          <w:noProof/>
        </w:rPr>
        <w:t> </w:t>
      </w:r>
      <w:r w:rsidR="0031342C" w:rsidRPr="00DF3EF6">
        <w:rPr>
          <w:noProof/>
        </w:rPr>
        <w:t>spr</w:t>
      </w:r>
      <w:r w:rsidRPr="00DF3EF6">
        <w:rPr>
          <w:noProof/>
        </w:rPr>
        <w:t>awie systemów gwarancji depozytów stanowi, że</w:t>
      </w:r>
      <w:r w:rsidR="0031342C" w:rsidRPr="00DF3EF6">
        <w:rPr>
          <w:noProof/>
        </w:rPr>
        <w:t xml:space="preserve"> w</w:t>
      </w:r>
      <w:r w:rsidR="0031342C">
        <w:rPr>
          <w:noProof/>
        </w:rPr>
        <w:t> </w:t>
      </w:r>
      <w:r w:rsidR="0031342C" w:rsidRPr="00DF3EF6">
        <w:rPr>
          <w:noProof/>
        </w:rPr>
        <w:t>prz</w:t>
      </w:r>
      <w:r w:rsidRPr="00DF3EF6">
        <w:rPr>
          <w:noProof/>
        </w:rPr>
        <w:t>ypadku gdy system gwarancji depozytów dokonuje płatności</w:t>
      </w:r>
      <w:r w:rsidR="0031342C" w:rsidRPr="00DF3EF6">
        <w:rPr>
          <w:noProof/>
        </w:rPr>
        <w:t xml:space="preserve"> w</w:t>
      </w:r>
      <w:r w:rsidR="0031342C">
        <w:rPr>
          <w:noProof/>
        </w:rPr>
        <w:t> </w:t>
      </w:r>
      <w:r w:rsidR="0031342C" w:rsidRPr="00DF3EF6">
        <w:rPr>
          <w:noProof/>
        </w:rPr>
        <w:t>kon</w:t>
      </w:r>
      <w:r w:rsidRPr="00DF3EF6">
        <w:rPr>
          <w:noProof/>
        </w:rPr>
        <w:t>tekście postępowania</w:t>
      </w:r>
      <w:r w:rsidR="0031342C" w:rsidRPr="00DF3EF6">
        <w:rPr>
          <w:noProof/>
        </w:rPr>
        <w:t xml:space="preserve"> w</w:t>
      </w:r>
      <w:r w:rsidR="0031342C">
        <w:rPr>
          <w:noProof/>
        </w:rPr>
        <w:t> </w:t>
      </w:r>
      <w:r w:rsidR="0031342C" w:rsidRPr="00DF3EF6">
        <w:rPr>
          <w:noProof/>
        </w:rPr>
        <w:t>zak</w:t>
      </w:r>
      <w:r w:rsidRPr="00DF3EF6">
        <w:rPr>
          <w:noProof/>
        </w:rPr>
        <w:t>resie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system gwarancji depozytów ma prawo do roszczenia wobec danej instytucji kredytowej do wysokości kwoty dokonanych przez niego płatności. Roszczenie to powinno mieć stopień uprzywilejowania równy depozytom gwarantowanym. Przepis ten nie wprowadza rozróżnienia między wkładem systemu gwarancji depozytów</w:t>
      </w:r>
      <w:r w:rsidR="0031342C" w:rsidRPr="00DF3EF6">
        <w:rPr>
          <w:noProof/>
        </w:rPr>
        <w:t xml:space="preserve"> w</w:t>
      </w:r>
      <w:r w:rsidR="0031342C">
        <w:rPr>
          <w:noProof/>
        </w:rPr>
        <w:t> </w:t>
      </w:r>
      <w:r w:rsidR="0031342C" w:rsidRPr="00DF3EF6">
        <w:rPr>
          <w:noProof/>
        </w:rPr>
        <w:t>umo</w:t>
      </w:r>
      <w:r w:rsidRPr="00DF3EF6">
        <w:rPr>
          <w:noProof/>
        </w:rPr>
        <w:t>rzenie lub konwersję długu przy kontynuacji działalności</w:t>
      </w:r>
      <w:r w:rsidR="0031342C" w:rsidRPr="00DF3EF6">
        <w:rPr>
          <w:noProof/>
        </w:rPr>
        <w:t xml:space="preserve"> w</w:t>
      </w:r>
      <w:r w:rsidR="0031342C">
        <w:rPr>
          <w:noProof/>
        </w:rPr>
        <w:t> </w:t>
      </w:r>
      <w:r w:rsidR="0031342C" w:rsidRPr="00DF3EF6">
        <w:rPr>
          <w:noProof/>
        </w:rPr>
        <w:t>ram</w:t>
      </w:r>
      <w:r w:rsidRPr="00DF3EF6">
        <w:rPr>
          <w:noProof/>
        </w:rPr>
        <w:t>ach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(jeżeli podmiot bankowy podlega ochronie</w:t>
      </w:r>
      <w:r w:rsidR="0031342C" w:rsidRPr="00DF3EF6">
        <w:rPr>
          <w:noProof/>
        </w:rPr>
        <w:t xml:space="preserve"> i</w:t>
      </w:r>
      <w:r w:rsidR="0031342C">
        <w:rPr>
          <w:noProof/>
        </w:rPr>
        <w:t> </w:t>
      </w:r>
      <w:r w:rsidR="0031342C" w:rsidRPr="00DF3EF6">
        <w:rPr>
          <w:noProof/>
        </w:rPr>
        <w:t>kon</w:t>
      </w:r>
      <w:r w:rsidRPr="00DF3EF6">
        <w:rPr>
          <w:noProof/>
        </w:rPr>
        <w:t>tynuuje działalność)</w:t>
      </w:r>
      <w:r w:rsidR="0031342C" w:rsidRPr="00DF3EF6">
        <w:rPr>
          <w:noProof/>
        </w:rPr>
        <w:t xml:space="preserve"> a</w:t>
      </w:r>
      <w:r w:rsidR="0031342C">
        <w:rPr>
          <w:noProof/>
        </w:rPr>
        <w:t> </w:t>
      </w:r>
      <w:r w:rsidR="0031342C" w:rsidRPr="00DF3EF6">
        <w:rPr>
          <w:noProof/>
        </w:rPr>
        <w:t>wkł</w:t>
      </w:r>
      <w:r w:rsidRPr="00DF3EF6">
        <w:rPr>
          <w:noProof/>
        </w:rPr>
        <w:t>adami systemu gwarancji depozytów</w:t>
      </w:r>
      <w:r w:rsidR="0031342C" w:rsidRPr="00DF3EF6">
        <w:rPr>
          <w:noProof/>
        </w:rPr>
        <w:t xml:space="preserve"> w</w:t>
      </w:r>
      <w:r w:rsidR="0031342C">
        <w:rPr>
          <w:noProof/>
        </w:rPr>
        <w:t> </w:t>
      </w:r>
      <w:r w:rsidR="0031342C" w:rsidRPr="00DF3EF6">
        <w:rPr>
          <w:noProof/>
        </w:rPr>
        <w:t>fin</w:t>
      </w:r>
      <w:r w:rsidRPr="00DF3EF6">
        <w:rPr>
          <w:noProof/>
        </w:rPr>
        <w:t xml:space="preserve">ansowanie strategii przeniesienia (sprzedaż przedsiębiorstwa lub instrument instytucji pomostowej oraz </w:t>
      </w:r>
      <w:r w:rsidRPr="00DF3EF6">
        <w:rPr>
          <w:noProof/>
        </w:rPr>
        <w:lastRenderedPageBreak/>
        <w:t>likwidacja pozostałej części podmiotu). Brak takiego rozróżnienia może spowodować niepewność</w:t>
      </w:r>
      <w:r w:rsidR="0031342C" w:rsidRPr="00DF3EF6">
        <w:rPr>
          <w:noProof/>
        </w:rPr>
        <w:t xml:space="preserve"> w</w:t>
      </w:r>
      <w:r w:rsidR="0031342C">
        <w:rPr>
          <w:noProof/>
        </w:rPr>
        <w:t> </w:t>
      </w:r>
      <w:r w:rsidR="0031342C" w:rsidRPr="00DF3EF6">
        <w:rPr>
          <w:noProof/>
        </w:rPr>
        <w:t>odn</w:t>
      </w:r>
      <w:r w:rsidRPr="00DF3EF6">
        <w:rPr>
          <w:noProof/>
        </w:rPr>
        <w:t>iesieniu do istnienia</w:t>
      </w:r>
      <w:r w:rsidR="0031342C" w:rsidRPr="00DF3EF6">
        <w:rPr>
          <w:noProof/>
        </w:rPr>
        <w:t xml:space="preserve"> i</w:t>
      </w:r>
      <w:r w:rsidR="0031342C">
        <w:rPr>
          <w:noProof/>
        </w:rPr>
        <w:t> </w:t>
      </w:r>
      <w:r w:rsidR="0031342C" w:rsidRPr="00DF3EF6">
        <w:rPr>
          <w:noProof/>
        </w:rPr>
        <w:t>kwo</w:t>
      </w:r>
      <w:r w:rsidRPr="00DF3EF6">
        <w:rPr>
          <w:noProof/>
        </w:rPr>
        <w:t>ty roszczenia systemu gwarancji depozytów</w:t>
      </w:r>
      <w:r w:rsidR="0031342C" w:rsidRPr="00DF3EF6">
        <w:rPr>
          <w:noProof/>
        </w:rPr>
        <w:t xml:space="preserve"> w</w:t>
      </w:r>
      <w:r w:rsidR="0031342C">
        <w:rPr>
          <w:noProof/>
        </w:rPr>
        <w:t> </w:t>
      </w:r>
      <w:r w:rsidR="0031342C" w:rsidRPr="00DF3EF6">
        <w:rPr>
          <w:noProof/>
        </w:rPr>
        <w:t>róż</w:t>
      </w:r>
      <w:r w:rsidRPr="00DF3EF6">
        <w:rPr>
          <w:noProof/>
        </w:rPr>
        <w:t>nych scenariuszach. Art. 9 zmienia się zatem</w:t>
      </w:r>
      <w:r w:rsidR="0031342C" w:rsidRPr="00DF3EF6">
        <w:rPr>
          <w:noProof/>
        </w:rPr>
        <w:t xml:space="preserve"> w</w:t>
      </w:r>
      <w:r w:rsidR="0031342C">
        <w:rPr>
          <w:noProof/>
        </w:rPr>
        <w:t> </w:t>
      </w:r>
      <w:r w:rsidR="0031342C" w:rsidRPr="00DF3EF6">
        <w:rPr>
          <w:noProof/>
        </w:rPr>
        <w:t>cel</w:t>
      </w:r>
      <w:r w:rsidRPr="00DF3EF6">
        <w:rPr>
          <w:noProof/>
        </w:rPr>
        <w:t>u doprecyzowania, że gdy środki SGD są wykorzystywane</w:t>
      </w:r>
      <w:r w:rsidR="0031342C" w:rsidRPr="00DF3EF6">
        <w:rPr>
          <w:noProof/>
        </w:rPr>
        <w:t xml:space="preserve"> w</w:t>
      </w:r>
      <w:r w:rsidR="0031342C">
        <w:rPr>
          <w:noProof/>
        </w:rPr>
        <w:t> </w:t>
      </w:r>
      <w:r w:rsidR="0031342C" w:rsidRPr="00DF3EF6">
        <w:rPr>
          <w:noProof/>
        </w:rPr>
        <w:t>kon</w:t>
      </w:r>
      <w:r w:rsidRPr="00DF3EF6">
        <w:rPr>
          <w:noProof/>
        </w:rPr>
        <w:t>tekście strategii przeniesienia</w:t>
      </w:r>
      <w:r w:rsidR="0031342C" w:rsidRPr="00DF3EF6">
        <w:rPr>
          <w:noProof/>
        </w:rPr>
        <w:t xml:space="preserve"> w</w:t>
      </w:r>
      <w:r w:rsidR="0031342C">
        <w:rPr>
          <w:noProof/>
        </w:rPr>
        <w:t> </w:t>
      </w:r>
      <w:r w:rsidR="0031342C" w:rsidRPr="00DF3EF6">
        <w:rPr>
          <w:noProof/>
        </w:rPr>
        <w:t>res</w:t>
      </w:r>
      <w:r w:rsidRPr="00DF3EF6">
        <w:rPr>
          <w:noProof/>
        </w:rPr>
        <w:t>trukturyzacji</w:t>
      </w:r>
      <w:r w:rsidR="0031342C" w:rsidRPr="00DF3EF6">
        <w:rPr>
          <w:noProof/>
        </w:rPr>
        <w:t xml:space="preserve"> i</w:t>
      </w:r>
      <w:r w:rsidR="0031342C">
        <w:rPr>
          <w:noProof/>
        </w:rPr>
        <w:t> </w:t>
      </w:r>
      <w:r w:rsidR="0031342C" w:rsidRPr="00DF3EF6">
        <w:rPr>
          <w:noProof/>
        </w:rPr>
        <w:t>upo</w:t>
      </w:r>
      <w:r w:rsidRPr="00DF3EF6">
        <w:rPr>
          <w:noProof/>
        </w:rPr>
        <w:t>rządkowanej likwidacji lub środków alternatywnych</w:t>
      </w:r>
      <w:r w:rsidR="0031342C" w:rsidRPr="00DF3EF6">
        <w:rPr>
          <w:noProof/>
        </w:rPr>
        <w:t xml:space="preserve"> w</w:t>
      </w:r>
      <w:r w:rsidR="0031342C">
        <w:rPr>
          <w:noProof/>
        </w:rPr>
        <w:t> </w:t>
      </w:r>
      <w:r w:rsidR="0031342C" w:rsidRPr="00DF3EF6">
        <w:rPr>
          <w:noProof/>
        </w:rPr>
        <w:t>pos</w:t>
      </w:r>
      <w:r w:rsidRPr="00DF3EF6">
        <w:rPr>
          <w:noProof/>
        </w:rPr>
        <w:t>tępowaniu upadłościowym, system gwarancji depozytów powinien mieć prawo do roszczenia wobec pozostałej części instytucji lub podmiotu</w:t>
      </w:r>
      <w:r w:rsidR="0031342C" w:rsidRPr="00DF3EF6">
        <w:rPr>
          <w:noProof/>
        </w:rPr>
        <w:t xml:space="preserve"> w</w:t>
      </w:r>
      <w:r w:rsidR="0031342C">
        <w:rPr>
          <w:noProof/>
        </w:rPr>
        <w:t> </w:t>
      </w:r>
      <w:r w:rsidR="0031342C" w:rsidRPr="00DF3EF6">
        <w:rPr>
          <w:noProof/>
        </w:rPr>
        <w:t>pos</w:t>
      </w:r>
      <w:r w:rsidRPr="00DF3EF6">
        <w:rPr>
          <w:noProof/>
        </w:rPr>
        <w:t>tępowaniu likwidacyjnym prowadzonym następnie na podstawie prawa krajowego. Jest to uzasadnione faktem, że środki SGD są wykorzystywane</w:t>
      </w:r>
      <w:r w:rsidR="0031342C" w:rsidRPr="00DF3EF6">
        <w:rPr>
          <w:noProof/>
        </w:rPr>
        <w:t xml:space="preserve"> w</w:t>
      </w:r>
      <w:r w:rsidR="0031342C">
        <w:rPr>
          <w:noProof/>
        </w:rPr>
        <w:t> </w:t>
      </w:r>
      <w:r w:rsidR="0031342C" w:rsidRPr="00DF3EF6">
        <w:rPr>
          <w:noProof/>
        </w:rPr>
        <w:t>zwi</w:t>
      </w:r>
      <w:r w:rsidRPr="00DF3EF6">
        <w:rPr>
          <w:noProof/>
        </w:rPr>
        <w:t>ązku ze stratami, które</w:t>
      </w:r>
      <w:r w:rsidR="0031342C" w:rsidRPr="00DF3EF6">
        <w:rPr>
          <w:noProof/>
        </w:rPr>
        <w:t xml:space="preserve"> w</w:t>
      </w:r>
      <w:r w:rsidR="0031342C">
        <w:rPr>
          <w:noProof/>
        </w:rPr>
        <w:t> </w:t>
      </w:r>
      <w:r w:rsidR="0031342C" w:rsidRPr="00DF3EF6">
        <w:rPr>
          <w:noProof/>
        </w:rPr>
        <w:t>prz</w:t>
      </w:r>
      <w:r w:rsidRPr="00DF3EF6">
        <w:rPr>
          <w:noProof/>
        </w:rPr>
        <w:t>eciwnym wypadku zostałyby poniesione przez deponentów. Roszczenie to powinno mieć taki sam stopień uprzywilejowania jak depozyty na podstawie krajowych przepisów dotyczących upadłości</w:t>
      </w:r>
      <w:r w:rsidR="0031342C" w:rsidRPr="00DF3EF6">
        <w:rPr>
          <w:noProof/>
        </w:rPr>
        <w:t xml:space="preserve"> w</w:t>
      </w:r>
      <w:r w:rsidR="0031342C">
        <w:rPr>
          <w:noProof/>
        </w:rPr>
        <w:t> </w:t>
      </w:r>
      <w:r w:rsidR="0031342C" w:rsidRPr="00DF3EF6">
        <w:rPr>
          <w:noProof/>
        </w:rPr>
        <w:t>cel</w:t>
      </w:r>
      <w:r w:rsidRPr="00DF3EF6">
        <w:rPr>
          <w:noProof/>
        </w:rPr>
        <w:t>u zapewnienia skutecznego pokrycia strat instytucji przez akcjonariuszy</w:t>
      </w:r>
      <w:r w:rsidR="0031342C" w:rsidRPr="00DF3EF6">
        <w:rPr>
          <w:noProof/>
        </w:rPr>
        <w:t xml:space="preserve"> i</w:t>
      </w:r>
      <w:r w:rsidR="0031342C">
        <w:rPr>
          <w:noProof/>
        </w:rPr>
        <w:t> </w:t>
      </w:r>
      <w:r w:rsidR="0031342C" w:rsidRPr="00DF3EF6">
        <w:rPr>
          <w:noProof/>
        </w:rPr>
        <w:t>wie</w:t>
      </w:r>
      <w:r w:rsidRPr="00DF3EF6">
        <w:rPr>
          <w:noProof/>
        </w:rPr>
        <w:t>rzycieli pozostawionych</w:t>
      </w:r>
      <w:r w:rsidR="0031342C" w:rsidRPr="00DF3EF6">
        <w:rPr>
          <w:noProof/>
        </w:rPr>
        <w:t xml:space="preserve"> w</w:t>
      </w:r>
      <w:r w:rsidR="0031342C">
        <w:rPr>
          <w:noProof/>
        </w:rPr>
        <w:t> </w:t>
      </w:r>
      <w:r w:rsidR="0031342C" w:rsidRPr="00DF3EF6">
        <w:rPr>
          <w:noProof/>
        </w:rPr>
        <w:t>poz</w:t>
      </w:r>
      <w:r w:rsidRPr="00DF3EF6">
        <w:rPr>
          <w:noProof/>
        </w:rPr>
        <w:t>ostałej części instytucji lub podmiotu oraz</w:t>
      </w:r>
      <w:r w:rsidR="0031342C" w:rsidRPr="00DF3EF6">
        <w:rPr>
          <w:noProof/>
        </w:rPr>
        <w:t xml:space="preserve"> w</w:t>
      </w:r>
      <w:r w:rsidR="0031342C">
        <w:rPr>
          <w:noProof/>
        </w:rPr>
        <w:t> </w:t>
      </w:r>
      <w:r w:rsidR="0031342C" w:rsidRPr="00DF3EF6">
        <w:rPr>
          <w:noProof/>
        </w:rPr>
        <w:t>cel</w:t>
      </w:r>
      <w:r w:rsidRPr="00DF3EF6">
        <w:rPr>
          <w:noProof/>
        </w:rPr>
        <w:t>u zwiększenia możliwości odzyskania środków</w:t>
      </w:r>
      <w:r w:rsidR="0031342C" w:rsidRPr="00DF3EF6">
        <w:rPr>
          <w:noProof/>
        </w:rPr>
        <w:t xml:space="preserve"> z</w:t>
      </w:r>
      <w:r w:rsidR="0031342C">
        <w:rPr>
          <w:noProof/>
        </w:rPr>
        <w:t> </w:t>
      </w:r>
      <w:r w:rsidR="0031342C" w:rsidRPr="00DF3EF6">
        <w:rPr>
          <w:noProof/>
        </w:rPr>
        <w:t>sys</w:t>
      </w:r>
      <w:r w:rsidRPr="00DF3EF6">
        <w:rPr>
          <w:noProof/>
        </w:rPr>
        <w:t>temu gwarancji depozytów</w:t>
      </w:r>
      <w:r w:rsidR="0031342C" w:rsidRPr="00DF3EF6">
        <w:rPr>
          <w:noProof/>
        </w:rPr>
        <w:t xml:space="preserve"> w</w:t>
      </w:r>
      <w:r w:rsidR="0031342C">
        <w:rPr>
          <w:noProof/>
        </w:rPr>
        <w:t> </w:t>
      </w:r>
      <w:r w:rsidR="0031342C" w:rsidRPr="00DF3EF6">
        <w:rPr>
          <w:noProof/>
        </w:rPr>
        <w:t>pos</w:t>
      </w:r>
      <w:r w:rsidRPr="00DF3EF6">
        <w:rPr>
          <w:noProof/>
        </w:rPr>
        <w:t>tępowaniu upadłościowym</w:t>
      </w:r>
      <w:r w:rsidR="0031342C" w:rsidRPr="00DF3EF6">
        <w:rPr>
          <w:noProof/>
        </w:rPr>
        <w:t>. Z</w:t>
      </w:r>
      <w:r w:rsidR="0031342C">
        <w:rPr>
          <w:noProof/>
        </w:rPr>
        <w:t> </w:t>
      </w:r>
      <w:r w:rsidR="0031342C" w:rsidRPr="00DF3EF6">
        <w:rPr>
          <w:noProof/>
        </w:rPr>
        <w:t>dru</w:t>
      </w:r>
      <w:r w:rsidRPr="00DF3EF6">
        <w:rPr>
          <w:noProof/>
        </w:rPr>
        <w:t>giej strony wkład systemu gwarancji depozytów</w:t>
      </w:r>
      <w:r w:rsidR="0031342C" w:rsidRPr="00DF3EF6">
        <w:rPr>
          <w:noProof/>
        </w:rPr>
        <w:t xml:space="preserve"> w</w:t>
      </w:r>
      <w:r w:rsidR="0031342C">
        <w:rPr>
          <w:noProof/>
        </w:rPr>
        <w:t> </w:t>
      </w:r>
      <w:r w:rsidR="0031342C" w:rsidRPr="00DF3EF6">
        <w:rPr>
          <w:noProof/>
        </w:rPr>
        <w:t>umo</w:t>
      </w:r>
      <w:r w:rsidRPr="00DF3EF6">
        <w:rPr>
          <w:noProof/>
        </w:rPr>
        <w:t>rzenie lub konwersję długu przy kontynuacji działalności</w:t>
      </w:r>
      <w:r w:rsidR="0031342C" w:rsidRPr="00DF3EF6">
        <w:rPr>
          <w:noProof/>
        </w:rPr>
        <w:t xml:space="preserve"> w</w:t>
      </w:r>
      <w:r w:rsidR="0031342C">
        <w:rPr>
          <w:noProof/>
        </w:rPr>
        <w:t> </w:t>
      </w:r>
      <w:r w:rsidR="0031342C" w:rsidRPr="00DF3EF6">
        <w:rPr>
          <w:noProof/>
        </w:rPr>
        <w:t>mie</w:t>
      </w:r>
      <w:r w:rsidRPr="00DF3EF6">
        <w:rPr>
          <w:noProof/>
        </w:rPr>
        <w:t>jsce depozytów gwarantowanych na kwotę,</w:t>
      </w:r>
      <w:r w:rsidR="0031342C" w:rsidRPr="00DF3EF6">
        <w:rPr>
          <w:noProof/>
        </w:rPr>
        <w:t xml:space="preserve"> o</w:t>
      </w:r>
      <w:r w:rsidR="0031342C">
        <w:rPr>
          <w:noProof/>
        </w:rPr>
        <w:t> </w:t>
      </w:r>
      <w:r w:rsidR="0031342C" w:rsidRPr="00DF3EF6">
        <w:rPr>
          <w:noProof/>
        </w:rPr>
        <w:t>któ</w:t>
      </w:r>
      <w:r w:rsidRPr="00DF3EF6">
        <w:rPr>
          <w:noProof/>
        </w:rPr>
        <w:t>rą depozyty gwarantowane zostałyby umorzone lub poddane konwersji, gdyby podlegały umorzeniu lub konwersji długu, nie powinien generować roszczenia wobec instytucji objętej restrukturyzacją</w:t>
      </w:r>
      <w:r w:rsidR="0031342C" w:rsidRPr="00DF3EF6">
        <w:rPr>
          <w:noProof/>
        </w:rPr>
        <w:t xml:space="preserve"> i</w:t>
      </w:r>
      <w:r w:rsidR="0031342C">
        <w:rPr>
          <w:noProof/>
        </w:rPr>
        <w:t> </w:t>
      </w:r>
      <w:r w:rsidR="0031342C" w:rsidRPr="00DF3EF6">
        <w:rPr>
          <w:noProof/>
        </w:rPr>
        <w:t>upo</w:t>
      </w:r>
      <w:r w:rsidRPr="00DF3EF6">
        <w:rPr>
          <w:noProof/>
        </w:rPr>
        <w:t xml:space="preserve">rządkowaną likwidacją, gdyż niweczyłoby to cel wniesienia wkładu przez system gwarancji depozytów. </w:t>
      </w:r>
    </w:p>
    <w:p w14:paraId="0A318EAA" w14:textId="2640BE97"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W </w:t>
      </w:r>
      <w:r w:rsidRPr="0031342C">
        <w:rPr>
          <w:noProof/>
        </w:rPr>
        <w:t>art.</w:t>
      </w:r>
      <w:r w:rsidR="0031342C" w:rsidRPr="0031342C">
        <w:rPr>
          <w:noProof/>
        </w:rPr>
        <w:t> </w:t>
      </w:r>
      <w:r w:rsidRPr="0031342C">
        <w:rPr>
          <w:noProof/>
        </w:rPr>
        <w:t>9</w:t>
      </w:r>
      <w:r w:rsidRPr="00DF3EF6">
        <w:rPr>
          <w:noProof/>
        </w:rPr>
        <w:t xml:space="preserve"> </w:t>
      </w:r>
      <w:r w:rsidRPr="0031342C">
        <w:rPr>
          <w:noProof/>
        </w:rPr>
        <w:t>ust.</w:t>
      </w:r>
      <w:r w:rsidR="0031342C" w:rsidRPr="0031342C">
        <w:rPr>
          <w:noProof/>
        </w:rPr>
        <w:t> </w:t>
      </w:r>
      <w:r w:rsidRPr="0031342C">
        <w:rPr>
          <w:noProof/>
        </w:rPr>
        <w:t>3</w:t>
      </w:r>
      <w:r w:rsidRPr="00DF3EF6">
        <w:rPr>
          <w:noProof/>
        </w:rPr>
        <w:t xml:space="preserve"> wprowadza się zmiany</w:t>
      </w:r>
      <w:r w:rsidR="0031342C" w:rsidRPr="00DF3EF6">
        <w:rPr>
          <w:noProof/>
        </w:rPr>
        <w:t xml:space="preserve"> w</w:t>
      </w:r>
      <w:r w:rsidR="0031342C">
        <w:rPr>
          <w:noProof/>
        </w:rPr>
        <w:t> </w:t>
      </w:r>
      <w:r w:rsidR="0031342C" w:rsidRPr="00DF3EF6">
        <w:rPr>
          <w:noProof/>
        </w:rPr>
        <w:t>cel</w:t>
      </w:r>
      <w:r w:rsidRPr="00DF3EF6">
        <w:rPr>
          <w:noProof/>
        </w:rPr>
        <w:t>u harmonizacji pięcioletniego okresu,</w:t>
      </w:r>
      <w:r w:rsidR="0031342C" w:rsidRPr="00DF3EF6">
        <w:rPr>
          <w:noProof/>
        </w:rPr>
        <w:t xml:space="preserve"> w</w:t>
      </w:r>
      <w:r w:rsidR="0031342C">
        <w:rPr>
          <w:noProof/>
        </w:rPr>
        <w:t> </w:t>
      </w:r>
      <w:r w:rsidR="0031342C" w:rsidRPr="00DF3EF6">
        <w:rPr>
          <w:noProof/>
        </w:rPr>
        <w:t>któ</w:t>
      </w:r>
      <w:r w:rsidRPr="00DF3EF6">
        <w:rPr>
          <w:noProof/>
        </w:rPr>
        <w:t>rym deponenci mogą występować</w:t>
      </w:r>
      <w:r w:rsidR="0031342C" w:rsidRPr="00DF3EF6">
        <w:rPr>
          <w:noProof/>
        </w:rPr>
        <w:t xml:space="preserve"> z</w:t>
      </w:r>
      <w:r w:rsidR="0031342C">
        <w:rPr>
          <w:noProof/>
        </w:rPr>
        <w:t> </w:t>
      </w:r>
      <w:r w:rsidR="0031342C" w:rsidRPr="00DF3EF6">
        <w:rPr>
          <w:noProof/>
        </w:rPr>
        <w:t>ros</w:t>
      </w:r>
      <w:r w:rsidRPr="00DF3EF6">
        <w:rPr>
          <w:noProof/>
        </w:rPr>
        <w:t>zczeniem wobec systemu gwarancji depozytów.</w:t>
      </w:r>
    </w:p>
    <w:p w14:paraId="2A3AD5E4" w14:textId="3C2D559D" w:rsidR="00E25235" w:rsidRPr="00DF3EF6" w:rsidRDefault="00E25235" w:rsidP="00E25235">
      <w:pPr>
        <w:pBdr>
          <w:top w:val="nil"/>
          <w:left w:val="nil"/>
          <w:bottom w:val="nil"/>
          <w:right w:val="nil"/>
          <w:between w:val="nil"/>
          <w:bar w:val="nil"/>
        </w:pBdr>
        <w:spacing w:before="0" w:after="240"/>
        <w:rPr>
          <w:noProof/>
        </w:rPr>
      </w:pPr>
      <w:r w:rsidRPr="00DF3EF6">
        <w:rPr>
          <w:noProof/>
        </w:rPr>
        <w:t>Art. 10 zmienia się</w:t>
      </w:r>
      <w:r w:rsidR="0031342C" w:rsidRPr="00DF3EF6">
        <w:rPr>
          <w:noProof/>
        </w:rPr>
        <w:t xml:space="preserve"> w</w:t>
      </w:r>
      <w:r w:rsidR="0031342C">
        <w:rPr>
          <w:noProof/>
        </w:rPr>
        <w:t> </w:t>
      </w:r>
      <w:r w:rsidR="0031342C" w:rsidRPr="00DF3EF6">
        <w:rPr>
          <w:noProof/>
        </w:rPr>
        <w:t>cel</w:t>
      </w:r>
      <w:r w:rsidRPr="00DF3EF6">
        <w:rPr>
          <w:noProof/>
        </w:rPr>
        <w:t>u doprecyzowania okresu odniesienia dla obliczania poziomu docelowego oraz</w:t>
      </w:r>
      <w:r w:rsidR="0031342C" w:rsidRPr="00DF3EF6">
        <w:rPr>
          <w:noProof/>
        </w:rPr>
        <w:t xml:space="preserve"> w</w:t>
      </w:r>
      <w:r w:rsidR="0031342C">
        <w:rPr>
          <w:noProof/>
        </w:rPr>
        <w:t> </w:t>
      </w:r>
      <w:r w:rsidR="0031342C" w:rsidRPr="00DF3EF6">
        <w:rPr>
          <w:noProof/>
        </w:rPr>
        <w:t>cel</w:t>
      </w:r>
      <w:r w:rsidRPr="00DF3EF6">
        <w:rPr>
          <w:noProof/>
        </w:rPr>
        <w:t>u doprecyzowania, że do osiągnięcia poziomu docelowego kwalifikują się tylko środki pieniężne wniesione bezpośrednio do systemu gwarancji depozytów lub odzyskane przez system gwarancji depozytów. Doprecyzowanie to jest zgodne</w:t>
      </w:r>
      <w:r w:rsidR="0031342C" w:rsidRPr="00DF3EF6">
        <w:rPr>
          <w:noProof/>
        </w:rPr>
        <w:t xml:space="preserve"> z</w:t>
      </w:r>
      <w:r w:rsidR="0031342C">
        <w:rPr>
          <w:noProof/>
        </w:rPr>
        <w:t> </w:t>
      </w:r>
      <w:r w:rsidR="0031342C" w:rsidRPr="00DF3EF6">
        <w:rPr>
          <w:noProof/>
        </w:rPr>
        <w:t>obe</w:t>
      </w:r>
      <w:r w:rsidRPr="00DF3EF6">
        <w:rPr>
          <w:noProof/>
        </w:rPr>
        <w:t>cnymi przepisami stosowanymi na mocy wytycznych EUNB. Celem jest doprecyzowanie, że środki pieniężne pozyskane</w:t>
      </w:r>
      <w:r w:rsidR="0031342C" w:rsidRPr="00DF3EF6">
        <w:rPr>
          <w:noProof/>
        </w:rPr>
        <w:t xml:space="preserve"> w</w:t>
      </w:r>
      <w:r w:rsidR="0031342C">
        <w:rPr>
          <w:noProof/>
        </w:rPr>
        <w:t> </w:t>
      </w:r>
      <w:r w:rsidR="0031342C" w:rsidRPr="00DF3EF6">
        <w:rPr>
          <w:noProof/>
        </w:rPr>
        <w:t>dro</w:t>
      </w:r>
      <w:r w:rsidRPr="00DF3EF6">
        <w:rPr>
          <w:noProof/>
        </w:rPr>
        <w:t xml:space="preserve">dze pożyczek nie kwalifikują się do osiągnięcia poziomu docelowego. </w:t>
      </w:r>
    </w:p>
    <w:p w14:paraId="2E2C6645" w14:textId="31B50C2F"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Uchyla się </w:t>
      </w:r>
      <w:r w:rsidRPr="0031342C">
        <w:rPr>
          <w:noProof/>
        </w:rPr>
        <w:t>art.</w:t>
      </w:r>
      <w:r w:rsidR="0031342C" w:rsidRPr="0031342C">
        <w:rPr>
          <w:noProof/>
        </w:rPr>
        <w:t> </w:t>
      </w:r>
      <w:r w:rsidRPr="0031342C">
        <w:rPr>
          <w:noProof/>
        </w:rPr>
        <w:t>1</w:t>
      </w:r>
      <w:r w:rsidRPr="00DF3EF6">
        <w:rPr>
          <w:noProof/>
        </w:rPr>
        <w:t xml:space="preserve">0 </w:t>
      </w:r>
      <w:r w:rsidRPr="0031342C">
        <w:rPr>
          <w:noProof/>
        </w:rPr>
        <w:t>ust.</w:t>
      </w:r>
      <w:r w:rsidR="0031342C" w:rsidRPr="0031342C">
        <w:rPr>
          <w:noProof/>
        </w:rPr>
        <w:t> </w:t>
      </w:r>
      <w:r w:rsidRPr="0031342C">
        <w:rPr>
          <w:noProof/>
        </w:rPr>
        <w:t>4</w:t>
      </w:r>
      <w:r w:rsidRPr="00DF3EF6">
        <w:rPr>
          <w:noProof/>
        </w:rPr>
        <w:t>, gdyż nie wykorzystywano</w:t>
      </w:r>
      <w:r w:rsidR="0031342C" w:rsidRPr="00DF3EF6">
        <w:rPr>
          <w:noProof/>
        </w:rPr>
        <w:t xml:space="preserve"> w</w:t>
      </w:r>
      <w:r w:rsidR="0031342C">
        <w:rPr>
          <w:noProof/>
        </w:rPr>
        <w:t> </w:t>
      </w:r>
      <w:r w:rsidR="0031342C" w:rsidRPr="00DF3EF6">
        <w:rPr>
          <w:noProof/>
        </w:rPr>
        <w:t>pra</w:t>
      </w:r>
      <w:r w:rsidRPr="00DF3EF6">
        <w:rPr>
          <w:noProof/>
        </w:rPr>
        <w:t>ktyce możliwości pozyskania dostępnych środków finansowych</w:t>
      </w:r>
      <w:r w:rsidR="0031342C" w:rsidRPr="00DF3EF6">
        <w:rPr>
          <w:noProof/>
        </w:rPr>
        <w:t xml:space="preserve"> w</w:t>
      </w:r>
      <w:r w:rsidR="0031342C">
        <w:rPr>
          <w:noProof/>
        </w:rPr>
        <w:t> </w:t>
      </w:r>
      <w:r w:rsidR="0031342C" w:rsidRPr="00DF3EF6">
        <w:rPr>
          <w:noProof/>
        </w:rPr>
        <w:t>dro</w:t>
      </w:r>
      <w:r w:rsidRPr="00DF3EF6">
        <w:rPr>
          <w:noProof/>
        </w:rPr>
        <w:t>dze składek obowiązkowych wpłacanych przez instytucje członkowskie do istniejących systemów składek obowiązkowych ustanowionych przez państwo członkowskie.</w:t>
      </w:r>
    </w:p>
    <w:p w14:paraId="785C21C1" w14:textId="01B0641E" w:rsidR="00E25235" w:rsidRPr="00DF3EF6" w:rsidRDefault="00E25235" w:rsidP="00E25235">
      <w:pPr>
        <w:pBdr>
          <w:top w:val="nil"/>
          <w:left w:val="nil"/>
          <w:bottom w:val="nil"/>
          <w:right w:val="nil"/>
          <w:between w:val="nil"/>
          <w:bar w:val="nil"/>
        </w:pBdr>
        <w:spacing w:before="0" w:after="240"/>
        <w:rPr>
          <w:noProof/>
        </w:rPr>
      </w:pPr>
      <w:r w:rsidRPr="00DF3EF6">
        <w:rPr>
          <w:noProof/>
        </w:rPr>
        <w:t>Zgodnie</w:t>
      </w:r>
      <w:r w:rsidR="0031342C" w:rsidRPr="00DF3EF6">
        <w:rPr>
          <w:noProof/>
        </w:rPr>
        <w:t xml:space="preserve"> z</w:t>
      </w:r>
      <w:r w:rsidR="0031342C">
        <w:rPr>
          <w:noProof/>
        </w:rPr>
        <w:t> </w:t>
      </w:r>
      <w:r w:rsidR="0031342C" w:rsidRPr="00DF3EF6">
        <w:rPr>
          <w:noProof/>
        </w:rPr>
        <w:t>opi</w:t>
      </w:r>
      <w:r w:rsidRPr="00DF3EF6">
        <w:rPr>
          <w:noProof/>
        </w:rPr>
        <w:t>niami EUNB,</w:t>
      </w:r>
      <w:r w:rsidR="0031342C" w:rsidRPr="00DF3EF6">
        <w:rPr>
          <w:noProof/>
        </w:rPr>
        <w:t xml:space="preserve"> w</w:t>
      </w:r>
      <w:r w:rsidR="0031342C">
        <w:rPr>
          <w:noProof/>
        </w:rPr>
        <w:t> </w:t>
      </w:r>
      <w:r w:rsidR="0031342C" w:rsidRPr="00DF3EF6">
        <w:rPr>
          <w:noProof/>
        </w:rPr>
        <w:t>cel</w:t>
      </w:r>
      <w:r w:rsidRPr="00DF3EF6">
        <w:rPr>
          <w:noProof/>
        </w:rPr>
        <w:t>u poprawy konwergencji praktyk oraz zapewnienia możliwości udostępniania środków pieniężnych na potrzeby dotrzymania terminu wypłat na rzecz deponentów</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0 dodaje się nowy </w:t>
      </w:r>
      <w:r w:rsidRPr="0031342C">
        <w:rPr>
          <w:noProof/>
        </w:rPr>
        <w:t>ust.</w:t>
      </w:r>
      <w:r w:rsidR="0031342C" w:rsidRPr="0031342C">
        <w:rPr>
          <w:noProof/>
        </w:rPr>
        <w:t> </w:t>
      </w:r>
      <w:r w:rsidRPr="0031342C">
        <w:rPr>
          <w:noProof/>
        </w:rPr>
        <w:t>1</w:t>
      </w:r>
      <w:r w:rsidRPr="00DF3EF6">
        <w:rPr>
          <w:noProof/>
        </w:rPr>
        <w:t>1,</w:t>
      </w:r>
      <w:r w:rsidR="0031342C" w:rsidRPr="00DF3EF6">
        <w:rPr>
          <w:noProof/>
        </w:rPr>
        <w:t xml:space="preserve"> w</w:t>
      </w:r>
      <w:r w:rsidR="0031342C">
        <w:rPr>
          <w:noProof/>
        </w:rPr>
        <w:t> </w:t>
      </w:r>
      <w:r w:rsidR="0031342C" w:rsidRPr="00DF3EF6">
        <w:rPr>
          <w:noProof/>
        </w:rPr>
        <w:t>któ</w:t>
      </w:r>
      <w:r w:rsidRPr="00DF3EF6">
        <w:rPr>
          <w:noProof/>
        </w:rPr>
        <w:t>rym przewiduje się elastyczność systemów gwarancji depozytów</w:t>
      </w:r>
      <w:r w:rsidR="0031342C" w:rsidRPr="00DF3EF6">
        <w:rPr>
          <w:noProof/>
        </w:rPr>
        <w:t xml:space="preserve"> w</w:t>
      </w:r>
      <w:r w:rsidR="0031342C">
        <w:rPr>
          <w:noProof/>
        </w:rPr>
        <w:t> </w:t>
      </w:r>
      <w:r w:rsidR="0031342C" w:rsidRPr="00DF3EF6">
        <w:rPr>
          <w:noProof/>
        </w:rPr>
        <w:t>kor</w:t>
      </w:r>
      <w:r w:rsidRPr="00DF3EF6">
        <w:rPr>
          <w:noProof/>
        </w:rPr>
        <w:t>zystaniu</w:t>
      </w:r>
      <w:r w:rsidR="0031342C" w:rsidRPr="00DF3EF6">
        <w:rPr>
          <w:noProof/>
        </w:rPr>
        <w:t xml:space="preserve"> z</w:t>
      </w:r>
      <w:r w:rsidR="0031342C">
        <w:rPr>
          <w:noProof/>
        </w:rPr>
        <w:t> </w:t>
      </w:r>
      <w:r w:rsidR="0031342C" w:rsidRPr="00DF3EF6">
        <w:rPr>
          <w:noProof/>
        </w:rPr>
        <w:t>alt</w:t>
      </w:r>
      <w:r w:rsidRPr="00DF3EF6">
        <w:rPr>
          <w:noProof/>
        </w:rPr>
        <w:t>ernatywnych mechanizmów finansowania, finansowanych ze źródeł prywatnych przed skorzystaniem</w:t>
      </w:r>
      <w:r w:rsidR="0031342C" w:rsidRPr="00DF3EF6">
        <w:rPr>
          <w:noProof/>
        </w:rPr>
        <w:t xml:space="preserve"> z</w:t>
      </w:r>
      <w:r w:rsidR="0031342C">
        <w:rPr>
          <w:noProof/>
        </w:rPr>
        <w:t> </w:t>
      </w:r>
      <w:r w:rsidR="0031342C" w:rsidRPr="00DF3EF6">
        <w:rPr>
          <w:noProof/>
        </w:rPr>
        <w:t>dos</w:t>
      </w:r>
      <w:r w:rsidRPr="00DF3EF6">
        <w:rPr>
          <w:noProof/>
        </w:rPr>
        <w:t>tępnych środków finansowych, oraz ze środków pieniężnych pozyskanych ze składek nadzwyczajnych. Ponadto dzięki takiej elastyczności systemy gwarancji depozytów będą mogły uniknąć konieczności niezwłocznego pozyskania składek nadzwyczajnych, gdy pozyskanie takich składek stanowiłoby zagrożenie dla stabilności finansowej (np.</w:t>
      </w:r>
      <w:r w:rsidR="0031342C" w:rsidRPr="00DF3EF6">
        <w:rPr>
          <w:noProof/>
        </w:rPr>
        <w:t xml:space="preserve"> w</w:t>
      </w:r>
      <w:r w:rsidR="0031342C">
        <w:rPr>
          <w:noProof/>
        </w:rPr>
        <w:t> </w:t>
      </w:r>
      <w:r w:rsidR="0031342C" w:rsidRPr="00DF3EF6">
        <w:rPr>
          <w:noProof/>
        </w:rPr>
        <w:t>prz</w:t>
      </w:r>
      <w:r w:rsidRPr="00DF3EF6">
        <w:rPr>
          <w:noProof/>
        </w:rPr>
        <w:t>ypadku kryzysu systemowego). Pełna elastyczność jest niezbędna także</w:t>
      </w:r>
      <w:r w:rsidR="0031342C" w:rsidRPr="00DF3EF6">
        <w:rPr>
          <w:noProof/>
        </w:rPr>
        <w:t xml:space="preserve"> w</w:t>
      </w:r>
      <w:r w:rsidR="0031342C">
        <w:rPr>
          <w:noProof/>
        </w:rPr>
        <w:t> </w:t>
      </w:r>
      <w:r w:rsidR="0031342C" w:rsidRPr="00DF3EF6">
        <w:rPr>
          <w:noProof/>
        </w:rPr>
        <w:t>tym</w:t>
      </w:r>
      <w:r w:rsidRPr="00DF3EF6">
        <w:rPr>
          <w:noProof/>
        </w:rPr>
        <w:t xml:space="preserve"> celu, aby systemy gwarancji depozytów mogły wykorzystać swoje środki pieniężne</w:t>
      </w:r>
      <w:r w:rsidR="0031342C" w:rsidRPr="00DF3EF6">
        <w:rPr>
          <w:noProof/>
        </w:rPr>
        <w:t xml:space="preserve"> w</w:t>
      </w:r>
      <w:r w:rsidR="0031342C">
        <w:rPr>
          <w:noProof/>
        </w:rPr>
        <w:t> </w:t>
      </w:r>
      <w:r w:rsidR="0031342C" w:rsidRPr="00DF3EF6">
        <w:rPr>
          <w:noProof/>
        </w:rPr>
        <w:t>spo</w:t>
      </w:r>
      <w:r w:rsidRPr="00DF3EF6">
        <w:rPr>
          <w:noProof/>
        </w:rPr>
        <w:t>sób najbardziej skuteczny,</w:t>
      </w:r>
      <w:r w:rsidR="0031342C" w:rsidRPr="00DF3EF6">
        <w:rPr>
          <w:noProof/>
        </w:rPr>
        <w:t xml:space="preserve"> a</w:t>
      </w:r>
      <w:r w:rsidR="0031342C">
        <w:rPr>
          <w:noProof/>
        </w:rPr>
        <w:t> </w:t>
      </w:r>
      <w:r w:rsidR="0031342C" w:rsidRPr="00DF3EF6">
        <w:rPr>
          <w:noProof/>
        </w:rPr>
        <w:t>w</w:t>
      </w:r>
      <w:r w:rsidR="0031342C">
        <w:rPr>
          <w:noProof/>
        </w:rPr>
        <w:t> </w:t>
      </w:r>
      <w:r w:rsidR="0031342C" w:rsidRPr="00DF3EF6">
        <w:rPr>
          <w:noProof/>
        </w:rPr>
        <w:t>mom</w:t>
      </w:r>
      <w:r w:rsidRPr="00DF3EF6">
        <w:rPr>
          <w:noProof/>
        </w:rPr>
        <w:t>encie kryzysu uniknąć gwałtownej wyprzedaży aktywów (dostępnych środków finansowych). Jednocześnie przepis ten gwarantuje, że finansowanie ze źródeł publicznych będzie wykorzystywane tylko</w:t>
      </w:r>
      <w:r w:rsidR="0031342C" w:rsidRPr="00DF3EF6">
        <w:rPr>
          <w:noProof/>
        </w:rPr>
        <w:t xml:space="preserve"> w</w:t>
      </w:r>
      <w:r w:rsidR="0031342C">
        <w:rPr>
          <w:noProof/>
        </w:rPr>
        <w:t> </w:t>
      </w:r>
      <w:r w:rsidR="0031342C" w:rsidRPr="00DF3EF6">
        <w:rPr>
          <w:noProof/>
        </w:rPr>
        <w:t>ost</w:t>
      </w:r>
      <w:r w:rsidRPr="00DF3EF6">
        <w:rPr>
          <w:noProof/>
        </w:rPr>
        <w:t>ateczności.</w:t>
      </w:r>
    </w:p>
    <w:p w14:paraId="0187EE44" w14:textId="059356EB" w:rsidR="00E25235" w:rsidRPr="00DF3EF6" w:rsidRDefault="00E25235" w:rsidP="00E25235">
      <w:pPr>
        <w:pBdr>
          <w:top w:val="nil"/>
          <w:left w:val="nil"/>
          <w:bottom w:val="nil"/>
          <w:right w:val="nil"/>
          <w:between w:val="nil"/>
          <w:bar w:val="nil"/>
        </w:pBdr>
        <w:spacing w:before="0" w:after="240"/>
        <w:rPr>
          <w:noProof/>
        </w:rPr>
      </w:pPr>
      <w:r w:rsidRPr="00DF3EF6">
        <w:rPr>
          <w:noProof/>
        </w:rPr>
        <w:lastRenderedPageBreak/>
        <w:t xml:space="preserve">W nowym ustępie </w:t>
      </w:r>
      <w:r w:rsidRPr="0031342C">
        <w:rPr>
          <w:noProof/>
        </w:rPr>
        <w:t>art.</w:t>
      </w:r>
      <w:r w:rsidR="0031342C" w:rsidRPr="0031342C">
        <w:rPr>
          <w:noProof/>
        </w:rPr>
        <w:t> </w:t>
      </w:r>
      <w:r w:rsidRPr="0031342C">
        <w:rPr>
          <w:noProof/>
        </w:rPr>
        <w:t>1</w:t>
      </w:r>
      <w:r w:rsidRPr="00DF3EF6">
        <w:rPr>
          <w:noProof/>
        </w:rPr>
        <w:t>0 dodatkowo doprecyzowano wymogi zapewniające bezpieczne zarządzanie środkami SGD oraz upoważniono EUNB do opracowania wytycznych</w:t>
      </w:r>
      <w:r w:rsidR="0031342C" w:rsidRPr="00DF3EF6">
        <w:rPr>
          <w:noProof/>
        </w:rPr>
        <w:t xml:space="preserve"> w</w:t>
      </w:r>
      <w:r w:rsidR="0031342C">
        <w:rPr>
          <w:noProof/>
        </w:rPr>
        <w:t> </w:t>
      </w:r>
      <w:r w:rsidR="0031342C" w:rsidRPr="00DF3EF6">
        <w:rPr>
          <w:noProof/>
        </w:rPr>
        <w:t>spr</w:t>
      </w:r>
      <w:r w:rsidRPr="00DF3EF6">
        <w:rPr>
          <w:noProof/>
        </w:rPr>
        <w:t>awie dywersyfikacji strategii inwestycyjnej systemu gwarancji depozytów. Przewidziano</w:t>
      </w:r>
      <w:r w:rsidR="0031342C" w:rsidRPr="00DF3EF6">
        <w:rPr>
          <w:noProof/>
        </w:rPr>
        <w:t xml:space="preserve"> w</w:t>
      </w:r>
      <w:r w:rsidR="0031342C">
        <w:rPr>
          <w:noProof/>
        </w:rPr>
        <w:t> </w:t>
      </w:r>
      <w:r w:rsidR="0031342C" w:rsidRPr="00DF3EF6">
        <w:rPr>
          <w:noProof/>
        </w:rPr>
        <w:t>nim</w:t>
      </w:r>
      <w:r w:rsidRPr="00DF3EF6">
        <w:rPr>
          <w:noProof/>
        </w:rPr>
        <w:t xml:space="preserve"> także możliwość umieszczenia środków SGD na wyodrębnionym rachunku</w:t>
      </w:r>
      <w:r w:rsidR="0031342C" w:rsidRPr="00DF3EF6">
        <w:rPr>
          <w:noProof/>
        </w:rPr>
        <w:t xml:space="preserve"> w</w:t>
      </w:r>
      <w:r w:rsidR="0031342C">
        <w:rPr>
          <w:noProof/>
        </w:rPr>
        <w:t> </w:t>
      </w:r>
      <w:r w:rsidR="0031342C" w:rsidRPr="00DF3EF6">
        <w:rPr>
          <w:noProof/>
        </w:rPr>
        <w:t>kra</w:t>
      </w:r>
      <w:r w:rsidRPr="00DF3EF6">
        <w:rPr>
          <w:noProof/>
        </w:rPr>
        <w:t>jowym banku centralnym lub</w:t>
      </w:r>
      <w:r w:rsidR="0031342C" w:rsidRPr="00DF3EF6">
        <w:rPr>
          <w:noProof/>
        </w:rPr>
        <w:t xml:space="preserve"> w</w:t>
      </w:r>
      <w:r w:rsidR="0031342C">
        <w:rPr>
          <w:noProof/>
        </w:rPr>
        <w:t> </w:t>
      </w:r>
      <w:r w:rsidR="0031342C" w:rsidRPr="00DF3EF6">
        <w:rPr>
          <w:noProof/>
        </w:rPr>
        <w:t>Ska</w:t>
      </w:r>
      <w:r w:rsidRPr="00DF3EF6">
        <w:rPr>
          <w:noProof/>
        </w:rPr>
        <w:t>rbie Państwa. Ponadto upoważnia on EUNB do opracowania regulacyjnych standardów technicznych dotyczących rozgraniczenia dostępnych środków finansowych dla systemów gwarancji depozytów.</w:t>
      </w:r>
    </w:p>
    <w:p w14:paraId="56CC51A3" w14:textId="0D9F4660"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W </w:t>
      </w:r>
      <w:r w:rsidRPr="0031342C">
        <w:rPr>
          <w:noProof/>
        </w:rPr>
        <w:t>art.</w:t>
      </w:r>
      <w:r w:rsidR="0031342C" w:rsidRPr="0031342C">
        <w:rPr>
          <w:noProof/>
        </w:rPr>
        <w:t> </w:t>
      </w:r>
      <w:r w:rsidRPr="0031342C">
        <w:rPr>
          <w:noProof/>
        </w:rPr>
        <w:t>1</w:t>
      </w:r>
      <w:r w:rsidRPr="00DF3EF6">
        <w:rPr>
          <w:noProof/>
        </w:rPr>
        <w:t>1 wprowadza się zmiany</w:t>
      </w:r>
      <w:r w:rsidR="0031342C" w:rsidRPr="00DF3EF6">
        <w:rPr>
          <w:noProof/>
        </w:rPr>
        <w:t xml:space="preserve"> w</w:t>
      </w:r>
      <w:r w:rsidR="0031342C">
        <w:rPr>
          <w:noProof/>
        </w:rPr>
        <w:t> </w:t>
      </w:r>
      <w:r w:rsidR="0031342C" w:rsidRPr="00DF3EF6">
        <w:rPr>
          <w:noProof/>
        </w:rPr>
        <w:t>cel</w:t>
      </w:r>
      <w:r w:rsidRPr="00DF3EF6">
        <w:rPr>
          <w:noProof/>
        </w:rPr>
        <w:t>u doprecyzowania rozróżnienia między środkami zapobiegawczymi</w:t>
      </w:r>
      <w:r w:rsidR="0031342C" w:rsidRPr="00DF3EF6">
        <w:rPr>
          <w:noProof/>
        </w:rPr>
        <w:t xml:space="preserve"> i</w:t>
      </w:r>
      <w:r w:rsidR="0031342C">
        <w:rPr>
          <w:noProof/>
        </w:rPr>
        <w:t> </w:t>
      </w:r>
      <w:r w:rsidR="0031342C" w:rsidRPr="00DF3EF6">
        <w:rPr>
          <w:noProof/>
        </w:rPr>
        <w:t>alt</w:t>
      </w:r>
      <w:r w:rsidRPr="00DF3EF6">
        <w:rPr>
          <w:noProof/>
        </w:rPr>
        <w:t>ernatywnymi. Środkami zapobiegawczymi są interwencje systemu gwarancji depozytów wspierające finansowo bank znajdujący się</w:t>
      </w:r>
      <w:r w:rsidR="0031342C" w:rsidRPr="00DF3EF6">
        <w:rPr>
          <w:noProof/>
        </w:rPr>
        <w:t xml:space="preserve"> w</w:t>
      </w:r>
      <w:r w:rsidR="0031342C">
        <w:rPr>
          <w:noProof/>
        </w:rPr>
        <w:t> </w:t>
      </w:r>
      <w:r w:rsidR="0031342C" w:rsidRPr="00DF3EF6">
        <w:rPr>
          <w:noProof/>
        </w:rPr>
        <w:t>tru</w:t>
      </w:r>
      <w:r w:rsidRPr="00DF3EF6">
        <w:rPr>
          <w:noProof/>
        </w:rPr>
        <w:t>dnej sytuacji, na przykład</w:t>
      </w:r>
      <w:r w:rsidR="0031342C" w:rsidRPr="00DF3EF6">
        <w:rPr>
          <w:noProof/>
        </w:rPr>
        <w:t xml:space="preserve"> w</w:t>
      </w:r>
      <w:r w:rsidR="0031342C">
        <w:rPr>
          <w:noProof/>
        </w:rPr>
        <w:t> </w:t>
      </w:r>
      <w:r w:rsidR="0031342C" w:rsidRPr="00DF3EF6">
        <w:rPr>
          <w:noProof/>
        </w:rPr>
        <w:t>pos</w:t>
      </w:r>
      <w:r w:rsidRPr="00DF3EF6">
        <w:rPr>
          <w:noProof/>
        </w:rPr>
        <w:t>taci gwarancji, zastrzyków gotówki, udziału</w:t>
      </w:r>
      <w:r w:rsidR="0031342C" w:rsidRPr="00DF3EF6">
        <w:rPr>
          <w:noProof/>
        </w:rPr>
        <w:t xml:space="preserve"> w</w:t>
      </w:r>
      <w:r w:rsidR="0031342C">
        <w:rPr>
          <w:noProof/>
        </w:rPr>
        <w:t> </w:t>
      </w:r>
      <w:r w:rsidR="0031342C" w:rsidRPr="00DF3EF6">
        <w:rPr>
          <w:noProof/>
        </w:rPr>
        <w:t>pod</w:t>
      </w:r>
      <w:r w:rsidRPr="00DF3EF6">
        <w:rPr>
          <w:noProof/>
        </w:rPr>
        <w:t>wyższeniu kapitału, zanim bank spełni warunki upadłości lub zagrożenia upadłością,</w:t>
      </w:r>
      <w:r w:rsidR="0031342C" w:rsidRPr="00DF3EF6">
        <w:rPr>
          <w:noProof/>
        </w:rPr>
        <w:t xml:space="preserve"> w</w:t>
      </w:r>
      <w:r w:rsidR="0031342C">
        <w:rPr>
          <w:noProof/>
        </w:rPr>
        <w:t> </w:t>
      </w:r>
      <w:r w:rsidR="0031342C" w:rsidRPr="00DF3EF6">
        <w:rPr>
          <w:noProof/>
        </w:rPr>
        <w:t>cel</w:t>
      </w:r>
      <w:r w:rsidRPr="00DF3EF6">
        <w:rPr>
          <w:noProof/>
        </w:rPr>
        <w:t>u zachowania jego dobrej kondycji finansowej. Środkami alternatywnymi są interwencje systemu gwarancji depozytów wspierające transfer depozytów</w:t>
      </w:r>
      <w:r w:rsidR="0031342C" w:rsidRPr="00DF3EF6">
        <w:rPr>
          <w:noProof/>
        </w:rPr>
        <w:t xml:space="preserve"> i</w:t>
      </w:r>
      <w:r w:rsidR="0031342C">
        <w:rPr>
          <w:noProof/>
        </w:rPr>
        <w:t> </w:t>
      </w:r>
      <w:r w:rsidR="0031342C" w:rsidRPr="00DF3EF6">
        <w:rPr>
          <w:noProof/>
        </w:rPr>
        <w:t>akt</w:t>
      </w:r>
      <w:r w:rsidRPr="00DF3EF6">
        <w:rPr>
          <w:noProof/>
        </w:rPr>
        <w:t>ywów banku znajdującego się</w:t>
      </w:r>
      <w:r w:rsidR="0031342C" w:rsidRPr="00DF3EF6">
        <w:rPr>
          <w:noProof/>
        </w:rPr>
        <w:t xml:space="preserve"> w</w:t>
      </w:r>
      <w:r w:rsidR="0031342C">
        <w:rPr>
          <w:noProof/>
        </w:rPr>
        <w:t> </w:t>
      </w:r>
      <w:r w:rsidR="0031342C" w:rsidRPr="00DF3EF6">
        <w:rPr>
          <w:noProof/>
        </w:rPr>
        <w:t>tru</w:t>
      </w:r>
      <w:r w:rsidRPr="00DF3EF6">
        <w:rPr>
          <w:noProof/>
        </w:rPr>
        <w:t>dnej sytuacji do innego banku (np.</w:t>
      </w:r>
      <w:r w:rsidR="0031342C" w:rsidRPr="00DF3EF6">
        <w:rPr>
          <w:noProof/>
        </w:rPr>
        <w:t xml:space="preserve"> w</w:t>
      </w:r>
      <w:r w:rsidR="0031342C">
        <w:rPr>
          <w:noProof/>
        </w:rPr>
        <w:t> </w:t>
      </w:r>
      <w:r w:rsidR="0031342C" w:rsidRPr="00DF3EF6">
        <w:rPr>
          <w:noProof/>
        </w:rPr>
        <w:t>pos</w:t>
      </w:r>
      <w:r w:rsidRPr="00DF3EF6">
        <w:rPr>
          <w:noProof/>
        </w:rPr>
        <w:t>taci wkładu gotówkowego</w:t>
      </w:r>
      <w:r w:rsidR="0031342C" w:rsidRPr="00DF3EF6">
        <w:rPr>
          <w:noProof/>
        </w:rPr>
        <w:t xml:space="preserve"> w</w:t>
      </w:r>
      <w:r w:rsidR="0031342C">
        <w:rPr>
          <w:noProof/>
        </w:rPr>
        <w:t> </w:t>
      </w:r>
      <w:r w:rsidR="0031342C" w:rsidRPr="00DF3EF6">
        <w:rPr>
          <w:noProof/>
        </w:rPr>
        <w:t>cel</w:t>
      </w:r>
      <w:r w:rsidRPr="00DF3EF6">
        <w:rPr>
          <w:noProof/>
        </w:rPr>
        <w:t>u pokrycia ujemnej różnicy między aktywami</w:t>
      </w:r>
      <w:r w:rsidR="0031342C" w:rsidRPr="00DF3EF6">
        <w:rPr>
          <w:noProof/>
        </w:rPr>
        <w:t xml:space="preserve"> a</w:t>
      </w:r>
      <w:r w:rsidR="0031342C">
        <w:rPr>
          <w:noProof/>
        </w:rPr>
        <w:t> </w:t>
      </w:r>
      <w:r w:rsidR="0031342C" w:rsidRPr="00DF3EF6">
        <w:rPr>
          <w:noProof/>
        </w:rPr>
        <w:t>dep</w:t>
      </w:r>
      <w:r w:rsidRPr="00DF3EF6">
        <w:rPr>
          <w:noProof/>
        </w:rPr>
        <w:t>ozytami,</w:t>
      </w:r>
      <w:r w:rsidR="0031342C" w:rsidRPr="00DF3EF6">
        <w:rPr>
          <w:noProof/>
        </w:rPr>
        <w:t xml:space="preserve"> w</w:t>
      </w:r>
      <w:r w:rsidR="0031342C">
        <w:rPr>
          <w:noProof/>
        </w:rPr>
        <w:t> </w:t>
      </w:r>
      <w:r w:rsidR="0031342C" w:rsidRPr="00DF3EF6">
        <w:rPr>
          <w:noProof/>
        </w:rPr>
        <w:t>pos</w:t>
      </w:r>
      <w:r w:rsidRPr="00DF3EF6">
        <w:rPr>
          <w:noProof/>
        </w:rPr>
        <w:t>taci gwarancji)</w:t>
      </w:r>
      <w:r w:rsidR="0031342C" w:rsidRPr="00DF3EF6">
        <w:rPr>
          <w:noProof/>
        </w:rPr>
        <w:t xml:space="preserve"> w</w:t>
      </w:r>
      <w:r w:rsidR="0031342C">
        <w:rPr>
          <w:noProof/>
        </w:rPr>
        <w:t> </w:t>
      </w:r>
      <w:r w:rsidR="0031342C" w:rsidRPr="00DF3EF6">
        <w:rPr>
          <w:noProof/>
        </w:rPr>
        <w:t>kon</w:t>
      </w:r>
      <w:r w:rsidRPr="00DF3EF6">
        <w:rPr>
          <w:noProof/>
        </w:rPr>
        <w:t>tekście upadłości</w:t>
      </w:r>
      <w:r w:rsidR="0031342C" w:rsidRPr="00DF3EF6">
        <w:rPr>
          <w:noProof/>
        </w:rPr>
        <w:t xml:space="preserve"> w</w:t>
      </w:r>
      <w:r w:rsidR="0031342C">
        <w:rPr>
          <w:noProof/>
        </w:rPr>
        <w:t> </w:t>
      </w:r>
      <w:r w:rsidR="0031342C" w:rsidRPr="00DF3EF6">
        <w:rPr>
          <w:noProof/>
        </w:rPr>
        <w:t>cel</w:t>
      </w:r>
      <w:r w:rsidRPr="00DF3EF6">
        <w:rPr>
          <w:noProof/>
        </w:rPr>
        <w:t>u zapewnienia deponentom dostępu do ich środków pieniężnych.</w:t>
      </w:r>
    </w:p>
    <w:p w14:paraId="7764B720" w14:textId="2A69F0F0"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W </w:t>
      </w:r>
      <w:r w:rsidRPr="0031342C">
        <w:rPr>
          <w:noProof/>
        </w:rPr>
        <w:t>art.</w:t>
      </w:r>
      <w:r w:rsidR="0031342C" w:rsidRPr="0031342C">
        <w:rPr>
          <w:noProof/>
        </w:rPr>
        <w:t> </w:t>
      </w:r>
      <w:r w:rsidRPr="0031342C">
        <w:rPr>
          <w:noProof/>
        </w:rPr>
        <w:t>1</w:t>
      </w:r>
      <w:r w:rsidRPr="00DF3EF6">
        <w:rPr>
          <w:noProof/>
        </w:rPr>
        <w:t>1a ustanawia się szereg zabezpieczeń dla środków zapobiegawczych</w:t>
      </w:r>
      <w:r w:rsidR="0031342C" w:rsidRPr="00DF3EF6">
        <w:rPr>
          <w:noProof/>
        </w:rPr>
        <w:t xml:space="preserve"> i</w:t>
      </w:r>
      <w:r w:rsidR="0031342C">
        <w:rPr>
          <w:noProof/>
        </w:rPr>
        <w:t> </w:t>
      </w:r>
      <w:r w:rsidR="0031342C" w:rsidRPr="00DF3EF6">
        <w:rPr>
          <w:noProof/>
        </w:rPr>
        <w:t>nak</w:t>
      </w:r>
      <w:r w:rsidRPr="00DF3EF6">
        <w:rPr>
          <w:noProof/>
        </w:rPr>
        <w:t>łada na organy obowiązki</w:t>
      </w:r>
      <w:r w:rsidR="0031342C" w:rsidRPr="00DF3EF6">
        <w:rPr>
          <w:noProof/>
        </w:rPr>
        <w:t xml:space="preserve"> z</w:t>
      </w:r>
      <w:r w:rsidR="0031342C">
        <w:rPr>
          <w:noProof/>
        </w:rPr>
        <w:t> </w:t>
      </w:r>
      <w:r w:rsidR="0031342C" w:rsidRPr="00DF3EF6">
        <w:rPr>
          <w:noProof/>
        </w:rPr>
        <w:t>zak</w:t>
      </w:r>
      <w:r w:rsidRPr="00DF3EF6">
        <w:rPr>
          <w:noProof/>
        </w:rPr>
        <w:t>resu oceny sposobu stosowania środków zapobiegawczych. Celem tego przepisu jest zapewnienie terminowego, opłacalnego</w:t>
      </w:r>
      <w:r w:rsidR="0031342C" w:rsidRPr="00DF3EF6">
        <w:rPr>
          <w:noProof/>
        </w:rPr>
        <w:t xml:space="preserve"> i</w:t>
      </w:r>
      <w:r w:rsidR="0031342C">
        <w:rPr>
          <w:noProof/>
        </w:rPr>
        <w:t> </w:t>
      </w:r>
      <w:r w:rsidR="0031342C" w:rsidRPr="00DF3EF6">
        <w:rPr>
          <w:noProof/>
        </w:rPr>
        <w:t>spó</w:t>
      </w:r>
      <w:r w:rsidRPr="00DF3EF6">
        <w:rPr>
          <w:noProof/>
        </w:rPr>
        <w:t>jnego korzystania</w:t>
      </w:r>
      <w:r w:rsidR="0031342C" w:rsidRPr="00DF3EF6">
        <w:rPr>
          <w:noProof/>
        </w:rPr>
        <w:t xml:space="preserve"> z</w:t>
      </w:r>
      <w:r w:rsidR="0031342C">
        <w:rPr>
          <w:noProof/>
        </w:rPr>
        <w:t> </w:t>
      </w:r>
      <w:r w:rsidR="0031342C" w:rsidRPr="00DF3EF6">
        <w:rPr>
          <w:noProof/>
        </w:rPr>
        <w:t>tyc</w:t>
      </w:r>
      <w:r w:rsidRPr="00DF3EF6">
        <w:rPr>
          <w:noProof/>
        </w:rPr>
        <w:t>h środków we wszystkich państwach członkowskich, co ma zapewnić poprawę</w:t>
      </w:r>
      <w:r w:rsidR="0031342C" w:rsidRPr="00DF3EF6">
        <w:rPr>
          <w:noProof/>
        </w:rPr>
        <w:t xml:space="preserve"> w</w:t>
      </w:r>
      <w:r w:rsidR="0031342C">
        <w:rPr>
          <w:noProof/>
        </w:rPr>
        <w:t> </w:t>
      </w:r>
      <w:r w:rsidR="0031342C" w:rsidRPr="00DF3EF6">
        <w:rPr>
          <w:noProof/>
        </w:rPr>
        <w:t>por</w:t>
      </w:r>
      <w:r w:rsidRPr="00DF3EF6">
        <w:rPr>
          <w:noProof/>
        </w:rPr>
        <w:t>ównaniu</w:t>
      </w:r>
      <w:r w:rsidR="0031342C" w:rsidRPr="00DF3EF6">
        <w:rPr>
          <w:noProof/>
        </w:rPr>
        <w:t xml:space="preserve"> z</w:t>
      </w:r>
      <w:r w:rsidR="0031342C">
        <w:rPr>
          <w:noProof/>
        </w:rPr>
        <w:t> </w:t>
      </w:r>
      <w:r w:rsidR="0031342C" w:rsidRPr="00DF3EF6">
        <w:rPr>
          <w:noProof/>
        </w:rPr>
        <w:t>obe</w:t>
      </w:r>
      <w:r w:rsidRPr="00DF3EF6">
        <w:rPr>
          <w:noProof/>
        </w:rPr>
        <w:t xml:space="preserve">cną sytuacją. </w:t>
      </w:r>
      <w:bookmarkStart w:id="5" w:name="_Hlk125730463"/>
    </w:p>
    <w:p w14:paraId="6DD234EB" w14:textId="65BB3B0B"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W </w:t>
      </w:r>
      <w:r w:rsidRPr="0031342C">
        <w:rPr>
          <w:noProof/>
        </w:rPr>
        <w:t>art.</w:t>
      </w:r>
      <w:r w:rsidR="0031342C" w:rsidRPr="0031342C">
        <w:rPr>
          <w:noProof/>
        </w:rPr>
        <w:t> </w:t>
      </w:r>
      <w:r w:rsidRPr="0031342C">
        <w:rPr>
          <w:noProof/>
        </w:rPr>
        <w:t>1</w:t>
      </w:r>
      <w:r w:rsidRPr="00DF3EF6">
        <w:rPr>
          <w:noProof/>
        </w:rPr>
        <w:t>1b ustanawia się warunki stanowiące podstawę oświadczenia</w:t>
      </w:r>
      <w:r w:rsidR="0031342C" w:rsidRPr="00DF3EF6">
        <w:rPr>
          <w:noProof/>
        </w:rPr>
        <w:t xml:space="preserve"> o</w:t>
      </w:r>
      <w:r w:rsidR="0031342C">
        <w:rPr>
          <w:noProof/>
        </w:rPr>
        <w:t> </w:t>
      </w:r>
      <w:r w:rsidR="0031342C" w:rsidRPr="00DF3EF6">
        <w:rPr>
          <w:noProof/>
        </w:rPr>
        <w:t>śro</w:t>
      </w:r>
      <w:r w:rsidRPr="00DF3EF6">
        <w:rPr>
          <w:noProof/>
        </w:rPr>
        <w:t>dkach, które instytucja kredytowa zobowiązuje się wprowadzić</w:t>
      </w:r>
      <w:r w:rsidR="0031342C" w:rsidRPr="00DF3EF6">
        <w:rPr>
          <w:noProof/>
        </w:rPr>
        <w:t xml:space="preserve"> w</w:t>
      </w:r>
      <w:r w:rsidR="0031342C">
        <w:rPr>
          <w:noProof/>
        </w:rPr>
        <w:t> </w:t>
      </w:r>
      <w:r w:rsidR="0031342C" w:rsidRPr="00DF3EF6">
        <w:rPr>
          <w:noProof/>
        </w:rPr>
        <w:t>cel</w:t>
      </w:r>
      <w:r w:rsidRPr="00DF3EF6">
        <w:rPr>
          <w:noProof/>
        </w:rPr>
        <w:t>u zapewnienia lub przywrócenia zgodności</w:t>
      </w:r>
      <w:r w:rsidR="0031342C" w:rsidRPr="00DF3EF6">
        <w:rPr>
          <w:noProof/>
        </w:rPr>
        <w:t xml:space="preserve"> z</w:t>
      </w:r>
      <w:r w:rsidR="0031342C">
        <w:rPr>
          <w:noProof/>
        </w:rPr>
        <w:t> </w:t>
      </w:r>
      <w:r w:rsidR="0031342C" w:rsidRPr="00DF3EF6">
        <w:rPr>
          <w:noProof/>
        </w:rPr>
        <w:t>wym</w:t>
      </w:r>
      <w:r w:rsidRPr="00DF3EF6">
        <w:rPr>
          <w:noProof/>
        </w:rPr>
        <w:t>ogami ostrożnościowymi</w:t>
      </w:r>
      <w:r w:rsidR="0031342C" w:rsidRPr="00DF3EF6">
        <w:rPr>
          <w:noProof/>
        </w:rPr>
        <w:t>. W</w:t>
      </w:r>
      <w:r w:rsidR="0031342C">
        <w:rPr>
          <w:noProof/>
        </w:rPr>
        <w:t> </w:t>
      </w:r>
      <w:r w:rsidR="0031342C" w:rsidRPr="00DF3EF6">
        <w:rPr>
          <w:noProof/>
        </w:rPr>
        <w:t>prz</w:t>
      </w:r>
      <w:r w:rsidRPr="00DF3EF6">
        <w:rPr>
          <w:noProof/>
        </w:rPr>
        <w:t>edmiocie takiego oświadczenia</w:t>
      </w:r>
      <w:r w:rsidR="0031342C" w:rsidRPr="00DF3EF6">
        <w:rPr>
          <w:noProof/>
        </w:rPr>
        <w:t xml:space="preserve"> o</w:t>
      </w:r>
      <w:r w:rsidR="0031342C">
        <w:rPr>
          <w:noProof/>
        </w:rPr>
        <w:t> </w:t>
      </w:r>
      <w:r w:rsidR="0031342C" w:rsidRPr="00DF3EF6">
        <w:rPr>
          <w:noProof/>
        </w:rPr>
        <w:t>śro</w:t>
      </w:r>
      <w:r w:rsidRPr="00DF3EF6">
        <w:rPr>
          <w:noProof/>
        </w:rPr>
        <w:t>dkach instytucja kredytowa ma konsultować się</w:t>
      </w:r>
      <w:r w:rsidR="0031342C" w:rsidRPr="00DF3EF6">
        <w:rPr>
          <w:noProof/>
        </w:rPr>
        <w:t xml:space="preserve"> z</w:t>
      </w:r>
      <w:r w:rsidR="0031342C">
        <w:rPr>
          <w:noProof/>
        </w:rPr>
        <w:t> </w:t>
      </w:r>
      <w:r w:rsidR="0031342C" w:rsidRPr="00DF3EF6">
        <w:rPr>
          <w:noProof/>
        </w:rPr>
        <w:t>wła</w:t>
      </w:r>
      <w:r w:rsidRPr="00DF3EF6">
        <w:rPr>
          <w:noProof/>
        </w:rPr>
        <w:t xml:space="preserve">ściwym organem. </w:t>
      </w:r>
    </w:p>
    <w:p w14:paraId="34450399" w14:textId="75784889" w:rsidR="00E25235" w:rsidRPr="00DF3EF6" w:rsidRDefault="00E25235" w:rsidP="00E25235">
      <w:pPr>
        <w:pBdr>
          <w:top w:val="nil"/>
          <w:left w:val="nil"/>
          <w:bottom w:val="nil"/>
          <w:right w:val="nil"/>
          <w:between w:val="nil"/>
          <w:bar w:val="nil"/>
        </w:pBdr>
        <w:spacing w:before="0" w:after="240"/>
        <w:rPr>
          <w:noProof/>
        </w:rPr>
      </w:pPr>
      <w:r w:rsidRPr="00DF3EF6">
        <w:rPr>
          <w:noProof/>
        </w:rPr>
        <w:t xml:space="preserve">W </w:t>
      </w:r>
      <w:r w:rsidRPr="0031342C">
        <w:rPr>
          <w:noProof/>
        </w:rPr>
        <w:t>art.</w:t>
      </w:r>
      <w:r w:rsidR="0031342C" w:rsidRPr="0031342C">
        <w:rPr>
          <w:noProof/>
        </w:rPr>
        <w:t> </w:t>
      </w:r>
      <w:r w:rsidRPr="0031342C">
        <w:rPr>
          <w:noProof/>
        </w:rPr>
        <w:t>1</w:t>
      </w:r>
      <w:r w:rsidRPr="00DF3EF6">
        <w:rPr>
          <w:noProof/>
        </w:rPr>
        <w:t>1c ustanawia się wymogi</w:t>
      </w:r>
      <w:r w:rsidR="0031342C" w:rsidRPr="00DF3EF6">
        <w:rPr>
          <w:noProof/>
        </w:rPr>
        <w:t xml:space="preserve"> w</w:t>
      </w:r>
      <w:r w:rsidR="0031342C">
        <w:rPr>
          <w:noProof/>
        </w:rPr>
        <w:t> </w:t>
      </w:r>
      <w:r w:rsidR="0031342C" w:rsidRPr="00DF3EF6">
        <w:rPr>
          <w:noProof/>
        </w:rPr>
        <w:t>odn</w:t>
      </w:r>
      <w:r w:rsidRPr="00DF3EF6">
        <w:rPr>
          <w:noProof/>
        </w:rPr>
        <w:t>iesieniu do instytucji kredytowych, które nie wywiązały się ze swoich zobowiązań lub nie wypłaciły wsparcia finansowego udzielanego</w:t>
      </w:r>
      <w:r w:rsidR="0031342C" w:rsidRPr="00DF3EF6">
        <w:rPr>
          <w:noProof/>
        </w:rPr>
        <w:t xml:space="preserve"> w</w:t>
      </w:r>
      <w:r w:rsidR="0031342C">
        <w:rPr>
          <w:noProof/>
        </w:rPr>
        <w:t> </w:t>
      </w:r>
      <w:r w:rsidR="0031342C" w:rsidRPr="00DF3EF6">
        <w:rPr>
          <w:noProof/>
        </w:rPr>
        <w:t>ram</w:t>
      </w:r>
      <w:r w:rsidRPr="00DF3EF6">
        <w:rPr>
          <w:noProof/>
        </w:rPr>
        <w:t>ach środków zapobiegawczych. EUNB jest upoważniony do opracowania wytycznych</w:t>
      </w:r>
      <w:r w:rsidR="0031342C" w:rsidRPr="00DF3EF6">
        <w:rPr>
          <w:noProof/>
        </w:rPr>
        <w:t xml:space="preserve"> w</w:t>
      </w:r>
      <w:r w:rsidR="0031342C">
        <w:rPr>
          <w:noProof/>
        </w:rPr>
        <w:t> </w:t>
      </w:r>
      <w:r w:rsidR="0031342C" w:rsidRPr="00DF3EF6">
        <w:rPr>
          <w:noProof/>
        </w:rPr>
        <w:t>spr</w:t>
      </w:r>
      <w:r w:rsidRPr="00DF3EF6">
        <w:rPr>
          <w:noProof/>
        </w:rPr>
        <w:t>awie treści oświadczenia zawierającego wykaz środków niezbędnych do skutecznej realizacji środka zapobiegawczego oraz planu działań naprawczych</w:t>
      </w:r>
      <w:bookmarkStart w:id="6" w:name="_Hlk125727475"/>
      <w:r w:rsidRPr="00DF3EF6">
        <w:rPr>
          <w:noProof/>
        </w:rPr>
        <w:t>.</w:t>
      </w:r>
      <w:bookmarkEnd w:id="6"/>
    </w:p>
    <w:p w14:paraId="56A7D188" w14:textId="04AE0257" w:rsidR="00E25235" w:rsidRPr="00DF3EF6" w:rsidRDefault="00C95CAA" w:rsidP="00E25235">
      <w:pPr>
        <w:pBdr>
          <w:top w:val="nil"/>
          <w:left w:val="nil"/>
          <w:bottom w:val="nil"/>
          <w:right w:val="nil"/>
          <w:between w:val="nil"/>
          <w:bar w:val="nil"/>
        </w:pBdr>
        <w:spacing w:before="0" w:after="240"/>
        <w:rPr>
          <w:noProof/>
        </w:rPr>
      </w:pPr>
      <w:r w:rsidRPr="00DF3EF6">
        <w:rPr>
          <w:noProof/>
        </w:rPr>
        <w:t>W odniesieniu do wykorzystywania środków SGD na potrzeby środków alternatywnych,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5</w:t>
      </w:r>
      <w:r w:rsidRPr="00DF3EF6">
        <w:rPr>
          <w:noProof/>
        </w:rPr>
        <w:t xml:space="preserve">, </w:t>
      </w:r>
      <w:r w:rsidRPr="0031342C">
        <w:rPr>
          <w:noProof/>
        </w:rPr>
        <w:t>art.</w:t>
      </w:r>
      <w:r w:rsidR="0031342C" w:rsidRPr="0031342C">
        <w:rPr>
          <w:noProof/>
        </w:rPr>
        <w:t> </w:t>
      </w:r>
      <w:r w:rsidRPr="0031342C">
        <w:rPr>
          <w:noProof/>
        </w:rPr>
        <w:t>1</w:t>
      </w:r>
      <w:r w:rsidRPr="00DF3EF6">
        <w:rPr>
          <w:noProof/>
        </w:rPr>
        <w:t>1d ustanawia warunki regulujące ofertę sprzedaży aktywów, praw</w:t>
      </w:r>
      <w:r w:rsidR="0031342C" w:rsidRPr="00DF3EF6">
        <w:rPr>
          <w:noProof/>
        </w:rPr>
        <w:t xml:space="preserve"> i</w:t>
      </w:r>
      <w:r w:rsidR="0031342C">
        <w:rPr>
          <w:noProof/>
        </w:rPr>
        <w:t> </w:t>
      </w:r>
      <w:r w:rsidR="0031342C" w:rsidRPr="00DF3EF6">
        <w:rPr>
          <w:noProof/>
        </w:rPr>
        <w:t>zob</w:t>
      </w:r>
      <w:r w:rsidRPr="00DF3EF6">
        <w:rPr>
          <w:noProof/>
        </w:rPr>
        <w:t>owiązań banku. Proces ten należy objąć harmonizacją</w:t>
      </w:r>
      <w:r w:rsidR="0031342C" w:rsidRPr="00DF3EF6">
        <w:rPr>
          <w:noProof/>
        </w:rPr>
        <w:t xml:space="preserve"> w</w:t>
      </w:r>
      <w:r w:rsidR="0031342C">
        <w:rPr>
          <w:noProof/>
        </w:rPr>
        <w:t> </w:t>
      </w:r>
      <w:r w:rsidR="0031342C" w:rsidRPr="00DF3EF6">
        <w:rPr>
          <w:noProof/>
        </w:rPr>
        <w:t>cel</w:t>
      </w:r>
      <w:r w:rsidRPr="00DF3EF6">
        <w:rPr>
          <w:noProof/>
        </w:rPr>
        <w:t>u ograniczenia negatywnych skutków dla konkurencji oraz łatwiejszego przyciągnięcia potencjalnych nabywców. Powinien on także zapewnić spójność</w:t>
      </w:r>
      <w:r w:rsidR="0031342C" w:rsidRPr="00DF3EF6">
        <w:rPr>
          <w:noProof/>
        </w:rPr>
        <w:t xml:space="preserve"> z</w:t>
      </w:r>
      <w:r w:rsidR="0031342C">
        <w:rPr>
          <w:noProof/>
        </w:rPr>
        <w:t> </w:t>
      </w:r>
      <w:r w:rsidR="0031342C" w:rsidRPr="00DF3EF6">
        <w:rPr>
          <w:noProof/>
        </w:rPr>
        <w:t>nar</w:t>
      </w:r>
      <w:r w:rsidRPr="00DF3EF6">
        <w:rPr>
          <w:noProof/>
        </w:rPr>
        <w:t>zędziami transferu na podstawie dyrektywy BRRD. Zgodnie</w:t>
      </w:r>
      <w:r w:rsidR="0031342C" w:rsidRPr="00DF3EF6">
        <w:rPr>
          <w:noProof/>
        </w:rPr>
        <w:t xml:space="preserve"> z</w:t>
      </w:r>
      <w:r w:rsidR="0031342C">
        <w:rPr>
          <w:noProof/>
        </w:rPr>
        <w:t> </w:t>
      </w:r>
      <w:r w:rsidR="0031342C" w:rsidRPr="00DF3EF6">
        <w:rPr>
          <w:noProof/>
        </w:rPr>
        <w:t>dyr</w:t>
      </w:r>
      <w:r w:rsidRPr="00DF3EF6">
        <w:rPr>
          <w:noProof/>
        </w:rPr>
        <w:t>ektywą BRRD postępowania</w:t>
      </w:r>
      <w:r w:rsidR="0031342C" w:rsidRPr="00DF3EF6">
        <w:rPr>
          <w:noProof/>
        </w:rPr>
        <w:t xml:space="preserve"> w</w:t>
      </w:r>
      <w:r w:rsidR="0031342C">
        <w:rPr>
          <w:noProof/>
        </w:rPr>
        <w:t> </w:t>
      </w:r>
      <w:r w:rsidR="0031342C" w:rsidRPr="00DF3EF6">
        <w:rPr>
          <w:noProof/>
        </w:rPr>
        <w:t>cel</w:t>
      </w:r>
      <w:r w:rsidRPr="00DF3EF6">
        <w:rPr>
          <w:noProof/>
        </w:rPr>
        <w:t>u likwidacji pozostałej części podmiotu</w:t>
      </w:r>
      <w:r w:rsidR="0031342C" w:rsidRPr="00DF3EF6">
        <w:rPr>
          <w:noProof/>
        </w:rPr>
        <w:t xml:space="preserve"> w</w:t>
      </w:r>
      <w:r w:rsidR="0031342C">
        <w:rPr>
          <w:noProof/>
        </w:rPr>
        <w:t> </w:t>
      </w:r>
      <w:r w:rsidR="0031342C" w:rsidRPr="00DF3EF6">
        <w:rPr>
          <w:noProof/>
        </w:rPr>
        <w:t>spo</w:t>
      </w:r>
      <w:r w:rsidRPr="00DF3EF6">
        <w:rPr>
          <w:noProof/>
        </w:rPr>
        <w:t xml:space="preserve">sób uporządkowany należy wszczynać niezwłocznie. </w:t>
      </w:r>
    </w:p>
    <w:bookmarkEnd w:id="5"/>
    <w:p w14:paraId="7F1E3D26" w14:textId="17E8863C" w:rsidR="00C95CAA" w:rsidRPr="00DF3EF6" w:rsidRDefault="00C95CAA" w:rsidP="00C95CAA">
      <w:pPr>
        <w:pBdr>
          <w:top w:val="nil"/>
          <w:left w:val="nil"/>
          <w:bottom w:val="nil"/>
          <w:right w:val="nil"/>
          <w:between w:val="nil"/>
          <w:bar w:val="nil"/>
        </w:pBdr>
        <w:spacing w:before="0" w:after="240"/>
        <w:rPr>
          <w:noProof/>
        </w:rPr>
      </w:pPr>
      <w:r w:rsidRPr="00DF3EF6">
        <w:rPr>
          <w:noProof/>
        </w:rPr>
        <w:t>Test najniższego kosztu służy porównaniu kosztu interwencji systemu gwarancji depozytów mającej na celu zapobiegnięcie dalszemu pogorszeniu sytuacji finansowej banku lub kosztu poniesionego przez system gwarancji depozytów</w:t>
      </w:r>
      <w:r w:rsidR="0031342C" w:rsidRPr="00DF3EF6">
        <w:rPr>
          <w:noProof/>
        </w:rPr>
        <w:t xml:space="preserve"> w</w:t>
      </w:r>
      <w:r w:rsidR="0031342C">
        <w:rPr>
          <w:noProof/>
        </w:rPr>
        <w:t> </w:t>
      </w:r>
      <w:r w:rsidR="0031342C" w:rsidRPr="00DF3EF6">
        <w:rPr>
          <w:noProof/>
        </w:rPr>
        <w:t>ram</w:t>
      </w:r>
      <w:r w:rsidRPr="00DF3EF6">
        <w:rPr>
          <w:noProof/>
        </w:rPr>
        <w:t>ach przeniesienia działalności do innego banku</w:t>
      </w:r>
      <w:r w:rsidR="0031342C" w:rsidRPr="00DF3EF6">
        <w:rPr>
          <w:noProof/>
        </w:rPr>
        <w:t xml:space="preserve"> z</w:t>
      </w:r>
      <w:r w:rsidR="0031342C">
        <w:rPr>
          <w:noProof/>
        </w:rPr>
        <w:t> </w:t>
      </w:r>
      <w:r w:rsidR="0031342C" w:rsidRPr="00DF3EF6">
        <w:rPr>
          <w:noProof/>
        </w:rPr>
        <w:t>kos</w:t>
      </w:r>
      <w:r w:rsidRPr="00DF3EF6">
        <w:rPr>
          <w:noProof/>
        </w:rPr>
        <w:t>ztami hipotetycznego scenariusza zakładającego wypłatę depozytów gwarantowanych</w:t>
      </w:r>
      <w:r w:rsidR="0031342C" w:rsidRPr="00DF3EF6">
        <w:rPr>
          <w:noProof/>
        </w:rPr>
        <w:t xml:space="preserve"> w</w:t>
      </w:r>
      <w:r w:rsidR="0031342C">
        <w:rPr>
          <w:noProof/>
        </w:rPr>
        <w:t> </w:t>
      </w:r>
      <w:r w:rsidR="0031342C" w:rsidRPr="00DF3EF6">
        <w:rPr>
          <w:noProof/>
        </w:rPr>
        <w:t>prz</w:t>
      </w:r>
      <w:r w:rsidRPr="00DF3EF6">
        <w:rPr>
          <w:noProof/>
        </w:rPr>
        <w:t>ypadku likwidacji</w:t>
      </w:r>
      <w:r w:rsidR="0031342C" w:rsidRPr="00DF3EF6">
        <w:rPr>
          <w:noProof/>
        </w:rPr>
        <w:t>. W</w:t>
      </w:r>
      <w:r w:rsidR="0031342C">
        <w:rPr>
          <w:noProof/>
        </w:rPr>
        <w:t> </w:t>
      </w:r>
      <w:r w:rsidR="0031342C" w:rsidRPr="00DF3EF6">
        <w:rPr>
          <w:noProof/>
        </w:rPr>
        <w:t>pos</w:t>
      </w:r>
      <w:r w:rsidRPr="00DF3EF6">
        <w:rPr>
          <w:noProof/>
        </w:rPr>
        <w:t>zczególnych państwach członkowskich wymóg ten wdrożono</w:t>
      </w:r>
      <w:r w:rsidR="0031342C" w:rsidRPr="00DF3EF6">
        <w:rPr>
          <w:noProof/>
        </w:rPr>
        <w:t xml:space="preserve"> w</w:t>
      </w:r>
      <w:r w:rsidR="0031342C">
        <w:rPr>
          <w:noProof/>
        </w:rPr>
        <w:t> </w:t>
      </w:r>
      <w:r w:rsidR="0031342C" w:rsidRPr="00DF3EF6">
        <w:rPr>
          <w:noProof/>
        </w:rPr>
        <w:t>róż</w:t>
      </w:r>
      <w:r w:rsidRPr="00DF3EF6">
        <w:rPr>
          <w:noProof/>
        </w:rPr>
        <w:t>ny sposób</w:t>
      </w:r>
      <w:r w:rsidR="0031342C" w:rsidRPr="00DF3EF6">
        <w:rPr>
          <w:noProof/>
        </w:rPr>
        <w:t>. W</w:t>
      </w:r>
      <w:r w:rsidR="0031342C">
        <w:rPr>
          <w:noProof/>
        </w:rPr>
        <w:t> </w:t>
      </w:r>
      <w:r w:rsidR="0031342C" w:rsidRPr="00DF3EF6">
        <w:rPr>
          <w:noProof/>
        </w:rPr>
        <w:t>now</w:t>
      </w:r>
      <w:r w:rsidRPr="00DF3EF6">
        <w:rPr>
          <w:noProof/>
        </w:rPr>
        <w:t xml:space="preserve">ym </w:t>
      </w:r>
      <w:r w:rsidRPr="0031342C">
        <w:rPr>
          <w:noProof/>
        </w:rPr>
        <w:t>art.</w:t>
      </w:r>
      <w:r w:rsidR="0031342C" w:rsidRPr="0031342C">
        <w:rPr>
          <w:noProof/>
        </w:rPr>
        <w:t> </w:t>
      </w:r>
      <w:r w:rsidRPr="0031342C">
        <w:rPr>
          <w:noProof/>
        </w:rPr>
        <w:t>1</w:t>
      </w:r>
      <w:r w:rsidRPr="00DF3EF6">
        <w:rPr>
          <w:noProof/>
        </w:rPr>
        <w:t>1e doprecyzowuje</w:t>
      </w:r>
      <w:r w:rsidR="0031342C" w:rsidRPr="00DF3EF6">
        <w:rPr>
          <w:noProof/>
        </w:rPr>
        <w:t xml:space="preserve"> i</w:t>
      </w:r>
      <w:r w:rsidR="0031342C">
        <w:rPr>
          <w:noProof/>
        </w:rPr>
        <w:t> </w:t>
      </w:r>
      <w:r w:rsidR="0031342C" w:rsidRPr="00DF3EF6">
        <w:rPr>
          <w:noProof/>
        </w:rPr>
        <w:t>har</w:t>
      </w:r>
      <w:r w:rsidRPr="00DF3EF6">
        <w:rPr>
          <w:noProof/>
        </w:rPr>
        <w:t xml:space="preserve">monizuje się podejście do przeprowadzenia testu najniższego kosztu, który określa maksymalną kwotę, </w:t>
      </w:r>
      <w:r w:rsidRPr="00DF3EF6">
        <w:rPr>
          <w:noProof/>
        </w:rPr>
        <w:lastRenderedPageBreak/>
        <w:t>jaką system gwarancji depozytów może wnieść</w:t>
      </w:r>
      <w:r w:rsidR="0031342C" w:rsidRPr="00DF3EF6">
        <w:rPr>
          <w:noProof/>
        </w:rPr>
        <w:t xml:space="preserve"> w</w:t>
      </w:r>
      <w:r w:rsidR="0031342C">
        <w:rPr>
          <w:noProof/>
        </w:rPr>
        <w:t> </w:t>
      </w:r>
      <w:r w:rsidR="0031342C" w:rsidRPr="00DF3EF6">
        <w:rPr>
          <w:noProof/>
        </w:rPr>
        <w:t>ram</w:t>
      </w:r>
      <w:r w:rsidRPr="00DF3EF6">
        <w:rPr>
          <w:noProof/>
        </w:rPr>
        <w:t>ach interwencji innej niż wypłata</w:t>
      </w:r>
      <w:r w:rsidR="0031342C" w:rsidRPr="00DF3EF6">
        <w:rPr>
          <w:noProof/>
        </w:rPr>
        <w:t xml:space="preserve"> w</w:t>
      </w:r>
      <w:r w:rsidR="0031342C">
        <w:rPr>
          <w:noProof/>
        </w:rPr>
        <w:t> </w:t>
      </w:r>
      <w:r w:rsidR="0031342C" w:rsidRPr="00DF3EF6">
        <w:rPr>
          <w:noProof/>
        </w:rPr>
        <w:t>cel</w:t>
      </w:r>
      <w:r w:rsidRPr="00DF3EF6">
        <w:rPr>
          <w:noProof/>
        </w:rPr>
        <w:t>u sfinansowania środków zapobiegawczych, środków</w:t>
      </w:r>
      <w:r w:rsidR="0031342C" w:rsidRPr="00DF3EF6">
        <w:rPr>
          <w:noProof/>
        </w:rPr>
        <w:t xml:space="preserve"> w</w:t>
      </w:r>
      <w:r w:rsidR="0031342C">
        <w:rPr>
          <w:noProof/>
        </w:rPr>
        <w:t> </w:t>
      </w:r>
      <w:r w:rsidR="0031342C" w:rsidRPr="00DF3EF6">
        <w:rPr>
          <w:noProof/>
        </w:rPr>
        <w:t>zak</w:t>
      </w:r>
      <w:r w:rsidRPr="00DF3EF6">
        <w:rPr>
          <w:noProof/>
        </w:rPr>
        <w:t>resie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oraz środków alternatywnych. Wypłata depozytów gwarantowanych</w:t>
      </w:r>
      <w:r w:rsidR="0031342C" w:rsidRPr="00DF3EF6">
        <w:rPr>
          <w:noProof/>
        </w:rPr>
        <w:t xml:space="preserve"> w</w:t>
      </w:r>
      <w:r w:rsidR="0031342C">
        <w:rPr>
          <w:noProof/>
        </w:rPr>
        <w:t> </w:t>
      </w:r>
      <w:r w:rsidR="0031342C" w:rsidRPr="00DF3EF6">
        <w:rPr>
          <w:noProof/>
        </w:rPr>
        <w:t>prz</w:t>
      </w:r>
      <w:r w:rsidRPr="00DF3EF6">
        <w:rPr>
          <w:noProof/>
        </w:rPr>
        <w:t>ypadku upadłości może generować koszty bezpośrednie</w:t>
      </w:r>
      <w:r w:rsidR="0031342C" w:rsidRPr="00DF3EF6">
        <w:rPr>
          <w:noProof/>
        </w:rPr>
        <w:t xml:space="preserve"> i</w:t>
      </w:r>
      <w:r w:rsidR="0031342C">
        <w:rPr>
          <w:noProof/>
        </w:rPr>
        <w:t> </w:t>
      </w:r>
      <w:r w:rsidR="0031342C" w:rsidRPr="00DF3EF6">
        <w:rPr>
          <w:noProof/>
        </w:rPr>
        <w:t>poś</w:t>
      </w:r>
      <w:r w:rsidRPr="00DF3EF6">
        <w:rPr>
          <w:noProof/>
        </w:rPr>
        <w:t>rednie dla systemu gwarancji depozytów</w:t>
      </w:r>
      <w:r w:rsidR="0031342C" w:rsidRPr="00DF3EF6">
        <w:rPr>
          <w:noProof/>
        </w:rPr>
        <w:t xml:space="preserve"> i</w:t>
      </w:r>
      <w:r w:rsidR="0031342C">
        <w:rPr>
          <w:noProof/>
        </w:rPr>
        <w:t> </w:t>
      </w:r>
      <w:r w:rsidR="0031342C" w:rsidRPr="00DF3EF6">
        <w:rPr>
          <w:noProof/>
        </w:rPr>
        <w:t>jeg</w:t>
      </w:r>
      <w:r w:rsidRPr="00DF3EF6">
        <w:rPr>
          <w:noProof/>
        </w:rPr>
        <w:t>o członków. Koszty bezpośrednie odpowiadają kwocie wydatkowanej przez system gwarancji depozytów na wypłaty pomniejszone</w:t>
      </w:r>
      <w:r w:rsidR="0031342C" w:rsidRPr="00DF3EF6">
        <w:rPr>
          <w:noProof/>
        </w:rPr>
        <w:t xml:space="preserve"> o</w:t>
      </w:r>
      <w:r w:rsidR="0031342C">
        <w:rPr>
          <w:noProof/>
        </w:rPr>
        <w:t> </w:t>
      </w:r>
      <w:r w:rsidR="0031342C" w:rsidRPr="00DF3EF6">
        <w:rPr>
          <w:noProof/>
        </w:rPr>
        <w:t>odz</w:t>
      </w:r>
      <w:r w:rsidRPr="00DF3EF6">
        <w:rPr>
          <w:noProof/>
        </w:rPr>
        <w:t>yskane należności</w:t>
      </w:r>
      <w:r w:rsidR="0031342C" w:rsidRPr="00DF3EF6">
        <w:rPr>
          <w:noProof/>
        </w:rPr>
        <w:t xml:space="preserve"> z</w:t>
      </w:r>
      <w:r w:rsidR="0031342C">
        <w:rPr>
          <w:noProof/>
        </w:rPr>
        <w:t> </w:t>
      </w:r>
      <w:r w:rsidR="0031342C" w:rsidRPr="00DF3EF6">
        <w:rPr>
          <w:noProof/>
        </w:rPr>
        <w:t>pos</w:t>
      </w:r>
      <w:r w:rsidRPr="00DF3EF6">
        <w:rPr>
          <w:noProof/>
        </w:rPr>
        <w:t>tępowania likwidacyjnego</w:t>
      </w:r>
      <w:r w:rsidR="0031342C" w:rsidRPr="00DF3EF6">
        <w:rPr>
          <w:noProof/>
        </w:rPr>
        <w:t>. W</w:t>
      </w:r>
      <w:r w:rsidR="0031342C">
        <w:rPr>
          <w:noProof/>
        </w:rPr>
        <w:t> </w:t>
      </w:r>
      <w:r w:rsidR="0031342C" w:rsidRPr="00DF3EF6">
        <w:rPr>
          <w:noProof/>
        </w:rPr>
        <w:t>kos</w:t>
      </w:r>
      <w:r w:rsidRPr="00DF3EF6">
        <w:rPr>
          <w:noProof/>
        </w:rPr>
        <w:t>ztach pośrednich należy uwzględnić konieczność uzupełnienia poziomu środków pieniężnych wydatkowanych przez system gwarancji depozytów oraz dodatkowe koszty finansowania ponoszone przez system gwarancji depozytów powiązane</w:t>
      </w:r>
      <w:r w:rsidR="0031342C" w:rsidRPr="00DF3EF6">
        <w:rPr>
          <w:noProof/>
        </w:rPr>
        <w:t xml:space="preserve"> z</w:t>
      </w:r>
      <w:r w:rsidR="0031342C">
        <w:rPr>
          <w:noProof/>
        </w:rPr>
        <w:t> </w:t>
      </w:r>
      <w:r w:rsidR="0031342C" w:rsidRPr="00DF3EF6">
        <w:rPr>
          <w:noProof/>
        </w:rPr>
        <w:t>wyp</w:t>
      </w:r>
      <w:r w:rsidRPr="00DF3EF6">
        <w:rPr>
          <w:noProof/>
        </w:rPr>
        <w:t>łatą. Jeżeli test najniższego kosztu przeprowadza się na potrzeby środków zapobiegawczych, przy obliczaniu alternatywnego scenariusza wypłaty należy również uwzględnić znaczenie takich środków</w:t>
      </w:r>
      <w:r w:rsidR="0031342C" w:rsidRPr="00DF3EF6">
        <w:rPr>
          <w:noProof/>
        </w:rPr>
        <w:t xml:space="preserve"> w</w:t>
      </w:r>
      <w:r w:rsidR="0031342C">
        <w:rPr>
          <w:noProof/>
        </w:rPr>
        <w:t> </w:t>
      </w:r>
      <w:r w:rsidR="0031342C" w:rsidRPr="00DF3EF6">
        <w:rPr>
          <w:noProof/>
        </w:rPr>
        <w:t>kon</w:t>
      </w:r>
      <w:r w:rsidRPr="00DF3EF6">
        <w:rPr>
          <w:noProof/>
        </w:rPr>
        <w:t>tekście ustawowego lub umownego mandatu systemu gwarancji depozytów</w:t>
      </w:r>
      <w:r w:rsidR="0031342C" w:rsidRPr="00DF3EF6">
        <w:rPr>
          <w:noProof/>
        </w:rPr>
        <w:t>. W</w:t>
      </w:r>
      <w:r w:rsidR="0031342C">
        <w:rPr>
          <w:noProof/>
        </w:rPr>
        <w:t> </w:t>
      </w:r>
      <w:r w:rsidR="0031342C" w:rsidRPr="00DF3EF6">
        <w:rPr>
          <w:noProof/>
        </w:rPr>
        <w:t>kos</w:t>
      </w:r>
      <w:r w:rsidRPr="00DF3EF6">
        <w:rPr>
          <w:noProof/>
        </w:rPr>
        <w:t>ztach interwencji innych niż wypłata należy uwzględnić oczekiwane zyski, wydatki operacyjne oraz potencjalne straty związane</w:t>
      </w:r>
      <w:r w:rsidR="0031342C" w:rsidRPr="00DF3EF6">
        <w:rPr>
          <w:noProof/>
        </w:rPr>
        <w:t xml:space="preserve"> z</w:t>
      </w:r>
      <w:r w:rsidR="0031342C">
        <w:rPr>
          <w:noProof/>
        </w:rPr>
        <w:t> </w:t>
      </w:r>
      <w:r w:rsidR="0031342C" w:rsidRPr="00DF3EF6">
        <w:rPr>
          <w:noProof/>
        </w:rPr>
        <w:t>int</w:t>
      </w:r>
      <w:r w:rsidRPr="00DF3EF6">
        <w:rPr>
          <w:noProof/>
        </w:rPr>
        <w:t>erwencją. EUNB jest upoważniony do opracowania projektu regulacyjnych standardów technicznych określających metodykę na potrzeby testu najniższego kosztu.</w:t>
      </w:r>
    </w:p>
    <w:p w14:paraId="461CC67A" w14:textId="7AD7FA06" w:rsidR="00C95CAA" w:rsidRPr="00DF3EF6" w:rsidRDefault="00C95CAA" w:rsidP="00C95CAA">
      <w:pPr>
        <w:pBdr>
          <w:top w:val="nil"/>
          <w:left w:val="nil"/>
          <w:bottom w:val="nil"/>
          <w:right w:val="nil"/>
          <w:between w:val="nil"/>
          <w:bar w:val="nil"/>
        </w:pBdr>
        <w:spacing w:before="0" w:after="240"/>
        <w:rPr>
          <w:noProof/>
        </w:rPr>
      </w:pPr>
      <w:r w:rsidRPr="00DF3EF6">
        <w:rPr>
          <w:noProof/>
        </w:rPr>
        <w:t>Art. 14 zmienia się</w:t>
      </w:r>
      <w:r w:rsidR="0031342C" w:rsidRPr="00DF3EF6">
        <w:rPr>
          <w:noProof/>
        </w:rPr>
        <w:t xml:space="preserve"> w</w:t>
      </w:r>
      <w:r w:rsidR="0031342C">
        <w:rPr>
          <w:noProof/>
        </w:rPr>
        <w:t> </w:t>
      </w:r>
      <w:r w:rsidR="0031342C" w:rsidRPr="00DF3EF6">
        <w:rPr>
          <w:noProof/>
        </w:rPr>
        <w:t>cel</w:t>
      </w:r>
      <w:r w:rsidRPr="00DF3EF6">
        <w:rPr>
          <w:noProof/>
        </w:rPr>
        <w:t>u doprecyzowania, że gwarancja udzielana przez systemy gwarancji depozytów obejmuje także deponentów</w:t>
      </w:r>
      <w:r w:rsidR="0031342C" w:rsidRPr="00DF3EF6">
        <w:rPr>
          <w:noProof/>
        </w:rPr>
        <w:t xml:space="preserve"> z</w:t>
      </w:r>
      <w:r w:rsidR="0031342C">
        <w:rPr>
          <w:noProof/>
        </w:rPr>
        <w:t> </w:t>
      </w:r>
      <w:r w:rsidR="0031342C" w:rsidRPr="00DF3EF6">
        <w:rPr>
          <w:noProof/>
        </w:rPr>
        <w:t>sie</w:t>
      </w:r>
      <w:r w:rsidRPr="00DF3EF6">
        <w:rPr>
          <w:noProof/>
        </w:rPr>
        <w:t>dzibą</w:t>
      </w:r>
      <w:r w:rsidR="0031342C" w:rsidRPr="00DF3EF6">
        <w:rPr>
          <w:noProof/>
        </w:rPr>
        <w:t xml:space="preserve"> w</w:t>
      </w:r>
      <w:r w:rsidR="0031342C">
        <w:rPr>
          <w:noProof/>
        </w:rPr>
        <w:t> </w:t>
      </w:r>
      <w:r w:rsidR="0031342C" w:rsidRPr="00DF3EF6">
        <w:rPr>
          <w:noProof/>
        </w:rPr>
        <w:t>pań</w:t>
      </w:r>
      <w:r w:rsidRPr="00DF3EF6">
        <w:rPr>
          <w:noProof/>
        </w:rPr>
        <w:t>stwie członkowskim,</w:t>
      </w:r>
      <w:r w:rsidR="0031342C" w:rsidRPr="00DF3EF6">
        <w:rPr>
          <w:noProof/>
        </w:rPr>
        <w:t xml:space="preserve"> w</w:t>
      </w:r>
      <w:r w:rsidR="0031342C">
        <w:rPr>
          <w:noProof/>
        </w:rPr>
        <w:t> </w:t>
      </w:r>
      <w:r w:rsidR="0031342C" w:rsidRPr="00DF3EF6">
        <w:rPr>
          <w:noProof/>
        </w:rPr>
        <w:t>któ</w:t>
      </w:r>
      <w:r w:rsidRPr="00DF3EF6">
        <w:rPr>
          <w:noProof/>
        </w:rPr>
        <w:t>rym ich instytucje kredytowe będące członkami korzystają ze swobody świadczenia usług. Ustanawia się</w:t>
      </w:r>
      <w:r w:rsidR="0031342C" w:rsidRPr="00DF3EF6">
        <w:rPr>
          <w:noProof/>
        </w:rPr>
        <w:t xml:space="preserve"> w</w:t>
      </w:r>
      <w:r w:rsidR="0031342C">
        <w:rPr>
          <w:noProof/>
        </w:rPr>
        <w:t> </w:t>
      </w:r>
      <w:r w:rsidR="0031342C" w:rsidRPr="00DF3EF6">
        <w:rPr>
          <w:noProof/>
        </w:rPr>
        <w:t>nim</w:t>
      </w:r>
      <w:r w:rsidRPr="00DF3EF6">
        <w:rPr>
          <w:noProof/>
        </w:rPr>
        <w:t xml:space="preserve"> warunki, na jakich system gwarancji depozytów</w:t>
      </w:r>
      <w:r w:rsidR="0031342C" w:rsidRPr="00DF3EF6">
        <w:rPr>
          <w:noProof/>
        </w:rPr>
        <w:t xml:space="preserve"> w</w:t>
      </w:r>
      <w:r w:rsidR="0031342C">
        <w:rPr>
          <w:noProof/>
        </w:rPr>
        <w:t> </w:t>
      </w:r>
      <w:r w:rsidR="0031342C" w:rsidRPr="00DF3EF6">
        <w:rPr>
          <w:noProof/>
        </w:rPr>
        <w:t>pań</w:t>
      </w:r>
      <w:r w:rsidRPr="00DF3EF6">
        <w:rPr>
          <w:noProof/>
        </w:rPr>
        <w:t>stwie członkowskim pochodzenia może dokonywać zwrotów bezpośrednio na rzecz deponentów</w:t>
      </w:r>
      <w:r w:rsidR="0031342C" w:rsidRPr="00DF3EF6">
        <w:rPr>
          <w:noProof/>
        </w:rPr>
        <w:t xml:space="preserve"> z</w:t>
      </w:r>
      <w:r w:rsidR="0031342C">
        <w:rPr>
          <w:noProof/>
        </w:rPr>
        <w:t> </w:t>
      </w:r>
      <w:r w:rsidR="0031342C" w:rsidRPr="00DF3EF6">
        <w:rPr>
          <w:noProof/>
        </w:rPr>
        <w:t>odd</w:t>
      </w:r>
      <w:r w:rsidRPr="00DF3EF6">
        <w:rPr>
          <w:noProof/>
        </w:rPr>
        <w:t>ziałów</w:t>
      </w:r>
      <w:r w:rsidR="0031342C" w:rsidRPr="00DF3EF6">
        <w:rPr>
          <w:noProof/>
        </w:rPr>
        <w:t xml:space="preserve"> w</w:t>
      </w:r>
      <w:r w:rsidR="0031342C">
        <w:rPr>
          <w:noProof/>
        </w:rPr>
        <w:t> </w:t>
      </w:r>
      <w:r w:rsidR="0031342C" w:rsidRPr="00DF3EF6">
        <w:rPr>
          <w:noProof/>
        </w:rPr>
        <w:t>inn</w:t>
      </w:r>
      <w:r w:rsidRPr="00DF3EF6">
        <w:rPr>
          <w:noProof/>
        </w:rPr>
        <w:t>ym państwie członkowskim oraz warunki uzyskania przez system gwarancji depozytów zezwolenia na prowadzenie działalności</w:t>
      </w:r>
      <w:r w:rsidR="0031342C" w:rsidRPr="00DF3EF6">
        <w:rPr>
          <w:noProof/>
        </w:rPr>
        <w:t xml:space="preserve"> w</w:t>
      </w:r>
      <w:r w:rsidR="0031342C">
        <w:rPr>
          <w:noProof/>
        </w:rPr>
        <w:t> </w:t>
      </w:r>
      <w:r w:rsidR="0031342C" w:rsidRPr="00DF3EF6">
        <w:rPr>
          <w:noProof/>
        </w:rPr>
        <w:t>prz</w:t>
      </w:r>
      <w:r w:rsidRPr="00DF3EF6">
        <w:rPr>
          <w:noProof/>
        </w:rPr>
        <w:t>yjmującym państwie członkowskim</w:t>
      </w:r>
      <w:r w:rsidR="0031342C" w:rsidRPr="00DF3EF6">
        <w:rPr>
          <w:noProof/>
        </w:rPr>
        <w:t xml:space="preserve"> w</w:t>
      </w:r>
      <w:r w:rsidR="0031342C">
        <w:rPr>
          <w:noProof/>
        </w:rPr>
        <w:t> </w:t>
      </w:r>
      <w:r w:rsidR="0031342C" w:rsidRPr="00DF3EF6">
        <w:rPr>
          <w:noProof/>
        </w:rPr>
        <w:t>cha</w:t>
      </w:r>
      <w:r w:rsidRPr="00DF3EF6">
        <w:rPr>
          <w:noProof/>
        </w:rPr>
        <w:t>rakterze punktu kontaktowego dla deponentów</w:t>
      </w:r>
      <w:r w:rsidR="0031342C" w:rsidRPr="00DF3EF6">
        <w:rPr>
          <w:noProof/>
        </w:rPr>
        <w:t xml:space="preserve"> z</w:t>
      </w:r>
      <w:r w:rsidR="0031342C">
        <w:rPr>
          <w:noProof/>
        </w:rPr>
        <w:t> </w:t>
      </w:r>
      <w:r w:rsidR="0031342C" w:rsidRPr="00DF3EF6">
        <w:rPr>
          <w:noProof/>
        </w:rPr>
        <w:t>ins</w:t>
      </w:r>
      <w:r w:rsidRPr="00DF3EF6">
        <w:rPr>
          <w:noProof/>
        </w:rPr>
        <w:t>tytucji kredytowych, które korzystają ze swobody świadczenia usług. EUNB jest upoważniony do opracowania wytycznych</w:t>
      </w:r>
      <w:r w:rsidR="0031342C" w:rsidRPr="00DF3EF6">
        <w:rPr>
          <w:noProof/>
        </w:rPr>
        <w:t xml:space="preserve"> w</w:t>
      </w:r>
      <w:r w:rsidR="0031342C">
        <w:rPr>
          <w:noProof/>
        </w:rPr>
        <w:t> </w:t>
      </w:r>
      <w:r w:rsidR="0031342C" w:rsidRPr="00DF3EF6">
        <w:rPr>
          <w:noProof/>
        </w:rPr>
        <w:t>spr</w:t>
      </w:r>
      <w:r w:rsidRPr="00DF3EF6">
        <w:rPr>
          <w:noProof/>
        </w:rPr>
        <w:t>awie właściwych ról systemów gwarancji depozytów</w:t>
      </w:r>
      <w:r w:rsidR="0031342C" w:rsidRPr="00DF3EF6">
        <w:rPr>
          <w:noProof/>
        </w:rPr>
        <w:t xml:space="preserve"> w</w:t>
      </w:r>
      <w:r w:rsidR="0031342C">
        <w:rPr>
          <w:noProof/>
        </w:rPr>
        <w:t> </w:t>
      </w:r>
      <w:r w:rsidR="0031342C" w:rsidRPr="00DF3EF6">
        <w:rPr>
          <w:noProof/>
        </w:rPr>
        <w:t>pań</w:t>
      </w:r>
      <w:r w:rsidRPr="00DF3EF6">
        <w:rPr>
          <w:noProof/>
        </w:rPr>
        <w:t>stwie pochodzenia</w:t>
      </w:r>
      <w:r w:rsidR="0031342C" w:rsidRPr="00DF3EF6">
        <w:rPr>
          <w:noProof/>
        </w:rPr>
        <w:t xml:space="preserve"> i</w:t>
      </w:r>
      <w:r w:rsidR="0031342C">
        <w:rPr>
          <w:noProof/>
        </w:rPr>
        <w:t> </w:t>
      </w:r>
      <w:r w:rsidR="0031342C" w:rsidRPr="00DF3EF6">
        <w:rPr>
          <w:noProof/>
        </w:rPr>
        <w:t>w</w:t>
      </w:r>
      <w:r w:rsidR="0031342C">
        <w:rPr>
          <w:noProof/>
        </w:rPr>
        <w:t> </w:t>
      </w:r>
      <w:r w:rsidR="0031342C" w:rsidRPr="00DF3EF6">
        <w:rPr>
          <w:noProof/>
        </w:rPr>
        <w:t>pań</w:t>
      </w:r>
      <w:r w:rsidRPr="00DF3EF6">
        <w:rPr>
          <w:noProof/>
        </w:rPr>
        <w:t>stwie przyjmującym oraz warunków, na których system gwarancji depozytów</w:t>
      </w:r>
      <w:r w:rsidR="0031342C" w:rsidRPr="00DF3EF6">
        <w:rPr>
          <w:noProof/>
        </w:rPr>
        <w:t xml:space="preserve"> w</w:t>
      </w:r>
      <w:r w:rsidR="0031342C">
        <w:rPr>
          <w:noProof/>
        </w:rPr>
        <w:t> </w:t>
      </w:r>
      <w:r w:rsidR="0031342C" w:rsidRPr="00DF3EF6">
        <w:rPr>
          <w:noProof/>
        </w:rPr>
        <w:t>pań</w:t>
      </w:r>
      <w:r w:rsidRPr="00DF3EF6">
        <w:rPr>
          <w:noProof/>
        </w:rPr>
        <w:t>stwie członkowskim pochodzenia podejmuje decyzje</w:t>
      </w:r>
      <w:r w:rsidR="0031342C" w:rsidRPr="00DF3EF6">
        <w:rPr>
          <w:noProof/>
        </w:rPr>
        <w:t xml:space="preserve"> w</w:t>
      </w:r>
      <w:r w:rsidR="0031342C">
        <w:rPr>
          <w:noProof/>
        </w:rPr>
        <w:t> </w:t>
      </w:r>
      <w:r w:rsidR="0031342C" w:rsidRPr="00DF3EF6">
        <w:rPr>
          <w:noProof/>
        </w:rPr>
        <w:t>spr</w:t>
      </w:r>
      <w:r w:rsidRPr="00DF3EF6">
        <w:rPr>
          <w:noProof/>
        </w:rPr>
        <w:t>awie dokonania zwrotu na rzecz deponentów</w:t>
      </w:r>
      <w:r w:rsidR="0031342C" w:rsidRPr="00DF3EF6">
        <w:rPr>
          <w:noProof/>
        </w:rPr>
        <w:t xml:space="preserve"> z</w:t>
      </w:r>
      <w:r w:rsidR="0031342C">
        <w:rPr>
          <w:noProof/>
        </w:rPr>
        <w:t> </w:t>
      </w:r>
      <w:r w:rsidR="0031342C" w:rsidRPr="00DF3EF6">
        <w:rPr>
          <w:noProof/>
        </w:rPr>
        <w:t>odd</w:t>
      </w:r>
      <w:r w:rsidRPr="00DF3EF6">
        <w:rPr>
          <w:noProof/>
        </w:rPr>
        <w:t>ziałów mieszczących się</w:t>
      </w:r>
      <w:r w:rsidR="0031342C" w:rsidRPr="00DF3EF6">
        <w:rPr>
          <w:noProof/>
        </w:rPr>
        <w:t xml:space="preserve"> w</w:t>
      </w:r>
      <w:r w:rsidR="0031342C">
        <w:rPr>
          <w:noProof/>
        </w:rPr>
        <w:t> </w:t>
      </w:r>
      <w:r w:rsidR="0031342C" w:rsidRPr="00DF3EF6">
        <w:rPr>
          <w:noProof/>
        </w:rPr>
        <w:t>inn</w:t>
      </w:r>
      <w:r w:rsidRPr="00DF3EF6">
        <w:rPr>
          <w:noProof/>
        </w:rPr>
        <w:t>ym państwie członkowskim. Ponadto</w:t>
      </w:r>
      <w:r w:rsidR="0031342C" w:rsidRPr="00DF3EF6">
        <w:rPr>
          <w:noProof/>
        </w:rPr>
        <w:t xml:space="preserve"> w</w:t>
      </w:r>
      <w:r w:rsidR="0031342C">
        <w:rPr>
          <w:noProof/>
        </w:rPr>
        <w:t> </w:t>
      </w:r>
      <w:r w:rsidR="0031342C" w:rsidRPr="00DF3EF6">
        <w:rPr>
          <w:noProof/>
        </w:rPr>
        <w:t>art</w:t>
      </w:r>
      <w:r w:rsidRPr="00DF3EF6">
        <w:rPr>
          <w:noProof/>
        </w:rPr>
        <w:t>ykule tym określa się zasady mające zastosowanie do obliczania środków pieniężnych podlegających przeniesieniu</w:t>
      </w:r>
      <w:r w:rsidR="0031342C" w:rsidRPr="00DF3EF6">
        <w:rPr>
          <w:noProof/>
        </w:rPr>
        <w:t xml:space="preserve"> w</w:t>
      </w:r>
      <w:r w:rsidR="0031342C">
        <w:rPr>
          <w:noProof/>
        </w:rPr>
        <w:t> </w:t>
      </w:r>
      <w:r w:rsidR="0031342C" w:rsidRPr="00DF3EF6">
        <w:rPr>
          <w:noProof/>
        </w:rPr>
        <w:t>prz</w:t>
      </w:r>
      <w:r w:rsidRPr="00DF3EF6">
        <w:rPr>
          <w:noProof/>
        </w:rPr>
        <w:t>ypadku, gdy instytucja członkowska zmieni swoją przynależność do systemu gwarancji depozytów, występując</w:t>
      </w:r>
      <w:r w:rsidR="0031342C" w:rsidRPr="00DF3EF6">
        <w:rPr>
          <w:noProof/>
        </w:rPr>
        <w:t xml:space="preserve"> z</w:t>
      </w:r>
      <w:r w:rsidR="0031342C">
        <w:rPr>
          <w:noProof/>
        </w:rPr>
        <w:t> </w:t>
      </w:r>
      <w:r w:rsidR="0031342C" w:rsidRPr="00DF3EF6">
        <w:rPr>
          <w:noProof/>
        </w:rPr>
        <w:t>sys</w:t>
      </w:r>
      <w:r w:rsidRPr="00DF3EF6">
        <w:rPr>
          <w:noProof/>
        </w:rPr>
        <w:t>temu</w:t>
      </w:r>
      <w:r w:rsidR="0031342C" w:rsidRPr="00DF3EF6">
        <w:rPr>
          <w:noProof/>
        </w:rPr>
        <w:t xml:space="preserve"> w</w:t>
      </w:r>
      <w:r w:rsidR="0031342C">
        <w:rPr>
          <w:noProof/>
        </w:rPr>
        <w:t> </w:t>
      </w:r>
      <w:r w:rsidR="0031342C" w:rsidRPr="00DF3EF6">
        <w:rPr>
          <w:noProof/>
        </w:rPr>
        <w:t>jed</w:t>
      </w:r>
      <w:r w:rsidRPr="00DF3EF6">
        <w:rPr>
          <w:noProof/>
        </w:rPr>
        <w:t>nym państwie członkowskim</w:t>
      </w:r>
      <w:r w:rsidR="0031342C" w:rsidRPr="00DF3EF6">
        <w:rPr>
          <w:noProof/>
        </w:rPr>
        <w:t xml:space="preserve"> i</w:t>
      </w:r>
      <w:r w:rsidR="0031342C">
        <w:rPr>
          <w:noProof/>
        </w:rPr>
        <w:t> </w:t>
      </w:r>
      <w:r w:rsidR="0031342C" w:rsidRPr="00DF3EF6">
        <w:rPr>
          <w:noProof/>
        </w:rPr>
        <w:t>prz</w:t>
      </w:r>
      <w:r w:rsidRPr="00DF3EF6">
        <w:rPr>
          <w:noProof/>
        </w:rPr>
        <w:t>ystępując do systemu</w:t>
      </w:r>
      <w:r w:rsidR="0031342C" w:rsidRPr="00DF3EF6">
        <w:rPr>
          <w:noProof/>
        </w:rPr>
        <w:t xml:space="preserve"> w</w:t>
      </w:r>
      <w:r w:rsidR="0031342C">
        <w:rPr>
          <w:noProof/>
        </w:rPr>
        <w:t> </w:t>
      </w:r>
      <w:r w:rsidR="0031342C" w:rsidRPr="00DF3EF6">
        <w:rPr>
          <w:noProof/>
        </w:rPr>
        <w:t>inn</w:t>
      </w:r>
      <w:r w:rsidRPr="00DF3EF6">
        <w:rPr>
          <w:noProof/>
        </w:rPr>
        <w:t xml:space="preserve">ym państwie członkowskim. </w:t>
      </w:r>
    </w:p>
    <w:p w14:paraId="58F710E8" w14:textId="0FC50FE1" w:rsidR="00C95CAA" w:rsidRPr="00DF3EF6" w:rsidRDefault="00C95CAA" w:rsidP="00C95CAA">
      <w:pPr>
        <w:pBdr>
          <w:top w:val="nil"/>
          <w:left w:val="nil"/>
          <w:bottom w:val="nil"/>
          <w:right w:val="nil"/>
          <w:between w:val="nil"/>
          <w:bar w:val="nil"/>
        </w:pBdr>
        <w:spacing w:before="0" w:after="240"/>
        <w:rPr>
          <w:noProof/>
        </w:rPr>
      </w:pPr>
      <w:r w:rsidRPr="00DF3EF6">
        <w:rPr>
          <w:noProof/>
        </w:rPr>
        <w:t xml:space="preserve">W </w:t>
      </w:r>
      <w:r w:rsidRPr="0031342C">
        <w:rPr>
          <w:noProof/>
        </w:rPr>
        <w:t>art.</w:t>
      </w:r>
      <w:r w:rsidR="0031342C" w:rsidRPr="0031342C">
        <w:rPr>
          <w:noProof/>
        </w:rPr>
        <w:t> </w:t>
      </w:r>
      <w:r w:rsidRPr="0031342C">
        <w:rPr>
          <w:noProof/>
        </w:rPr>
        <w:t>1</w:t>
      </w:r>
      <w:r w:rsidRPr="00DF3EF6">
        <w:rPr>
          <w:noProof/>
        </w:rPr>
        <w:t>5 wprowadza się zmiany nakładające na oddziały instytucji kredytowych mających siedzibę</w:t>
      </w:r>
      <w:r w:rsidR="0031342C" w:rsidRPr="00DF3EF6">
        <w:rPr>
          <w:noProof/>
        </w:rPr>
        <w:t xml:space="preserve"> w</w:t>
      </w:r>
      <w:r w:rsidR="0031342C">
        <w:rPr>
          <w:noProof/>
        </w:rPr>
        <w:t> </w:t>
      </w:r>
      <w:r w:rsidR="0031342C" w:rsidRPr="00DF3EF6">
        <w:rPr>
          <w:noProof/>
        </w:rPr>
        <w:t>pań</w:t>
      </w:r>
      <w:r w:rsidRPr="00DF3EF6">
        <w:rPr>
          <w:noProof/>
        </w:rPr>
        <w:t>stwach trzecich wymóg przyłączenia się do systemu gwarancji depozytów</w:t>
      </w:r>
      <w:r w:rsidR="0031342C" w:rsidRPr="00DF3EF6">
        <w:rPr>
          <w:noProof/>
        </w:rPr>
        <w:t xml:space="preserve"> w</w:t>
      </w:r>
      <w:r w:rsidR="0031342C">
        <w:rPr>
          <w:noProof/>
        </w:rPr>
        <w:t> </w:t>
      </w:r>
      <w:r w:rsidR="0031342C" w:rsidRPr="00DF3EF6">
        <w:rPr>
          <w:noProof/>
        </w:rPr>
        <w:t>pań</w:t>
      </w:r>
      <w:r w:rsidRPr="00DF3EF6">
        <w:rPr>
          <w:noProof/>
        </w:rPr>
        <w:t>stwie członkowskim, jeśli chcą świadczyć usługi bankowe oraz przyjmować kwalifikujące się depozyty w UE. Zgodnie</w:t>
      </w:r>
      <w:r w:rsidR="0031342C" w:rsidRPr="00DF3EF6">
        <w:rPr>
          <w:noProof/>
        </w:rPr>
        <w:t xml:space="preserve"> z</w:t>
      </w:r>
      <w:r w:rsidR="0031342C">
        <w:rPr>
          <w:noProof/>
        </w:rPr>
        <w:t> </w:t>
      </w:r>
      <w:r w:rsidR="0031342C" w:rsidRPr="00DF3EF6">
        <w:rPr>
          <w:noProof/>
        </w:rPr>
        <w:t>opi</w:t>
      </w:r>
      <w:r w:rsidRPr="00DF3EF6">
        <w:rPr>
          <w:noProof/>
        </w:rPr>
        <w:t>nią EUNB przeważająca większość oddziałów</w:t>
      </w:r>
      <w:r w:rsidR="0031342C" w:rsidRPr="00DF3EF6">
        <w:rPr>
          <w:noProof/>
        </w:rPr>
        <w:t xml:space="preserve"> z</w:t>
      </w:r>
      <w:r w:rsidR="0031342C">
        <w:rPr>
          <w:noProof/>
        </w:rPr>
        <w:t> </w:t>
      </w:r>
      <w:r w:rsidR="0031342C" w:rsidRPr="00DF3EF6">
        <w:rPr>
          <w:noProof/>
        </w:rPr>
        <w:t>pań</w:t>
      </w:r>
      <w:r w:rsidRPr="00DF3EF6">
        <w:rPr>
          <w:noProof/>
        </w:rPr>
        <w:t>stw trzecich</w:t>
      </w:r>
      <w:r w:rsidR="0031342C" w:rsidRPr="00DF3EF6">
        <w:rPr>
          <w:noProof/>
        </w:rPr>
        <w:t xml:space="preserve"> w</w:t>
      </w:r>
      <w:r w:rsidR="0031342C">
        <w:rPr>
          <w:noProof/>
        </w:rPr>
        <w:t> </w:t>
      </w:r>
      <w:r w:rsidR="0031342C" w:rsidRPr="00DF3EF6">
        <w:rPr>
          <w:noProof/>
        </w:rPr>
        <w:t>pań</w:t>
      </w:r>
      <w:r w:rsidRPr="00DF3EF6">
        <w:rPr>
          <w:noProof/>
        </w:rPr>
        <w:t>stwach członkowskich UE jest już członkami systemu gwarancji depozytów UE ze względu na to, że system ochrony deponentów</w:t>
      </w:r>
      <w:r w:rsidR="0031342C" w:rsidRPr="00DF3EF6">
        <w:rPr>
          <w:noProof/>
        </w:rPr>
        <w:t xml:space="preserve"> w</w:t>
      </w:r>
      <w:r w:rsidR="0031342C">
        <w:rPr>
          <w:noProof/>
        </w:rPr>
        <w:t> </w:t>
      </w:r>
      <w:r w:rsidR="0031342C" w:rsidRPr="00DF3EF6">
        <w:rPr>
          <w:noProof/>
        </w:rPr>
        <w:t>pań</w:t>
      </w:r>
      <w:r w:rsidRPr="00DF3EF6">
        <w:rPr>
          <w:noProof/>
        </w:rPr>
        <w:t>stwie trzecim uznano za nierównoważny, albo ze względu na to, że nie przeprowadzono żadnej formalnej oceny równoważności. Niektóre</w:t>
      </w:r>
      <w:r w:rsidR="0031342C" w:rsidRPr="00DF3EF6">
        <w:rPr>
          <w:noProof/>
        </w:rPr>
        <w:t xml:space="preserve"> z</w:t>
      </w:r>
      <w:r w:rsidR="0031342C">
        <w:rPr>
          <w:noProof/>
        </w:rPr>
        <w:t> </w:t>
      </w:r>
      <w:r w:rsidR="0031342C" w:rsidRPr="00DF3EF6">
        <w:rPr>
          <w:noProof/>
        </w:rPr>
        <w:t>poz</w:t>
      </w:r>
      <w:r w:rsidRPr="00DF3EF6">
        <w:rPr>
          <w:noProof/>
        </w:rPr>
        <w:t>ostałych oddziałów nie mają obowiązku przyłączenia się do właściwego systemu gwarancji depozytów UE niezależnie od tego, że wyniki oceny równoważności wykazują, że ich ochrona deponentów nie jest równoważna. Zgodnie</w:t>
      </w:r>
      <w:r w:rsidR="0031342C" w:rsidRPr="00DF3EF6">
        <w:rPr>
          <w:noProof/>
        </w:rPr>
        <w:t xml:space="preserve"> z</w:t>
      </w:r>
      <w:r w:rsidR="0031342C">
        <w:rPr>
          <w:noProof/>
        </w:rPr>
        <w:t> </w:t>
      </w:r>
      <w:r w:rsidR="0031342C" w:rsidRPr="00DF3EF6">
        <w:rPr>
          <w:noProof/>
        </w:rPr>
        <w:t>zal</w:t>
      </w:r>
      <w:r w:rsidRPr="00DF3EF6">
        <w:rPr>
          <w:noProof/>
        </w:rPr>
        <w:t>eceniem EUNB zmiana ta obejmuje wymóg członkostwa</w:t>
      </w:r>
      <w:r w:rsidR="0031342C" w:rsidRPr="00DF3EF6">
        <w:rPr>
          <w:noProof/>
        </w:rPr>
        <w:t xml:space="preserve"> i</w:t>
      </w:r>
      <w:r w:rsidR="0031342C">
        <w:rPr>
          <w:noProof/>
        </w:rPr>
        <w:t> </w:t>
      </w:r>
      <w:r w:rsidR="0031342C" w:rsidRPr="00DF3EF6">
        <w:rPr>
          <w:noProof/>
        </w:rPr>
        <w:t>zap</w:t>
      </w:r>
      <w:r w:rsidRPr="00DF3EF6">
        <w:rPr>
          <w:noProof/>
        </w:rPr>
        <w:t>ewnia równą ochronę dla deponentów</w:t>
      </w:r>
      <w:r w:rsidR="0031342C" w:rsidRPr="00DF3EF6">
        <w:rPr>
          <w:noProof/>
        </w:rPr>
        <w:t xml:space="preserve"> w</w:t>
      </w:r>
      <w:r w:rsidR="0031342C">
        <w:rPr>
          <w:noProof/>
        </w:rPr>
        <w:t> </w:t>
      </w:r>
      <w:r w:rsidR="0031342C" w:rsidRPr="00DF3EF6">
        <w:rPr>
          <w:noProof/>
        </w:rPr>
        <w:t>uni</w:t>
      </w:r>
      <w:r w:rsidRPr="00DF3EF6">
        <w:rPr>
          <w:noProof/>
        </w:rPr>
        <w:t>jnych oddziałach banków</w:t>
      </w:r>
      <w:r w:rsidR="0031342C" w:rsidRPr="00DF3EF6">
        <w:rPr>
          <w:noProof/>
        </w:rPr>
        <w:t xml:space="preserve"> z</w:t>
      </w:r>
      <w:r w:rsidR="0031342C">
        <w:rPr>
          <w:noProof/>
        </w:rPr>
        <w:t> </w:t>
      </w:r>
      <w:r w:rsidR="0031342C" w:rsidRPr="00DF3EF6">
        <w:rPr>
          <w:noProof/>
        </w:rPr>
        <w:t>pań</w:t>
      </w:r>
      <w:r w:rsidRPr="00DF3EF6">
        <w:rPr>
          <w:noProof/>
        </w:rPr>
        <w:t>stw trzecich oraz</w:t>
      </w:r>
      <w:r w:rsidR="0031342C" w:rsidRPr="00DF3EF6">
        <w:rPr>
          <w:noProof/>
        </w:rPr>
        <w:t xml:space="preserve"> w</w:t>
      </w:r>
      <w:r w:rsidR="0031342C">
        <w:rPr>
          <w:noProof/>
        </w:rPr>
        <w:t> </w:t>
      </w:r>
      <w:r w:rsidR="0031342C" w:rsidRPr="00DF3EF6">
        <w:rPr>
          <w:noProof/>
        </w:rPr>
        <w:t>ban</w:t>
      </w:r>
      <w:r w:rsidRPr="00DF3EF6">
        <w:rPr>
          <w:noProof/>
        </w:rPr>
        <w:t>kach unijnych</w:t>
      </w:r>
      <w:r w:rsidR="0031342C" w:rsidRPr="00DF3EF6">
        <w:rPr>
          <w:noProof/>
        </w:rPr>
        <w:t xml:space="preserve"> i</w:t>
      </w:r>
      <w:r w:rsidR="0031342C">
        <w:rPr>
          <w:noProof/>
        </w:rPr>
        <w:t> </w:t>
      </w:r>
      <w:r w:rsidR="0031342C" w:rsidRPr="00DF3EF6">
        <w:rPr>
          <w:noProof/>
        </w:rPr>
        <w:t>ich</w:t>
      </w:r>
      <w:r w:rsidRPr="00DF3EF6">
        <w:rPr>
          <w:noProof/>
        </w:rPr>
        <w:t xml:space="preserve"> oddziałach</w:t>
      </w:r>
      <w:r w:rsidR="0031342C" w:rsidRPr="00DF3EF6">
        <w:rPr>
          <w:noProof/>
        </w:rPr>
        <w:t xml:space="preserve"> w</w:t>
      </w:r>
      <w:r w:rsidR="0031342C">
        <w:rPr>
          <w:noProof/>
        </w:rPr>
        <w:t> </w:t>
      </w:r>
      <w:r w:rsidR="0031342C" w:rsidRPr="00DF3EF6">
        <w:rPr>
          <w:noProof/>
        </w:rPr>
        <w:t>inn</w:t>
      </w:r>
      <w:r w:rsidRPr="00DF3EF6">
        <w:rPr>
          <w:noProof/>
        </w:rPr>
        <w:t>ych państwach członkowskich. Dzięki temu zostaje wzmocniona ochrona deponentów, gdyż eliminuje ryzyko posiadania w UE depozytów, których ochrona</w:t>
      </w:r>
      <w:r w:rsidR="0031342C" w:rsidRPr="00DF3EF6">
        <w:rPr>
          <w:noProof/>
        </w:rPr>
        <w:t xml:space="preserve"> w</w:t>
      </w:r>
      <w:r w:rsidR="0031342C">
        <w:rPr>
          <w:noProof/>
        </w:rPr>
        <w:t> </w:t>
      </w:r>
      <w:r w:rsidR="0031342C" w:rsidRPr="00DF3EF6">
        <w:rPr>
          <w:noProof/>
        </w:rPr>
        <w:t>ram</w:t>
      </w:r>
      <w:r w:rsidRPr="00DF3EF6">
        <w:rPr>
          <w:noProof/>
        </w:rPr>
        <w:t>ach pozaunijnego systemu gwarancji depozytów nie odpowiadałaby standardom UE (zgodnie</w:t>
      </w:r>
      <w:r w:rsidR="0031342C" w:rsidRPr="00DF3EF6">
        <w:rPr>
          <w:noProof/>
        </w:rPr>
        <w:t xml:space="preserve"> z</w:t>
      </w:r>
      <w:r w:rsidR="0031342C">
        <w:rPr>
          <w:noProof/>
        </w:rPr>
        <w:t> </w:t>
      </w:r>
      <w:r w:rsidR="0031342C" w:rsidRPr="00DF3EF6">
        <w:rPr>
          <w:noProof/>
        </w:rPr>
        <w:t>opi</w:t>
      </w:r>
      <w:r w:rsidRPr="00DF3EF6">
        <w:rPr>
          <w:noProof/>
        </w:rPr>
        <w:t xml:space="preserve">nią EUNB spośród 74 oddziałów spoza EOG mających </w:t>
      </w:r>
      <w:r w:rsidRPr="00DF3EF6">
        <w:rPr>
          <w:noProof/>
        </w:rPr>
        <w:lastRenderedPageBreak/>
        <w:t>siedzibę w UE 5 nie było członkami unijnego systemu gwarancji depozytów). Nałożenie na unijne oddziały banków</w:t>
      </w:r>
      <w:r w:rsidR="0031342C" w:rsidRPr="00DF3EF6">
        <w:rPr>
          <w:noProof/>
        </w:rPr>
        <w:t xml:space="preserve"> z</w:t>
      </w:r>
      <w:r w:rsidR="0031342C">
        <w:rPr>
          <w:noProof/>
        </w:rPr>
        <w:t> </w:t>
      </w:r>
      <w:r w:rsidR="0031342C" w:rsidRPr="00DF3EF6">
        <w:rPr>
          <w:noProof/>
        </w:rPr>
        <w:t>pań</w:t>
      </w:r>
      <w:r w:rsidRPr="00DF3EF6">
        <w:rPr>
          <w:noProof/>
        </w:rPr>
        <w:t>stw trzecich wymogu przyłączenia się do unijnego systemu gwarancji depozytów jest zgodne także</w:t>
      </w:r>
      <w:r w:rsidR="0031342C" w:rsidRPr="00DF3EF6">
        <w:rPr>
          <w:noProof/>
        </w:rPr>
        <w:t xml:space="preserve"> z</w:t>
      </w:r>
      <w:r w:rsidR="0031342C">
        <w:rPr>
          <w:noProof/>
        </w:rPr>
        <w:t> </w:t>
      </w:r>
      <w:r w:rsidR="0031342C" w:rsidRPr="00DF3EF6">
        <w:rPr>
          <w:noProof/>
        </w:rPr>
        <w:t>jed</w:t>
      </w:r>
      <w:r w:rsidRPr="00DF3EF6">
        <w:rPr>
          <w:noProof/>
        </w:rPr>
        <w:t>nym</w:t>
      </w:r>
      <w:r w:rsidR="0031342C" w:rsidRPr="00DF3EF6">
        <w:rPr>
          <w:noProof/>
        </w:rPr>
        <w:t xml:space="preserve"> z</w:t>
      </w:r>
      <w:r w:rsidR="0031342C">
        <w:rPr>
          <w:noProof/>
        </w:rPr>
        <w:t> </w:t>
      </w:r>
      <w:r w:rsidR="0031342C" w:rsidRPr="00DF3EF6">
        <w:rPr>
          <w:noProof/>
        </w:rPr>
        <w:t>głó</w:t>
      </w:r>
      <w:r w:rsidRPr="00DF3EF6">
        <w:rPr>
          <w:noProof/>
        </w:rPr>
        <w:t>wnych celów niniejszego przeglądu, czyli ułatwieniem korzystania ze środków SGD</w:t>
      </w:r>
      <w:r w:rsidR="0031342C" w:rsidRPr="00DF3EF6">
        <w:rPr>
          <w:noProof/>
        </w:rPr>
        <w:t xml:space="preserve"> w</w:t>
      </w:r>
      <w:r w:rsidR="0031342C">
        <w:rPr>
          <w:noProof/>
        </w:rPr>
        <w:t> </w:t>
      </w:r>
      <w:r w:rsidR="0031342C" w:rsidRPr="00DF3EF6">
        <w:rPr>
          <w:noProof/>
        </w:rPr>
        <w:t>res</w:t>
      </w:r>
      <w:r w:rsidRPr="00DF3EF6">
        <w:rPr>
          <w:noProof/>
        </w:rPr>
        <w:t>trukturyzacji</w:t>
      </w:r>
      <w:r w:rsidR="0031342C" w:rsidRPr="00DF3EF6">
        <w:rPr>
          <w:noProof/>
        </w:rPr>
        <w:t xml:space="preserve"> i</w:t>
      </w:r>
      <w:r w:rsidR="0031342C">
        <w:rPr>
          <w:noProof/>
        </w:rPr>
        <w:t> </w:t>
      </w:r>
      <w:r w:rsidR="0031342C" w:rsidRPr="00DF3EF6">
        <w:rPr>
          <w:noProof/>
        </w:rPr>
        <w:t>upo</w:t>
      </w:r>
      <w:r w:rsidRPr="00DF3EF6">
        <w:rPr>
          <w:noProof/>
        </w:rPr>
        <w:t xml:space="preserve">rządkowanej likwidacji. </w:t>
      </w:r>
    </w:p>
    <w:p w14:paraId="19508547" w14:textId="51585252" w:rsidR="00C95CAA" w:rsidRPr="00DF3EF6" w:rsidRDefault="00C95CAA" w:rsidP="00C95CAA">
      <w:pPr>
        <w:pBdr>
          <w:top w:val="nil"/>
          <w:left w:val="nil"/>
          <w:bottom w:val="nil"/>
          <w:right w:val="nil"/>
          <w:between w:val="nil"/>
          <w:bar w:val="nil"/>
        </w:pBdr>
        <w:spacing w:before="0" w:after="240"/>
        <w:rPr>
          <w:noProof/>
        </w:rPr>
      </w:pPr>
      <w:r w:rsidRPr="00DF3EF6">
        <w:rPr>
          <w:noProof/>
        </w:rPr>
        <w:t>Aby uniknąć narażenia środków SGD na ryzyko ekonomiczne</w:t>
      </w:r>
      <w:r w:rsidR="0031342C" w:rsidRPr="00DF3EF6">
        <w:rPr>
          <w:noProof/>
        </w:rPr>
        <w:t xml:space="preserve"> i</w:t>
      </w:r>
      <w:r w:rsidR="0031342C">
        <w:rPr>
          <w:noProof/>
        </w:rPr>
        <w:t> </w:t>
      </w:r>
      <w:r w:rsidR="0031342C" w:rsidRPr="00DF3EF6">
        <w:rPr>
          <w:noProof/>
        </w:rPr>
        <w:t>fin</w:t>
      </w:r>
      <w:r w:rsidRPr="00DF3EF6">
        <w:rPr>
          <w:noProof/>
        </w:rPr>
        <w:t>ansowe</w:t>
      </w:r>
      <w:r w:rsidR="0031342C" w:rsidRPr="00DF3EF6">
        <w:rPr>
          <w:noProof/>
        </w:rPr>
        <w:t xml:space="preserve"> w</w:t>
      </w:r>
      <w:r w:rsidR="0031342C">
        <w:rPr>
          <w:noProof/>
        </w:rPr>
        <w:t> </w:t>
      </w:r>
      <w:r w:rsidR="0031342C" w:rsidRPr="00DF3EF6">
        <w:rPr>
          <w:noProof/>
        </w:rPr>
        <w:t>pań</w:t>
      </w:r>
      <w:r w:rsidRPr="00DF3EF6">
        <w:rPr>
          <w:noProof/>
        </w:rPr>
        <w:t>stwach trzecich,</w:t>
      </w:r>
      <w:r w:rsidR="0031342C" w:rsidRPr="00DF3EF6">
        <w:rPr>
          <w:noProof/>
        </w:rPr>
        <w:t xml:space="preserve"> w</w:t>
      </w:r>
      <w:r w:rsidR="0031342C">
        <w:rPr>
          <w:noProof/>
        </w:rPr>
        <w:t> </w:t>
      </w:r>
      <w:r w:rsidR="0031342C" w:rsidRPr="00DF3EF6">
        <w:rPr>
          <w:noProof/>
        </w:rPr>
        <w:t>now</w:t>
      </w:r>
      <w:r w:rsidRPr="00DF3EF6">
        <w:rPr>
          <w:noProof/>
        </w:rPr>
        <w:t xml:space="preserve">ym </w:t>
      </w:r>
      <w:r w:rsidRPr="0031342C">
        <w:rPr>
          <w:noProof/>
        </w:rPr>
        <w:t>art.</w:t>
      </w:r>
      <w:r w:rsidR="0031342C" w:rsidRPr="0031342C">
        <w:rPr>
          <w:noProof/>
        </w:rPr>
        <w:t> </w:t>
      </w:r>
      <w:r w:rsidRPr="0031342C">
        <w:rPr>
          <w:noProof/>
        </w:rPr>
        <w:t>1</w:t>
      </w:r>
      <w:r w:rsidRPr="00DF3EF6">
        <w:rPr>
          <w:noProof/>
        </w:rPr>
        <w:t>5a zezwala się na objęcie ochroną</w:t>
      </w:r>
      <w:r w:rsidR="0031342C" w:rsidRPr="00DF3EF6">
        <w:rPr>
          <w:noProof/>
        </w:rPr>
        <w:t xml:space="preserve"> w</w:t>
      </w:r>
      <w:r w:rsidR="0031342C">
        <w:rPr>
          <w:noProof/>
        </w:rPr>
        <w:t> </w:t>
      </w:r>
      <w:r w:rsidR="0031342C" w:rsidRPr="00DF3EF6">
        <w:rPr>
          <w:noProof/>
        </w:rPr>
        <w:t>ram</w:t>
      </w:r>
      <w:r w:rsidRPr="00DF3EF6">
        <w:rPr>
          <w:noProof/>
        </w:rPr>
        <w:t>ach systemu gwarancji depozytów deponentów należących do oddziałów instytucji członkowskich mających siedziby</w:t>
      </w:r>
      <w:r w:rsidR="0031342C" w:rsidRPr="00DF3EF6">
        <w:rPr>
          <w:noProof/>
        </w:rPr>
        <w:t xml:space="preserve"> w</w:t>
      </w:r>
      <w:r w:rsidR="0031342C">
        <w:rPr>
          <w:noProof/>
        </w:rPr>
        <w:t> </w:t>
      </w:r>
      <w:r w:rsidR="0031342C" w:rsidRPr="00DF3EF6">
        <w:rPr>
          <w:noProof/>
        </w:rPr>
        <w:t>pań</w:t>
      </w:r>
      <w:r w:rsidRPr="00DF3EF6">
        <w:rPr>
          <w:noProof/>
        </w:rPr>
        <w:t>stwach trzecich wyłącznie wówczas, gdy zgromadzone środki przewyższają minimalny poziom docelowy.</w:t>
      </w:r>
    </w:p>
    <w:p w14:paraId="4115A4F9" w14:textId="40C77C68" w:rsidR="007F7905" w:rsidRPr="00DF3EF6" w:rsidRDefault="00C95CAA" w:rsidP="00C95CAA">
      <w:pPr>
        <w:pBdr>
          <w:top w:val="nil"/>
          <w:left w:val="nil"/>
          <w:bottom w:val="nil"/>
          <w:right w:val="nil"/>
          <w:between w:val="nil"/>
          <w:bar w:val="nil"/>
        </w:pBdr>
        <w:spacing w:before="0" w:after="240"/>
        <w:rPr>
          <w:noProof/>
        </w:rPr>
      </w:pPr>
      <w:r w:rsidRPr="00DF3EF6">
        <w:rPr>
          <w:noProof/>
        </w:rPr>
        <w:t xml:space="preserve">W </w:t>
      </w:r>
      <w:r w:rsidRPr="0031342C">
        <w:rPr>
          <w:noProof/>
        </w:rPr>
        <w:t>art.</w:t>
      </w:r>
      <w:r w:rsidR="0031342C" w:rsidRPr="0031342C">
        <w:rPr>
          <w:noProof/>
        </w:rPr>
        <w:t> </w:t>
      </w:r>
      <w:r w:rsidRPr="0031342C">
        <w:rPr>
          <w:noProof/>
        </w:rPr>
        <w:t>1</w:t>
      </w:r>
      <w:r w:rsidRPr="00DF3EF6">
        <w:rPr>
          <w:noProof/>
        </w:rPr>
        <w:t>6 wprowadza się zmiany</w:t>
      </w:r>
      <w:r w:rsidR="0031342C" w:rsidRPr="00DF3EF6">
        <w:rPr>
          <w:noProof/>
        </w:rPr>
        <w:t xml:space="preserve"> w</w:t>
      </w:r>
      <w:r w:rsidR="0031342C">
        <w:rPr>
          <w:noProof/>
        </w:rPr>
        <w:t> </w:t>
      </w:r>
      <w:r w:rsidR="0031342C" w:rsidRPr="00DF3EF6">
        <w:rPr>
          <w:noProof/>
        </w:rPr>
        <w:t>cel</w:t>
      </w:r>
      <w:r w:rsidRPr="00DF3EF6">
        <w:rPr>
          <w:noProof/>
        </w:rPr>
        <w:t>u zharmonizowania informacji, które banki mają obowiązek corocznie udostępniać klientom, dotyczące ochrony ich depozytów</w:t>
      </w:r>
      <w:r w:rsidR="0031342C" w:rsidRPr="00DF3EF6">
        <w:rPr>
          <w:noProof/>
        </w:rPr>
        <w:t>. W</w:t>
      </w:r>
      <w:r w:rsidR="0031342C">
        <w:rPr>
          <w:noProof/>
        </w:rPr>
        <w:t> </w:t>
      </w:r>
      <w:r w:rsidR="0031342C" w:rsidRPr="00DF3EF6">
        <w:rPr>
          <w:noProof/>
        </w:rPr>
        <w:t>ten</w:t>
      </w:r>
      <w:r w:rsidRPr="00DF3EF6">
        <w:rPr>
          <w:noProof/>
        </w:rPr>
        <w:t xml:space="preserve"> sposób wzmacnia się także wymogi informacyjne dla deponentów</w:t>
      </w:r>
      <w:r w:rsidR="0031342C" w:rsidRPr="00DF3EF6">
        <w:rPr>
          <w:noProof/>
        </w:rPr>
        <w:t xml:space="preserve"> w</w:t>
      </w:r>
      <w:r w:rsidR="0031342C">
        <w:rPr>
          <w:noProof/>
        </w:rPr>
        <w:t> </w:t>
      </w:r>
      <w:r w:rsidR="0031342C" w:rsidRPr="00DF3EF6">
        <w:rPr>
          <w:noProof/>
        </w:rPr>
        <w:t>prz</w:t>
      </w:r>
      <w:r w:rsidRPr="00DF3EF6">
        <w:rPr>
          <w:noProof/>
        </w:rPr>
        <w:t>ypadku połączenia lub innej istotnej reorganizacji instytucji kredytowej, zmiany przynależności do systemu gwarancji depozytów</w:t>
      </w:r>
      <w:r w:rsidR="0031342C" w:rsidRPr="00DF3EF6">
        <w:rPr>
          <w:noProof/>
        </w:rPr>
        <w:t xml:space="preserve"> i</w:t>
      </w:r>
      <w:r w:rsidR="0031342C">
        <w:rPr>
          <w:noProof/>
        </w:rPr>
        <w:t> </w:t>
      </w:r>
      <w:r w:rsidR="0031342C" w:rsidRPr="00DF3EF6">
        <w:rPr>
          <w:noProof/>
        </w:rPr>
        <w:t>nie</w:t>
      </w:r>
      <w:r w:rsidRPr="00DF3EF6">
        <w:rPr>
          <w:noProof/>
        </w:rPr>
        <w:t>dostępności depozytów ze względu na krytyczną sytuację finansową banków. Państwa członkowskie są upoważnione do weryfikacji poprawności informacji udostępnionych deponentom, a EUNB jest upoważniony do opracowania projektu regulacyjnych standardów dotyczących formy</w:t>
      </w:r>
      <w:r w:rsidR="0031342C" w:rsidRPr="00DF3EF6">
        <w:rPr>
          <w:noProof/>
        </w:rPr>
        <w:t xml:space="preserve"> i</w:t>
      </w:r>
      <w:r w:rsidR="0031342C">
        <w:rPr>
          <w:noProof/>
        </w:rPr>
        <w:t> </w:t>
      </w:r>
      <w:r w:rsidR="0031342C" w:rsidRPr="00DF3EF6">
        <w:rPr>
          <w:noProof/>
        </w:rPr>
        <w:t>tre</w:t>
      </w:r>
      <w:r w:rsidRPr="00DF3EF6">
        <w:rPr>
          <w:noProof/>
        </w:rPr>
        <w:t>ści arkusza informacyjnego oraz procedur</w:t>
      </w:r>
      <w:r w:rsidR="0031342C" w:rsidRPr="00DF3EF6">
        <w:rPr>
          <w:noProof/>
        </w:rPr>
        <w:t xml:space="preserve"> i</w:t>
      </w:r>
      <w:r w:rsidR="0031342C">
        <w:rPr>
          <w:noProof/>
        </w:rPr>
        <w:t> </w:t>
      </w:r>
      <w:r w:rsidR="0031342C" w:rsidRPr="00DF3EF6">
        <w:rPr>
          <w:noProof/>
        </w:rPr>
        <w:t>inf</w:t>
      </w:r>
      <w:r w:rsidRPr="00DF3EF6">
        <w:rPr>
          <w:noProof/>
        </w:rPr>
        <w:t>ormacji dla deponentów, także</w:t>
      </w:r>
      <w:r w:rsidR="0031342C" w:rsidRPr="00DF3EF6">
        <w:rPr>
          <w:noProof/>
        </w:rPr>
        <w:t xml:space="preserve"> w</w:t>
      </w:r>
      <w:r w:rsidR="0031342C">
        <w:rPr>
          <w:noProof/>
        </w:rPr>
        <w:t> </w:t>
      </w:r>
      <w:r w:rsidR="0031342C" w:rsidRPr="00DF3EF6">
        <w:rPr>
          <w:noProof/>
        </w:rPr>
        <w:t>odn</w:t>
      </w:r>
      <w:r w:rsidRPr="00DF3EF6">
        <w:rPr>
          <w:noProof/>
        </w:rPr>
        <w:t>iesieniu do depozytów ze środkami klientów oraz sytuacji obejmujących finansowanie terroryzmu/pranie pieniędzy.</w:t>
      </w:r>
    </w:p>
    <w:p w14:paraId="7666B66D" w14:textId="14F43C33" w:rsidR="00C95CAA" w:rsidRPr="00DF3EF6" w:rsidRDefault="00C95CAA" w:rsidP="00C95CAA">
      <w:pPr>
        <w:autoSpaceDE w:val="0"/>
        <w:autoSpaceDN w:val="0"/>
        <w:spacing w:after="0"/>
        <w:rPr>
          <w:noProof/>
        </w:rPr>
      </w:pPr>
      <w:r w:rsidRPr="00DF3EF6">
        <w:rPr>
          <w:noProof/>
        </w:rPr>
        <w:t xml:space="preserve">Wprowadza się nowy </w:t>
      </w:r>
      <w:r w:rsidRPr="0031342C">
        <w:rPr>
          <w:noProof/>
        </w:rPr>
        <w:t>art.</w:t>
      </w:r>
      <w:r w:rsidR="0031342C" w:rsidRPr="0031342C">
        <w:rPr>
          <w:noProof/>
        </w:rPr>
        <w:t> </w:t>
      </w:r>
      <w:r w:rsidRPr="0031342C">
        <w:rPr>
          <w:noProof/>
        </w:rPr>
        <w:t>1</w:t>
      </w:r>
      <w:r w:rsidRPr="00DF3EF6">
        <w:rPr>
          <w:noProof/>
        </w:rPr>
        <w:t>6a</w:t>
      </w:r>
      <w:r w:rsidR="0031342C" w:rsidRPr="00DF3EF6">
        <w:rPr>
          <w:noProof/>
        </w:rPr>
        <w:t xml:space="preserve"> w</w:t>
      </w:r>
      <w:r w:rsidR="0031342C">
        <w:rPr>
          <w:noProof/>
        </w:rPr>
        <w:t> </w:t>
      </w:r>
      <w:r w:rsidR="0031342C" w:rsidRPr="00DF3EF6">
        <w:rPr>
          <w:noProof/>
        </w:rPr>
        <w:t>cel</w:t>
      </w:r>
      <w:r w:rsidRPr="00DF3EF6">
        <w:rPr>
          <w:noProof/>
        </w:rPr>
        <w:t>u doprecyzowania zasad dotyczących sprawozdawczości oraz ulepszenia wymiany informacji przekazywanych systemom gwarancji depozytów przez instytucję kredytową oraz przekazywanych EUNB przez systemy gwarancji depozytów</w:t>
      </w:r>
      <w:r w:rsidR="0031342C" w:rsidRPr="00DF3EF6">
        <w:rPr>
          <w:noProof/>
        </w:rPr>
        <w:t xml:space="preserve"> i</w:t>
      </w:r>
      <w:r w:rsidR="0031342C">
        <w:rPr>
          <w:noProof/>
        </w:rPr>
        <w:t> </w:t>
      </w:r>
      <w:r w:rsidR="0031342C" w:rsidRPr="00DF3EF6">
        <w:rPr>
          <w:noProof/>
        </w:rPr>
        <w:t>wyz</w:t>
      </w:r>
      <w:r w:rsidRPr="00DF3EF6">
        <w:rPr>
          <w:noProof/>
        </w:rPr>
        <w:t>naczone organy. Istotne jest, aby system gwarancji depozytów</w:t>
      </w:r>
      <w:r w:rsidR="0031342C" w:rsidRPr="00DF3EF6">
        <w:rPr>
          <w:noProof/>
        </w:rPr>
        <w:t xml:space="preserve"> w</w:t>
      </w:r>
      <w:r w:rsidR="0031342C">
        <w:rPr>
          <w:noProof/>
        </w:rPr>
        <w:t> </w:t>
      </w:r>
      <w:r w:rsidR="0031342C" w:rsidRPr="00DF3EF6">
        <w:rPr>
          <w:noProof/>
        </w:rPr>
        <w:t>każ</w:t>
      </w:r>
      <w:r w:rsidRPr="00DF3EF6">
        <w:rPr>
          <w:noProof/>
        </w:rPr>
        <w:t>dym czasie i na żądanie otrzymywał od instytucji należących do tego systemu informacje dotyczące depozytów, które ubezpiecza. Jest to niezbędne do skutecznego działania systemu gwarancji depozytów</w:t>
      </w:r>
      <w:r w:rsidR="0031342C" w:rsidRPr="00DF3EF6">
        <w:rPr>
          <w:noProof/>
        </w:rPr>
        <w:t xml:space="preserve"> w</w:t>
      </w:r>
      <w:r w:rsidR="0031342C">
        <w:rPr>
          <w:noProof/>
        </w:rPr>
        <w:t> </w:t>
      </w:r>
      <w:r w:rsidR="0031342C" w:rsidRPr="00DF3EF6">
        <w:rPr>
          <w:noProof/>
        </w:rPr>
        <w:t>spo</w:t>
      </w:r>
      <w:r w:rsidRPr="00DF3EF6">
        <w:rPr>
          <w:noProof/>
        </w:rPr>
        <w:t>sób wymagany przez niniejszą dyrektywę. Wskazane wymogi</w:t>
      </w:r>
      <w:r w:rsidR="0031342C" w:rsidRPr="00DF3EF6">
        <w:rPr>
          <w:noProof/>
        </w:rPr>
        <w:t xml:space="preserve"> w</w:t>
      </w:r>
      <w:r w:rsidR="0031342C">
        <w:rPr>
          <w:noProof/>
        </w:rPr>
        <w:t> </w:t>
      </w:r>
      <w:r w:rsidR="0031342C" w:rsidRPr="00DF3EF6">
        <w:rPr>
          <w:noProof/>
        </w:rPr>
        <w:t>zak</w:t>
      </w:r>
      <w:r w:rsidRPr="00DF3EF6">
        <w:rPr>
          <w:noProof/>
        </w:rPr>
        <w:t>resie sprawozdawczości są oparte na istniejących obowiązkach banków, obejmujących zapewnienie niezwłocznej identyfikacji depozytów, lub wynikają</w:t>
      </w:r>
      <w:r w:rsidR="0031342C" w:rsidRPr="00DF3EF6">
        <w:rPr>
          <w:noProof/>
        </w:rPr>
        <w:t xml:space="preserve"> z</w:t>
      </w:r>
      <w:r w:rsidR="0031342C">
        <w:rPr>
          <w:noProof/>
        </w:rPr>
        <w:t> </w:t>
      </w:r>
      <w:r w:rsidR="0031342C" w:rsidRPr="00DF3EF6">
        <w:rPr>
          <w:noProof/>
        </w:rPr>
        <w:t>roz</w:t>
      </w:r>
      <w:r w:rsidRPr="00DF3EF6">
        <w:rPr>
          <w:noProof/>
        </w:rPr>
        <w:t>szerzenia ochrony deponenta,</w:t>
      </w:r>
      <w:r w:rsidR="0031342C" w:rsidRPr="00DF3EF6">
        <w:rPr>
          <w:noProof/>
        </w:rPr>
        <w:t xml:space="preserve"> a</w:t>
      </w:r>
      <w:r w:rsidR="0031342C">
        <w:rPr>
          <w:noProof/>
        </w:rPr>
        <w:t> </w:t>
      </w:r>
      <w:r w:rsidR="0031342C" w:rsidRPr="00DF3EF6">
        <w:rPr>
          <w:noProof/>
        </w:rPr>
        <w:t>tym</w:t>
      </w:r>
      <w:r w:rsidRPr="00DF3EF6">
        <w:rPr>
          <w:noProof/>
        </w:rPr>
        <w:t xml:space="preserve"> samym nie są sprzeczne</w:t>
      </w:r>
      <w:r w:rsidR="0031342C" w:rsidRPr="00DF3EF6">
        <w:rPr>
          <w:noProof/>
        </w:rPr>
        <w:t xml:space="preserve"> z</w:t>
      </w:r>
      <w:r w:rsidR="0031342C">
        <w:rPr>
          <w:noProof/>
        </w:rPr>
        <w:t> </w:t>
      </w:r>
      <w:r w:rsidR="0031342C" w:rsidRPr="00DF3EF6">
        <w:rPr>
          <w:noProof/>
        </w:rPr>
        <w:t>ogó</w:t>
      </w:r>
      <w:r w:rsidRPr="00DF3EF6">
        <w:rPr>
          <w:noProof/>
        </w:rPr>
        <w:t>lnym celem, jakim jest zmniejszenie obciążeń administracyjnych spoczywających na instytucjach kredytowych. Istotne jest także właściwe informowanie EUNB</w:t>
      </w:r>
      <w:r w:rsidR="0031342C" w:rsidRPr="00DF3EF6">
        <w:rPr>
          <w:noProof/>
        </w:rPr>
        <w:t xml:space="preserve"> o</w:t>
      </w:r>
      <w:r w:rsidR="0031342C">
        <w:rPr>
          <w:noProof/>
        </w:rPr>
        <w:t> </w:t>
      </w:r>
      <w:r w:rsidR="0031342C" w:rsidRPr="00DF3EF6">
        <w:rPr>
          <w:noProof/>
        </w:rPr>
        <w:t>syt</w:t>
      </w:r>
      <w:r w:rsidRPr="00DF3EF6">
        <w:rPr>
          <w:noProof/>
        </w:rPr>
        <w:t>uacjach, które mają miejsce</w:t>
      </w:r>
      <w:r w:rsidR="0031342C" w:rsidRPr="00DF3EF6">
        <w:rPr>
          <w:noProof/>
        </w:rPr>
        <w:t xml:space="preserve"> i</w:t>
      </w:r>
      <w:r w:rsidR="0031342C">
        <w:rPr>
          <w:noProof/>
        </w:rPr>
        <w:t> </w:t>
      </w:r>
      <w:r w:rsidR="0031342C" w:rsidRPr="00DF3EF6">
        <w:rPr>
          <w:noProof/>
        </w:rPr>
        <w:t>w</w:t>
      </w:r>
      <w:r w:rsidR="0031342C">
        <w:rPr>
          <w:noProof/>
        </w:rPr>
        <w:t> </w:t>
      </w:r>
      <w:r w:rsidR="0031342C" w:rsidRPr="00DF3EF6">
        <w:rPr>
          <w:noProof/>
        </w:rPr>
        <w:t>któ</w:t>
      </w:r>
      <w:r w:rsidRPr="00DF3EF6">
        <w:rPr>
          <w:noProof/>
        </w:rPr>
        <w:t>rych system gwarancji depozytów może zgodnie</w:t>
      </w:r>
      <w:r w:rsidR="0031342C" w:rsidRPr="00DF3EF6">
        <w:rPr>
          <w:noProof/>
        </w:rPr>
        <w:t xml:space="preserve"> z</w:t>
      </w:r>
      <w:r w:rsidR="0031342C">
        <w:rPr>
          <w:noProof/>
        </w:rPr>
        <w:t> </w:t>
      </w:r>
      <w:r w:rsidR="0031342C" w:rsidRPr="00DF3EF6">
        <w:rPr>
          <w:noProof/>
        </w:rPr>
        <w:t>nin</w:t>
      </w:r>
      <w:r w:rsidRPr="00DF3EF6">
        <w:rPr>
          <w:noProof/>
        </w:rPr>
        <w:t>iejszą dyrektywą interweniować</w:t>
      </w:r>
      <w:r w:rsidR="0031342C" w:rsidRPr="00DF3EF6">
        <w:rPr>
          <w:noProof/>
        </w:rPr>
        <w:t xml:space="preserve"> w</w:t>
      </w:r>
      <w:r w:rsidR="0031342C">
        <w:rPr>
          <w:noProof/>
        </w:rPr>
        <w:t> </w:t>
      </w:r>
      <w:r w:rsidR="0031342C" w:rsidRPr="00DF3EF6">
        <w:rPr>
          <w:noProof/>
        </w:rPr>
        <w:t>cel</w:t>
      </w:r>
      <w:r w:rsidRPr="00DF3EF6">
        <w:rPr>
          <w:noProof/>
        </w:rPr>
        <w:t>u wsparcia EUNB</w:t>
      </w:r>
      <w:r w:rsidR="0031342C" w:rsidRPr="00DF3EF6">
        <w:rPr>
          <w:noProof/>
        </w:rPr>
        <w:t xml:space="preserve"> w</w:t>
      </w:r>
      <w:r w:rsidR="0031342C">
        <w:rPr>
          <w:noProof/>
        </w:rPr>
        <w:t> </w:t>
      </w:r>
      <w:r w:rsidR="0031342C" w:rsidRPr="00DF3EF6">
        <w:rPr>
          <w:noProof/>
        </w:rPr>
        <w:t>rea</w:t>
      </w:r>
      <w:r w:rsidRPr="00DF3EF6">
        <w:rPr>
          <w:noProof/>
        </w:rPr>
        <w:t>lizacji jego zadań</w:t>
      </w:r>
      <w:r w:rsidR="0031342C" w:rsidRPr="00DF3EF6">
        <w:rPr>
          <w:noProof/>
        </w:rPr>
        <w:t xml:space="preserve"> z</w:t>
      </w:r>
      <w:r w:rsidR="0031342C">
        <w:rPr>
          <w:noProof/>
        </w:rPr>
        <w:t> </w:t>
      </w:r>
      <w:r w:rsidR="0031342C" w:rsidRPr="00DF3EF6">
        <w:rPr>
          <w:noProof/>
        </w:rPr>
        <w:t>zak</w:t>
      </w:r>
      <w:r w:rsidRPr="00DF3EF6">
        <w:rPr>
          <w:noProof/>
        </w:rPr>
        <w:t>resu nadzoru nad integralnością finansową, stabilnością</w:t>
      </w:r>
      <w:r w:rsidR="0031342C" w:rsidRPr="00DF3EF6">
        <w:rPr>
          <w:noProof/>
        </w:rPr>
        <w:t xml:space="preserve"> i</w:t>
      </w:r>
      <w:r w:rsidR="0031342C">
        <w:rPr>
          <w:noProof/>
        </w:rPr>
        <w:t> </w:t>
      </w:r>
      <w:r w:rsidR="0031342C" w:rsidRPr="00DF3EF6">
        <w:rPr>
          <w:noProof/>
        </w:rPr>
        <w:t>bez</w:t>
      </w:r>
      <w:r w:rsidRPr="00DF3EF6">
        <w:rPr>
          <w:noProof/>
        </w:rPr>
        <w:t>pieczeństwem europejskiego systemu bankowego. EUNB jest upoważniony do opracowania projektu regulacyjnych standardów technicznych dotyczących wzoru, procedur</w:t>
      </w:r>
      <w:r w:rsidR="0031342C" w:rsidRPr="00DF3EF6">
        <w:rPr>
          <w:noProof/>
        </w:rPr>
        <w:t xml:space="preserve"> i</w:t>
      </w:r>
      <w:r w:rsidR="0031342C">
        <w:rPr>
          <w:noProof/>
        </w:rPr>
        <w:t> </w:t>
      </w:r>
      <w:r w:rsidR="0031342C" w:rsidRPr="00DF3EF6">
        <w:rPr>
          <w:noProof/>
        </w:rPr>
        <w:t>tre</w:t>
      </w:r>
      <w:r w:rsidRPr="00DF3EF6">
        <w:rPr>
          <w:noProof/>
        </w:rPr>
        <w:t xml:space="preserve">ści tych informacji. </w:t>
      </w:r>
    </w:p>
    <w:p w14:paraId="254C3A82" w14:textId="08D62391" w:rsidR="00E2498C" w:rsidRPr="00DF3EF6" w:rsidRDefault="00C95CAA" w:rsidP="00E2498C">
      <w:pPr>
        <w:spacing w:after="0"/>
        <w:jc w:val="left"/>
        <w:rPr>
          <w:noProof/>
        </w:rPr>
        <w:sectPr w:rsidR="00E2498C" w:rsidRPr="00DF3EF6" w:rsidSect="008B3F9A">
          <w:footerReference w:type="default" r:id="rId14"/>
          <w:footerReference w:type="first" r:id="rId15"/>
          <w:pgSz w:w="11907" w:h="16839"/>
          <w:pgMar w:top="1134" w:right="1417" w:bottom="1134" w:left="1417" w:header="709" w:footer="709" w:gutter="0"/>
          <w:cols w:space="708"/>
          <w:docGrid w:linePitch="360"/>
        </w:sectPr>
      </w:pPr>
      <w:r w:rsidRPr="00DF3EF6">
        <w:rPr>
          <w:noProof/>
        </w:rPr>
        <w:t>Państwa członkowskie mają obowiązek transpozycji tych zmian</w:t>
      </w:r>
      <w:r w:rsidR="0031342C" w:rsidRPr="00DF3EF6">
        <w:rPr>
          <w:noProof/>
        </w:rPr>
        <w:t xml:space="preserve"> w</w:t>
      </w:r>
      <w:r w:rsidR="0031342C">
        <w:rPr>
          <w:noProof/>
        </w:rPr>
        <w:t> </w:t>
      </w:r>
      <w:r w:rsidR="0031342C" w:rsidRPr="00DF3EF6">
        <w:rPr>
          <w:noProof/>
        </w:rPr>
        <w:t>ter</w:t>
      </w:r>
      <w:r w:rsidRPr="00DF3EF6">
        <w:rPr>
          <w:noProof/>
        </w:rPr>
        <w:t>minie dwóch lat od wejścia</w:t>
      </w:r>
      <w:r w:rsidR="0031342C" w:rsidRPr="00DF3EF6">
        <w:rPr>
          <w:noProof/>
        </w:rPr>
        <w:t xml:space="preserve"> w</w:t>
      </w:r>
      <w:r w:rsidR="0031342C">
        <w:rPr>
          <w:noProof/>
        </w:rPr>
        <w:t> </w:t>
      </w:r>
      <w:r w:rsidR="0031342C" w:rsidRPr="00DF3EF6">
        <w:rPr>
          <w:noProof/>
        </w:rPr>
        <w:t>życ</w:t>
      </w:r>
      <w:r w:rsidRPr="00DF3EF6">
        <w:rPr>
          <w:noProof/>
        </w:rPr>
        <w:t>ie dyrektywy zmieniającej. Nowe przepisy dotyczące stosowania zabezpieczeń</w:t>
      </w:r>
      <w:r w:rsidR="0031342C" w:rsidRPr="00DF3EF6">
        <w:rPr>
          <w:noProof/>
        </w:rPr>
        <w:t xml:space="preserve"> w</w:t>
      </w:r>
      <w:r w:rsidR="0031342C">
        <w:rPr>
          <w:noProof/>
        </w:rPr>
        <w:t> </w:t>
      </w:r>
      <w:r w:rsidR="0031342C" w:rsidRPr="00DF3EF6">
        <w:rPr>
          <w:noProof/>
        </w:rPr>
        <w:t>zak</w:t>
      </w:r>
      <w:r w:rsidRPr="00DF3EF6">
        <w:rPr>
          <w:noProof/>
        </w:rPr>
        <w:t xml:space="preserve">resie korzystania ze środków zapobiegawczych przez systemy gwarancji depozytów na podstawie </w:t>
      </w:r>
      <w:r w:rsidRPr="0031342C">
        <w:rPr>
          <w:noProof/>
        </w:rPr>
        <w:t>art.</w:t>
      </w:r>
      <w:r w:rsidR="0031342C" w:rsidRPr="0031342C">
        <w:rPr>
          <w:noProof/>
        </w:rPr>
        <w:t> </w:t>
      </w:r>
      <w:r w:rsidRPr="0031342C">
        <w:rPr>
          <w:noProof/>
        </w:rPr>
        <w:t>1</w:t>
      </w:r>
      <w:r w:rsidRPr="00DF3EF6">
        <w:rPr>
          <w:noProof/>
        </w:rPr>
        <w:t>1a nakładają wymóg zmian organizacyjnych</w:t>
      </w:r>
      <w:r w:rsidR="0031342C" w:rsidRPr="00DF3EF6">
        <w:rPr>
          <w:noProof/>
        </w:rPr>
        <w:t xml:space="preserve"> i</w:t>
      </w:r>
      <w:r w:rsidR="0031342C">
        <w:rPr>
          <w:noProof/>
        </w:rPr>
        <w:t> </w:t>
      </w:r>
      <w:r w:rsidR="0031342C" w:rsidRPr="00DF3EF6">
        <w:rPr>
          <w:noProof/>
        </w:rPr>
        <w:t>sto</w:t>
      </w:r>
      <w:r w:rsidRPr="00DF3EF6">
        <w:rPr>
          <w:noProof/>
        </w:rPr>
        <w:t>pniowego budowania zdolności operacyjnych przez systemy gwarancji depozytów</w:t>
      </w:r>
      <w:r w:rsidR="0031342C" w:rsidRPr="00DF3EF6">
        <w:rPr>
          <w:noProof/>
        </w:rPr>
        <w:t xml:space="preserve"> i</w:t>
      </w:r>
      <w:r w:rsidR="0031342C">
        <w:rPr>
          <w:noProof/>
        </w:rPr>
        <w:t> </w:t>
      </w:r>
      <w:r w:rsidR="0031342C" w:rsidRPr="00DF3EF6">
        <w:rPr>
          <w:noProof/>
        </w:rPr>
        <w:t>wyz</w:t>
      </w:r>
      <w:r w:rsidRPr="00DF3EF6">
        <w:rPr>
          <w:noProof/>
        </w:rPr>
        <w:t>naczone organy, co uzasadnia dłuższy okres wdrażania. Biorąc pod uwagę specyfikę instytucjonalnych systemów ochrony, które zostały uznane za system gwarancji depozytów, wskazany okres wdrażania może zostać dodatkowo przedłużony.</w:t>
      </w:r>
    </w:p>
    <w:p w14:paraId="79344DA9" w14:textId="3821364F" w:rsidR="00DF5E00" w:rsidRPr="00DF3EF6" w:rsidRDefault="00104F3F" w:rsidP="00104F3F">
      <w:pPr>
        <w:pStyle w:val="Rfrenceinterinstitutionnelle"/>
        <w:rPr>
          <w:noProof/>
        </w:rPr>
      </w:pPr>
      <w:r w:rsidRPr="00104F3F">
        <w:lastRenderedPageBreak/>
        <w:t>2023/0115 (COD)</w:t>
      </w:r>
    </w:p>
    <w:p w14:paraId="669452E4" w14:textId="4079A79D" w:rsidR="009065BF" w:rsidRPr="00DF3EF6" w:rsidRDefault="0031342C" w:rsidP="0031342C">
      <w:pPr>
        <w:pStyle w:val="Statut"/>
        <w:rPr>
          <w:noProof/>
        </w:rPr>
      </w:pPr>
      <w:r w:rsidRPr="0031342C">
        <w:rPr>
          <w:noProof/>
        </w:rPr>
        <w:t>Wniosek</w:t>
      </w:r>
    </w:p>
    <w:p w14:paraId="633CD077" w14:textId="6415DD55" w:rsidR="009065BF" w:rsidRPr="00DF3EF6" w:rsidRDefault="0031342C" w:rsidP="0031342C">
      <w:pPr>
        <w:pStyle w:val="Typedudocument"/>
        <w:rPr>
          <w:noProof/>
        </w:rPr>
      </w:pPr>
      <w:r w:rsidRPr="0031342C">
        <w:rPr>
          <w:noProof/>
        </w:rPr>
        <w:t>DYREKTYWA PARLAMENTU EUROPEJSKIEGO I RADY</w:t>
      </w:r>
    </w:p>
    <w:p w14:paraId="2F1644B1" w14:textId="5FCE5C31" w:rsidR="009065BF" w:rsidRPr="00DF3EF6" w:rsidRDefault="0031342C" w:rsidP="0031342C">
      <w:pPr>
        <w:pStyle w:val="Titreobjet"/>
        <w:rPr>
          <w:noProof/>
        </w:rPr>
      </w:pPr>
      <w:r w:rsidRPr="0031342C">
        <w:rPr>
          <w:noProof/>
        </w:rPr>
        <w:t>zmieniająca dyrektywę 2014/49/UE w odniesieniu do zakresu ochrony depozytów, wykorzystywania środków z systemów gwarancji depozytów, współpracy transgranicznej i przejrzystości</w:t>
      </w:r>
    </w:p>
    <w:p w14:paraId="0455FD84" w14:textId="27B64E1F" w:rsidR="00C42CAB" w:rsidRPr="00DF3EF6" w:rsidRDefault="0031342C" w:rsidP="0031342C">
      <w:pPr>
        <w:pStyle w:val="IntrtEEE"/>
        <w:rPr>
          <w:noProof/>
        </w:rPr>
      </w:pPr>
      <w:r w:rsidRPr="0031342C">
        <w:rPr>
          <w:noProof/>
        </w:rPr>
        <w:t>(Tekst mający znaczenie dla EOG)</w:t>
      </w:r>
    </w:p>
    <w:p w14:paraId="71EB61CE" w14:textId="77777777" w:rsidR="009065BF" w:rsidRPr="00DF3EF6" w:rsidRDefault="009065BF" w:rsidP="007D1582">
      <w:pPr>
        <w:pStyle w:val="Institutionquiagit"/>
        <w:rPr>
          <w:noProof/>
        </w:rPr>
      </w:pPr>
      <w:r w:rsidRPr="00DF3EF6">
        <w:rPr>
          <w:noProof/>
        </w:rPr>
        <w:t>PARLAMENT EUROPEJSKI I RADA UNII EUROPEJSKIEJ,</w:t>
      </w:r>
    </w:p>
    <w:p w14:paraId="6E140628" w14:textId="5225DC80" w:rsidR="009065BF" w:rsidRPr="00DF3EF6" w:rsidRDefault="009065BF" w:rsidP="007D1582">
      <w:pPr>
        <w:rPr>
          <w:noProof/>
        </w:rPr>
      </w:pPr>
      <w:r w:rsidRPr="00DF3EF6">
        <w:rPr>
          <w:noProof/>
        </w:rPr>
        <w:t>uwzględniając Traktat</w:t>
      </w:r>
      <w:r w:rsidR="0031342C" w:rsidRPr="00DF3EF6">
        <w:rPr>
          <w:noProof/>
        </w:rPr>
        <w:t xml:space="preserve"> o</w:t>
      </w:r>
      <w:r w:rsidR="0031342C">
        <w:rPr>
          <w:noProof/>
        </w:rPr>
        <w:t> </w:t>
      </w:r>
      <w:r w:rsidR="0031342C" w:rsidRPr="00DF3EF6">
        <w:rPr>
          <w:noProof/>
        </w:rPr>
        <w:t>fun</w:t>
      </w:r>
      <w:r w:rsidRPr="00DF3EF6">
        <w:rPr>
          <w:noProof/>
        </w:rPr>
        <w:t>kcjonowaniu Unii Europejskiej,</w:t>
      </w:r>
      <w:r w:rsidR="0031342C" w:rsidRPr="00DF3EF6">
        <w:rPr>
          <w:noProof/>
        </w:rPr>
        <w:t xml:space="preserve"> w</w:t>
      </w:r>
      <w:r w:rsidR="0031342C">
        <w:rPr>
          <w:noProof/>
        </w:rPr>
        <w:t> </w:t>
      </w:r>
      <w:r w:rsidR="0031342C" w:rsidRPr="00DF3EF6">
        <w:rPr>
          <w:noProof/>
        </w:rPr>
        <w:t>szc</w:t>
      </w:r>
      <w:r w:rsidRPr="00DF3EF6">
        <w:rPr>
          <w:noProof/>
        </w:rPr>
        <w:t xml:space="preserve">zególności jego </w:t>
      </w:r>
      <w:r w:rsidRPr="0031342C">
        <w:rPr>
          <w:noProof/>
        </w:rPr>
        <w:t>art.</w:t>
      </w:r>
      <w:r w:rsidR="0031342C" w:rsidRPr="0031342C">
        <w:rPr>
          <w:noProof/>
        </w:rPr>
        <w:t> </w:t>
      </w:r>
      <w:r w:rsidRPr="0031342C">
        <w:rPr>
          <w:noProof/>
        </w:rPr>
        <w:t>5</w:t>
      </w:r>
      <w:r w:rsidRPr="00DF3EF6">
        <w:rPr>
          <w:noProof/>
        </w:rPr>
        <w:t xml:space="preserve">3 </w:t>
      </w:r>
      <w:r w:rsidRPr="0031342C">
        <w:rPr>
          <w:noProof/>
        </w:rPr>
        <w:t>ust.</w:t>
      </w:r>
      <w:r w:rsidR="0031342C" w:rsidRPr="0031342C">
        <w:rPr>
          <w:noProof/>
        </w:rPr>
        <w:t> </w:t>
      </w:r>
      <w:r w:rsidRPr="0031342C">
        <w:rPr>
          <w:noProof/>
        </w:rPr>
        <w:t>1</w:t>
      </w:r>
      <w:r w:rsidRPr="00DF3EF6">
        <w:rPr>
          <w:noProof/>
        </w:rPr>
        <w:t>,</w:t>
      </w:r>
    </w:p>
    <w:p w14:paraId="113D2325" w14:textId="77777777" w:rsidR="009065BF" w:rsidRPr="00DF3EF6" w:rsidRDefault="009065BF" w:rsidP="007D1582">
      <w:pPr>
        <w:rPr>
          <w:noProof/>
        </w:rPr>
      </w:pPr>
      <w:r w:rsidRPr="00DF3EF6">
        <w:rPr>
          <w:noProof/>
        </w:rPr>
        <w:t>uwzględniając wniosek Komisji Europejskiej,</w:t>
      </w:r>
    </w:p>
    <w:p w14:paraId="717A0A98" w14:textId="77777777" w:rsidR="009065BF" w:rsidRPr="00DF3EF6" w:rsidRDefault="009065BF" w:rsidP="007D1582">
      <w:pPr>
        <w:rPr>
          <w:noProof/>
        </w:rPr>
      </w:pPr>
      <w:r w:rsidRPr="00DF3EF6">
        <w:rPr>
          <w:noProof/>
        </w:rPr>
        <w:t>po przekazaniu projektu aktu ustawodawczego parlamentom narodowym,</w:t>
      </w:r>
    </w:p>
    <w:p w14:paraId="71F56659" w14:textId="77777777" w:rsidR="009065BF" w:rsidRPr="00DF3EF6" w:rsidRDefault="009065BF" w:rsidP="007D1582">
      <w:pPr>
        <w:rPr>
          <w:noProof/>
        </w:rPr>
      </w:pPr>
      <w:r w:rsidRPr="00DF3EF6">
        <w:rPr>
          <w:noProof/>
        </w:rPr>
        <w:t>uwzględniając opinię Europejskiego Komitetu Ekonomiczno-Społecznego</w:t>
      </w:r>
      <w:r w:rsidRPr="00DF3EF6">
        <w:rPr>
          <w:rStyle w:val="FootnoteReference"/>
          <w:noProof/>
        </w:rPr>
        <w:footnoteReference w:id="34"/>
      </w:r>
      <w:r w:rsidRPr="00DF3EF6">
        <w:rPr>
          <w:noProof/>
        </w:rPr>
        <w:t xml:space="preserve">, </w:t>
      </w:r>
    </w:p>
    <w:p w14:paraId="6E644B5B" w14:textId="77777777" w:rsidR="009065BF" w:rsidRPr="00DF3EF6" w:rsidRDefault="009065BF" w:rsidP="007D1582">
      <w:pPr>
        <w:rPr>
          <w:noProof/>
        </w:rPr>
      </w:pPr>
      <w:r w:rsidRPr="00DF3EF6">
        <w:rPr>
          <w:noProof/>
        </w:rPr>
        <w:t>uwzględniając opinię Komitetu Regionów</w:t>
      </w:r>
      <w:r w:rsidRPr="00DF3EF6">
        <w:rPr>
          <w:rStyle w:val="FootnoteReference"/>
          <w:noProof/>
        </w:rPr>
        <w:footnoteReference w:id="35"/>
      </w:r>
      <w:r w:rsidRPr="00DF3EF6">
        <w:rPr>
          <w:noProof/>
        </w:rPr>
        <w:t xml:space="preserve">, </w:t>
      </w:r>
    </w:p>
    <w:p w14:paraId="18ABD8F9" w14:textId="77777777" w:rsidR="00FD2EED" w:rsidRPr="00DF3EF6" w:rsidRDefault="00FD2EED" w:rsidP="007D1582">
      <w:pPr>
        <w:rPr>
          <w:noProof/>
        </w:rPr>
      </w:pPr>
      <w:r w:rsidRPr="00DF3EF6">
        <w:rPr>
          <w:noProof/>
        </w:rPr>
        <w:t>uwzględniając opinię Europejskiego Banku Centralnego</w:t>
      </w:r>
      <w:r w:rsidRPr="00DF3EF6">
        <w:rPr>
          <w:rStyle w:val="FootnoteReference"/>
          <w:noProof/>
        </w:rPr>
        <w:footnoteReference w:id="36"/>
      </w:r>
      <w:r w:rsidRPr="00DF3EF6">
        <w:rPr>
          <w:noProof/>
        </w:rPr>
        <w:t>,</w:t>
      </w:r>
    </w:p>
    <w:p w14:paraId="13AF8620" w14:textId="77777777" w:rsidR="009065BF" w:rsidRPr="00DF3EF6" w:rsidRDefault="009065BF" w:rsidP="007D1582">
      <w:pPr>
        <w:rPr>
          <w:noProof/>
        </w:rPr>
      </w:pPr>
      <w:r w:rsidRPr="00DF3EF6">
        <w:rPr>
          <w:noProof/>
        </w:rPr>
        <w:t>stanowiąc zgodnie ze zwykłą procedurą ustawodawczą,</w:t>
      </w:r>
    </w:p>
    <w:p w14:paraId="4FB93FE8" w14:textId="77777777" w:rsidR="009065BF" w:rsidRPr="00DF3EF6" w:rsidRDefault="009065BF" w:rsidP="007D1582">
      <w:pPr>
        <w:rPr>
          <w:noProof/>
        </w:rPr>
      </w:pPr>
      <w:r w:rsidRPr="00DF3EF6">
        <w:rPr>
          <w:noProof/>
        </w:rPr>
        <w:t>a także mając na uwadze, co następuje:</w:t>
      </w:r>
    </w:p>
    <w:p w14:paraId="10D58FA9" w14:textId="00E8C602" w:rsidR="009065BF" w:rsidRPr="00DF3EF6" w:rsidRDefault="00322779" w:rsidP="00322779">
      <w:pPr>
        <w:pStyle w:val="ManualConsidrant"/>
        <w:rPr>
          <w:noProof/>
        </w:rPr>
      </w:pPr>
      <w:r w:rsidRPr="00322779">
        <w:t>(1)</w:t>
      </w:r>
      <w:r w:rsidRPr="00322779">
        <w:tab/>
      </w:r>
      <w:r w:rsidR="00FD2EED" w:rsidRPr="00DF3EF6">
        <w:rPr>
          <w:noProof/>
        </w:rPr>
        <w:t>Zgodnie</w:t>
      </w:r>
      <w:r w:rsidR="0031342C" w:rsidRPr="00DF3EF6">
        <w:rPr>
          <w:noProof/>
        </w:rPr>
        <w:t xml:space="preserve"> z</w:t>
      </w:r>
      <w:r w:rsidR="0031342C">
        <w:rPr>
          <w:noProof/>
        </w:rPr>
        <w:t> </w:t>
      </w:r>
      <w:r w:rsidR="0031342C" w:rsidRPr="0031342C">
        <w:rPr>
          <w:noProof/>
        </w:rPr>
        <w:t>art</w:t>
      </w:r>
      <w:r w:rsidR="00FD2EED" w:rsidRPr="0031342C">
        <w:rPr>
          <w:noProof/>
        </w:rPr>
        <w:t>.</w:t>
      </w:r>
      <w:r w:rsidR="0031342C" w:rsidRPr="0031342C">
        <w:rPr>
          <w:noProof/>
        </w:rPr>
        <w:t> </w:t>
      </w:r>
      <w:r w:rsidR="00FD2EED" w:rsidRPr="0031342C">
        <w:rPr>
          <w:noProof/>
        </w:rPr>
        <w:t>1</w:t>
      </w:r>
      <w:r w:rsidR="00FD2EED" w:rsidRPr="00DF3EF6">
        <w:rPr>
          <w:noProof/>
        </w:rPr>
        <w:t xml:space="preserve">9 </w:t>
      </w:r>
      <w:r w:rsidR="00FD2EED" w:rsidRPr="0031342C">
        <w:rPr>
          <w:noProof/>
        </w:rPr>
        <w:t>ust.</w:t>
      </w:r>
      <w:r w:rsidR="0031342C" w:rsidRPr="0031342C">
        <w:rPr>
          <w:noProof/>
        </w:rPr>
        <w:t> </w:t>
      </w:r>
      <w:r w:rsidR="00FD2EED" w:rsidRPr="0031342C">
        <w:rPr>
          <w:noProof/>
        </w:rPr>
        <w:t>5</w:t>
      </w:r>
      <w:r w:rsidR="0031342C" w:rsidRPr="00DF3EF6">
        <w:rPr>
          <w:noProof/>
        </w:rPr>
        <w:t xml:space="preserve"> i</w:t>
      </w:r>
      <w:r w:rsidR="0031342C">
        <w:rPr>
          <w:noProof/>
        </w:rPr>
        <w:t> </w:t>
      </w:r>
      <w:r w:rsidR="0031342C" w:rsidRPr="00DF3EF6">
        <w:rPr>
          <w:noProof/>
        </w:rPr>
        <w:t>6</w:t>
      </w:r>
      <w:r w:rsidR="00FD2EED" w:rsidRPr="00DF3EF6">
        <w:rPr>
          <w:noProof/>
        </w:rPr>
        <w:t xml:space="preserve"> dyrektywy Parlamentu Europejskiego</w:t>
      </w:r>
      <w:r w:rsidR="0031342C" w:rsidRPr="00DF3EF6">
        <w:rPr>
          <w:noProof/>
        </w:rPr>
        <w:t xml:space="preserve"> i</w:t>
      </w:r>
      <w:r w:rsidR="0031342C">
        <w:rPr>
          <w:noProof/>
        </w:rPr>
        <w:t> </w:t>
      </w:r>
      <w:r w:rsidR="0031342C" w:rsidRPr="00DF3EF6">
        <w:rPr>
          <w:noProof/>
        </w:rPr>
        <w:t>Rad</w:t>
      </w:r>
      <w:r w:rsidR="00FD2EED" w:rsidRPr="00DF3EF6">
        <w:rPr>
          <w:noProof/>
        </w:rPr>
        <w:t>y 2014/49/UE</w:t>
      </w:r>
      <w:r w:rsidR="00FD2EED" w:rsidRPr="00DF3EF6">
        <w:rPr>
          <w:rStyle w:val="FootnoteReference"/>
          <w:noProof/>
        </w:rPr>
        <w:footnoteReference w:id="37"/>
      </w:r>
      <w:r w:rsidR="00FD2EED" w:rsidRPr="00DF3EF6">
        <w:rPr>
          <w:noProof/>
        </w:rPr>
        <w:t xml:space="preserve"> Komisja dokonała przeglądu stosowania</w:t>
      </w:r>
      <w:r w:rsidR="0031342C" w:rsidRPr="00DF3EF6">
        <w:rPr>
          <w:noProof/>
        </w:rPr>
        <w:t xml:space="preserve"> i</w:t>
      </w:r>
      <w:r w:rsidR="0031342C">
        <w:rPr>
          <w:noProof/>
        </w:rPr>
        <w:t> </w:t>
      </w:r>
      <w:r w:rsidR="0031342C" w:rsidRPr="00DF3EF6">
        <w:rPr>
          <w:noProof/>
        </w:rPr>
        <w:t>zak</w:t>
      </w:r>
      <w:r w:rsidR="00FD2EED" w:rsidRPr="00DF3EF6">
        <w:rPr>
          <w:noProof/>
        </w:rPr>
        <w:t>resu tej dyrektywy</w:t>
      </w:r>
      <w:r w:rsidR="0031342C" w:rsidRPr="00DF3EF6">
        <w:rPr>
          <w:noProof/>
        </w:rPr>
        <w:t xml:space="preserve"> i</w:t>
      </w:r>
      <w:r w:rsidR="0031342C">
        <w:rPr>
          <w:noProof/>
        </w:rPr>
        <w:t> </w:t>
      </w:r>
      <w:r w:rsidR="0031342C" w:rsidRPr="00DF3EF6">
        <w:rPr>
          <w:noProof/>
        </w:rPr>
        <w:t>stw</w:t>
      </w:r>
      <w:r w:rsidR="00FD2EED" w:rsidRPr="00DF3EF6">
        <w:rPr>
          <w:noProof/>
        </w:rPr>
        <w:t>ierdziła, że cel, jakim jest ochrona deponentów</w:t>
      </w:r>
      <w:r w:rsidR="0031342C" w:rsidRPr="00DF3EF6">
        <w:rPr>
          <w:noProof/>
        </w:rPr>
        <w:t xml:space="preserve"> w</w:t>
      </w:r>
      <w:r w:rsidR="0031342C">
        <w:rPr>
          <w:noProof/>
        </w:rPr>
        <w:t> </w:t>
      </w:r>
      <w:r w:rsidR="0031342C" w:rsidRPr="00DF3EF6">
        <w:rPr>
          <w:noProof/>
        </w:rPr>
        <w:t>Uni</w:t>
      </w:r>
      <w:r w:rsidR="00FD2EED" w:rsidRPr="00DF3EF6">
        <w:rPr>
          <w:noProof/>
        </w:rPr>
        <w:t>i</w:t>
      </w:r>
      <w:r w:rsidR="0031342C" w:rsidRPr="00DF3EF6">
        <w:rPr>
          <w:noProof/>
        </w:rPr>
        <w:t xml:space="preserve"> w</w:t>
      </w:r>
      <w:r w:rsidR="0031342C">
        <w:rPr>
          <w:noProof/>
        </w:rPr>
        <w:t> </w:t>
      </w:r>
      <w:r w:rsidR="0031342C" w:rsidRPr="00DF3EF6">
        <w:rPr>
          <w:noProof/>
        </w:rPr>
        <w:t>dro</w:t>
      </w:r>
      <w:r w:rsidR="00FD2EED" w:rsidRPr="00DF3EF6">
        <w:rPr>
          <w:noProof/>
        </w:rPr>
        <w:t>dze ustanowienia systemów gwarancji depozytów, został</w:t>
      </w:r>
      <w:r w:rsidR="0031342C" w:rsidRPr="00DF3EF6">
        <w:rPr>
          <w:noProof/>
        </w:rPr>
        <w:t xml:space="preserve"> w</w:t>
      </w:r>
      <w:r w:rsidR="0031342C">
        <w:rPr>
          <w:noProof/>
        </w:rPr>
        <w:t> </w:t>
      </w:r>
      <w:r w:rsidR="0031342C" w:rsidRPr="00DF3EF6">
        <w:rPr>
          <w:noProof/>
        </w:rPr>
        <w:t>zna</w:t>
      </w:r>
      <w:r w:rsidR="00FD2EED" w:rsidRPr="00DF3EF6">
        <w:rPr>
          <w:noProof/>
        </w:rPr>
        <w:t>cznej mierze osiągnięty. Komisja stwierdziła jednak również, że istnieje potrzeba wypełnienia pozostałych luk</w:t>
      </w:r>
      <w:r w:rsidR="0031342C" w:rsidRPr="00DF3EF6">
        <w:rPr>
          <w:noProof/>
        </w:rPr>
        <w:t xml:space="preserve"> w</w:t>
      </w:r>
      <w:r w:rsidR="0031342C">
        <w:rPr>
          <w:noProof/>
        </w:rPr>
        <w:t> </w:t>
      </w:r>
      <w:r w:rsidR="0031342C" w:rsidRPr="00DF3EF6">
        <w:rPr>
          <w:noProof/>
        </w:rPr>
        <w:t>och</w:t>
      </w:r>
      <w:r w:rsidR="00FD2EED" w:rsidRPr="00DF3EF6">
        <w:rPr>
          <w:noProof/>
        </w:rPr>
        <w:t>ronie deponentów oraz usprawnienia funkcjonowania systemów gwarancji depozytów przy jednoczesnej harmonizacji przepisów dotyczących interwencji systemów gwarancji depozytów</w:t>
      </w:r>
      <w:r w:rsidR="0031342C" w:rsidRPr="00DF3EF6">
        <w:rPr>
          <w:noProof/>
        </w:rPr>
        <w:t xml:space="preserve"> w</w:t>
      </w:r>
      <w:r w:rsidR="0031342C">
        <w:rPr>
          <w:noProof/>
        </w:rPr>
        <w:t> </w:t>
      </w:r>
      <w:r w:rsidR="0031342C" w:rsidRPr="00DF3EF6">
        <w:rPr>
          <w:noProof/>
        </w:rPr>
        <w:t>inn</w:t>
      </w:r>
      <w:r w:rsidR="00FD2EED" w:rsidRPr="00DF3EF6">
        <w:rPr>
          <w:noProof/>
        </w:rPr>
        <w:t>ych przypadkach niż procedury wypłaty.</w:t>
      </w:r>
    </w:p>
    <w:p w14:paraId="6BF4FAD8" w14:textId="471161FB" w:rsidR="00FD2EED" w:rsidRPr="00DF3EF6" w:rsidRDefault="00322779" w:rsidP="00322779">
      <w:pPr>
        <w:pStyle w:val="ManualConsidrant"/>
        <w:rPr>
          <w:noProof/>
        </w:rPr>
      </w:pPr>
      <w:bookmarkStart w:id="7" w:name="_Hlk127200842"/>
      <w:r w:rsidRPr="00322779">
        <w:t>(2)</w:t>
      </w:r>
      <w:r w:rsidRPr="00322779">
        <w:tab/>
      </w:r>
      <w:r w:rsidR="05220DCA" w:rsidRPr="00DF3EF6">
        <w:rPr>
          <w:noProof/>
        </w:rPr>
        <w:t>Niewywiązanie się</w:t>
      </w:r>
      <w:r w:rsidR="0031342C" w:rsidRPr="00DF3EF6">
        <w:rPr>
          <w:noProof/>
        </w:rPr>
        <w:t xml:space="preserve"> z</w:t>
      </w:r>
      <w:r w:rsidR="0031342C">
        <w:rPr>
          <w:noProof/>
        </w:rPr>
        <w:t> </w:t>
      </w:r>
      <w:r w:rsidR="0031342C" w:rsidRPr="00DF3EF6">
        <w:rPr>
          <w:noProof/>
        </w:rPr>
        <w:t>obo</w:t>
      </w:r>
      <w:r w:rsidR="05220DCA" w:rsidRPr="00DF3EF6">
        <w:rPr>
          <w:noProof/>
        </w:rPr>
        <w:t>wiązków zapłaty składek na rzecz systemów gwarancji depozytów lub nieudostępnienie informacji deponentom</w:t>
      </w:r>
      <w:r w:rsidR="0031342C" w:rsidRPr="00DF3EF6">
        <w:rPr>
          <w:noProof/>
        </w:rPr>
        <w:t xml:space="preserve"> i</w:t>
      </w:r>
      <w:r w:rsidR="0031342C">
        <w:rPr>
          <w:noProof/>
        </w:rPr>
        <w:t> </w:t>
      </w:r>
      <w:r w:rsidR="0031342C" w:rsidRPr="00DF3EF6">
        <w:rPr>
          <w:noProof/>
        </w:rPr>
        <w:t>sys</w:t>
      </w:r>
      <w:r w:rsidR="05220DCA" w:rsidRPr="00DF3EF6">
        <w:rPr>
          <w:noProof/>
        </w:rPr>
        <w:t xml:space="preserve">temom gwarancji depozytów mogłoby zagrozić osiągnięciu celu, jakim jest ochrona deponentów. </w:t>
      </w:r>
      <w:bookmarkEnd w:id="7"/>
      <w:r w:rsidR="05220DCA" w:rsidRPr="00DF3EF6">
        <w:rPr>
          <w:noProof/>
        </w:rPr>
        <w:t>Systemy gwarancji depozytów lub –</w:t>
      </w:r>
      <w:r w:rsidR="0031342C" w:rsidRPr="00DF3EF6">
        <w:rPr>
          <w:noProof/>
        </w:rPr>
        <w:t xml:space="preserve"> w</w:t>
      </w:r>
      <w:r w:rsidR="0031342C">
        <w:rPr>
          <w:noProof/>
        </w:rPr>
        <w:t> </w:t>
      </w:r>
      <w:r w:rsidR="0031342C" w:rsidRPr="00DF3EF6">
        <w:rPr>
          <w:noProof/>
        </w:rPr>
        <w:t>sto</w:t>
      </w:r>
      <w:r w:rsidR="05220DCA" w:rsidRPr="00DF3EF6">
        <w:rPr>
          <w:noProof/>
        </w:rPr>
        <w:t>sownych przypadkach – wyznaczone organy mogą nakładać kary pieniężne za opóźnienie</w:t>
      </w:r>
      <w:r w:rsidR="0031342C" w:rsidRPr="00DF3EF6">
        <w:rPr>
          <w:noProof/>
        </w:rPr>
        <w:t xml:space="preserve"> w</w:t>
      </w:r>
      <w:r w:rsidR="0031342C">
        <w:rPr>
          <w:noProof/>
        </w:rPr>
        <w:t> </w:t>
      </w:r>
      <w:r w:rsidR="0031342C" w:rsidRPr="00DF3EF6">
        <w:rPr>
          <w:noProof/>
        </w:rPr>
        <w:t>pła</w:t>
      </w:r>
      <w:r w:rsidR="05220DCA" w:rsidRPr="00DF3EF6">
        <w:rPr>
          <w:noProof/>
        </w:rPr>
        <w:t>tnościach składek. Istotne znaczenie ma poprawa koordynacji między systemami gwarancji depozytów oraz wyznaczonymi</w:t>
      </w:r>
      <w:r w:rsidR="0031342C" w:rsidRPr="00DF3EF6">
        <w:rPr>
          <w:noProof/>
        </w:rPr>
        <w:t xml:space="preserve"> i</w:t>
      </w:r>
      <w:r w:rsidR="0031342C">
        <w:rPr>
          <w:noProof/>
        </w:rPr>
        <w:t> </w:t>
      </w:r>
      <w:r w:rsidR="0031342C" w:rsidRPr="00DF3EF6">
        <w:rPr>
          <w:noProof/>
        </w:rPr>
        <w:t>wła</w:t>
      </w:r>
      <w:r w:rsidR="05220DCA" w:rsidRPr="00DF3EF6">
        <w:rPr>
          <w:noProof/>
        </w:rPr>
        <w:t>ściwymi organami</w:t>
      </w:r>
      <w:r w:rsidR="0031342C" w:rsidRPr="00DF3EF6">
        <w:rPr>
          <w:noProof/>
        </w:rPr>
        <w:t xml:space="preserve"> w</w:t>
      </w:r>
      <w:r w:rsidR="0031342C">
        <w:rPr>
          <w:noProof/>
        </w:rPr>
        <w:t> </w:t>
      </w:r>
      <w:r w:rsidR="0031342C" w:rsidRPr="00DF3EF6">
        <w:rPr>
          <w:noProof/>
        </w:rPr>
        <w:t>cel</w:t>
      </w:r>
      <w:r w:rsidR="05220DCA" w:rsidRPr="00DF3EF6">
        <w:rPr>
          <w:noProof/>
        </w:rPr>
        <w:t>u podejmowania działań</w:t>
      </w:r>
      <w:r w:rsidR="0031342C" w:rsidRPr="00DF3EF6">
        <w:rPr>
          <w:noProof/>
        </w:rPr>
        <w:t xml:space="preserve"> w</w:t>
      </w:r>
      <w:r w:rsidR="0031342C">
        <w:rPr>
          <w:noProof/>
        </w:rPr>
        <w:t> </w:t>
      </w:r>
      <w:r w:rsidR="0031342C" w:rsidRPr="00DF3EF6">
        <w:rPr>
          <w:noProof/>
        </w:rPr>
        <w:t>zak</w:t>
      </w:r>
      <w:r w:rsidR="05220DCA" w:rsidRPr="00DF3EF6">
        <w:rPr>
          <w:noProof/>
        </w:rPr>
        <w:t xml:space="preserve">resie egzekwowania prawa wobec instytucji kredytowej, która nie wywiązuje się ze swoich zobowiązań. </w:t>
      </w:r>
      <w:bookmarkStart w:id="8" w:name="_Hlk127201032"/>
      <w:r w:rsidR="05220DCA" w:rsidRPr="00DF3EF6">
        <w:rPr>
          <w:noProof/>
        </w:rPr>
        <w:lastRenderedPageBreak/>
        <w:t>Jakkolwiek stosowanie przez właściwe organy środków nadzorczych</w:t>
      </w:r>
      <w:r w:rsidR="0031342C" w:rsidRPr="00DF3EF6">
        <w:rPr>
          <w:noProof/>
        </w:rPr>
        <w:t xml:space="preserve"> i</w:t>
      </w:r>
      <w:r w:rsidR="0031342C">
        <w:rPr>
          <w:noProof/>
        </w:rPr>
        <w:t> </w:t>
      </w:r>
      <w:r w:rsidR="0031342C" w:rsidRPr="00DF3EF6">
        <w:rPr>
          <w:noProof/>
        </w:rPr>
        <w:t>śro</w:t>
      </w:r>
      <w:r w:rsidR="05220DCA" w:rsidRPr="00DF3EF6">
        <w:rPr>
          <w:noProof/>
        </w:rPr>
        <w:t>dków egzekwowania prawa wobec instytucji kredytowych jest regulowane prawem krajowym oraz dyrektywą Parlamentu Europejskiego</w:t>
      </w:r>
      <w:r w:rsidR="0031342C" w:rsidRPr="00DF3EF6">
        <w:rPr>
          <w:noProof/>
        </w:rPr>
        <w:t xml:space="preserve"> i</w:t>
      </w:r>
      <w:r w:rsidR="0031342C">
        <w:rPr>
          <w:noProof/>
        </w:rPr>
        <w:t> </w:t>
      </w:r>
      <w:r w:rsidR="0031342C" w:rsidRPr="00DF3EF6">
        <w:rPr>
          <w:noProof/>
        </w:rPr>
        <w:t>Rad</w:t>
      </w:r>
      <w:r w:rsidR="05220DCA" w:rsidRPr="00DF3EF6">
        <w:rPr>
          <w:noProof/>
        </w:rPr>
        <w:t>y 2013/36/UE</w:t>
      </w:r>
      <w:r w:rsidR="05220DCA" w:rsidRPr="00DF3EF6">
        <w:rPr>
          <w:rStyle w:val="FootnoteReference"/>
          <w:noProof/>
        </w:rPr>
        <w:footnoteReference w:id="38"/>
      </w:r>
      <w:r w:rsidR="05220DCA" w:rsidRPr="00DF3EF6">
        <w:rPr>
          <w:noProof/>
        </w:rPr>
        <w:t>, niezbędne jest zapewnienie, aby wyznaczone organy terminowo informowały właściwe organy</w:t>
      </w:r>
      <w:r w:rsidR="0031342C" w:rsidRPr="00DF3EF6">
        <w:rPr>
          <w:noProof/>
        </w:rPr>
        <w:t xml:space="preserve"> o</w:t>
      </w:r>
      <w:r w:rsidR="0031342C">
        <w:rPr>
          <w:noProof/>
        </w:rPr>
        <w:t> </w:t>
      </w:r>
      <w:r w:rsidR="0031342C" w:rsidRPr="00DF3EF6">
        <w:rPr>
          <w:noProof/>
        </w:rPr>
        <w:t>wsz</w:t>
      </w:r>
      <w:r w:rsidR="05220DCA" w:rsidRPr="00DF3EF6">
        <w:rPr>
          <w:noProof/>
        </w:rPr>
        <w:t>elkich naruszeniach obowiązków spoczywających na instytucjach kredytowych nałożonych na mocy przepisów</w:t>
      </w:r>
      <w:r w:rsidR="0031342C" w:rsidRPr="00DF3EF6">
        <w:rPr>
          <w:noProof/>
        </w:rPr>
        <w:t xml:space="preserve"> o</w:t>
      </w:r>
      <w:r w:rsidR="0031342C">
        <w:rPr>
          <w:noProof/>
        </w:rPr>
        <w:t> </w:t>
      </w:r>
      <w:r w:rsidR="0031342C" w:rsidRPr="00DF3EF6">
        <w:rPr>
          <w:noProof/>
        </w:rPr>
        <w:t>och</w:t>
      </w:r>
      <w:r w:rsidR="05220DCA" w:rsidRPr="00DF3EF6">
        <w:rPr>
          <w:noProof/>
        </w:rPr>
        <w:t>ronie depozytów.</w:t>
      </w:r>
      <w:bookmarkEnd w:id="8"/>
    </w:p>
    <w:p w14:paraId="30481001" w14:textId="4DAED43F" w:rsidR="00600816" w:rsidRPr="00DF3EF6" w:rsidRDefault="00322779" w:rsidP="00322779">
      <w:pPr>
        <w:pStyle w:val="ManualConsidrant"/>
        <w:rPr>
          <w:noProof/>
        </w:rPr>
      </w:pPr>
      <w:bookmarkStart w:id="9" w:name="_Hlk127906132"/>
      <w:r w:rsidRPr="00322779">
        <w:t>(3)</w:t>
      </w:r>
      <w:r w:rsidRPr="00322779">
        <w:tab/>
      </w:r>
      <w:r w:rsidR="7DFEEEF1" w:rsidRPr="00DF3EF6">
        <w:rPr>
          <w:noProof/>
        </w:rPr>
        <w:t>W celu wsparcia dalszej konwergencji praktyk systemów gwarancji depozytów oraz udzielania systemom gwarancji depozytów pomocy</w:t>
      </w:r>
      <w:r w:rsidR="0031342C" w:rsidRPr="00DF3EF6">
        <w:rPr>
          <w:noProof/>
        </w:rPr>
        <w:t xml:space="preserve"> w</w:t>
      </w:r>
      <w:r w:rsidR="0031342C">
        <w:rPr>
          <w:noProof/>
        </w:rPr>
        <w:t> </w:t>
      </w:r>
      <w:r w:rsidR="0031342C" w:rsidRPr="00DF3EF6">
        <w:rPr>
          <w:noProof/>
        </w:rPr>
        <w:t>tes</w:t>
      </w:r>
      <w:r w:rsidR="7DFEEEF1" w:rsidRPr="00DF3EF6">
        <w:rPr>
          <w:noProof/>
        </w:rPr>
        <w:t>towaniu ich odporności Europejski Urząd Nadzoru Bankowego (EUNB) powinien wydać wytyczne</w:t>
      </w:r>
      <w:r w:rsidR="0031342C" w:rsidRPr="00DF3EF6">
        <w:rPr>
          <w:noProof/>
        </w:rPr>
        <w:t xml:space="preserve"> w</w:t>
      </w:r>
      <w:r w:rsidR="0031342C">
        <w:rPr>
          <w:noProof/>
        </w:rPr>
        <w:t> </w:t>
      </w:r>
      <w:r w:rsidR="0031342C" w:rsidRPr="00DF3EF6">
        <w:rPr>
          <w:noProof/>
        </w:rPr>
        <w:t>spr</w:t>
      </w:r>
      <w:r w:rsidR="7DFEEEF1" w:rsidRPr="00DF3EF6">
        <w:rPr>
          <w:noProof/>
        </w:rPr>
        <w:t>awie przeprowadzania przez systemy gwarancji depozytów testów warunków skrajnych swoich systemów.</w:t>
      </w:r>
    </w:p>
    <w:p w14:paraId="579AC09E" w14:textId="5D8EE332" w:rsidR="00600816" w:rsidRPr="00DF3EF6" w:rsidRDefault="00322779" w:rsidP="00322779">
      <w:pPr>
        <w:pStyle w:val="ManualConsidrant"/>
        <w:rPr>
          <w:noProof/>
        </w:rPr>
      </w:pPr>
      <w:r w:rsidRPr="00322779">
        <w:t>(4)</w:t>
      </w:r>
      <w:r w:rsidRPr="00322779">
        <w:tab/>
      </w:r>
      <w:r w:rsidR="44A9C647" w:rsidRPr="00DF3EF6">
        <w:rPr>
          <w:noProof/>
        </w:rPr>
        <w:t xml:space="preserve">Na podstawie </w:t>
      </w:r>
      <w:r w:rsidR="44A9C647" w:rsidRPr="0031342C">
        <w:rPr>
          <w:noProof/>
        </w:rPr>
        <w:t>art.</w:t>
      </w:r>
      <w:r w:rsidR="0031342C" w:rsidRPr="0031342C">
        <w:rPr>
          <w:noProof/>
        </w:rPr>
        <w:t> </w:t>
      </w:r>
      <w:r w:rsidR="44A9C647" w:rsidRPr="0031342C">
        <w:rPr>
          <w:noProof/>
        </w:rPr>
        <w:t>5</w:t>
      </w:r>
      <w:r w:rsidR="44A9C647" w:rsidRPr="00DF3EF6">
        <w:rPr>
          <w:noProof/>
        </w:rPr>
        <w:t xml:space="preserve"> </w:t>
      </w:r>
      <w:r w:rsidR="44A9C647" w:rsidRPr="0031342C">
        <w:rPr>
          <w:noProof/>
        </w:rPr>
        <w:t>ust.</w:t>
      </w:r>
      <w:r w:rsidR="0031342C" w:rsidRPr="0031342C">
        <w:rPr>
          <w:noProof/>
        </w:rPr>
        <w:t> </w:t>
      </w:r>
      <w:r w:rsidR="44A9C647" w:rsidRPr="0031342C">
        <w:rPr>
          <w:noProof/>
        </w:rPr>
        <w:t>1</w:t>
      </w:r>
      <w:r w:rsidR="44A9C647" w:rsidRPr="00DF3EF6">
        <w:rPr>
          <w:noProof/>
        </w:rPr>
        <w:t xml:space="preserve"> </w:t>
      </w:r>
      <w:r w:rsidR="44A9C647" w:rsidRPr="0031342C">
        <w:rPr>
          <w:noProof/>
        </w:rPr>
        <w:t>lit.</w:t>
      </w:r>
      <w:r w:rsidR="0031342C" w:rsidRPr="0031342C">
        <w:rPr>
          <w:noProof/>
        </w:rPr>
        <w:t> </w:t>
      </w:r>
      <w:r w:rsidR="44A9C647" w:rsidRPr="0031342C">
        <w:rPr>
          <w:noProof/>
        </w:rPr>
        <w:t>d)</w:t>
      </w:r>
      <w:r w:rsidR="44A9C647" w:rsidRPr="00DF3EF6">
        <w:rPr>
          <w:noProof/>
        </w:rPr>
        <w:t xml:space="preserve"> dyrektywy 2014/49/UE depozyty niektórych instytucji finansowych,</w:t>
      </w:r>
      <w:r w:rsidR="0031342C" w:rsidRPr="00DF3EF6">
        <w:rPr>
          <w:noProof/>
        </w:rPr>
        <w:t xml:space="preserve"> w</w:t>
      </w:r>
      <w:r w:rsidR="0031342C">
        <w:rPr>
          <w:noProof/>
        </w:rPr>
        <w:t> </w:t>
      </w:r>
      <w:r w:rsidR="0031342C" w:rsidRPr="00DF3EF6">
        <w:rPr>
          <w:noProof/>
        </w:rPr>
        <w:t>tym</w:t>
      </w:r>
      <w:r w:rsidR="44A9C647" w:rsidRPr="00DF3EF6">
        <w:rPr>
          <w:noProof/>
        </w:rPr>
        <w:t xml:space="preserve"> firm inwestycyjnych, wyłączono</w:t>
      </w:r>
      <w:r w:rsidR="0031342C" w:rsidRPr="00DF3EF6">
        <w:rPr>
          <w:noProof/>
        </w:rPr>
        <w:t xml:space="preserve"> z</w:t>
      </w:r>
      <w:r w:rsidR="0031342C">
        <w:rPr>
          <w:noProof/>
        </w:rPr>
        <w:t> </w:t>
      </w:r>
      <w:r w:rsidR="0031342C" w:rsidRPr="00DF3EF6">
        <w:rPr>
          <w:noProof/>
        </w:rPr>
        <w:t>och</w:t>
      </w:r>
      <w:r w:rsidR="44A9C647" w:rsidRPr="00DF3EF6">
        <w:rPr>
          <w:noProof/>
        </w:rPr>
        <w:t>rony, jaką zapewnia system gwarancji depozytów. Środki pieniężne, które te instytucje finansowe otrzymały od klientów</w:t>
      </w:r>
      <w:r w:rsidR="0031342C" w:rsidRPr="00DF3EF6">
        <w:rPr>
          <w:noProof/>
        </w:rPr>
        <w:t xml:space="preserve"> i</w:t>
      </w:r>
      <w:r w:rsidR="0031342C">
        <w:rPr>
          <w:noProof/>
        </w:rPr>
        <w:t> </w:t>
      </w:r>
      <w:r w:rsidR="0031342C" w:rsidRPr="00DF3EF6">
        <w:rPr>
          <w:noProof/>
        </w:rPr>
        <w:t>zde</w:t>
      </w:r>
      <w:r w:rsidR="44A9C647" w:rsidRPr="00DF3EF6">
        <w:rPr>
          <w:noProof/>
        </w:rPr>
        <w:t>ponowały</w:t>
      </w:r>
      <w:r w:rsidR="0031342C" w:rsidRPr="00DF3EF6">
        <w:rPr>
          <w:noProof/>
        </w:rPr>
        <w:t xml:space="preserve"> w</w:t>
      </w:r>
      <w:r w:rsidR="0031342C">
        <w:rPr>
          <w:noProof/>
        </w:rPr>
        <w:t> </w:t>
      </w:r>
      <w:r w:rsidR="0031342C" w:rsidRPr="00DF3EF6">
        <w:rPr>
          <w:noProof/>
        </w:rPr>
        <w:t>ins</w:t>
      </w:r>
      <w:r w:rsidR="44A9C647" w:rsidRPr="00DF3EF6">
        <w:rPr>
          <w:noProof/>
        </w:rPr>
        <w:t>tytucji kredytowej</w:t>
      </w:r>
      <w:r w:rsidR="0031342C" w:rsidRPr="00DF3EF6">
        <w:rPr>
          <w:noProof/>
        </w:rPr>
        <w:t xml:space="preserve"> w</w:t>
      </w:r>
      <w:r w:rsidR="0031342C">
        <w:rPr>
          <w:noProof/>
        </w:rPr>
        <w:t> </w:t>
      </w:r>
      <w:r w:rsidR="0031342C" w:rsidRPr="00DF3EF6">
        <w:rPr>
          <w:noProof/>
        </w:rPr>
        <w:t>ich</w:t>
      </w:r>
      <w:r w:rsidR="44A9C647" w:rsidRPr="00DF3EF6">
        <w:rPr>
          <w:noProof/>
        </w:rPr>
        <w:t xml:space="preserve"> imieniu</w:t>
      </w:r>
      <w:r w:rsidR="0031342C" w:rsidRPr="00DF3EF6">
        <w:rPr>
          <w:noProof/>
        </w:rPr>
        <w:t xml:space="preserve"> w</w:t>
      </w:r>
      <w:r w:rsidR="0031342C">
        <w:rPr>
          <w:noProof/>
        </w:rPr>
        <w:t> </w:t>
      </w:r>
      <w:r w:rsidR="0031342C" w:rsidRPr="00DF3EF6">
        <w:rPr>
          <w:noProof/>
        </w:rPr>
        <w:t>ram</w:t>
      </w:r>
      <w:r w:rsidR="44A9C647" w:rsidRPr="00DF3EF6">
        <w:rPr>
          <w:noProof/>
        </w:rPr>
        <w:t>ach świadczenia oferowanych usług, powinny jednak być chronione</w:t>
      </w:r>
      <w:r w:rsidR="0031342C" w:rsidRPr="00DF3EF6">
        <w:rPr>
          <w:noProof/>
        </w:rPr>
        <w:t xml:space="preserve"> z</w:t>
      </w:r>
      <w:r w:rsidR="0031342C">
        <w:rPr>
          <w:noProof/>
        </w:rPr>
        <w:t> </w:t>
      </w:r>
      <w:r w:rsidR="0031342C" w:rsidRPr="00DF3EF6">
        <w:rPr>
          <w:noProof/>
        </w:rPr>
        <w:t>zas</w:t>
      </w:r>
      <w:r w:rsidR="44A9C647" w:rsidRPr="00DF3EF6">
        <w:rPr>
          <w:noProof/>
        </w:rPr>
        <w:t>trzeżeniem określonych warunków.</w:t>
      </w:r>
      <w:bookmarkEnd w:id="9"/>
    </w:p>
    <w:p w14:paraId="66DC4776" w14:textId="38D4FA30" w:rsidR="00FD2EED" w:rsidRPr="00DF3EF6" w:rsidRDefault="00322779" w:rsidP="00322779">
      <w:pPr>
        <w:pStyle w:val="ManualConsidrant"/>
        <w:rPr>
          <w:noProof/>
        </w:rPr>
      </w:pPr>
      <w:r w:rsidRPr="00322779">
        <w:t>(5)</w:t>
      </w:r>
      <w:r w:rsidRPr="00322779">
        <w:tab/>
      </w:r>
      <w:r w:rsidR="051FBAB6" w:rsidRPr="00DF3EF6">
        <w:rPr>
          <w:noProof/>
        </w:rPr>
        <w:t>Zakres deponentów, którzy obecnie objęci są ochroną</w:t>
      </w:r>
      <w:r w:rsidR="0031342C" w:rsidRPr="00DF3EF6">
        <w:rPr>
          <w:noProof/>
        </w:rPr>
        <w:t xml:space="preserve"> w</w:t>
      </w:r>
      <w:r w:rsidR="0031342C">
        <w:rPr>
          <w:noProof/>
        </w:rPr>
        <w:t> </w:t>
      </w:r>
      <w:r w:rsidR="0031342C" w:rsidRPr="00DF3EF6">
        <w:rPr>
          <w:noProof/>
        </w:rPr>
        <w:t>for</w:t>
      </w:r>
      <w:r w:rsidR="051FBAB6" w:rsidRPr="00DF3EF6">
        <w:rPr>
          <w:noProof/>
        </w:rPr>
        <w:t>mie wypłaty</w:t>
      </w:r>
      <w:r w:rsidR="0031342C" w:rsidRPr="00DF3EF6">
        <w:rPr>
          <w:noProof/>
        </w:rPr>
        <w:t xml:space="preserve"> z</w:t>
      </w:r>
      <w:r w:rsidR="0031342C">
        <w:rPr>
          <w:noProof/>
        </w:rPr>
        <w:t> </w:t>
      </w:r>
      <w:r w:rsidR="0031342C" w:rsidRPr="00DF3EF6">
        <w:rPr>
          <w:noProof/>
        </w:rPr>
        <w:t>sys</w:t>
      </w:r>
      <w:r w:rsidR="051FBAB6" w:rsidRPr="00DF3EF6">
        <w:rPr>
          <w:noProof/>
        </w:rPr>
        <w:t>temu gwarancji depozytów, ustalono, kierując się chęcią ochrony inwestorów detalicznych, natomiast uznano, że inwestorzy profesjonalni takiej ochrony nie potrzebują</w:t>
      </w:r>
      <w:r w:rsidR="0031342C" w:rsidRPr="00DF3EF6">
        <w:rPr>
          <w:noProof/>
        </w:rPr>
        <w:t>. Z</w:t>
      </w:r>
      <w:r w:rsidR="0031342C">
        <w:rPr>
          <w:noProof/>
        </w:rPr>
        <w:t> </w:t>
      </w:r>
      <w:r w:rsidR="0031342C" w:rsidRPr="00DF3EF6">
        <w:rPr>
          <w:noProof/>
        </w:rPr>
        <w:t>teg</w:t>
      </w:r>
      <w:r w:rsidR="051FBAB6" w:rsidRPr="00DF3EF6">
        <w:rPr>
          <w:noProof/>
        </w:rPr>
        <w:t>o względu</w:t>
      </w:r>
      <w:r w:rsidR="0031342C" w:rsidRPr="00DF3EF6">
        <w:rPr>
          <w:noProof/>
        </w:rPr>
        <w:t xml:space="preserve"> z</w:t>
      </w:r>
      <w:r w:rsidR="0031342C">
        <w:rPr>
          <w:noProof/>
        </w:rPr>
        <w:t> </w:t>
      </w:r>
      <w:r w:rsidR="0031342C" w:rsidRPr="00DF3EF6">
        <w:rPr>
          <w:noProof/>
        </w:rPr>
        <w:t>och</w:t>
      </w:r>
      <w:r w:rsidR="051FBAB6" w:rsidRPr="00DF3EF6">
        <w:rPr>
          <w:noProof/>
        </w:rPr>
        <w:t>rony wyłączono organy publiczne. Większości organów publicznych (w niektórych państwach członkowskich obejmujących szkoły</w:t>
      </w:r>
      <w:r w:rsidR="0031342C" w:rsidRPr="00DF3EF6">
        <w:rPr>
          <w:noProof/>
        </w:rPr>
        <w:t xml:space="preserve"> i</w:t>
      </w:r>
      <w:r w:rsidR="0031342C">
        <w:rPr>
          <w:noProof/>
        </w:rPr>
        <w:t> </w:t>
      </w:r>
      <w:r w:rsidR="0031342C" w:rsidRPr="00DF3EF6">
        <w:rPr>
          <w:noProof/>
        </w:rPr>
        <w:t>szp</w:t>
      </w:r>
      <w:r w:rsidR="051FBAB6" w:rsidRPr="00DF3EF6">
        <w:rPr>
          <w:noProof/>
        </w:rPr>
        <w:t>itale) nie można jednak uznać za inwestorów profesjonalnych. Niezbędne jest zatem zapewnienie, aby depozyty wszystkich inwestorów detalicznych,</w:t>
      </w:r>
      <w:r w:rsidR="0031342C" w:rsidRPr="00DF3EF6">
        <w:rPr>
          <w:noProof/>
        </w:rPr>
        <w:t xml:space="preserve"> w</w:t>
      </w:r>
      <w:r w:rsidR="0031342C">
        <w:rPr>
          <w:noProof/>
        </w:rPr>
        <w:t> </w:t>
      </w:r>
      <w:r w:rsidR="0031342C" w:rsidRPr="00DF3EF6">
        <w:rPr>
          <w:noProof/>
        </w:rPr>
        <w:t>tym</w:t>
      </w:r>
      <w:r w:rsidR="051FBAB6" w:rsidRPr="00DF3EF6">
        <w:rPr>
          <w:noProof/>
        </w:rPr>
        <w:t xml:space="preserve"> organów publicznych, mogły korzystać</w:t>
      </w:r>
      <w:r w:rsidR="0031342C" w:rsidRPr="00DF3EF6">
        <w:rPr>
          <w:noProof/>
        </w:rPr>
        <w:t xml:space="preserve"> z</w:t>
      </w:r>
      <w:r w:rsidR="0031342C">
        <w:rPr>
          <w:noProof/>
        </w:rPr>
        <w:t> </w:t>
      </w:r>
      <w:r w:rsidR="0031342C" w:rsidRPr="00DF3EF6">
        <w:rPr>
          <w:noProof/>
        </w:rPr>
        <w:t>och</w:t>
      </w:r>
      <w:r w:rsidR="051FBAB6" w:rsidRPr="00DF3EF6">
        <w:rPr>
          <w:noProof/>
        </w:rPr>
        <w:t xml:space="preserve">rony oferowanej przez system gwarancji depozytów. </w:t>
      </w:r>
    </w:p>
    <w:p w14:paraId="2BAE6072" w14:textId="6079B9AD" w:rsidR="00FD2EED" w:rsidRPr="00DF3EF6" w:rsidRDefault="00322779" w:rsidP="00322779">
      <w:pPr>
        <w:pStyle w:val="ManualConsidrant"/>
        <w:rPr>
          <w:noProof/>
        </w:rPr>
      </w:pPr>
      <w:r w:rsidRPr="00322779">
        <w:t>(6)</w:t>
      </w:r>
      <w:r w:rsidRPr="00322779">
        <w:tab/>
      </w:r>
      <w:r w:rsidR="64E9F79C" w:rsidRPr="00DF3EF6">
        <w:rPr>
          <w:noProof/>
        </w:rPr>
        <w:t>Depozyty wynikające</w:t>
      </w:r>
      <w:r w:rsidR="0031342C" w:rsidRPr="00DF3EF6">
        <w:rPr>
          <w:noProof/>
        </w:rPr>
        <w:t xml:space="preserve"> z</w:t>
      </w:r>
      <w:r w:rsidR="0031342C">
        <w:rPr>
          <w:noProof/>
        </w:rPr>
        <w:t> </w:t>
      </w:r>
      <w:r w:rsidR="0031342C" w:rsidRPr="00DF3EF6">
        <w:rPr>
          <w:noProof/>
        </w:rPr>
        <w:t>okr</w:t>
      </w:r>
      <w:r w:rsidR="64E9F79C" w:rsidRPr="00DF3EF6">
        <w:rPr>
          <w:noProof/>
        </w:rPr>
        <w:t>eślonych zdarzeń,</w:t>
      </w:r>
      <w:r w:rsidR="0031342C" w:rsidRPr="00DF3EF6">
        <w:rPr>
          <w:noProof/>
        </w:rPr>
        <w:t xml:space="preserve"> w</w:t>
      </w:r>
      <w:r w:rsidR="0031342C">
        <w:rPr>
          <w:noProof/>
        </w:rPr>
        <w:t> </w:t>
      </w:r>
      <w:r w:rsidR="0031342C" w:rsidRPr="00DF3EF6">
        <w:rPr>
          <w:noProof/>
        </w:rPr>
        <w:t>tym z</w:t>
      </w:r>
      <w:r w:rsidR="0031342C">
        <w:rPr>
          <w:noProof/>
        </w:rPr>
        <w:t> </w:t>
      </w:r>
      <w:r w:rsidR="0031342C" w:rsidRPr="00DF3EF6">
        <w:rPr>
          <w:noProof/>
        </w:rPr>
        <w:t>tra</w:t>
      </w:r>
      <w:r w:rsidR="64E9F79C" w:rsidRPr="00DF3EF6">
        <w:rPr>
          <w:noProof/>
        </w:rPr>
        <w:t>nsakcji dotyczących nieruchomości związanych</w:t>
      </w:r>
      <w:r w:rsidR="0031342C" w:rsidRPr="00DF3EF6">
        <w:rPr>
          <w:noProof/>
        </w:rPr>
        <w:t xml:space="preserve"> z</w:t>
      </w:r>
      <w:r w:rsidR="0031342C">
        <w:rPr>
          <w:noProof/>
        </w:rPr>
        <w:t> </w:t>
      </w:r>
      <w:r w:rsidR="0031342C" w:rsidRPr="00DF3EF6">
        <w:rPr>
          <w:noProof/>
        </w:rPr>
        <w:t>pry</w:t>
      </w:r>
      <w:r w:rsidR="64E9F79C" w:rsidRPr="00DF3EF6">
        <w:rPr>
          <w:noProof/>
        </w:rPr>
        <w:t>watnymi nieruchomościami mieszkalnymi lub</w:t>
      </w:r>
      <w:r w:rsidR="0031342C" w:rsidRPr="00DF3EF6">
        <w:rPr>
          <w:noProof/>
        </w:rPr>
        <w:t xml:space="preserve"> z</w:t>
      </w:r>
      <w:r w:rsidR="0031342C">
        <w:rPr>
          <w:noProof/>
        </w:rPr>
        <w:t> </w:t>
      </w:r>
      <w:r w:rsidR="0031342C" w:rsidRPr="00DF3EF6">
        <w:rPr>
          <w:noProof/>
        </w:rPr>
        <w:t>wyp</w:t>
      </w:r>
      <w:r w:rsidR="64E9F79C" w:rsidRPr="00DF3EF6">
        <w:rPr>
          <w:noProof/>
        </w:rPr>
        <w:t>łaty określonych świadczeń</w:t>
      </w:r>
      <w:r w:rsidR="0031342C" w:rsidRPr="00DF3EF6">
        <w:rPr>
          <w:noProof/>
        </w:rPr>
        <w:t xml:space="preserve"> z</w:t>
      </w:r>
      <w:r w:rsidR="0031342C">
        <w:rPr>
          <w:noProof/>
        </w:rPr>
        <w:t> </w:t>
      </w:r>
      <w:r w:rsidR="0031342C" w:rsidRPr="00DF3EF6">
        <w:rPr>
          <w:noProof/>
        </w:rPr>
        <w:t>tyt</w:t>
      </w:r>
      <w:r w:rsidR="64E9F79C" w:rsidRPr="00DF3EF6">
        <w:rPr>
          <w:noProof/>
        </w:rPr>
        <w:t>ułu ubezpieczenia, mogą tymczasowo prowadzić do zwiększenia wielkości depozytów</w:t>
      </w:r>
      <w:r w:rsidR="0031342C" w:rsidRPr="00DF3EF6">
        <w:rPr>
          <w:noProof/>
        </w:rPr>
        <w:t>. Z</w:t>
      </w:r>
      <w:r w:rsidR="0031342C">
        <w:rPr>
          <w:noProof/>
        </w:rPr>
        <w:t> </w:t>
      </w:r>
      <w:r w:rsidR="0031342C" w:rsidRPr="00DF3EF6">
        <w:rPr>
          <w:noProof/>
        </w:rPr>
        <w:t>teg</w:t>
      </w:r>
      <w:r w:rsidR="64E9F79C" w:rsidRPr="00DF3EF6">
        <w:rPr>
          <w:noProof/>
        </w:rPr>
        <w:t>o powodu</w:t>
      </w:r>
      <w:r w:rsidR="0031342C" w:rsidRPr="00DF3EF6">
        <w:rPr>
          <w:noProof/>
        </w:rPr>
        <w:t xml:space="preserve"> w</w:t>
      </w:r>
      <w:r w:rsidR="0031342C">
        <w:rPr>
          <w:noProof/>
        </w:rPr>
        <w:t> </w:t>
      </w:r>
      <w:r w:rsidR="0031342C" w:rsidRPr="0031342C">
        <w:rPr>
          <w:noProof/>
        </w:rPr>
        <w:t>art</w:t>
      </w:r>
      <w:r w:rsidR="64E9F79C" w:rsidRPr="0031342C">
        <w:rPr>
          <w:noProof/>
        </w:rPr>
        <w:t>.</w:t>
      </w:r>
      <w:r w:rsidR="0031342C" w:rsidRPr="0031342C">
        <w:rPr>
          <w:noProof/>
        </w:rPr>
        <w:t> </w:t>
      </w:r>
      <w:r w:rsidR="64E9F79C" w:rsidRPr="0031342C">
        <w:rPr>
          <w:noProof/>
        </w:rPr>
        <w:t>6</w:t>
      </w:r>
      <w:r w:rsidR="64E9F79C" w:rsidRPr="00DF3EF6">
        <w:rPr>
          <w:noProof/>
        </w:rPr>
        <w:t xml:space="preserve"> </w:t>
      </w:r>
      <w:r w:rsidR="64E9F79C" w:rsidRPr="0031342C">
        <w:rPr>
          <w:noProof/>
        </w:rPr>
        <w:t>ust.</w:t>
      </w:r>
      <w:r w:rsidR="0031342C" w:rsidRPr="0031342C">
        <w:rPr>
          <w:noProof/>
        </w:rPr>
        <w:t> </w:t>
      </w:r>
      <w:r w:rsidR="64E9F79C" w:rsidRPr="0031342C">
        <w:rPr>
          <w:noProof/>
        </w:rPr>
        <w:t>2</w:t>
      </w:r>
      <w:r w:rsidR="64E9F79C" w:rsidRPr="00DF3EF6">
        <w:rPr>
          <w:noProof/>
        </w:rPr>
        <w:t xml:space="preserve"> dyrektywy 2014/49/UE obecnie zobowiązuje się państwa członkowskie do zapewnienia, aby depozyty wynikające</w:t>
      </w:r>
      <w:r w:rsidR="0031342C" w:rsidRPr="00DF3EF6">
        <w:rPr>
          <w:noProof/>
        </w:rPr>
        <w:t xml:space="preserve"> z</w:t>
      </w:r>
      <w:r w:rsidR="0031342C">
        <w:rPr>
          <w:noProof/>
        </w:rPr>
        <w:t> </w:t>
      </w:r>
      <w:r w:rsidR="0031342C" w:rsidRPr="00DF3EF6">
        <w:rPr>
          <w:noProof/>
        </w:rPr>
        <w:t>tyc</w:t>
      </w:r>
      <w:r w:rsidR="64E9F79C" w:rsidRPr="00DF3EF6">
        <w:rPr>
          <w:noProof/>
        </w:rPr>
        <w:t>h zdarzeń były chronione powyżej kwoty 100 000 EUR przez co najmniej 3 miesiące, ale nie dłużej niż 12 miesięcy od momentu uznania rachunku daną kwotą lub od momentu,</w:t>
      </w:r>
      <w:r w:rsidR="0031342C" w:rsidRPr="00DF3EF6">
        <w:rPr>
          <w:noProof/>
        </w:rPr>
        <w:t xml:space="preserve"> w</w:t>
      </w:r>
      <w:r w:rsidR="0031342C">
        <w:rPr>
          <w:noProof/>
        </w:rPr>
        <w:t> </w:t>
      </w:r>
      <w:r w:rsidR="0031342C" w:rsidRPr="00DF3EF6">
        <w:rPr>
          <w:noProof/>
        </w:rPr>
        <w:t>któ</w:t>
      </w:r>
      <w:r w:rsidR="64E9F79C" w:rsidRPr="00DF3EF6">
        <w:rPr>
          <w:noProof/>
        </w:rPr>
        <w:t>rym zaistnieje prawna możliwość przeniesienia takich depozytów</w:t>
      </w:r>
      <w:r w:rsidR="0031342C" w:rsidRPr="00DF3EF6">
        <w:rPr>
          <w:noProof/>
        </w:rPr>
        <w:t>. W</w:t>
      </w:r>
      <w:r w:rsidR="0031342C">
        <w:rPr>
          <w:noProof/>
        </w:rPr>
        <w:t> </w:t>
      </w:r>
      <w:r w:rsidR="0031342C" w:rsidRPr="00DF3EF6">
        <w:rPr>
          <w:noProof/>
        </w:rPr>
        <w:t>cel</w:t>
      </w:r>
      <w:r w:rsidR="64E9F79C" w:rsidRPr="00DF3EF6">
        <w:rPr>
          <w:noProof/>
        </w:rPr>
        <w:t>u harmonizacji ochrony deponentów</w:t>
      </w:r>
      <w:r w:rsidR="0031342C" w:rsidRPr="00DF3EF6">
        <w:rPr>
          <w:noProof/>
        </w:rPr>
        <w:t xml:space="preserve"> w</w:t>
      </w:r>
      <w:r w:rsidR="0031342C">
        <w:rPr>
          <w:noProof/>
        </w:rPr>
        <w:t> </w:t>
      </w:r>
      <w:r w:rsidR="0031342C" w:rsidRPr="00DF3EF6">
        <w:rPr>
          <w:noProof/>
        </w:rPr>
        <w:t>Uni</w:t>
      </w:r>
      <w:r w:rsidR="64E9F79C" w:rsidRPr="00DF3EF6">
        <w:rPr>
          <w:noProof/>
        </w:rPr>
        <w:t>i oraz</w:t>
      </w:r>
      <w:r w:rsidR="0031342C" w:rsidRPr="00DF3EF6">
        <w:rPr>
          <w:noProof/>
        </w:rPr>
        <w:t xml:space="preserve"> w</w:t>
      </w:r>
      <w:r w:rsidR="0031342C">
        <w:rPr>
          <w:noProof/>
        </w:rPr>
        <w:t> </w:t>
      </w:r>
      <w:r w:rsidR="0031342C" w:rsidRPr="00DF3EF6">
        <w:rPr>
          <w:noProof/>
        </w:rPr>
        <w:t>cel</w:t>
      </w:r>
      <w:r w:rsidR="64E9F79C" w:rsidRPr="00DF3EF6">
        <w:rPr>
          <w:noProof/>
        </w:rPr>
        <w:t>u zmniejszenia złożoności administracyjnej</w:t>
      </w:r>
      <w:r w:rsidR="0031342C" w:rsidRPr="00DF3EF6">
        <w:rPr>
          <w:noProof/>
        </w:rPr>
        <w:t xml:space="preserve"> i</w:t>
      </w:r>
      <w:r w:rsidR="0031342C">
        <w:rPr>
          <w:noProof/>
        </w:rPr>
        <w:t> </w:t>
      </w:r>
      <w:r w:rsidR="0031342C" w:rsidRPr="00DF3EF6">
        <w:rPr>
          <w:noProof/>
        </w:rPr>
        <w:t>nie</w:t>
      </w:r>
      <w:r w:rsidR="64E9F79C" w:rsidRPr="00DF3EF6">
        <w:rPr>
          <w:noProof/>
        </w:rPr>
        <w:t>pewności prawa</w:t>
      </w:r>
      <w:r w:rsidR="0031342C" w:rsidRPr="00DF3EF6">
        <w:rPr>
          <w:noProof/>
        </w:rPr>
        <w:t xml:space="preserve"> w</w:t>
      </w:r>
      <w:r w:rsidR="0031342C">
        <w:rPr>
          <w:noProof/>
        </w:rPr>
        <w:t> </w:t>
      </w:r>
      <w:r w:rsidR="0031342C" w:rsidRPr="00DF3EF6">
        <w:rPr>
          <w:noProof/>
        </w:rPr>
        <w:t>odn</w:t>
      </w:r>
      <w:r w:rsidR="64E9F79C" w:rsidRPr="00DF3EF6">
        <w:rPr>
          <w:noProof/>
        </w:rPr>
        <w:t>iesieniu do zakresu ochrony takich depozytów niezbędne jest ujednolicenie ich ochrony, tak aby chronione były do kwoty co najmniej 500 000 EUR przez zharmonizowany okres 6 miesięcy,</w:t>
      </w:r>
      <w:r w:rsidR="0031342C" w:rsidRPr="00DF3EF6">
        <w:rPr>
          <w:noProof/>
        </w:rPr>
        <w:t xml:space="preserve"> w</w:t>
      </w:r>
      <w:r w:rsidR="0031342C">
        <w:rPr>
          <w:noProof/>
        </w:rPr>
        <w:t> </w:t>
      </w:r>
      <w:r w:rsidR="0031342C" w:rsidRPr="00DF3EF6">
        <w:rPr>
          <w:noProof/>
        </w:rPr>
        <w:t>uzu</w:t>
      </w:r>
      <w:r w:rsidR="64E9F79C" w:rsidRPr="00DF3EF6">
        <w:rPr>
          <w:noProof/>
        </w:rPr>
        <w:t xml:space="preserve">pełnieniu poziomu gwarancji wynoszącego 100 000 EUR. </w:t>
      </w:r>
    </w:p>
    <w:p w14:paraId="5BB6C270" w14:textId="4518B8E3" w:rsidR="00FD2EED" w:rsidRPr="00DF3EF6" w:rsidRDefault="00322779" w:rsidP="00322779">
      <w:pPr>
        <w:pStyle w:val="ManualConsidrant"/>
        <w:rPr>
          <w:noProof/>
        </w:rPr>
      </w:pPr>
      <w:r w:rsidRPr="00322779">
        <w:t>(7)</w:t>
      </w:r>
      <w:r w:rsidRPr="00322779">
        <w:tab/>
      </w:r>
      <w:r w:rsidR="64E9F79C" w:rsidRPr="00DF3EF6">
        <w:rPr>
          <w:noProof/>
        </w:rPr>
        <w:t>Podczas transakcji dotyczącej nieruchomości środki pieniężne mogą być przesyłane między różnymi rachunkami, zanim transakcja ta zostanie faktycznie rozliczona</w:t>
      </w:r>
      <w:r w:rsidR="0031342C" w:rsidRPr="00DF3EF6">
        <w:rPr>
          <w:noProof/>
        </w:rPr>
        <w:t>. W</w:t>
      </w:r>
      <w:r w:rsidR="0031342C">
        <w:rPr>
          <w:noProof/>
        </w:rPr>
        <w:t> </w:t>
      </w:r>
      <w:r w:rsidR="0031342C" w:rsidRPr="00DF3EF6">
        <w:rPr>
          <w:noProof/>
        </w:rPr>
        <w:t>cel</w:t>
      </w:r>
      <w:r w:rsidR="64E9F79C" w:rsidRPr="00DF3EF6">
        <w:rPr>
          <w:noProof/>
        </w:rPr>
        <w:t xml:space="preserve">u jednolitej ochrony deponentów zawierających transakcje dotyczące nieruchomości ochrona tymczasowo wysokich sald powinna mieć zastosowanie do </w:t>
      </w:r>
      <w:r w:rsidR="64E9F79C" w:rsidRPr="00DF3EF6">
        <w:rPr>
          <w:noProof/>
        </w:rPr>
        <w:lastRenderedPageBreak/>
        <w:t>przychodów ze sprzedaży, jak również do środków pieniężnych zdeponowanych</w:t>
      </w:r>
      <w:r w:rsidR="0031342C" w:rsidRPr="00DF3EF6">
        <w:rPr>
          <w:noProof/>
        </w:rPr>
        <w:t xml:space="preserve"> w</w:t>
      </w:r>
      <w:r w:rsidR="0031342C">
        <w:rPr>
          <w:noProof/>
        </w:rPr>
        <w:t> </w:t>
      </w:r>
      <w:r w:rsidR="0031342C" w:rsidRPr="00DF3EF6">
        <w:rPr>
          <w:noProof/>
        </w:rPr>
        <w:t>cel</w:t>
      </w:r>
      <w:r w:rsidR="64E9F79C" w:rsidRPr="00DF3EF6">
        <w:rPr>
          <w:noProof/>
        </w:rPr>
        <w:t>u nabycia prywatnej nieruchomości mieszkalnej</w:t>
      </w:r>
      <w:r w:rsidR="0031342C" w:rsidRPr="00DF3EF6">
        <w:rPr>
          <w:noProof/>
        </w:rPr>
        <w:t xml:space="preserve"> w</w:t>
      </w:r>
      <w:r w:rsidR="0031342C">
        <w:rPr>
          <w:noProof/>
        </w:rPr>
        <w:t> </w:t>
      </w:r>
      <w:r w:rsidR="0031342C" w:rsidRPr="00DF3EF6">
        <w:rPr>
          <w:noProof/>
        </w:rPr>
        <w:t>kró</w:t>
      </w:r>
      <w:r w:rsidR="64E9F79C" w:rsidRPr="00DF3EF6">
        <w:rPr>
          <w:noProof/>
        </w:rPr>
        <w:t>tkim terminie.</w:t>
      </w:r>
    </w:p>
    <w:p w14:paraId="0D4E3867" w14:textId="323C0F03" w:rsidR="00FD2EED" w:rsidRPr="00DF3EF6" w:rsidRDefault="00322779" w:rsidP="00322779">
      <w:pPr>
        <w:pStyle w:val="ManualConsidrant"/>
        <w:rPr>
          <w:noProof/>
        </w:rPr>
      </w:pPr>
      <w:r w:rsidRPr="00322779">
        <w:t>(8)</w:t>
      </w:r>
      <w:r w:rsidRPr="00322779">
        <w:tab/>
      </w:r>
      <w:r w:rsidR="44A9C647" w:rsidRPr="00DF3EF6">
        <w:rPr>
          <w:noProof/>
        </w:rPr>
        <w:t>W celu zapewnienia terminowego wydatkowania kwoty wypłacanej przez system gwarancji depozytów oraz</w:t>
      </w:r>
      <w:r w:rsidR="0031342C" w:rsidRPr="00DF3EF6">
        <w:rPr>
          <w:noProof/>
        </w:rPr>
        <w:t xml:space="preserve"> w</w:t>
      </w:r>
      <w:r w:rsidR="0031342C">
        <w:rPr>
          <w:noProof/>
        </w:rPr>
        <w:t> </w:t>
      </w:r>
      <w:r w:rsidR="0031342C" w:rsidRPr="00DF3EF6">
        <w:rPr>
          <w:noProof/>
        </w:rPr>
        <w:t>cel</w:t>
      </w:r>
      <w:r w:rsidR="44A9C647" w:rsidRPr="00DF3EF6">
        <w:rPr>
          <w:noProof/>
        </w:rPr>
        <w:t>u uproszczenia przepisów administracyjnych</w:t>
      </w:r>
      <w:r w:rsidR="0031342C" w:rsidRPr="00DF3EF6">
        <w:rPr>
          <w:noProof/>
        </w:rPr>
        <w:t xml:space="preserve"> i</w:t>
      </w:r>
      <w:r w:rsidR="0031342C">
        <w:rPr>
          <w:noProof/>
        </w:rPr>
        <w:t> </w:t>
      </w:r>
      <w:r w:rsidR="0031342C" w:rsidRPr="00DF3EF6">
        <w:rPr>
          <w:noProof/>
        </w:rPr>
        <w:t>zas</w:t>
      </w:r>
      <w:r w:rsidR="44A9C647" w:rsidRPr="00DF3EF6">
        <w:rPr>
          <w:noProof/>
        </w:rPr>
        <w:t xml:space="preserve">ad obliczania należy znieść swobodę uznania odnośnie do uwzględnienia wymagalnych zobowiązań przy obliczaniu kwoty podlegającej wypłacie. </w:t>
      </w:r>
    </w:p>
    <w:p w14:paraId="0CD6889C" w14:textId="0035FD1E" w:rsidR="00FD2EED" w:rsidRPr="00DF3EF6" w:rsidRDefault="00322779" w:rsidP="00322779">
      <w:pPr>
        <w:pStyle w:val="ManualConsidrant"/>
        <w:rPr>
          <w:noProof/>
        </w:rPr>
      </w:pPr>
      <w:r w:rsidRPr="00322779">
        <w:t>(9)</w:t>
      </w:r>
      <w:r w:rsidRPr="00322779">
        <w:tab/>
      </w:r>
      <w:r w:rsidR="44A9C647" w:rsidRPr="00DF3EF6">
        <w:rPr>
          <w:noProof/>
        </w:rPr>
        <w:t>Niezbędna jest optymalizacja zdolności operacyjnych systemów gwarancji depozytów oraz zmniejszenie obciążeń administracyjnych</w:t>
      </w:r>
      <w:r w:rsidR="0031342C" w:rsidRPr="00DF3EF6">
        <w:rPr>
          <w:noProof/>
        </w:rPr>
        <w:t>. Z</w:t>
      </w:r>
      <w:r w:rsidR="0031342C">
        <w:rPr>
          <w:noProof/>
        </w:rPr>
        <w:t> </w:t>
      </w:r>
      <w:r w:rsidR="0031342C" w:rsidRPr="00DF3EF6">
        <w:rPr>
          <w:noProof/>
        </w:rPr>
        <w:t>teg</w:t>
      </w:r>
      <w:r w:rsidR="44A9C647" w:rsidRPr="00DF3EF6">
        <w:rPr>
          <w:noProof/>
        </w:rPr>
        <w:t>o powodu należy ustanowić, że jeżeli chodzi</w:t>
      </w:r>
      <w:r w:rsidR="0031342C" w:rsidRPr="00DF3EF6">
        <w:rPr>
          <w:noProof/>
        </w:rPr>
        <w:t xml:space="preserve"> o</w:t>
      </w:r>
      <w:r w:rsidR="0031342C">
        <w:rPr>
          <w:noProof/>
        </w:rPr>
        <w:t> </w:t>
      </w:r>
      <w:r w:rsidR="0031342C" w:rsidRPr="00DF3EF6">
        <w:rPr>
          <w:noProof/>
        </w:rPr>
        <w:t>ide</w:t>
      </w:r>
      <w:r w:rsidR="44A9C647" w:rsidRPr="00DF3EF6">
        <w:rPr>
          <w:noProof/>
        </w:rPr>
        <w:t>ntyfikację deponentów uprawnionych do depozytów na rachunkach, do których deponent nie jest</w:t>
      </w:r>
      <w:r w:rsidR="0031342C" w:rsidRPr="00DF3EF6">
        <w:rPr>
          <w:noProof/>
        </w:rPr>
        <w:t xml:space="preserve"> w</w:t>
      </w:r>
      <w:r w:rsidR="0031342C">
        <w:rPr>
          <w:noProof/>
        </w:rPr>
        <w:t> </w:t>
      </w:r>
      <w:r w:rsidR="0031342C" w:rsidRPr="00DF3EF6">
        <w:rPr>
          <w:noProof/>
        </w:rPr>
        <w:t>spo</w:t>
      </w:r>
      <w:r w:rsidR="44A9C647" w:rsidRPr="00DF3EF6">
        <w:rPr>
          <w:noProof/>
        </w:rPr>
        <w:t>sób nieograniczony uprawniony, lub ocenę, czy deponentom przysługują gwarancje</w:t>
      </w:r>
      <w:r w:rsidR="0031342C" w:rsidRPr="00DF3EF6">
        <w:rPr>
          <w:noProof/>
        </w:rPr>
        <w:t xml:space="preserve"> z</w:t>
      </w:r>
      <w:r w:rsidR="0031342C">
        <w:rPr>
          <w:noProof/>
        </w:rPr>
        <w:t> </w:t>
      </w:r>
      <w:r w:rsidR="0031342C" w:rsidRPr="00DF3EF6">
        <w:rPr>
          <w:noProof/>
        </w:rPr>
        <w:t>tyt</w:t>
      </w:r>
      <w:r w:rsidR="44A9C647" w:rsidRPr="00DF3EF6">
        <w:rPr>
          <w:noProof/>
        </w:rPr>
        <w:t>ułu tymczasowo wysokich sald, obowiązek wykazania tego uprawnienia ciąży na deponentach</w:t>
      </w:r>
      <w:r w:rsidR="0031342C" w:rsidRPr="00DF3EF6">
        <w:rPr>
          <w:noProof/>
        </w:rPr>
        <w:t xml:space="preserve"> i</w:t>
      </w:r>
      <w:r w:rsidR="0031342C">
        <w:rPr>
          <w:noProof/>
        </w:rPr>
        <w:t> </w:t>
      </w:r>
      <w:r w:rsidR="0031342C" w:rsidRPr="00DF3EF6">
        <w:rPr>
          <w:noProof/>
        </w:rPr>
        <w:t>pos</w:t>
      </w:r>
      <w:r w:rsidR="44A9C647" w:rsidRPr="00DF3EF6">
        <w:rPr>
          <w:noProof/>
        </w:rPr>
        <w:t xml:space="preserve">iadaczach rachunków. </w:t>
      </w:r>
    </w:p>
    <w:p w14:paraId="1D437D33" w14:textId="552B7BB7" w:rsidR="00FD2EED" w:rsidRPr="00DF3EF6" w:rsidRDefault="00322779" w:rsidP="00322779">
      <w:pPr>
        <w:pStyle w:val="ManualConsidrant"/>
        <w:rPr>
          <w:noProof/>
        </w:rPr>
      </w:pPr>
      <w:r w:rsidRPr="00322779">
        <w:t>(10)</w:t>
      </w:r>
      <w:r w:rsidRPr="00322779">
        <w:tab/>
      </w:r>
      <w:r w:rsidR="64E9F79C" w:rsidRPr="00DF3EF6">
        <w:rPr>
          <w:noProof/>
        </w:rPr>
        <w:t>Niektóre depozyty mogą być objęte dłuższym terminem wypłaty, ponieważ systemy gwarancji depozytów muszą zweryfikować roszczenia</w:t>
      </w:r>
      <w:r w:rsidR="0031342C" w:rsidRPr="00DF3EF6">
        <w:rPr>
          <w:noProof/>
        </w:rPr>
        <w:t xml:space="preserve"> o</w:t>
      </w:r>
      <w:r w:rsidR="0031342C">
        <w:rPr>
          <w:noProof/>
        </w:rPr>
        <w:t> </w:t>
      </w:r>
      <w:r w:rsidR="0031342C" w:rsidRPr="00DF3EF6">
        <w:rPr>
          <w:noProof/>
        </w:rPr>
        <w:t>wyp</w:t>
      </w:r>
      <w:r w:rsidR="64E9F79C" w:rsidRPr="00DF3EF6">
        <w:rPr>
          <w:noProof/>
        </w:rPr>
        <w:t>łatę</w:t>
      </w:r>
      <w:r w:rsidR="0031342C" w:rsidRPr="00DF3EF6">
        <w:rPr>
          <w:noProof/>
        </w:rPr>
        <w:t>. W</w:t>
      </w:r>
      <w:r w:rsidR="0031342C">
        <w:rPr>
          <w:noProof/>
        </w:rPr>
        <w:t> </w:t>
      </w:r>
      <w:r w:rsidR="0031342C" w:rsidRPr="00DF3EF6">
        <w:rPr>
          <w:noProof/>
        </w:rPr>
        <w:t>cel</w:t>
      </w:r>
      <w:r w:rsidR="64E9F79C" w:rsidRPr="00DF3EF6">
        <w:rPr>
          <w:noProof/>
        </w:rPr>
        <w:t>u harmonizacji przepisów</w:t>
      </w:r>
      <w:r w:rsidR="0031342C" w:rsidRPr="00DF3EF6">
        <w:rPr>
          <w:noProof/>
        </w:rPr>
        <w:t xml:space="preserve"> w</w:t>
      </w:r>
      <w:r w:rsidR="0031342C">
        <w:rPr>
          <w:noProof/>
        </w:rPr>
        <w:t> </w:t>
      </w:r>
      <w:r w:rsidR="0031342C" w:rsidRPr="00DF3EF6">
        <w:rPr>
          <w:noProof/>
        </w:rPr>
        <w:t>cał</w:t>
      </w:r>
      <w:r w:rsidR="64E9F79C" w:rsidRPr="00DF3EF6">
        <w:rPr>
          <w:noProof/>
        </w:rPr>
        <w:t xml:space="preserve">ej Unii termin wypłaty należy ograniczyć </w:t>
      </w:r>
      <w:r w:rsidR="64E9F79C" w:rsidRPr="0031342C">
        <w:rPr>
          <w:noProof/>
        </w:rPr>
        <w:t>do</w:t>
      </w:r>
      <w:r w:rsidR="0031342C" w:rsidRPr="0031342C">
        <w:rPr>
          <w:noProof/>
        </w:rPr>
        <w:t> </w:t>
      </w:r>
      <w:r w:rsidR="64E9F79C" w:rsidRPr="0031342C">
        <w:rPr>
          <w:noProof/>
        </w:rPr>
        <w:t>2</w:t>
      </w:r>
      <w:r w:rsidR="64E9F79C" w:rsidRPr="00DF3EF6">
        <w:rPr>
          <w:noProof/>
        </w:rPr>
        <w:t xml:space="preserve">0 dni roboczych od otrzymania właściwej dokumentacji. </w:t>
      </w:r>
    </w:p>
    <w:p w14:paraId="4126CDAB" w14:textId="38D4C237" w:rsidR="00FD2EED" w:rsidRPr="00DF3EF6" w:rsidRDefault="00322779" w:rsidP="00322779">
      <w:pPr>
        <w:pStyle w:val="ManualConsidrant"/>
        <w:rPr>
          <w:noProof/>
        </w:rPr>
      </w:pPr>
      <w:r w:rsidRPr="00322779">
        <w:t>(11)</w:t>
      </w:r>
      <w:r w:rsidRPr="00322779">
        <w:tab/>
      </w:r>
      <w:r w:rsidR="08638894" w:rsidRPr="00DF3EF6">
        <w:rPr>
          <w:noProof/>
        </w:rPr>
        <w:t>Koszt administracyjny związany</w:t>
      </w:r>
      <w:r w:rsidR="0031342C" w:rsidRPr="00DF3EF6">
        <w:rPr>
          <w:noProof/>
        </w:rPr>
        <w:t xml:space="preserve"> z</w:t>
      </w:r>
      <w:r w:rsidR="0031342C">
        <w:rPr>
          <w:noProof/>
        </w:rPr>
        <w:t> </w:t>
      </w:r>
      <w:r w:rsidR="0031342C" w:rsidRPr="00DF3EF6">
        <w:rPr>
          <w:noProof/>
        </w:rPr>
        <w:t>wyp</w:t>
      </w:r>
      <w:r w:rsidR="08638894" w:rsidRPr="00DF3EF6">
        <w:rPr>
          <w:noProof/>
        </w:rPr>
        <w:t>łatą małych kwot na rachunkach nieaktywnych może przewyższyć korzyści odniesione przez deponenta. Należy</w:t>
      </w:r>
      <w:r w:rsidR="0031342C" w:rsidRPr="00DF3EF6">
        <w:rPr>
          <w:noProof/>
        </w:rPr>
        <w:t xml:space="preserve"> w</w:t>
      </w:r>
      <w:r w:rsidR="0031342C">
        <w:rPr>
          <w:noProof/>
        </w:rPr>
        <w:t> </w:t>
      </w:r>
      <w:r w:rsidR="0031342C" w:rsidRPr="00DF3EF6">
        <w:rPr>
          <w:noProof/>
        </w:rPr>
        <w:t>zwi</w:t>
      </w:r>
      <w:r w:rsidR="08638894" w:rsidRPr="00DF3EF6">
        <w:rPr>
          <w:noProof/>
        </w:rPr>
        <w:t>ązku</w:t>
      </w:r>
      <w:r w:rsidR="0031342C" w:rsidRPr="00DF3EF6">
        <w:rPr>
          <w:noProof/>
        </w:rPr>
        <w:t xml:space="preserve"> z</w:t>
      </w:r>
      <w:r w:rsidR="0031342C">
        <w:rPr>
          <w:noProof/>
        </w:rPr>
        <w:t> </w:t>
      </w:r>
      <w:r w:rsidR="0031342C" w:rsidRPr="00DF3EF6">
        <w:rPr>
          <w:noProof/>
        </w:rPr>
        <w:t>tym</w:t>
      </w:r>
      <w:r w:rsidR="08638894" w:rsidRPr="00DF3EF6">
        <w:rPr>
          <w:noProof/>
        </w:rPr>
        <w:t xml:space="preserve"> uściślić, że systemy gwarancji depozytów nie są zobowiązane do podjęcia aktywnych działań</w:t>
      </w:r>
      <w:r w:rsidR="0031342C" w:rsidRPr="00DF3EF6">
        <w:rPr>
          <w:noProof/>
        </w:rPr>
        <w:t xml:space="preserve"> w</w:t>
      </w:r>
      <w:r w:rsidR="0031342C">
        <w:rPr>
          <w:noProof/>
        </w:rPr>
        <w:t> </w:t>
      </w:r>
      <w:r w:rsidR="0031342C" w:rsidRPr="00DF3EF6">
        <w:rPr>
          <w:noProof/>
        </w:rPr>
        <w:t>cel</w:t>
      </w:r>
      <w:r w:rsidR="08638894" w:rsidRPr="00DF3EF6">
        <w:rPr>
          <w:noProof/>
        </w:rPr>
        <w:t>u wypłaty depozytów przechowywanych na takich rachunkach poniżej określonych progów, które należy ustalić na szczeblu krajowym. Należy jednak zachować prawo deponentów do wnoszenia roszczenia</w:t>
      </w:r>
      <w:r w:rsidR="0031342C" w:rsidRPr="00DF3EF6">
        <w:rPr>
          <w:noProof/>
        </w:rPr>
        <w:t xml:space="preserve"> o</w:t>
      </w:r>
      <w:r w:rsidR="0031342C">
        <w:rPr>
          <w:noProof/>
        </w:rPr>
        <w:t> </w:t>
      </w:r>
      <w:r w:rsidR="0031342C" w:rsidRPr="00DF3EF6">
        <w:rPr>
          <w:noProof/>
        </w:rPr>
        <w:t>wyp</w:t>
      </w:r>
      <w:r w:rsidR="08638894" w:rsidRPr="00DF3EF6">
        <w:rPr>
          <w:noProof/>
        </w:rPr>
        <w:t xml:space="preserve">łatę tej kwoty. Jeżeli ten sam deponent posiada także inne aktywne rachunki, systemy gwarancji depozytów powinny ponadto uwzględniać tę kwotę przy obliczaniu kwoty podlegającej zwrotowi. </w:t>
      </w:r>
    </w:p>
    <w:p w14:paraId="08ACDF2F" w14:textId="63D3363E" w:rsidR="005D4E92" w:rsidRPr="00DF3EF6" w:rsidRDefault="00322779" w:rsidP="00322779">
      <w:pPr>
        <w:pStyle w:val="ManualConsidrant"/>
        <w:rPr>
          <w:noProof/>
        </w:rPr>
      </w:pPr>
      <w:r w:rsidRPr="00322779">
        <w:t>(12)</w:t>
      </w:r>
      <w:r w:rsidRPr="00322779">
        <w:tab/>
      </w:r>
      <w:r w:rsidR="316C8BD9" w:rsidRPr="00DF3EF6">
        <w:rPr>
          <w:noProof/>
        </w:rPr>
        <w:t>Systemy gwarancji depozytów stosują różne metody wypłaty środków deponentom – od wypłat gotówki po przekazywanie środków drogą elektroniczną</w:t>
      </w:r>
      <w:r w:rsidR="0031342C" w:rsidRPr="00DF3EF6">
        <w:rPr>
          <w:noProof/>
        </w:rPr>
        <w:t>. W</w:t>
      </w:r>
      <w:r w:rsidR="0031342C">
        <w:rPr>
          <w:noProof/>
        </w:rPr>
        <w:t> </w:t>
      </w:r>
      <w:r w:rsidR="0031342C" w:rsidRPr="00DF3EF6">
        <w:rPr>
          <w:noProof/>
        </w:rPr>
        <w:t>cel</w:t>
      </w:r>
      <w:r w:rsidR="316C8BD9" w:rsidRPr="00DF3EF6">
        <w:rPr>
          <w:noProof/>
        </w:rPr>
        <w:t>u zapewnienia identyfikowalności procesu wypłat dokonywanych przez systemy gwarancji depozytów oraz zachowania zgodności</w:t>
      </w:r>
      <w:r w:rsidR="0031342C" w:rsidRPr="00DF3EF6">
        <w:rPr>
          <w:noProof/>
        </w:rPr>
        <w:t xml:space="preserve"> z</w:t>
      </w:r>
      <w:r w:rsidR="0031342C">
        <w:rPr>
          <w:noProof/>
        </w:rPr>
        <w:t> </w:t>
      </w:r>
      <w:r w:rsidR="0031342C" w:rsidRPr="00DF3EF6">
        <w:rPr>
          <w:noProof/>
        </w:rPr>
        <w:t>cel</w:t>
      </w:r>
      <w:r w:rsidR="316C8BD9" w:rsidRPr="00DF3EF6">
        <w:rPr>
          <w:noProof/>
        </w:rPr>
        <w:t>ami unijnych ram dotyczących zapobiegania wykorzystywaniu systemu finansowego do prania pieniędzy lub finansowania terroryzmu, jeżeli kwota zwrotu przekracza 10 000 EUR, domyślną metodą wypłaty powinny być zwroty dokonywane na rzecz deponentów za pośrednictwem polecenia przelewu.</w:t>
      </w:r>
    </w:p>
    <w:p w14:paraId="6AFABB2E" w14:textId="31AA0D76" w:rsidR="005D4E92" w:rsidRPr="00DF3EF6" w:rsidRDefault="00322779" w:rsidP="00322779">
      <w:pPr>
        <w:pStyle w:val="ManualConsidrant"/>
        <w:rPr>
          <w:noProof/>
        </w:rPr>
      </w:pPr>
      <w:r w:rsidRPr="00322779">
        <w:t>(13)</w:t>
      </w:r>
      <w:r w:rsidRPr="00322779">
        <w:tab/>
      </w:r>
      <w:r w:rsidR="316C8BD9" w:rsidRPr="00DF3EF6">
        <w:rPr>
          <w:noProof/>
        </w:rPr>
        <w:t>Z ochrony depozytów wyłączone są instytucje finansowe. Niektóre instytucje finansowe,</w:t>
      </w:r>
      <w:r w:rsidR="0031342C" w:rsidRPr="00DF3EF6">
        <w:rPr>
          <w:noProof/>
        </w:rPr>
        <w:t xml:space="preserve"> w</w:t>
      </w:r>
      <w:r w:rsidR="0031342C">
        <w:rPr>
          <w:noProof/>
        </w:rPr>
        <w:t> </w:t>
      </w:r>
      <w:r w:rsidR="0031342C" w:rsidRPr="00DF3EF6">
        <w:rPr>
          <w:noProof/>
        </w:rPr>
        <w:t>tym</w:t>
      </w:r>
      <w:r w:rsidR="316C8BD9" w:rsidRPr="00DF3EF6">
        <w:rPr>
          <w:noProof/>
        </w:rPr>
        <w:t xml:space="preserve"> instytucje pieniądza elektronicznego, instytucje płatnicze</w:t>
      </w:r>
      <w:r w:rsidR="0031342C" w:rsidRPr="00DF3EF6">
        <w:rPr>
          <w:noProof/>
        </w:rPr>
        <w:t xml:space="preserve"> i</w:t>
      </w:r>
      <w:r w:rsidR="0031342C">
        <w:rPr>
          <w:noProof/>
        </w:rPr>
        <w:t> </w:t>
      </w:r>
      <w:r w:rsidR="0031342C" w:rsidRPr="00DF3EF6">
        <w:rPr>
          <w:noProof/>
        </w:rPr>
        <w:t>fir</w:t>
      </w:r>
      <w:r w:rsidR="316C8BD9" w:rsidRPr="00DF3EF6">
        <w:rPr>
          <w:noProof/>
        </w:rPr>
        <w:t>my inwestycyjne, także deponują jednak środki pieniężne otrzymane od swoich klientów na rachunkach bankowych, często tymczasowo,</w:t>
      </w:r>
      <w:r w:rsidR="0031342C" w:rsidRPr="00DF3EF6">
        <w:rPr>
          <w:noProof/>
        </w:rPr>
        <w:t xml:space="preserve"> w</w:t>
      </w:r>
      <w:r w:rsidR="0031342C">
        <w:rPr>
          <w:noProof/>
        </w:rPr>
        <w:t> </w:t>
      </w:r>
      <w:r w:rsidR="0031342C" w:rsidRPr="00DF3EF6">
        <w:rPr>
          <w:noProof/>
        </w:rPr>
        <w:t>cel</w:t>
      </w:r>
      <w:r w:rsidR="316C8BD9" w:rsidRPr="00DF3EF6">
        <w:rPr>
          <w:noProof/>
        </w:rPr>
        <w:t>u zapewnienia zgodności</w:t>
      </w:r>
      <w:r w:rsidR="0031342C" w:rsidRPr="00DF3EF6">
        <w:rPr>
          <w:noProof/>
        </w:rPr>
        <w:t xml:space="preserve"> z</w:t>
      </w:r>
      <w:r w:rsidR="0031342C">
        <w:rPr>
          <w:noProof/>
        </w:rPr>
        <w:t> </w:t>
      </w:r>
      <w:r w:rsidR="0031342C" w:rsidRPr="00DF3EF6">
        <w:rPr>
          <w:noProof/>
        </w:rPr>
        <w:t>wym</w:t>
      </w:r>
      <w:r w:rsidR="316C8BD9" w:rsidRPr="00DF3EF6">
        <w:rPr>
          <w:noProof/>
        </w:rPr>
        <w:t>ogami</w:t>
      </w:r>
      <w:r w:rsidR="0031342C" w:rsidRPr="00DF3EF6">
        <w:rPr>
          <w:noProof/>
        </w:rPr>
        <w:t xml:space="preserve"> w</w:t>
      </w:r>
      <w:r w:rsidR="0031342C">
        <w:rPr>
          <w:noProof/>
        </w:rPr>
        <w:t> </w:t>
      </w:r>
      <w:r w:rsidR="0031342C" w:rsidRPr="00DF3EF6">
        <w:rPr>
          <w:noProof/>
        </w:rPr>
        <w:t>zak</w:t>
      </w:r>
      <w:r w:rsidR="316C8BD9" w:rsidRPr="00DF3EF6">
        <w:rPr>
          <w:noProof/>
        </w:rPr>
        <w:t>resie ochronny przewidzianymi</w:t>
      </w:r>
      <w:r w:rsidR="0031342C" w:rsidRPr="00DF3EF6">
        <w:rPr>
          <w:noProof/>
        </w:rPr>
        <w:t xml:space="preserve"> w</w:t>
      </w:r>
      <w:r w:rsidR="0031342C">
        <w:rPr>
          <w:noProof/>
        </w:rPr>
        <w:t> </w:t>
      </w:r>
      <w:r w:rsidR="0031342C" w:rsidRPr="00DF3EF6">
        <w:rPr>
          <w:noProof/>
        </w:rPr>
        <w:t>prz</w:t>
      </w:r>
      <w:r w:rsidR="316C8BD9" w:rsidRPr="00DF3EF6">
        <w:rPr>
          <w:noProof/>
        </w:rPr>
        <w:t>episach sektorowych,</w:t>
      </w:r>
      <w:r w:rsidR="0031342C" w:rsidRPr="00DF3EF6">
        <w:rPr>
          <w:noProof/>
        </w:rPr>
        <w:t xml:space="preserve"> w</w:t>
      </w:r>
      <w:r w:rsidR="0031342C">
        <w:rPr>
          <w:noProof/>
        </w:rPr>
        <w:t> </w:t>
      </w:r>
      <w:r w:rsidR="0031342C" w:rsidRPr="00DF3EF6">
        <w:rPr>
          <w:noProof/>
        </w:rPr>
        <w:t>tym w</w:t>
      </w:r>
      <w:r w:rsidR="0031342C">
        <w:rPr>
          <w:noProof/>
        </w:rPr>
        <w:t> </w:t>
      </w:r>
      <w:r w:rsidR="0031342C" w:rsidRPr="00DF3EF6">
        <w:rPr>
          <w:noProof/>
        </w:rPr>
        <w:t>dyr</w:t>
      </w:r>
      <w:r w:rsidR="316C8BD9" w:rsidRPr="00DF3EF6">
        <w:rPr>
          <w:noProof/>
        </w:rPr>
        <w:t>ektywie Parlamentu Europejskiego</w:t>
      </w:r>
      <w:r w:rsidR="0031342C" w:rsidRPr="00DF3EF6">
        <w:rPr>
          <w:noProof/>
        </w:rPr>
        <w:t xml:space="preserve"> i</w:t>
      </w:r>
      <w:r w:rsidR="0031342C">
        <w:rPr>
          <w:noProof/>
        </w:rPr>
        <w:t> </w:t>
      </w:r>
      <w:r w:rsidR="0031342C" w:rsidRPr="00DF3EF6">
        <w:rPr>
          <w:noProof/>
        </w:rPr>
        <w:t>Rad</w:t>
      </w:r>
      <w:r w:rsidR="316C8BD9" w:rsidRPr="00DF3EF6">
        <w:rPr>
          <w:noProof/>
        </w:rPr>
        <w:t>y 2009/110/WE</w:t>
      </w:r>
      <w:r w:rsidR="316C8BD9" w:rsidRPr="00DF3EF6">
        <w:rPr>
          <w:rStyle w:val="FootnoteReference"/>
          <w:noProof/>
        </w:rPr>
        <w:footnoteReference w:id="39"/>
      </w:r>
      <w:r w:rsidR="316C8BD9" w:rsidRPr="00DF3EF6">
        <w:rPr>
          <w:noProof/>
        </w:rPr>
        <w:t>, dyrektywie Parlamentu Europejskiego</w:t>
      </w:r>
      <w:r w:rsidR="0031342C" w:rsidRPr="00DF3EF6">
        <w:rPr>
          <w:noProof/>
        </w:rPr>
        <w:t xml:space="preserve"> i</w:t>
      </w:r>
      <w:r w:rsidR="0031342C">
        <w:rPr>
          <w:noProof/>
        </w:rPr>
        <w:t> </w:t>
      </w:r>
      <w:r w:rsidR="0031342C" w:rsidRPr="00DF3EF6">
        <w:rPr>
          <w:noProof/>
        </w:rPr>
        <w:t>Rad</w:t>
      </w:r>
      <w:r w:rsidR="316C8BD9" w:rsidRPr="00DF3EF6">
        <w:rPr>
          <w:noProof/>
        </w:rPr>
        <w:t>y (UE) 2015/2366</w:t>
      </w:r>
      <w:r w:rsidR="316C8BD9" w:rsidRPr="00DF3EF6">
        <w:rPr>
          <w:rStyle w:val="FootnoteReference"/>
          <w:noProof/>
        </w:rPr>
        <w:footnoteReference w:id="40"/>
      </w:r>
      <w:r w:rsidR="316C8BD9" w:rsidRPr="00DF3EF6">
        <w:rPr>
          <w:noProof/>
        </w:rPr>
        <w:t xml:space="preserve"> oraz dyrektywie Parlamentu </w:t>
      </w:r>
      <w:r w:rsidR="316C8BD9" w:rsidRPr="00DF3EF6">
        <w:rPr>
          <w:noProof/>
        </w:rPr>
        <w:lastRenderedPageBreak/>
        <w:t>Europejskiego</w:t>
      </w:r>
      <w:r w:rsidR="0031342C" w:rsidRPr="00DF3EF6">
        <w:rPr>
          <w:noProof/>
        </w:rPr>
        <w:t xml:space="preserve"> i</w:t>
      </w:r>
      <w:r w:rsidR="0031342C">
        <w:rPr>
          <w:noProof/>
        </w:rPr>
        <w:t> </w:t>
      </w:r>
      <w:r w:rsidR="0031342C" w:rsidRPr="00DF3EF6">
        <w:rPr>
          <w:noProof/>
        </w:rPr>
        <w:t>Rad</w:t>
      </w:r>
      <w:r w:rsidR="316C8BD9" w:rsidRPr="00DF3EF6">
        <w:rPr>
          <w:noProof/>
        </w:rPr>
        <w:t>y 2014/65/UE</w:t>
      </w:r>
      <w:r w:rsidR="316C8BD9" w:rsidRPr="00DF3EF6">
        <w:rPr>
          <w:rStyle w:val="FootnoteReference"/>
          <w:noProof/>
        </w:rPr>
        <w:footnoteReference w:id="41"/>
      </w:r>
      <w:r w:rsidR="316C8BD9" w:rsidRPr="00DF3EF6">
        <w:rPr>
          <w:noProof/>
        </w:rPr>
        <w:t xml:space="preserve">. Biorąc pod uwagę rosnącą rolę tych instytucji finansowych, systemy gwarancji depozytów powinny chronić takie depozyty pod warunkiem, że klienci zostali zidentyfikowani lub można ich zidentyfikować. </w:t>
      </w:r>
    </w:p>
    <w:p w14:paraId="2FEBBAE3" w14:textId="367B4244" w:rsidR="00FD2EED" w:rsidRPr="00DF3EF6" w:rsidRDefault="00322779" w:rsidP="00322779">
      <w:pPr>
        <w:pStyle w:val="ManualConsidrant"/>
        <w:rPr>
          <w:noProof/>
        </w:rPr>
      </w:pPr>
      <w:r w:rsidRPr="00322779">
        <w:t>(14)</w:t>
      </w:r>
      <w:r w:rsidRPr="00322779">
        <w:tab/>
      </w:r>
      <w:r w:rsidR="13FDC6A8" w:rsidRPr="00DF3EF6">
        <w:rPr>
          <w:noProof/>
        </w:rPr>
        <w:t>Klienci instytucji finansowych nie zawsze wiedzą, jaką instytucję kredytową wybrała instytucja finansowa</w:t>
      </w:r>
      <w:r w:rsidR="0031342C" w:rsidRPr="00DF3EF6">
        <w:rPr>
          <w:noProof/>
        </w:rPr>
        <w:t xml:space="preserve"> w</w:t>
      </w:r>
      <w:r w:rsidR="0031342C">
        <w:rPr>
          <w:noProof/>
        </w:rPr>
        <w:t> </w:t>
      </w:r>
      <w:r w:rsidR="0031342C" w:rsidRPr="00DF3EF6">
        <w:rPr>
          <w:noProof/>
        </w:rPr>
        <w:t>cel</w:t>
      </w:r>
      <w:r w:rsidR="13FDC6A8" w:rsidRPr="00DF3EF6">
        <w:rPr>
          <w:noProof/>
        </w:rPr>
        <w:t>u zdeponowania ich środków. Systemy gwarancji depozytów nie powinny zatem łączyć takich depozytów</w:t>
      </w:r>
      <w:r w:rsidR="0031342C" w:rsidRPr="00DF3EF6">
        <w:rPr>
          <w:noProof/>
        </w:rPr>
        <w:t xml:space="preserve"> z</w:t>
      </w:r>
      <w:r w:rsidR="0031342C">
        <w:rPr>
          <w:noProof/>
        </w:rPr>
        <w:t> </w:t>
      </w:r>
      <w:r w:rsidR="0031342C" w:rsidRPr="00DF3EF6">
        <w:rPr>
          <w:noProof/>
        </w:rPr>
        <w:t>dep</w:t>
      </w:r>
      <w:r w:rsidR="13FDC6A8" w:rsidRPr="00DF3EF6">
        <w:rPr>
          <w:noProof/>
        </w:rPr>
        <w:t>ozytem, który ci sami klienci mogą posiadać</w:t>
      </w:r>
      <w:r w:rsidR="0031342C" w:rsidRPr="00DF3EF6">
        <w:rPr>
          <w:noProof/>
        </w:rPr>
        <w:t xml:space="preserve"> w</w:t>
      </w:r>
      <w:r w:rsidR="0031342C">
        <w:rPr>
          <w:noProof/>
        </w:rPr>
        <w:t> </w:t>
      </w:r>
      <w:r w:rsidR="0031342C" w:rsidRPr="00DF3EF6">
        <w:rPr>
          <w:noProof/>
        </w:rPr>
        <w:t>tej</w:t>
      </w:r>
      <w:r w:rsidR="13FDC6A8" w:rsidRPr="00DF3EF6">
        <w:rPr>
          <w:noProof/>
        </w:rPr>
        <w:t xml:space="preserve"> samej instytucji kredytowej,</w:t>
      </w:r>
      <w:r w:rsidR="0031342C" w:rsidRPr="00DF3EF6">
        <w:rPr>
          <w:noProof/>
        </w:rPr>
        <w:t xml:space="preserve"> w</w:t>
      </w:r>
      <w:r w:rsidR="0031342C">
        <w:rPr>
          <w:noProof/>
        </w:rPr>
        <w:t> </w:t>
      </w:r>
      <w:r w:rsidR="0031342C" w:rsidRPr="00DF3EF6">
        <w:rPr>
          <w:noProof/>
        </w:rPr>
        <w:t>któ</w:t>
      </w:r>
      <w:r w:rsidR="13FDC6A8" w:rsidRPr="00DF3EF6">
        <w:rPr>
          <w:noProof/>
        </w:rPr>
        <w:t>rej instytucja finansowa umieściła ich depozyty. Instytucje kredytowe mogą nie znać klientów uprawnionych do kwot przechowywanych na rachunkach klientów lub nie być</w:t>
      </w:r>
      <w:r w:rsidR="0031342C" w:rsidRPr="00DF3EF6">
        <w:rPr>
          <w:noProof/>
        </w:rPr>
        <w:t xml:space="preserve"> w</w:t>
      </w:r>
      <w:r w:rsidR="0031342C">
        <w:rPr>
          <w:noProof/>
        </w:rPr>
        <w:t> </w:t>
      </w:r>
      <w:r w:rsidR="0031342C" w:rsidRPr="00DF3EF6">
        <w:rPr>
          <w:noProof/>
        </w:rPr>
        <w:t>sta</w:t>
      </w:r>
      <w:r w:rsidR="13FDC6A8" w:rsidRPr="00DF3EF6">
        <w:rPr>
          <w:noProof/>
        </w:rPr>
        <w:t>nie sprawdzić</w:t>
      </w:r>
      <w:r w:rsidR="0031342C" w:rsidRPr="00DF3EF6">
        <w:rPr>
          <w:noProof/>
        </w:rPr>
        <w:t xml:space="preserve"> i</w:t>
      </w:r>
      <w:r w:rsidR="0031342C">
        <w:rPr>
          <w:noProof/>
        </w:rPr>
        <w:t> </w:t>
      </w:r>
      <w:r w:rsidR="0031342C" w:rsidRPr="00DF3EF6">
        <w:rPr>
          <w:noProof/>
        </w:rPr>
        <w:t>ewi</w:t>
      </w:r>
      <w:r w:rsidR="13FDC6A8" w:rsidRPr="00DF3EF6">
        <w:rPr>
          <w:noProof/>
        </w:rPr>
        <w:t>dencjonować indywidualnych danych tych klientów</w:t>
      </w:r>
      <w:r w:rsidR="0031342C" w:rsidRPr="00DF3EF6">
        <w:rPr>
          <w:noProof/>
        </w:rPr>
        <w:t>. W</w:t>
      </w:r>
      <w:r w:rsidR="0031342C">
        <w:rPr>
          <w:noProof/>
        </w:rPr>
        <w:t> </w:t>
      </w:r>
      <w:r w:rsidR="0031342C" w:rsidRPr="00DF3EF6">
        <w:rPr>
          <w:noProof/>
        </w:rPr>
        <w:t>zal</w:t>
      </w:r>
      <w:r w:rsidR="13FDC6A8" w:rsidRPr="00DF3EF6">
        <w:rPr>
          <w:noProof/>
        </w:rPr>
        <w:t>eżności od rodzaju</w:t>
      </w:r>
      <w:r w:rsidR="0031342C" w:rsidRPr="00DF3EF6">
        <w:rPr>
          <w:noProof/>
        </w:rPr>
        <w:t xml:space="preserve"> i</w:t>
      </w:r>
      <w:r w:rsidR="0031342C">
        <w:rPr>
          <w:noProof/>
        </w:rPr>
        <w:t> </w:t>
      </w:r>
      <w:r w:rsidR="0031342C" w:rsidRPr="00DF3EF6">
        <w:rPr>
          <w:noProof/>
        </w:rPr>
        <w:t>mod</w:t>
      </w:r>
      <w:r w:rsidR="13FDC6A8" w:rsidRPr="00DF3EF6">
        <w:rPr>
          <w:noProof/>
        </w:rPr>
        <w:t>elu biznesowego instytucji finansowej mogą zdarzyć się sytuacje,</w:t>
      </w:r>
      <w:r w:rsidR="0031342C" w:rsidRPr="00DF3EF6">
        <w:rPr>
          <w:noProof/>
        </w:rPr>
        <w:t xml:space="preserve"> w</w:t>
      </w:r>
      <w:r w:rsidR="0031342C">
        <w:rPr>
          <w:noProof/>
        </w:rPr>
        <w:t> </w:t>
      </w:r>
      <w:r w:rsidR="0031342C" w:rsidRPr="00DF3EF6">
        <w:rPr>
          <w:noProof/>
        </w:rPr>
        <w:t>któ</w:t>
      </w:r>
      <w:r w:rsidR="13FDC6A8" w:rsidRPr="00DF3EF6">
        <w:rPr>
          <w:noProof/>
        </w:rPr>
        <w:t>rych wypłata bezpośrednio na rzecz klienta mogłaby narazić na szkodę posiadacza rachunku. Systemom gwarancji depozytów należy zatem zezwolić na wypłatę określonych kwot na rachunek klienta otwarty przez posiadacza rachunku</w:t>
      </w:r>
      <w:r w:rsidR="0031342C" w:rsidRPr="00DF3EF6">
        <w:rPr>
          <w:noProof/>
        </w:rPr>
        <w:t xml:space="preserve"> w</w:t>
      </w:r>
      <w:r w:rsidR="0031342C">
        <w:rPr>
          <w:noProof/>
        </w:rPr>
        <w:t> </w:t>
      </w:r>
      <w:r w:rsidR="0031342C" w:rsidRPr="00DF3EF6">
        <w:rPr>
          <w:noProof/>
        </w:rPr>
        <w:t>inn</w:t>
      </w:r>
      <w:r w:rsidR="13FDC6A8" w:rsidRPr="00DF3EF6">
        <w:rPr>
          <w:noProof/>
        </w:rPr>
        <w:t>ej instytucji kredytowej na rzecz każdego klienta, jeżeli spełnione są określone kryteria</w:t>
      </w:r>
      <w:r w:rsidR="0031342C" w:rsidRPr="00DF3EF6">
        <w:rPr>
          <w:noProof/>
        </w:rPr>
        <w:t>. W</w:t>
      </w:r>
      <w:r w:rsidR="0031342C">
        <w:rPr>
          <w:noProof/>
        </w:rPr>
        <w:t> </w:t>
      </w:r>
      <w:r w:rsidR="0031342C" w:rsidRPr="00DF3EF6">
        <w:rPr>
          <w:noProof/>
        </w:rPr>
        <w:t>cel</w:t>
      </w:r>
      <w:r w:rsidR="13FDC6A8" w:rsidRPr="00DF3EF6">
        <w:rPr>
          <w:noProof/>
        </w:rPr>
        <w:t>u uniknięcia</w:t>
      </w:r>
      <w:r w:rsidR="0031342C" w:rsidRPr="00DF3EF6">
        <w:rPr>
          <w:noProof/>
        </w:rPr>
        <w:t xml:space="preserve"> w</w:t>
      </w:r>
      <w:r w:rsidR="0031342C">
        <w:rPr>
          <w:noProof/>
        </w:rPr>
        <w:t> </w:t>
      </w:r>
      <w:r w:rsidR="0031342C" w:rsidRPr="00DF3EF6">
        <w:rPr>
          <w:noProof/>
        </w:rPr>
        <w:t>tyc</w:t>
      </w:r>
      <w:r w:rsidR="13FDC6A8" w:rsidRPr="00DF3EF6">
        <w:rPr>
          <w:noProof/>
        </w:rPr>
        <w:t>h sytuacjach ryzyka podwójnej płatności wszelkie roszczenia klientów</w:t>
      </w:r>
      <w:r w:rsidR="0031342C" w:rsidRPr="00DF3EF6">
        <w:rPr>
          <w:noProof/>
        </w:rPr>
        <w:t xml:space="preserve"> w</w:t>
      </w:r>
      <w:r w:rsidR="0031342C">
        <w:rPr>
          <w:noProof/>
        </w:rPr>
        <w:t> </w:t>
      </w:r>
      <w:r w:rsidR="0031342C" w:rsidRPr="00DF3EF6">
        <w:rPr>
          <w:noProof/>
        </w:rPr>
        <w:t>odn</w:t>
      </w:r>
      <w:r w:rsidR="13FDC6A8" w:rsidRPr="00DF3EF6">
        <w:rPr>
          <w:noProof/>
        </w:rPr>
        <w:t>iesieniu do kwot przechowywanych</w:t>
      </w:r>
      <w:r w:rsidR="0031342C" w:rsidRPr="00DF3EF6">
        <w:rPr>
          <w:noProof/>
        </w:rPr>
        <w:t xml:space="preserve"> w</w:t>
      </w:r>
      <w:r w:rsidR="0031342C">
        <w:rPr>
          <w:noProof/>
        </w:rPr>
        <w:t> </w:t>
      </w:r>
      <w:r w:rsidR="0031342C" w:rsidRPr="00DF3EF6">
        <w:rPr>
          <w:noProof/>
        </w:rPr>
        <w:t>ich</w:t>
      </w:r>
      <w:r w:rsidR="13FDC6A8" w:rsidRPr="00DF3EF6">
        <w:rPr>
          <w:noProof/>
        </w:rPr>
        <w:t xml:space="preserve"> imieniu przez posiadacza rachunku należy obniżyć</w:t>
      </w:r>
      <w:r w:rsidR="0031342C" w:rsidRPr="00DF3EF6">
        <w:rPr>
          <w:noProof/>
        </w:rPr>
        <w:t xml:space="preserve"> o</w:t>
      </w:r>
      <w:r w:rsidR="0031342C">
        <w:rPr>
          <w:noProof/>
        </w:rPr>
        <w:t> </w:t>
      </w:r>
      <w:r w:rsidR="0031342C" w:rsidRPr="00DF3EF6">
        <w:rPr>
          <w:noProof/>
        </w:rPr>
        <w:t>kwo</w:t>
      </w:r>
      <w:r w:rsidR="13FDC6A8" w:rsidRPr="00DF3EF6">
        <w:rPr>
          <w:noProof/>
        </w:rPr>
        <w:t>tę wypłaconą tym klientom bezpośrednio przez system gwarancji depozytów. EUNB powinien zatem opracować projekt regulacyjnych standardów technicznych</w:t>
      </w:r>
      <w:r w:rsidR="0031342C" w:rsidRPr="00DF3EF6">
        <w:rPr>
          <w:noProof/>
        </w:rPr>
        <w:t xml:space="preserve"> w</w:t>
      </w:r>
      <w:r w:rsidR="0031342C">
        <w:rPr>
          <w:noProof/>
        </w:rPr>
        <w:t> </w:t>
      </w:r>
      <w:r w:rsidR="0031342C" w:rsidRPr="00DF3EF6">
        <w:rPr>
          <w:noProof/>
        </w:rPr>
        <w:t>cel</w:t>
      </w:r>
      <w:r w:rsidR="13FDC6A8" w:rsidRPr="00DF3EF6">
        <w:rPr>
          <w:noProof/>
        </w:rPr>
        <w:t>u określenia szczegółów technicznych związanych</w:t>
      </w:r>
      <w:r w:rsidR="0031342C" w:rsidRPr="00DF3EF6">
        <w:rPr>
          <w:noProof/>
        </w:rPr>
        <w:t xml:space="preserve"> z</w:t>
      </w:r>
      <w:r w:rsidR="0031342C">
        <w:rPr>
          <w:noProof/>
        </w:rPr>
        <w:t> </w:t>
      </w:r>
      <w:r w:rsidR="0031342C" w:rsidRPr="00DF3EF6">
        <w:rPr>
          <w:noProof/>
        </w:rPr>
        <w:t>ide</w:t>
      </w:r>
      <w:r w:rsidR="13FDC6A8" w:rsidRPr="00DF3EF6">
        <w:rPr>
          <w:noProof/>
        </w:rPr>
        <w:t>ntyfikacją klientów na potrzeby wypłaty, kryteriów wypłaty posiadaczowi rachunku na rzecz każdego</w:t>
      </w:r>
      <w:r w:rsidR="0031342C" w:rsidRPr="00DF3EF6">
        <w:rPr>
          <w:noProof/>
        </w:rPr>
        <w:t xml:space="preserve"> z</w:t>
      </w:r>
      <w:r w:rsidR="0031342C">
        <w:rPr>
          <w:noProof/>
        </w:rPr>
        <w:t> </w:t>
      </w:r>
      <w:r w:rsidR="0031342C" w:rsidRPr="00DF3EF6">
        <w:rPr>
          <w:noProof/>
        </w:rPr>
        <w:t>kli</w:t>
      </w:r>
      <w:r w:rsidR="13FDC6A8" w:rsidRPr="00DF3EF6">
        <w:rPr>
          <w:noProof/>
        </w:rPr>
        <w:t>entów albo klientowi bezpośrednio, jak również zasad mających na celu uniknięcie wielokrotnych roszczeń</w:t>
      </w:r>
      <w:r w:rsidR="0031342C" w:rsidRPr="00DF3EF6">
        <w:rPr>
          <w:noProof/>
        </w:rPr>
        <w:t xml:space="preserve"> o</w:t>
      </w:r>
      <w:r w:rsidR="0031342C">
        <w:rPr>
          <w:noProof/>
        </w:rPr>
        <w:t> </w:t>
      </w:r>
      <w:r w:rsidR="0031342C" w:rsidRPr="00DF3EF6">
        <w:rPr>
          <w:noProof/>
        </w:rPr>
        <w:t>wyp</w:t>
      </w:r>
      <w:r w:rsidR="13FDC6A8" w:rsidRPr="00DF3EF6">
        <w:rPr>
          <w:noProof/>
        </w:rPr>
        <w:t>łaty na rzecz tego samego beneficjenta.</w:t>
      </w:r>
    </w:p>
    <w:p w14:paraId="016D74F4" w14:textId="00F79E29" w:rsidR="00663BFD" w:rsidRPr="00DF3EF6" w:rsidRDefault="00322779" w:rsidP="00322779">
      <w:pPr>
        <w:pStyle w:val="ManualConsidrant"/>
        <w:rPr>
          <w:noProof/>
        </w:rPr>
      </w:pPr>
      <w:r w:rsidRPr="00322779">
        <w:t>(15)</w:t>
      </w:r>
      <w:r w:rsidRPr="00322779">
        <w:tab/>
      </w:r>
      <w:r w:rsidR="07B5D4DD" w:rsidRPr="00DF3EF6">
        <w:rPr>
          <w:noProof/>
        </w:rPr>
        <w:t>W przypadku dokonywania wypłat na rzecz deponentów systemy gwarancji depozytów mogą znaleźć się</w:t>
      </w:r>
      <w:r w:rsidR="0031342C" w:rsidRPr="00DF3EF6">
        <w:rPr>
          <w:noProof/>
        </w:rPr>
        <w:t xml:space="preserve"> w</w:t>
      </w:r>
      <w:r w:rsidR="0031342C">
        <w:rPr>
          <w:noProof/>
        </w:rPr>
        <w:t> </w:t>
      </w:r>
      <w:r w:rsidR="0031342C" w:rsidRPr="00DF3EF6">
        <w:rPr>
          <w:noProof/>
        </w:rPr>
        <w:t>syt</w:t>
      </w:r>
      <w:r w:rsidR="07B5D4DD" w:rsidRPr="00DF3EF6">
        <w:rPr>
          <w:noProof/>
        </w:rPr>
        <w:t>uacjach, które powodują powstanie obaw dotyczących prania pieniędzy. System gwarancji depozytów powinien zatem wstrzymać wypłatę na rzecz deponenta, jeżeli otrzymał zawiadomienie, że jednostka analityki finansowej zawiesiła rachunek bankowy lub płatniczy zgodnie</w:t>
      </w:r>
      <w:r w:rsidR="0031342C" w:rsidRPr="00DF3EF6">
        <w:rPr>
          <w:noProof/>
        </w:rPr>
        <w:t xml:space="preserve"> z</w:t>
      </w:r>
      <w:r w:rsidR="0031342C">
        <w:rPr>
          <w:noProof/>
        </w:rPr>
        <w:t> </w:t>
      </w:r>
      <w:r w:rsidR="0031342C" w:rsidRPr="00DF3EF6">
        <w:rPr>
          <w:noProof/>
        </w:rPr>
        <w:t>obo</w:t>
      </w:r>
      <w:r w:rsidR="07B5D4DD" w:rsidRPr="00DF3EF6">
        <w:rPr>
          <w:noProof/>
        </w:rPr>
        <w:t>wiązującymi przepisami dotyczącymi przeciwdziałania praniu pieniędzy.</w:t>
      </w:r>
    </w:p>
    <w:p w14:paraId="5F2C69FD" w14:textId="7D8F63E1" w:rsidR="00600816" w:rsidRPr="00DF3EF6" w:rsidRDefault="00322779" w:rsidP="00322779">
      <w:pPr>
        <w:pStyle w:val="ManualConsidrant"/>
        <w:rPr>
          <w:noProof/>
        </w:rPr>
      </w:pPr>
      <w:r w:rsidRPr="00322779">
        <w:t>(16)</w:t>
      </w:r>
      <w:r w:rsidRPr="00322779">
        <w:tab/>
      </w:r>
      <w:r w:rsidR="7E2D4DDD" w:rsidRPr="00DF3EF6">
        <w:rPr>
          <w:noProof/>
        </w:rPr>
        <w:t xml:space="preserve">W </w:t>
      </w:r>
      <w:r w:rsidR="7E2D4DDD" w:rsidRPr="0031342C">
        <w:rPr>
          <w:noProof/>
        </w:rPr>
        <w:t>art.</w:t>
      </w:r>
      <w:r w:rsidR="0031342C" w:rsidRPr="0031342C">
        <w:rPr>
          <w:noProof/>
        </w:rPr>
        <w:t> </w:t>
      </w:r>
      <w:r w:rsidR="7E2D4DDD" w:rsidRPr="0031342C">
        <w:rPr>
          <w:noProof/>
        </w:rPr>
        <w:t>9</w:t>
      </w:r>
      <w:r w:rsidR="7E2D4DDD" w:rsidRPr="00DF3EF6">
        <w:rPr>
          <w:noProof/>
        </w:rPr>
        <w:t xml:space="preserve"> dyrektywy 2014/49/UE przewidziano, że</w:t>
      </w:r>
      <w:r w:rsidR="0031342C" w:rsidRPr="00DF3EF6">
        <w:rPr>
          <w:noProof/>
        </w:rPr>
        <w:t xml:space="preserve"> w</w:t>
      </w:r>
      <w:r w:rsidR="0031342C">
        <w:rPr>
          <w:noProof/>
        </w:rPr>
        <w:t> </w:t>
      </w:r>
      <w:r w:rsidR="0031342C" w:rsidRPr="00DF3EF6">
        <w:rPr>
          <w:noProof/>
        </w:rPr>
        <w:t>prz</w:t>
      </w:r>
      <w:r w:rsidR="7E2D4DDD" w:rsidRPr="00DF3EF6">
        <w:rPr>
          <w:noProof/>
        </w:rPr>
        <w:t>ypadku gdy system gwarancji depozytów dokonuje płatności</w:t>
      </w:r>
      <w:r w:rsidR="0031342C" w:rsidRPr="00DF3EF6">
        <w:rPr>
          <w:noProof/>
        </w:rPr>
        <w:t xml:space="preserve"> w</w:t>
      </w:r>
      <w:r w:rsidR="0031342C">
        <w:rPr>
          <w:noProof/>
        </w:rPr>
        <w:t> </w:t>
      </w:r>
      <w:r w:rsidR="0031342C" w:rsidRPr="00DF3EF6">
        <w:rPr>
          <w:noProof/>
        </w:rPr>
        <w:t>kon</w:t>
      </w:r>
      <w:r w:rsidR="7E2D4DDD" w:rsidRPr="00DF3EF6">
        <w:rPr>
          <w:noProof/>
        </w:rPr>
        <w:t>tekście postępowania</w:t>
      </w:r>
      <w:r w:rsidR="0031342C" w:rsidRPr="00DF3EF6">
        <w:rPr>
          <w:noProof/>
        </w:rPr>
        <w:t xml:space="preserve"> w</w:t>
      </w:r>
      <w:r w:rsidR="0031342C">
        <w:rPr>
          <w:noProof/>
        </w:rPr>
        <w:t> </w:t>
      </w:r>
      <w:r w:rsidR="0031342C" w:rsidRPr="00DF3EF6">
        <w:rPr>
          <w:noProof/>
        </w:rPr>
        <w:t>spr</w:t>
      </w:r>
      <w:r w:rsidR="7E2D4DDD" w:rsidRPr="00DF3EF6">
        <w:rPr>
          <w:noProof/>
        </w:rPr>
        <w:t>awie restrukturyzacji</w:t>
      </w:r>
      <w:r w:rsidR="0031342C" w:rsidRPr="00DF3EF6">
        <w:rPr>
          <w:noProof/>
        </w:rPr>
        <w:t xml:space="preserve"> i</w:t>
      </w:r>
      <w:r w:rsidR="0031342C">
        <w:rPr>
          <w:noProof/>
        </w:rPr>
        <w:t> </w:t>
      </w:r>
      <w:r w:rsidR="0031342C" w:rsidRPr="00DF3EF6">
        <w:rPr>
          <w:noProof/>
        </w:rPr>
        <w:t>upo</w:t>
      </w:r>
      <w:r w:rsidR="7E2D4DDD" w:rsidRPr="00DF3EF6">
        <w:rPr>
          <w:noProof/>
        </w:rPr>
        <w:t>rządkowanej likwidacji, systemowi gwarancji depozytów przysługuje wobec danej instytucji kredytowej roszczenie na kwotę równą kwocie dokonanych przez niego płatności,</w:t>
      </w:r>
      <w:r w:rsidR="0031342C" w:rsidRPr="00DF3EF6">
        <w:rPr>
          <w:noProof/>
        </w:rPr>
        <w:t xml:space="preserve"> a</w:t>
      </w:r>
      <w:r w:rsidR="0031342C">
        <w:rPr>
          <w:noProof/>
        </w:rPr>
        <w:t> </w:t>
      </w:r>
      <w:r w:rsidR="0031342C" w:rsidRPr="00DF3EF6">
        <w:rPr>
          <w:noProof/>
        </w:rPr>
        <w:t>ros</w:t>
      </w:r>
      <w:r w:rsidR="7E2D4DDD" w:rsidRPr="00DF3EF6">
        <w:rPr>
          <w:noProof/>
        </w:rPr>
        <w:t>zczenie to ma taki sam stopień uprzywilejowania co depozyty gwarantowane</w:t>
      </w:r>
      <w:r w:rsidR="0031342C" w:rsidRPr="00DF3EF6">
        <w:rPr>
          <w:noProof/>
        </w:rPr>
        <w:t>. W</w:t>
      </w:r>
      <w:r w:rsidR="0031342C">
        <w:rPr>
          <w:noProof/>
        </w:rPr>
        <w:t> </w:t>
      </w:r>
      <w:r w:rsidR="0031342C" w:rsidRPr="00DF3EF6">
        <w:rPr>
          <w:noProof/>
        </w:rPr>
        <w:t>prz</w:t>
      </w:r>
      <w:r w:rsidR="7E2D4DDD" w:rsidRPr="00DF3EF6">
        <w:rPr>
          <w:noProof/>
        </w:rPr>
        <w:t>episie tym nie dokonano rozróżnienia na wkład systemu gwarancji depozytów</w:t>
      </w:r>
      <w:r w:rsidR="0031342C" w:rsidRPr="00DF3EF6">
        <w:rPr>
          <w:noProof/>
        </w:rPr>
        <w:t xml:space="preserve"> w</w:t>
      </w:r>
      <w:r w:rsidR="0031342C">
        <w:rPr>
          <w:noProof/>
        </w:rPr>
        <w:t> </w:t>
      </w:r>
      <w:r w:rsidR="0031342C" w:rsidRPr="00DF3EF6">
        <w:rPr>
          <w:noProof/>
        </w:rPr>
        <w:t>prz</w:t>
      </w:r>
      <w:r w:rsidR="7E2D4DDD" w:rsidRPr="00DF3EF6">
        <w:rPr>
          <w:noProof/>
        </w:rPr>
        <w:t>ypadku korzystania</w:t>
      </w:r>
      <w:r w:rsidR="0031342C" w:rsidRPr="00DF3EF6">
        <w:rPr>
          <w:noProof/>
        </w:rPr>
        <w:t xml:space="preserve"> z</w:t>
      </w:r>
      <w:r w:rsidR="0031342C">
        <w:rPr>
          <w:noProof/>
        </w:rPr>
        <w:t> </w:t>
      </w:r>
      <w:r w:rsidR="0031342C" w:rsidRPr="00DF3EF6">
        <w:rPr>
          <w:noProof/>
        </w:rPr>
        <w:t>ins</w:t>
      </w:r>
      <w:r w:rsidR="7E2D4DDD" w:rsidRPr="00DF3EF6">
        <w:rPr>
          <w:noProof/>
        </w:rPr>
        <w:t>trumentu umorzenia lub konwersji długu przy kontynuacji działalności</w:t>
      </w:r>
      <w:r w:rsidR="0031342C" w:rsidRPr="00DF3EF6">
        <w:rPr>
          <w:noProof/>
        </w:rPr>
        <w:t xml:space="preserve"> i</w:t>
      </w:r>
      <w:r w:rsidR="0031342C">
        <w:rPr>
          <w:noProof/>
        </w:rPr>
        <w:t> </w:t>
      </w:r>
      <w:r w:rsidR="0031342C" w:rsidRPr="00DF3EF6">
        <w:rPr>
          <w:noProof/>
        </w:rPr>
        <w:t>wkł</w:t>
      </w:r>
      <w:r w:rsidR="7E2D4DDD" w:rsidRPr="00DF3EF6">
        <w:rPr>
          <w:noProof/>
        </w:rPr>
        <w:t>ad systemu gwarancji depozytów</w:t>
      </w:r>
      <w:r w:rsidR="0031342C" w:rsidRPr="00DF3EF6">
        <w:rPr>
          <w:noProof/>
        </w:rPr>
        <w:t xml:space="preserve"> w</w:t>
      </w:r>
      <w:r w:rsidR="0031342C">
        <w:rPr>
          <w:noProof/>
        </w:rPr>
        <w:t> </w:t>
      </w:r>
      <w:r w:rsidR="0031342C" w:rsidRPr="00DF3EF6">
        <w:rPr>
          <w:noProof/>
        </w:rPr>
        <w:t>fin</w:t>
      </w:r>
      <w:r w:rsidR="7E2D4DDD" w:rsidRPr="00DF3EF6">
        <w:rPr>
          <w:noProof/>
        </w:rPr>
        <w:t>ansowanie strategii zakładającej przeniesienie (sprzedaż przedsiębiorstwa lub instrument instytucji pomostowej), po którym to przeniesieniu następuje likwidacji pozostałej części podmiotu</w:t>
      </w:r>
      <w:r w:rsidR="0031342C" w:rsidRPr="00DF3EF6">
        <w:rPr>
          <w:noProof/>
        </w:rPr>
        <w:t>. W</w:t>
      </w:r>
      <w:r w:rsidR="0031342C">
        <w:rPr>
          <w:noProof/>
        </w:rPr>
        <w:t> </w:t>
      </w:r>
      <w:r w:rsidR="0031342C" w:rsidRPr="00DF3EF6">
        <w:rPr>
          <w:noProof/>
        </w:rPr>
        <w:t>cel</w:t>
      </w:r>
      <w:r w:rsidR="7E2D4DDD" w:rsidRPr="00DF3EF6">
        <w:rPr>
          <w:noProof/>
        </w:rPr>
        <w:t>u zapewnienia jasności</w:t>
      </w:r>
      <w:r w:rsidR="0031342C" w:rsidRPr="00DF3EF6">
        <w:rPr>
          <w:noProof/>
        </w:rPr>
        <w:t xml:space="preserve"> i</w:t>
      </w:r>
      <w:r w:rsidR="0031342C">
        <w:rPr>
          <w:noProof/>
        </w:rPr>
        <w:t> </w:t>
      </w:r>
      <w:r w:rsidR="0031342C" w:rsidRPr="00DF3EF6">
        <w:rPr>
          <w:noProof/>
        </w:rPr>
        <w:t>pew</w:t>
      </w:r>
      <w:r w:rsidR="7E2D4DDD" w:rsidRPr="00DF3EF6">
        <w:rPr>
          <w:noProof/>
        </w:rPr>
        <w:t>ności prawa</w:t>
      </w:r>
      <w:r w:rsidR="0031342C" w:rsidRPr="00DF3EF6">
        <w:rPr>
          <w:noProof/>
        </w:rPr>
        <w:t xml:space="preserve"> w</w:t>
      </w:r>
      <w:r w:rsidR="0031342C">
        <w:rPr>
          <w:noProof/>
        </w:rPr>
        <w:t> </w:t>
      </w:r>
      <w:r w:rsidR="0031342C" w:rsidRPr="00DF3EF6">
        <w:rPr>
          <w:noProof/>
        </w:rPr>
        <w:t>odn</w:t>
      </w:r>
      <w:r w:rsidR="7E2D4DDD" w:rsidRPr="00DF3EF6">
        <w:rPr>
          <w:noProof/>
        </w:rPr>
        <w:t>iesieniu do istnienia</w:t>
      </w:r>
      <w:r w:rsidR="0031342C" w:rsidRPr="00DF3EF6">
        <w:rPr>
          <w:noProof/>
        </w:rPr>
        <w:t xml:space="preserve"> i</w:t>
      </w:r>
      <w:r w:rsidR="0031342C">
        <w:rPr>
          <w:noProof/>
        </w:rPr>
        <w:t> </w:t>
      </w:r>
      <w:r w:rsidR="0031342C" w:rsidRPr="00DF3EF6">
        <w:rPr>
          <w:noProof/>
        </w:rPr>
        <w:t>kwo</w:t>
      </w:r>
      <w:r w:rsidR="7E2D4DDD" w:rsidRPr="00DF3EF6">
        <w:rPr>
          <w:noProof/>
        </w:rPr>
        <w:t>ty roszczenia przysługującego systemowi gwarancji depozytów</w:t>
      </w:r>
      <w:r w:rsidR="0031342C" w:rsidRPr="00DF3EF6">
        <w:rPr>
          <w:noProof/>
        </w:rPr>
        <w:t xml:space="preserve"> w</w:t>
      </w:r>
      <w:r w:rsidR="0031342C">
        <w:rPr>
          <w:noProof/>
        </w:rPr>
        <w:t> </w:t>
      </w:r>
      <w:r w:rsidR="0031342C" w:rsidRPr="00DF3EF6">
        <w:rPr>
          <w:noProof/>
        </w:rPr>
        <w:t>róż</w:t>
      </w:r>
      <w:r w:rsidR="7E2D4DDD" w:rsidRPr="00DF3EF6">
        <w:rPr>
          <w:noProof/>
        </w:rPr>
        <w:t>nych scenariuszach należy uściślić, że gdy wkład systemu gwarancji depozytów wspiera stosowanie instrumentu zbycia działalności lub instrumentu instytucji pomostowej bądź środków alternatywnych,</w:t>
      </w:r>
      <w:r w:rsidR="0031342C" w:rsidRPr="00DF3EF6">
        <w:rPr>
          <w:noProof/>
        </w:rPr>
        <w:t xml:space="preserve"> w</w:t>
      </w:r>
      <w:r w:rsidR="0031342C">
        <w:rPr>
          <w:noProof/>
        </w:rPr>
        <w:t> </w:t>
      </w:r>
      <w:r w:rsidR="0031342C" w:rsidRPr="00DF3EF6">
        <w:rPr>
          <w:noProof/>
        </w:rPr>
        <w:t>wyn</w:t>
      </w:r>
      <w:r w:rsidR="7E2D4DDD" w:rsidRPr="00DF3EF6">
        <w:rPr>
          <w:noProof/>
        </w:rPr>
        <w:t xml:space="preserve">iku czego pulę aktywów, </w:t>
      </w:r>
      <w:r w:rsidR="7E2D4DDD" w:rsidRPr="00DF3EF6">
        <w:rPr>
          <w:noProof/>
        </w:rPr>
        <w:lastRenderedPageBreak/>
        <w:t>praw</w:t>
      </w:r>
      <w:r w:rsidR="0031342C" w:rsidRPr="00DF3EF6">
        <w:rPr>
          <w:noProof/>
        </w:rPr>
        <w:t xml:space="preserve"> i</w:t>
      </w:r>
      <w:r w:rsidR="0031342C">
        <w:rPr>
          <w:noProof/>
        </w:rPr>
        <w:t> </w:t>
      </w:r>
      <w:r w:rsidR="0031342C" w:rsidRPr="00DF3EF6">
        <w:rPr>
          <w:noProof/>
        </w:rPr>
        <w:t>zob</w:t>
      </w:r>
      <w:r w:rsidR="7E2D4DDD" w:rsidRPr="00DF3EF6">
        <w:rPr>
          <w:noProof/>
        </w:rPr>
        <w:t>owiązań,</w:t>
      </w:r>
      <w:r w:rsidR="0031342C" w:rsidRPr="00DF3EF6">
        <w:rPr>
          <w:noProof/>
        </w:rPr>
        <w:t xml:space="preserve"> w</w:t>
      </w:r>
      <w:r w:rsidR="0031342C">
        <w:rPr>
          <w:noProof/>
        </w:rPr>
        <w:t> </w:t>
      </w:r>
      <w:r w:rsidR="0031342C" w:rsidRPr="00DF3EF6">
        <w:rPr>
          <w:noProof/>
        </w:rPr>
        <w:t>tym</w:t>
      </w:r>
      <w:r w:rsidR="7E2D4DDD" w:rsidRPr="00DF3EF6">
        <w:rPr>
          <w:noProof/>
        </w:rPr>
        <w:t xml:space="preserve"> depozytów, instytucji kredytowej przenosi się na odbiorcę, temu systemowi gwarancji depozytów powinno przysługiwać roszczenie wobec pozostałej części podmiotu</w:t>
      </w:r>
      <w:r w:rsidR="0031342C" w:rsidRPr="00DF3EF6">
        <w:rPr>
          <w:noProof/>
        </w:rPr>
        <w:t xml:space="preserve"> w</w:t>
      </w:r>
      <w:r w:rsidR="0031342C">
        <w:rPr>
          <w:noProof/>
        </w:rPr>
        <w:t> </w:t>
      </w:r>
      <w:r w:rsidR="0031342C" w:rsidRPr="00DF3EF6">
        <w:rPr>
          <w:noProof/>
        </w:rPr>
        <w:t>pos</w:t>
      </w:r>
      <w:r w:rsidR="7E2D4DDD" w:rsidRPr="00DF3EF6">
        <w:rPr>
          <w:noProof/>
        </w:rPr>
        <w:t>tępowaniu likwidacyjnym prowadzonym następnie na podstawie prawa krajowego</w:t>
      </w:r>
      <w:r w:rsidR="0031342C" w:rsidRPr="00DF3EF6">
        <w:rPr>
          <w:noProof/>
        </w:rPr>
        <w:t>. W</w:t>
      </w:r>
      <w:r w:rsidR="0031342C">
        <w:rPr>
          <w:noProof/>
        </w:rPr>
        <w:t> </w:t>
      </w:r>
      <w:r w:rsidR="0031342C" w:rsidRPr="00DF3EF6">
        <w:rPr>
          <w:noProof/>
        </w:rPr>
        <w:t>cel</w:t>
      </w:r>
      <w:r w:rsidR="7E2D4DDD" w:rsidRPr="00DF3EF6">
        <w:rPr>
          <w:noProof/>
        </w:rPr>
        <w:t>u zapewnienia, aby akcjonariusze</w:t>
      </w:r>
      <w:r w:rsidR="0031342C" w:rsidRPr="00DF3EF6">
        <w:rPr>
          <w:noProof/>
        </w:rPr>
        <w:t xml:space="preserve"> i</w:t>
      </w:r>
      <w:r w:rsidR="0031342C">
        <w:rPr>
          <w:noProof/>
        </w:rPr>
        <w:t> </w:t>
      </w:r>
      <w:r w:rsidR="0031342C" w:rsidRPr="00DF3EF6">
        <w:rPr>
          <w:noProof/>
        </w:rPr>
        <w:t>wie</w:t>
      </w:r>
      <w:r w:rsidR="7E2D4DDD" w:rsidRPr="00DF3EF6">
        <w:rPr>
          <w:noProof/>
        </w:rPr>
        <w:t>rzyciele instytucji kredytowej pozostawieni</w:t>
      </w:r>
      <w:r w:rsidR="0031342C" w:rsidRPr="00DF3EF6">
        <w:rPr>
          <w:noProof/>
        </w:rPr>
        <w:t xml:space="preserve"> w</w:t>
      </w:r>
      <w:r w:rsidR="0031342C">
        <w:rPr>
          <w:noProof/>
        </w:rPr>
        <w:t> </w:t>
      </w:r>
      <w:r w:rsidR="0031342C" w:rsidRPr="00DF3EF6">
        <w:rPr>
          <w:noProof/>
        </w:rPr>
        <w:t>poz</w:t>
      </w:r>
      <w:r w:rsidR="7E2D4DDD" w:rsidRPr="00DF3EF6">
        <w:rPr>
          <w:noProof/>
        </w:rPr>
        <w:t>ostałej części podmiotu faktycznie pokryli straty tej instytucji kredytowej, zwiększając tym samym możliwość uzyskania</w:t>
      </w:r>
      <w:r w:rsidR="0031342C" w:rsidRPr="00DF3EF6">
        <w:rPr>
          <w:noProof/>
        </w:rPr>
        <w:t xml:space="preserve"> w</w:t>
      </w:r>
      <w:r w:rsidR="0031342C">
        <w:rPr>
          <w:noProof/>
        </w:rPr>
        <w:t> </w:t>
      </w:r>
      <w:r w:rsidR="0031342C" w:rsidRPr="00DF3EF6">
        <w:rPr>
          <w:noProof/>
        </w:rPr>
        <w:t>pos</w:t>
      </w:r>
      <w:r w:rsidR="7E2D4DDD" w:rsidRPr="00DF3EF6">
        <w:rPr>
          <w:noProof/>
        </w:rPr>
        <w:t>tępowaniu upadłościowym zwrotu na rzecz systemu gwarancji depozytów, roszczenie systemu gwarancji depozytów powinno mieć taki sam stopień uprzywilejowania co roszczenie deponentów</w:t>
      </w:r>
      <w:r w:rsidR="0031342C" w:rsidRPr="00DF3EF6">
        <w:rPr>
          <w:noProof/>
        </w:rPr>
        <w:t>. W</w:t>
      </w:r>
      <w:r w:rsidR="0031342C">
        <w:rPr>
          <w:noProof/>
        </w:rPr>
        <w:t> </w:t>
      </w:r>
      <w:r w:rsidR="0031342C" w:rsidRPr="00DF3EF6">
        <w:rPr>
          <w:noProof/>
        </w:rPr>
        <w:t>prz</w:t>
      </w:r>
      <w:r w:rsidR="7E2D4DDD" w:rsidRPr="00DF3EF6">
        <w:rPr>
          <w:noProof/>
        </w:rPr>
        <w:t>ypadku zastosowania instrumentu umorzenia lub konwersji długu przy kontynuacji działalności (tj. gdy instytucja kredytowa kontynuuje działalność) system gwarancji depozytów wnosi wkład</w:t>
      </w:r>
      <w:r w:rsidR="0031342C" w:rsidRPr="00DF3EF6">
        <w:rPr>
          <w:noProof/>
        </w:rPr>
        <w:t xml:space="preserve"> w</w:t>
      </w:r>
      <w:r w:rsidR="0031342C">
        <w:rPr>
          <w:noProof/>
        </w:rPr>
        <w:t> </w:t>
      </w:r>
      <w:r w:rsidR="0031342C" w:rsidRPr="00DF3EF6">
        <w:rPr>
          <w:noProof/>
        </w:rPr>
        <w:t>kwo</w:t>
      </w:r>
      <w:r w:rsidR="7E2D4DDD" w:rsidRPr="00DF3EF6">
        <w:rPr>
          <w:noProof/>
        </w:rPr>
        <w:t>cie,</w:t>
      </w:r>
      <w:r w:rsidR="0031342C" w:rsidRPr="00DF3EF6">
        <w:rPr>
          <w:noProof/>
        </w:rPr>
        <w:t xml:space="preserve"> o</w:t>
      </w:r>
      <w:r w:rsidR="0031342C">
        <w:rPr>
          <w:noProof/>
        </w:rPr>
        <w:t> </w:t>
      </w:r>
      <w:r w:rsidR="0031342C" w:rsidRPr="00DF3EF6">
        <w:rPr>
          <w:noProof/>
        </w:rPr>
        <w:t>któ</w:t>
      </w:r>
      <w:r w:rsidR="7E2D4DDD" w:rsidRPr="00DF3EF6">
        <w:rPr>
          <w:noProof/>
        </w:rPr>
        <w:t>rą depozyty gwarantowane zostałyby pomniejszone</w:t>
      </w:r>
      <w:r w:rsidR="0031342C" w:rsidRPr="00DF3EF6">
        <w:rPr>
          <w:noProof/>
        </w:rPr>
        <w:t xml:space="preserve"> w</w:t>
      </w:r>
      <w:r w:rsidR="0031342C">
        <w:rPr>
          <w:noProof/>
        </w:rPr>
        <w:t> </w:t>
      </w:r>
      <w:r w:rsidR="0031342C" w:rsidRPr="00DF3EF6">
        <w:rPr>
          <w:noProof/>
        </w:rPr>
        <w:t>dro</w:t>
      </w:r>
      <w:r w:rsidR="7E2D4DDD" w:rsidRPr="00DF3EF6">
        <w:rPr>
          <w:noProof/>
        </w:rPr>
        <w:t>dze umorzenia, lub</w:t>
      </w:r>
      <w:r w:rsidR="0031342C" w:rsidRPr="00DF3EF6">
        <w:rPr>
          <w:noProof/>
        </w:rPr>
        <w:t xml:space="preserve"> w</w:t>
      </w:r>
      <w:r w:rsidR="0031342C">
        <w:rPr>
          <w:noProof/>
        </w:rPr>
        <w:t> </w:t>
      </w:r>
      <w:r w:rsidR="0031342C" w:rsidRPr="00DF3EF6">
        <w:rPr>
          <w:noProof/>
        </w:rPr>
        <w:t>kwo</w:t>
      </w:r>
      <w:r w:rsidR="7E2D4DDD" w:rsidRPr="00DF3EF6">
        <w:rPr>
          <w:noProof/>
        </w:rPr>
        <w:t>cie,</w:t>
      </w:r>
      <w:r w:rsidR="0031342C" w:rsidRPr="00DF3EF6">
        <w:rPr>
          <w:noProof/>
        </w:rPr>
        <w:t xml:space="preserve"> w</w:t>
      </w:r>
      <w:r w:rsidR="0031342C">
        <w:rPr>
          <w:noProof/>
        </w:rPr>
        <w:t> </w:t>
      </w:r>
      <w:r w:rsidR="0031342C" w:rsidRPr="00DF3EF6">
        <w:rPr>
          <w:noProof/>
        </w:rPr>
        <w:t>jak</w:t>
      </w:r>
      <w:r w:rsidR="7E2D4DDD" w:rsidRPr="00DF3EF6">
        <w:rPr>
          <w:noProof/>
        </w:rPr>
        <w:t>iej dokonano by konwersji</w:t>
      </w:r>
      <w:r w:rsidR="0031342C" w:rsidRPr="00DF3EF6">
        <w:rPr>
          <w:noProof/>
        </w:rPr>
        <w:t xml:space="preserve"> w</w:t>
      </w:r>
      <w:r w:rsidR="0031342C">
        <w:rPr>
          <w:noProof/>
        </w:rPr>
        <w:t> </w:t>
      </w:r>
      <w:r w:rsidR="0031342C" w:rsidRPr="00DF3EF6">
        <w:rPr>
          <w:noProof/>
        </w:rPr>
        <w:t>cel</w:t>
      </w:r>
      <w:r w:rsidR="7E2D4DDD" w:rsidRPr="00DF3EF6">
        <w:rPr>
          <w:noProof/>
        </w:rPr>
        <w:t>u pokrycia strat</w:t>
      </w:r>
      <w:r w:rsidR="0031342C" w:rsidRPr="00DF3EF6">
        <w:rPr>
          <w:noProof/>
        </w:rPr>
        <w:t xml:space="preserve"> w</w:t>
      </w:r>
      <w:r w:rsidR="0031342C">
        <w:rPr>
          <w:noProof/>
        </w:rPr>
        <w:t> </w:t>
      </w:r>
      <w:r w:rsidR="0031342C" w:rsidRPr="00DF3EF6">
        <w:rPr>
          <w:noProof/>
        </w:rPr>
        <w:t>tej</w:t>
      </w:r>
      <w:r w:rsidR="7E2D4DDD" w:rsidRPr="00DF3EF6">
        <w:rPr>
          <w:noProof/>
        </w:rPr>
        <w:t xml:space="preserve"> instytucji kredytowej, gdyby depozyty gwarantowane były objęte zakresem umorzenia lub konwersji długu</w:t>
      </w:r>
      <w:r w:rsidR="0031342C" w:rsidRPr="00DF3EF6">
        <w:rPr>
          <w:noProof/>
        </w:rPr>
        <w:t>. W</w:t>
      </w:r>
      <w:r w:rsidR="0031342C">
        <w:rPr>
          <w:noProof/>
        </w:rPr>
        <w:t> </w:t>
      </w:r>
      <w:r w:rsidR="0031342C" w:rsidRPr="00DF3EF6">
        <w:rPr>
          <w:noProof/>
        </w:rPr>
        <w:t>zwi</w:t>
      </w:r>
      <w:r w:rsidR="7E2D4DDD" w:rsidRPr="00DF3EF6">
        <w:rPr>
          <w:noProof/>
        </w:rPr>
        <w:t>ązku</w:t>
      </w:r>
      <w:r w:rsidR="0031342C" w:rsidRPr="00DF3EF6">
        <w:rPr>
          <w:noProof/>
        </w:rPr>
        <w:t xml:space="preserve"> z</w:t>
      </w:r>
      <w:r w:rsidR="0031342C">
        <w:rPr>
          <w:noProof/>
        </w:rPr>
        <w:t> </w:t>
      </w:r>
      <w:r w:rsidR="0031342C" w:rsidRPr="00DF3EF6">
        <w:rPr>
          <w:noProof/>
        </w:rPr>
        <w:t>tym</w:t>
      </w:r>
      <w:r w:rsidR="7E2D4DDD" w:rsidRPr="00DF3EF6">
        <w:rPr>
          <w:noProof/>
        </w:rPr>
        <w:t xml:space="preserve"> wkład systemu gwarancji depozytów nie powinien prowadzić do powstania roszczenia wobec instytucji objętej restrukturyzacją</w:t>
      </w:r>
      <w:r w:rsidR="0031342C" w:rsidRPr="00DF3EF6">
        <w:rPr>
          <w:noProof/>
        </w:rPr>
        <w:t xml:space="preserve"> i</w:t>
      </w:r>
      <w:r w:rsidR="0031342C">
        <w:rPr>
          <w:noProof/>
        </w:rPr>
        <w:t> </w:t>
      </w:r>
      <w:r w:rsidR="0031342C" w:rsidRPr="00DF3EF6">
        <w:rPr>
          <w:noProof/>
        </w:rPr>
        <w:t>upo</w:t>
      </w:r>
      <w:r w:rsidR="7E2D4DDD" w:rsidRPr="00DF3EF6">
        <w:rPr>
          <w:noProof/>
        </w:rPr>
        <w:t>rządkowaną likwidacją, gdyż niweczyłoby to cel, jaki przyświeca wkładowi wnoszonemu przez system gwarancji depozytów.</w:t>
      </w:r>
    </w:p>
    <w:p w14:paraId="45EAF557" w14:textId="6DC36F3D" w:rsidR="00663BFD" w:rsidRPr="00DF3EF6" w:rsidRDefault="00322779" w:rsidP="00322779">
      <w:pPr>
        <w:pStyle w:val="ManualConsidrant"/>
        <w:rPr>
          <w:noProof/>
        </w:rPr>
      </w:pPr>
      <w:r w:rsidRPr="00322779">
        <w:t>(17)</w:t>
      </w:r>
      <w:r w:rsidRPr="00322779">
        <w:tab/>
      </w:r>
      <w:r w:rsidR="1550B53C" w:rsidRPr="00DF3EF6">
        <w:rPr>
          <w:noProof/>
        </w:rPr>
        <w:t>W celu zapewnienia konwergencji praktyk systemów gwarancji depozytów oraz zagwarantowania deponentom pewności prawa, jeśli chodzi</w:t>
      </w:r>
      <w:r w:rsidR="0031342C" w:rsidRPr="00DF3EF6">
        <w:rPr>
          <w:noProof/>
        </w:rPr>
        <w:t xml:space="preserve"> o</w:t>
      </w:r>
      <w:r w:rsidR="0031342C">
        <w:rPr>
          <w:noProof/>
        </w:rPr>
        <w:t> </w:t>
      </w:r>
      <w:r w:rsidR="0031342C" w:rsidRPr="00DF3EF6">
        <w:rPr>
          <w:noProof/>
        </w:rPr>
        <w:t>moż</w:t>
      </w:r>
      <w:r w:rsidR="1550B53C" w:rsidRPr="00DF3EF6">
        <w:rPr>
          <w:noProof/>
        </w:rPr>
        <w:t>liwość dochodzenia roszczeń</w:t>
      </w:r>
      <w:r w:rsidR="0031342C" w:rsidRPr="00DF3EF6">
        <w:rPr>
          <w:noProof/>
        </w:rPr>
        <w:t xml:space="preserve"> o</w:t>
      </w:r>
      <w:r w:rsidR="0031342C">
        <w:rPr>
          <w:noProof/>
        </w:rPr>
        <w:t> </w:t>
      </w:r>
      <w:r w:rsidR="0031342C" w:rsidRPr="00DF3EF6">
        <w:rPr>
          <w:noProof/>
        </w:rPr>
        <w:t>wyp</w:t>
      </w:r>
      <w:r w:rsidR="1550B53C" w:rsidRPr="00DF3EF6">
        <w:rPr>
          <w:noProof/>
        </w:rPr>
        <w:t>łatę depozytów, jak również</w:t>
      </w:r>
      <w:r w:rsidR="0031342C" w:rsidRPr="00DF3EF6">
        <w:rPr>
          <w:noProof/>
        </w:rPr>
        <w:t xml:space="preserve"> w</w:t>
      </w:r>
      <w:r w:rsidR="0031342C">
        <w:rPr>
          <w:noProof/>
        </w:rPr>
        <w:t> </w:t>
      </w:r>
      <w:r w:rsidR="0031342C" w:rsidRPr="00DF3EF6">
        <w:rPr>
          <w:noProof/>
        </w:rPr>
        <w:t>cel</w:t>
      </w:r>
      <w:r w:rsidR="1550B53C" w:rsidRPr="00DF3EF6">
        <w:rPr>
          <w:noProof/>
        </w:rPr>
        <w:t>u uniknięcia przeszkód operacyjnych dla systemów gwarancji depozytów, istotne jest ustalenie odpowiednio długiego okresu,</w:t>
      </w:r>
      <w:r w:rsidR="0031342C" w:rsidRPr="00DF3EF6">
        <w:rPr>
          <w:noProof/>
        </w:rPr>
        <w:t xml:space="preserve"> w</w:t>
      </w:r>
      <w:r w:rsidR="0031342C">
        <w:rPr>
          <w:noProof/>
        </w:rPr>
        <w:t> </w:t>
      </w:r>
      <w:r w:rsidR="0031342C" w:rsidRPr="00DF3EF6">
        <w:rPr>
          <w:noProof/>
        </w:rPr>
        <w:t>któ</w:t>
      </w:r>
      <w:r w:rsidR="1550B53C" w:rsidRPr="00DF3EF6">
        <w:rPr>
          <w:noProof/>
        </w:rPr>
        <w:t>rym deponenci mogą wnosić roszczenia</w:t>
      </w:r>
      <w:r w:rsidR="0031342C" w:rsidRPr="00DF3EF6">
        <w:rPr>
          <w:noProof/>
        </w:rPr>
        <w:t xml:space="preserve"> o</w:t>
      </w:r>
      <w:r w:rsidR="0031342C">
        <w:rPr>
          <w:noProof/>
        </w:rPr>
        <w:t> </w:t>
      </w:r>
      <w:r w:rsidR="0031342C" w:rsidRPr="00DF3EF6">
        <w:rPr>
          <w:noProof/>
        </w:rPr>
        <w:t>wyp</w:t>
      </w:r>
      <w:r w:rsidR="1550B53C" w:rsidRPr="00DF3EF6">
        <w:rPr>
          <w:noProof/>
        </w:rPr>
        <w:t>łatę ich depozytów,</w:t>
      </w:r>
      <w:r w:rsidR="0031342C" w:rsidRPr="00DF3EF6">
        <w:rPr>
          <w:noProof/>
        </w:rPr>
        <w:t xml:space="preserve"> w</w:t>
      </w:r>
      <w:r w:rsidR="0031342C">
        <w:rPr>
          <w:noProof/>
        </w:rPr>
        <w:t> </w:t>
      </w:r>
      <w:r w:rsidR="0031342C" w:rsidRPr="00DF3EF6">
        <w:rPr>
          <w:noProof/>
        </w:rPr>
        <w:t>tyc</w:t>
      </w:r>
      <w:r w:rsidR="1550B53C" w:rsidRPr="00DF3EF6">
        <w:rPr>
          <w:noProof/>
        </w:rPr>
        <w:t>h przypadkach,</w:t>
      </w:r>
      <w:r w:rsidR="0031342C" w:rsidRPr="00DF3EF6">
        <w:rPr>
          <w:noProof/>
        </w:rPr>
        <w:t xml:space="preserve"> w</w:t>
      </w:r>
      <w:r w:rsidR="0031342C">
        <w:rPr>
          <w:noProof/>
        </w:rPr>
        <w:t> </w:t>
      </w:r>
      <w:r w:rsidR="0031342C" w:rsidRPr="00DF3EF6">
        <w:rPr>
          <w:noProof/>
        </w:rPr>
        <w:t>któ</w:t>
      </w:r>
      <w:r w:rsidR="1550B53C" w:rsidRPr="00DF3EF6">
        <w:rPr>
          <w:noProof/>
        </w:rPr>
        <w:t>rych system gwarancji depozytów nie wypłacił deponentom depozytów</w:t>
      </w:r>
      <w:r w:rsidR="0031342C" w:rsidRPr="00DF3EF6">
        <w:rPr>
          <w:noProof/>
        </w:rPr>
        <w:t xml:space="preserve"> w</w:t>
      </w:r>
      <w:r w:rsidR="0031342C">
        <w:rPr>
          <w:noProof/>
        </w:rPr>
        <w:t> </w:t>
      </w:r>
      <w:r w:rsidR="0031342C" w:rsidRPr="00DF3EF6">
        <w:rPr>
          <w:noProof/>
        </w:rPr>
        <w:t>ter</w:t>
      </w:r>
      <w:r w:rsidR="1550B53C" w:rsidRPr="00DF3EF6">
        <w:rPr>
          <w:noProof/>
        </w:rPr>
        <w:t>minach przewidzianych na wypłatę</w:t>
      </w:r>
      <w:r w:rsidR="0031342C" w:rsidRPr="00DF3EF6">
        <w:rPr>
          <w:noProof/>
        </w:rPr>
        <w:t xml:space="preserve"> w</w:t>
      </w:r>
      <w:r w:rsidR="0031342C">
        <w:rPr>
          <w:noProof/>
        </w:rPr>
        <w:t> </w:t>
      </w:r>
      <w:r w:rsidR="0031342C" w:rsidRPr="0031342C">
        <w:rPr>
          <w:noProof/>
        </w:rPr>
        <w:t>art</w:t>
      </w:r>
      <w:r w:rsidR="1550B53C" w:rsidRPr="0031342C">
        <w:rPr>
          <w:noProof/>
        </w:rPr>
        <w:t>.</w:t>
      </w:r>
      <w:r w:rsidR="0031342C" w:rsidRPr="0031342C">
        <w:rPr>
          <w:noProof/>
        </w:rPr>
        <w:t> </w:t>
      </w:r>
      <w:r w:rsidR="1550B53C" w:rsidRPr="0031342C">
        <w:rPr>
          <w:noProof/>
        </w:rPr>
        <w:t>8</w:t>
      </w:r>
      <w:r w:rsidR="1550B53C" w:rsidRPr="00DF3EF6">
        <w:rPr>
          <w:noProof/>
        </w:rPr>
        <w:t xml:space="preserve"> dyrektywy 2014/49/UE.</w:t>
      </w:r>
    </w:p>
    <w:p w14:paraId="61D2D528" w14:textId="3E80C99D" w:rsidR="00663BFD" w:rsidRPr="00DF3EF6" w:rsidRDefault="00322779" w:rsidP="00322779">
      <w:pPr>
        <w:pStyle w:val="ManualConsidrant"/>
        <w:rPr>
          <w:noProof/>
        </w:rPr>
      </w:pPr>
      <w:r w:rsidRPr="00322779">
        <w:t>(18)</w:t>
      </w:r>
      <w:r w:rsidRPr="00322779">
        <w:tab/>
      </w:r>
      <w:r w:rsidR="2ED4A7BE" w:rsidRPr="00DF3EF6">
        <w:rPr>
          <w:noProof/>
        </w:rPr>
        <w:t xml:space="preserve">Na podstawie </w:t>
      </w:r>
      <w:r w:rsidR="2ED4A7BE" w:rsidRPr="0031342C">
        <w:rPr>
          <w:noProof/>
        </w:rPr>
        <w:t>art.</w:t>
      </w:r>
      <w:r w:rsidR="0031342C" w:rsidRPr="0031342C">
        <w:rPr>
          <w:noProof/>
        </w:rPr>
        <w:t> </w:t>
      </w:r>
      <w:r w:rsidR="2ED4A7BE" w:rsidRPr="0031342C">
        <w:rPr>
          <w:noProof/>
        </w:rPr>
        <w:t>1</w:t>
      </w:r>
      <w:r w:rsidR="2ED4A7BE" w:rsidRPr="00DF3EF6">
        <w:rPr>
          <w:noProof/>
        </w:rPr>
        <w:t xml:space="preserve">0 </w:t>
      </w:r>
      <w:r w:rsidR="2ED4A7BE" w:rsidRPr="0031342C">
        <w:rPr>
          <w:noProof/>
        </w:rPr>
        <w:t>ust.</w:t>
      </w:r>
      <w:r w:rsidR="0031342C" w:rsidRPr="0031342C">
        <w:rPr>
          <w:noProof/>
        </w:rPr>
        <w:t> </w:t>
      </w:r>
      <w:r w:rsidR="2ED4A7BE" w:rsidRPr="0031342C">
        <w:rPr>
          <w:noProof/>
        </w:rPr>
        <w:t>2</w:t>
      </w:r>
      <w:r w:rsidR="2ED4A7BE" w:rsidRPr="00DF3EF6">
        <w:rPr>
          <w:noProof/>
        </w:rPr>
        <w:t xml:space="preserve"> dyrektywy 2014/49/UE państwa członkowskie mają zapewnić, by </w:t>
      </w:r>
      <w:r w:rsidR="2ED4A7BE" w:rsidRPr="0031342C">
        <w:rPr>
          <w:noProof/>
        </w:rPr>
        <w:t>do</w:t>
      </w:r>
      <w:r w:rsidR="0031342C" w:rsidRPr="0031342C">
        <w:rPr>
          <w:noProof/>
        </w:rPr>
        <w:t> </w:t>
      </w:r>
      <w:r w:rsidR="2ED4A7BE" w:rsidRPr="0031342C">
        <w:rPr>
          <w:noProof/>
        </w:rPr>
        <w:t>3</w:t>
      </w:r>
      <w:r w:rsidR="2ED4A7BE" w:rsidRPr="00DF3EF6">
        <w:rPr>
          <w:noProof/>
        </w:rPr>
        <w:t xml:space="preserve"> lipca 20</w:t>
      </w:r>
      <w:r w:rsidR="2ED4A7BE" w:rsidRPr="0031342C">
        <w:rPr>
          <w:noProof/>
        </w:rPr>
        <w:t>24</w:t>
      </w:r>
      <w:r w:rsidR="0031342C" w:rsidRPr="0031342C">
        <w:rPr>
          <w:noProof/>
        </w:rPr>
        <w:t> </w:t>
      </w:r>
      <w:r w:rsidR="2ED4A7BE" w:rsidRPr="0031342C">
        <w:rPr>
          <w:noProof/>
        </w:rPr>
        <w:t>r.</w:t>
      </w:r>
      <w:r w:rsidR="2ED4A7BE" w:rsidRPr="00DF3EF6">
        <w:rPr>
          <w:noProof/>
        </w:rPr>
        <w:t xml:space="preserve"> dostępne środki finansowe systemu gwarancji depozytów osiągnęły poziom docelowy wynoszący 0,</w:t>
      </w:r>
      <w:r w:rsidR="2ED4A7BE" w:rsidRPr="0031342C">
        <w:rPr>
          <w:noProof/>
        </w:rPr>
        <w:t>8</w:t>
      </w:r>
      <w:r w:rsidR="0031342C" w:rsidRPr="0031342C">
        <w:rPr>
          <w:noProof/>
        </w:rPr>
        <w:t> </w:t>
      </w:r>
      <w:r w:rsidR="2ED4A7BE" w:rsidRPr="0031342C">
        <w:rPr>
          <w:noProof/>
        </w:rPr>
        <w:t>%</w:t>
      </w:r>
      <w:r w:rsidR="2ED4A7BE" w:rsidRPr="00DF3EF6">
        <w:rPr>
          <w:noProof/>
        </w:rPr>
        <w:t xml:space="preserve"> kwoty gwarantowanych depozytów członków tego systemu</w:t>
      </w:r>
      <w:r w:rsidR="0031342C" w:rsidRPr="00DF3EF6">
        <w:rPr>
          <w:noProof/>
        </w:rPr>
        <w:t>. W</w:t>
      </w:r>
      <w:r w:rsidR="0031342C">
        <w:rPr>
          <w:noProof/>
        </w:rPr>
        <w:t> </w:t>
      </w:r>
      <w:r w:rsidR="0031342C" w:rsidRPr="00DF3EF6">
        <w:rPr>
          <w:noProof/>
        </w:rPr>
        <w:t>cel</w:t>
      </w:r>
      <w:r w:rsidR="2ED4A7BE" w:rsidRPr="00DF3EF6">
        <w:rPr>
          <w:noProof/>
        </w:rPr>
        <w:t>u dokonania obiektywnej oceny, czy systemy gwarancji depozytów spełniają ten wymóg, należy ustalić jasny okres odniesienia, aby ustalić kwotę depozytów gwarantowanych oraz kwotę dostępnych środków finansowych systemu gwarancji depozytów.</w:t>
      </w:r>
    </w:p>
    <w:p w14:paraId="70485577" w14:textId="174EA0F0" w:rsidR="00663BFD" w:rsidRPr="00DF3EF6" w:rsidRDefault="00322779" w:rsidP="00322779">
      <w:pPr>
        <w:pStyle w:val="ManualConsidrant"/>
        <w:rPr>
          <w:noProof/>
        </w:rPr>
      </w:pPr>
      <w:r w:rsidRPr="00322779">
        <w:t>(19)</w:t>
      </w:r>
      <w:r w:rsidRPr="00322779">
        <w:tab/>
      </w:r>
      <w:r w:rsidR="5297BE1C" w:rsidRPr="00DF3EF6">
        <w:rPr>
          <w:noProof/>
        </w:rPr>
        <w:t>W celu zapewnienia odporności systemów gwarancji depozytów ich środki finansowe powinny pochodzić ze stabilnych</w:t>
      </w:r>
      <w:r w:rsidR="0031342C" w:rsidRPr="00DF3EF6">
        <w:rPr>
          <w:noProof/>
        </w:rPr>
        <w:t xml:space="preserve"> i</w:t>
      </w:r>
      <w:r w:rsidR="0031342C">
        <w:rPr>
          <w:noProof/>
        </w:rPr>
        <w:t> </w:t>
      </w:r>
      <w:r w:rsidR="0031342C" w:rsidRPr="00DF3EF6">
        <w:rPr>
          <w:noProof/>
        </w:rPr>
        <w:t>nie</w:t>
      </w:r>
      <w:r w:rsidR="5297BE1C" w:rsidRPr="00DF3EF6">
        <w:rPr>
          <w:noProof/>
        </w:rPr>
        <w:t>odwołalnych składek. Niektóre źródła finansowania systemu gwarancji depozytów, takie jak pożyczki oraz oczekiwane kwoty środków odzyskanych, mają charakter zbyt warunkowy, aby można je było zaliczyć jako składki do celów osiągnięcia poziomu docelowego systemu gwarancji depozytów</w:t>
      </w:r>
      <w:r w:rsidR="0031342C" w:rsidRPr="00DF3EF6">
        <w:rPr>
          <w:noProof/>
        </w:rPr>
        <w:t>. W</w:t>
      </w:r>
      <w:r w:rsidR="0031342C">
        <w:rPr>
          <w:noProof/>
        </w:rPr>
        <w:t> </w:t>
      </w:r>
      <w:r w:rsidR="0031342C" w:rsidRPr="00DF3EF6">
        <w:rPr>
          <w:noProof/>
        </w:rPr>
        <w:t>cel</w:t>
      </w:r>
      <w:r w:rsidR="5297BE1C" w:rsidRPr="00DF3EF6">
        <w:rPr>
          <w:noProof/>
        </w:rPr>
        <w:t>u harmonizacji nałożonych na systemy gwarancji depozytów warunków dotyczących osiągnięcia ich poziomu docelowego oraz</w:t>
      </w:r>
      <w:r w:rsidR="0031342C" w:rsidRPr="00DF3EF6">
        <w:rPr>
          <w:noProof/>
        </w:rPr>
        <w:t xml:space="preserve"> w</w:t>
      </w:r>
      <w:r w:rsidR="0031342C">
        <w:rPr>
          <w:noProof/>
        </w:rPr>
        <w:t> </w:t>
      </w:r>
      <w:r w:rsidR="0031342C" w:rsidRPr="00DF3EF6">
        <w:rPr>
          <w:noProof/>
        </w:rPr>
        <w:t>cel</w:t>
      </w:r>
      <w:r w:rsidR="5297BE1C" w:rsidRPr="00DF3EF6">
        <w:rPr>
          <w:noProof/>
        </w:rPr>
        <w:t xml:space="preserve">u zapewnienia, aby dostępne środki finansowe systemów gwarancji depozytów były finansowane ze składek sektora bankowego, środki, które można zaliczyć na poczet osiągnięcia poziomu docelowego, należy odróżnić od środków uznawanych za uzupełniające źródło finansowania. </w:t>
      </w:r>
      <w:bookmarkStart w:id="10" w:name="_Hlk122018946"/>
      <w:bookmarkStart w:id="11" w:name="_Hlk122018357"/>
      <w:r w:rsidR="5297BE1C" w:rsidRPr="00DF3EF6">
        <w:rPr>
          <w:noProof/>
        </w:rPr>
        <w:t>Wypływy środków systemu gwarancji depozytów,</w:t>
      </w:r>
      <w:r w:rsidR="0031342C" w:rsidRPr="00DF3EF6">
        <w:rPr>
          <w:noProof/>
        </w:rPr>
        <w:t xml:space="preserve"> w</w:t>
      </w:r>
      <w:r w:rsidR="0031342C">
        <w:rPr>
          <w:noProof/>
        </w:rPr>
        <w:t> </w:t>
      </w:r>
      <w:r w:rsidR="0031342C" w:rsidRPr="00DF3EF6">
        <w:rPr>
          <w:noProof/>
        </w:rPr>
        <w:t>tym</w:t>
      </w:r>
      <w:r w:rsidR="5297BE1C" w:rsidRPr="00DF3EF6">
        <w:rPr>
          <w:noProof/>
        </w:rPr>
        <w:t xml:space="preserve"> przewidywalne spłaty pożyczek, można planować</w:t>
      </w:r>
      <w:r w:rsidR="0031342C" w:rsidRPr="00DF3EF6">
        <w:rPr>
          <w:noProof/>
        </w:rPr>
        <w:t xml:space="preserve"> i</w:t>
      </w:r>
      <w:r w:rsidR="0031342C">
        <w:rPr>
          <w:noProof/>
        </w:rPr>
        <w:t> </w:t>
      </w:r>
      <w:r w:rsidR="0031342C" w:rsidRPr="00DF3EF6">
        <w:rPr>
          <w:noProof/>
        </w:rPr>
        <w:t>uwz</w:t>
      </w:r>
      <w:r w:rsidR="5297BE1C" w:rsidRPr="00DF3EF6">
        <w:rPr>
          <w:noProof/>
        </w:rPr>
        <w:t>ględniać</w:t>
      </w:r>
      <w:r w:rsidR="0031342C" w:rsidRPr="00DF3EF6">
        <w:rPr>
          <w:noProof/>
        </w:rPr>
        <w:t xml:space="preserve"> w</w:t>
      </w:r>
      <w:r w:rsidR="0031342C">
        <w:rPr>
          <w:noProof/>
        </w:rPr>
        <w:t> </w:t>
      </w:r>
      <w:r w:rsidR="0031342C" w:rsidRPr="00DF3EF6">
        <w:rPr>
          <w:noProof/>
        </w:rPr>
        <w:t>reg</w:t>
      </w:r>
      <w:r w:rsidR="5297BE1C" w:rsidRPr="00DF3EF6">
        <w:rPr>
          <w:noProof/>
        </w:rPr>
        <w:t>ularnych składkach członków systemu gwarancji depozytów,</w:t>
      </w:r>
      <w:r w:rsidR="0031342C" w:rsidRPr="00DF3EF6">
        <w:rPr>
          <w:noProof/>
        </w:rPr>
        <w:t xml:space="preserve"> a</w:t>
      </w:r>
      <w:r w:rsidR="0031342C">
        <w:rPr>
          <w:noProof/>
        </w:rPr>
        <w:t> </w:t>
      </w:r>
      <w:r w:rsidR="0031342C" w:rsidRPr="00DF3EF6">
        <w:rPr>
          <w:noProof/>
        </w:rPr>
        <w:t>zat</w:t>
      </w:r>
      <w:r w:rsidR="5297BE1C" w:rsidRPr="00DF3EF6">
        <w:rPr>
          <w:noProof/>
        </w:rPr>
        <w:t xml:space="preserve">em wypływ te nie powinny skutkować zmniejszeniem stanu dostępnych środków finansowych poniżej poziomu docelowego. </w:t>
      </w:r>
      <w:bookmarkEnd w:id="10"/>
      <w:r w:rsidR="5297BE1C" w:rsidRPr="00DF3EF6">
        <w:rPr>
          <w:noProof/>
        </w:rPr>
        <w:t>Należy</w:t>
      </w:r>
      <w:r w:rsidR="0031342C" w:rsidRPr="00DF3EF6">
        <w:rPr>
          <w:noProof/>
        </w:rPr>
        <w:t xml:space="preserve"> w</w:t>
      </w:r>
      <w:r w:rsidR="0031342C">
        <w:rPr>
          <w:noProof/>
        </w:rPr>
        <w:t> </w:t>
      </w:r>
      <w:r w:rsidR="0031342C" w:rsidRPr="00DF3EF6">
        <w:rPr>
          <w:noProof/>
        </w:rPr>
        <w:t>zwi</w:t>
      </w:r>
      <w:r w:rsidR="5297BE1C" w:rsidRPr="00DF3EF6">
        <w:rPr>
          <w:noProof/>
        </w:rPr>
        <w:t>ązku</w:t>
      </w:r>
      <w:r w:rsidR="0031342C" w:rsidRPr="00DF3EF6">
        <w:rPr>
          <w:noProof/>
        </w:rPr>
        <w:t xml:space="preserve"> z</w:t>
      </w:r>
      <w:r w:rsidR="0031342C">
        <w:rPr>
          <w:noProof/>
        </w:rPr>
        <w:t> </w:t>
      </w:r>
      <w:r w:rsidR="0031342C" w:rsidRPr="00DF3EF6">
        <w:rPr>
          <w:noProof/>
        </w:rPr>
        <w:t>tym</w:t>
      </w:r>
      <w:r w:rsidR="5297BE1C" w:rsidRPr="00DF3EF6">
        <w:rPr>
          <w:noProof/>
        </w:rPr>
        <w:t xml:space="preserve"> uściślić, że po osiągnięciu po raz pierwszy poziomu docelowego sześcioletni okres uzupełniania powinien być inicjowany wyłącznie</w:t>
      </w:r>
      <w:r w:rsidR="0031342C" w:rsidRPr="00DF3EF6">
        <w:rPr>
          <w:noProof/>
        </w:rPr>
        <w:t xml:space="preserve"> w</w:t>
      </w:r>
      <w:r w:rsidR="0031342C">
        <w:rPr>
          <w:noProof/>
        </w:rPr>
        <w:t> </w:t>
      </w:r>
      <w:r w:rsidR="0031342C" w:rsidRPr="00DF3EF6">
        <w:rPr>
          <w:noProof/>
        </w:rPr>
        <w:t>prz</w:t>
      </w:r>
      <w:r w:rsidR="5297BE1C" w:rsidRPr="00DF3EF6">
        <w:rPr>
          <w:noProof/>
        </w:rPr>
        <w:t xml:space="preserve">ypadku wystąpienia niedoboru dostępnych środków finansowych </w:t>
      </w:r>
      <w:r w:rsidR="5297BE1C" w:rsidRPr="00DF3EF6">
        <w:rPr>
          <w:noProof/>
        </w:rPr>
        <w:lastRenderedPageBreak/>
        <w:t>systemu gwarancji depozytów spowodowanego interwencją systemu gwarancji depozytów (wypłata bądź środki zapobiegawcze, środki</w:t>
      </w:r>
      <w:r w:rsidR="0031342C" w:rsidRPr="00DF3EF6">
        <w:rPr>
          <w:noProof/>
        </w:rPr>
        <w:t xml:space="preserve"> z</w:t>
      </w:r>
      <w:r w:rsidR="0031342C">
        <w:rPr>
          <w:noProof/>
        </w:rPr>
        <w:t> </w:t>
      </w:r>
      <w:r w:rsidR="0031342C" w:rsidRPr="00DF3EF6">
        <w:rPr>
          <w:noProof/>
        </w:rPr>
        <w:t>zak</w:t>
      </w:r>
      <w:r w:rsidR="5297BE1C" w:rsidRPr="00DF3EF6">
        <w:rPr>
          <w:noProof/>
        </w:rPr>
        <w:t>resu restrukturyzacji</w:t>
      </w:r>
      <w:r w:rsidR="0031342C" w:rsidRPr="00DF3EF6">
        <w:rPr>
          <w:noProof/>
        </w:rPr>
        <w:t xml:space="preserve"> i</w:t>
      </w:r>
      <w:r w:rsidR="0031342C">
        <w:rPr>
          <w:noProof/>
        </w:rPr>
        <w:t> </w:t>
      </w:r>
      <w:r w:rsidR="0031342C" w:rsidRPr="00DF3EF6">
        <w:rPr>
          <w:noProof/>
        </w:rPr>
        <w:t>upo</w:t>
      </w:r>
      <w:r w:rsidR="5297BE1C" w:rsidRPr="00DF3EF6">
        <w:rPr>
          <w:noProof/>
        </w:rPr>
        <w:t>rządkowanej likwidacji lub środki alternatywne)</w:t>
      </w:r>
      <w:bookmarkEnd w:id="11"/>
      <w:r w:rsidR="0031342C" w:rsidRPr="00DF3EF6">
        <w:rPr>
          <w:noProof/>
        </w:rPr>
        <w:t>. W</w:t>
      </w:r>
      <w:r w:rsidR="0031342C">
        <w:rPr>
          <w:noProof/>
        </w:rPr>
        <w:t> </w:t>
      </w:r>
      <w:r w:rsidR="0031342C" w:rsidRPr="00DF3EF6">
        <w:rPr>
          <w:noProof/>
        </w:rPr>
        <w:t>cel</w:t>
      </w:r>
      <w:r w:rsidR="5297BE1C" w:rsidRPr="00DF3EF6">
        <w:rPr>
          <w:noProof/>
        </w:rPr>
        <w:t>u zapewnienia spójnego stosowania EUNB powinien opracować projekt regulacyjnych standardów technicznych określających metodykę obliczania poziomu docelowego przez systemy gwarancji depozytów.</w:t>
      </w:r>
    </w:p>
    <w:p w14:paraId="2203B2B0" w14:textId="047BAAA8" w:rsidR="002029C7" w:rsidRPr="00DF3EF6" w:rsidRDefault="00322779" w:rsidP="00322779">
      <w:pPr>
        <w:pStyle w:val="ManualConsidrant"/>
        <w:rPr>
          <w:noProof/>
        </w:rPr>
      </w:pPr>
      <w:r w:rsidRPr="00322779">
        <w:t>(20)</w:t>
      </w:r>
      <w:r w:rsidRPr="00322779">
        <w:tab/>
      </w:r>
      <w:r w:rsidR="4B70081F" w:rsidRPr="00DF3EF6">
        <w:rPr>
          <w:noProof/>
        </w:rPr>
        <w:t>Powinna istnieć możliwość niezwłocznego wykorzystania dostępnych środków finansowych systemu gwarancji depozytów, aby można było podjąć działanie</w:t>
      </w:r>
      <w:r w:rsidR="0031342C" w:rsidRPr="00DF3EF6">
        <w:rPr>
          <w:noProof/>
        </w:rPr>
        <w:t xml:space="preserve"> w</w:t>
      </w:r>
      <w:r w:rsidR="0031342C">
        <w:rPr>
          <w:noProof/>
        </w:rPr>
        <w:t> </w:t>
      </w:r>
      <w:r w:rsidR="0031342C" w:rsidRPr="00DF3EF6">
        <w:rPr>
          <w:noProof/>
        </w:rPr>
        <w:t>obl</w:t>
      </w:r>
      <w:r w:rsidR="4B70081F" w:rsidRPr="00DF3EF6">
        <w:rPr>
          <w:noProof/>
        </w:rPr>
        <w:t>iczu nagłych sytuacji, takich jak wypłata lub inne interwencje. Ze względu na różne praktyki</w:t>
      </w:r>
      <w:r w:rsidR="0031342C" w:rsidRPr="00DF3EF6">
        <w:rPr>
          <w:noProof/>
        </w:rPr>
        <w:t xml:space="preserve"> w</w:t>
      </w:r>
      <w:r w:rsidR="0031342C">
        <w:rPr>
          <w:noProof/>
        </w:rPr>
        <w:t> </w:t>
      </w:r>
      <w:r w:rsidR="0031342C" w:rsidRPr="00DF3EF6">
        <w:rPr>
          <w:noProof/>
        </w:rPr>
        <w:t>cał</w:t>
      </w:r>
      <w:r w:rsidR="4B70081F" w:rsidRPr="00DF3EF6">
        <w:rPr>
          <w:noProof/>
        </w:rPr>
        <w:t>ej Unii należy określić wymogi dotyczące strategii inwestycyjnej obejmującej środki systemów gwarancji depozytów</w:t>
      </w:r>
      <w:r w:rsidR="0031342C" w:rsidRPr="00DF3EF6">
        <w:rPr>
          <w:noProof/>
        </w:rPr>
        <w:t xml:space="preserve"> w</w:t>
      </w:r>
      <w:r w:rsidR="0031342C">
        <w:rPr>
          <w:noProof/>
        </w:rPr>
        <w:t> </w:t>
      </w:r>
      <w:r w:rsidR="0031342C" w:rsidRPr="00DF3EF6">
        <w:rPr>
          <w:noProof/>
        </w:rPr>
        <w:t>cel</w:t>
      </w:r>
      <w:r w:rsidR="4B70081F" w:rsidRPr="00DF3EF6">
        <w:rPr>
          <w:noProof/>
        </w:rPr>
        <w:t>u złagodzenia wszelkiego negatywnego wpływu na zdolność systemu gwarancji depozytów do realizacji jego zadań. Jeżeli system gwarancji depozytów nie ma kompetencji, aby określić taką strategię inwestycyjną, władza, organ lub podmiot</w:t>
      </w:r>
      <w:r w:rsidR="0031342C" w:rsidRPr="00DF3EF6">
        <w:rPr>
          <w:noProof/>
        </w:rPr>
        <w:t xml:space="preserve"> w</w:t>
      </w:r>
      <w:r w:rsidR="0031342C">
        <w:rPr>
          <w:noProof/>
        </w:rPr>
        <w:t> </w:t>
      </w:r>
      <w:r w:rsidR="0031342C" w:rsidRPr="00DF3EF6">
        <w:rPr>
          <w:noProof/>
        </w:rPr>
        <w:t>pań</w:t>
      </w:r>
      <w:r w:rsidR="4B70081F" w:rsidRPr="00DF3EF6">
        <w:rPr>
          <w:noProof/>
        </w:rPr>
        <w:t>stwie członkowskim, które odpowiadają za określenie strategii inwestycyjnej, przy określaniu tej strategii inwestycyjnej powinny przestrzegać także zasad dotyczących dywersyfikacji oraz inwestycji</w:t>
      </w:r>
      <w:r w:rsidR="0031342C" w:rsidRPr="00DF3EF6">
        <w:rPr>
          <w:noProof/>
        </w:rPr>
        <w:t xml:space="preserve"> w</w:t>
      </w:r>
      <w:r w:rsidR="0031342C">
        <w:rPr>
          <w:noProof/>
        </w:rPr>
        <w:t> </w:t>
      </w:r>
      <w:r w:rsidR="0031342C" w:rsidRPr="00DF3EF6">
        <w:rPr>
          <w:noProof/>
        </w:rPr>
        <w:t>akt</w:t>
      </w:r>
      <w:r w:rsidR="4B70081F" w:rsidRPr="00DF3EF6">
        <w:rPr>
          <w:noProof/>
        </w:rPr>
        <w:t>ywa</w:t>
      </w:r>
      <w:r w:rsidR="0031342C" w:rsidRPr="00DF3EF6">
        <w:rPr>
          <w:noProof/>
        </w:rPr>
        <w:t xml:space="preserve"> o</w:t>
      </w:r>
      <w:r w:rsidR="0031342C">
        <w:rPr>
          <w:noProof/>
        </w:rPr>
        <w:t> </w:t>
      </w:r>
      <w:r w:rsidR="0031342C" w:rsidRPr="00DF3EF6">
        <w:rPr>
          <w:noProof/>
        </w:rPr>
        <w:t>nis</w:t>
      </w:r>
      <w:r w:rsidR="4B70081F" w:rsidRPr="00DF3EF6">
        <w:rPr>
          <w:noProof/>
        </w:rPr>
        <w:t>kim ryzyku</w:t>
      </w:r>
      <w:r w:rsidR="0031342C" w:rsidRPr="00DF3EF6">
        <w:rPr>
          <w:noProof/>
        </w:rPr>
        <w:t>. W</w:t>
      </w:r>
      <w:r w:rsidR="0031342C">
        <w:rPr>
          <w:noProof/>
        </w:rPr>
        <w:t> </w:t>
      </w:r>
      <w:r w:rsidR="0031342C" w:rsidRPr="00DF3EF6">
        <w:rPr>
          <w:noProof/>
        </w:rPr>
        <w:t>cel</w:t>
      </w:r>
      <w:r w:rsidR="4B70081F" w:rsidRPr="00DF3EF6">
        <w:rPr>
          <w:noProof/>
        </w:rPr>
        <w:t>u zachowania pełnej niezależności operacyjnej</w:t>
      </w:r>
      <w:r w:rsidR="0031342C" w:rsidRPr="00DF3EF6">
        <w:rPr>
          <w:noProof/>
        </w:rPr>
        <w:t xml:space="preserve"> i</w:t>
      </w:r>
      <w:r w:rsidR="0031342C">
        <w:rPr>
          <w:noProof/>
        </w:rPr>
        <w:t> </w:t>
      </w:r>
      <w:r w:rsidR="0031342C" w:rsidRPr="00DF3EF6">
        <w:rPr>
          <w:noProof/>
        </w:rPr>
        <w:t>ela</w:t>
      </w:r>
      <w:r w:rsidR="4B70081F" w:rsidRPr="00DF3EF6">
        <w:rPr>
          <w:noProof/>
        </w:rPr>
        <w:t>styczności systemu gwarancji depozytów</w:t>
      </w:r>
      <w:r w:rsidR="0031342C" w:rsidRPr="00DF3EF6">
        <w:rPr>
          <w:noProof/>
        </w:rPr>
        <w:t xml:space="preserve"> w</w:t>
      </w:r>
      <w:r w:rsidR="0031342C">
        <w:rPr>
          <w:noProof/>
        </w:rPr>
        <w:t> </w:t>
      </w:r>
      <w:r w:rsidR="0031342C" w:rsidRPr="00DF3EF6">
        <w:rPr>
          <w:noProof/>
        </w:rPr>
        <w:t>zak</w:t>
      </w:r>
      <w:r w:rsidR="4B70081F" w:rsidRPr="00DF3EF6">
        <w:rPr>
          <w:noProof/>
        </w:rPr>
        <w:t>resie dostępu do jego środków finansowych, jeżeli środki systemu gwarancji depozytów są zdeponowane</w:t>
      </w:r>
      <w:r w:rsidR="0031342C" w:rsidRPr="00DF3EF6">
        <w:rPr>
          <w:noProof/>
        </w:rPr>
        <w:t xml:space="preserve"> w</w:t>
      </w:r>
      <w:r w:rsidR="0031342C">
        <w:rPr>
          <w:noProof/>
        </w:rPr>
        <w:t> </w:t>
      </w:r>
      <w:r w:rsidR="0031342C" w:rsidRPr="00DF3EF6">
        <w:rPr>
          <w:noProof/>
        </w:rPr>
        <w:t>Ska</w:t>
      </w:r>
      <w:r w:rsidR="4B70081F" w:rsidRPr="00DF3EF6">
        <w:rPr>
          <w:noProof/>
        </w:rPr>
        <w:t>rbie Państwa, środki te należy wydzielić</w:t>
      </w:r>
      <w:r w:rsidR="0031342C" w:rsidRPr="00DF3EF6">
        <w:rPr>
          <w:noProof/>
        </w:rPr>
        <w:t xml:space="preserve"> i</w:t>
      </w:r>
      <w:r w:rsidR="0031342C">
        <w:rPr>
          <w:noProof/>
        </w:rPr>
        <w:t> </w:t>
      </w:r>
      <w:r w:rsidR="0031342C" w:rsidRPr="00DF3EF6">
        <w:rPr>
          <w:noProof/>
        </w:rPr>
        <w:t>umi</w:t>
      </w:r>
      <w:r w:rsidR="4B70081F" w:rsidRPr="00DF3EF6">
        <w:rPr>
          <w:noProof/>
        </w:rPr>
        <w:t xml:space="preserve">eścić na wyodrębnionym rachunku. </w:t>
      </w:r>
    </w:p>
    <w:p w14:paraId="02EAD88B" w14:textId="1E8C3937" w:rsidR="00BC4822" w:rsidRPr="00DF3EF6" w:rsidRDefault="00322779" w:rsidP="00322779">
      <w:pPr>
        <w:pStyle w:val="ManualConsidrant"/>
        <w:rPr>
          <w:noProof/>
        </w:rPr>
      </w:pPr>
      <w:r w:rsidRPr="00322779">
        <w:t>(21)</w:t>
      </w:r>
      <w:r w:rsidRPr="00322779">
        <w:tab/>
      </w:r>
      <w:r w:rsidR="4B70081F" w:rsidRPr="00DF3EF6">
        <w:rPr>
          <w:noProof/>
        </w:rPr>
        <w:t>Możliwość pozyskania dostępnych środków finansowych systemu gwarancji depozytów</w:t>
      </w:r>
      <w:r w:rsidR="0031342C" w:rsidRPr="00DF3EF6">
        <w:rPr>
          <w:noProof/>
        </w:rPr>
        <w:t xml:space="preserve"> w</w:t>
      </w:r>
      <w:r w:rsidR="0031342C">
        <w:rPr>
          <w:noProof/>
        </w:rPr>
        <w:t> </w:t>
      </w:r>
      <w:r w:rsidR="0031342C" w:rsidRPr="00DF3EF6">
        <w:rPr>
          <w:noProof/>
        </w:rPr>
        <w:t>dro</w:t>
      </w:r>
      <w:r w:rsidR="4B70081F" w:rsidRPr="00DF3EF6">
        <w:rPr>
          <w:noProof/>
        </w:rPr>
        <w:t>dze składek obowiązkowych wpłacanych przez instytucje członkowskie do istniejących systemów składek obowiązkowych ustanowionych przez państwo członkowskie</w:t>
      </w:r>
      <w:r w:rsidR="0031342C" w:rsidRPr="00DF3EF6">
        <w:rPr>
          <w:noProof/>
        </w:rPr>
        <w:t xml:space="preserve"> w</w:t>
      </w:r>
      <w:r w:rsidR="0031342C">
        <w:rPr>
          <w:noProof/>
        </w:rPr>
        <w:t> </w:t>
      </w:r>
      <w:r w:rsidR="0031342C" w:rsidRPr="00DF3EF6">
        <w:rPr>
          <w:noProof/>
        </w:rPr>
        <w:t>cel</w:t>
      </w:r>
      <w:r w:rsidR="4B70081F" w:rsidRPr="00DF3EF6">
        <w:rPr>
          <w:noProof/>
        </w:rPr>
        <w:t>u pokrycia kosztów związanych</w:t>
      </w:r>
      <w:r w:rsidR="0031342C" w:rsidRPr="00DF3EF6">
        <w:rPr>
          <w:noProof/>
        </w:rPr>
        <w:t xml:space="preserve"> z</w:t>
      </w:r>
      <w:r w:rsidR="0031342C">
        <w:rPr>
          <w:noProof/>
        </w:rPr>
        <w:t> </w:t>
      </w:r>
      <w:r w:rsidR="0031342C" w:rsidRPr="00DF3EF6">
        <w:rPr>
          <w:noProof/>
        </w:rPr>
        <w:t>ryz</w:t>
      </w:r>
      <w:r w:rsidR="4B70081F" w:rsidRPr="00DF3EF6">
        <w:rPr>
          <w:noProof/>
        </w:rPr>
        <w:t>ykiem systemowym nigdy nie była wykorzystywana,</w:t>
      </w:r>
      <w:r w:rsidR="0031342C" w:rsidRPr="00DF3EF6">
        <w:rPr>
          <w:noProof/>
        </w:rPr>
        <w:t xml:space="preserve"> a</w:t>
      </w:r>
      <w:r w:rsidR="0031342C">
        <w:rPr>
          <w:noProof/>
        </w:rPr>
        <w:t> </w:t>
      </w:r>
      <w:r w:rsidR="0031342C" w:rsidRPr="00DF3EF6">
        <w:rPr>
          <w:noProof/>
        </w:rPr>
        <w:t>zat</w:t>
      </w:r>
      <w:r w:rsidR="4B70081F" w:rsidRPr="00DF3EF6">
        <w:rPr>
          <w:noProof/>
        </w:rPr>
        <w:t>em należy ją usunąć.</w:t>
      </w:r>
    </w:p>
    <w:p w14:paraId="0681EE5E" w14:textId="17C292F3" w:rsidR="00663BFD" w:rsidRPr="00DF3EF6" w:rsidRDefault="00322779" w:rsidP="00322779">
      <w:pPr>
        <w:pStyle w:val="ManualConsidrant"/>
        <w:rPr>
          <w:noProof/>
        </w:rPr>
      </w:pPr>
      <w:r w:rsidRPr="00322779">
        <w:t>(22)</w:t>
      </w:r>
      <w:r w:rsidRPr="00322779">
        <w:tab/>
      </w:r>
      <w:r w:rsidR="4B70081F" w:rsidRPr="00DF3EF6">
        <w:rPr>
          <w:noProof/>
        </w:rPr>
        <w:t>Niezbędne jest wzmocnienie ochrony deponentów przy jednoczesnym uniknięciu potrzeby gwałtownej wyprzedaży aktywów systemu gwarancji depozytów oraz ograniczeniu potencjalnych negatywnych procyklicznych skutków dla sektora bankowego, wywołanych pobraniem składek nadzwyczajnych. Systemy gwarancji depozytów powinny zatem mieć możliwość korzystania</w:t>
      </w:r>
      <w:r w:rsidR="0031342C" w:rsidRPr="00DF3EF6">
        <w:rPr>
          <w:noProof/>
        </w:rPr>
        <w:t xml:space="preserve"> z</w:t>
      </w:r>
      <w:r w:rsidR="0031342C">
        <w:rPr>
          <w:noProof/>
        </w:rPr>
        <w:t> </w:t>
      </w:r>
      <w:r w:rsidR="0031342C" w:rsidRPr="00DF3EF6">
        <w:rPr>
          <w:noProof/>
        </w:rPr>
        <w:t>alt</w:t>
      </w:r>
      <w:r w:rsidR="4B70081F" w:rsidRPr="00DF3EF6">
        <w:rPr>
          <w:noProof/>
        </w:rPr>
        <w:t>ernatywnych mechanizmów finansowania, dzięki którym będą mogły</w:t>
      </w:r>
      <w:r w:rsidR="0031342C" w:rsidRPr="00DF3EF6">
        <w:rPr>
          <w:noProof/>
        </w:rPr>
        <w:t xml:space="preserve"> w</w:t>
      </w:r>
      <w:r w:rsidR="0031342C">
        <w:rPr>
          <w:noProof/>
        </w:rPr>
        <w:t> </w:t>
      </w:r>
      <w:r w:rsidR="0031342C" w:rsidRPr="00DF3EF6">
        <w:rPr>
          <w:noProof/>
        </w:rPr>
        <w:t>każ</w:t>
      </w:r>
      <w:r w:rsidR="4B70081F" w:rsidRPr="00DF3EF6">
        <w:rPr>
          <w:noProof/>
        </w:rPr>
        <w:t>dym czasie uzyskać krótkoterminowe finansowanie ze źródeł innych niż składki, także przed wykorzystaniem ich dostępnych środków finansowych</w:t>
      </w:r>
      <w:r w:rsidR="0031342C" w:rsidRPr="00DF3EF6">
        <w:rPr>
          <w:noProof/>
        </w:rPr>
        <w:t xml:space="preserve"> i</w:t>
      </w:r>
      <w:r w:rsidR="0031342C">
        <w:rPr>
          <w:noProof/>
        </w:rPr>
        <w:t> </w:t>
      </w:r>
      <w:r w:rsidR="0031342C" w:rsidRPr="00DF3EF6">
        <w:rPr>
          <w:noProof/>
        </w:rPr>
        <w:t>śro</w:t>
      </w:r>
      <w:r w:rsidR="4B70081F" w:rsidRPr="00DF3EF6">
        <w:rPr>
          <w:noProof/>
        </w:rPr>
        <w:t>dków pieniężnych zgromadzonych</w:t>
      </w:r>
      <w:r w:rsidR="0031342C" w:rsidRPr="00DF3EF6">
        <w:rPr>
          <w:noProof/>
        </w:rPr>
        <w:t xml:space="preserve"> w</w:t>
      </w:r>
      <w:r w:rsidR="0031342C">
        <w:rPr>
          <w:noProof/>
        </w:rPr>
        <w:t> </w:t>
      </w:r>
      <w:r w:rsidR="0031342C" w:rsidRPr="00DF3EF6">
        <w:rPr>
          <w:noProof/>
        </w:rPr>
        <w:t>wyn</w:t>
      </w:r>
      <w:r w:rsidR="4B70081F" w:rsidRPr="00DF3EF6">
        <w:rPr>
          <w:noProof/>
        </w:rPr>
        <w:t>iku poboru składek nadzwyczajnych</w:t>
      </w:r>
      <w:r w:rsidR="0031342C" w:rsidRPr="00DF3EF6">
        <w:rPr>
          <w:noProof/>
        </w:rPr>
        <w:t>. Z</w:t>
      </w:r>
      <w:r w:rsidR="0031342C">
        <w:rPr>
          <w:noProof/>
        </w:rPr>
        <w:t> </w:t>
      </w:r>
      <w:r w:rsidR="0031342C" w:rsidRPr="00DF3EF6">
        <w:rPr>
          <w:noProof/>
        </w:rPr>
        <w:t>uwa</w:t>
      </w:r>
      <w:r w:rsidR="4B70081F" w:rsidRPr="00DF3EF6">
        <w:rPr>
          <w:noProof/>
        </w:rPr>
        <w:t>gi na fakt, że instytucje kredytowe powinny</w:t>
      </w:r>
      <w:r w:rsidR="0031342C" w:rsidRPr="00DF3EF6">
        <w:rPr>
          <w:noProof/>
        </w:rPr>
        <w:t xml:space="preserve"> w</w:t>
      </w:r>
      <w:r w:rsidR="0031342C">
        <w:rPr>
          <w:noProof/>
        </w:rPr>
        <w:t> </w:t>
      </w:r>
      <w:r w:rsidR="0031342C" w:rsidRPr="00DF3EF6">
        <w:rPr>
          <w:noProof/>
        </w:rPr>
        <w:t>pie</w:t>
      </w:r>
      <w:r w:rsidR="4B70081F" w:rsidRPr="00DF3EF6">
        <w:rPr>
          <w:noProof/>
        </w:rPr>
        <w:t>rwszej kolejności pokrywać koszty</w:t>
      </w:r>
      <w:r w:rsidR="0031342C" w:rsidRPr="00DF3EF6">
        <w:rPr>
          <w:noProof/>
        </w:rPr>
        <w:t xml:space="preserve"> i</w:t>
      </w:r>
      <w:r w:rsidR="0031342C">
        <w:rPr>
          <w:noProof/>
        </w:rPr>
        <w:t> </w:t>
      </w:r>
      <w:r w:rsidR="0031342C" w:rsidRPr="00DF3EF6">
        <w:rPr>
          <w:noProof/>
        </w:rPr>
        <w:t>pon</w:t>
      </w:r>
      <w:r w:rsidR="4B70081F" w:rsidRPr="00DF3EF6">
        <w:rPr>
          <w:noProof/>
        </w:rPr>
        <w:t>osić odpowiedzialność za finansowanie systemów gwarancji depozytów,</w:t>
      </w:r>
      <w:r w:rsidR="0031342C" w:rsidRPr="00DF3EF6">
        <w:rPr>
          <w:noProof/>
        </w:rPr>
        <w:t xml:space="preserve"> z</w:t>
      </w:r>
      <w:r w:rsidR="0031342C">
        <w:rPr>
          <w:noProof/>
        </w:rPr>
        <w:t> </w:t>
      </w:r>
      <w:r w:rsidR="0031342C" w:rsidRPr="00DF3EF6">
        <w:rPr>
          <w:noProof/>
        </w:rPr>
        <w:t>alt</w:t>
      </w:r>
      <w:r w:rsidR="4B70081F" w:rsidRPr="00DF3EF6">
        <w:rPr>
          <w:noProof/>
        </w:rPr>
        <w:t>ernatywnych mechanizmów finansowania</w:t>
      </w:r>
      <w:r w:rsidR="0031342C" w:rsidRPr="00DF3EF6">
        <w:rPr>
          <w:noProof/>
        </w:rPr>
        <w:t xml:space="preserve"> z</w:t>
      </w:r>
      <w:r w:rsidR="0031342C">
        <w:rPr>
          <w:noProof/>
        </w:rPr>
        <w:t> </w:t>
      </w:r>
      <w:r w:rsidR="0031342C" w:rsidRPr="00DF3EF6">
        <w:rPr>
          <w:noProof/>
        </w:rPr>
        <w:t>fun</w:t>
      </w:r>
      <w:r w:rsidR="4B70081F" w:rsidRPr="00DF3EF6">
        <w:rPr>
          <w:noProof/>
        </w:rPr>
        <w:t>duszy publicznych należy korzystać tylko</w:t>
      </w:r>
      <w:r w:rsidR="0031342C" w:rsidRPr="00DF3EF6">
        <w:rPr>
          <w:noProof/>
        </w:rPr>
        <w:t xml:space="preserve"> w</w:t>
      </w:r>
      <w:r w:rsidR="0031342C">
        <w:rPr>
          <w:noProof/>
        </w:rPr>
        <w:t> </w:t>
      </w:r>
      <w:r w:rsidR="0031342C" w:rsidRPr="00DF3EF6">
        <w:rPr>
          <w:noProof/>
        </w:rPr>
        <w:t>ost</w:t>
      </w:r>
      <w:r w:rsidR="4B70081F" w:rsidRPr="00DF3EF6">
        <w:rPr>
          <w:noProof/>
        </w:rPr>
        <w:t>ateczności.</w:t>
      </w:r>
    </w:p>
    <w:p w14:paraId="41A24386" w14:textId="2679551A" w:rsidR="00663BFD" w:rsidRPr="00DF3EF6" w:rsidRDefault="00322779" w:rsidP="00322779">
      <w:pPr>
        <w:pStyle w:val="ManualConsidrant"/>
        <w:rPr>
          <w:noProof/>
        </w:rPr>
      </w:pPr>
      <w:r w:rsidRPr="00322779">
        <w:t>(23)</w:t>
      </w:r>
      <w:r w:rsidRPr="00322779">
        <w:tab/>
      </w:r>
      <w:r w:rsidR="2AD9560B" w:rsidRPr="00DF3EF6">
        <w:rPr>
          <w:noProof/>
        </w:rPr>
        <w:t>W celu zapewnienia należycie zróżnicowanych inwestycji środków systemów gwarancji depozytów oraz spójnych praktyk EUNB powinien wydać wytyczne obejmujące wskazówki dla systemów gwarancji depozytów</w:t>
      </w:r>
      <w:r w:rsidR="0031342C" w:rsidRPr="00DF3EF6">
        <w:rPr>
          <w:noProof/>
        </w:rPr>
        <w:t xml:space="preserve"> w</w:t>
      </w:r>
      <w:r w:rsidR="0031342C">
        <w:rPr>
          <w:noProof/>
        </w:rPr>
        <w:t> </w:t>
      </w:r>
      <w:r w:rsidR="0031342C" w:rsidRPr="00DF3EF6">
        <w:rPr>
          <w:noProof/>
        </w:rPr>
        <w:t>tym</w:t>
      </w:r>
      <w:r w:rsidR="2AD9560B" w:rsidRPr="00DF3EF6">
        <w:rPr>
          <w:noProof/>
        </w:rPr>
        <w:t xml:space="preserve"> zakresie. </w:t>
      </w:r>
    </w:p>
    <w:p w14:paraId="09053F12" w14:textId="29CFDDB6" w:rsidR="002029C7" w:rsidRPr="00DF3EF6" w:rsidRDefault="00322779" w:rsidP="00322779">
      <w:pPr>
        <w:pStyle w:val="ManualConsidrant"/>
        <w:rPr>
          <w:noProof/>
        </w:rPr>
      </w:pPr>
      <w:r w:rsidRPr="00322779">
        <w:t>(24)</w:t>
      </w:r>
      <w:r w:rsidRPr="00322779">
        <w:tab/>
      </w:r>
      <w:r w:rsidR="10539198" w:rsidRPr="00DF3EF6">
        <w:rPr>
          <w:noProof/>
        </w:rPr>
        <w:t>Chociaż podstawową rolą systemów gwarancji depozytów jest wypłata depozytów gwarantowanych deponentom, interwencje inne niż wypłata mogą okazać się bardziej opłacalne dla systemów gwarancji depozytów oraz zapewnić nieprzerwany dostęp do depozytów poprzez ułatwienie strategii przeniesienia. Systemy gwarancji depozytów mogą być zobowiązane do wnoszenia wkładu</w:t>
      </w:r>
      <w:r w:rsidR="0031342C" w:rsidRPr="00DF3EF6">
        <w:rPr>
          <w:noProof/>
        </w:rPr>
        <w:t xml:space="preserve"> w</w:t>
      </w:r>
      <w:r w:rsidR="0031342C">
        <w:rPr>
          <w:noProof/>
        </w:rPr>
        <w:t> </w:t>
      </w:r>
      <w:r w:rsidR="0031342C" w:rsidRPr="00DF3EF6">
        <w:rPr>
          <w:noProof/>
        </w:rPr>
        <w:t>res</w:t>
      </w:r>
      <w:r w:rsidR="10539198" w:rsidRPr="00DF3EF6">
        <w:rPr>
          <w:noProof/>
        </w:rPr>
        <w:t>trukturyzację</w:t>
      </w:r>
      <w:r w:rsidR="0031342C" w:rsidRPr="00DF3EF6">
        <w:rPr>
          <w:noProof/>
        </w:rPr>
        <w:t xml:space="preserve"> i</w:t>
      </w:r>
      <w:r w:rsidR="0031342C">
        <w:rPr>
          <w:noProof/>
        </w:rPr>
        <w:t> </w:t>
      </w:r>
      <w:r w:rsidR="0031342C" w:rsidRPr="00DF3EF6">
        <w:rPr>
          <w:noProof/>
        </w:rPr>
        <w:t>upo</w:t>
      </w:r>
      <w:r w:rsidR="10539198" w:rsidRPr="00DF3EF6">
        <w:rPr>
          <w:noProof/>
        </w:rPr>
        <w:t>rządkowaną likwidację instytucji kredytowych. Ponadto</w:t>
      </w:r>
      <w:r w:rsidR="0031342C" w:rsidRPr="00DF3EF6">
        <w:rPr>
          <w:noProof/>
        </w:rPr>
        <w:t xml:space="preserve"> w</w:t>
      </w:r>
      <w:r w:rsidR="0031342C">
        <w:rPr>
          <w:noProof/>
        </w:rPr>
        <w:t> </w:t>
      </w:r>
      <w:r w:rsidR="0031342C" w:rsidRPr="00DF3EF6">
        <w:rPr>
          <w:noProof/>
        </w:rPr>
        <w:t>nie</w:t>
      </w:r>
      <w:r w:rsidR="10539198" w:rsidRPr="00DF3EF6">
        <w:rPr>
          <w:noProof/>
        </w:rPr>
        <w:t xml:space="preserve">których państwach członkowskich </w:t>
      </w:r>
      <w:r w:rsidR="10539198" w:rsidRPr="00DF3EF6">
        <w:rPr>
          <w:noProof/>
        </w:rPr>
        <w:lastRenderedPageBreak/>
        <w:t>systemy gwarancji depozytów mogą finansować środki zapobiegawcze</w:t>
      </w:r>
      <w:r w:rsidR="0031342C" w:rsidRPr="00DF3EF6">
        <w:rPr>
          <w:noProof/>
        </w:rPr>
        <w:t xml:space="preserve"> w</w:t>
      </w:r>
      <w:r w:rsidR="0031342C">
        <w:rPr>
          <w:noProof/>
        </w:rPr>
        <w:t> </w:t>
      </w:r>
      <w:r w:rsidR="0031342C" w:rsidRPr="00DF3EF6">
        <w:rPr>
          <w:noProof/>
        </w:rPr>
        <w:t>cel</w:t>
      </w:r>
      <w:r w:rsidR="10539198" w:rsidRPr="00DF3EF6">
        <w:rPr>
          <w:noProof/>
        </w:rPr>
        <w:t>u przywrócenia długoterminowej rentowności instytucji kredytowych lub środki alternatywne</w:t>
      </w:r>
      <w:r w:rsidR="0031342C" w:rsidRPr="00DF3EF6">
        <w:rPr>
          <w:noProof/>
        </w:rPr>
        <w:t xml:space="preserve"> z</w:t>
      </w:r>
      <w:r w:rsidR="0031342C">
        <w:rPr>
          <w:noProof/>
        </w:rPr>
        <w:t> </w:t>
      </w:r>
      <w:r w:rsidR="0031342C" w:rsidRPr="00DF3EF6">
        <w:rPr>
          <w:noProof/>
        </w:rPr>
        <w:t>zak</w:t>
      </w:r>
      <w:r w:rsidR="10539198" w:rsidRPr="00DF3EF6">
        <w:rPr>
          <w:noProof/>
        </w:rPr>
        <w:t>resu upadłości. Chociaż takie środki zapobiegawcze</w:t>
      </w:r>
      <w:r w:rsidR="0031342C" w:rsidRPr="00DF3EF6">
        <w:rPr>
          <w:noProof/>
        </w:rPr>
        <w:t xml:space="preserve"> i</w:t>
      </w:r>
      <w:r w:rsidR="0031342C">
        <w:rPr>
          <w:noProof/>
        </w:rPr>
        <w:t> </w:t>
      </w:r>
      <w:r w:rsidR="0031342C" w:rsidRPr="00DF3EF6">
        <w:rPr>
          <w:noProof/>
        </w:rPr>
        <w:t>alt</w:t>
      </w:r>
      <w:r w:rsidR="10539198" w:rsidRPr="00DF3EF6">
        <w:rPr>
          <w:noProof/>
        </w:rPr>
        <w:t>ernatywne mogą przyczynić się</w:t>
      </w:r>
      <w:r w:rsidR="0031342C" w:rsidRPr="00DF3EF6">
        <w:rPr>
          <w:noProof/>
        </w:rPr>
        <w:t xml:space="preserve"> w</w:t>
      </w:r>
      <w:r w:rsidR="0031342C">
        <w:rPr>
          <w:noProof/>
        </w:rPr>
        <w:t> </w:t>
      </w:r>
      <w:r w:rsidR="0031342C" w:rsidRPr="00DF3EF6">
        <w:rPr>
          <w:noProof/>
        </w:rPr>
        <w:t>zna</w:t>
      </w:r>
      <w:r w:rsidR="10539198" w:rsidRPr="00DF3EF6">
        <w:rPr>
          <w:noProof/>
        </w:rPr>
        <w:t>cznym stopniu do poprawy ochrony depozytów, niezbędne jest objęcie takich środków właściwymi zabezpieczeniami, także</w:t>
      </w:r>
      <w:r w:rsidR="0031342C" w:rsidRPr="00DF3EF6">
        <w:rPr>
          <w:noProof/>
        </w:rPr>
        <w:t xml:space="preserve"> w</w:t>
      </w:r>
      <w:r w:rsidR="0031342C">
        <w:rPr>
          <w:noProof/>
        </w:rPr>
        <w:t> </w:t>
      </w:r>
      <w:r w:rsidR="0031342C" w:rsidRPr="00DF3EF6">
        <w:rPr>
          <w:noProof/>
        </w:rPr>
        <w:t>pos</w:t>
      </w:r>
      <w:r w:rsidR="10539198" w:rsidRPr="00DF3EF6">
        <w:rPr>
          <w:noProof/>
        </w:rPr>
        <w:t>taci zharmonizowanego testu najniższego kosztu,</w:t>
      </w:r>
      <w:r w:rsidR="0031342C" w:rsidRPr="00DF3EF6">
        <w:rPr>
          <w:noProof/>
        </w:rPr>
        <w:t xml:space="preserve"> w</w:t>
      </w:r>
      <w:r w:rsidR="0031342C">
        <w:rPr>
          <w:noProof/>
        </w:rPr>
        <w:t> </w:t>
      </w:r>
      <w:r w:rsidR="0031342C" w:rsidRPr="00DF3EF6">
        <w:rPr>
          <w:noProof/>
        </w:rPr>
        <w:t>cel</w:t>
      </w:r>
      <w:r w:rsidR="10539198" w:rsidRPr="00DF3EF6">
        <w:rPr>
          <w:noProof/>
        </w:rPr>
        <w:t>u zapewnienia równych warunków działania oraz skuteczności</w:t>
      </w:r>
      <w:r w:rsidR="0031342C" w:rsidRPr="00DF3EF6">
        <w:rPr>
          <w:noProof/>
        </w:rPr>
        <w:t xml:space="preserve"> i</w:t>
      </w:r>
      <w:r w:rsidR="0031342C">
        <w:rPr>
          <w:noProof/>
        </w:rPr>
        <w:t> </w:t>
      </w:r>
      <w:r w:rsidR="0031342C" w:rsidRPr="00DF3EF6">
        <w:rPr>
          <w:noProof/>
        </w:rPr>
        <w:t>opł</w:t>
      </w:r>
      <w:r w:rsidR="10539198" w:rsidRPr="00DF3EF6">
        <w:rPr>
          <w:noProof/>
        </w:rPr>
        <w:t>acalności takich środków. Zabezpieczenia takie powinny mieć zastosowanie wyłącznie</w:t>
      </w:r>
      <w:r w:rsidR="0031342C" w:rsidRPr="00DF3EF6">
        <w:rPr>
          <w:noProof/>
        </w:rPr>
        <w:t xml:space="preserve"> w</w:t>
      </w:r>
      <w:r w:rsidR="0031342C">
        <w:rPr>
          <w:noProof/>
        </w:rPr>
        <w:t> </w:t>
      </w:r>
      <w:r w:rsidR="0031342C" w:rsidRPr="00DF3EF6">
        <w:rPr>
          <w:noProof/>
        </w:rPr>
        <w:t>prz</w:t>
      </w:r>
      <w:r w:rsidR="10539198" w:rsidRPr="00DF3EF6">
        <w:rPr>
          <w:noProof/>
        </w:rPr>
        <w:t>ypadku interwencji finansowanych</w:t>
      </w:r>
      <w:r w:rsidR="0031342C" w:rsidRPr="00DF3EF6">
        <w:rPr>
          <w:noProof/>
        </w:rPr>
        <w:t xml:space="preserve"> z</w:t>
      </w:r>
      <w:r w:rsidR="0031342C">
        <w:rPr>
          <w:noProof/>
        </w:rPr>
        <w:t> </w:t>
      </w:r>
      <w:r w:rsidR="0031342C" w:rsidRPr="00DF3EF6">
        <w:rPr>
          <w:noProof/>
        </w:rPr>
        <w:t>dos</w:t>
      </w:r>
      <w:r w:rsidR="10539198" w:rsidRPr="00DF3EF6">
        <w:rPr>
          <w:noProof/>
        </w:rPr>
        <w:t>tępnych środków finansowych systemu gwarancji depozytów uregulowanych na mocy niniejszej dyrektywy.</w:t>
      </w:r>
    </w:p>
    <w:p w14:paraId="2951401A" w14:textId="416A65CA" w:rsidR="00663BFD" w:rsidRPr="00DF3EF6" w:rsidRDefault="00322779" w:rsidP="00322779">
      <w:pPr>
        <w:pStyle w:val="ManualConsidrant"/>
        <w:rPr>
          <w:noProof/>
        </w:rPr>
      </w:pPr>
      <w:r w:rsidRPr="00322779">
        <w:t>(25)</w:t>
      </w:r>
      <w:r w:rsidRPr="00322779">
        <w:tab/>
      </w:r>
      <w:r w:rsidR="10539198" w:rsidRPr="00DF3EF6">
        <w:rPr>
          <w:noProof/>
        </w:rPr>
        <w:t>Środki mające na celu zapobieganie upadłości instytucji kredytowej poprzez wystarczająco wczesne interwencje mogą odgrywać skuteczną rolę</w:t>
      </w:r>
      <w:r w:rsidR="0031342C" w:rsidRPr="00DF3EF6">
        <w:rPr>
          <w:noProof/>
        </w:rPr>
        <w:t xml:space="preserve"> w</w:t>
      </w:r>
      <w:r w:rsidR="0031342C">
        <w:rPr>
          <w:noProof/>
        </w:rPr>
        <w:t> </w:t>
      </w:r>
      <w:r w:rsidR="0031342C" w:rsidRPr="00DF3EF6">
        <w:rPr>
          <w:noProof/>
        </w:rPr>
        <w:t>sek</w:t>
      </w:r>
      <w:r w:rsidR="10539198" w:rsidRPr="00DF3EF6">
        <w:rPr>
          <w:noProof/>
        </w:rPr>
        <w:t>wencji narzędzi zarządzania kryzysowego służących utrzymaniu zaufania deponentów oraz stabilności finansowej. Środki te mogą przyjmować różne formy – środków wsparcia kapitałowego</w:t>
      </w:r>
      <w:r w:rsidR="0031342C" w:rsidRPr="00DF3EF6">
        <w:rPr>
          <w:noProof/>
        </w:rPr>
        <w:t xml:space="preserve"> w</w:t>
      </w:r>
      <w:r w:rsidR="0031342C">
        <w:rPr>
          <w:noProof/>
        </w:rPr>
        <w:t> </w:t>
      </w:r>
      <w:r w:rsidR="0031342C" w:rsidRPr="00DF3EF6">
        <w:rPr>
          <w:noProof/>
        </w:rPr>
        <w:t>ram</w:t>
      </w:r>
      <w:r w:rsidR="10539198" w:rsidRPr="00DF3EF6">
        <w:rPr>
          <w:noProof/>
        </w:rPr>
        <w:t>ach instrumentów funduszy własnych (w tym instrumenty</w:t>
      </w:r>
      <w:r w:rsidR="0031342C" w:rsidRPr="00DF3EF6">
        <w:rPr>
          <w:noProof/>
        </w:rPr>
        <w:t xml:space="preserve"> w</w:t>
      </w:r>
      <w:r w:rsidR="0031342C">
        <w:rPr>
          <w:noProof/>
        </w:rPr>
        <w:t> </w:t>
      </w:r>
      <w:r w:rsidR="0031342C" w:rsidRPr="00DF3EF6">
        <w:rPr>
          <w:noProof/>
        </w:rPr>
        <w:t>kap</w:t>
      </w:r>
      <w:r w:rsidR="10539198" w:rsidRPr="00DF3EF6">
        <w:rPr>
          <w:noProof/>
        </w:rPr>
        <w:t>itale podstawowym Tier I) lub innych instrumentów kapitałowych, gwarancji lub pożyczek. Systemy gwarancji depozytów korzystały</w:t>
      </w:r>
      <w:r w:rsidR="0031342C" w:rsidRPr="00DF3EF6">
        <w:rPr>
          <w:noProof/>
        </w:rPr>
        <w:t xml:space="preserve"> z</w:t>
      </w:r>
      <w:r w:rsidR="0031342C">
        <w:rPr>
          <w:noProof/>
        </w:rPr>
        <w:t> </w:t>
      </w:r>
      <w:r w:rsidR="0031342C" w:rsidRPr="00DF3EF6">
        <w:rPr>
          <w:noProof/>
        </w:rPr>
        <w:t>tyc</w:t>
      </w:r>
      <w:r w:rsidR="10539198" w:rsidRPr="00DF3EF6">
        <w:rPr>
          <w:noProof/>
        </w:rPr>
        <w:t>h środków</w:t>
      </w:r>
      <w:r w:rsidR="0031342C" w:rsidRPr="00DF3EF6">
        <w:rPr>
          <w:noProof/>
        </w:rPr>
        <w:t xml:space="preserve"> w</w:t>
      </w:r>
      <w:r w:rsidR="0031342C">
        <w:rPr>
          <w:noProof/>
        </w:rPr>
        <w:t> </w:t>
      </w:r>
      <w:r w:rsidR="0031342C" w:rsidRPr="00DF3EF6">
        <w:rPr>
          <w:noProof/>
        </w:rPr>
        <w:t>spo</w:t>
      </w:r>
      <w:r w:rsidR="10539198" w:rsidRPr="00DF3EF6">
        <w:rPr>
          <w:noProof/>
        </w:rPr>
        <w:t>sób niejednolity</w:t>
      </w:r>
      <w:r w:rsidR="0031342C" w:rsidRPr="00DF3EF6">
        <w:rPr>
          <w:noProof/>
        </w:rPr>
        <w:t>. W</w:t>
      </w:r>
      <w:r w:rsidR="0031342C">
        <w:rPr>
          <w:noProof/>
        </w:rPr>
        <w:t> </w:t>
      </w:r>
      <w:r w:rsidR="0031342C" w:rsidRPr="00DF3EF6">
        <w:rPr>
          <w:noProof/>
        </w:rPr>
        <w:t>cel</w:t>
      </w:r>
      <w:r w:rsidR="10539198" w:rsidRPr="00DF3EF6">
        <w:rPr>
          <w:noProof/>
        </w:rPr>
        <w:t>u zapewnienia sekwencji narzędzi zarządzania kryzysowego oraz możliwości korzystania ze środków zapobiegawczych</w:t>
      </w:r>
      <w:r w:rsidR="0031342C" w:rsidRPr="00DF3EF6">
        <w:rPr>
          <w:noProof/>
        </w:rPr>
        <w:t xml:space="preserve"> w</w:t>
      </w:r>
      <w:r w:rsidR="0031342C">
        <w:rPr>
          <w:noProof/>
        </w:rPr>
        <w:t> </w:t>
      </w:r>
      <w:r w:rsidR="0031342C" w:rsidRPr="00DF3EF6">
        <w:rPr>
          <w:noProof/>
        </w:rPr>
        <w:t>spo</w:t>
      </w:r>
      <w:r w:rsidR="10539198" w:rsidRPr="00DF3EF6">
        <w:rPr>
          <w:noProof/>
        </w:rPr>
        <w:t>sób spójny</w:t>
      </w:r>
      <w:r w:rsidR="0031342C" w:rsidRPr="00DF3EF6">
        <w:rPr>
          <w:noProof/>
        </w:rPr>
        <w:t xml:space="preserve"> z</w:t>
      </w:r>
      <w:r w:rsidR="0031342C">
        <w:rPr>
          <w:noProof/>
        </w:rPr>
        <w:t> </w:t>
      </w:r>
      <w:r w:rsidR="0031342C" w:rsidRPr="00DF3EF6">
        <w:rPr>
          <w:noProof/>
        </w:rPr>
        <w:t>ram</w:t>
      </w:r>
      <w:r w:rsidR="10539198" w:rsidRPr="00DF3EF6">
        <w:rPr>
          <w:noProof/>
        </w:rPr>
        <w:t>ami restrukturyzacji</w:t>
      </w:r>
      <w:r w:rsidR="0031342C" w:rsidRPr="00DF3EF6">
        <w:rPr>
          <w:noProof/>
        </w:rPr>
        <w:t xml:space="preserve"> i</w:t>
      </w:r>
      <w:r w:rsidR="0031342C">
        <w:rPr>
          <w:noProof/>
        </w:rPr>
        <w:t> </w:t>
      </w:r>
      <w:r w:rsidR="0031342C" w:rsidRPr="00DF3EF6">
        <w:rPr>
          <w:noProof/>
        </w:rPr>
        <w:t>upo</w:t>
      </w:r>
      <w:r w:rsidR="10539198" w:rsidRPr="00DF3EF6">
        <w:rPr>
          <w:noProof/>
        </w:rPr>
        <w:t>rządkowanej likwidacji oraz zasadami pomocy państwa niezbędne jest określenie momentu</w:t>
      </w:r>
      <w:r w:rsidR="0031342C" w:rsidRPr="00DF3EF6">
        <w:rPr>
          <w:noProof/>
        </w:rPr>
        <w:t xml:space="preserve"> i</w:t>
      </w:r>
      <w:r w:rsidR="0031342C">
        <w:rPr>
          <w:noProof/>
        </w:rPr>
        <w:t> </w:t>
      </w:r>
      <w:r w:rsidR="0031342C" w:rsidRPr="00DF3EF6">
        <w:rPr>
          <w:noProof/>
        </w:rPr>
        <w:t>war</w:t>
      </w:r>
      <w:r w:rsidR="10539198" w:rsidRPr="00DF3EF6">
        <w:rPr>
          <w:noProof/>
        </w:rPr>
        <w:t>unków ich stosowania. Środki zapobiegawcze nie są właściwym sposobem pokrywania poniesionych strat, jeżeli instytucja kredytowa jest już na progu upadłości lub jest zagrożona upadłością,</w:t>
      </w:r>
      <w:r w:rsidR="0031342C" w:rsidRPr="00DF3EF6">
        <w:rPr>
          <w:noProof/>
        </w:rPr>
        <w:t xml:space="preserve"> i</w:t>
      </w:r>
      <w:r w:rsidR="0031342C">
        <w:rPr>
          <w:noProof/>
        </w:rPr>
        <w:t> </w:t>
      </w:r>
      <w:r w:rsidR="0031342C" w:rsidRPr="00DF3EF6">
        <w:rPr>
          <w:noProof/>
        </w:rPr>
        <w:t>nal</w:t>
      </w:r>
      <w:r w:rsidR="10539198" w:rsidRPr="00DF3EF6">
        <w:rPr>
          <w:noProof/>
        </w:rPr>
        <w:t>eży</w:t>
      </w:r>
      <w:r w:rsidR="0031342C" w:rsidRPr="00DF3EF6">
        <w:rPr>
          <w:noProof/>
        </w:rPr>
        <w:t xml:space="preserve"> z</w:t>
      </w:r>
      <w:r w:rsidR="0031342C">
        <w:rPr>
          <w:noProof/>
        </w:rPr>
        <w:t> </w:t>
      </w:r>
      <w:r w:rsidR="0031342C" w:rsidRPr="00DF3EF6">
        <w:rPr>
          <w:noProof/>
        </w:rPr>
        <w:t>nic</w:t>
      </w:r>
      <w:r w:rsidR="10539198" w:rsidRPr="00DF3EF6">
        <w:rPr>
          <w:noProof/>
        </w:rPr>
        <w:t>h korzystać na wcześniejszym etapie, aby zapobiec pogorszeniu sytuacji finansowej banku</w:t>
      </w:r>
      <w:r w:rsidR="0031342C" w:rsidRPr="00DF3EF6">
        <w:rPr>
          <w:noProof/>
        </w:rPr>
        <w:t>. W</w:t>
      </w:r>
      <w:r w:rsidR="0031342C">
        <w:rPr>
          <w:noProof/>
        </w:rPr>
        <w:t> </w:t>
      </w:r>
      <w:r w:rsidR="0031342C" w:rsidRPr="00DF3EF6">
        <w:rPr>
          <w:noProof/>
        </w:rPr>
        <w:t>zwi</w:t>
      </w:r>
      <w:r w:rsidR="10539198" w:rsidRPr="00DF3EF6">
        <w:rPr>
          <w:noProof/>
        </w:rPr>
        <w:t>ązku</w:t>
      </w:r>
      <w:r w:rsidR="0031342C" w:rsidRPr="00DF3EF6">
        <w:rPr>
          <w:noProof/>
        </w:rPr>
        <w:t xml:space="preserve"> z</w:t>
      </w:r>
      <w:r w:rsidR="0031342C">
        <w:rPr>
          <w:noProof/>
        </w:rPr>
        <w:t> </w:t>
      </w:r>
      <w:r w:rsidR="0031342C" w:rsidRPr="00DF3EF6">
        <w:rPr>
          <w:noProof/>
        </w:rPr>
        <w:t>tym</w:t>
      </w:r>
      <w:r w:rsidR="10539198" w:rsidRPr="00DF3EF6">
        <w:rPr>
          <w:noProof/>
        </w:rPr>
        <w:t xml:space="preserve"> wyznaczone organy powinny weryfikować, czy zostały spełnione warunki takiej interwencji systemu gwarancji depozytów. </w:t>
      </w:r>
      <w:bookmarkStart w:id="12" w:name="_Hlk132533781"/>
      <w:r w:rsidR="10539198" w:rsidRPr="00DF3EF6">
        <w:rPr>
          <w:noProof/>
        </w:rPr>
        <w:t>Wspomniane warunki korzystania</w:t>
      </w:r>
      <w:r w:rsidR="0031342C" w:rsidRPr="00DF3EF6">
        <w:rPr>
          <w:noProof/>
        </w:rPr>
        <w:t xml:space="preserve"> z</w:t>
      </w:r>
      <w:r w:rsidR="0031342C">
        <w:rPr>
          <w:noProof/>
        </w:rPr>
        <w:t> </w:t>
      </w:r>
      <w:r w:rsidR="0031342C" w:rsidRPr="00DF3EF6">
        <w:rPr>
          <w:noProof/>
        </w:rPr>
        <w:t>dos</w:t>
      </w:r>
      <w:r w:rsidR="10539198" w:rsidRPr="00DF3EF6">
        <w:rPr>
          <w:noProof/>
        </w:rPr>
        <w:t>tępnych środków finansowych systemu gwarancji depozytów powinny ponadto pozostawać bez uszczerbku dla oceny właściwego organu dotyczącej kwestii, czy instytucjonalny system ochrony spełnia kryteria określone</w:t>
      </w:r>
      <w:r w:rsidR="0031342C" w:rsidRPr="00DF3EF6">
        <w:rPr>
          <w:noProof/>
        </w:rPr>
        <w:t xml:space="preserve"> w</w:t>
      </w:r>
      <w:r w:rsidR="0031342C">
        <w:rPr>
          <w:noProof/>
        </w:rPr>
        <w:t> </w:t>
      </w:r>
      <w:r w:rsidR="0031342C" w:rsidRPr="0031342C">
        <w:rPr>
          <w:noProof/>
        </w:rPr>
        <w:t>art</w:t>
      </w:r>
      <w:r w:rsidR="10539198" w:rsidRPr="0031342C">
        <w:rPr>
          <w:noProof/>
        </w:rPr>
        <w:t>.</w:t>
      </w:r>
      <w:r w:rsidR="0031342C" w:rsidRPr="0031342C">
        <w:rPr>
          <w:noProof/>
        </w:rPr>
        <w:t> </w:t>
      </w:r>
      <w:r w:rsidR="10539198" w:rsidRPr="0031342C">
        <w:rPr>
          <w:noProof/>
        </w:rPr>
        <w:t>1</w:t>
      </w:r>
      <w:r w:rsidR="10539198" w:rsidRPr="00DF3EF6">
        <w:rPr>
          <w:noProof/>
        </w:rPr>
        <w:t xml:space="preserve">13 </w:t>
      </w:r>
      <w:r w:rsidR="10539198" w:rsidRPr="0031342C">
        <w:rPr>
          <w:noProof/>
        </w:rPr>
        <w:t>ust.</w:t>
      </w:r>
      <w:r w:rsidR="0031342C" w:rsidRPr="0031342C">
        <w:rPr>
          <w:noProof/>
        </w:rPr>
        <w:t> </w:t>
      </w:r>
      <w:r w:rsidR="10539198" w:rsidRPr="0031342C">
        <w:rPr>
          <w:noProof/>
        </w:rPr>
        <w:t>7</w:t>
      </w:r>
      <w:r w:rsidR="10539198" w:rsidRPr="00DF3EF6">
        <w:rPr>
          <w:noProof/>
        </w:rPr>
        <w:t xml:space="preserve"> rozporządzenia Parlamentu Europejskiego</w:t>
      </w:r>
      <w:r w:rsidR="0031342C" w:rsidRPr="00DF3EF6">
        <w:rPr>
          <w:noProof/>
        </w:rPr>
        <w:t xml:space="preserve"> i</w:t>
      </w:r>
      <w:r w:rsidR="0031342C">
        <w:rPr>
          <w:noProof/>
        </w:rPr>
        <w:t> </w:t>
      </w:r>
      <w:r w:rsidR="0031342C" w:rsidRPr="00DF3EF6">
        <w:rPr>
          <w:noProof/>
        </w:rPr>
        <w:t>Rad</w:t>
      </w:r>
      <w:r w:rsidR="10539198" w:rsidRPr="00DF3EF6">
        <w:rPr>
          <w:noProof/>
        </w:rPr>
        <w:t xml:space="preserve">y (UE) </w:t>
      </w:r>
      <w:r w:rsidR="10539198" w:rsidRPr="0031342C">
        <w:rPr>
          <w:noProof/>
        </w:rPr>
        <w:t>nr</w:t>
      </w:r>
      <w:r w:rsidR="0031342C" w:rsidRPr="0031342C">
        <w:rPr>
          <w:noProof/>
        </w:rPr>
        <w:t> </w:t>
      </w:r>
      <w:r w:rsidR="10539198" w:rsidRPr="0031342C">
        <w:rPr>
          <w:noProof/>
        </w:rPr>
        <w:t>5</w:t>
      </w:r>
      <w:r w:rsidR="10539198" w:rsidRPr="00DF3EF6">
        <w:rPr>
          <w:noProof/>
        </w:rPr>
        <w:t>75/2013</w:t>
      </w:r>
      <w:r w:rsidR="10539198" w:rsidRPr="00DF3EF6">
        <w:rPr>
          <w:rStyle w:val="FootnoteReference"/>
          <w:noProof/>
        </w:rPr>
        <w:footnoteReference w:id="42"/>
      </w:r>
      <w:r w:rsidR="10539198" w:rsidRPr="00DF3EF6">
        <w:rPr>
          <w:noProof/>
        </w:rPr>
        <w:t xml:space="preserve">. </w:t>
      </w:r>
      <w:bookmarkEnd w:id="12"/>
    </w:p>
    <w:p w14:paraId="2D14DF84" w14:textId="7543B457" w:rsidR="002029C7" w:rsidRPr="00DF3EF6" w:rsidRDefault="00322779" w:rsidP="00322779">
      <w:pPr>
        <w:pStyle w:val="ManualConsidrant"/>
        <w:rPr>
          <w:noProof/>
        </w:rPr>
      </w:pPr>
      <w:r w:rsidRPr="00322779">
        <w:t>(26)</w:t>
      </w:r>
      <w:r w:rsidRPr="00322779">
        <w:tab/>
      </w:r>
      <w:r w:rsidR="10539198" w:rsidRPr="00DF3EF6">
        <w:rPr>
          <w:noProof/>
        </w:rPr>
        <w:t>W celu zapewnienia, aby środki zapobiegawcze osiągnęły swój cel, na instytucje kredytowe należy nałożyć wymóg sporządzenia oświadczenia opisującego środki, które zobowiązują się wprowadzić. Sporządzenie takiego oświadczenia nie powinno być dla instytucji kredytowej zbyt obciążające ani czasochłonne, tak aby zapewnić systemowi gwarancji depozytów możliwość wystarczająco wczesnej interwencji. Oświadczenie towarzyszące środkom zapobiegawczym powinno zatem przybrać formę możliwie krótkiego dokumentu wyjaśniającego. Oświadczenie takie powinno obejmować wszystkie elementy, których celem jest zapobieganie wypływowi środków finansowych oraz poprawa sytuacji kapitałowej</w:t>
      </w:r>
      <w:r w:rsidR="0031342C" w:rsidRPr="00DF3EF6">
        <w:rPr>
          <w:noProof/>
        </w:rPr>
        <w:t xml:space="preserve"> i</w:t>
      </w:r>
      <w:r w:rsidR="0031342C">
        <w:rPr>
          <w:noProof/>
        </w:rPr>
        <w:t> </w:t>
      </w:r>
      <w:r w:rsidR="0031342C" w:rsidRPr="00DF3EF6">
        <w:rPr>
          <w:noProof/>
        </w:rPr>
        <w:t>poz</w:t>
      </w:r>
      <w:r w:rsidR="10539198" w:rsidRPr="00DF3EF6">
        <w:rPr>
          <w:noProof/>
        </w:rPr>
        <w:t>iomu płynności instytucji kredytowej, umożliwienie instytucji kredytowej zapewnienie zgodności</w:t>
      </w:r>
      <w:r w:rsidR="0031342C" w:rsidRPr="00DF3EF6">
        <w:rPr>
          <w:noProof/>
        </w:rPr>
        <w:t xml:space="preserve"> z</w:t>
      </w:r>
      <w:r w:rsidR="0031342C">
        <w:rPr>
          <w:noProof/>
        </w:rPr>
        <w:t> </w:t>
      </w:r>
      <w:r w:rsidR="0031342C" w:rsidRPr="00DF3EF6">
        <w:rPr>
          <w:noProof/>
        </w:rPr>
        <w:t>wła</w:t>
      </w:r>
      <w:r w:rsidR="10539198" w:rsidRPr="00DF3EF6">
        <w:rPr>
          <w:noProof/>
        </w:rPr>
        <w:t>ściwymi wymogami ostrożnościowymi</w:t>
      </w:r>
      <w:r w:rsidR="0031342C" w:rsidRPr="00DF3EF6">
        <w:rPr>
          <w:noProof/>
        </w:rPr>
        <w:t xml:space="preserve"> i</w:t>
      </w:r>
      <w:r w:rsidR="0031342C">
        <w:rPr>
          <w:noProof/>
        </w:rPr>
        <w:t> </w:t>
      </w:r>
      <w:r w:rsidR="0031342C" w:rsidRPr="00DF3EF6">
        <w:rPr>
          <w:noProof/>
        </w:rPr>
        <w:t>inn</w:t>
      </w:r>
      <w:r w:rsidR="10539198" w:rsidRPr="00DF3EF6">
        <w:rPr>
          <w:noProof/>
        </w:rPr>
        <w:t>ymi wymogami regulacyjnymi</w:t>
      </w:r>
      <w:r w:rsidR="0031342C" w:rsidRPr="00DF3EF6">
        <w:rPr>
          <w:noProof/>
        </w:rPr>
        <w:t xml:space="preserve"> w</w:t>
      </w:r>
      <w:r w:rsidR="0031342C">
        <w:rPr>
          <w:noProof/>
        </w:rPr>
        <w:t> </w:t>
      </w:r>
      <w:r w:rsidR="0031342C" w:rsidRPr="00DF3EF6">
        <w:rPr>
          <w:noProof/>
        </w:rPr>
        <w:t>uję</w:t>
      </w:r>
      <w:r w:rsidR="10539198" w:rsidRPr="00DF3EF6">
        <w:rPr>
          <w:noProof/>
        </w:rPr>
        <w:t>ciu prospektywnym. Oświadczenie takie powinno zatem obejmować środki służące pozyskaniu kapitału,</w:t>
      </w:r>
      <w:r w:rsidR="0031342C" w:rsidRPr="00DF3EF6">
        <w:rPr>
          <w:noProof/>
        </w:rPr>
        <w:t xml:space="preserve"> w</w:t>
      </w:r>
      <w:r w:rsidR="0031342C">
        <w:rPr>
          <w:noProof/>
        </w:rPr>
        <w:t> </w:t>
      </w:r>
      <w:r w:rsidR="0031342C" w:rsidRPr="00DF3EF6">
        <w:rPr>
          <w:noProof/>
        </w:rPr>
        <w:t>tym</w:t>
      </w:r>
      <w:r w:rsidR="10539198" w:rsidRPr="00DF3EF6">
        <w:rPr>
          <w:noProof/>
        </w:rPr>
        <w:t xml:space="preserve"> zasady dotyczące emisji akcji</w:t>
      </w:r>
      <w:r w:rsidR="0031342C" w:rsidRPr="00DF3EF6">
        <w:rPr>
          <w:noProof/>
        </w:rPr>
        <w:t xml:space="preserve"> z</w:t>
      </w:r>
      <w:r w:rsidR="0031342C">
        <w:rPr>
          <w:noProof/>
        </w:rPr>
        <w:t> </w:t>
      </w:r>
      <w:r w:rsidR="0031342C" w:rsidRPr="00DF3EF6">
        <w:rPr>
          <w:noProof/>
        </w:rPr>
        <w:t>pra</w:t>
      </w:r>
      <w:r w:rsidR="10539198" w:rsidRPr="00DF3EF6">
        <w:rPr>
          <w:noProof/>
        </w:rPr>
        <w:t xml:space="preserve">wem poboru, dobrowolne przekształcenie podporządkowanych instrumentów dłużnych, proces </w:t>
      </w:r>
      <w:r w:rsidR="10539198" w:rsidRPr="00DF3EF6">
        <w:rPr>
          <w:noProof/>
        </w:rPr>
        <w:lastRenderedPageBreak/>
        <w:t>zarządzania zobowiązaniami, sprzedaż aktywów</w:t>
      </w:r>
      <w:r w:rsidR="0031342C" w:rsidRPr="00DF3EF6">
        <w:rPr>
          <w:noProof/>
        </w:rPr>
        <w:t xml:space="preserve"> w</w:t>
      </w:r>
      <w:r w:rsidR="0031342C">
        <w:rPr>
          <w:noProof/>
        </w:rPr>
        <w:t> </w:t>
      </w:r>
      <w:r w:rsidR="0031342C" w:rsidRPr="00DF3EF6">
        <w:rPr>
          <w:noProof/>
        </w:rPr>
        <w:t>cel</w:t>
      </w:r>
      <w:r w:rsidR="10539198" w:rsidRPr="00DF3EF6">
        <w:rPr>
          <w:noProof/>
        </w:rPr>
        <w:t>u zgromadzenia kapitału, sekurytyzację portfeli oraz zatrzymanie zysków,</w:t>
      </w:r>
      <w:r w:rsidR="0031342C" w:rsidRPr="00DF3EF6">
        <w:rPr>
          <w:noProof/>
        </w:rPr>
        <w:t xml:space="preserve"> w</w:t>
      </w:r>
      <w:r w:rsidR="0031342C">
        <w:rPr>
          <w:noProof/>
        </w:rPr>
        <w:t> </w:t>
      </w:r>
      <w:r w:rsidR="0031342C" w:rsidRPr="00DF3EF6">
        <w:rPr>
          <w:noProof/>
        </w:rPr>
        <w:t>tym</w:t>
      </w:r>
      <w:r w:rsidR="10539198" w:rsidRPr="00DF3EF6">
        <w:rPr>
          <w:noProof/>
        </w:rPr>
        <w:t xml:space="preserve"> zakazy wypłacania dywidend oraz zakazy nabywania udziałów</w:t>
      </w:r>
      <w:r w:rsidR="0031342C" w:rsidRPr="00DF3EF6">
        <w:rPr>
          <w:noProof/>
        </w:rPr>
        <w:t xml:space="preserve"> w</w:t>
      </w:r>
      <w:r w:rsidR="0031342C">
        <w:rPr>
          <w:noProof/>
        </w:rPr>
        <w:t> </w:t>
      </w:r>
      <w:r w:rsidR="0031342C" w:rsidRPr="00DF3EF6">
        <w:rPr>
          <w:noProof/>
        </w:rPr>
        <w:t>prz</w:t>
      </w:r>
      <w:r w:rsidR="10539198" w:rsidRPr="00DF3EF6">
        <w:rPr>
          <w:noProof/>
        </w:rPr>
        <w:t>edsiębiorstwach</w:t>
      </w:r>
      <w:r w:rsidR="0031342C" w:rsidRPr="00DF3EF6">
        <w:rPr>
          <w:noProof/>
        </w:rPr>
        <w:t>. Z</w:t>
      </w:r>
      <w:r w:rsidR="0031342C">
        <w:rPr>
          <w:noProof/>
        </w:rPr>
        <w:t> </w:t>
      </w:r>
      <w:r w:rsidR="0031342C" w:rsidRPr="00DF3EF6">
        <w:rPr>
          <w:noProof/>
        </w:rPr>
        <w:t>teg</w:t>
      </w:r>
      <w:r w:rsidR="10539198" w:rsidRPr="00DF3EF6">
        <w:rPr>
          <w:noProof/>
        </w:rPr>
        <w:t>o samego powodu podczas wdrażania środków przewidzianych</w:t>
      </w:r>
      <w:r w:rsidR="0031342C" w:rsidRPr="00DF3EF6">
        <w:rPr>
          <w:noProof/>
        </w:rPr>
        <w:t xml:space="preserve"> w</w:t>
      </w:r>
      <w:r w:rsidR="0031342C">
        <w:rPr>
          <w:noProof/>
        </w:rPr>
        <w:t> </w:t>
      </w:r>
      <w:r w:rsidR="0031342C" w:rsidRPr="00DF3EF6">
        <w:rPr>
          <w:noProof/>
        </w:rPr>
        <w:t>ośw</w:t>
      </w:r>
      <w:r w:rsidR="10539198" w:rsidRPr="00DF3EF6">
        <w:rPr>
          <w:noProof/>
        </w:rPr>
        <w:t>iadczeniu instytucje kredytowe powinny także wzmocnić swoje poziomy płynności, jak również powstrzymywać się od agresywnych praktyk handlowych oraz od wykupywania własnych akcji lub korzystania</w:t>
      </w:r>
      <w:r w:rsidR="0031342C" w:rsidRPr="00DF3EF6">
        <w:rPr>
          <w:noProof/>
        </w:rPr>
        <w:t xml:space="preserve"> z</w:t>
      </w:r>
      <w:r w:rsidR="0031342C">
        <w:rPr>
          <w:noProof/>
        </w:rPr>
        <w:t> </w:t>
      </w:r>
      <w:r w:rsidR="0031342C" w:rsidRPr="00DF3EF6">
        <w:rPr>
          <w:noProof/>
        </w:rPr>
        <w:t>opc</w:t>
      </w:r>
      <w:r w:rsidR="10539198" w:rsidRPr="00DF3EF6">
        <w:rPr>
          <w:noProof/>
        </w:rPr>
        <w:t>ji kupna hybrydowych instrumentów kapitałowych. Oświadczenie takie powinno obejmować także strategię wyjścia dla wszelkich uzyskanych środków wsparcia. Właściwe organy są najwłaściwszą stroną,</w:t>
      </w:r>
      <w:r w:rsidR="0031342C" w:rsidRPr="00DF3EF6">
        <w:rPr>
          <w:noProof/>
        </w:rPr>
        <w:t xml:space="preserve"> z</w:t>
      </w:r>
      <w:r w:rsidR="0031342C">
        <w:rPr>
          <w:noProof/>
        </w:rPr>
        <w:t> </w:t>
      </w:r>
      <w:r w:rsidR="0031342C" w:rsidRPr="00DF3EF6">
        <w:rPr>
          <w:noProof/>
        </w:rPr>
        <w:t>któ</w:t>
      </w:r>
      <w:r w:rsidR="10539198" w:rsidRPr="00DF3EF6">
        <w:rPr>
          <w:noProof/>
        </w:rPr>
        <w:t>rą należy konsultować kwestię istotności</w:t>
      </w:r>
      <w:r w:rsidR="0031342C" w:rsidRPr="00DF3EF6">
        <w:rPr>
          <w:noProof/>
        </w:rPr>
        <w:t xml:space="preserve"> i</w:t>
      </w:r>
      <w:r w:rsidR="0031342C">
        <w:rPr>
          <w:noProof/>
        </w:rPr>
        <w:t> </w:t>
      </w:r>
      <w:r w:rsidR="0031342C" w:rsidRPr="00DF3EF6">
        <w:rPr>
          <w:noProof/>
        </w:rPr>
        <w:t>wia</w:t>
      </w:r>
      <w:r w:rsidR="10539198" w:rsidRPr="00DF3EF6">
        <w:rPr>
          <w:noProof/>
        </w:rPr>
        <w:t>rygodności środków przewidzianych</w:t>
      </w:r>
      <w:r w:rsidR="0031342C" w:rsidRPr="00DF3EF6">
        <w:rPr>
          <w:noProof/>
        </w:rPr>
        <w:t xml:space="preserve"> w</w:t>
      </w:r>
      <w:r w:rsidR="0031342C">
        <w:rPr>
          <w:noProof/>
        </w:rPr>
        <w:t> </w:t>
      </w:r>
      <w:r w:rsidR="0031342C" w:rsidRPr="00DF3EF6">
        <w:rPr>
          <w:noProof/>
        </w:rPr>
        <w:t>ośw</w:t>
      </w:r>
      <w:r w:rsidR="10539198" w:rsidRPr="00DF3EF6">
        <w:rPr>
          <w:noProof/>
        </w:rPr>
        <w:t>iadczeniu</w:t>
      </w:r>
      <w:r w:rsidR="0031342C" w:rsidRPr="00DF3EF6">
        <w:rPr>
          <w:noProof/>
        </w:rPr>
        <w:t>. W</w:t>
      </w:r>
      <w:r w:rsidR="0031342C">
        <w:rPr>
          <w:noProof/>
        </w:rPr>
        <w:t> </w:t>
      </w:r>
      <w:r w:rsidR="0031342C" w:rsidRPr="00DF3EF6">
        <w:rPr>
          <w:noProof/>
        </w:rPr>
        <w:t>cel</w:t>
      </w:r>
      <w:r w:rsidR="10539198" w:rsidRPr="00DF3EF6">
        <w:rPr>
          <w:noProof/>
        </w:rPr>
        <w:t>u zapewnienia, aby wyznaczone organy właściwe dla systemu gwarancji depozytów, do którego instytucja kredytowa zwróciła się</w:t>
      </w:r>
      <w:r w:rsidR="0031342C" w:rsidRPr="00DF3EF6">
        <w:rPr>
          <w:noProof/>
        </w:rPr>
        <w:t xml:space="preserve"> o</w:t>
      </w:r>
      <w:r w:rsidR="0031342C">
        <w:rPr>
          <w:noProof/>
        </w:rPr>
        <w:t> </w:t>
      </w:r>
      <w:r w:rsidR="0031342C" w:rsidRPr="00DF3EF6">
        <w:rPr>
          <w:noProof/>
        </w:rPr>
        <w:t>fin</w:t>
      </w:r>
      <w:r w:rsidR="10539198" w:rsidRPr="00DF3EF6">
        <w:rPr>
          <w:noProof/>
        </w:rPr>
        <w:t>ansowanie środka zapobiegawczego, były</w:t>
      </w:r>
      <w:r w:rsidR="0031342C" w:rsidRPr="00DF3EF6">
        <w:rPr>
          <w:noProof/>
        </w:rPr>
        <w:t xml:space="preserve"> w</w:t>
      </w:r>
      <w:r w:rsidR="0031342C">
        <w:rPr>
          <w:noProof/>
        </w:rPr>
        <w:t> </w:t>
      </w:r>
      <w:r w:rsidR="0031342C" w:rsidRPr="00DF3EF6">
        <w:rPr>
          <w:noProof/>
        </w:rPr>
        <w:t>sta</w:t>
      </w:r>
      <w:r w:rsidR="10539198" w:rsidRPr="00DF3EF6">
        <w:rPr>
          <w:noProof/>
        </w:rPr>
        <w:t>nie ocenić, czy spełnione są wszystkie warunki dla środków zapobiegawczych, właściwe organy powinny współpracować</w:t>
      </w:r>
      <w:r w:rsidR="0031342C" w:rsidRPr="00DF3EF6">
        <w:rPr>
          <w:noProof/>
        </w:rPr>
        <w:t xml:space="preserve"> z</w:t>
      </w:r>
      <w:r w:rsidR="0031342C">
        <w:rPr>
          <w:noProof/>
        </w:rPr>
        <w:t> </w:t>
      </w:r>
      <w:r w:rsidR="0031342C" w:rsidRPr="00DF3EF6">
        <w:rPr>
          <w:noProof/>
        </w:rPr>
        <w:t>wyz</w:t>
      </w:r>
      <w:r w:rsidR="10539198" w:rsidRPr="00DF3EF6">
        <w:rPr>
          <w:noProof/>
        </w:rPr>
        <w:t>naczonymi organami</w:t>
      </w:r>
      <w:r w:rsidR="0031342C" w:rsidRPr="00DF3EF6">
        <w:rPr>
          <w:noProof/>
        </w:rPr>
        <w:t>. W</w:t>
      </w:r>
      <w:r w:rsidR="0031342C">
        <w:rPr>
          <w:noProof/>
        </w:rPr>
        <w:t> </w:t>
      </w:r>
      <w:r w:rsidR="0031342C" w:rsidRPr="00DF3EF6">
        <w:rPr>
          <w:noProof/>
        </w:rPr>
        <w:t>cel</w:t>
      </w:r>
      <w:r w:rsidR="10539198" w:rsidRPr="00DF3EF6">
        <w:rPr>
          <w:noProof/>
        </w:rPr>
        <w:t>u zapewnienia spójnego podejścia do stosowania środków zapobiegawczych</w:t>
      </w:r>
      <w:r w:rsidR="0031342C" w:rsidRPr="00DF3EF6">
        <w:rPr>
          <w:noProof/>
        </w:rPr>
        <w:t xml:space="preserve"> w</w:t>
      </w:r>
      <w:r w:rsidR="0031342C">
        <w:rPr>
          <w:noProof/>
        </w:rPr>
        <w:t> </w:t>
      </w:r>
      <w:r w:rsidR="0031342C" w:rsidRPr="00DF3EF6">
        <w:rPr>
          <w:noProof/>
        </w:rPr>
        <w:t>cał</w:t>
      </w:r>
      <w:r w:rsidR="10539198" w:rsidRPr="00DF3EF6">
        <w:rPr>
          <w:noProof/>
        </w:rPr>
        <w:t>ej Unii EUNB powinien wydać wytyczne mające na celu wsparcie instytucji kredytowych</w:t>
      </w:r>
      <w:r w:rsidR="0031342C" w:rsidRPr="00DF3EF6">
        <w:rPr>
          <w:noProof/>
        </w:rPr>
        <w:t xml:space="preserve"> w</w:t>
      </w:r>
      <w:r w:rsidR="0031342C">
        <w:rPr>
          <w:noProof/>
        </w:rPr>
        <w:t> </w:t>
      </w:r>
      <w:r w:rsidR="0031342C" w:rsidRPr="00DF3EF6">
        <w:rPr>
          <w:noProof/>
        </w:rPr>
        <w:t>spo</w:t>
      </w:r>
      <w:r w:rsidR="10539198" w:rsidRPr="00DF3EF6">
        <w:rPr>
          <w:noProof/>
        </w:rPr>
        <w:t>rządzeniu takiego oświadczenia.</w:t>
      </w:r>
    </w:p>
    <w:p w14:paraId="14CF9C07" w14:textId="55D55C53" w:rsidR="002029C7" w:rsidRPr="00DF3EF6" w:rsidRDefault="00322779" w:rsidP="00322779">
      <w:pPr>
        <w:pStyle w:val="ManualConsidrant"/>
        <w:rPr>
          <w:noProof/>
        </w:rPr>
      </w:pPr>
      <w:r w:rsidRPr="00322779">
        <w:t>(27)</w:t>
      </w:r>
      <w:r w:rsidRPr="00322779">
        <w:tab/>
      </w:r>
      <w:r w:rsidR="090C53E1" w:rsidRPr="00DF3EF6">
        <w:rPr>
          <w:noProof/>
        </w:rPr>
        <w:t>W celu zapewnienia, aby instytucje kredytowe, które otrzymują od systemów gwarancji depozytów wsparcie</w:t>
      </w:r>
      <w:r w:rsidR="0031342C" w:rsidRPr="00DF3EF6">
        <w:rPr>
          <w:noProof/>
        </w:rPr>
        <w:t xml:space="preserve"> w</w:t>
      </w:r>
      <w:r w:rsidR="0031342C">
        <w:rPr>
          <w:noProof/>
        </w:rPr>
        <w:t> </w:t>
      </w:r>
      <w:r w:rsidR="0031342C" w:rsidRPr="00DF3EF6">
        <w:rPr>
          <w:noProof/>
        </w:rPr>
        <w:t>pos</w:t>
      </w:r>
      <w:r w:rsidR="090C53E1" w:rsidRPr="00DF3EF6">
        <w:rPr>
          <w:noProof/>
        </w:rPr>
        <w:t>taci środków zapobiegawczych, wypełniały swoje zobowiązania, właściwe organy powinny żądać sporządzenia planu działań naprawczych od instytucji kredytowych, które nie wypełniły swoich zobowiązań. Jeżeli zdaniem właściwego organu środki zawarte</w:t>
      </w:r>
      <w:r w:rsidR="0031342C" w:rsidRPr="00DF3EF6">
        <w:rPr>
          <w:noProof/>
        </w:rPr>
        <w:t xml:space="preserve"> w</w:t>
      </w:r>
      <w:r w:rsidR="0031342C">
        <w:rPr>
          <w:noProof/>
        </w:rPr>
        <w:t> </w:t>
      </w:r>
      <w:r w:rsidR="0031342C" w:rsidRPr="00DF3EF6">
        <w:rPr>
          <w:noProof/>
        </w:rPr>
        <w:t>pla</w:t>
      </w:r>
      <w:r w:rsidR="090C53E1" w:rsidRPr="00DF3EF6">
        <w:rPr>
          <w:noProof/>
        </w:rPr>
        <w:t>nie działań naprawczych nie umożliwią osiągnięcia długoterminowej rentowności instytucji kredytowej, system gwarancji depozytów nie powinien udzielać instytucji kredytowej dalszego wsparcia</w:t>
      </w:r>
      <w:r w:rsidR="0031342C" w:rsidRPr="00DF3EF6">
        <w:rPr>
          <w:noProof/>
        </w:rPr>
        <w:t xml:space="preserve"> w</w:t>
      </w:r>
      <w:r w:rsidR="0031342C">
        <w:rPr>
          <w:noProof/>
        </w:rPr>
        <w:t> </w:t>
      </w:r>
      <w:r w:rsidR="0031342C" w:rsidRPr="00DF3EF6">
        <w:rPr>
          <w:noProof/>
        </w:rPr>
        <w:t>pos</w:t>
      </w:r>
      <w:r w:rsidR="090C53E1" w:rsidRPr="00DF3EF6">
        <w:rPr>
          <w:noProof/>
        </w:rPr>
        <w:t>taci środków zapobiegawczych</w:t>
      </w:r>
      <w:r w:rsidR="0031342C" w:rsidRPr="00DF3EF6">
        <w:rPr>
          <w:noProof/>
        </w:rPr>
        <w:t>. W</w:t>
      </w:r>
      <w:r w:rsidR="0031342C">
        <w:rPr>
          <w:noProof/>
        </w:rPr>
        <w:t> </w:t>
      </w:r>
      <w:r w:rsidR="0031342C" w:rsidRPr="00DF3EF6">
        <w:rPr>
          <w:noProof/>
        </w:rPr>
        <w:t>cel</w:t>
      </w:r>
      <w:r w:rsidR="090C53E1" w:rsidRPr="00DF3EF6">
        <w:rPr>
          <w:noProof/>
        </w:rPr>
        <w:t>u zapewnienia spójnego podejścia do stosowania środków zapobiegawczych</w:t>
      </w:r>
      <w:r w:rsidR="0031342C" w:rsidRPr="00DF3EF6">
        <w:rPr>
          <w:noProof/>
        </w:rPr>
        <w:t xml:space="preserve"> w</w:t>
      </w:r>
      <w:r w:rsidR="0031342C">
        <w:rPr>
          <w:noProof/>
        </w:rPr>
        <w:t> </w:t>
      </w:r>
      <w:r w:rsidR="0031342C" w:rsidRPr="00DF3EF6">
        <w:rPr>
          <w:noProof/>
        </w:rPr>
        <w:t>cał</w:t>
      </w:r>
      <w:r w:rsidR="090C53E1" w:rsidRPr="00DF3EF6">
        <w:rPr>
          <w:noProof/>
        </w:rPr>
        <w:t>ej Unii EUNB powinien wydać wytyczne mające na celu wsparcie instytucji kredytowych</w:t>
      </w:r>
      <w:r w:rsidR="0031342C" w:rsidRPr="00DF3EF6">
        <w:rPr>
          <w:noProof/>
        </w:rPr>
        <w:t xml:space="preserve"> w</w:t>
      </w:r>
      <w:r w:rsidR="0031342C">
        <w:rPr>
          <w:noProof/>
        </w:rPr>
        <w:t> </w:t>
      </w:r>
      <w:r w:rsidR="0031342C" w:rsidRPr="00DF3EF6">
        <w:rPr>
          <w:noProof/>
        </w:rPr>
        <w:t>spo</w:t>
      </w:r>
      <w:r w:rsidR="090C53E1" w:rsidRPr="00DF3EF6">
        <w:rPr>
          <w:noProof/>
        </w:rPr>
        <w:t>rządzeniu takiego planu działań naprawczych.</w:t>
      </w:r>
    </w:p>
    <w:p w14:paraId="7BA1808C" w14:textId="30C6CDE3" w:rsidR="00663BFD" w:rsidRPr="00DF3EF6" w:rsidRDefault="00322779" w:rsidP="00322779">
      <w:pPr>
        <w:pStyle w:val="ManualConsidrant"/>
        <w:rPr>
          <w:rStyle w:val="eop"/>
          <w:noProof/>
        </w:rPr>
      </w:pPr>
      <w:r w:rsidRPr="00322779">
        <w:rPr>
          <w:rStyle w:val="eop"/>
        </w:rPr>
        <w:t>(28)</w:t>
      </w:r>
      <w:r w:rsidRPr="00322779">
        <w:rPr>
          <w:rStyle w:val="eop"/>
        </w:rPr>
        <w:tab/>
      </w:r>
      <w:r w:rsidR="3C64C3C2" w:rsidRPr="00DF3EF6">
        <w:rPr>
          <w:rStyle w:val="normaltextrun"/>
          <w:noProof/>
          <w:shd w:val="clear" w:color="auto" w:fill="FFFFFF"/>
        </w:rPr>
        <w:t>W celu uniknięcia szkodliwego wpływu na konkurencję oraz rynek wewnętrzny niezbędne jest ustalenie, że</w:t>
      </w:r>
      <w:r w:rsidR="0031342C" w:rsidRPr="00DF3EF6">
        <w:rPr>
          <w:rStyle w:val="normaltextrun"/>
          <w:noProof/>
          <w:shd w:val="clear" w:color="auto" w:fill="FFFFFF"/>
        </w:rPr>
        <w:t xml:space="preserve"> w</w:t>
      </w:r>
      <w:r w:rsidR="0031342C">
        <w:rPr>
          <w:rStyle w:val="normaltextrun"/>
          <w:noProof/>
          <w:shd w:val="clear" w:color="auto" w:fill="FFFFFF"/>
        </w:rPr>
        <w:t> </w:t>
      </w:r>
      <w:r w:rsidR="0031342C" w:rsidRPr="00DF3EF6">
        <w:rPr>
          <w:rStyle w:val="normaltextrun"/>
          <w:noProof/>
          <w:shd w:val="clear" w:color="auto" w:fill="FFFFFF"/>
        </w:rPr>
        <w:t>prz</w:t>
      </w:r>
      <w:r w:rsidR="3C64C3C2" w:rsidRPr="00DF3EF6">
        <w:rPr>
          <w:rStyle w:val="normaltextrun"/>
          <w:noProof/>
          <w:shd w:val="clear" w:color="auto" w:fill="FFFFFF"/>
        </w:rPr>
        <w:t xml:space="preserve">ypadku środków alternatywnych dotyczących upadłości </w:t>
      </w:r>
      <w:bookmarkStart w:id="13" w:name="_Hlk132534258"/>
      <w:r w:rsidR="3C64C3C2" w:rsidRPr="00DF3EF6">
        <w:rPr>
          <w:rStyle w:val="ui-provider"/>
          <w:noProof/>
        </w:rPr>
        <w:t>odpowiednie organy reprezentujące instytucję kredytową</w:t>
      </w:r>
      <w:r w:rsidR="0031342C" w:rsidRPr="00DF3EF6">
        <w:rPr>
          <w:rStyle w:val="ui-provider"/>
          <w:noProof/>
        </w:rPr>
        <w:t xml:space="preserve"> w</w:t>
      </w:r>
      <w:r w:rsidR="0031342C">
        <w:rPr>
          <w:rStyle w:val="ui-provider"/>
          <w:noProof/>
        </w:rPr>
        <w:t> </w:t>
      </w:r>
      <w:r w:rsidR="0031342C" w:rsidRPr="00DF3EF6">
        <w:rPr>
          <w:rStyle w:val="ui-provider"/>
          <w:noProof/>
        </w:rPr>
        <w:t>kon</w:t>
      </w:r>
      <w:r w:rsidR="3C64C3C2" w:rsidRPr="00DF3EF6">
        <w:rPr>
          <w:rStyle w:val="ui-provider"/>
          <w:noProof/>
        </w:rPr>
        <w:t>tekście krajowego postępowania upadłościowego (likwidator, syndyk, zarządca lub inny podmiot)</w:t>
      </w:r>
      <w:bookmarkEnd w:id="13"/>
      <w:r w:rsidR="3C64C3C2" w:rsidRPr="00DF3EF6">
        <w:rPr>
          <w:rStyle w:val="ui-provider"/>
          <w:noProof/>
        </w:rPr>
        <w:t xml:space="preserve"> powinny zorganizować ofertę sprzedaży przedsiębiorstwa instytucji kredytowej lub jego części</w:t>
      </w:r>
      <w:r w:rsidR="0031342C" w:rsidRPr="00DF3EF6">
        <w:rPr>
          <w:rStyle w:val="ui-provider"/>
          <w:noProof/>
        </w:rPr>
        <w:t xml:space="preserve"> w</w:t>
      </w:r>
      <w:r w:rsidR="0031342C">
        <w:rPr>
          <w:rStyle w:val="ui-provider"/>
          <w:noProof/>
        </w:rPr>
        <w:t> </w:t>
      </w:r>
      <w:r w:rsidR="0031342C" w:rsidRPr="00DF3EF6">
        <w:rPr>
          <w:rStyle w:val="ui-provider"/>
          <w:noProof/>
        </w:rPr>
        <w:t>ram</w:t>
      </w:r>
      <w:r w:rsidR="3C64C3C2" w:rsidRPr="00DF3EF6">
        <w:rPr>
          <w:rStyle w:val="ui-provider"/>
          <w:noProof/>
        </w:rPr>
        <w:t>ach otwartej, przejrzystej</w:t>
      </w:r>
      <w:r w:rsidR="0031342C" w:rsidRPr="00DF3EF6">
        <w:rPr>
          <w:rStyle w:val="ui-provider"/>
          <w:noProof/>
        </w:rPr>
        <w:t xml:space="preserve"> i</w:t>
      </w:r>
      <w:r w:rsidR="0031342C">
        <w:rPr>
          <w:rStyle w:val="ui-provider"/>
          <w:noProof/>
        </w:rPr>
        <w:t> </w:t>
      </w:r>
      <w:r w:rsidR="0031342C" w:rsidRPr="00DF3EF6">
        <w:rPr>
          <w:rStyle w:val="ui-provider"/>
          <w:noProof/>
        </w:rPr>
        <w:t>nie</w:t>
      </w:r>
      <w:r w:rsidR="3C64C3C2" w:rsidRPr="00DF3EF6">
        <w:rPr>
          <w:rStyle w:val="ui-provider"/>
          <w:noProof/>
        </w:rPr>
        <w:t xml:space="preserve">dyskryminacyjnej procedury, dążąc jednocześnie do uzyskania możliwie jak najwyższej ceny sprzedaży. </w:t>
      </w:r>
      <w:r w:rsidR="3C64C3C2" w:rsidRPr="00DF3EF6">
        <w:rPr>
          <w:rStyle w:val="normaltextrun"/>
          <w:noProof/>
          <w:shd w:val="clear" w:color="auto" w:fill="FFFFFF"/>
        </w:rPr>
        <w:t>Instytucja kredytowa lub pośrednik działający</w:t>
      </w:r>
      <w:r w:rsidR="0031342C" w:rsidRPr="00DF3EF6">
        <w:rPr>
          <w:rStyle w:val="normaltextrun"/>
          <w:noProof/>
          <w:shd w:val="clear" w:color="auto" w:fill="FFFFFF"/>
        </w:rPr>
        <w:t xml:space="preserve"> w</w:t>
      </w:r>
      <w:r w:rsidR="0031342C">
        <w:rPr>
          <w:rStyle w:val="normaltextrun"/>
          <w:noProof/>
          <w:shd w:val="clear" w:color="auto" w:fill="FFFFFF"/>
        </w:rPr>
        <w:t> </w:t>
      </w:r>
      <w:r w:rsidR="0031342C" w:rsidRPr="00DF3EF6">
        <w:rPr>
          <w:rStyle w:val="normaltextrun"/>
          <w:noProof/>
          <w:shd w:val="clear" w:color="auto" w:fill="FFFFFF"/>
        </w:rPr>
        <w:t>imi</w:t>
      </w:r>
      <w:r w:rsidR="3C64C3C2" w:rsidRPr="00DF3EF6">
        <w:rPr>
          <w:rStyle w:val="normaltextrun"/>
          <w:noProof/>
          <w:shd w:val="clear" w:color="auto" w:fill="FFFFFF"/>
        </w:rPr>
        <w:t xml:space="preserve">eniu instytucji kredytowej powinni stosować </w:t>
      </w:r>
      <w:r w:rsidR="3C64C3C2" w:rsidRPr="00DF3EF6">
        <w:rPr>
          <w:rStyle w:val="eop"/>
          <w:noProof/>
          <w:shd w:val="clear" w:color="auto" w:fill="FFFFFF"/>
        </w:rPr>
        <w:t xml:space="preserve">zasady </w:t>
      </w:r>
      <w:r w:rsidR="3C64C3C2" w:rsidRPr="00DF3EF6">
        <w:rPr>
          <w:rStyle w:val="eop"/>
          <w:noProof/>
        </w:rPr>
        <w:t xml:space="preserve">adekwatne </w:t>
      </w:r>
      <w:r w:rsidR="3C64C3C2" w:rsidRPr="00DF3EF6">
        <w:rPr>
          <w:rStyle w:val="eop"/>
          <w:noProof/>
          <w:shd w:val="clear" w:color="auto" w:fill="FFFFFF"/>
        </w:rPr>
        <w:t>dla oferty sprzedaży aktywów, praw</w:t>
      </w:r>
      <w:r w:rsidR="0031342C" w:rsidRPr="00DF3EF6">
        <w:rPr>
          <w:rStyle w:val="eop"/>
          <w:noProof/>
          <w:shd w:val="clear" w:color="auto" w:fill="FFFFFF"/>
        </w:rPr>
        <w:t xml:space="preserve"> i</w:t>
      </w:r>
      <w:r w:rsidR="0031342C">
        <w:rPr>
          <w:rStyle w:val="eop"/>
          <w:noProof/>
          <w:shd w:val="clear" w:color="auto" w:fill="FFFFFF"/>
        </w:rPr>
        <w:t> </w:t>
      </w:r>
      <w:r w:rsidR="0031342C" w:rsidRPr="00DF3EF6">
        <w:rPr>
          <w:rStyle w:val="eop"/>
          <w:noProof/>
          <w:shd w:val="clear" w:color="auto" w:fill="FFFFFF"/>
        </w:rPr>
        <w:t>zob</w:t>
      </w:r>
      <w:r w:rsidR="3C64C3C2" w:rsidRPr="00DF3EF6">
        <w:rPr>
          <w:rStyle w:val="eop"/>
          <w:noProof/>
          <w:shd w:val="clear" w:color="auto" w:fill="FFFFFF"/>
        </w:rPr>
        <w:t>owiązań przeznaczonych do przekazania potencjalnym nabywcom</w:t>
      </w:r>
      <w:r w:rsidR="3C64C3C2" w:rsidRPr="00DF3EF6">
        <w:rPr>
          <w:rStyle w:val="normaltextrun"/>
          <w:noProof/>
          <w:shd w:val="clear" w:color="auto" w:fill="FFFFFF"/>
        </w:rPr>
        <w:t>. Korzystanie</w:t>
      </w:r>
      <w:r w:rsidR="0031342C" w:rsidRPr="00DF3EF6">
        <w:rPr>
          <w:rStyle w:val="normaltextrun"/>
          <w:noProof/>
          <w:shd w:val="clear" w:color="auto" w:fill="FFFFFF"/>
        </w:rPr>
        <w:t xml:space="preserve"> z</w:t>
      </w:r>
      <w:r w:rsidR="0031342C">
        <w:rPr>
          <w:rStyle w:val="normaltextrun"/>
          <w:noProof/>
          <w:shd w:val="clear" w:color="auto" w:fill="FFFFFF"/>
        </w:rPr>
        <w:t> </w:t>
      </w:r>
      <w:r w:rsidR="0031342C" w:rsidRPr="00DF3EF6">
        <w:rPr>
          <w:rStyle w:val="normaltextrun"/>
          <w:noProof/>
          <w:shd w:val="clear" w:color="auto" w:fill="FFFFFF"/>
        </w:rPr>
        <w:t>zas</w:t>
      </w:r>
      <w:r w:rsidR="3C64C3C2" w:rsidRPr="00DF3EF6">
        <w:rPr>
          <w:rStyle w:val="normaltextrun"/>
          <w:noProof/>
          <w:shd w:val="clear" w:color="auto" w:fill="FFFFFF"/>
        </w:rPr>
        <w:t>obów państwowych podlega</w:t>
      </w:r>
      <w:r w:rsidR="0031342C" w:rsidRPr="00DF3EF6">
        <w:rPr>
          <w:rStyle w:val="normaltextrun"/>
          <w:noProof/>
          <w:shd w:val="clear" w:color="auto" w:fill="FFFFFF"/>
        </w:rPr>
        <w:t xml:space="preserve"> w</w:t>
      </w:r>
      <w:r w:rsidR="0031342C">
        <w:rPr>
          <w:rStyle w:val="normaltextrun"/>
          <w:noProof/>
          <w:shd w:val="clear" w:color="auto" w:fill="FFFFFF"/>
        </w:rPr>
        <w:t> </w:t>
      </w:r>
      <w:r w:rsidR="0031342C" w:rsidRPr="00DF3EF6">
        <w:rPr>
          <w:rStyle w:val="normaltextrun"/>
          <w:noProof/>
          <w:shd w:val="clear" w:color="auto" w:fill="FFFFFF"/>
        </w:rPr>
        <w:t>każ</w:t>
      </w:r>
      <w:r w:rsidR="3C64C3C2" w:rsidRPr="00DF3EF6">
        <w:rPr>
          <w:rStyle w:val="normaltextrun"/>
          <w:noProof/>
          <w:shd w:val="clear" w:color="auto" w:fill="FFFFFF"/>
        </w:rPr>
        <w:t>dym razie,</w:t>
      </w:r>
      <w:r w:rsidR="0031342C" w:rsidRPr="00DF3EF6">
        <w:rPr>
          <w:rStyle w:val="normaltextrun"/>
          <w:noProof/>
          <w:shd w:val="clear" w:color="auto" w:fill="FFFFFF"/>
        </w:rPr>
        <w:t xml:space="preserve"> w</w:t>
      </w:r>
      <w:r w:rsidR="0031342C">
        <w:rPr>
          <w:rStyle w:val="normaltextrun"/>
          <w:noProof/>
          <w:shd w:val="clear" w:color="auto" w:fill="FFFFFF"/>
        </w:rPr>
        <w:t> </w:t>
      </w:r>
      <w:r w:rsidR="0031342C" w:rsidRPr="00DF3EF6">
        <w:rPr>
          <w:rStyle w:val="normaltextrun"/>
          <w:noProof/>
          <w:shd w:val="clear" w:color="auto" w:fill="FFFFFF"/>
        </w:rPr>
        <w:t>sto</w:t>
      </w:r>
      <w:r w:rsidR="3C64C3C2" w:rsidRPr="00DF3EF6">
        <w:rPr>
          <w:rStyle w:val="normaltextrun"/>
          <w:noProof/>
          <w:shd w:val="clear" w:color="auto" w:fill="FFFFFF"/>
        </w:rPr>
        <w:t>sownych przypadkach, właściwym zasadom pomocy państwa na mocy Traktatu.</w:t>
      </w:r>
    </w:p>
    <w:p w14:paraId="7DCD6A0D" w14:textId="62068FC8" w:rsidR="00663BFD" w:rsidRPr="00DF3EF6" w:rsidRDefault="00322779" w:rsidP="00322779">
      <w:pPr>
        <w:pStyle w:val="ManualConsidrant"/>
        <w:rPr>
          <w:noProof/>
        </w:rPr>
      </w:pPr>
      <w:r w:rsidRPr="00322779">
        <w:t>(29)</w:t>
      </w:r>
      <w:r w:rsidRPr="00322779">
        <w:tab/>
      </w:r>
      <w:r w:rsidR="3C64C3C2" w:rsidRPr="00DF3EF6">
        <w:rPr>
          <w:noProof/>
        </w:rPr>
        <w:t>Ponieważ głównym celem systemów gwarancji depozytów jest ochrona depozytów gwarantowanych, systemy gwarancji depozytów powinny mieć możliwość finansowania interwencji innych niż wypłaty</w:t>
      </w:r>
      <w:r w:rsidR="0031342C" w:rsidRPr="00DF3EF6">
        <w:rPr>
          <w:noProof/>
        </w:rPr>
        <w:t xml:space="preserve"> w</w:t>
      </w:r>
      <w:r w:rsidR="0031342C">
        <w:rPr>
          <w:noProof/>
        </w:rPr>
        <w:t> </w:t>
      </w:r>
      <w:r w:rsidR="0031342C" w:rsidRPr="00DF3EF6">
        <w:rPr>
          <w:noProof/>
        </w:rPr>
        <w:t>prz</w:t>
      </w:r>
      <w:r w:rsidR="3C64C3C2" w:rsidRPr="00DF3EF6">
        <w:rPr>
          <w:noProof/>
        </w:rPr>
        <w:t>ypadkach, gdy takie interwencje są tańsze od wypłat. Doświadczenia związane ze stosowaniem tej zasady („test najniższego kosztu”) uwypukliły kilka niedociągnięć, gdyż aktualne ramy nie określają szczegółowo sposobu ustalenia kosztów tych interwencji ani kosztów wypłaty</w:t>
      </w:r>
      <w:r w:rsidR="0031342C" w:rsidRPr="00DF3EF6">
        <w:rPr>
          <w:noProof/>
        </w:rPr>
        <w:t>. W</w:t>
      </w:r>
      <w:r w:rsidR="0031342C">
        <w:rPr>
          <w:noProof/>
        </w:rPr>
        <w:t> </w:t>
      </w:r>
      <w:r w:rsidR="0031342C" w:rsidRPr="00DF3EF6">
        <w:rPr>
          <w:noProof/>
        </w:rPr>
        <w:t>cel</w:t>
      </w:r>
      <w:r w:rsidR="3C64C3C2" w:rsidRPr="00DF3EF6">
        <w:rPr>
          <w:noProof/>
        </w:rPr>
        <w:t>u zapewnienia spójnego stosowania testu najniższego kosztu</w:t>
      </w:r>
      <w:r w:rsidR="0031342C" w:rsidRPr="00DF3EF6">
        <w:rPr>
          <w:noProof/>
        </w:rPr>
        <w:t xml:space="preserve"> w</w:t>
      </w:r>
      <w:r w:rsidR="0031342C">
        <w:rPr>
          <w:noProof/>
        </w:rPr>
        <w:t> </w:t>
      </w:r>
      <w:r w:rsidR="0031342C" w:rsidRPr="00DF3EF6">
        <w:rPr>
          <w:noProof/>
        </w:rPr>
        <w:t>cał</w:t>
      </w:r>
      <w:r w:rsidR="3C64C3C2" w:rsidRPr="00DF3EF6">
        <w:rPr>
          <w:noProof/>
        </w:rPr>
        <w:t xml:space="preserve">ej Unii niezbędne jest określenie sposobu obliczania tych kosztów. Jednocześnie niezbędne jest uniknięcie zbyt rygorystycznych warunków, które skutecznie </w:t>
      </w:r>
      <w:r w:rsidR="3C64C3C2" w:rsidRPr="00DF3EF6">
        <w:rPr>
          <w:noProof/>
        </w:rPr>
        <w:lastRenderedPageBreak/>
        <w:t>uniemożliwiłyby korzystanie ze środków systemów gwarancji depozytów na potrzeby innych interwencji niż wypłata. Podczas przeprowadzania oceny najniższego kosztu systemy gwarancji depozytów powinny</w:t>
      </w:r>
      <w:r w:rsidR="0031342C" w:rsidRPr="00DF3EF6">
        <w:rPr>
          <w:noProof/>
        </w:rPr>
        <w:t xml:space="preserve"> w</w:t>
      </w:r>
      <w:r w:rsidR="0031342C">
        <w:rPr>
          <w:noProof/>
        </w:rPr>
        <w:t> </w:t>
      </w:r>
      <w:r w:rsidR="0031342C" w:rsidRPr="00DF3EF6">
        <w:rPr>
          <w:noProof/>
        </w:rPr>
        <w:t>pie</w:t>
      </w:r>
      <w:r w:rsidR="3C64C3C2" w:rsidRPr="00DF3EF6">
        <w:rPr>
          <w:noProof/>
        </w:rPr>
        <w:t>rwszej kolejności zweryfikować, czy koszt finansowania wybranych środków jest niższy niż koszt wypłaty depozytów gwarantowanych</w:t>
      </w:r>
      <w:r w:rsidR="0031342C" w:rsidRPr="00DF3EF6">
        <w:rPr>
          <w:noProof/>
        </w:rPr>
        <w:t>. W</w:t>
      </w:r>
      <w:r w:rsidR="0031342C">
        <w:rPr>
          <w:noProof/>
        </w:rPr>
        <w:t> </w:t>
      </w:r>
      <w:r w:rsidR="0031342C" w:rsidRPr="00DF3EF6">
        <w:rPr>
          <w:noProof/>
        </w:rPr>
        <w:t>met</w:t>
      </w:r>
      <w:r w:rsidR="3C64C3C2" w:rsidRPr="00DF3EF6">
        <w:rPr>
          <w:noProof/>
        </w:rPr>
        <w:t>odyce oceny najniższego kosztu należy uwzględnić wartość pieniądza</w:t>
      </w:r>
      <w:r w:rsidR="0031342C" w:rsidRPr="00DF3EF6">
        <w:rPr>
          <w:noProof/>
        </w:rPr>
        <w:t xml:space="preserve"> w</w:t>
      </w:r>
      <w:r w:rsidR="0031342C">
        <w:rPr>
          <w:noProof/>
        </w:rPr>
        <w:t> </w:t>
      </w:r>
      <w:r w:rsidR="0031342C" w:rsidRPr="00DF3EF6">
        <w:rPr>
          <w:noProof/>
        </w:rPr>
        <w:t>cza</w:t>
      </w:r>
      <w:r w:rsidR="3C64C3C2" w:rsidRPr="00DF3EF6">
        <w:rPr>
          <w:noProof/>
        </w:rPr>
        <w:t xml:space="preserve">sie. </w:t>
      </w:r>
    </w:p>
    <w:p w14:paraId="4C6A63D7" w14:textId="66122AF3" w:rsidR="00663BFD" w:rsidRPr="00DF3EF6" w:rsidRDefault="00322779" w:rsidP="00322779">
      <w:pPr>
        <w:pStyle w:val="ManualConsidrant"/>
        <w:rPr>
          <w:noProof/>
        </w:rPr>
      </w:pPr>
      <w:r w:rsidRPr="00322779">
        <w:t>(30)</w:t>
      </w:r>
      <w:r w:rsidRPr="00322779">
        <w:tab/>
      </w:r>
      <w:r w:rsidR="07B5D4DD" w:rsidRPr="00DF3EF6">
        <w:rPr>
          <w:noProof/>
        </w:rPr>
        <w:t>Likwidacja może być procesem długotrwałym, którego skuteczność zależy od skuteczności działania sądownictwa krajowego, systemów prawa upadłościowego, indywidualnych cech banku oraz okoliczności związanych</w:t>
      </w:r>
      <w:r w:rsidR="0031342C" w:rsidRPr="00DF3EF6">
        <w:rPr>
          <w:noProof/>
        </w:rPr>
        <w:t xml:space="preserve"> z</w:t>
      </w:r>
      <w:r w:rsidR="0031342C">
        <w:rPr>
          <w:noProof/>
        </w:rPr>
        <w:t> </w:t>
      </w:r>
      <w:r w:rsidR="0031342C" w:rsidRPr="00DF3EF6">
        <w:rPr>
          <w:noProof/>
        </w:rPr>
        <w:t>upa</w:t>
      </w:r>
      <w:r w:rsidR="07B5D4DD" w:rsidRPr="00DF3EF6">
        <w:rPr>
          <w:noProof/>
        </w:rPr>
        <w:t>dłością</w:t>
      </w:r>
      <w:r w:rsidR="0031342C" w:rsidRPr="00DF3EF6">
        <w:rPr>
          <w:noProof/>
        </w:rPr>
        <w:t>. W</w:t>
      </w:r>
      <w:r w:rsidR="0031342C">
        <w:rPr>
          <w:noProof/>
        </w:rPr>
        <w:t> </w:t>
      </w:r>
      <w:r w:rsidR="0031342C" w:rsidRPr="00DF3EF6">
        <w:rPr>
          <w:noProof/>
        </w:rPr>
        <w:t>odn</w:t>
      </w:r>
      <w:r w:rsidR="07B5D4DD" w:rsidRPr="00DF3EF6">
        <w:rPr>
          <w:noProof/>
        </w:rPr>
        <w:t>iesieniu do interwencji systemów gwarancji depozytów</w:t>
      </w:r>
      <w:r w:rsidR="0031342C" w:rsidRPr="00DF3EF6">
        <w:rPr>
          <w:noProof/>
        </w:rPr>
        <w:t xml:space="preserve"> w</w:t>
      </w:r>
      <w:r w:rsidR="0031342C">
        <w:rPr>
          <w:noProof/>
        </w:rPr>
        <w:t> </w:t>
      </w:r>
      <w:r w:rsidR="0031342C" w:rsidRPr="00DF3EF6">
        <w:rPr>
          <w:noProof/>
        </w:rPr>
        <w:t>ram</w:t>
      </w:r>
      <w:r w:rsidR="07B5D4DD" w:rsidRPr="00DF3EF6">
        <w:rPr>
          <w:noProof/>
        </w:rPr>
        <w:t>ach środków alternatywnych test najniższego kosztu powinien opierać się na wycenie aktywów</w:t>
      </w:r>
      <w:r w:rsidR="0031342C" w:rsidRPr="00DF3EF6">
        <w:rPr>
          <w:noProof/>
        </w:rPr>
        <w:t xml:space="preserve"> i</w:t>
      </w:r>
      <w:r w:rsidR="0031342C">
        <w:rPr>
          <w:noProof/>
        </w:rPr>
        <w:t> </w:t>
      </w:r>
      <w:r w:rsidR="0031342C" w:rsidRPr="00DF3EF6">
        <w:rPr>
          <w:noProof/>
        </w:rPr>
        <w:t>zob</w:t>
      </w:r>
      <w:r w:rsidR="07B5D4DD" w:rsidRPr="00DF3EF6">
        <w:rPr>
          <w:noProof/>
        </w:rPr>
        <w:t>owiązań instytucji kredytowej, określonej</w:t>
      </w:r>
      <w:r w:rsidR="0031342C" w:rsidRPr="00DF3EF6">
        <w:rPr>
          <w:noProof/>
        </w:rPr>
        <w:t xml:space="preserve"> w</w:t>
      </w:r>
      <w:r w:rsidR="0031342C">
        <w:rPr>
          <w:noProof/>
        </w:rPr>
        <w:t> </w:t>
      </w:r>
      <w:r w:rsidR="0031342C" w:rsidRPr="0031342C">
        <w:rPr>
          <w:noProof/>
        </w:rPr>
        <w:t>art</w:t>
      </w:r>
      <w:r w:rsidR="07B5D4DD" w:rsidRPr="0031342C">
        <w:rPr>
          <w:noProof/>
        </w:rPr>
        <w:t>.</w:t>
      </w:r>
      <w:r w:rsidR="0031342C" w:rsidRPr="0031342C">
        <w:rPr>
          <w:noProof/>
        </w:rPr>
        <w:t> </w:t>
      </w:r>
      <w:r w:rsidR="07B5D4DD" w:rsidRPr="0031342C">
        <w:rPr>
          <w:noProof/>
        </w:rPr>
        <w:t>3</w:t>
      </w:r>
      <w:r w:rsidR="07B5D4DD" w:rsidRPr="00DF3EF6">
        <w:rPr>
          <w:noProof/>
        </w:rPr>
        <w:t xml:space="preserve">6 </w:t>
      </w:r>
      <w:r w:rsidR="07B5D4DD" w:rsidRPr="0031342C">
        <w:rPr>
          <w:noProof/>
        </w:rPr>
        <w:t>ust.</w:t>
      </w:r>
      <w:r w:rsidR="0031342C" w:rsidRPr="0031342C">
        <w:rPr>
          <w:noProof/>
        </w:rPr>
        <w:t> </w:t>
      </w:r>
      <w:r w:rsidR="07B5D4DD" w:rsidRPr="0031342C">
        <w:rPr>
          <w:noProof/>
        </w:rPr>
        <w:t>1</w:t>
      </w:r>
      <w:r w:rsidR="07B5D4DD" w:rsidRPr="00DF3EF6">
        <w:rPr>
          <w:noProof/>
        </w:rPr>
        <w:t xml:space="preserve"> dyrektywy 2014/59/UE, oraz na oszacowaniu określonym</w:t>
      </w:r>
      <w:r w:rsidR="0031342C" w:rsidRPr="00DF3EF6">
        <w:rPr>
          <w:noProof/>
        </w:rPr>
        <w:t xml:space="preserve"> w</w:t>
      </w:r>
      <w:r w:rsidR="0031342C">
        <w:rPr>
          <w:noProof/>
        </w:rPr>
        <w:t> </w:t>
      </w:r>
      <w:r w:rsidR="0031342C" w:rsidRPr="0031342C">
        <w:rPr>
          <w:noProof/>
        </w:rPr>
        <w:t>art</w:t>
      </w:r>
      <w:r w:rsidR="07B5D4DD" w:rsidRPr="0031342C">
        <w:rPr>
          <w:noProof/>
        </w:rPr>
        <w:t>.</w:t>
      </w:r>
      <w:r w:rsidR="0031342C" w:rsidRPr="0031342C">
        <w:rPr>
          <w:noProof/>
        </w:rPr>
        <w:t> </w:t>
      </w:r>
      <w:r w:rsidR="07B5D4DD" w:rsidRPr="0031342C">
        <w:rPr>
          <w:noProof/>
        </w:rPr>
        <w:t>3</w:t>
      </w:r>
      <w:r w:rsidR="07B5D4DD" w:rsidRPr="00DF3EF6">
        <w:rPr>
          <w:noProof/>
        </w:rPr>
        <w:t xml:space="preserve">6 </w:t>
      </w:r>
      <w:r w:rsidR="07B5D4DD" w:rsidRPr="0031342C">
        <w:rPr>
          <w:noProof/>
        </w:rPr>
        <w:t>ust.</w:t>
      </w:r>
      <w:r w:rsidR="0031342C" w:rsidRPr="0031342C">
        <w:rPr>
          <w:noProof/>
        </w:rPr>
        <w:t> </w:t>
      </w:r>
      <w:r w:rsidR="07B5D4DD" w:rsidRPr="0031342C">
        <w:rPr>
          <w:noProof/>
        </w:rPr>
        <w:t>8</w:t>
      </w:r>
      <w:r w:rsidR="07B5D4DD" w:rsidRPr="00DF3EF6">
        <w:rPr>
          <w:noProof/>
        </w:rPr>
        <w:t xml:space="preserve"> tej dyrektywy. Dokładna ocena należności odzyskanych</w:t>
      </w:r>
      <w:r w:rsidR="0031342C" w:rsidRPr="00DF3EF6">
        <w:rPr>
          <w:noProof/>
        </w:rPr>
        <w:t xml:space="preserve"> w</w:t>
      </w:r>
      <w:r w:rsidR="0031342C">
        <w:rPr>
          <w:noProof/>
        </w:rPr>
        <w:t> </w:t>
      </w:r>
      <w:r w:rsidR="0031342C" w:rsidRPr="00DF3EF6">
        <w:rPr>
          <w:noProof/>
        </w:rPr>
        <w:t>ram</w:t>
      </w:r>
      <w:r w:rsidR="07B5D4DD" w:rsidRPr="00DF3EF6">
        <w:rPr>
          <w:noProof/>
        </w:rPr>
        <w:t>ach likwidacji może jednak stanowić wyzwanie</w:t>
      </w:r>
      <w:r w:rsidR="0031342C" w:rsidRPr="00DF3EF6">
        <w:rPr>
          <w:noProof/>
        </w:rPr>
        <w:t xml:space="preserve"> w</w:t>
      </w:r>
      <w:r w:rsidR="0031342C">
        <w:rPr>
          <w:noProof/>
        </w:rPr>
        <w:t> </w:t>
      </w:r>
      <w:r w:rsidR="0031342C" w:rsidRPr="00DF3EF6">
        <w:rPr>
          <w:noProof/>
        </w:rPr>
        <w:t>kon</w:t>
      </w:r>
      <w:r w:rsidR="07B5D4DD" w:rsidRPr="00DF3EF6">
        <w:rPr>
          <w:noProof/>
        </w:rPr>
        <w:t>tekście testu najniższego kosztu</w:t>
      </w:r>
      <w:r w:rsidR="0031342C" w:rsidRPr="00DF3EF6">
        <w:rPr>
          <w:noProof/>
        </w:rPr>
        <w:t xml:space="preserve"> w</w:t>
      </w:r>
      <w:r w:rsidR="0031342C">
        <w:rPr>
          <w:noProof/>
        </w:rPr>
        <w:t> </w:t>
      </w:r>
      <w:r w:rsidR="0031342C" w:rsidRPr="00DF3EF6">
        <w:rPr>
          <w:noProof/>
        </w:rPr>
        <w:t>odn</w:t>
      </w:r>
      <w:r w:rsidR="07B5D4DD" w:rsidRPr="00DF3EF6">
        <w:rPr>
          <w:noProof/>
        </w:rPr>
        <w:t>iesieniu do środków zapobiegawczych, które najpewniej miały miejsce na długo przed jakąkolwiek przewidywalną likwidacją. Scenariusz alternatywny testu najniższego kosztu</w:t>
      </w:r>
      <w:r w:rsidR="0031342C" w:rsidRPr="00DF3EF6">
        <w:rPr>
          <w:noProof/>
        </w:rPr>
        <w:t xml:space="preserve"> w</w:t>
      </w:r>
      <w:r w:rsidR="0031342C">
        <w:rPr>
          <w:noProof/>
        </w:rPr>
        <w:t> </w:t>
      </w:r>
      <w:r w:rsidR="0031342C" w:rsidRPr="00DF3EF6">
        <w:rPr>
          <w:noProof/>
        </w:rPr>
        <w:t>odn</w:t>
      </w:r>
      <w:r w:rsidR="07B5D4DD" w:rsidRPr="00DF3EF6">
        <w:rPr>
          <w:noProof/>
        </w:rPr>
        <w:t>iesieniu do środków zapobiegawczych należy zatem odpowiednio dostosować,</w:t>
      </w:r>
      <w:r w:rsidR="0031342C" w:rsidRPr="00DF3EF6">
        <w:rPr>
          <w:noProof/>
        </w:rPr>
        <w:t xml:space="preserve"> a</w:t>
      </w:r>
      <w:r w:rsidR="0031342C">
        <w:rPr>
          <w:noProof/>
        </w:rPr>
        <w:t> </w:t>
      </w:r>
      <w:r w:rsidR="0031342C" w:rsidRPr="00DF3EF6">
        <w:rPr>
          <w:noProof/>
        </w:rPr>
        <w:t>w</w:t>
      </w:r>
      <w:r w:rsidR="0031342C">
        <w:rPr>
          <w:noProof/>
        </w:rPr>
        <w:t> </w:t>
      </w:r>
      <w:r w:rsidR="0031342C" w:rsidRPr="00DF3EF6">
        <w:rPr>
          <w:noProof/>
        </w:rPr>
        <w:t>każ</w:t>
      </w:r>
      <w:r w:rsidR="07B5D4DD" w:rsidRPr="00DF3EF6">
        <w:rPr>
          <w:noProof/>
        </w:rPr>
        <w:t>dym razie ograniczyć oczekiwane odzyskane należności do uzasadnionej kwoty ustalonej</w:t>
      </w:r>
      <w:r w:rsidR="0031342C" w:rsidRPr="00DF3EF6">
        <w:rPr>
          <w:noProof/>
        </w:rPr>
        <w:t xml:space="preserve"> w</w:t>
      </w:r>
      <w:r w:rsidR="0031342C">
        <w:rPr>
          <w:noProof/>
        </w:rPr>
        <w:t> </w:t>
      </w:r>
      <w:r w:rsidR="0031342C" w:rsidRPr="00DF3EF6">
        <w:rPr>
          <w:noProof/>
        </w:rPr>
        <w:t>opa</w:t>
      </w:r>
      <w:r w:rsidR="07B5D4DD" w:rsidRPr="00DF3EF6">
        <w:rPr>
          <w:noProof/>
        </w:rPr>
        <w:t>rciu</w:t>
      </w:r>
      <w:r w:rsidR="0031342C" w:rsidRPr="00DF3EF6">
        <w:rPr>
          <w:noProof/>
        </w:rPr>
        <w:t xml:space="preserve"> o</w:t>
      </w:r>
      <w:r w:rsidR="0031342C">
        <w:rPr>
          <w:noProof/>
        </w:rPr>
        <w:t> </w:t>
      </w:r>
      <w:r w:rsidR="0031342C" w:rsidRPr="00DF3EF6">
        <w:rPr>
          <w:noProof/>
        </w:rPr>
        <w:t>odz</w:t>
      </w:r>
      <w:r w:rsidR="07B5D4DD" w:rsidRPr="00DF3EF6">
        <w:rPr>
          <w:noProof/>
        </w:rPr>
        <w:t>yskane należności</w:t>
      </w:r>
      <w:r w:rsidR="0031342C" w:rsidRPr="00DF3EF6">
        <w:rPr>
          <w:noProof/>
        </w:rPr>
        <w:t xml:space="preserve"> w</w:t>
      </w:r>
      <w:r w:rsidR="0031342C">
        <w:rPr>
          <w:noProof/>
        </w:rPr>
        <w:t> </w:t>
      </w:r>
      <w:r w:rsidR="0031342C" w:rsidRPr="00DF3EF6">
        <w:rPr>
          <w:noProof/>
        </w:rPr>
        <w:t>prz</w:t>
      </w:r>
      <w:r w:rsidR="07B5D4DD" w:rsidRPr="00DF3EF6">
        <w:rPr>
          <w:noProof/>
        </w:rPr>
        <w:t>eszłych zdarzeniach obejmujących wypłatę.</w:t>
      </w:r>
    </w:p>
    <w:p w14:paraId="28851755" w14:textId="6020D181" w:rsidR="00A040F7" w:rsidRPr="00DF3EF6" w:rsidRDefault="00322779" w:rsidP="00322779">
      <w:pPr>
        <w:pStyle w:val="ManualConsidrant"/>
        <w:rPr>
          <w:noProof/>
        </w:rPr>
      </w:pPr>
      <w:r w:rsidRPr="00322779">
        <w:t>(31)</w:t>
      </w:r>
      <w:r w:rsidRPr="00322779">
        <w:tab/>
      </w:r>
      <w:r w:rsidR="6BA73919" w:rsidRPr="00DF3EF6">
        <w:rPr>
          <w:noProof/>
        </w:rPr>
        <w:t>Wyznaczone organy powinny oszacować koszt środka ponoszony przez system gwarancji depozytów,</w:t>
      </w:r>
      <w:r w:rsidR="0031342C" w:rsidRPr="00DF3EF6">
        <w:rPr>
          <w:noProof/>
        </w:rPr>
        <w:t xml:space="preserve"> w</w:t>
      </w:r>
      <w:r w:rsidR="0031342C">
        <w:rPr>
          <w:noProof/>
        </w:rPr>
        <w:t> </w:t>
      </w:r>
      <w:r w:rsidR="0031342C" w:rsidRPr="00DF3EF6">
        <w:rPr>
          <w:noProof/>
        </w:rPr>
        <w:t>tym</w:t>
      </w:r>
      <w:r w:rsidR="6BA73919" w:rsidRPr="00DF3EF6">
        <w:rPr>
          <w:noProof/>
        </w:rPr>
        <w:t xml:space="preserve"> po spłacie pożyczki, dokapitalizowaniu lub wykorzystaniu gwarancji, po odliczeniu oczekiwanych zysków, wydatków operacyjnych oraz potencjalnych strat,</w:t>
      </w:r>
      <w:r w:rsidR="0031342C" w:rsidRPr="00DF3EF6">
        <w:rPr>
          <w:noProof/>
        </w:rPr>
        <w:t xml:space="preserve"> w</w:t>
      </w:r>
      <w:r w:rsidR="0031342C">
        <w:rPr>
          <w:noProof/>
        </w:rPr>
        <w:t> </w:t>
      </w:r>
      <w:r w:rsidR="0031342C" w:rsidRPr="00DF3EF6">
        <w:rPr>
          <w:noProof/>
        </w:rPr>
        <w:t>por</w:t>
      </w:r>
      <w:r w:rsidR="6BA73919" w:rsidRPr="00DF3EF6">
        <w:rPr>
          <w:noProof/>
        </w:rPr>
        <w:t>ównaniu ze scenariuszem alternatywnym opartym na hipotetycznej ostatecznej stracie na koniec postępowania upadłościowego,</w:t>
      </w:r>
      <w:r w:rsidR="0031342C" w:rsidRPr="00DF3EF6">
        <w:rPr>
          <w:noProof/>
        </w:rPr>
        <w:t xml:space="preserve"> w</w:t>
      </w:r>
      <w:r w:rsidR="0031342C">
        <w:rPr>
          <w:noProof/>
        </w:rPr>
        <w:t> </w:t>
      </w:r>
      <w:r w:rsidR="0031342C" w:rsidRPr="00DF3EF6">
        <w:rPr>
          <w:noProof/>
        </w:rPr>
        <w:t>któ</w:t>
      </w:r>
      <w:r w:rsidR="6BA73919" w:rsidRPr="00DF3EF6">
        <w:rPr>
          <w:noProof/>
        </w:rPr>
        <w:t>rej należy uwzględnić należności odzyskane</w:t>
      </w:r>
      <w:r w:rsidR="0031342C" w:rsidRPr="00DF3EF6">
        <w:rPr>
          <w:noProof/>
        </w:rPr>
        <w:t xml:space="preserve"> z</w:t>
      </w:r>
      <w:r w:rsidR="0031342C">
        <w:rPr>
          <w:noProof/>
        </w:rPr>
        <w:t> </w:t>
      </w:r>
      <w:r w:rsidR="0031342C" w:rsidRPr="00DF3EF6">
        <w:rPr>
          <w:noProof/>
        </w:rPr>
        <w:t>sys</w:t>
      </w:r>
      <w:r w:rsidR="6BA73919" w:rsidRPr="00DF3EF6">
        <w:rPr>
          <w:noProof/>
        </w:rPr>
        <w:t>temu gwarancji depozytów jako część postępowania likwidacyjnego dotyczącego banku. Aby uzyskać rzetelny</w:t>
      </w:r>
      <w:r w:rsidR="0031342C" w:rsidRPr="00DF3EF6">
        <w:rPr>
          <w:noProof/>
        </w:rPr>
        <w:t xml:space="preserve"> i</w:t>
      </w:r>
      <w:r w:rsidR="0031342C">
        <w:rPr>
          <w:noProof/>
        </w:rPr>
        <w:t> </w:t>
      </w:r>
      <w:r w:rsidR="0031342C" w:rsidRPr="00DF3EF6">
        <w:rPr>
          <w:noProof/>
        </w:rPr>
        <w:t>bar</w:t>
      </w:r>
      <w:r w:rsidR="6BA73919" w:rsidRPr="00DF3EF6">
        <w:rPr>
          <w:noProof/>
        </w:rPr>
        <w:t>dziej kompleksowy obraz rzeczywistych kosztów wypłaty na rzecz deponentów, przy szacowaniu strat poniesionych</w:t>
      </w:r>
      <w:r w:rsidR="0031342C" w:rsidRPr="00DF3EF6">
        <w:rPr>
          <w:noProof/>
        </w:rPr>
        <w:t xml:space="preserve"> z</w:t>
      </w:r>
      <w:r w:rsidR="0031342C">
        <w:rPr>
          <w:noProof/>
        </w:rPr>
        <w:t> </w:t>
      </w:r>
      <w:r w:rsidR="0031342C" w:rsidRPr="00DF3EF6">
        <w:rPr>
          <w:noProof/>
        </w:rPr>
        <w:t>pow</w:t>
      </w:r>
      <w:r w:rsidR="6BA73919" w:rsidRPr="00DF3EF6">
        <w:rPr>
          <w:noProof/>
        </w:rPr>
        <w:t>odu wypłaty depozytów gwarantowanych należy uwzględnić koszty pośrednio związane</w:t>
      </w:r>
      <w:r w:rsidR="0031342C" w:rsidRPr="00DF3EF6">
        <w:rPr>
          <w:noProof/>
        </w:rPr>
        <w:t xml:space="preserve"> z</w:t>
      </w:r>
      <w:r w:rsidR="0031342C">
        <w:rPr>
          <w:noProof/>
        </w:rPr>
        <w:t> </w:t>
      </w:r>
      <w:r w:rsidR="0031342C" w:rsidRPr="00DF3EF6">
        <w:rPr>
          <w:noProof/>
        </w:rPr>
        <w:t>wyp</w:t>
      </w:r>
      <w:r w:rsidR="6BA73919" w:rsidRPr="00DF3EF6">
        <w:rPr>
          <w:noProof/>
        </w:rPr>
        <w:t>łatą na rzecz deponentów. Koszty takie powinny obejmować koszt uzupełnienia systemu gwarancji depozytów oraz koszty, które system ten może ponieść</w:t>
      </w:r>
      <w:r w:rsidR="0031342C" w:rsidRPr="00DF3EF6">
        <w:rPr>
          <w:noProof/>
        </w:rPr>
        <w:t xml:space="preserve"> w</w:t>
      </w:r>
      <w:r w:rsidR="0031342C">
        <w:rPr>
          <w:noProof/>
        </w:rPr>
        <w:t> </w:t>
      </w:r>
      <w:r w:rsidR="0031342C" w:rsidRPr="00DF3EF6">
        <w:rPr>
          <w:noProof/>
        </w:rPr>
        <w:t>wyn</w:t>
      </w:r>
      <w:r w:rsidR="6BA73919" w:rsidRPr="00DF3EF6">
        <w:rPr>
          <w:noProof/>
        </w:rPr>
        <w:t>iku skorzystania</w:t>
      </w:r>
      <w:r w:rsidR="0031342C" w:rsidRPr="00DF3EF6">
        <w:rPr>
          <w:noProof/>
        </w:rPr>
        <w:t xml:space="preserve"> z</w:t>
      </w:r>
      <w:r w:rsidR="0031342C">
        <w:rPr>
          <w:noProof/>
        </w:rPr>
        <w:t> </w:t>
      </w:r>
      <w:r w:rsidR="0031342C" w:rsidRPr="00DF3EF6">
        <w:rPr>
          <w:noProof/>
        </w:rPr>
        <w:t>fin</w:t>
      </w:r>
      <w:r w:rsidR="6BA73919" w:rsidRPr="00DF3EF6">
        <w:rPr>
          <w:noProof/>
        </w:rPr>
        <w:t>ansowania alternatywnego</w:t>
      </w:r>
      <w:r w:rsidR="0031342C" w:rsidRPr="00DF3EF6">
        <w:rPr>
          <w:noProof/>
        </w:rPr>
        <w:t>. W</w:t>
      </w:r>
      <w:r w:rsidR="0031342C">
        <w:rPr>
          <w:noProof/>
        </w:rPr>
        <w:t> </w:t>
      </w:r>
      <w:r w:rsidR="0031342C" w:rsidRPr="00DF3EF6">
        <w:rPr>
          <w:noProof/>
        </w:rPr>
        <w:t>cel</w:t>
      </w:r>
      <w:r w:rsidR="6BA73919" w:rsidRPr="00DF3EF6">
        <w:rPr>
          <w:noProof/>
        </w:rPr>
        <w:t>u zapewnienia spójnego stosowania testu najniższego kosztu EUNB powinien opracować projekt regulacyjnych standardów technicznych dotyczących metodyki obliczania kosztu różnych interwencji systemu gwarancji depozytów</w:t>
      </w:r>
      <w:r w:rsidR="0031342C" w:rsidRPr="00DF3EF6">
        <w:rPr>
          <w:noProof/>
        </w:rPr>
        <w:t>. W</w:t>
      </w:r>
      <w:r w:rsidR="0031342C">
        <w:rPr>
          <w:noProof/>
        </w:rPr>
        <w:t> </w:t>
      </w:r>
      <w:r w:rsidR="0031342C" w:rsidRPr="00DF3EF6">
        <w:rPr>
          <w:noProof/>
        </w:rPr>
        <w:t>cel</w:t>
      </w:r>
      <w:r w:rsidR="6BA73919" w:rsidRPr="00DF3EF6">
        <w:rPr>
          <w:noProof/>
        </w:rPr>
        <w:t>u zapewnienia zgodności metodyki oceny najniższego kosztu</w:t>
      </w:r>
      <w:r w:rsidR="0031342C" w:rsidRPr="00DF3EF6">
        <w:rPr>
          <w:noProof/>
        </w:rPr>
        <w:t xml:space="preserve"> z</w:t>
      </w:r>
      <w:r w:rsidR="0031342C">
        <w:rPr>
          <w:noProof/>
        </w:rPr>
        <w:t> </w:t>
      </w:r>
      <w:r w:rsidR="0031342C" w:rsidRPr="00DF3EF6">
        <w:rPr>
          <w:noProof/>
        </w:rPr>
        <w:t>ust</w:t>
      </w:r>
      <w:r w:rsidR="6BA73919" w:rsidRPr="00DF3EF6">
        <w:rPr>
          <w:noProof/>
        </w:rPr>
        <w:t>awowym lub umownym mandatem systemu gwarancji depozytów</w:t>
      </w:r>
      <w:r w:rsidR="0031342C" w:rsidRPr="00DF3EF6">
        <w:rPr>
          <w:noProof/>
        </w:rPr>
        <w:t xml:space="preserve"> w</w:t>
      </w:r>
      <w:r w:rsidR="0031342C">
        <w:rPr>
          <w:noProof/>
        </w:rPr>
        <w:t> </w:t>
      </w:r>
      <w:r w:rsidR="0031342C" w:rsidRPr="00DF3EF6">
        <w:rPr>
          <w:noProof/>
        </w:rPr>
        <w:t>odn</w:t>
      </w:r>
      <w:r w:rsidR="6BA73919" w:rsidRPr="00DF3EF6">
        <w:rPr>
          <w:noProof/>
        </w:rPr>
        <w:t>iesieniu do środków zapobiegawczych EUNB powinien, przy opracowaniu wspomnianego projektu regulacyjnych standardów technicznych, uwzględnić istotność środków zapobiegawczych</w:t>
      </w:r>
      <w:r w:rsidR="0031342C" w:rsidRPr="00DF3EF6">
        <w:rPr>
          <w:noProof/>
        </w:rPr>
        <w:t xml:space="preserve"> w</w:t>
      </w:r>
      <w:r w:rsidR="0031342C">
        <w:rPr>
          <w:noProof/>
        </w:rPr>
        <w:t> </w:t>
      </w:r>
      <w:r w:rsidR="0031342C" w:rsidRPr="00DF3EF6">
        <w:rPr>
          <w:noProof/>
        </w:rPr>
        <w:t>met</w:t>
      </w:r>
      <w:r w:rsidR="6BA73919" w:rsidRPr="00DF3EF6">
        <w:rPr>
          <w:noProof/>
        </w:rPr>
        <w:t>odyce obliczania kosztu scenariusza alternatywnego względem wypłaty.</w:t>
      </w:r>
    </w:p>
    <w:p w14:paraId="14DCE4C2" w14:textId="1006636C" w:rsidR="00663BFD" w:rsidRPr="00DF3EF6" w:rsidRDefault="00322779" w:rsidP="00322779">
      <w:pPr>
        <w:pStyle w:val="ManualConsidrant"/>
        <w:rPr>
          <w:noProof/>
        </w:rPr>
      </w:pPr>
      <w:r w:rsidRPr="00322779">
        <w:t>(32)</w:t>
      </w:r>
      <w:r w:rsidRPr="00322779">
        <w:tab/>
      </w:r>
      <w:r w:rsidR="612AF2E3" w:rsidRPr="00DF3EF6">
        <w:rPr>
          <w:noProof/>
        </w:rPr>
        <w:t>W celu zapewnienia zharmonizowanej ochrony deponentów oraz określenia właściwych obowiązków</w:t>
      </w:r>
      <w:r w:rsidR="0031342C" w:rsidRPr="00DF3EF6">
        <w:rPr>
          <w:noProof/>
        </w:rPr>
        <w:t xml:space="preserve"> w</w:t>
      </w:r>
      <w:r w:rsidR="0031342C">
        <w:rPr>
          <w:noProof/>
        </w:rPr>
        <w:t> </w:t>
      </w:r>
      <w:r w:rsidR="0031342C" w:rsidRPr="00DF3EF6">
        <w:rPr>
          <w:noProof/>
        </w:rPr>
        <w:t>cał</w:t>
      </w:r>
      <w:r w:rsidR="612AF2E3" w:rsidRPr="00DF3EF6">
        <w:rPr>
          <w:noProof/>
        </w:rPr>
        <w:t>ej Unii system gwarancji depozytów państwa członkowskiego pochodzenia powinien zapewnić wypłatę na rzecz deponentów znajdujących się</w:t>
      </w:r>
      <w:r w:rsidR="0031342C" w:rsidRPr="00DF3EF6">
        <w:rPr>
          <w:noProof/>
        </w:rPr>
        <w:t xml:space="preserve"> w</w:t>
      </w:r>
      <w:r w:rsidR="0031342C">
        <w:rPr>
          <w:noProof/>
        </w:rPr>
        <w:t> </w:t>
      </w:r>
      <w:r w:rsidR="0031342C" w:rsidRPr="00DF3EF6">
        <w:rPr>
          <w:noProof/>
        </w:rPr>
        <w:t>pań</w:t>
      </w:r>
      <w:r w:rsidR="612AF2E3" w:rsidRPr="00DF3EF6">
        <w:rPr>
          <w:noProof/>
        </w:rPr>
        <w:t>stwach członkowskich,</w:t>
      </w:r>
      <w:r w:rsidR="0031342C" w:rsidRPr="00DF3EF6">
        <w:rPr>
          <w:noProof/>
        </w:rPr>
        <w:t xml:space="preserve"> w</w:t>
      </w:r>
      <w:r w:rsidR="0031342C">
        <w:rPr>
          <w:noProof/>
        </w:rPr>
        <w:t> </w:t>
      </w:r>
      <w:r w:rsidR="0031342C" w:rsidRPr="00DF3EF6">
        <w:rPr>
          <w:noProof/>
        </w:rPr>
        <w:t>któ</w:t>
      </w:r>
      <w:r w:rsidR="612AF2E3" w:rsidRPr="00DF3EF6">
        <w:rPr>
          <w:noProof/>
        </w:rPr>
        <w:t>rych instytucje kredytowe będące członkami systemu gwarancji depozytów przyjmują depozyty</w:t>
      </w:r>
      <w:r w:rsidR="0031342C" w:rsidRPr="00DF3EF6">
        <w:rPr>
          <w:noProof/>
        </w:rPr>
        <w:t xml:space="preserve"> i</w:t>
      </w:r>
      <w:r w:rsidR="0031342C">
        <w:rPr>
          <w:noProof/>
        </w:rPr>
        <w:t> </w:t>
      </w:r>
      <w:r w:rsidR="0031342C" w:rsidRPr="00DF3EF6">
        <w:rPr>
          <w:noProof/>
        </w:rPr>
        <w:t>inn</w:t>
      </w:r>
      <w:r w:rsidR="612AF2E3" w:rsidRPr="00DF3EF6">
        <w:rPr>
          <w:noProof/>
        </w:rPr>
        <w:t>e środki pieniężne podlegające zwrotowi, oferując usługi</w:t>
      </w:r>
      <w:r w:rsidR="0031342C" w:rsidRPr="00DF3EF6">
        <w:rPr>
          <w:noProof/>
        </w:rPr>
        <w:t xml:space="preserve"> z</w:t>
      </w:r>
      <w:r w:rsidR="0031342C">
        <w:rPr>
          <w:noProof/>
        </w:rPr>
        <w:t> </w:t>
      </w:r>
      <w:r w:rsidR="0031342C" w:rsidRPr="00DF3EF6">
        <w:rPr>
          <w:noProof/>
        </w:rPr>
        <w:t>zak</w:t>
      </w:r>
      <w:r w:rsidR="612AF2E3" w:rsidRPr="00DF3EF6">
        <w:rPr>
          <w:noProof/>
        </w:rPr>
        <w:t>resu depozytów</w:t>
      </w:r>
      <w:r w:rsidR="0031342C" w:rsidRPr="00DF3EF6">
        <w:rPr>
          <w:noProof/>
        </w:rPr>
        <w:t xml:space="preserve"> w</w:t>
      </w:r>
      <w:r w:rsidR="0031342C">
        <w:rPr>
          <w:noProof/>
        </w:rPr>
        <w:t> </w:t>
      </w:r>
      <w:r w:rsidR="0031342C" w:rsidRPr="00DF3EF6">
        <w:rPr>
          <w:noProof/>
        </w:rPr>
        <w:t>try</w:t>
      </w:r>
      <w:r w:rsidR="612AF2E3" w:rsidRPr="00DF3EF6">
        <w:rPr>
          <w:noProof/>
        </w:rPr>
        <w:t>bie transgranicznym bez zakładania siedziby</w:t>
      </w:r>
      <w:r w:rsidR="0031342C" w:rsidRPr="00DF3EF6">
        <w:rPr>
          <w:noProof/>
        </w:rPr>
        <w:t xml:space="preserve"> w</w:t>
      </w:r>
      <w:r w:rsidR="0031342C">
        <w:rPr>
          <w:noProof/>
        </w:rPr>
        <w:t> </w:t>
      </w:r>
      <w:r w:rsidR="0031342C" w:rsidRPr="00DF3EF6">
        <w:rPr>
          <w:noProof/>
        </w:rPr>
        <w:t>prz</w:t>
      </w:r>
      <w:r w:rsidR="612AF2E3" w:rsidRPr="00DF3EF6">
        <w:rPr>
          <w:noProof/>
        </w:rPr>
        <w:t>yjmującym państwie członkowskim</w:t>
      </w:r>
      <w:r w:rsidR="0031342C" w:rsidRPr="00DF3EF6">
        <w:rPr>
          <w:noProof/>
        </w:rPr>
        <w:t>. W</w:t>
      </w:r>
      <w:r w:rsidR="0031342C">
        <w:rPr>
          <w:noProof/>
        </w:rPr>
        <w:t> </w:t>
      </w:r>
      <w:r w:rsidR="0031342C" w:rsidRPr="00DF3EF6">
        <w:rPr>
          <w:noProof/>
        </w:rPr>
        <w:t>cel</w:t>
      </w:r>
      <w:r w:rsidR="612AF2E3" w:rsidRPr="00DF3EF6">
        <w:rPr>
          <w:noProof/>
        </w:rPr>
        <w:t xml:space="preserve">u ułatwienia operacji wypłat oraz udostępnienia deponentom informacji system gwarancji </w:t>
      </w:r>
      <w:r w:rsidR="612AF2E3" w:rsidRPr="00DF3EF6">
        <w:rPr>
          <w:noProof/>
        </w:rPr>
        <w:lastRenderedPageBreak/>
        <w:t>depozytów przyjmującego państwa członkowskiego powinien mieć możliwość działania</w:t>
      </w:r>
      <w:r w:rsidR="0031342C" w:rsidRPr="00DF3EF6">
        <w:rPr>
          <w:noProof/>
        </w:rPr>
        <w:t xml:space="preserve"> w</w:t>
      </w:r>
      <w:r w:rsidR="0031342C">
        <w:rPr>
          <w:noProof/>
        </w:rPr>
        <w:t> </w:t>
      </w:r>
      <w:r w:rsidR="0031342C" w:rsidRPr="00DF3EF6">
        <w:rPr>
          <w:noProof/>
        </w:rPr>
        <w:t>cha</w:t>
      </w:r>
      <w:r w:rsidR="612AF2E3" w:rsidRPr="00DF3EF6">
        <w:rPr>
          <w:noProof/>
        </w:rPr>
        <w:t>rakterze punktu kontaktowego dla deponentów</w:t>
      </w:r>
      <w:r w:rsidR="0031342C" w:rsidRPr="00DF3EF6">
        <w:rPr>
          <w:noProof/>
        </w:rPr>
        <w:t xml:space="preserve"> w</w:t>
      </w:r>
      <w:r w:rsidR="0031342C">
        <w:rPr>
          <w:noProof/>
        </w:rPr>
        <w:t> </w:t>
      </w:r>
      <w:r w:rsidR="0031342C" w:rsidRPr="00DF3EF6">
        <w:rPr>
          <w:noProof/>
        </w:rPr>
        <w:t>ins</w:t>
      </w:r>
      <w:r w:rsidR="612AF2E3" w:rsidRPr="00DF3EF6">
        <w:rPr>
          <w:noProof/>
        </w:rPr>
        <w:t>tytucjach kredytowych, które korzystają ze swobody świadczenia usług.</w:t>
      </w:r>
    </w:p>
    <w:p w14:paraId="7940A7E3" w14:textId="1E6E7EE2" w:rsidR="00663BFD" w:rsidRPr="00DF3EF6" w:rsidRDefault="00322779" w:rsidP="00322779">
      <w:pPr>
        <w:pStyle w:val="ManualConsidrant"/>
        <w:rPr>
          <w:noProof/>
        </w:rPr>
      </w:pPr>
      <w:r w:rsidRPr="00322779">
        <w:t>(33)</w:t>
      </w:r>
      <w:r w:rsidRPr="00322779">
        <w:tab/>
      </w:r>
      <w:r w:rsidR="07B5D4DD" w:rsidRPr="00DF3EF6">
        <w:rPr>
          <w:noProof/>
        </w:rPr>
        <w:t>Współpraca między systemami gwarancji depozytów</w:t>
      </w:r>
      <w:r w:rsidR="0031342C" w:rsidRPr="00DF3EF6">
        <w:rPr>
          <w:noProof/>
        </w:rPr>
        <w:t xml:space="preserve"> w</w:t>
      </w:r>
      <w:r w:rsidR="0031342C">
        <w:rPr>
          <w:noProof/>
        </w:rPr>
        <w:t> </w:t>
      </w:r>
      <w:r w:rsidR="0031342C" w:rsidRPr="00DF3EF6">
        <w:rPr>
          <w:noProof/>
        </w:rPr>
        <w:t>cał</w:t>
      </w:r>
      <w:r w:rsidR="07B5D4DD" w:rsidRPr="00DF3EF6">
        <w:rPr>
          <w:noProof/>
        </w:rPr>
        <w:t>ej Unii ma zasadnicze znaczenie dla zapewnienia szybkiej</w:t>
      </w:r>
      <w:r w:rsidR="0031342C" w:rsidRPr="00DF3EF6">
        <w:rPr>
          <w:noProof/>
        </w:rPr>
        <w:t xml:space="preserve"> i</w:t>
      </w:r>
      <w:r w:rsidR="0031342C">
        <w:rPr>
          <w:noProof/>
        </w:rPr>
        <w:t> </w:t>
      </w:r>
      <w:r w:rsidR="0031342C" w:rsidRPr="00DF3EF6">
        <w:rPr>
          <w:noProof/>
        </w:rPr>
        <w:t>efe</w:t>
      </w:r>
      <w:r w:rsidR="07B5D4DD" w:rsidRPr="00DF3EF6">
        <w:rPr>
          <w:noProof/>
        </w:rPr>
        <w:t>ktywnej kosztowo wypłaty na rzecz deponentów</w:t>
      </w:r>
      <w:r w:rsidR="0031342C" w:rsidRPr="00DF3EF6">
        <w:rPr>
          <w:noProof/>
        </w:rPr>
        <w:t xml:space="preserve"> w</w:t>
      </w:r>
      <w:r w:rsidR="0031342C">
        <w:rPr>
          <w:noProof/>
        </w:rPr>
        <w:t> </w:t>
      </w:r>
      <w:r w:rsidR="0031342C" w:rsidRPr="00DF3EF6">
        <w:rPr>
          <w:noProof/>
        </w:rPr>
        <w:t>syt</w:t>
      </w:r>
      <w:r w:rsidR="07B5D4DD" w:rsidRPr="00DF3EF6">
        <w:rPr>
          <w:noProof/>
        </w:rPr>
        <w:t>uacjach, gdy instytucje kredytowe świadczą usługi bankowe za pośrednictwem oddziałów</w:t>
      </w:r>
      <w:r w:rsidR="0031342C" w:rsidRPr="00DF3EF6">
        <w:rPr>
          <w:noProof/>
        </w:rPr>
        <w:t xml:space="preserve"> w</w:t>
      </w:r>
      <w:r w:rsidR="0031342C">
        <w:rPr>
          <w:noProof/>
        </w:rPr>
        <w:t> </w:t>
      </w:r>
      <w:r w:rsidR="0031342C" w:rsidRPr="00DF3EF6">
        <w:rPr>
          <w:noProof/>
        </w:rPr>
        <w:t>inn</w:t>
      </w:r>
      <w:r w:rsidR="07B5D4DD" w:rsidRPr="00DF3EF6">
        <w:rPr>
          <w:noProof/>
        </w:rPr>
        <w:t>ych państw członkowskich. Ze względu na postęp technologiczny, który wspiera korzystanie</w:t>
      </w:r>
      <w:r w:rsidR="0031342C" w:rsidRPr="00DF3EF6">
        <w:rPr>
          <w:noProof/>
        </w:rPr>
        <w:t xml:space="preserve"> z</w:t>
      </w:r>
      <w:r w:rsidR="0031342C">
        <w:rPr>
          <w:noProof/>
        </w:rPr>
        <w:t> </w:t>
      </w:r>
      <w:r w:rsidR="0031342C" w:rsidRPr="00DF3EF6">
        <w:rPr>
          <w:noProof/>
        </w:rPr>
        <w:t>prz</w:t>
      </w:r>
      <w:r w:rsidR="07B5D4DD" w:rsidRPr="00DF3EF6">
        <w:rPr>
          <w:noProof/>
        </w:rPr>
        <w:t>elewów transgranicznych oraz identyfikacji zdalnej, system gwarancji depozytów państwa członkowskiego pochodzenia powinien mieć możliwość dokonywania wypłat bezpośrednio na rzecz deponentów</w:t>
      </w:r>
      <w:r w:rsidR="0031342C" w:rsidRPr="00DF3EF6">
        <w:rPr>
          <w:noProof/>
        </w:rPr>
        <w:t xml:space="preserve"> w</w:t>
      </w:r>
      <w:r w:rsidR="0031342C">
        <w:rPr>
          <w:noProof/>
        </w:rPr>
        <w:t> </w:t>
      </w:r>
      <w:r w:rsidR="0031342C" w:rsidRPr="00DF3EF6">
        <w:rPr>
          <w:noProof/>
        </w:rPr>
        <w:t>odd</w:t>
      </w:r>
      <w:r w:rsidR="07B5D4DD" w:rsidRPr="00DF3EF6">
        <w:rPr>
          <w:noProof/>
        </w:rPr>
        <w:t>ziałach mających siedzibę</w:t>
      </w:r>
      <w:r w:rsidR="0031342C" w:rsidRPr="00DF3EF6">
        <w:rPr>
          <w:noProof/>
        </w:rPr>
        <w:t xml:space="preserve"> w</w:t>
      </w:r>
      <w:r w:rsidR="0031342C">
        <w:rPr>
          <w:noProof/>
        </w:rPr>
        <w:t> </w:t>
      </w:r>
      <w:r w:rsidR="0031342C" w:rsidRPr="00DF3EF6">
        <w:rPr>
          <w:noProof/>
        </w:rPr>
        <w:t>inn</w:t>
      </w:r>
      <w:r w:rsidR="07B5D4DD" w:rsidRPr="00DF3EF6">
        <w:rPr>
          <w:noProof/>
        </w:rPr>
        <w:t>ym państwie członkowskim, pod warunkiem że obciążenie administracyjne oraz koszty są mniejsze niż wówczas, gdyby wypłata była realizowana przez system gwarancji depozytów przyjmującego państwa członkowskiego. Wskazana elastyczność powinna stanowić uzupełnienie aktualnego mechanizmu współpracy, nakładając na system gwarancji depozytów przyjmującego państwa członkowskiego wymóg wypłaty na rzecz deponentów</w:t>
      </w:r>
      <w:r w:rsidR="0031342C" w:rsidRPr="00DF3EF6">
        <w:rPr>
          <w:noProof/>
        </w:rPr>
        <w:t xml:space="preserve"> w</w:t>
      </w:r>
      <w:r w:rsidR="0031342C">
        <w:rPr>
          <w:noProof/>
        </w:rPr>
        <w:t> </w:t>
      </w:r>
      <w:r w:rsidR="0031342C" w:rsidRPr="00DF3EF6">
        <w:rPr>
          <w:noProof/>
        </w:rPr>
        <w:t>odd</w:t>
      </w:r>
      <w:r w:rsidR="07B5D4DD" w:rsidRPr="00DF3EF6">
        <w:rPr>
          <w:noProof/>
        </w:rPr>
        <w:t>ziałach</w:t>
      </w:r>
      <w:r w:rsidR="0031342C" w:rsidRPr="00DF3EF6">
        <w:rPr>
          <w:noProof/>
        </w:rPr>
        <w:t xml:space="preserve"> w</w:t>
      </w:r>
      <w:r w:rsidR="0031342C">
        <w:rPr>
          <w:noProof/>
        </w:rPr>
        <w:t> </w:t>
      </w:r>
      <w:r w:rsidR="0031342C" w:rsidRPr="00DF3EF6">
        <w:rPr>
          <w:noProof/>
        </w:rPr>
        <w:t>imi</w:t>
      </w:r>
      <w:r w:rsidR="07B5D4DD" w:rsidRPr="00DF3EF6">
        <w:rPr>
          <w:noProof/>
        </w:rPr>
        <w:t>eniu systemu gwarancji depozytów państwa członkowskiego pochodzenia</w:t>
      </w:r>
      <w:r w:rsidR="0031342C" w:rsidRPr="00DF3EF6">
        <w:rPr>
          <w:noProof/>
        </w:rPr>
        <w:t>. W</w:t>
      </w:r>
      <w:r w:rsidR="0031342C">
        <w:rPr>
          <w:noProof/>
        </w:rPr>
        <w:t> </w:t>
      </w:r>
      <w:r w:rsidR="0031342C" w:rsidRPr="00DF3EF6">
        <w:rPr>
          <w:noProof/>
        </w:rPr>
        <w:t>cel</w:t>
      </w:r>
      <w:r w:rsidR="07B5D4DD" w:rsidRPr="00DF3EF6">
        <w:rPr>
          <w:noProof/>
        </w:rPr>
        <w:t>u utrzymania zaufania deponentów zarówno</w:t>
      </w:r>
      <w:r w:rsidR="0031342C" w:rsidRPr="00DF3EF6">
        <w:rPr>
          <w:noProof/>
        </w:rPr>
        <w:t xml:space="preserve"> w</w:t>
      </w:r>
      <w:r w:rsidR="0031342C">
        <w:rPr>
          <w:noProof/>
        </w:rPr>
        <w:t> </w:t>
      </w:r>
      <w:r w:rsidR="0031342C" w:rsidRPr="00DF3EF6">
        <w:rPr>
          <w:noProof/>
        </w:rPr>
        <w:t>prz</w:t>
      </w:r>
      <w:r w:rsidR="07B5D4DD" w:rsidRPr="00DF3EF6">
        <w:rPr>
          <w:noProof/>
        </w:rPr>
        <w:t>yjmującym państwie członkowskim, jak</w:t>
      </w:r>
      <w:r w:rsidR="0031342C" w:rsidRPr="00DF3EF6">
        <w:rPr>
          <w:noProof/>
        </w:rPr>
        <w:t xml:space="preserve"> i</w:t>
      </w:r>
      <w:r w:rsidR="0031342C">
        <w:rPr>
          <w:noProof/>
        </w:rPr>
        <w:t> </w:t>
      </w:r>
      <w:r w:rsidR="0031342C" w:rsidRPr="00DF3EF6">
        <w:rPr>
          <w:noProof/>
        </w:rPr>
        <w:t>w</w:t>
      </w:r>
      <w:r w:rsidR="0031342C">
        <w:rPr>
          <w:noProof/>
        </w:rPr>
        <w:t> </w:t>
      </w:r>
      <w:r w:rsidR="0031342C" w:rsidRPr="00DF3EF6">
        <w:rPr>
          <w:noProof/>
        </w:rPr>
        <w:t>pań</w:t>
      </w:r>
      <w:r w:rsidR="07B5D4DD" w:rsidRPr="00DF3EF6">
        <w:rPr>
          <w:noProof/>
        </w:rPr>
        <w:t>stwie członkowskim pochodzenia EUNB powinien wydać wytyczne służące wsparciu systemów gwarancji depozytów</w:t>
      </w:r>
      <w:r w:rsidR="0031342C" w:rsidRPr="00DF3EF6">
        <w:rPr>
          <w:noProof/>
        </w:rPr>
        <w:t xml:space="preserve"> w</w:t>
      </w:r>
      <w:r w:rsidR="0031342C">
        <w:rPr>
          <w:noProof/>
        </w:rPr>
        <w:t> </w:t>
      </w:r>
      <w:r w:rsidR="0031342C" w:rsidRPr="00DF3EF6">
        <w:rPr>
          <w:noProof/>
        </w:rPr>
        <w:t>pro</w:t>
      </w:r>
      <w:r w:rsidR="07B5D4DD" w:rsidRPr="00DF3EF6">
        <w:rPr>
          <w:noProof/>
        </w:rPr>
        <w:t>wadzeniu takiej współpracy, między innymi proponując wykaz warunków, na których systemy gwarancji depozytów państwa członkowskiego pochodzenia mogą podjąć decyzję</w:t>
      </w:r>
      <w:r w:rsidR="0031342C" w:rsidRPr="00DF3EF6">
        <w:rPr>
          <w:noProof/>
        </w:rPr>
        <w:t xml:space="preserve"> o</w:t>
      </w:r>
      <w:r w:rsidR="0031342C">
        <w:rPr>
          <w:noProof/>
        </w:rPr>
        <w:t> </w:t>
      </w:r>
      <w:r w:rsidR="0031342C" w:rsidRPr="00DF3EF6">
        <w:rPr>
          <w:noProof/>
        </w:rPr>
        <w:t>dok</w:t>
      </w:r>
      <w:r w:rsidR="07B5D4DD" w:rsidRPr="00DF3EF6">
        <w:rPr>
          <w:noProof/>
        </w:rPr>
        <w:t>onaniu wypłat na rzecz deponentów</w:t>
      </w:r>
      <w:r w:rsidR="0031342C" w:rsidRPr="00DF3EF6">
        <w:rPr>
          <w:noProof/>
        </w:rPr>
        <w:t xml:space="preserve"> w</w:t>
      </w:r>
      <w:r w:rsidR="0031342C">
        <w:rPr>
          <w:noProof/>
        </w:rPr>
        <w:t> </w:t>
      </w:r>
      <w:r w:rsidR="0031342C" w:rsidRPr="00DF3EF6">
        <w:rPr>
          <w:noProof/>
        </w:rPr>
        <w:t>odd</w:t>
      </w:r>
      <w:r w:rsidR="07B5D4DD" w:rsidRPr="00DF3EF6">
        <w:rPr>
          <w:noProof/>
        </w:rPr>
        <w:t>ziałach mających siedzibę</w:t>
      </w:r>
      <w:r w:rsidR="0031342C" w:rsidRPr="00DF3EF6">
        <w:rPr>
          <w:noProof/>
        </w:rPr>
        <w:t xml:space="preserve"> w</w:t>
      </w:r>
      <w:r w:rsidR="0031342C">
        <w:rPr>
          <w:noProof/>
        </w:rPr>
        <w:t> </w:t>
      </w:r>
      <w:r w:rsidR="0031342C" w:rsidRPr="00DF3EF6">
        <w:rPr>
          <w:noProof/>
        </w:rPr>
        <w:t>prz</w:t>
      </w:r>
      <w:r w:rsidR="07B5D4DD" w:rsidRPr="00DF3EF6">
        <w:rPr>
          <w:noProof/>
        </w:rPr>
        <w:t>yjmującym państwie członkowskim.</w:t>
      </w:r>
    </w:p>
    <w:p w14:paraId="40759F42" w14:textId="0074DDD2" w:rsidR="00663BFD" w:rsidRPr="00DF3EF6" w:rsidRDefault="00322779" w:rsidP="00322779">
      <w:pPr>
        <w:pStyle w:val="ManualConsidrant"/>
        <w:rPr>
          <w:noProof/>
        </w:rPr>
      </w:pPr>
      <w:r w:rsidRPr="00322779">
        <w:t>(34)</w:t>
      </w:r>
      <w:r w:rsidRPr="00322779">
        <w:tab/>
      </w:r>
      <w:r w:rsidR="07B5D4DD" w:rsidRPr="00DF3EF6">
        <w:rPr>
          <w:noProof/>
        </w:rPr>
        <w:t>Instytucje kredytowe mogą zmienić przynależność do systemu gwarancji depozytów</w:t>
      </w:r>
      <w:r w:rsidR="0031342C" w:rsidRPr="00DF3EF6">
        <w:rPr>
          <w:noProof/>
        </w:rPr>
        <w:t xml:space="preserve"> z</w:t>
      </w:r>
      <w:r w:rsidR="0031342C">
        <w:rPr>
          <w:noProof/>
        </w:rPr>
        <w:t> </w:t>
      </w:r>
      <w:r w:rsidR="0031342C" w:rsidRPr="00DF3EF6">
        <w:rPr>
          <w:noProof/>
        </w:rPr>
        <w:t>pow</w:t>
      </w:r>
      <w:r w:rsidR="07B5D4DD" w:rsidRPr="00DF3EF6">
        <w:rPr>
          <w:noProof/>
        </w:rPr>
        <w:t>odu przeniesienia swojej siedziby głównej do innego państwa członkowskiego lub przekształcenia swojej jednostki zależnej</w:t>
      </w:r>
      <w:r w:rsidR="0031342C" w:rsidRPr="00DF3EF6">
        <w:rPr>
          <w:noProof/>
        </w:rPr>
        <w:t xml:space="preserve"> w</w:t>
      </w:r>
      <w:r w:rsidR="0031342C">
        <w:rPr>
          <w:noProof/>
        </w:rPr>
        <w:t> </w:t>
      </w:r>
      <w:r w:rsidR="0031342C" w:rsidRPr="00DF3EF6">
        <w:rPr>
          <w:noProof/>
        </w:rPr>
        <w:t>odd</w:t>
      </w:r>
      <w:r w:rsidR="07B5D4DD" w:rsidRPr="00DF3EF6">
        <w:rPr>
          <w:noProof/>
        </w:rPr>
        <w:t xml:space="preserve">ział lub odwrotnie. Art. 14 </w:t>
      </w:r>
      <w:r w:rsidR="07B5D4DD" w:rsidRPr="0031342C">
        <w:rPr>
          <w:noProof/>
        </w:rPr>
        <w:t>ust.</w:t>
      </w:r>
      <w:r w:rsidR="0031342C" w:rsidRPr="0031342C">
        <w:rPr>
          <w:noProof/>
        </w:rPr>
        <w:t> </w:t>
      </w:r>
      <w:r w:rsidR="07B5D4DD" w:rsidRPr="0031342C">
        <w:rPr>
          <w:noProof/>
        </w:rPr>
        <w:t>3</w:t>
      </w:r>
      <w:r w:rsidR="07B5D4DD" w:rsidRPr="00DF3EF6">
        <w:rPr>
          <w:noProof/>
        </w:rPr>
        <w:t xml:space="preserve"> dyrektywy 2014/49/UE stanowi, że składki takiej instytucji kredytowej wpłacone</w:t>
      </w:r>
      <w:r w:rsidR="0031342C" w:rsidRPr="00DF3EF6">
        <w:rPr>
          <w:noProof/>
        </w:rPr>
        <w:t xml:space="preserve"> w</w:t>
      </w:r>
      <w:r w:rsidR="0031342C">
        <w:rPr>
          <w:noProof/>
        </w:rPr>
        <w:t> </w:t>
      </w:r>
      <w:r w:rsidR="0031342C" w:rsidRPr="00DF3EF6">
        <w:rPr>
          <w:noProof/>
        </w:rPr>
        <w:t>okr</w:t>
      </w:r>
      <w:r w:rsidR="07B5D4DD" w:rsidRPr="00DF3EF6">
        <w:rPr>
          <w:noProof/>
        </w:rPr>
        <w:t>esie 12 miesięcy poprzedzających przeniesienie przekazuje się temu innemu systemowi gwarancji depozytów proporcjonalnie do kwoty przekazanych gwarantowanych depozytów</w:t>
      </w:r>
      <w:r w:rsidR="0031342C" w:rsidRPr="00DF3EF6">
        <w:rPr>
          <w:noProof/>
        </w:rPr>
        <w:t>. W</w:t>
      </w:r>
      <w:r w:rsidR="0031342C">
        <w:rPr>
          <w:noProof/>
        </w:rPr>
        <w:t> </w:t>
      </w:r>
      <w:r w:rsidR="0031342C" w:rsidRPr="00DF3EF6">
        <w:rPr>
          <w:noProof/>
        </w:rPr>
        <w:t>cel</w:t>
      </w:r>
      <w:r w:rsidR="07B5D4DD" w:rsidRPr="00DF3EF6">
        <w:rPr>
          <w:noProof/>
        </w:rPr>
        <w:t>u zapewnienia, aby transfer składek na rzecz przyjmującego systemu gwarancji depozytów nie zależał od rozbieżnych przepisów krajowych dotyczących fakturowania lub faktycznej daty płatności składek, pierwotny system gwarancji depozytów powinien obliczać kwotę podlegającą transferowi na podstawie składek należnych,</w:t>
      </w:r>
      <w:r w:rsidR="0031342C" w:rsidRPr="00DF3EF6">
        <w:rPr>
          <w:noProof/>
        </w:rPr>
        <w:t xml:space="preserve"> a</w:t>
      </w:r>
      <w:r w:rsidR="0031342C">
        <w:rPr>
          <w:noProof/>
        </w:rPr>
        <w:t> </w:t>
      </w:r>
      <w:r w:rsidR="0031342C" w:rsidRPr="00DF3EF6">
        <w:rPr>
          <w:noProof/>
        </w:rPr>
        <w:t>nie</w:t>
      </w:r>
      <w:r w:rsidR="07B5D4DD" w:rsidRPr="00DF3EF6">
        <w:rPr>
          <w:noProof/>
        </w:rPr>
        <w:t xml:space="preserve"> składek wpłaconych. </w:t>
      </w:r>
    </w:p>
    <w:p w14:paraId="7B6B811D" w14:textId="68AE4408" w:rsidR="00663BFD" w:rsidRPr="00DF3EF6" w:rsidRDefault="00322779" w:rsidP="00322779">
      <w:pPr>
        <w:pStyle w:val="ManualConsidrant"/>
        <w:rPr>
          <w:noProof/>
        </w:rPr>
      </w:pPr>
      <w:r w:rsidRPr="00322779">
        <w:t>(35)</w:t>
      </w:r>
      <w:r w:rsidRPr="00322779">
        <w:tab/>
      </w:r>
      <w:r w:rsidR="4C95A6F1" w:rsidRPr="00DF3EF6">
        <w:rPr>
          <w:noProof/>
        </w:rPr>
        <w:t>Niezbędne jest zapewnienie równej ochrony</w:t>
      </w:r>
      <w:r w:rsidR="0031342C" w:rsidRPr="00DF3EF6">
        <w:rPr>
          <w:noProof/>
        </w:rPr>
        <w:t xml:space="preserve"> w</w:t>
      </w:r>
      <w:r w:rsidR="0031342C">
        <w:rPr>
          <w:noProof/>
        </w:rPr>
        <w:t> </w:t>
      </w:r>
      <w:r w:rsidR="0031342C" w:rsidRPr="00DF3EF6">
        <w:rPr>
          <w:noProof/>
        </w:rPr>
        <w:t>cał</w:t>
      </w:r>
      <w:r w:rsidR="4C95A6F1" w:rsidRPr="00DF3EF6">
        <w:rPr>
          <w:noProof/>
        </w:rPr>
        <w:t>ej Unii tym deponentom, którym nie można udzielić pełnej gwarancji</w:t>
      </w:r>
      <w:r w:rsidR="0031342C" w:rsidRPr="00DF3EF6">
        <w:rPr>
          <w:noProof/>
        </w:rPr>
        <w:t xml:space="preserve"> w</w:t>
      </w:r>
      <w:r w:rsidR="0031342C">
        <w:rPr>
          <w:noProof/>
        </w:rPr>
        <w:t> </w:t>
      </w:r>
      <w:r w:rsidR="0031342C" w:rsidRPr="00DF3EF6">
        <w:rPr>
          <w:noProof/>
        </w:rPr>
        <w:t>ram</w:t>
      </w:r>
      <w:r w:rsidR="4C95A6F1" w:rsidRPr="00DF3EF6">
        <w:rPr>
          <w:noProof/>
        </w:rPr>
        <w:t>ach systemu oceny równoważności ochrony deponentów</w:t>
      </w:r>
      <w:r w:rsidR="0031342C" w:rsidRPr="00DF3EF6">
        <w:rPr>
          <w:noProof/>
        </w:rPr>
        <w:t xml:space="preserve"> w</w:t>
      </w:r>
      <w:r w:rsidR="0031342C">
        <w:rPr>
          <w:noProof/>
        </w:rPr>
        <w:t> </w:t>
      </w:r>
      <w:r w:rsidR="0031342C" w:rsidRPr="00DF3EF6">
        <w:rPr>
          <w:noProof/>
        </w:rPr>
        <w:t>pań</w:t>
      </w:r>
      <w:r w:rsidR="4C95A6F1" w:rsidRPr="00DF3EF6">
        <w:rPr>
          <w:noProof/>
        </w:rPr>
        <w:t>stwach trzecich</w:t>
      </w:r>
      <w:r w:rsidR="0031342C" w:rsidRPr="00DF3EF6">
        <w:rPr>
          <w:noProof/>
        </w:rPr>
        <w:t>. Z</w:t>
      </w:r>
      <w:r w:rsidR="0031342C">
        <w:rPr>
          <w:noProof/>
        </w:rPr>
        <w:t> </w:t>
      </w:r>
      <w:r w:rsidR="0031342C" w:rsidRPr="00DF3EF6">
        <w:rPr>
          <w:noProof/>
        </w:rPr>
        <w:t>teg</w:t>
      </w:r>
      <w:r w:rsidR="4C95A6F1" w:rsidRPr="00DF3EF6">
        <w:rPr>
          <w:noProof/>
        </w:rPr>
        <w:t>o powodu zlokalizowane</w:t>
      </w:r>
      <w:r w:rsidR="0031342C" w:rsidRPr="00DF3EF6">
        <w:rPr>
          <w:noProof/>
        </w:rPr>
        <w:t xml:space="preserve"> w</w:t>
      </w:r>
      <w:r w:rsidR="0031342C">
        <w:rPr>
          <w:noProof/>
        </w:rPr>
        <w:t> </w:t>
      </w:r>
      <w:r w:rsidR="0031342C" w:rsidRPr="00DF3EF6">
        <w:rPr>
          <w:noProof/>
        </w:rPr>
        <w:t>Uni</w:t>
      </w:r>
      <w:r w:rsidR="4C95A6F1" w:rsidRPr="00DF3EF6">
        <w:rPr>
          <w:noProof/>
        </w:rPr>
        <w:t>i oddziały instytucji kredytowej, której siedziba znajduje się</w:t>
      </w:r>
      <w:r w:rsidR="0031342C" w:rsidRPr="00DF3EF6">
        <w:rPr>
          <w:noProof/>
        </w:rPr>
        <w:t xml:space="preserve"> w</w:t>
      </w:r>
      <w:r w:rsidR="0031342C">
        <w:rPr>
          <w:noProof/>
        </w:rPr>
        <w:t> </w:t>
      </w:r>
      <w:r w:rsidR="0031342C" w:rsidRPr="00DF3EF6">
        <w:rPr>
          <w:noProof/>
        </w:rPr>
        <w:t>pań</w:t>
      </w:r>
      <w:r w:rsidR="4C95A6F1" w:rsidRPr="00DF3EF6">
        <w:rPr>
          <w:noProof/>
        </w:rPr>
        <w:t>stwie trzecim, powinny przyłączyć się do systemu gwarancji depozytów</w:t>
      </w:r>
      <w:r w:rsidR="0031342C" w:rsidRPr="00DF3EF6">
        <w:rPr>
          <w:noProof/>
        </w:rPr>
        <w:t xml:space="preserve"> w</w:t>
      </w:r>
      <w:r w:rsidR="0031342C">
        <w:rPr>
          <w:noProof/>
        </w:rPr>
        <w:t> </w:t>
      </w:r>
      <w:r w:rsidR="0031342C" w:rsidRPr="00DF3EF6">
        <w:rPr>
          <w:noProof/>
        </w:rPr>
        <w:t>pań</w:t>
      </w:r>
      <w:r w:rsidR="4C95A6F1" w:rsidRPr="00DF3EF6">
        <w:rPr>
          <w:noProof/>
        </w:rPr>
        <w:t>stwie członkowskim,</w:t>
      </w:r>
      <w:r w:rsidR="0031342C" w:rsidRPr="00DF3EF6">
        <w:rPr>
          <w:noProof/>
        </w:rPr>
        <w:t xml:space="preserve"> w</w:t>
      </w:r>
      <w:r w:rsidR="0031342C">
        <w:rPr>
          <w:noProof/>
        </w:rPr>
        <w:t> </w:t>
      </w:r>
      <w:r w:rsidR="0031342C" w:rsidRPr="00DF3EF6">
        <w:rPr>
          <w:noProof/>
        </w:rPr>
        <w:t>któ</w:t>
      </w:r>
      <w:r w:rsidR="4C95A6F1" w:rsidRPr="00DF3EF6">
        <w:rPr>
          <w:noProof/>
        </w:rPr>
        <w:t>rym prowadzą działalność polegającą na przyjmowaniu depozytów. Wymóg ten zapewniłby także zgodność</w:t>
      </w:r>
      <w:r w:rsidR="0031342C" w:rsidRPr="00DF3EF6">
        <w:rPr>
          <w:noProof/>
        </w:rPr>
        <w:t xml:space="preserve"> z</w:t>
      </w:r>
      <w:r w:rsidR="0031342C">
        <w:rPr>
          <w:noProof/>
        </w:rPr>
        <w:t> </w:t>
      </w:r>
      <w:r w:rsidR="0031342C" w:rsidRPr="00DF3EF6">
        <w:rPr>
          <w:noProof/>
        </w:rPr>
        <w:t>dyr</w:t>
      </w:r>
      <w:r w:rsidR="4C95A6F1" w:rsidRPr="00DF3EF6">
        <w:rPr>
          <w:noProof/>
        </w:rPr>
        <w:t>ektywami 2013/36/UE</w:t>
      </w:r>
      <w:r w:rsidR="0031342C" w:rsidRPr="00DF3EF6">
        <w:rPr>
          <w:noProof/>
        </w:rPr>
        <w:t xml:space="preserve"> i</w:t>
      </w:r>
      <w:r w:rsidR="0031342C">
        <w:rPr>
          <w:noProof/>
        </w:rPr>
        <w:t> </w:t>
      </w:r>
      <w:r w:rsidR="0031342C" w:rsidRPr="00DF3EF6">
        <w:rPr>
          <w:noProof/>
        </w:rPr>
        <w:t>2</w:t>
      </w:r>
      <w:r w:rsidR="4C95A6F1" w:rsidRPr="00DF3EF6">
        <w:rPr>
          <w:noProof/>
        </w:rPr>
        <w:t>014/59/UE, których celem jest wprowadzenie bardziej solidnych ram prawnych dotyczących nadzoru ostrożnościowego oraz ram restrukturyzacji</w:t>
      </w:r>
      <w:r w:rsidR="0031342C" w:rsidRPr="00DF3EF6">
        <w:rPr>
          <w:noProof/>
        </w:rPr>
        <w:t xml:space="preserve"> i</w:t>
      </w:r>
      <w:r w:rsidR="0031342C">
        <w:rPr>
          <w:noProof/>
        </w:rPr>
        <w:t> </w:t>
      </w:r>
      <w:r w:rsidR="0031342C" w:rsidRPr="00DF3EF6">
        <w:rPr>
          <w:noProof/>
        </w:rPr>
        <w:t>upo</w:t>
      </w:r>
      <w:r w:rsidR="4C95A6F1" w:rsidRPr="00DF3EF6">
        <w:rPr>
          <w:noProof/>
        </w:rPr>
        <w:t>rządkowanej likwidacji dla grup</w:t>
      </w:r>
      <w:r w:rsidR="0031342C" w:rsidRPr="00DF3EF6">
        <w:rPr>
          <w:noProof/>
        </w:rPr>
        <w:t xml:space="preserve"> z</w:t>
      </w:r>
      <w:r w:rsidR="0031342C">
        <w:rPr>
          <w:noProof/>
        </w:rPr>
        <w:t> </w:t>
      </w:r>
      <w:r w:rsidR="0031342C" w:rsidRPr="00DF3EF6">
        <w:rPr>
          <w:noProof/>
        </w:rPr>
        <w:t>pań</w:t>
      </w:r>
      <w:r w:rsidR="4C95A6F1" w:rsidRPr="00DF3EF6">
        <w:rPr>
          <w:noProof/>
        </w:rPr>
        <w:t>stw trzecich świadczących usługi bankowe</w:t>
      </w:r>
      <w:r w:rsidR="0031342C" w:rsidRPr="00DF3EF6">
        <w:rPr>
          <w:noProof/>
        </w:rPr>
        <w:t xml:space="preserve"> w</w:t>
      </w:r>
      <w:r w:rsidR="0031342C">
        <w:rPr>
          <w:noProof/>
        </w:rPr>
        <w:t> </w:t>
      </w:r>
      <w:r w:rsidR="0031342C" w:rsidRPr="00DF3EF6">
        <w:rPr>
          <w:noProof/>
        </w:rPr>
        <w:t>Uni</w:t>
      </w:r>
      <w:r w:rsidR="4C95A6F1" w:rsidRPr="00DF3EF6">
        <w:rPr>
          <w:noProof/>
        </w:rPr>
        <w:t>i. Należy natomiast unikać narażania systemów gwarancji depozytów na ryzyko ekonomiczne</w:t>
      </w:r>
      <w:r w:rsidR="0031342C" w:rsidRPr="00DF3EF6">
        <w:rPr>
          <w:noProof/>
        </w:rPr>
        <w:t xml:space="preserve"> i</w:t>
      </w:r>
      <w:r w:rsidR="0031342C">
        <w:rPr>
          <w:noProof/>
        </w:rPr>
        <w:t> </w:t>
      </w:r>
      <w:r w:rsidR="0031342C" w:rsidRPr="00DF3EF6">
        <w:rPr>
          <w:noProof/>
        </w:rPr>
        <w:t>fin</w:t>
      </w:r>
      <w:r w:rsidR="4C95A6F1" w:rsidRPr="00DF3EF6">
        <w:rPr>
          <w:noProof/>
        </w:rPr>
        <w:t>ansowe, którego źródłem są państwa trzecie. Nie należy zatem obejmować ochroną depozytów</w:t>
      </w:r>
      <w:r w:rsidR="0031342C" w:rsidRPr="00DF3EF6">
        <w:rPr>
          <w:noProof/>
        </w:rPr>
        <w:t xml:space="preserve"> w</w:t>
      </w:r>
      <w:r w:rsidR="0031342C">
        <w:rPr>
          <w:noProof/>
        </w:rPr>
        <w:t> </w:t>
      </w:r>
      <w:r w:rsidR="0031342C" w:rsidRPr="00DF3EF6">
        <w:rPr>
          <w:noProof/>
        </w:rPr>
        <w:t>odd</w:t>
      </w:r>
      <w:r w:rsidR="4C95A6F1" w:rsidRPr="00DF3EF6">
        <w:rPr>
          <w:noProof/>
        </w:rPr>
        <w:t>ziałach założonych przez unijne instytucje kredytowe</w:t>
      </w:r>
      <w:r w:rsidR="0031342C" w:rsidRPr="00DF3EF6">
        <w:rPr>
          <w:noProof/>
        </w:rPr>
        <w:t xml:space="preserve"> w</w:t>
      </w:r>
      <w:r w:rsidR="0031342C">
        <w:rPr>
          <w:noProof/>
        </w:rPr>
        <w:t> </w:t>
      </w:r>
      <w:r w:rsidR="0031342C" w:rsidRPr="00DF3EF6">
        <w:rPr>
          <w:noProof/>
        </w:rPr>
        <w:t>pań</w:t>
      </w:r>
      <w:r w:rsidR="4C95A6F1" w:rsidRPr="00DF3EF6">
        <w:rPr>
          <w:noProof/>
        </w:rPr>
        <w:t xml:space="preserve">stwach trzecich. </w:t>
      </w:r>
    </w:p>
    <w:p w14:paraId="66452314" w14:textId="20A4ADDA" w:rsidR="008C02C8" w:rsidRPr="00DF3EF6" w:rsidRDefault="00322779" w:rsidP="00322779">
      <w:pPr>
        <w:pStyle w:val="ManualConsidrant"/>
        <w:rPr>
          <w:noProof/>
        </w:rPr>
      </w:pPr>
      <w:r w:rsidRPr="00322779">
        <w:lastRenderedPageBreak/>
        <w:t>(36)</w:t>
      </w:r>
      <w:r w:rsidRPr="00322779">
        <w:tab/>
      </w:r>
      <w:r w:rsidR="471A24CF" w:rsidRPr="00DF3EF6">
        <w:rPr>
          <w:noProof/>
        </w:rPr>
        <w:t>Znormalizowane</w:t>
      </w:r>
      <w:r w:rsidR="0031342C" w:rsidRPr="00DF3EF6">
        <w:rPr>
          <w:noProof/>
        </w:rPr>
        <w:t xml:space="preserve"> i</w:t>
      </w:r>
      <w:r w:rsidR="0031342C">
        <w:rPr>
          <w:noProof/>
        </w:rPr>
        <w:t> </w:t>
      </w:r>
      <w:r w:rsidR="0031342C" w:rsidRPr="00DF3EF6">
        <w:rPr>
          <w:noProof/>
        </w:rPr>
        <w:t>reg</w:t>
      </w:r>
      <w:r w:rsidR="471A24CF" w:rsidRPr="00DF3EF6">
        <w:rPr>
          <w:noProof/>
        </w:rPr>
        <w:t>ularne ujawnianie informacji zwiększa świadomość deponentów</w:t>
      </w:r>
      <w:r w:rsidR="0031342C" w:rsidRPr="00DF3EF6">
        <w:rPr>
          <w:noProof/>
        </w:rPr>
        <w:t xml:space="preserve"> w</w:t>
      </w:r>
      <w:r w:rsidR="0031342C">
        <w:rPr>
          <w:noProof/>
        </w:rPr>
        <w:t> </w:t>
      </w:r>
      <w:r w:rsidR="0031342C" w:rsidRPr="00DF3EF6">
        <w:rPr>
          <w:noProof/>
        </w:rPr>
        <w:t>odn</w:t>
      </w:r>
      <w:r w:rsidR="471A24CF" w:rsidRPr="00DF3EF6">
        <w:rPr>
          <w:noProof/>
        </w:rPr>
        <w:t>iesieniu do ochrony depozytów</w:t>
      </w:r>
      <w:r w:rsidR="0031342C" w:rsidRPr="00DF3EF6">
        <w:rPr>
          <w:noProof/>
        </w:rPr>
        <w:t>. W</w:t>
      </w:r>
      <w:r w:rsidR="0031342C">
        <w:rPr>
          <w:noProof/>
        </w:rPr>
        <w:t> </w:t>
      </w:r>
      <w:r w:rsidR="0031342C" w:rsidRPr="00DF3EF6">
        <w:rPr>
          <w:noProof/>
        </w:rPr>
        <w:t>cel</w:t>
      </w:r>
      <w:r w:rsidR="471A24CF" w:rsidRPr="00DF3EF6">
        <w:rPr>
          <w:noProof/>
        </w:rPr>
        <w:t>u dostosowania wymogów dotyczących ujawniania informacji do postępu technicznego</w:t>
      </w:r>
      <w:r w:rsidR="0031342C" w:rsidRPr="00DF3EF6">
        <w:rPr>
          <w:noProof/>
        </w:rPr>
        <w:t xml:space="preserve"> w</w:t>
      </w:r>
      <w:r w:rsidR="0031342C">
        <w:rPr>
          <w:noProof/>
        </w:rPr>
        <w:t> </w:t>
      </w:r>
      <w:r w:rsidR="0031342C" w:rsidRPr="00DF3EF6">
        <w:rPr>
          <w:noProof/>
        </w:rPr>
        <w:t>wym</w:t>
      </w:r>
      <w:r w:rsidR="471A24CF" w:rsidRPr="00DF3EF6">
        <w:rPr>
          <w:noProof/>
        </w:rPr>
        <w:t>ogach tych należy uwzględnić nowe kanały komunikacji cyfrowej, za pośrednictwem których instytucje kredytowe komunikują się</w:t>
      </w:r>
      <w:r w:rsidR="0031342C" w:rsidRPr="00DF3EF6">
        <w:rPr>
          <w:noProof/>
        </w:rPr>
        <w:t xml:space="preserve"> z</w:t>
      </w:r>
      <w:r w:rsidR="0031342C">
        <w:rPr>
          <w:noProof/>
        </w:rPr>
        <w:t> </w:t>
      </w:r>
      <w:r w:rsidR="0031342C" w:rsidRPr="00DF3EF6">
        <w:rPr>
          <w:noProof/>
        </w:rPr>
        <w:t>dep</w:t>
      </w:r>
      <w:r w:rsidR="471A24CF" w:rsidRPr="00DF3EF6">
        <w:rPr>
          <w:noProof/>
        </w:rPr>
        <w:t>onentami. Deponenci powinni otrzymywać jasne</w:t>
      </w:r>
      <w:r w:rsidR="0031342C" w:rsidRPr="00DF3EF6">
        <w:rPr>
          <w:noProof/>
        </w:rPr>
        <w:t xml:space="preserve"> i</w:t>
      </w:r>
      <w:r w:rsidR="0031342C">
        <w:rPr>
          <w:noProof/>
        </w:rPr>
        <w:t> </w:t>
      </w:r>
      <w:r w:rsidR="0031342C" w:rsidRPr="00DF3EF6">
        <w:rPr>
          <w:noProof/>
        </w:rPr>
        <w:t>spó</w:t>
      </w:r>
      <w:r w:rsidR="471A24CF" w:rsidRPr="00DF3EF6">
        <w:rPr>
          <w:noProof/>
        </w:rPr>
        <w:t>jne informacje objaśniające ochronę ich depozytów przy jednoczesnym zmniejszeniu odnośnego obciążenia administracyjnego instytucji kredytowych lub systemów gwarancji depozytów. Należy upoważnić EUNB do opracowania projektu wykonawczych standardów technicznych</w:t>
      </w:r>
      <w:r w:rsidR="0031342C" w:rsidRPr="00DF3EF6">
        <w:rPr>
          <w:noProof/>
        </w:rPr>
        <w:t xml:space="preserve"> w</w:t>
      </w:r>
      <w:r w:rsidR="0031342C">
        <w:rPr>
          <w:noProof/>
        </w:rPr>
        <w:t> </w:t>
      </w:r>
      <w:r w:rsidR="0031342C" w:rsidRPr="00DF3EF6">
        <w:rPr>
          <w:noProof/>
        </w:rPr>
        <w:t>cel</w:t>
      </w:r>
      <w:r w:rsidR="471A24CF" w:rsidRPr="00DF3EF6">
        <w:rPr>
          <w:noProof/>
        </w:rPr>
        <w:t>u określenia treści</w:t>
      </w:r>
      <w:r w:rsidR="0031342C" w:rsidRPr="00DF3EF6">
        <w:rPr>
          <w:noProof/>
        </w:rPr>
        <w:t xml:space="preserve"> i</w:t>
      </w:r>
      <w:r w:rsidR="0031342C">
        <w:rPr>
          <w:noProof/>
        </w:rPr>
        <w:t> </w:t>
      </w:r>
      <w:r w:rsidR="0031342C" w:rsidRPr="00DF3EF6">
        <w:rPr>
          <w:noProof/>
        </w:rPr>
        <w:t>for</w:t>
      </w:r>
      <w:r w:rsidR="471A24CF" w:rsidRPr="00DF3EF6">
        <w:rPr>
          <w:noProof/>
        </w:rPr>
        <w:t>matu arkusza informacyjnego dla deponentów przekazywanego corocznie deponentom, jak również wzoru informacji, które systemy gwarancji depozytów lub instytucje kredytowe mają obowiązek przekazywać deponentom</w:t>
      </w:r>
      <w:r w:rsidR="0031342C" w:rsidRPr="00DF3EF6">
        <w:rPr>
          <w:noProof/>
        </w:rPr>
        <w:t xml:space="preserve"> w</w:t>
      </w:r>
      <w:r w:rsidR="0031342C">
        <w:rPr>
          <w:noProof/>
        </w:rPr>
        <w:t> </w:t>
      </w:r>
      <w:r w:rsidR="0031342C" w:rsidRPr="00DF3EF6">
        <w:rPr>
          <w:noProof/>
        </w:rPr>
        <w:t>okr</w:t>
      </w:r>
      <w:r w:rsidR="471A24CF" w:rsidRPr="00DF3EF6">
        <w:rPr>
          <w:noProof/>
        </w:rPr>
        <w:t xml:space="preserve">eślonych sytuacjach, takich jak połączenie instytucji kredytowych, ustalenie, że depozyty są niedostępne, lub wypłata depozytów ze środkami klientów. </w:t>
      </w:r>
    </w:p>
    <w:p w14:paraId="055FA5B0" w14:textId="0AF97FB3" w:rsidR="00663BFD" w:rsidRPr="00DF3EF6" w:rsidRDefault="00322779" w:rsidP="00322779">
      <w:pPr>
        <w:pStyle w:val="ManualConsidrant"/>
        <w:rPr>
          <w:noProof/>
        </w:rPr>
      </w:pPr>
      <w:r w:rsidRPr="00322779">
        <w:t>(37)</w:t>
      </w:r>
      <w:r w:rsidRPr="00322779">
        <w:tab/>
      </w:r>
      <w:r w:rsidR="471A24CF" w:rsidRPr="00DF3EF6">
        <w:rPr>
          <w:noProof/>
        </w:rPr>
        <w:t>Połączenie instytucji kredytowych lub przekształcanie jednostki zależnej</w:t>
      </w:r>
      <w:r w:rsidR="0031342C" w:rsidRPr="00DF3EF6">
        <w:rPr>
          <w:noProof/>
        </w:rPr>
        <w:t xml:space="preserve"> w</w:t>
      </w:r>
      <w:r w:rsidR="0031342C">
        <w:rPr>
          <w:noProof/>
        </w:rPr>
        <w:t> </w:t>
      </w:r>
      <w:r w:rsidR="0031342C" w:rsidRPr="00DF3EF6">
        <w:rPr>
          <w:noProof/>
        </w:rPr>
        <w:t>odd</w:t>
      </w:r>
      <w:r w:rsidR="471A24CF" w:rsidRPr="00DF3EF6">
        <w:rPr>
          <w:noProof/>
        </w:rPr>
        <w:t>ział lub odwrotnie może wpłynąć na zasadnicze elementy ochrony deponentów</w:t>
      </w:r>
      <w:r w:rsidR="0031342C" w:rsidRPr="00DF3EF6">
        <w:rPr>
          <w:noProof/>
        </w:rPr>
        <w:t>. W</w:t>
      </w:r>
      <w:r w:rsidR="0031342C">
        <w:rPr>
          <w:noProof/>
        </w:rPr>
        <w:t> </w:t>
      </w:r>
      <w:r w:rsidR="0031342C" w:rsidRPr="00DF3EF6">
        <w:rPr>
          <w:noProof/>
        </w:rPr>
        <w:t>cel</w:t>
      </w:r>
      <w:r w:rsidR="471A24CF" w:rsidRPr="00DF3EF6">
        <w:rPr>
          <w:noProof/>
        </w:rPr>
        <w:t>u uniknięcia negatywnych skutków dla deponentów, którzy przechowują depozyty</w:t>
      </w:r>
      <w:r w:rsidR="0031342C" w:rsidRPr="00DF3EF6">
        <w:rPr>
          <w:noProof/>
        </w:rPr>
        <w:t xml:space="preserve"> w</w:t>
      </w:r>
      <w:r w:rsidR="0031342C">
        <w:rPr>
          <w:noProof/>
        </w:rPr>
        <w:t> </w:t>
      </w:r>
      <w:r w:rsidR="0031342C" w:rsidRPr="00DF3EF6">
        <w:rPr>
          <w:noProof/>
        </w:rPr>
        <w:t>obu</w:t>
      </w:r>
      <w:r w:rsidR="471A24CF" w:rsidRPr="00DF3EF6">
        <w:rPr>
          <w:noProof/>
        </w:rPr>
        <w:t xml:space="preserve"> łączących się bankach oraz których prawo do gwarancji depozytu uległoby zmniejszeniu ze względu na zmiany przynależności do systemu gwarancji depozytów, wszyscy deponenci powinni zostać poinformowani</w:t>
      </w:r>
      <w:r w:rsidR="0031342C" w:rsidRPr="00DF3EF6">
        <w:rPr>
          <w:noProof/>
        </w:rPr>
        <w:t xml:space="preserve"> o</w:t>
      </w:r>
      <w:r w:rsidR="0031342C">
        <w:rPr>
          <w:noProof/>
        </w:rPr>
        <w:t> </w:t>
      </w:r>
      <w:r w:rsidR="0031342C" w:rsidRPr="00DF3EF6">
        <w:rPr>
          <w:noProof/>
        </w:rPr>
        <w:t>tak</w:t>
      </w:r>
      <w:r w:rsidR="471A24CF" w:rsidRPr="00DF3EF6">
        <w:rPr>
          <w:noProof/>
        </w:rPr>
        <w:t>ich zmianach oraz powinni mieć prawo do wycofania, bez ponoszenia kary, swoich środków pieniężnych do wysokości kwoty równej uszczupleniu gwarancji depozytów.</w:t>
      </w:r>
    </w:p>
    <w:p w14:paraId="4164083C" w14:textId="1F7FF57D" w:rsidR="008C02C8" w:rsidRPr="00DF3EF6" w:rsidRDefault="00322779" w:rsidP="00322779">
      <w:pPr>
        <w:pStyle w:val="ManualConsidrant"/>
        <w:rPr>
          <w:noProof/>
        </w:rPr>
      </w:pPr>
      <w:r w:rsidRPr="00322779">
        <w:t>(38)</w:t>
      </w:r>
      <w:r w:rsidRPr="00322779">
        <w:tab/>
      </w:r>
      <w:r w:rsidR="12FE6444" w:rsidRPr="00DF3EF6">
        <w:rPr>
          <w:noProof/>
        </w:rPr>
        <w:t>W celu utrzymania stabilności finansowej, uniknięcia efektu domina, oraz,</w:t>
      </w:r>
      <w:r w:rsidR="0031342C" w:rsidRPr="00DF3EF6">
        <w:rPr>
          <w:noProof/>
        </w:rPr>
        <w:t xml:space="preserve"> w</w:t>
      </w:r>
      <w:r w:rsidR="0031342C">
        <w:rPr>
          <w:noProof/>
        </w:rPr>
        <w:t> </w:t>
      </w:r>
      <w:r w:rsidR="0031342C" w:rsidRPr="00DF3EF6">
        <w:rPr>
          <w:noProof/>
        </w:rPr>
        <w:t>sto</w:t>
      </w:r>
      <w:r w:rsidR="12FE6444" w:rsidRPr="00DF3EF6">
        <w:rPr>
          <w:noProof/>
        </w:rPr>
        <w:t>sownych przypadkach, umożliwienia deponentom wykonania ich praw do dochodzenia roszczeń</w:t>
      </w:r>
      <w:r w:rsidR="0031342C" w:rsidRPr="00DF3EF6">
        <w:rPr>
          <w:noProof/>
        </w:rPr>
        <w:t xml:space="preserve"> o</w:t>
      </w:r>
      <w:r w:rsidR="0031342C">
        <w:rPr>
          <w:noProof/>
        </w:rPr>
        <w:t> </w:t>
      </w:r>
      <w:r w:rsidR="0031342C" w:rsidRPr="00DF3EF6">
        <w:rPr>
          <w:noProof/>
        </w:rPr>
        <w:t>wyp</w:t>
      </w:r>
      <w:r w:rsidR="12FE6444" w:rsidRPr="00DF3EF6">
        <w:rPr>
          <w:noProof/>
        </w:rPr>
        <w:t>łatę depozytów, wyznaczone organy, systemy gwarancji depozytów oraz zainteresowane instytucje kredytowe powinny informować deponentów</w:t>
      </w:r>
      <w:r w:rsidR="0031342C" w:rsidRPr="00DF3EF6">
        <w:rPr>
          <w:noProof/>
        </w:rPr>
        <w:t xml:space="preserve"> o</w:t>
      </w:r>
      <w:r w:rsidR="0031342C">
        <w:rPr>
          <w:noProof/>
        </w:rPr>
        <w:t> </w:t>
      </w:r>
      <w:r w:rsidR="0031342C" w:rsidRPr="00DF3EF6">
        <w:rPr>
          <w:noProof/>
        </w:rPr>
        <w:t>dep</w:t>
      </w:r>
      <w:r w:rsidR="12FE6444" w:rsidRPr="00DF3EF6">
        <w:rPr>
          <w:noProof/>
        </w:rPr>
        <w:t>ozytach, które stają się niedostępne.</w:t>
      </w:r>
    </w:p>
    <w:p w14:paraId="359CC196" w14:textId="607910A2" w:rsidR="008C02C8" w:rsidRPr="00DF3EF6" w:rsidRDefault="00322779" w:rsidP="00322779">
      <w:pPr>
        <w:pStyle w:val="ManualConsidrant"/>
        <w:rPr>
          <w:noProof/>
        </w:rPr>
      </w:pPr>
      <w:r w:rsidRPr="00322779">
        <w:t>(39)</w:t>
      </w:r>
      <w:r w:rsidRPr="00322779">
        <w:tab/>
      </w:r>
      <w:r w:rsidR="2113B147" w:rsidRPr="00DF3EF6">
        <w:rPr>
          <w:noProof/>
        </w:rPr>
        <w:t>W celu zwiększenia przejrzystości dla deponentów oraz promowania stabilności finansowej</w:t>
      </w:r>
      <w:r w:rsidR="0031342C" w:rsidRPr="00DF3EF6">
        <w:rPr>
          <w:noProof/>
        </w:rPr>
        <w:t xml:space="preserve"> i</w:t>
      </w:r>
      <w:r w:rsidR="0031342C">
        <w:rPr>
          <w:noProof/>
        </w:rPr>
        <w:t> </w:t>
      </w:r>
      <w:r w:rsidR="0031342C" w:rsidRPr="00DF3EF6">
        <w:rPr>
          <w:noProof/>
        </w:rPr>
        <w:t>zau</w:t>
      </w:r>
      <w:r w:rsidR="2113B147" w:rsidRPr="00DF3EF6">
        <w:rPr>
          <w:noProof/>
        </w:rPr>
        <w:t>fania wśród systemów gwarancji depozytów realizujących swoje zadania należy ulepszyć aktualne wymogi dotyczące sprawozdawczości</w:t>
      </w:r>
      <w:r w:rsidR="0031342C" w:rsidRPr="00DF3EF6">
        <w:rPr>
          <w:noProof/>
        </w:rPr>
        <w:t>. W</w:t>
      </w:r>
      <w:r w:rsidR="0031342C">
        <w:rPr>
          <w:noProof/>
        </w:rPr>
        <w:t> </w:t>
      </w:r>
      <w:r w:rsidR="0031342C" w:rsidRPr="00DF3EF6">
        <w:rPr>
          <w:noProof/>
        </w:rPr>
        <w:t>roz</w:t>
      </w:r>
      <w:r w:rsidR="2113B147" w:rsidRPr="00DF3EF6">
        <w:rPr>
          <w:noProof/>
        </w:rPr>
        <w:t>winięciu obecnych wymogów, na których podstawie systemy gwarancji depozytów mogą zwracać się do swoich instytucji członkowskich</w:t>
      </w:r>
      <w:r w:rsidR="0031342C" w:rsidRPr="00DF3EF6">
        <w:rPr>
          <w:noProof/>
        </w:rPr>
        <w:t xml:space="preserve"> o</w:t>
      </w:r>
      <w:r w:rsidR="0031342C">
        <w:rPr>
          <w:noProof/>
        </w:rPr>
        <w:t> </w:t>
      </w:r>
      <w:r w:rsidR="0031342C" w:rsidRPr="00DF3EF6">
        <w:rPr>
          <w:noProof/>
        </w:rPr>
        <w:t>wsz</w:t>
      </w:r>
      <w:r w:rsidR="2113B147" w:rsidRPr="00DF3EF6">
        <w:rPr>
          <w:noProof/>
        </w:rPr>
        <w:t>elkie informacje niezbędne do przygotowania wypłaty, systemy gwarancji depozytów powinny także mieć możliwość zwracania się</w:t>
      </w:r>
      <w:r w:rsidR="0031342C" w:rsidRPr="00DF3EF6">
        <w:rPr>
          <w:noProof/>
        </w:rPr>
        <w:t xml:space="preserve"> o</w:t>
      </w:r>
      <w:r w:rsidR="0031342C">
        <w:rPr>
          <w:noProof/>
        </w:rPr>
        <w:t> </w:t>
      </w:r>
      <w:r w:rsidR="0031342C" w:rsidRPr="00DF3EF6">
        <w:rPr>
          <w:noProof/>
        </w:rPr>
        <w:t>inf</w:t>
      </w:r>
      <w:r w:rsidR="2113B147" w:rsidRPr="00DF3EF6">
        <w:rPr>
          <w:noProof/>
        </w:rPr>
        <w:t>ormacje niezbędne do przygotowania wypłaty</w:t>
      </w:r>
      <w:r w:rsidR="0031342C" w:rsidRPr="00DF3EF6">
        <w:rPr>
          <w:noProof/>
        </w:rPr>
        <w:t xml:space="preserve"> w</w:t>
      </w:r>
      <w:r w:rsidR="0031342C">
        <w:rPr>
          <w:noProof/>
        </w:rPr>
        <w:t> </w:t>
      </w:r>
      <w:r w:rsidR="0031342C" w:rsidRPr="00DF3EF6">
        <w:rPr>
          <w:noProof/>
        </w:rPr>
        <w:t>kon</w:t>
      </w:r>
      <w:r w:rsidR="2113B147" w:rsidRPr="00DF3EF6">
        <w:rPr>
          <w:noProof/>
        </w:rPr>
        <w:t>tekście współpracy transgranicznej. Na żądanie systemu gwarancji depozytów instytucje członkowskie powinny musieć przedstawić ogólne informacje na temat wszelkiej istotnej działalności transgranicznej prowadzonej</w:t>
      </w:r>
      <w:r w:rsidR="0031342C" w:rsidRPr="00DF3EF6">
        <w:rPr>
          <w:noProof/>
        </w:rPr>
        <w:t xml:space="preserve"> w</w:t>
      </w:r>
      <w:r w:rsidR="0031342C">
        <w:rPr>
          <w:noProof/>
        </w:rPr>
        <w:t> </w:t>
      </w:r>
      <w:r w:rsidR="0031342C" w:rsidRPr="00DF3EF6">
        <w:rPr>
          <w:noProof/>
        </w:rPr>
        <w:t>inn</w:t>
      </w:r>
      <w:r w:rsidR="2113B147" w:rsidRPr="00DF3EF6">
        <w:rPr>
          <w:noProof/>
        </w:rPr>
        <w:t>ych państwach członkowskich. Podobnie,</w:t>
      </w:r>
      <w:r w:rsidR="0031342C" w:rsidRPr="00DF3EF6">
        <w:rPr>
          <w:noProof/>
        </w:rPr>
        <w:t xml:space="preserve"> w</w:t>
      </w:r>
      <w:r w:rsidR="0031342C">
        <w:rPr>
          <w:noProof/>
        </w:rPr>
        <w:t> </w:t>
      </w:r>
      <w:r w:rsidR="0031342C" w:rsidRPr="00DF3EF6">
        <w:rPr>
          <w:noProof/>
        </w:rPr>
        <w:t>cel</w:t>
      </w:r>
      <w:r w:rsidR="2113B147" w:rsidRPr="00DF3EF6">
        <w:rPr>
          <w:noProof/>
        </w:rPr>
        <w:t>u zapewnienia EUNB odpowiedniego zakresu informacji na temat kształtowania się stanu dostępnych środków finansowych systemów gwarancji depozytów oraz na temat wykorzystania tych środków, państwa członkowskie powinny zapewnić, aby systemy gwarancji depozytów co roku informowały EUNB</w:t>
      </w:r>
      <w:r w:rsidR="0031342C" w:rsidRPr="00DF3EF6">
        <w:rPr>
          <w:noProof/>
        </w:rPr>
        <w:t xml:space="preserve"> o</w:t>
      </w:r>
      <w:r w:rsidR="0031342C">
        <w:rPr>
          <w:noProof/>
        </w:rPr>
        <w:t> </w:t>
      </w:r>
      <w:r w:rsidR="0031342C" w:rsidRPr="00DF3EF6">
        <w:rPr>
          <w:noProof/>
        </w:rPr>
        <w:t>kwo</w:t>
      </w:r>
      <w:r w:rsidR="2113B147" w:rsidRPr="00DF3EF6">
        <w:rPr>
          <w:noProof/>
        </w:rPr>
        <w:t>cie depozytów gwarantowanych</w:t>
      </w:r>
      <w:r w:rsidR="0031342C" w:rsidRPr="00DF3EF6">
        <w:rPr>
          <w:noProof/>
        </w:rPr>
        <w:t xml:space="preserve"> i</w:t>
      </w:r>
      <w:r w:rsidR="0031342C">
        <w:rPr>
          <w:noProof/>
        </w:rPr>
        <w:t> </w:t>
      </w:r>
      <w:r w:rsidR="0031342C" w:rsidRPr="00DF3EF6">
        <w:rPr>
          <w:noProof/>
        </w:rPr>
        <w:t>dos</w:t>
      </w:r>
      <w:r w:rsidR="2113B147" w:rsidRPr="00DF3EF6">
        <w:rPr>
          <w:noProof/>
        </w:rPr>
        <w:t>tępnych środków finansowych oraz powiadamiały EUNB</w:t>
      </w:r>
      <w:r w:rsidR="0031342C" w:rsidRPr="00DF3EF6">
        <w:rPr>
          <w:noProof/>
        </w:rPr>
        <w:t xml:space="preserve"> o</w:t>
      </w:r>
      <w:r w:rsidR="0031342C">
        <w:rPr>
          <w:noProof/>
        </w:rPr>
        <w:t> </w:t>
      </w:r>
      <w:r w:rsidR="0031342C" w:rsidRPr="00DF3EF6">
        <w:rPr>
          <w:noProof/>
        </w:rPr>
        <w:t>oko</w:t>
      </w:r>
      <w:r w:rsidR="2113B147" w:rsidRPr="00DF3EF6">
        <w:rPr>
          <w:noProof/>
        </w:rPr>
        <w:t>licznościach, które doprowadziły do wykorzystania środków systemu gwarancji depozytów na potrzeby dokonania wypłat lub zastosowania innych środków. Ponadto, aby odzwierciedlić wzmocnioną rolę systemów gwarancji depozytów</w:t>
      </w:r>
      <w:r w:rsidR="0031342C" w:rsidRPr="00DF3EF6">
        <w:rPr>
          <w:noProof/>
        </w:rPr>
        <w:t xml:space="preserve"> w</w:t>
      </w:r>
      <w:r w:rsidR="0031342C">
        <w:rPr>
          <w:noProof/>
        </w:rPr>
        <w:t> </w:t>
      </w:r>
      <w:r w:rsidR="0031342C" w:rsidRPr="00DF3EF6">
        <w:rPr>
          <w:noProof/>
        </w:rPr>
        <w:t>zar</w:t>
      </w:r>
      <w:r w:rsidR="2113B147" w:rsidRPr="00DF3EF6">
        <w:rPr>
          <w:noProof/>
        </w:rPr>
        <w:t>ządzaniu kryzysowym</w:t>
      </w:r>
      <w:r w:rsidR="0031342C" w:rsidRPr="00DF3EF6">
        <w:rPr>
          <w:noProof/>
        </w:rPr>
        <w:t xml:space="preserve"> w</w:t>
      </w:r>
      <w:r w:rsidR="0031342C">
        <w:rPr>
          <w:noProof/>
        </w:rPr>
        <w:t> </w:t>
      </w:r>
      <w:r w:rsidR="0031342C" w:rsidRPr="00DF3EF6">
        <w:rPr>
          <w:noProof/>
        </w:rPr>
        <w:t>sek</w:t>
      </w:r>
      <w:r w:rsidR="2113B147" w:rsidRPr="00DF3EF6">
        <w:rPr>
          <w:noProof/>
        </w:rPr>
        <w:t>torze bankowym, której celem jest ułatwienie korzystania ze środków systemów gwarancji depozytów</w:t>
      </w:r>
      <w:r w:rsidR="0031342C" w:rsidRPr="00DF3EF6">
        <w:rPr>
          <w:noProof/>
        </w:rPr>
        <w:t xml:space="preserve"> w</w:t>
      </w:r>
      <w:r w:rsidR="0031342C">
        <w:rPr>
          <w:noProof/>
        </w:rPr>
        <w:t> </w:t>
      </w:r>
      <w:r w:rsidR="0031342C" w:rsidRPr="00DF3EF6">
        <w:rPr>
          <w:noProof/>
        </w:rPr>
        <w:t>ram</w:t>
      </w:r>
      <w:r w:rsidR="2113B147" w:rsidRPr="00DF3EF6">
        <w:rPr>
          <w:noProof/>
        </w:rPr>
        <w:t>ach restrukturyzacji</w:t>
      </w:r>
      <w:r w:rsidR="0031342C" w:rsidRPr="00DF3EF6">
        <w:rPr>
          <w:noProof/>
        </w:rPr>
        <w:t xml:space="preserve"> i</w:t>
      </w:r>
      <w:r w:rsidR="0031342C">
        <w:rPr>
          <w:noProof/>
        </w:rPr>
        <w:t> </w:t>
      </w:r>
      <w:r w:rsidR="0031342C" w:rsidRPr="00DF3EF6">
        <w:rPr>
          <w:noProof/>
        </w:rPr>
        <w:t>upo</w:t>
      </w:r>
      <w:r w:rsidR="2113B147" w:rsidRPr="00DF3EF6">
        <w:rPr>
          <w:noProof/>
        </w:rPr>
        <w:t xml:space="preserve">rządkowanej likwidacji, systemy gwarancji depozytów powinny mieć prawo do otrzymania </w:t>
      </w:r>
      <w:r w:rsidR="2113B147" w:rsidRPr="00DF3EF6">
        <w:rPr>
          <w:noProof/>
        </w:rPr>
        <w:lastRenderedPageBreak/>
        <w:t>streszczenia planów restrukturyzacji</w:t>
      </w:r>
      <w:r w:rsidR="0031342C" w:rsidRPr="00DF3EF6">
        <w:rPr>
          <w:noProof/>
        </w:rPr>
        <w:t xml:space="preserve"> i</w:t>
      </w:r>
      <w:r w:rsidR="0031342C">
        <w:rPr>
          <w:noProof/>
        </w:rPr>
        <w:t> </w:t>
      </w:r>
      <w:r w:rsidR="0031342C" w:rsidRPr="00DF3EF6">
        <w:rPr>
          <w:noProof/>
        </w:rPr>
        <w:t>upo</w:t>
      </w:r>
      <w:r w:rsidR="2113B147" w:rsidRPr="00DF3EF6">
        <w:rPr>
          <w:noProof/>
        </w:rPr>
        <w:t>rządkowanej likwidacji instytucji kredytowych</w:t>
      </w:r>
      <w:r w:rsidR="0031342C" w:rsidRPr="00DF3EF6">
        <w:rPr>
          <w:noProof/>
        </w:rPr>
        <w:t xml:space="preserve"> w</w:t>
      </w:r>
      <w:r w:rsidR="0031342C">
        <w:rPr>
          <w:noProof/>
        </w:rPr>
        <w:t> </w:t>
      </w:r>
      <w:r w:rsidR="0031342C" w:rsidRPr="00DF3EF6">
        <w:rPr>
          <w:noProof/>
        </w:rPr>
        <w:t>cel</w:t>
      </w:r>
      <w:r w:rsidR="2113B147" w:rsidRPr="00DF3EF6">
        <w:rPr>
          <w:noProof/>
        </w:rPr>
        <w:t xml:space="preserve">u zwiększenia ich ogólnej gotowości do udostępnienia środków pieniężnych. </w:t>
      </w:r>
    </w:p>
    <w:p w14:paraId="59BB5E86" w14:textId="18A080C7" w:rsidR="00223759" w:rsidRPr="00DF3EF6" w:rsidRDefault="00322779" w:rsidP="00322779">
      <w:pPr>
        <w:pStyle w:val="ManualConsidrant"/>
        <w:rPr>
          <w:noProof/>
        </w:rPr>
      </w:pPr>
      <w:r w:rsidRPr="00322779">
        <w:t>(40)</w:t>
      </w:r>
      <w:r w:rsidRPr="00322779">
        <w:tab/>
      </w:r>
      <w:r w:rsidR="2A66E554" w:rsidRPr="00DF3EF6">
        <w:rPr>
          <w:noProof/>
        </w:rPr>
        <w:t>Standardy techniczne</w:t>
      </w:r>
      <w:r w:rsidR="0031342C" w:rsidRPr="00DF3EF6">
        <w:rPr>
          <w:noProof/>
        </w:rPr>
        <w:t xml:space="preserve"> w</w:t>
      </w:r>
      <w:r w:rsidR="0031342C">
        <w:rPr>
          <w:noProof/>
        </w:rPr>
        <w:t> </w:t>
      </w:r>
      <w:r w:rsidR="0031342C" w:rsidRPr="00DF3EF6">
        <w:rPr>
          <w:noProof/>
        </w:rPr>
        <w:t>usł</w:t>
      </w:r>
      <w:r w:rsidR="2A66E554" w:rsidRPr="00DF3EF6">
        <w:rPr>
          <w:noProof/>
        </w:rPr>
        <w:t>ugach finansowych powinny ułatwiać spójną harmonizację oraz odpowiednią ochronę deponentów</w:t>
      </w:r>
      <w:r w:rsidR="0031342C" w:rsidRPr="00DF3EF6">
        <w:rPr>
          <w:noProof/>
        </w:rPr>
        <w:t xml:space="preserve"> w</w:t>
      </w:r>
      <w:r w:rsidR="0031342C">
        <w:rPr>
          <w:noProof/>
        </w:rPr>
        <w:t> </w:t>
      </w:r>
      <w:r w:rsidR="0031342C" w:rsidRPr="00DF3EF6">
        <w:rPr>
          <w:noProof/>
        </w:rPr>
        <w:t>cał</w:t>
      </w:r>
      <w:r w:rsidR="2A66E554" w:rsidRPr="00DF3EF6">
        <w:rPr>
          <w:noProof/>
        </w:rPr>
        <w:t>ej Unii. EUNB, jako organowi dysponującemu wysokim poziomem wiedzy specjalistycznej, należy powierzyć, ze względu na wydajność</w:t>
      </w:r>
      <w:r w:rsidR="0031342C" w:rsidRPr="00DF3EF6">
        <w:rPr>
          <w:noProof/>
        </w:rPr>
        <w:t xml:space="preserve"> i</w:t>
      </w:r>
      <w:r w:rsidR="0031342C">
        <w:rPr>
          <w:noProof/>
        </w:rPr>
        <w:t> </w:t>
      </w:r>
      <w:r w:rsidR="0031342C" w:rsidRPr="00DF3EF6">
        <w:rPr>
          <w:noProof/>
        </w:rPr>
        <w:t>odp</w:t>
      </w:r>
      <w:r w:rsidR="2A66E554" w:rsidRPr="00DF3EF6">
        <w:rPr>
          <w:noProof/>
        </w:rPr>
        <w:t>owiedniość, zadanie opracowania projektów regulacyjnych</w:t>
      </w:r>
      <w:r w:rsidR="0031342C" w:rsidRPr="00DF3EF6">
        <w:rPr>
          <w:noProof/>
        </w:rPr>
        <w:t xml:space="preserve"> i</w:t>
      </w:r>
      <w:r w:rsidR="0031342C">
        <w:rPr>
          <w:noProof/>
        </w:rPr>
        <w:t> </w:t>
      </w:r>
      <w:r w:rsidR="0031342C" w:rsidRPr="00DF3EF6">
        <w:rPr>
          <w:noProof/>
        </w:rPr>
        <w:t>wyk</w:t>
      </w:r>
      <w:r w:rsidR="2A66E554" w:rsidRPr="00DF3EF6">
        <w:rPr>
          <w:noProof/>
        </w:rPr>
        <w:t>onawczych standardów technicznych, które nie wymagają podejmowania decyzji politycznych,</w:t>
      </w:r>
      <w:r w:rsidR="0031342C" w:rsidRPr="00DF3EF6">
        <w:rPr>
          <w:noProof/>
        </w:rPr>
        <w:t xml:space="preserve"> w</w:t>
      </w:r>
      <w:r w:rsidR="0031342C">
        <w:rPr>
          <w:noProof/>
        </w:rPr>
        <w:t> </w:t>
      </w:r>
      <w:r w:rsidR="0031342C" w:rsidRPr="00DF3EF6">
        <w:rPr>
          <w:noProof/>
        </w:rPr>
        <w:t>cel</w:t>
      </w:r>
      <w:r w:rsidR="2A66E554" w:rsidRPr="00DF3EF6">
        <w:rPr>
          <w:noProof/>
        </w:rPr>
        <w:t xml:space="preserve">u przyjęcia ich przez Komisję. </w:t>
      </w:r>
    </w:p>
    <w:p w14:paraId="04261C04" w14:textId="3E1722D8" w:rsidR="00AF03DE" w:rsidRPr="00DF3EF6" w:rsidRDefault="00322779" w:rsidP="00322779">
      <w:pPr>
        <w:pStyle w:val="ManualConsidrant"/>
        <w:rPr>
          <w:noProof/>
        </w:rPr>
      </w:pPr>
      <w:r w:rsidRPr="00322779">
        <w:t>(41)</w:t>
      </w:r>
      <w:r w:rsidRPr="00322779">
        <w:tab/>
      </w:r>
      <w:r w:rsidR="2B47556B" w:rsidRPr="00DF3EF6">
        <w:rPr>
          <w:noProof/>
        </w:rPr>
        <w:t>W przypadkach określonych</w:t>
      </w:r>
      <w:r w:rsidR="0031342C" w:rsidRPr="00DF3EF6">
        <w:rPr>
          <w:noProof/>
        </w:rPr>
        <w:t xml:space="preserve"> w</w:t>
      </w:r>
      <w:r w:rsidR="0031342C">
        <w:rPr>
          <w:noProof/>
        </w:rPr>
        <w:t> </w:t>
      </w:r>
      <w:r w:rsidR="0031342C" w:rsidRPr="00DF3EF6">
        <w:rPr>
          <w:noProof/>
        </w:rPr>
        <w:t>nin</w:t>
      </w:r>
      <w:r w:rsidR="2B47556B" w:rsidRPr="00DF3EF6">
        <w:rPr>
          <w:noProof/>
        </w:rPr>
        <w:t>iejszej dyrektywie Komisja powinna przyjąć opracowane przez EUNB projekty regulacyjnych standardów technicznych</w:t>
      </w:r>
      <w:r w:rsidR="0031342C" w:rsidRPr="00DF3EF6">
        <w:rPr>
          <w:noProof/>
        </w:rPr>
        <w:t xml:space="preserve"> w</w:t>
      </w:r>
      <w:r w:rsidR="0031342C">
        <w:rPr>
          <w:noProof/>
        </w:rPr>
        <w:t> </w:t>
      </w:r>
      <w:r w:rsidR="0031342C" w:rsidRPr="00DF3EF6">
        <w:rPr>
          <w:noProof/>
        </w:rPr>
        <w:t>dro</w:t>
      </w:r>
      <w:r w:rsidR="2B47556B" w:rsidRPr="00DF3EF6">
        <w:rPr>
          <w:noProof/>
        </w:rPr>
        <w:t xml:space="preserve">dze aktów delegowanych na podstawie </w:t>
      </w:r>
      <w:r w:rsidR="2B47556B" w:rsidRPr="0031342C">
        <w:rPr>
          <w:noProof/>
        </w:rPr>
        <w:t>art.</w:t>
      </w:r>
      <w:r w:rsidR="0031342C" w:rsidRPr="0031342C">
        <w:rPr>
          <w:noProof/>
        </w:rPr>
        <w:t> </w:t>
      </w:r>
      <w:r w:rsidR="2B47556B" w:rsidRPr="0031342C">
        <w:rPr>
          <w:noProof/>
        </w:rPr>
        <w:t>2</w:t>
      </w:r>
      <w:r w:rsidR="2B47556B" w:rsidRPr="00DF3EF6">
        <w:rPr>
          <w:noProof/>
        </w:rPr>
        <w:t>90 TFUE oraz zgodnie</w:t>
      </w:r>
      <w:r w:rsidR="0031342C" w:rsidRPr="00DF3EF6">
        <w:rPr>
          <w:noProof/>
        </w:rPr>
        <w:t xml:space="preserve"> z</w:t>
      </w:r>
      <w:r w:rsidR="0031342C">
        <w:rPr>
          <w:noProof/>
        </w:rPr>
        <w:t> </w:t>
      </w:r>
      <w:r w:rsidR="0031342C" w:rsidRPr="0031342C">
        <w:rPr>
          <w:noProof/>
        </w:rPr>
        <w:t>art</w:t>
      </w:r>
      <w:r w:rsidR="2B47556B" w:rsidRPr="0031342C">
        <w:rPr>
          <w:noProof/>
        </w:rPr>
        <w:t>.</w:t>
      </w:r>
      <w:r w:rsidR="0031342C" w:rsidRPr="0031342C">
        <w:rPr>
          <w:noProof/>
        </w:rPr>
        <w:t> </w:t>
      </w:r>
      <w:r w:rsidR="2B47556B" w:rsidRPr="0031342C">
        <w:rPr>
          <w:noProof/>
        </w:rPr>
        <w:t>1</w:t>
      </w:r>
      <w:r w:rsidR="2B47556B" w:rsidRPr="00DF3EF6">
        <w:rPr>
          <w:noProof/>
        </w:rPr>
        <w:t>0–14 rozporządzenia Parlamentu Europejskiego</w:t>
      </w:r>
      <w:r w:rsidR="0031342C" w:rsidRPr="00DF3EF6">
        <w:rPr>
          <w:noProof/>
        </w:rPr>
        <w:t xml:space="preserve"> i</w:t>
      </w:r>
      <w:r w:rsidR="0031342C">
        <w:rPr>
          <w:noProof/>
        </w:rPr>
        <w:t> </w:t>
      </w:r>
      <w:r w:rsidR="0031342C" w:rsidRPr="00DF3EF6">
        <w:rPr>
          <w:noProof/>
        </w:rPr>
        <w:t>Rad</w:t>
      </w:r>
      <w:r w:rsidR="2B47556B" w:rsidRPr="00DF3EF6">
        <w:rPr>
          <w:noProof/>
        </w:rPr>
        <w:t>y (UE) nr 1093/2010</w:t>
      </w:r>
      <w:r w:rsidR="2B47556B" w:rsidRPr="00DF3EF6">
        <w:rPr>
          <w:rStyle w:val="FootnoteReference"/>
          <w:noProof/>
        </w:rPr>
        <w:footnoteReference w:id="43"/>
      </w:r>
      <w:r w:rsidR="0031342C" w:rsidRPr="00DF3EF6">
        <w:rPr>
          <w:noProof/>
        </w:rPr>
        <w:t xml:space="preserve"> w</w:t>
      </w:r>
      <w:r w:rsidR="0031342C">
        <w:rPr>
          <w:noProof/>
        </w:rPr>
        <w:t> </w:t>
      </w:r>
      <w:r w:rsidR="0031342C" w:rsidRPr="00DF3EF6">
        <w:rPr>
          <w:noProof/>
        </w:rPr>
        <w:t>cel</w:t>
      </w:r>
      <w:r w:rsidR="2B47556B" w:rsidRPr="00DF3EF6">
        <w:rPr>
          <w:noProof/>
        </w:rPr>
        <w:t>u określenia: a) szczegółów technicznych związanych</w:t>
      </w:r>
      <w:r w:rsidR="0031342C" w:rsidRPr="00DF3EF6">
        <w:rPr>
          <w:noProof/>
        </w:rPr>
        <w:t xml:space="preserve"> z</w:t>
      </w:r>
      <w:r w:rsidR="0031342C">
        <w:rPr>
          <w:noProof/>
        </w:rPr>
        <w:t> </w:t>
      </w:r>
      <w:r w:rsidR="0031342C" w:rsidRPr="00DF3EF6">
        <w:rPr>
          <w:noProof/>
        </w:rPr>
        <w:t>ide</w:t>
      </w:r>
      <w:r w:rsidR="2B47556B" w:rsidRPr="00DF3EF6">
        <w:rPr>
          <w:noProof/>
        </w:rPr>
        <w:t>ntyfikacją klientów instytucji finansowych na potrzeby wypłaty depozytów ze środkami klientów, kryteriów wypłaty środków posiadaczowi rachunku na rzecz każdego</w:t>
      </w:r>
      <w:r w:rsidR="0031342C" w:rsidRPr="00DF3EF6">
        <w:rPr>
          <w:noProof/>
        </w:rPr>
        <w:t xml:space="preserve"> z</w:t>
      </w:r>
      <w:r w:rsidR="0031342C">
        <w:rPr>
          <w:noProof/>
        </w:rPr>
        <w:t> </w:t>
      </w:r>
      <w:r w:rsidR="0031342C" w:rsidRPr="00DF3EF6">
        <w:rPr>
          <w:noProof/>
        </w:rPr>
        <w:t>kli</w:t>
      </w:r>
      <w:r w:rsidR="2B47556B" w:rsidRPr="00DF3EF6">
        <w:rPr>
          <w:noProof/>
        </w:rPr>
        <w:t>entów albo bezpośrednio klientowi oraz zasad mających na celu uniknięcie wielokrotnych roszczeń</w:t>
      </w:r>
      <w:r w:rsidR="0031342C" w:rsidRPr="00DF3EF6">
        <w:rPr>
          <w:noProof/>
        </w:rPr>
        <w:t xml:space="preserve"> o</w:t>
      </w:r>
      <w:r w:rsidR="0031342C">
        <w:rPr>
          <w:noProof/>
        </w:rPr>
        <w:t> </w:t>
      </w:r>
      <w:r w:rsidR="0031342C" w:rsidRPr="00DF3EF6">
        <w:rPr>
          <w:noProof/>
        </w:rPr>
        <w:t>wyp</w:t>
      </w:r>
      <w:r w:rsidR="2B47556B" w:rsidRPr="00DF3EF6">
        <w:rPr>
          <w:noProof/>
        </w:rPr>
        <w:t xml:space="preserve">łatę na rzecz tego samego beneficjenta; b) metodyki na potrzeby testu najniższego kosztu oraz c) metodyki obliczania dostępnych środków finansowych kwalifikujących się do spełnienia poziomu docelowego. </w:t>
      </w:r>
    </w:p>
    <w:p w14:paraId="450D770E" w14:textId="3B441645" w:rsidR="00223759" w:rsidRPr="00DF3EF6" w:rsidRDefault="00322779" w:rsidP="00322779">
      <w:pPr>
        <w:pStyle w:val="ManualConsidrant"/>
        <w:rPr>
          <w:noProof/>
        </w:rPr>
      </w:pPr>
      <w:r w:rsidRPr="00322779">
        <w:t>(42)</w:t>
      </w:r>
      <w:r w:rsidRPr="00322779">
        <w:tab/>
      </w:r>
      <w:r w:rsidR="2B47556B" w:rsidRPr="00DF3EF6">
        <w:rPr>
          <w:noProof/>
        </w:rPr>
        <w:t>Komisja powinna,</w:t>
      </w:r>
      <w:r w:rsidR="0031342C" w:rsidRPr="00DF3EF6">
        <w:rPr>
          <w:noProof/>
        </w:rPr>
        <w:t xml:space="preserve"> w</w:t>
      </w:r>
      <w:r w:rsidR="0031342C">
        <w:rPr>
          <w:noProof/>
        </w:rPr>
        <w:t> </w:t>
      </w:r>
      <w:r w:rsidR="0031342C" w:rsidRPr="00DF3EF6">
        <w:rPr>
          <w:noProof/>
        </w:rPr>
        <w:t>prz</w:t>
      </w:r>
      <w:r w:rsidR="2B47556B" w:rsidRPr="00DF3EF6">
        <w:rPr>
          <w:noProof/>
        </w:rPr>
        <w:t>ypadkach określonych</w:t>
      </w:r>
      <w:r w:rsidR="0031342C" w:rsidRPr="00DF3EF6">
        <w:rPr>
          <w:noProof/>
        </w:rPr>
        <w:t xml:space="preserve"> w</w:t>
      </w:r>
      <w:r w:rsidR="0031342C">
        <w:rPr>
          <w:noProof/>
        </w:rPr>
        <w:t> </w:t>
      </w:r>
      <w:r w:rsidR="0031342C" w:rsidRPr="00DF3EF6">
        <w:rPr>
          <w:noProof/>
        </w:rPr>
        <w:t>nin</w:t>
      </w:r>
      <w:r w:rsidR="2B47556B" w:rsidRPr="00DF3EF6">
        <w:rPr>
          <w:noProof/>
        </w:rPr>
        <w:t>iejszej dyrektywie, przyjąć opracowane przez EUNB projekty wykonawczych standardów technicznych</w:t>
      </w:r>
      <w:r w:rsidR="0031342C" w:rsidRPr="00DF3EF6">
        <w:rPr>
          <w:noProof/>
        </w:rPr>
        <w:t xml:space="preserve"> w</w:t>
      </w:r>
      <w:r w:rsidR="0031342C">
        <w:rPr>
          <w:noProof/>
        </w:rPr>
        <w:t> </w:t>
      </w:r>
      <w:r w:rsidR="0031342C" w:rsidRPr="00DF3EF6">
        <w:rPr>
          <w:noProof/>
        </w:rPr>
        <w:t>dro</w:t>
      </w:r>
      <w:r w:rsidR="2B47556B" w:rsidRPr="00DF3EF6">
        <w:rPr>
          <w:noProof/>
        </w:rPr>
        <w:t xml:space="preserve">dze aktów wykonawczych na podstawie </w:t>
      </w:r>
      <w:r w:rsidR="2B47556B" w:rsidRPr="0031342C">
        <w:rPr>
          <w:noProof/>
        </w:rPr>
        <w:t>art.</w:t>
      </w:r>
      <w:r w:rsidR="0031342C" w:rsidRPr="0031342C">
        <w:rPr>
          <w:noProof/>
        </w:rPr>
        <w:t> </w:t>
      </w:r>
      <w:r w:rsidR="2B47556B" w:rsidRPr="0031342C">
        <w:rPr>
          <w:noProof/>
        </w:rPr>
        <w:t>2</w:t>
      </w:r>
      <w:r w:rsidR="2B47556B" w:rsidRPr="00DF3EF6">
        <w:rPr>
          <w:noProof/>
        </w:rPr>
        <w:t>91 TFUE oraz zgodnie</w:t>
      </w:r>
      <w:r w:rsidR="0031342C" w:rsidRPr="00DF3EF6">
        <w:rPr>
          <w:noProof/>
        </w:rPr>
        <w:t xml:space="preserve"> z</w:t>
      </w:r>
      <w:r w:rsidR="0031342C">
        <w:rPr>
          <w:noProof/>
        </w:rPr>
        <w:t> </w:t>
      </w:r>
      <w:r w:rsidR="0031342C" w:rsidRPr="0031342C">
        <w:rPr>
          <w:noProof/>
        </w:rPr>
        <w:t>art</w:t>
      </w:r>
      <w:r w:rsidR="2B47556B" w:rsidRPr="0031342C">
        <w:rPr>
          <w:noProof/>
        </w:rPr>
        <w:t>.</w:t>
      </w:r>
      <w:r w:rsidR="0031342C" w:rsidRPr="0031342C">
        <w:rPr>
          <w:noProof/>
        </w:rPr>
        <w:t> </w:t>
      </w:r>
      <w:r w:rsidR="2B47556B" w:rsidRPr="0031342C">
        <w:rPr>
          <w:noProof/>
        </w:rPr>
        <w:t>1</w:t>
      </w:r>
      <w:r w:rsidR="2B47556B" w:rsidRPr="00DF3EF6">
        <w:rPr>
          <w:noProof/>
        </w:rPr>
        <w:t xml:space="preserve">5 rozporządzenia (UE) </w:t>
      </w:r>
      <w:r w:rsidR="2B47556B" w:rsidRPr="0031342C">
        <w:rPr>
          <w:noProof/>
        </w:rPr>
        <w:t>nr</w:t>
      </w:r>
      <w:r w:rsidR="0031342C" w:rsidRPr="0031342C">
        <w:rPr>
          <w:noProof/>
        </w:rPr>
        <w:t> </w:t>
      </w:r>
      <w:r w:rsidR="2B47556B" w:rsidRPr="0031342C">
        <w:rPr>
          <w:noProof/>
        </w:rPr>
        <w:t>1</w:t>
      </w:r>
      <w:r w:rsidR="2B47556B" w:rsidRPr="00DF3EF6">
        <w:rPr>
          <w:noProof/>
        </w:rPr>
        <w:t>093/2010</w:t>
      </w:r>
      <w:r w:rsidR="0031342C" w:rsidRPr="00DF3EF6">
        <w:rPr>
          <w:noProof/>
        </w:rPr>
        <w:t xml:space="preserve"> w</w:t>
      </w:r>
      <w:r w:rsidR="0031342C">
        <w:rPr>
          <w:noProof/>
        </w:rPr>
        <w:t> </w:t>
      </w:r>
      <w:r w:rsidR="0031342C" w:rsidRPr="00DF3EF6">
        <w:rPr>
          <w:noProof/>
        </w:rPr>
        <w:t>cel</w:t>
      </w:r>
      <w:r w:rsidR="2B47556B" w:rsidRPr="00DF3EF6">
        <w:rPr>
          <w:noProof/>
        </w:rPr>
        <w:t>u określenia: a) treści</w:t>
      </w:r>
      <w:r w:rsidR="0031342C" w:rsidRPr="00DF3EF6">
        <w:rPr>
          <w:noProof/>
        </w:rPr>
        <w:t xml:space="preserve"> i</w:t>
      </w:r>
      <w:r w:rsidR="0031342C">
        <w:rPr>
          <w:noProof/>
        </w:rPr>
        <w:t> </w:t>
      </w:r>
      <w:r w:rsidR="0031342C" w:rsidRPr="00DF3EF6">
        <w:rPr>
          <w:noProof/>
        </w:rPr>
        <w:t>for</w:t>
      </w:r>
      <w:r w:rsidR="2B47556B" w:rsidRPr="00DF3EF6">
        <w:rPr>
          <w:noProof/>
        </w:rPr>
        <w:t>matu arkusza informacyjnego dla deponenta, wzoru informacji, które systemy gwarancji depozytów albo instytucje kredytowe powinny przekazywać deponentom; b) procedur stosowanych przy przekazywaniu przez instytucje kredytowe informacji właściwemu dla nich systemowi gwarancji depozytów oraz przez systemy gwarancji depozytów</w:t>
      </w:r>
      <w:r w:rsidR="0031342C" w:rsidRPr="00DF3EF6">
        <w:rPr>
          <w:noProof/>
        </w:rPr>
        <w:t xml:space="preserve"> i</w:t>
      </w:r>
      <w:r w:rsidR="0031342C">
        <w:rPr>
          <w:noProof/>
        </w:rPr>
        <w:t> </w:t>
      </w:r>
      <w:r w:rsidR="0031342C" w:rsidRPr="00DF3EF6">
        <w:rPr>
          <w:noProof/>
        </w:rPr>
        <w:t>wyz</w:t>
      </w:r>
      <w:r w:rsidR="2B47556B" w:rsidRPr="00DF3EF6">
        <w:rPr>
          <w:noProof/>
        </w:rPr>
        <w:t>naczone organy – EUNB,</w:t>
      </w:r>
      <w:r w:rsidR="0031342C" w:rsidRPr="00DF3EF6">
        <w:rPr>
          <w:noProof/>
        </w:rPr>
        <w:t xml:space="preserve"> a</w:t>
      </w:r>
      <w:r w:rsidR="0031342C">
        <w:rPr>
          <w:noProof/>
        </w:rPr>
        <w:t> </w:t>
      </w:r>
      <w:r w:rsidR="0031342C" w:rsidRPr="00DF3EF6">
        <w:rPr>
          <w:noProof/>
        </w:rPr>
        <w:t>tak</w:t>
      </w:r>
      <w:r w:rsidR="2B47556B" w:rsidRPr="00DF3EF6">
        <w:rPr>
          <w:noProof/>
        </w:rPr>
        <w:t>że szablonów na potrzeby przekazywania tych informacji.</w:t>
      </w:r>
    </w:p>
    <w:p w14:paraId="309D375E" w14:textId="2630DABC" w:rsidR="003E1F1E" w:rsidRPr="00DF3EF6" w:rsidRDefault="00322779" w:rsidP="00322779">
      <w:pPr>
        <w:pStyle w:val="ManualConsidrant"/>
        <w:rPr>
          <w:noProof/>
        </w:rPr>
      </w:pPr>
      <w:r w:rsidRPr="00322779">
        <w:t>(43)</w:t>
      </w:r>
      <w:r w:rsidRPr="00322779">
        <w:tab/>
      </w:r>
      <w:r w:rsidR="5F56A311" w:rsidRPr="00DF3EF6">
        <w:rPr>
          <w:noProof/>
        </w:rPr>
        <w:t>Należy zatem odpowiednio zmienić dyrektywę 2014/49/UE.</w:t>
      </w:r>
    </w:p>
    <w:p w14:paraId="1A61DE7A" w14:textId="294DBBF8" w:rsidR="002F5643" w:rsidRPr="00DF3EF6" w:rsidRDefault="00322779" w:rsidP="00322779">
      <w:pPr>
        <w:pStyle w:val="ManualConsidrant"/>
        <w:rPr>
          <w:noProof/>
        </w:rPr>
      </w:pPr>
      <w:r w:rsidRPr="00322779">
        <w:t>(44)</w:t>
      </w:r>
      <w:r w:rsidRPr="00322779">
        <w:tab/>
      </w:r>
      <w:r w:rsidR="3C3EBCB5" w:rsidRPr="00DF3EF6">
        <w:rPr>
          <w:noProof/>
        </w:rPr>
        <w:t>Aby oddziały instytucji kredytowych mających siedzibę poza Unią, które to oddziały nie są członkami systemu gwarancji depozytów ustanowionego</w:t>
      </w:r>
      <w:r w:rsidR="0031342C" w:rsidRPr="00DF3EF6">
        <w:rPr>
          <w:noProof/>
        </w:rPr>
        <w:t xml:space="preserve"> w</w:t>
      </w:r>
      <w:r w:rsidR="0031342C">
        <w:rPr>
          <w:noProof/>
        </w:rPr>
        <w:t> </w:t>
      </w:r>
      <w:r w:rsidR="0031342C" w:rsidRPr="00DF3EF6">
        <w:rPr>
          <w:noProof/>
        </w:rPr>
        <w:t>Uni</w:t>
      </w:r>
      <w:r w:rsidR="3C3EBCB5" w:rsidRPr="00DF3EF6">
        <w:rPr>
          <w:noProof/>
        </w:rPr>
        <w:t>i, mogły przyłączyć się do unijnego systemu gwarancji depozytów, takim oddziałom należy dać wystarczająco dużo czasu na podjęcie niezbędnych działań</w:t>
      </w:r>
      <w:r w:rsidR="0031342C" w:rsidRPr="00DF3EF6">
        <w:rPr>
          <w:noProof/>
        </w:rPr>
        <w:t xml:space="preserve"> w</w:t>
      </w:r>
      <w:r w:rsidR="0031342C">
        <w:rPr>
          <w:noProof/>
        </w:rPr>
        <w:t> </w:t>
      </w:r>
      <w:r w:rsidR="0031342C" w:rsidRPr="00DF3EF6">
        <w:rPr>
          <w:noProof/>
        </w:rPr>
        <w:t>cel</w:t>
      </w:r>
      <w:r w:rsidR="3C3EBCB5" w:rsidRPr="00DF3EF6">
        <w:rPr>
          <w:noProof/>
        </w:rPr>
        <w:t xml:space="preserve">u spełnienia tego wymogu. </w:t>
      </w:r>
    </w:p>
    <w:p w14:paraId="37A0B32E" w14:textId="34407ED0" w:rsidR="00C637C0" w:rsidRPr="00DF3EF6" w:rsidRDefault="00322779" w:rsidP="00322779">
      <w:pPr>
        <w:pStyle w:val="ManualConsidrant"/>
        <w:rPr>
          <w:noProof/>
        </w:rPr>
      </w:pPr>
      <w:r w:rsidRPr="00322779">
        <w:t>(45)</w:t>
      </w:r>
      <w:r w:rsidRPr="00322779">
        <w:tab/>
      </w:r>
      <w:r w:rsidR="01CA56C0" w:rsidRPr="00DF3EF6">
        <w:rPr>
          <w:noProof/>
        </w:rPr>
        <w:t>Zgodnie</w:t>
      </w:r>
      <w:r w:rsidR="0031342C" w:rsidRPr="00DF3EF6">
        <w:rPr>
          <w:noProof/>
        </w:rPr>
        <w:t xml:space="preserve"> z</w:t>
      </w:r>
      <w:r w:rsidR="0031342C">
        <w:rPr>
          <w:noProof/>
        </w:rPr>
        <w:t> </w:t>
      </w:r>
      <w:r w:rsidR="0031342C" w:rsidRPr="00DF3EF6">
        <w:rPr>
          <w:noProof/>
        </w:rPr>
        <w:t>dyr</w:t>
      </w:r>
      <w:r w:rsidR="01CA56C0" w:rsidRPr="00DF3EF6">
        <w:rPr>
          <w:noProof/>
        </w:rPr>
        <w:t>ektywą 2014/49/UE państwa członkowskie mogą uznać instytucjonalny system ochrony za system gwarancji depozytów, jeżeli spełnia on kryteria określone</w:t>
      </w:r>
      <w:r w:rsidR="0031342C" w:rsidRPr="00DF3EF6">
        <w:rPr>
          <w:noProof/>
        </w:rPr>
        <w:t xml:space="preserve"> w</w:t>
      </w:r>
      <w:r w:rsidR="0031342C">
        <w:rPr>
          <w:noProof/>
        </w:rPr>
        <w:t> </w:t>
      </w:r>
      <w:r w:rsidR="0031342C" w:rsidRPr="0031342C">
        <w:rPr>
          <w:noProof/>
        </w:rPr>
        <w:t>art</w:t>
      </w:r>
      <w:r w:rsidR="01CA56C0" w:rsidRPr="0031342C">
        <w:rPr>
          <w:noProof/>
        </w:rPr>
        <w:t>.</w:t>
      </w:r>
      <w:r w:rsidR="0031342C" w:rsidRPr="0031342C">
        <w:rPr>
          <w:noProof/>
        </w:rPr>
        <w:t> </w:t>
      </w:r>
      <w:r w:rsidR="01CA56C0" w:rsidRPr="0031342C">
        <w:rPr>
          <w:noProof/>
        </w:rPr>
        <w:t>1</w:t>
      </w:r>
      <w:r w:rsidR="01CA56C0" w:rsidRPr="00DF3EF6">
        <w:rPr>
          <w:noProof/>
        </w:rPr>
        <w:t xml:space="preserve">13 </w:t>
      </w:r>
      <w:r w:rsidR="01CA56C0" w:rsidRPr="0031342C">
        <w:rPr>
          <w:noProof/>
        </w:rPr>
        <w:t>ust.</w:t>
      </w:r>
      <w:r w:rsidR="0031342C" w:rsidRPr="0031342C">
        <w:rPr>
          <w:noProof/>
        </w:rPr>
        <w:t> </w:t>
      </w:r>
      <w:r w:rsidR="01CA56C0" w:rsidRPr="0031342C">
        <w:rPr>
          <w:noProof/>
        </w:rPr>
        <w:t>7</w:t>
      </w:r>
      <w:r w:rsidR="01CA56C0" w:rsidRPr="00DF3EF6">
        <w:rPr>
          <w:noProof/>
        </w:rPr>
        <w:t xml:space="preserve"> rozporządzenia (UE) </w:t>
      </w:r>
      <w:r w:rsidR="01CA56C0" w:rsidRPr="0031342C">
        <w:rPr>
          <w:noProof/>
        </w:rPr>
        <w:t>nr</w:t>
      </w:r>
      <w:r w:rsidR="0031342C" w:rsidRPr="0031342C">
        <w:rPr>
          <w:noProof/>
        </w:rPr>
        <w:t> </w:t>
      </w:r>
      <w:r w:rsidR="01CA56C0" w:rsidRPr="0031342C">
        <w:rPr>
          <w:noProof/>
        </w:rPr>
        <w:t>5</w:t>
      </w:r>
      <w:r w:rsidR="01CA56C0" w:rsidRPr="00DF3EF6">
        <w:rPr>
          <w:noProof/>
        </w:rPr>
        <w:t>75/2013</w:t>
      </w:r>
      <w:r w:rsidR="0031342C" w:rsidRPr="00DF3EF6">
        <w:rPr>
          <w:noProof/>
        </w:rPr>
        <w:t xml:space="preserve"> i</w:t>
      </w:r>
      <w:r w:rsidR="0031342C">
        <w:rPr>
          <w:noProof/>
        </w:rPr>
        <w:t> </w:t>
      </w:r>
      <w:r w:rsidR="0031342C" w:rsidRPr="00DF3EF6">
        <w:rPr>
          <w:noProof/>
        </w:rPr>
        <w:t>jes</w:t>
      </w:r>
      <w:r w:rsidR="01CA56C0" w:rsidRPr="00DF3EF6">
        <w:rPr>
          <w:noProof/>
        </w:rPr>
        <w:t>t zgodny</w:t>
      </w:r>
      <w:r w:rsidR="0031342C" w:rsidRPr="00DF3EF6">
        <w:rPr>
          <w:noProof/>
        </w:rPr>
        <w:t xml:space="preserve"> z</w:t>
      </w:r>
      <w:r w:rsidR="0031342C">
        <w:rPr>
          <w:noProof/>
        </w:rPr>
        <w:t> </w:t>
      </w:r>
      <w:r w:rsidR="0031342C" w:rsidRPr="00DF3EF6">
        <w:rPr>
          <w:noProof/>
        </w:rPr>
        <w:t>prz</w:t>
      </w:r>
      <w:r w:rsidR="01CA56C0" w:rsidRPr="00DF3EF6">
        <w:rPr>
          <w:noProof/>
        </w:rPr>
        <w:t>episami dyrektywy 2014/49/UE. Aby uwzględnić szczególny model biznesowy takich instytucjonalnych systemów ochrony,</w:t>
      </w:r>
      <w:r w:rsidR="0031342C" w:rsidRPr="00DF3EF6">
        <w:rPr>
          <w:noProof/>
        </w:rPr>
        <w:t xml:space="preserve"> w</w:t>
      </w:r>
      <w:r w:rsidR="0031342C">
        <w:rPr>
          <w:noProof/>
        </w:rPr>
        <w:t> </w:t>
      </w:r>
      <w:r w:rsidR="0031342C" w:rsidRPr="00DF3EF6">
        <w:rPr>
          <w:noProof/>
        </w:rPr>
        <w:t>szc</w:t>
      </w:r>
      <w:r w:rsidR="01CA56C0" w:rsidRPr="00DF3EF6">
        <w:rPr>
          <w:noProof/>
        </w:rPr>
        <w:t>zególności znaczenie środków zapobiegawczych leżących</w:t>
      </w:r>
      <w:r w:rsidR="0031342C" w:rsidRPr="00DF3EF6">
        <w:rPr>
          <w:noProof/>
        </w:rPr>
        <w:t xml:space="preserve"> u</w:t>
      </w:r>
      <w:r w:rsidR="0031342C">
        <w:rPr>
          <w:noProof/>
        </w:rPr>
        <w:t> </w:t>
      </w:r>
      <w:r w:rsidR="0031342C" w:rsidRPr="00DF3EF6">
        <w:rPr>
          <w:noProof/>
        </w:rPr>
        <w:t>pod</w:t>
      </w:r>
      <w:r w:rsidR="01CA56C0" w:rsidRPr="00DF3EF6">
        <w:rPr>
          <w:noProof/>
        </w:rPr>
        <w:t xml:space="preserve">staw ich mandatu, należy zapewnić państwom członkowskim możliwość dopuszczenia, by instytucjonalne systemy ochrony mogły </w:t>
      </w:r>
      <w:r w:rsidR="01CA56C0" w:rsidRPr="00DF3EF6">
        <w:rPr>
          <w:noProof/>
        </w:rPr>
        <w:lastRenderedPageBreak/>
        <w:t>dostosować się do nowych zabezpieczeń dotyczących stosowania środków zapobiegawczych</w:t>
      </w:r>
      <w:r w:rsidR="0031342C" w:rsidRPr="00DF3EF6">
        <w:rPr>
          <w:noProof/>
        </w:rPr>
        <w:t xml:space="preserve"> w</w:t>
      </w:r>
      <w:r w:rsidR="0031342C">
        <w:rPr>
          <w:noProof/>
        </w:rPr>
        <w:t> </w:t>
      </w:r>
      <w:r w:rsidR="0031342C" w:rsidRPr="00DF3EF6">
        <w:rPr>
          <w:noProof/>
        </w:rPr>
        <w:t>okr</w:t>
      </w:r>
      <w:r w:rsidR="01CA56C0" w:rsidRPr="00DF3EF6">
        <w:rPr>
          <w:noProof/>
        </w:rPr>
        <w:t>esie 6 lat. Ten możliwie dłuższy termin na zapewnienie zgodności</w:t>
      </w:r>
      <w:r w:rsidR="0031342C" w:rsidRPr="00DF3EF6">
        <w:rPr>
          <w:noProof/>
        </w:rPr>
        <w:t xml:space="preserve"> z</w:t>
      </w:r>
      <w:r w:rsidR="0031342C">
        <w:rPr>
          <w:noProof/>
        </w:rPr>
        <w:t> </w:t>
      </w:r>
      <w:r w:rsidR="0031342C" w:rsidRPr="00DF3EF6">
        <w:rPr>
          <w:noProof/>
        </w:rPr>
        <w:t>wym</w:t>
      </w:r>
      <w:r w:rsidR="01CA56C0" w:rsidRPr="00DF3EF6">
        <w:rPr>
          <w:noProof/>
        </w:rPr>
        <w:t>ogami uwzględnia harmonogram gromadzenia wyodrębnionych środków finansowych do celów instytucjonalnego systemu ochrony innych niż gwarantowanie depozytów stosownie do uzgodnień między Europejskim Bankiem Centralnym, właściwym organem krajowym</w:t>
      </w:r>
      <w:r w:rsidR="0031342C" w:rsidRPr="00DF3EF6">
        <w:rPr>
          <w:noProof/>
        </w:rPr>
        <w:t xml:space="preserve"> i</w:t>
      </w:r>
      <w:r w:rsidR="0031342C">
        <w:rPr>
          <w:noProof/>
        </w:rPr>
        <w:t> </w:t>
      </w:r>
      <w:r w:rsidR="0031342C" w:rsidRPr="00DF3EF6">
        <w:rPr>
          <w:noProof/>
        </w:rPr>
        <w:t>odp</w:t>
      </w:r>
      <w:r w:rsidR="01CA56C0" w:rsidRPr="00DF3EF6">
        <w:rPr>
          <w:noProof/>
        </w:rPr>
        <w:t xml:space="preserve">owiednimi instytucjonalnymi systemami ochrony. </w:t>
      </w:r>
    </w:p>
    <w:p w14:paraId="2B06C2C7" w14:textId="1ACC8CC1" w:rsidR="004A2B52" w:rsidRPr="00DF3EF6" w:rsidRDefault="00322779" w:rsidP="00322779">
      <w:pPr>
        <w:pStyle w:val="ManualConsidrant"/>
        <w:rPr>
          <w:noProof/>
        </w:rPr>
      </w:pPr>
      <w:r w:rsidRPr="00322779">
        <w:t>(46)</w:t>
      </w:r>
      <w:r w:rsidRPr="00322779">
        <w:tab/>
      </w:r>
      <w:r w:rsidR="0C11D82C" w:rsidRPr="00DF3EF6">
        <w:rPr>
          <w:noProof/>
        </w:rPr>
        <w:t>Aby systemy gwarancji depozytów</w:t>
      </w:r>
      <w:r w:rsidR="0031342C" w:rsidRPr="00DF3EF6">
        <w:rPr>
          <w:noProof/>
        </w:rPr>
        <w:t xml:space="preserve"> i</w:t>
      </w:r>
      <w:r w:rsidR="0031342C">
        <w:rPr>
          <w:noProof/>
        </w:rPr>
        <w:t> </w:t>
      </w:r>
      <w:r w:rsidR="0031342C" w:rsidRPr="00DF3EF6">
        <w:rPr>
          <w:noProof/>
        </w:rPr>
        <w:t>wyz</w:t>
      </w:r>
      <w:r w:rsidR="0C11D82C" w:rsidRPr="00DF3EF6">
        <w:rPr>
          <w:noProof/>
        </w:rPr>
        <w:t xml:space="preserve">naczone organy miały możliwość rozwoju zdolności operacyjnej niezbędnej do wykonania nowych przepisów dotyczących stosowania środków zapobiegawczych, należy odroczyć stosowanie tych nowych przepisów. </w:t>
      </w:r>
    </w:p>
    <w:p w14:paraId="3D6B28AE" w14:textId="6A996BE1" w:rsidR="008C02C8" w:rsidRPr="00DF3EF6" w:rsidRDefault="00322779" w:rsidP="00322779">
      <w:pPr>
        <w:pStyle w:val="ManualConsidrant"/>
        <w:rPr>
          <w:noProof/>
        </w:rPr>
      </w:pPr>
      <w:r w:rsidRPr="00322779">
        <w:t>(47)</w:t>
      </w:r>
      <w:r w:rsidRPr="00322779">
        <w:tab/>
      </w:r>
      <w:r w:rsidR="5F56A311" w:rsidRPr="00DF3EF6">
        <w:rPr>
          <w:noProof/>
        </w:rPr>
        <w:t>Ponieważ cel niniejszej dyrektywy,</w:t>
      </w:r>
      <w:r w:rsidR="0031342C" w:rsidRPr="00DF3EF6">
        <w:rPr>
          <w:noProof/>
        </w:rPr>
        <w:t xml:space="preserve"> a</w:t>
      </w:r>
      <w:r w:rsidR="0031342C">
        <w:rPr>
          <w:noProof/>
        </w:rPr>
        <w:t> </w:t>
      </w:r>
      <w:r w:rsidR="0031342C" w:rsidRPr="00DF3EF6">
        <w:rPr>
          <w:noProof/>
        </w:rPr>
        <w:t>mia</w:t>
      </w:r>
      <w:r w:rsidR="5F56A311" w:rsidRPr="00DF3EF6">
        <w:rPr>
          <w:noProof/>
        </w:rPr>
        <w:t>nowicie zapewnienie jednakowej ochrony deponentów</w:t>
      </w:r>
      <w:r w:rsidR="0031342C" w:rsidRPr="00DF3EF6">
        <w:rPr>
          <w:noProof/>
        </w:rPr>
        <w:t xml:space="preserve"> w</w:t>
      </w:r>
      <w:r w:rsidR="0031342C">
        <w:rPr>
          <w:noProof/>
        </w:rPr>
        <w:t> </w:t>
      </w:r>
      <w:r w:rsidR="0031342C" w:rsidRPr="00DF3EF6">
        <w:rPr>
          <w:noProof/>
        </w:rPr>
        <w:t>Uni</w:t>
      </w:r>
      <w:r w:rsidR="5F56A311" w:rsidRPr="00DF3EF6">
        <w:rPr>
          <w:noProof/>
        </w:rPr>
        <w:t>i, nie może zostać osiągnięty</w:t>
      </w:r>
      <w:r w:rsidR="0031342C" w:rsidRPr="00DF3EF6">
        <w:rPr>
          <w:noProof/>
        </w:rPr>
        <w:t xml:space="preserve"> w</w:t>
      </w:r>
      <w:r w:rsidR="0031342C">
        <w:rPr>
          <w:noProof/>
        </w:rPr>
        <w:t> </w:t>
      </w:r>
      <w:r w:rsidR="0031342C" w:rsidRPr="00DF3EF6">
        <w:rPr>
          <w:noProof/>
        </w:rPr>
        <w:t>spo</w:t>
      </w:r>
      <w:r w:rsidR="5F56A311" w:rsidRPr="00DF3EF6">
        <w:rPr>
          <w:noProof/>
        </w:rPr>
        <w:t>sób wystarczający przez państwa członkowskie ze względu na ryzyko,</w:t>
      </w:r>
      <w:r w:rsidR="0031342C" w:rsidRPr="00DF3EF6">
        <w:rPr>
          <w:noProof/>
        </w:rPr>
        <w:t xml:space="preserve"> z</w:t>
      </w:r>
      <w:r w:rsidR="0031342C">
        <w:rPr>
          <w:noProof/>
        </w:rPr>
        <w:t> </w:t>
      </w:r>
      <w:r w:rsidR="0031342C" w:rsidRPr="00DF3EF6">
        <w:rPr>
          <w:noProof/>
        </w:rPr>
        <w:t>jak</w:t>
      </w:r>
      <w:r w:rsidR="5F56A311" w:rsidRPr="00DF3EF6">
        <w:rPr>
          <w:noProof/>
        </w:rPr>
        <w:t>im może wiązać się stosowanie zróżnicowanych podejść krajowych dla integralności jednolitego rynku, natomiast możliwe jest lepsze jego osiągnięcie na poziomie Unii</w:t>
      </w:r>
      <w:r w:rsidR="0031342C" w:rsidRPr="00DF3EF6">
        <w:rPr>
          <w:noProof/>
        </w:rPr>
        <w:t xml:space="preserve"> w</w:t>
      </w:r>
      <w:r w:rsidR="0031342C">
        <w:rPr>
          <w:noProof/>
        </w:rPr>
        <w:t> </w:t>
      </w:r>
      <w:r w:rsidR="0031342C" w:rsidRPr="00DF3EF6">
        <w:rPr>
          <w:noProof/>
        </w:rPr>
        <w:t>dro</w:t>
      </w:r>
      <w:r w:rsidR="5F56A311" w:rsidRPr="00DF3EF6">
        <w:rPr>
          <w:noProof/>
        </w:rPr>
        <w:t>dze zmiany przepisów już ustanowionych na poziomie Unii, może ona przyjąć środki zgodnie</w:t>
      </w:r>
      <w:r w:rsidR="0031342C" w:rsidRPr="00DF3EF6">
        <w:rPr>
          <w:noProof/>
        </w:rPr>
        <w:t xml:space="preserve"> z</w:t>
      </w:r>
      <w:r w:rsidR="0031342C">
        <w:rPr>
          <w:noProof/>
        </w:rPr>
        <w:t> </w:t>
      </w:r>
      <w:r w:rsidR="0031342C" w:rsidRPr="00DF3EF6">
        <w:rPr>
          <w:noProof/>
        </w:rPr>
        <w:t>zas</w:t>
      </w:r>
      <w:r w:rsidR="5F56A311" w:rsidRPr="00DF3EF6">
        <w:rPr>
          <w:noProof/>
        </w:rPr>
        <w:t>adą pomocniczości określoną</w:t>
      </w:r>
      <w:r w:rsidR="0031342C" w:rsidRPr="00DF3EF6">
        <w:rPr>
          <w:noProof/>
        </w:rPr>
        <w:t xml:space="preserve"> w</w:t>
      </w:r>
      <w:r w:rsidR="0031342C">
        <w:rPr>
          <w:noProof/>
        </w:rPr>
        <w:t> </w:t>
      </w:r>
      <w:r w:rsidR="0031342C" w:rsidRPr="0031342C">
        <w:rPr>
          <w:noProof/>
        </w:rPr>
        <w:t>art</w:t>
      </w:r>
      <w:r w:rsidR="5F56A311" w:rsidRPr="0031342C">
        <w:rPr>
          <w:noProof/>
        </w:rPr>
        <w:t>.</w:t>
      </w:r>
      <w:r w:rsidR="0031342C" w:rsidRPr="0031342C">
        <w:rPr>
          <w:noProof/>
        </w:rPr>
        <w:t> </w:t>
      </w:r>
      <w:r w:rsidR="5F56A311" w:rsidRPr="0031342C">
        <w:rPr>
          <w:noProof/>
        </w:rPr>
        <w:t>5</w:t>
      </w:r>
      <w:r w:rsidR="5F56A311" w:rsidRPr="00DF3EF6">
        <w:rPr>
          <w:noProof/>
        </w:rPr>
        <w:t xml:space="preserve"> Traktatu</w:t>
      </w:r>
      <w:r w:rsidR="0031342C" w:rsidRPr="00DF3EF6">
        <w:rPr>
          <w:noProof/>
        </w:rPr>
        <w:t xml:space="preserve"> o</w:t>
      </w:r>
      <w:r w:rsidR="0031342C">
        <w:rPr>
          <w:noProof/>
        </w:rPr>
        <w:t> </w:t>
      </w:r>
      <w:r w:rsidR="0031342C" w:rsidRPr="00DF3EF6">
        <w:rPr>
          <w:noProof/>
        </w:rPr>
        <w:t>Uni</w:t>
      </w:r>
      <w:r w:rsidR="5F56A311" w:rsidRPr="00DF3EF6">
        <w:rPr>
          <w:noProof/>
        </w:rPr>
        <w:t>i Europejskiej. Zgodnie</w:t>
      </w:r>
      <w:r w:rsidR="0031342C" w:rsidRPr="00DF3EF6">
        <w:rPr>
          <w:noProof/>
        </w:rPr>
        <w:t xml:space="preserve"> z</w:t>
      </w:r>
      <w:r w:rsidR="0031342C">
        <w:rPr>
          <w:noProof/>
        </w:rPr>
        <w:t> </w:t>
      </w:r>
      <w:r w:rsidR="0031342C" w:rsidRPr="00DF3EF6">
        <w:rPr>
          <w:noProof/>
        </w:rPr>
        <w:t>zas</w:t>
      </w:r>
      <w:r w:rsidR="5F56A311" w:rsidRPr="00DF3EF6">
        <w:rPr>
          <w:noProof/>
        </w:rPr>
        <w:t>adą proporcjonalności określoną</w:t>
      </w:r>
      <w:r w:rsidR="0031342C" w:rsidRPr="00DF3EF6">
        <w:rPr>
          <w:noProof/>
        </w:rPr>
        <w:t xml:space="preserve"> w</w:t>
      </w:r>
      <w:r w:rsidR="0031342C">
        <w:rPr>
          <w:noProof/>
        </w:rPr>
        <w:t> </w:t>
      </w:r>
      <w:r w:rsidR="0031342C" w:rsidRPr="00DF3EF6">
        <w:rPr>
          <w:noProof/>
        </w:rPr>
        <w:t>tym</w:t>
      </w:r>
      <w:r w:rsidR="5F56A311" w:rsidRPr="00DF3EF6">
        <w:rPr>
          <w:noProof/>
        </w:rPr>
        <w:t xml:space="preserve"> artykule niniejsza dyrektywa nie wykracza poza to, co jest konieczne do osiągnięcia tych celów,</w:t>
      </w:r>
    </w:p>
    <w:p w14:paraId="530473A0" w14:textId="77777777" w:rsidR="009065BF" w:rsidRPr="00DF3EF6" w:rsidRDefault="0E395FE3" w:rsidP="00E3000D">
      <w:pPr>
        <w:pStyle w:val="Formuledadoption"/>
        <w:rPr>
          <w:noProof/>
        </w:rPr>
      </w:pPr>
      <w:r w:rsidRPr="00DF3EF6">
        <w:rPr>
          <w:noProof/>
        </w:rPr>
        <w:t>PRZYJMUJĄ NINIEJSZĄ DYREKTYWĘ:</w:t>
      </w:r>
    </w:p>
    <w:p w14:paraId="6CD4A7D9" w14:textId="77777777" w:rsidR="00E940C0" w:rsidRPr="00DF3EF6" w:rsidRDefault="00E940C0" w:rsidP="00E940C0">
      <w:pPr>
        <w:pStyle w:val="Titrearticle"/>
        <w:rPr>
          <w:noProof/>
        </w:rPr>
      </w:pPr>
      <w:r w:rsidRPr="00DF3EF6">
        <w:rPr>
          <w:noProof/>
        </w:rPr>
        <w:t>Artykuł 1</w:t>
      </w:r>
    </w:p>
    <w:p w14:paraId="35383129" w14:textId="7F8669EA" w:rsidR="00E3000D" w:rsidRPr="00DF3EF6" w:rsidRDefault="00E3000D" w:rsidP="00E3000D">
      <w:pPr>
        <w:shd w:val="clear" w:color="auto" w:fill="FFFFFF"/>
        <w:spacing w:before="60"/>
        <w:jc w:val="center"/>
        <w:rPr>
          <w:b/>
          <w:noProof/>
        </w:rPr>
      </w:pPr>
      <w:r w:rsidRPr="00DF3EF6">
        <w:rPr>
          <w:b/>
          <w:noProof/>
        </w:rPr>
        <w:t>Zmiany</w:t>
      </w:r>
      <w:r w:rsidR="0031342C" w:rsidRPr="00DF3EF6">
        <w:rPr>
          <w:b/>
          <w:noProof/>
        </w:rPr>
        <w:t xml:space="preserve"> w</w:t>
      </w:r>
      <w:r w:rsidR="0031342C">
        <w:rPr>
          <w:b/>
          <w:noProof/>
        </w:rPr>
        <w:t> </w:t>
      </w:r>
      <w:r w:rsidR="0031342C" w:rsidRPr="00DF3EF6">
        <w:rPr>
          <w:b/>
          <w:noProof/>
        </w:rPr>
        <w:t>dyr</w:t>
      </w:r>
      <w:r w:rsidRPr="00DF3EF6">
        <w:rPr>
          <w:b/>
          <w:noProof/>
        </w:rPr>
        <w:t xml:space="preserve">ektywie 2014/49/UE </w:t>
      </w:r>
    </w:p>
    <w:p w14:paraId="47C2B927" w14:textId="77777777" w:rsidR="008C02C8" w:rsidRPr="00DF3EF6" w:rsidRDefault="471A24CF" w:rsidP="00E3000D">
      <w:pPr>
        <w:rPr>
          <w:noProof/>
        </w:rPr>
      </w:pPr>
      <w:r w:rsidRPr="00DF3EF6">
        <w:rPr>
          <w:noProof/>
        </w:rPr>
        <w:t>W dyrektywa 2014/49/UE wprowadza się następujące zmiany:</w:t>
      </w:r>
    </w:p>
    <w:p w14:paraId="1445DD0B" w14:textId="7AA5C3E1" w:rsidR="008C02C8" w:rsidRPr="00DF3EF6" w:rsidRDefault="00DF3EF6" w:rsidP="00DF3EF6">
      <w:pPr>
        <w:pStyle w:val="Point0"/>
        <w:rPr>
          <w:noProof/>
        </w:rPr>
      </w:pPr>
      <w:r>
        <w:rPr>
          <w:noProof/>
        </w:rPr>
        <w:t>1)</w:t>
      </w:r>
      <w:r>
        <w:rPr>
          <w:noProof/>
        </w:rPr>
        <w:tab/>
      </w:r>
      <w:r w:rsidR="471A24CF" w:rsidRPr="00DF3EF6">
        <w:rPr>
          <w:noProof/>
        </w:rPr>
        <w:t xml:space="preserve">w </w:t>
      </w:r>
      <w:r w:rsidR="471A24CF" w:rsidRPr="0031342C">
        <w:rPr>
          <w:noProof/>
        </w:rPr>
        <w:t>art.</w:t>
      </w:r>
      <w:r w:rsidR="0031342C" w:rsidRPr="0031342C">
        <w:rPr>
          <w:noProof/>
        </w:rPr>
        <w:t> </w:t>
      </w:r>
      <w:r w:rsidR="471A24CF" w:rsidRPr="0031342C">
        <w:rPr>
          <w:noProof/>
        </w:rPr>
        <w:t>1</w:t>
      </w:r>
      <w:r w:rsidR="471A24CF" w:rsidRPr="00DF3EF6">
        <w:rPr>
          <w:noProof/>
        </w:rPr>
        <w:t xml:space="preserve"> wprowadza się następujące zmiany:</w:t>
      </w:r>
    </w:p>
    <w:p w14:paraId="573DBA99" w14:textId="140909F5" w:rsidR="008C02C8" w:rsidRPr="00DF3EF6" w:rsidRDefault="00DF3EF6" w:rsidP="00DF3EF6">
      <w:pPr>
        <w:pStyle w:val="Point1"/>
        <w:rPr>
          <w:noProof/>
        </w:rPr>
      </w:pPr>
      <w:r>
        <w:rPr>
          <w:noProof/>
        </w:rPr>
        <w:t>a)</w:t>
      </w:r>
      <w:r>
        <w:rPr>
          <w:noProof/>
        </w:rPr>
        <w:tab/>
      </w:r>
      <w:r w:rsidR="69E88E66" w:rsidRPr="0031342C">
        <w:rPr>
          <w:noProof/>
        </w:rPr>
        <w:t>ust.</w:t>
      </w:r>
      <w:r w:rsidR="0031342C" w:rsidRPr="0031342C">
        <w:rPr>
          <w:noProof/>
        </w:rPr>
        <w:t> </w:t>
      </w:r>
      <w:r w:rsidR="69E88E66" w:rsidRPr="0031342C">
        <w:rPr>
          <w:noProof/>
        </w:rPr>
        <w:t>1</w:t>
      </w:r>
      <w:r w:rsidR="69E88E66" w:rsidRPr="00DF3EF6">
        <w:rPr>
          <w:noProof/>
        </w:rPr>
        <w:t xml:space="preserve"> otrzymuje brzmienie:</w:t>
      </w:r>
    </w:p>
    <w:p w14:paraId="762C63FC" w14:textId="1B02EF1B" w:rsidR="008C02C8" w:rsidRPr="00DF3EF6" w:rsidRDefault="471A24CF" w:rsidP="00E3000D">
      <w:pPr>
        <w:pStyle w:val="Text2"/>
        <w:rPr>
          <w:noProof/>
        </w:rPr>
      </w:pPr>
      <w:r w:rsidRPr="00DF3EF6">
        <w:rPr>
          <w:noProof/>
        </w:rPr>
        <w:t>„1.Niniejsza dyrektywa określa przepisy</w:t>
      </w:r>
      <w:r w:rsidR="0031342C" w:rsidRPr="00DF3EF6">
        <w:rPr>
          <w:noProof/>
        </w:rPr>
        <w:t xml:space="preserve"> i</w:t>
      </w:r>
      <w:r w:rsidR="0031342C">
        <w:rPr>
          <w:noProof/>
        </w:rPr>
        <w:t> </w:t>
      </w:r>
      <w:r w:rsidR="0031342C" w:rsidRPr="00DF3EF6">
        <w:rPr>
          <w:noProof/>
        </w:rPr>
        <w:t>pro</w:t>
      </w:r>
      <w:r w:rsidRPr="00DF3EF6">
        <w:rPr>
          <w:noProof/>
        </w:rPr>
        <w:t>cedury dotyczące ustanawiania</w:t>
      </w:r>
      <w:r w:rsidR="0031342C" w:rsidRPr="00DF3EF6">
        <w:rPr>
          <w:noProof/>
        </w:rPr>
        <w:t xml:space="preserve"> i</w:t>
      </w:r>
      <w:r w:rsidR="0031342C">
        <w:rPr>
          <w:noProof/>
        </w:rPr>
        <w:t> </w:t>
      </w:r>
      <w:r w:rsidR="0031342C" w:rsidRPr="00DF3EF6">
        <w:rPr>
          <w:noProof/>
        </w:rPr>
        <w:t>fun</w:t>
      </w:r>
      <w:r w:rsidRPr="00DF3EF6">
        <w:rPr>
          <w:noProof/>
        </w:rPr>
        <w:t>kcjonowania systemów gwarancji depozytów, zakresu ochrony</w:t>
      </w:r>
      <w:r w:rsidR="0031342C" w:rsidRPr="00DF3EF6">
        <w:rPr>
          <w:noProof/>
        </w:rPr>
        <w:t xml:space="preserve"> i</w:t>
      </w:r>
      <w:r w:rsidR="0031342C">
        <w:rPr>
          <w:noProof/>
        </w:rPr>
        <w:t> </w:t>
      </w:r>
      <w:r w:rsidR="0031342C" w:rsidRPr="00DF3EF6">
        <w:rPr>
          <w:noProof/>
        </w:rPr>
        <w:t>wyp</w:t>
      </w:r>
      <w:r w:rsidRPr="00DF3EF6">
        <w:rPr>
          <w:noProof/>
        </w:rPr>
        <w:t>łaty depozytów oraz wykorzystania środków finansowych systemów gwarancji depozytów na potrzeby środków, których celem jest zapewnienie deponentom dostępu do ich depozytów.”;</w:t>
      </w:r>
    </w:p>
    <w:p w14:paraId="2004A3AC" w14:textId="5D5EB4DB" w:rsidR="008C02C8" w:rsidRPr="00DF3EF6" w:rsidRDefault="00DF3EF6" w:rsidP="00DF3EF6">
      <w:pPr>
        <w:pStyle w:val="Point1"/>
        <w:rPr>
          <w:noProof/>
        </w:rPr>
      </w:pPr>
      <w:r>
        <w:rPr>
          <w:noProof/>
        </w:rPr>
        <w:t>b)</w:t>
      </w:r>
      <w:r>
        <w:rPr>
          <w:noProof/>
        </w:rPr>
        <w:tab/>
      </w:r>
      <w:r w:rsidR="008C02C8" w:rsidRPr="0031342C">
        <w:rPr>
          <w:noProof/>
        </w:rPr>
        <w:t>ust.</w:t>
      </w:r>
      <w:r w:rsidR="0031342C" w:rsidRPr="0031342C">
        <w:rPr>
          <w:noProof/>
        </w:rPr>
        <w:t> </w:t>
      </w:r>
      <w:r w:rsidR="008C02C8" w:rsidRPr="0031342C">
        <w:rPr>
          <w:noProof/>
        </w:rPr>
        <w:t>2</w:t>
      </w:r>
      <w:r w:rsidR="008C02C8" w:rsidRPr="00DF3EF6">
        <w:rPr>
          <w:noProof/>
        </w:rPr>
        <w:t xml:space="preserve"> </w:t>
      </w:r>
      <w:r w:rsidR="008C02C8" w:rsidRPr="0031342C">
        <w:rPr>
          <w:noProof/>
        </w:rPr>
        <w:t>lit.</w:t>
      </w:r>
      <w:r w:rsidR="0031342C" w:rsidRPr="0031342C">
        <w:rPr>
          <w:noProof/>
        </w:rPr>
        <w:t> </w:t>
      </w:r>
      <w:r w:rsidR="008C02C8" w:rsidRPr="0031342C">
        <w:rPr>
          <w:noProof/>
        </w:rPr>
        <w:t>d)</w:t>
      </w:r>
      <w:r w:rsidR="008C02C8" w:rsidRPr="00DF3EF6">
        <w:rPr>
          <w:noProof/>
        </w:rPr>
        <w:t xml:space="preserve"> otrzymuje brzmienie: </w:t>
      </w:r>
    </w:p>
    <w:p w14:paraId="6D07D154" w14:textId="75D0361C" w:rsidR="008C02C8" w:rsidRPr="00DF3EF6" w:rsidRDefault="00E940C0" w:rsidP="00E3000D">
      <w:pPr>
        <w:pStyle w:val="Text2"/>
        <w:rPr>
          <w:noProof/>
        </w:rPr>
      </w:pPr>
      <w:r w:rsidRPr="00DF3EF6">
        <w:rPr>
          <w:noProof/>
        </w:rPr>
        <w:t>„d) instytucji kredytowych</w:t>
      </w:r>
      <w:r w:rsidR="0031342C" w:rsidRPr="00DF3EF6">
        <w:rPr>
          <w:noProof/>
        </w:rPr>
        <w:t xml:space="preserve"> i</w:t>
      </w:r>
      <w:r w:rsidR="0031342C">
        <w:rPr>
          <w:noProof/>
        </w:rPr>
        <w:t> </w:t>
      </w:r>
      <w:r w:rsidR="0031342C" w:rsidRPr="00DF3EF6">
        <w:rPr>
          <w:noProof/>
        </w:rPr>
        <w:t>odd</w:t>
      </w:r>
      <w:r w:rsidRPr="00DF3EF6">
        <w:rPr>
          <w:noProof/>
        </w:rPr>
        <w:t>ziałów instytucji kredytowych mających siedzibę poza Unią, należących do systemów,</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lit</w:t>
      </w:r>
      <w:r w:rsidRPr="0031342C">
        <w:rPr>
          <w:noProof/>
        </w:rPr>
        <w:t>.</w:t>
      </w:r>
      <w:r w:rsidR="0031342C" w:rsidRPr="0031342C">
        <w:rPr>
          <w:noProof/>
        </w:rPr>
        <w:t> </w:t>
      </w:r>
      <w:r w:rsidRPr="0031342C">
        <w:rPr>
          <w:noProof/>
        </w:rPr>
        <w:t>a)</w:t>
      </w:r>
      <w:r w:rsidRPr="00DF3EF6">
        <w:rPr>
          <w:noProof/>
        </w:rPr>
        <w:t>, b) lub c) niniejszego ustępu.”;</w:t>
      </w:r>
    </w:p>
    <w:p w14:paraId="5FF6672B" w14:textId="6B9138C4" w:rsidR="008C02C8" w:rsidRPr="00DF3EF6" w:rsidRDefault="00DF3EF6" w:rsidP="00DF3EF6">
      <w:pPr>
        <w:pStyle w:val="Point0"/>
        <w:rPr>
          <w:noProof/>
        </w:rPr>
      </w:pPr>
      <w:r>
        <w:rPr>
          <w:noProof/>
        </w:rPr>
        <w:t>2)</w:t>
      </w:r>
      <w:r>
        <w:rPr>
          <w:noProof/>
        </w:rPr>
        <w:tab/>
      </w:r>
      <w:r w:rsidR="00004A59" w:rsidRPr="00DF3EF6">
        <w:rPr>
          <w:noProof/>
        </w:rPr>
        <w:t xml:space="preserve">w </w:t>
      </w:r>
      <w:r w:rsidR="00004A59" w:rsidRPr="0031342C">
        <w:rPr>
          <w:noProof/>
        </w:rPr>
        <w:t>art.</w:t>
      </w:r>
      <w:r w:rsidR="0031342C" w:rsidRPr="0031342C">
        <w:rPr>
          <w:noProof/>
        </w:rPr>
        <w:t> </w:t>
      </w:r>
      <w:r w:rsidR="00004A59" w:rsidRPr="0031342C">
        <w:rPr>
          <w:noProof/>
        </w:rPr>
        <w:t>2</w:t>
      </w:r>
      <w:r w:rsidR="00004A59" w:rsidRPr="00DF3EF6">
        <w:rPr>
          <w:noProof/>
        </w:rPr>
        <w:t xml:space="preserve"> </w:t>
      </w:r>
      <w:r w:rsidR="00004A59" w:rsidRPr="0031342C">
        <w:rPr>
          <w:noProof/>
        </w:rPr>
        <w:t>ust.</w:t>
      </w:r>
      <w:r w:rsidR="0031342C" w:rsidRPr="0031342C">
        <w:rPr>
          <w:noProof/>
        </w:rPr>
        <w:t> </w:t>
      </w:r>
      <w:r w:rsidR="00004A59" w:rsidRPr="0031342C">
        <w:rPr>
          <w:noProof/>
        </w:rPr>
        <w:t>1</w:t>
      </w:r>
      <w:r w:rsidR="00004A59" w:rsidRPr="00DF3EF6">
        <w:rPr>
          <w:noProof/>
        </w:rPr>
        <w:t xml:space="preserve"> wprowadza się następujące zmiany:</w:t>
      </w:r>
    </w:p>
    <w:p w14:paraId="0AE0CCF1" w14:textId="33856A28" w:rsidR="008C02C8" w:rsidRPr="00DF3EF6" w:rsidRDefault="00DF3EF6" w:rsidP="00DF3EF6">
      <w:pPr>
        <w:pStyle w:val="Point1"/>
        <w:rPr>
          <w:noProof/>
        </w:rPr>
      </w:pPr>
      <w:r>
        <w:rPr>
          <w:noProof/>
        </w:rPr>
        <w:t>a)</w:t>
      </w:r>
      <w:r>
        <w:rPr>
          <w:noProof/>
        </w:rPr>
        <w:tab/>
      </w:r>
      <w:r w:rsidR="008C02C8" w:rsidRPr="00DF3EF6">
        <w:rPr>
          <w:noProof/>
        </w:rPr>
        <w:t xml:space="preserve">w </w:t>
      </w:r>
      <w:r w:rsidR="008C02C8" w:rsidRPr="0031342C">
        <w:rPr>
          <w:noProof/>
        </w:rPr>
        <w:t>pkt</w:t>
      </w:r>
      <w:r w:rsidR="0031342C" w:rsidRPr="0031342C">
        <w:rPr>
          <w:noProof/>
        </w:rPr>
        <w:t> </w:t>
      </w:r>
      <w:r w:rsidR="008C02C8" w:rsidRPr="0031342C">
        <w:rPr>
          <w:noProof/>
        </w:rPr>
        <w:t>3</w:t>
      </w:r>
      <w:r w:rsidR="008C02C8" w:rsidRPr="00DF3EF6">
        <w:rPr>
          <w:noProof/>
        </w:rPr>
        <w:t xml:space="preserve"> formuła wprowadzająca otrzymuje brzmienie:</w:t>
      </w:r>
    </w:p>
    <w:p w14:paraId="6D22F7BD" w14:textId="70ABF318" w:rsidR="008C02C8" w:rsidRPr="00DF3EF6" w:rsidRDefault="007361FD" w:rsidP="007D1582">
      <w:pPr>
        <w:pStyle w:val="Text2"/>
        <w:rPr>
          <w:noProof/>
        </w:rPr>
      </w:pPr>
      <w:r w:rsidRPr="00DF3EF6">
        <w:rPr>
          <w:noProof/>
        </w:rPr>
        <w:t>„3) »depozyt« oznacza należność wynikającą ze środków pozostawionych na rachunku lub</w:t>
      </w:r>
      <w:r w:rsidR="0031342C" w:rsidRPr="00DF3EF6">
        <w:rPr>
          <w:noProof/>
        </w:rPr>
        <w:t xml:space="preserve"> z</w:t>
      </w:r>
      <w:r w:rsidR="0031342C">
        <w:rPr>
          <w:noProof/>
        </w:rPr>
        <w:t> </w:t>
      </w:r>
      <w:r w:rsidR="0031342C" w:rsidRPr="00DF3EF6">
        <w:rPr>
          <w:noProof/>
        </w:rPr>
        <w:t>syt</w:t>
      </w:r>
      <w:r w:rsidRPr="00DF3EF6">
        <w:rPr>
          <w:noProof/>
        </w:rPr>
        <w:t>uacji tymczasowych</w:t>
      </w:r>
      <w:r w:rsidR="0031342C" w:rsidRPr="00DF3EF6">
        <w:rPr>
          <w:noProof/>
        </w:rPr>
        <w:t xml:space="preserve"> w</w:t>
      </w:r>
      <w:r w:rsidR="0031342C">
        <w:rPr>
          <w:noProof/>
        </w:rPr>
        <w:t> </w:t>
      </w:r>
      <w:r w:rsidR="0031342C" w:rsidRPr="00DF3EF6">
        <w:rPr>
          <w:noProof/>
        </w:rPr>
        <w:t>ram</w:t>
      </w:r>
      <w:r w:rsidRPr="00DF3EF6">
        <w:rPr>
          <w:noProof/>
        </w:rPr>
        <w:t>ach normalnych operacji bankowych zwyczajowo przeprowadzanych przez instytucje kredytowe</w:t>
      </w:r>
      <w:r w:rsidR="0031342C" w:rsidRPr="00DF3EF6">
        <w:rPr>
          <w:noProof/>
        </w:rPr>
        <w:t xml:space="preserve"> w</w:t>
      </w:r>
      <w:r w:rsidR="0031342C">
        <w:rPr>
          <w:noProof/>
        </w:rPr>
        <w:t> </w:t>
      </w:r>
      <w:r w:rsidR="0031342C" w:rsidRPr="00DF3EF6">
        <w:rPr>
          <w:noProof/>
        </w:rPr>
        <w:t>tok</w:t>
      </w:r>
      <w:r w:rsidRPr="00DF3EF6">
        <w:rPr>
          <w:noProof/>
        </w:rPr>
        <w:t>u prowadzonej przez nie działalności, którą to należność instytucja kredytowa jest zobowiązana wypłacić zgodnie</w:t>
      </w:r>
      <w:r w:rsidR="0031342C" w:rsidRPr="00DF3EF6">
        <w:rPr>
          <w:noProof/>
        </w:rPr>
        <w:t xml:space="preserve"> z</w:t>
      </w:r>
      <w:r w:rsidR="0031342C">
        <w:rPr>
          <w:noProof/>
        </w:rPr>
        <w:t> </w:t>
      </w:r>
      <w:r w:rsidR="0031342C" w:rsidRPr="00DF3EF6">
        <w:rPr>
          <w:noProof/>
        </w:rPr>
        <w:t>obo</w:t>
      </w:r>
      <w:r w:rsidRPr="00DF3EF6">
        <w:rPr>
          <w:noProof/>
        </w:rPr>
        <w:t>wiązującymi przepisami</w:t>
      </w:r>
      <w:r w:rsidR="0031342C" w:rsidRPr="00DF3EF6">
        <w:rPr>
          <w:noProof/>
        </w:rPr>
        <w:t xml:space="preserve"> i</w:t>
      </w:r>
      <w:r w:rsidR="0031342C">
        <w:rPr>
          <w:noProof/>
        </w:rPr>
        <w:t> </w:t>
      </w:r>
      <w:r w:rsidR="0031342C" w:rsidRPr="00DF3EF6">
        <w:rPr>
          <w:noProof/>
        </w:rPr>
        <w:t>pos</w:t>
      </w:r>
      <w:r w:rsidRPr="00DF3EF6">
        <w:rPr>
          <w:noProof/>
        </w:rPr>
        <w:t>tanowieniami umownymi,</w:t>
      </w:r>
      <w:r w:rsidR="0031342C" w:rsidRPr="00DF3EF6">
        <w:rPr>
          <w:noProof/>
        </w:rPr>
        <w:t xml:space="preserve"> w</w:t>
      </w:r>
      <w:r w:rsidR="0031342C">
        <w:rPr>
          <w:noProof/>
        </w:rPr>
        <w:t> </w:t>
      </w:r>
      <w:r w:rsidR="0031342C" w:rsidRPr="00DF3EF6">
        <w:rPr>
          <w:noProof/>
        </w:rPr>
        <w:t>tym</w:t>
      </w:r>
      <w:r w:rsidRPr="00DF3EF6">
        <w:rPr>
          <w:noProof/>
        </w:rPr>
        <w:t xml:space="preserve"> depozyt terminowy</w:t>
      </w:r>
      <w:r w:rsidR="0031342C" w:rsidRPr="00DF3EF6">
        <w:rPr>
          <w:noProof/>
        </w:rPr>
        <w:t xml:space="preserve"> i</w:t>
      </w:r>
      <w:r w:rsidR="0031342C">
        <w:rPr>
          <w:noProof/>
        </w:rPr>
        <w:t> </w:t>
      </w:r>
      <w:r w:rsidR="0031342C" w:rsidRPr="00DF3EF6">
        <w:rPr>
          <w:noProof/>
        </w:rPr>
        <w:t>dep</w:t>
      </w:r>
      <w:r w:rsidRPr="00DF3EF6">
        <w:rPr>
          <w:noProof/>
        </w:rPr>
        <w:t>ozyt oszczędnościowy,</w:t>
      </w:r>
      <w:r w:rsidR="0031342C" w:rsidRPr="00DF3EF6">
        <w:rPr>
          <w:noProof/>
        </w:rPr>
        <w:t xml:space="preserve"> z</w:t>
      </w:r>
      <w:r w:rsidR="0031342C">
        <w:rPr>
          <w:noProof/>
        </w:rPr>
        <w:t> </w:t>
      </w:r>
      <w:r w:rsidR="0031342C" w:rsidRPr="00DF3EF6">
        <w:rPr>
          <w:noProof/>
        </w:rPr>
        <w:t>wył</w:t>
      </w:r>
      <w:r w:rsidRPr="00DF3EF6">
        <w:rPr>
          <w:noProof/>
        </w:rPr>
        <w:t>ączeniem należności</w:t>
      </w:r>
      <w:r w:rsidR="0031342C" w:rsidRPr="00DF3EF6">
        <w:rPr>
          <w:noProof/>
        </w:rPr>
        <w:t xml:space="preserve"> w</w:t>
      </w:r>
      <w:r w:rsidR="0031342C">
        <w:rPr>
          <w:noProof/>
        </w:rPr>
        <w:t> </w:t>
      </w:r>
      <w:r w:rsidR="0031342C" w:rsidRPr="00DF3EF6">
        <w:rPr>
          <w:noProof/>
        </w:rPr>
        <w:t>prz</w:t>
      </w:r>
      <w:r w:rsidRPr="00DF3EF6">
        <w:rPr>
          <w:noProof/>
        </w:rPr>
        <w:t>ypadku gdy:”;</w:t>
      </w:r>
    </w:p>
    <w:p w14:paraId="718704B8" w14:textId="45D4E262" w:rsidR="008C02C8" w:rsidRPr="00DF3EF6" w:rsidRDefault="00DF3EF6" w:rsidP="00DF3EF6">
      <w:pPr>
        <w:pStyle w:val="Point1"/>
        <w:rPr>
          <w:noProof/>
        </w:rPr>
      </w:pPr>
      <w:r>
        <w:rPr>
          <w:noProof/>
        </w:rPr>
        <w:lastRenderedPageBreak/>
        <w:t>b)</w:t>
      </w:r>
      <w:r>
        <w:rPr>
          <w:noProof/>
        </w:rPr>
        <w:tab/>
      </w:r>
      <w:r w:rsidR="008C02C8" w:rsidRPr="00DF3EF6">
        <w:rPr>
          <w:noProof/>
        </w:rPr>
        <w:t xml:space="preserve">w </w:t>
      </w:r>
      <w:r w:rsidR="008C02C8" w:rsidRPr="0031342C">
        <w:rPr>
          <w:noProof/>
        </w:rPr>
        <w:t>pkt</w:t>
      </w:r>
      <w:r w:rsidR="0031342C" w:rsidRPr="0031342C">
        <w:rPr>
          <w:noProof/>
        </w:rPr>
        <w:t> </w:t>
      </w:r>
      <w:r w:rsidR="008C02C8" w:rsidRPr="0031342C">
        <w:rPr>
          <w:noProof/>
        </w:rPr>
        <w:t>1</w:t>
      </w:r>
      <w:r w:rsidR="008C02C8" w:rsidRPr="00DF3EF6">
        <w:rPr>
          <w:noProof/>
        </w:rPr>
        <w:t>3 formuła wprowadzająca otrzymuje brzmienie:</w:t>
      </w:r>
    </w:p>
    <w:p w14:paraId="63CCF8CF" w14:textId="52A644C6" w:rsidR="008C02C8" w:rsidRPr="00DF3EF6" w:rsidRDefault="008C02C8" w:rsidP="007D1582">
      <w:pPr>
        <w:pStyle w:val="Text2"/>
        <w:rPr>
          <w:noProof/>
        </w:rPr>
      </w:pPr>
      <w:r w:rsidRPr="00DF3EF6">
        <w:rPr>
          <w:noProof/>
        </w:rPr>
        <w:t>„13) »zobowiązanie do zapłaty« oznacza nieodwołalne,</w:t>
      </w:r>
      <w:r w:rsidR="0031342C" w:rsidRPr="00DF3EF6">
        <w:rPr>
          <w:noProof/>
        </w:rPr>
        <w:t xml:space="preserve"> w</w:t>
      </w:r>
      <w:r w:rsidR="0031342C">
        <w:rPr>
          <w:noProof/>
        </w:rPr>
        <w:t> </w:t>
      </w:r>
      <w:r w:rsidR="0031342C" w:rsidRPr="00DF3EF6">
        <w:rPr>
          <w:noProof/>
        </w:rPr>
        <w:t>peł</w:t>
      </w:r>
      <w:r w:rsidRPr="00DF3EF6">
        <w:rPr>
          <w:noProof/>
        </w:rPr>
        <w:t>ni zabezpieczone zobowiązanie danej instytucji kredytowej do zapłaty na rzecz systemu gwarancji depozytów kwoty pieniężnej na wezwanie tego systemu gwarancji depozytów, pod warunkiem że zabezpieczenie:”;</w:t>
      </w:r>
    </w:p>
    <w:p w14:paraId="497201AE" w14:textId="2A40D903" w:rsidR="008C02C8" w:rsidRPr="00DF3EF6" w:rsidRDefault="00DF3EF6" w:rsidP="00DF3EF6">
      <w:pPr>
        <w:pStyle w:val="Point1"/>
        <w:rPr>
          <w:noProof/>
        </w:rPr>
      </w:pPr>
      <w:r>
        <w:rPr>
          <w:noProof/>
        </w:rPr>
        <w:t>c)</w:t>
      </w:r>
      <w:r>
        <w:rPr>
          <w:noProof/>
        </w:rPr>
        <w:tab/>
      </w:r>
      <w:r w:rsidR="008C02C8" w:rsidRPr="00DF3EF6">
        <w:rPr>
          <w:noProof/>
        </w:rPr>
        <w:t xml:space="preserve">dodaje się </w:t>
      </w:r>
      <w:r w:rsidR="008C02C8" w:rsidRPr="0031342C">
        <w:rPr>
          <w:noProof/>
        </w:rPr>
        <w:t>pkt</w:t>
      </w:r>
      <w:r w:rsidR="0031342C" w:rsidRPr="0031342C">
        <w:rPr>
          <w:noProof/>
        </w:rPr>
        <w:t> </w:t>
      </w:r>
      <w:r w:rsidR="008C02C8" w:rsidRPr="0031342C">
        <w:rPr>
          <w:noProof/>
        </w:rPr>
        <w:t>1</w:t>
      </w:r>
      <w:r w:rsidR="008C02C8" w:rsidRPr="00DF3EF6">
        <w:rPr>
          <w:noProof/>
        </w:rPr>
        <w:t>9–23</w:t>
      </w:r>
      <w:r w:rsidR="0031342C" w:rsidRPr="00DF3EF6">
        <w:rPr>
          <w:noProof/>
        </w:rPr>
        <w:t xml:space="preserve"> w</w:t>
      </w:r>
      <w:r w:rsidR="0031342C">
        <w:rPr>
          <w:noProof/>
        </w:rPr>
        <w:t> </w:t>
      </w:r>
      <w:r w:rsidR="0031342C" w:rsidRPr="00DF3EF6">
        <w:rPr>
          <w:noProof/>
        </w:rPr>
        <w:t>brz</w:t>
      </w:r>
      <w:r w:rsidR="008C02C8" w:rsidRPr="00DF3EF6">
        <w:rPr>
          <w:noProof/>
        </w:rPr>
        <w:t xml:space="preserve">mieniu: </w:t>
      </w:r>
    </w:p>
    <w:p w14:paraId="35B739F1" w14:textId="43F998AD" w:rsidR="008C02C8" w:rsidRPr="00DF3EF6" w:rsidRDefault="008C02C8" w:rsidP="007D1582">
      <w:pPr>
        <w:pStyle w:val="Text2"/>
        <w:rPr>
          <w:noProof/>
        </w:rPr>
      </w:pPr>
      <w:r w:rsidRPr="00DF3EF6">
        <w:rPr>
          <w:noProof/>
        </w:rPr>
        <w:t>„19) »organ ds.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oznacza organ ds.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zdefiniowany</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2</w:t>
      </w:r>
      <w:r w:rsidRPr="00DF3EF6">
        <w:rPr>
          <w:noProof/>
        </w:rPr>
        <w:t xml:space="preserve"> </w:t>
      </w:r>
      <w:r w:rsidRPr="0031342C">
        <w:rPr>
          <w:noProof/>
        </w:rPr>
        <w:t>pkt</w:t>
      </w:r>
      <w:r w:rsidR="0031342C" w:rsidRPr="0031342C">
        <w:rPr>
          <w:noProof/>
        </w:rPr>
        <w:t> </w:t>
      </w:r>
      <w:r w:rsidRPr="0031342C">
        <w:rPr>
          <w:noProof/>
        </w:rPr>
        <w:t>1</w:t>
      </w:r>
      <w:r w:rsidRPr="00DF3EF6">
        <w:rPr>
          <w:noProof/>
        </w:rPr>
        <w:t>8 dyrektywy 2014/59/UE;</w:t>
      </w:r>
    </w:p>
    <w:p w14:paraId="5136A233" w14:textId="06089117" w:rsidR="008C02C8" w:rsidRPr="00DF3EF6" w:rsidRDefault="008C02C8" w:rsidP="007D1582">
      <w:pPr>
        <w:pStyle w:val="Text2"/>
        <w:rPr>
          <w:noProof/>
        </w:rPr>
      </w:pPr>
      <w:r w:rsidRPr="00DF3EF6">
        <w:rPr>
          <w:noProof/>
        </w:rPr>
        <w:t>20) »depozyty ze środkami klientów« oznaczają środki pieniężne, które posiadacze rachunku będący instytucjami finansowymi zdefiniowanymi</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4</w:t>
      </w:r>
      <w:r w:rsidRPr="00DF3EF6">
        <w:rPr>
          <w:noProof/>
        </w:rPr>
        <w:t xml:space="preserve"> </w:t>
      </w:r>
      <w:r w:rsidRPr="0031342C">
        <w:rPr>
          <w:noProof/>
        </w:rPr>
        <w:t>ust.</w:t>
      </w:r>
      <w:r w:rsidR="0031342C" w:rsidRPr="0031342C">
        <w:rPr>
          <w:noProof/>
        </w:rPr>
        <w:t> </w:t>
      </w:r>
      <w:r w:rsidRPr="0031342C">
        <w:rPr>
          <w:noProof/>
        </w:rPr>
        <w:t>1</w:t>
      </w:r>
      <w:r w:rsidRPr="00DF3EF6">
        <w:rPr>
          <w:noProof/>
        </w:rPr>
        <w:t xml:space="preserve"> </w:t>
      </w:r>
      <w:r w:rsidRPr="0031342C">
        <w:rPr>
          <w:noProof/>
        </w:rPr>
        <w:t>pkt</w:t>
      </w:r>
      <w:r w:rsidR="0031342C" w:rsidRPr="0031342C">
        <w:rPr>
          <w:noProof/>
        </w:rPr>
        <w:t> </w:t>
      </w:r>
      <w:r w:rsidRPr="0031342C">
        <w:rPr>
          <w:noProof/>
        </w:rPr>
        <w:t>2</w:t>
      </w:r>
      <w:r w:rsidRPr="00DF3EF6">
        <w:rPr>
          <w:noProof/>
        </w:rPr>
        <w:t xml:space="preserve">6 rozporządzenia (UE) </w:t>
      </w:r>
      <w:r w:rsidRPr="0031342C">
        <w:rPr>
          <w:noProof/>
        </w:rPr>
        <w:t>nr</w:t>
      </w:r>
      <w:r w:rsidR="0031342C" w:rsidRPr="0031342C">
        <w:rPr>
          <w:noProof/>
        </w:rPr>
        <w:t> </w:t>
      </w:r>
      <w:r w:rsidRPr="0031342C">
        <w:rPr>
          <w:noProof/>
        </w:rPr>
        <w:t>5</w:t>
      </w:r>
      <w:r w:rsidRPr="00DF3EF6">
        <w:rPr>
          <w:noProof/>
        </w:rPr>
        <w:t>75/2013 deponują</w:t>
      </w:r>
      <w:r w:rsidR="0031342C" w:rsidRPr="00DF3EF6">
        <w:rPr>
          <w:noProof/>
        </w:rPr>
        <w:t xml:space="preserve"> w</w:t>
      </w:r>
      <w:r w:rsidR="0031342C">
        <w:rPr>
          <w:noProof/>
        </w:rPr>
        <w:t> </w:t>
      </w:r>
      <w:r w:rsidR="0031342C" w:rsidRPr="00DF3EF6">
        <w:rPr>
          <w:noProof/>
        </w:rPr>
        <w:t>tok</w:t>
      </w:r>
      <w:r w:rsidRPr="00DF3EF6">
        <w:rPr>
          <w:noProof/>
        </w:rPr>
        <w:t>u prowadzonej działalności</w:t>
      </w:r>
      <w:r w:rsidR="0031342C" w:rsidRPr="00DF3EF6">
        <w:rPr>
          <w:noProof/>
        </w:rPr>
        <w:t xml:space="preserve"> w</w:t>
      </w:r>
      <w:r w:rsidR="0031342C">
        <w:rPr>
          <w:noProof/>
        </w:rPr>
        <w:t> </w:t>
      </w:r>
      <w:r w:rsidR="0031342C" w:rsidRPr="00DF3EF6">
        <w:rPr>
          <w:noProof/>
        </w:rPr>
        <w:t>ins</w:t>
      </w:r>
      <w:r w:rsidRPr="00DF3EF6">
        <w:rPr>
          <w:noProof/>
        </w:rPr>
        <w:t>tytucji kredytowej na rzecz swoich klientów;</w:t>
      </w:r>
    </w:p>
    <w:p w14:paraId="37F95B97" w14:textId="7E4D65F0" w:rsidR="008C02C8" w:rsidRPr="00DF3EF6" w:rsidRDefault="008C02C8" w:rsidP="007D1582">
      <w:pPr>
        <w:pStyle w:val="Text2"/>
        <w:rPr>
          <w:noProof/>
        </w:rPr>
      </w:pPr>
      <w:r w:rsidRPr="00DF3EF6">
        <w:rPr>
          <w:noProof/>
        </w:rPr>
        <w:t xml:space="preserve">21) »unijne ramy pomocy państwa« oznaczają ramy ustanowione postanowieniami </w:t>
      </w:r>
      <w:r w:rsidRPr="0031342C">
        <w:rPr>
          <w:noProof/>
        </w:rPr>
        <w:t>art.</w:t>
      </w:r>
      <w:r w:rsidR="0031342C" w:rsidRPr="0031342C">
        <w:rPr>
          <w:noProof/>
        </w:rPr>
        <w:t> </w:t>
      </w:r>
      <w:r w:rsidRPr="0031342C">
        <w:rPr>
          <w:noProof/>
        </w:rPr>
        <w:t>1</w:t>
      </w:r>
      <w:r w:rsidRPr="00DF3EF6">
        <w:rPr>
          <w:noProof/>
        </w:rPr>
        <w:t>07, 108</w:t>
      </w:r>
      <w:r w:rsidR="0031342C" w:rsidRPr="00DF3EF6">
        <w:rPr>
          <w:noProof/>
        </w:rPr>
        <w:t xml:space="preserve"> i</w:t>
      </w:r>
      <w:r w:rsidR="0031342C">
        <w:rPr>
          <w:noProof/>
        </w:rPr>
        <w:t> </w:t>
      </w:r>
      <w:r w:rsidR="0031342C" w:rsidRPr="00DF3EF6">
        <w:rPr>
          <w:noProof/>
        </w:rPr>
        <w:t>1</w:t>
      </w:r>
      <w:r w:rsidRPr="00DF3EF6">
        <w:rPr>
          <w:noProof/>
        </w:rPr>
        <w:t>09 TFUE oraz rozporządzenia</w:t>
      </w:r>
      <w:r w:rsidR="0031342C" w:rsidRPr="00DF3EF6">
        <w:rPr>
          <w:noProof/>
        </w:rPr>
        <w:t xml:space="preserve"> i</w:t>
      </w:r>
      <w:r w:rsidR="0031342C">
        <w:rPr>
          <w:noProof/>
        </w:rPr>
        <w:t> </w:t>
      </w:r>
      <w:r w:rsidR="0031342C" w:rsidRPr="00DF3EF6">
        <w:rPr>
          <w:noProof/>
        </w:rPr>
        <w:t>wsz</w:t>
      </w:r>
      <w:r w:rsidRPr="00DF3EF6">
        <w:rPr>
          <w:noProof/>
        </w:rPr>
        <w:t>ystkie akty Unii,</w:t>
      </w:r>
      <w:r w:rsidR="0031342C" w:rsidRPr="00DF3EF6">
        <w:rPr>
          <w:noProof/>
        </w:rPr>
        <w:t xml:space="preserve"> w</w:t>
      </w:r>
      <w:r w:rsidR="0031342C">
        <w:rPr>
          <w:noProof/>
        </w:rPr>
        <w:t> </w:t>
      </w:r>
      <w:r w:rsidR="0031342C" w:rsidRPr="00DF3EF6">
        <w:rPr>
          <w:noProof/>
        </w:rPr>
        <w:t>tym</w:t>
      </w:r>
      <w:r w:rsidRPr="00DF3EF6">
        <w:rPr>
          <w:noProof/>
        </w:rPr>
        <w:t xml:space="preserve"> wytyczne, komunikaty</w:t>
      </w:r>
      <w:r w:rsidR="0031342C" w:rsidRPr="00DF3EF6">
        <w:rPr>
          <w:noProof/>
        </w:rPr>
        <w:t xml:space="preserve"> i</w:t>
      </w:r>
      <w:r w:rsidR="0031342C">
        <w:rPr>
          <w:noProof/>
        </w:rPr>
        <w:t> </w:t>
      </w:r>
      <w:r w:rsidR="0031342C" w:rsidRPr="00DF3EF6">
        <w:rPr>
          <w:noProof/>
        </w:rPr>
        <w:t>zaw</w:t>
      </w:r>
      <w:r w:rsidRPr="00DF3EF6">
        <w:rPr>
          <w:noProof/>
        </w:rPr>
        <w:t>iadomienia, wydane lub przyjęte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08 </w:t>
      </w:r>
      <w:r w:rsidRPr="0031342C">
        <w:rPr>
          <w:noProof/>
        </w:rPr>
        <w:t>ust.</w:t>
      </w:r>
      <w:r w:rsidR="0031342C" w:rsidRPr="0031342C">
        <w:rPr>
          <w:noProof/>
        </w:rPr>
        <w:t> </w:t>
      </w:r>
      <w:r w:rsidRPr="0031342C">
        <w:rPr>
          <w:noProof/>
        </w:rPr>
        <w:t>4</w:t>
      </w:r>
      <w:r w:rsidRPr="00DF3EF6">
        <w:rPr>
          <w:noProof/>
        </w:rPr>
        <w:t xml:space="preserve"> lub </w:t>
      </w:r>
      <w:r w:rsidRPr="0031342C">
        <w:rPr>
          <w:noProof/>
        </w:rPr>
        <w:t>art.</w:t>
      </w:r>
      <w:r w:rsidR="0031342C" w:rsidRPr="0031342C">
        <w:rPr>
          <w:noProof/>
        </w:rPr>
        <w:t> </w:t>
      </w:r>
      <w:r w:rsidRPr="0031342C">
        <w:rPr>
          <w:noProof/>
        </w:rPr>
        <w:t>1</w:t>
      </w:r>
      <w:r w:rsidRPr="00DF3EF6">
        <w:rPr>
          <w:noProof/>
        </w:rPr>
        <w:t>09 TFUE;</w:t>
      </w:r>
    </w:p>
    <w:p w14:paraId="743B7A42" w14:textId="44F9FFC2" w:rsidR="008C02C8" w:rsidRPr="00DF3EF6" w:rsidRDefault="008C02C8" w:rsidP="007D1582">
      <w:pPr>
        <w:pStyle w:val="Text2"/>
        <w:rPr>
          <w:noProof/>
        </w:rPr>
      </w:pPr>
      <w:r w:rsidRPr="00DF3EF6">
        <w:rPr>
          <w:noProof/>
        </w:rPr>
        <w:t>22) »pranie pieniędzy« oznacza pranie pieniędzy zdefiniowane</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2</w:t>
      </w:r>
      <w:r w:rsidRPr="00DF3EF6">
        <w:rPr>
          <w:noProof/>
        </w:rPr>
        <w:t xml:space="preserve"> </w:t>
      </w:r>
      <w:r w:rsidRPr="0031342C">
        <w:rPr>
          <w:noProof/>
        </w:rPr>
        <w:t>pkt</w:t>
      </w:r>
      <w:r w:rsidR="0031342C" w:rsidRPr="0031342C">
        <w:rPr>
          <w:noProof/>
        </w:rPr>
        <w:t> </w:t>
      </w:r>
      <w:r w:rsidRPr="0031342C">
        <w:rPr>
          <w:noProof/>
        </w:rPr>
        <w:t>1</w:t>
      </w:r>
      <w:r w:rsidRPr="00DF3EF6">
        <w:rPr>
          <w:noProof/>
        </w:rPr>
        <w:t xml:space="preserve"> [proszę wstawić odesłanie do wniosku dotyczącego rozporządzenia</w:t>
      </w:r>
      <w:r w:rsidR="0031342C" w:rsidRPr="00DF3EF6">
        <w:rPr>
          <w:noProof/>
        </w:rPr>
        <w:t xml:space="preserve"> w</w:t>
      </w:r>
      <w:r w:rsidR="0031342C">
        <w:rPr>
          <w:noProof/>
        </w:rPr>
        <w:t> </w:t>
      </w:r>
      <w:r w:rsidR="0031342C" w:rsidRPr="00DF3EF6">
        <w:rPr>
          <w:noProof/>
        </w:rPr>
        <w:t>spr</w:t>
      </w:r>
      <w:r w:rsidRPr="00DF3EF6">
        <w:rPr>
          <w:noProof/>
        </w:rPr>
        <w:t>awie przeciwdziałania praniu pieniędzy – COM(2021) 420 final] *;</w:t>
      </w:r>
    </w:p>
    <w:p w14:paraId="28CE1DFB" w14:textId="76871490" w:rsidR="008C02C8" w:rsidRPr="00DF3EF6" w:rsidRDefault="008C02C8" w:rsidP="003513CB">
      <w:pPr>
        <w:pStyle w:val="Text2"/>
        <w:rPr>
          <w:noProof/>
        </w:rPr>
      </w:pPr>
      <w:r w:rsidRPr="00DF3EF6">
        <w:rPr>
          <w:noProof/>
        </w:rPr>
        <w:t>23) »finansowanie terroryzmu« oznacza finansowanie terroryzmu zdefiniowane</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2</w:t>
      </w:r>
      <w:r w:rsidRPr="00DF3EF6">
        <w:rPr>
          <w:noProof/>
        </w:rPr>
        <w:t xml:space="preserve"> </w:t>
      </w:r>
      <w:r w:rsidRPr="0031342C">
        <w:rPr>
          <w:noProof/>
        </w:rPr>
        <w:t>pkt</w:t>
      </w:r>
      <w:r w:rsidR="0031342C" w:rsidRPr="0031342C">
        <w:rPr>
          <w:noProof/>
        </w:rPr>
        <w:t> </w:t>
      </w:r>
      <w:r w:rsidRPr="0031342C">
        <w:rPr>
          <w:noProof/>
        </w:rPr>
        <w:t>2</w:t>
      </w:r>
      <w:r w:rsidRPr="00DF3EF6">
        <w:rPr>
          <w:noProof/>
        </w:rPr>
        <w:t xml:space="preserve"> [proszę wstawić odesłanie do wniosku dotyczącego rozporządzenia</w:t>
      </w:r>
      <w:r w:rsidR="0031342C" w:rsidRPr="00DF3EF6">
        <w:rPr>
          <w:noProof/>
        </w:rPr>
        <w:t xml:space="preserve"> w</w:t>
      </w:r>
      <w:r w:rsidR="0031342C">
        <w:rPr>
          <w:noProof/>
        </w:rPr>
        <w:t> </w:t>
      </w:r>
      <w:r w:rsidR="0031342C" w:rsidRPr="00DF3EF6">
        <w:rPr>
          <w:noProof/>
        </w:rPr>
        <w:t>spr</w:t>
      </w:r>
      <w:r w:rsidRPr="00DF3EF6">
        <w:rPr>
          <w:noProof/>
        </w:rPr>
        <w:t>awie przeciwdziałania praniu pieniędzy – COM(2021) 420 final]. **”;</w:t>
      </w:r>
    </w:p>
    <w:p w14:paraId="0660DE29" w14:textId="065BFF48" w:rsidR="008C02C8" w:rsidRPr="00DF3EF6" w:rsidRDefault="00DF3EF6" w:rsidP="00DF3EF6">
      <w:pPr>
        <w:pStyle w:val="Point1"/>
        <w:rPr>
          <w:noProof/>
        </w:rPr>
      </w:pPr>
      <w:r>
        <w:rPr>
          <w:noProof/>
        </w:rPr>
        <w:t>d)</w:t>
      </w:r>
      <w:r>
        <w:rPr>
          <w:noProof/>
        </w:rPr>
        <w:tab/>
      </w:r>
      <w:r w:rsidR="003513CB" w:rsidRPr="0031342C">
        <w:rPr>
          <w:noProof/>
        </w:rPr>
        <w:t>ust.</w:t>
      </w:r>
      <w:r w:rsidR="0031342C" w:rsidRPr="0031342C">
        <w:rPr>
          <w:noProof/>
        </w:rPr>
        <w:t> </w:t>
      </w:r>
      <w:r w:rsidR="003513CB" w:rsidRPr="0031342C">
        <w:rPr>
          <w:noProof/>
        </w:rPr>
        <w:t>3</w:t>
      </w:r>
      <w:r w:rsidR="003513CB" w:rsidRPr="00DF3EF6">
        <w:rPr>
          <w:noProof/>
        </w:rPr>
        <w:t xml:space="preserve"> otrzymuje brzmienie: </w:t>
      </w:r>
    </w:p>
    <w:p w14:paraId="4D37724E" w14:textId="40CF806D" w:rsidR="008C02C8" w:rsidRPr="00DF3EF6" w:rsidRDefault="008C02C8" w:rsidP="007D1582">
      <w:pPr>
        <w:pStyle w:val="Text2"/>
        <w:rPr>
          <w:noProof/>
        </w:rPr>
      </w:pPr>
      <w:r w:rsidRPr="00DF3EF6">
        <w:rPr>
          <w:noProof/>
        </w:rPr>
        <w:t>„3. Udziały</w:t>
      </w:r>
      <w:r w:rsidR="0031342C" w:rsidRPr="00DF3EF6">
        <w:rPr>
          <w:noProof/>
        </w:rPr>
        <w:t xml:space="preserve"> w</w:t>
      </w:r>
      <w:r w:rsidR="0031342C">
        <w:rPr>
          <w:noProof/>
        </w:rPr>
        <w:t> </w:t>
      </w:r>
      <w:r w:rsidR="0031342C" w:rsidRPr="00DF3EF6">
        <w:rPr>
          <w:noProof/>
        </w:rPr>
        <w:t>irl</w:t>
      </w:r>
      <w:r w:rsidRPr="00DF3EF6">
        <w:rPr>
          <w:noProof/>
        </w:rPr>
        <w:t>andzkich kasach budowlano-mieszkaniowych, oprócz tych, które zgodnie</w:t>
      </w:r>
      <w:r w:rsidR="0031342C" w:rsidRPr="00DF3EF6">
        <w:rPr>
          <w:noProof/>
        </w:rPr>
        <w:t xml:space="preserve"> z</w:t>
      </w:r>
      <w:r w:rsidR="0031342C">
        <w:rPr>
          <w:noProof/>
        </w:rPr>
        <w:t> </w:t>
      </w:r>
      <w:r w:rsidR="0031342C" w:rsidRPr="00DF3EF6">
        <w:rPr>
          <w:noProof/>
        </w:rPr>
        <w:t>ich</w:t>
      </w:r>
      <w:r w:rsidRPr="00DF3EF6">
        <w:rPr>
          <w:noProof/>
        </w:rPr>
        <w:t xml:space="preserve"> naturą są uważane za kapitał</w:t>
      </w:r>
      <w:r w:rsidR="0031342C" w:rsidRPr="00DF3EF6">
        <w:rPr>
          <w:noProof/>
        </w:rPr>
        <w:t xml:space="preserve"> w</w:t>
      </w:r>
      <w:r w:rsidR="0031342C">
        <w:rPr>
          <w:noProof/>
        </w:rPr>
        <w:t> </w:t>
      </w:r>
      <w:r w:rsidR="0031342C" w:rsidRPr="00DF3EF6">
        <w:rPr>
          <w:noProof/>
        </w:rPr>
        <w:t>roz</w:t>
      </w:r>
      <w:r w:rsidRPr="00DF3EF6">
        <w:rPr>
          <w:noProof/>
        </w:rPr>
        <w:t xml:space="preserve">umieniu </w:t>
      </w:r>
      <w:r w:rsidRPr="0031342C">
        <w:rPr>
          <w:noProof/>
        </w:rPr>
        <w:t>art.</w:t>
      </w:r>
      <w:r w:rsidR="0031342C" w:rsidRPr="0031342C">
        <w:rPr>
          <w:noProof/>
        </w:rPr>
        <w:t> </w:t>
      </w:r>
      <w:r w:rsidRPr="0031342C">
        <w:rPr>
          <w:noProof/>
        </w:rPr>
        <w:t>5</w:t>
      </w:r>
      <w:r w:rsidRPr="00DF3EF6">
        <w:rPr>
          <w:noProof/>
        </w:rPr>
        <w:t xml:space="preserve"> </w:t>
      </w:r>
      <w:r w:rsidRPr="0031342C">
        <w:rPr>
          <w:noProof/>
        </w:rPr>
        <w:t>ust.</w:t>
      </w:r>
      <w:r w:rsidR="0031342C" w:rsidRPr="0031342C">
        <w:rPr>
          <w:noProof/>
        </w:rPr>
        <w:t> </w:t>
      </w:r>
      <w:r w:rsidRPr="0031342C">
        <w:rPr>
          <w:noProof/>
        </w:rPr>
        <w:t>1</w:t>
      </w:r>
      <w:r w:rsidRPr="00DF3EF6">
        <w:rPr>
          <w:noProof/>
        </w:rPr>
        <w:t xml:space="preserve"> </w:t>
      </w:r>
      <w:r w:rsidRPr="0031342C">
        <w:rPr>
          <w:noProof/>
        </w:rPr>
        <w:t>lit.</w:t>
      </w:r>
      <w:r w:rsidR="0031342C" w:rsidRPr="0031342C">
        <w:rPr>
          <w:noProof/>
        </w:rPr>
        <w:t> </w:t>
      </w:r>
      <w:r w:rsidRPr="0031342C">
        <w:rPr>
          <w:noProof/>
        </w:rPr>
        <w:t>b)</w:t>
      </w:r>
      <w:r w:rsidRPr="00DF3EF6">
        <w:rPr>
          <w:noProof/>
        </w:rPr>
        <w:t>, uznaje się za depozyty.”;</w:t>
      </w:r>
    </w:p>
    <w:p w14:paraId="63290901" w14:textId="77777777" w:rsidR="00AF08DC" w:rsidRPr="00DF3EF6" w:rsidRDefault="00AF08DC" w:rsidP="00A601F7">
      <w:pPr>
        <w:rPr>
          <w:noProof/>
        </w:rPr>
      </w:pPr>
      <w:r w:rsidRPr="00DF3EF6">
        <w:rPr>
          <w:noProof/>
        </w:rPr>
        <w:t>____________________________________________</w:t>
      </w:r>
    </w:p>
    <w:p w14:paraId="384B5011" w14:textId="76AA72A0" w:rsidR="00AF08DC" w:rsidRPr="00DF3EF6" w:rsidRDefault="00AF08DC" w:rsidP="002853EA">
      <w:pPr>
        <w:pStyle w:val="Text2"/>
        <w:rPr>
          <w:noProof/>
        </w:rPr>
      </w:pPr>
      <w:r w:rsidRPr="00DF3EF6">
        <w:rPr>
          <w:noProof/>
        </w:rPr>
        <w:t>*</w:t>
      </w:r>
      <w:r w:rsidRPr="00DF3EF6">
        <w:rPr>
          <w:noProof/>
        </w:rPr>
        <w:tab/>
        <w:t>[Proszę wstawić pełne odesłanie do wniosku dotyczącego rozporządzenia</w:t>
      </w:r>
      <w:r w:rsidR="0031342C" w:rsidRPr="00DF3EF6">
        <w:rPr>
          <w:noProof/>
        </w:rPr>
        <w:t xml:space="preserve"> w</w:t>
      </w:r>
      <w:r w:rsidR="0031342C">
        <w:rPr>
          <w:noProof/>
        </w:rPr>
        <w:t> </w:t>
      </w:r>
      <w:r w:rsidR="0031342C" w:rsidRPr="00DF3EF6">
        <w:rPr>
          <w:noProof/>
        </w:rPr>
        <w:t>spr</w:t>
      </w:r>
      <w:r w:rsidRPr="00DF3EF6">
        <w:rPr>
          <w:noProof/>
        </w:rPr>
        <w:t>awie przeciwdziałania praniu pieniędzy – COM(2021) 420 final].</w:t>
      </w:r>
    </w:p>
    <w:p w14:paraId="3C4B7AD0" w14:textId="42E9F6EE" w:rsidR="00AF08DC" w:rsidRPr="00DF3EF6" w:rsidRDefault="00AF08DC" w:rsidP="00AF08DC">
      <w:pPr>
        <w:pStyle w:val="Text2"/>
        <w:rPr>
          <w:noProof/>
        </w:rPr>
      </w:pPr>
      <w:r w:rsidRPr="00DF3EF6">
        <w:rPr>
          <w:noProof/>
        </w:rPr>
        <w:t>**</w:t>
      </w:r>
      <w:r w:rsidRPr="00DF3EF6">
        <w:rPr>
          <w:noProof/>
        </w:rPr>
        <w:tab/>
        <w:t>[Proszę wstawić pełne odesłanie do wniosku dotyczącego rozporządzenia</w:t>
      </w:r>
      <w:r w:rsidR="0031342C" w:rsidRPr="00DF3EF6">
        <w:rPr>
          <w:noProof/>
        </w:rPr>
        <w:t xml:space="preserve"> w</w:t>
      </w:r>
      <w:r w:rsidR="0031342C">
        <w:rPr>
          <w:noProof/>
        </w:rPr>
        <w:t> </w:t>
      </w:r>
      <w:r w:rsidR="0031342C" w:rsidRPr="00DF3EF6">
        <w:rPr>
          <w:noProof/>
        </w:rPr>
        <w:t>spr</w:t>
      </w:r>
      <w:r w:rsidRPr="00DF3EF6">
        <w:rPr>
          <w:noProof/>
        </w:rPr>
        <w:t>awie przeciwdziałania praniu pieniędzy – COM(2021) 420 final].</w:t>
      </w:r>
    </w:p>
    <w:p w14:paraId="36B340D9" w14:textId="601629ED" w:rsidR="008C02C8" w:rsidRPr="00DF3EF6" w:rsidRDefault="00DF3EF6" w:rsidP="00DF3EF6">
      <w:pPr>
        <w:pStyle w:val="Point0"/>
        <w:rPr>
          <w:noProof/>
        </w:rPr>
      </w:pPr>
      <w:r>
        <w:rPr>
          <w:noProof/>
        </w:rPr>
        <w:t>3)</w:t>
      </w:r>
      <w:r>
        <w:rPr>
          <w:noProof/>
        </w:rPr>
        <w:tab/>
      </w:r>
      <w:r w:rsidR="008C02C8" w:rsidRPr="00DF3EF6">
        <w:rPr>
          <w:noProof/>
        </w:rPr>
        <w:t xml:space="preserve">w </w:t>
      </w:r>
      <w:r w:rsidR="008C02C8" w:rsidRPr="0031342C">
        <w:rPr>
          <w:noProof/>
        </w:rPr>
        <w:t>art.</w:t>
      </w:r>
      <w:r w:rsidR="0031342C" w:rsidRPr="0031342C">
        <w:rPr>
          <w:noProof/>
        </w:rPr>
        <w:t> </w:t>
      </w:r>
      <w:r w:rsidR="008C02C8" w:rsidRPr="0031342C">
        <w:rPr>
          <w:noProof/>
        </w:rPr>
        <w:t>4</w:t>
      </w:r>
      <w:r w:rsidR="008C02C8" w:rsidRPr="00DF3EF6">
        <w:rPr>
          <w:noProof/>
        </w:rPr>
        <w:t xml:space="preserve"> wprowadza się następujące zmiany: </w:t>
      </w:r>
    </w:p>
    <w:p w14:paraId="15CBA305" w14:textId="11B6DAC5" w:rsidR="008C02C8" w:rsidRPr="00DF3EF6" w:rsidRDefault="00DF3EF6" w:rsidP="00DF3EF6">
      <w:pPr>
        <w:pStyle w:val="Point1"/>
        <w:rPr>
          <w:noProof/>
        </w:rPr>
      </w:pPr>
      <w:r>
        <w:rPr>
          <w:noProof/>
        </w:rPr>
        <w:t>a)</w:t>
      </w:r>
      <w:r>
        <w:rPr>
          <w:noProof/>
        </w:rPr>
        <w:tab/>
      </w:r>
      <w:r w:rsidR="003F04E3" w:rsidRPr="0031342C">
        <w:rPr>
          <w:noProof/>
        </w:rPr>
        <w:t>ust.</w:t>
      </w:r>
      <w:r w:rsidR="0031342C" w:rsidRPr="0031342C">
        <w:rPr>
          <w:noProof/>
        </w:rPr>
        <w:t> </w:t>
      </w:r>
      <w:r w:rsidR="003F04E3" w:rsidRPr="0031342C">
        <w:rPr>
          <w:noProof/>
        </w:rPr>
        <w:t>4</w:t>
      </w:r>
      <w:r w:rsidR="003F04E3" w:rsidRPr="00DF3EF6">
        <w:rPr>
          <w:noProof/>
        </w:rPr>
        <w:t xml:space="preserve"> otrzymuje brzmienie:</w:t>
      </w:r>
    </w:p>
    <w:p w14:paraId="4039B6A8" w14:textId="0D0F238E" w:rsidR="008C02C8" w:rsidRPr="00DF3EF6" w:rsidRDefault="008C02C8" w:rsidP="007D1582">
      <w:pPr>
        <w:pStyle w:val="Text2"/>
        <w:rPr>
          <w:noProof/>
        </w:rPr>
      </w:pPr>
      <w:r w:rsidRPr="00DF3EF6">
        <w:rPr>
          <w:noProof/>
        </w:rPr>
        <w:t>„4. Państwa członkowskie zapewniają, aby</w:t>
      </w:r>
      <w:r w:rsidR="0031342C" w:rsidRPr="00DF3EF6">
        <w:rPr>
          <w:noProof/>
        </w:rPr>
        <w:t xml:space="preserve"> w</w:t>
      </w:r>
      <w:r w:rsidR="0031342C">
        <w:rPr>
          <w:noProof/>
        </w:rPr>
        <w:t> </w:t>
      </w:r>
      <w:r w:rsidR="0031342C" w:rsidRPr="00DF3EF6">
        <w:rPr>
          <w:noProof/>
        </w:rPr>
        <w:t>prz</w:t>
      </w:r>
      <w:r w:rsidRPr="00DF3EF6">
        <w:rPr>
          <w:noProof/>
        </w:rPr>
        <w:t>ypadku gdy instytucja kredytowa nie spełnia zobowiązań spoczywających na niej</w:t>
      </w:r>
      <w:r w:rsidR="0031342C" w:rsidRPr="00DF3EF6">
        <w:rPr>
          <w:noProof/>
        </w:rPr>
        <w:t xml:space="preserve"> z</w:t>
      </w:r>
      <w:r w:rsidR="0031342C">
        <w:rPr>
          <w:noProof/>
        </w:rPr>
        <w:t> </w:t>
      </w:r>
      <w:r w:rsidR="0031342C" w:rsidRPr="00DF3EF6">
        <w:rPr>
          <w:noProof/>
        </w:rPr>
        <w:t>rac</w:t>
      </w:r>
      <w:r w:rsidRPr="00DF3EF6">
        <w:rPr>
          <w:noProof/>
        </w:rPr>
        <w:t>ji członkostwa</w:t>
      </w:r>
      <w:r w:rsidR="0031342C" w:rsidRPr="00DF3EF6">
        <w:rPr>
          <w:noProof/>
        </w:rPr>
        <w:t xml:space="preserve"> w</w:t>
      </w:r>
      <w:r w:rsidR="0031342C">
        <w:rPr>
          <w:noProof/>
        </w:rPr>
        <w:t> </w:t>
      </w:r>
      <w:r w:rsidR="0031342C" w:rsidRPr="00DF3EF6">
        <w:rPr>
          <w:noProof/>
        </w:rPr>
        <w:t>sys</w:t>
      </w:r>
      <w:r w:rsidRPr="00DF3EF6">
        <w:rPr>
          <w:noProof/>
        </w:rPr>
        <w:t>temie gwarancji depozytów, taki system gwarancji depozytów bezzwłocznie informował</w:t>
      </w:r>
      <w:r w:rsidR="0031342C" w:rsidRPr="00DF3EF6">
        <w:rPr>
          <w:noProof/>
        </w:rPr>
        <w:t xml:space="preserve"> o</w:t>
      </w:r>
      <w:r w:rsidR="0031342C">
        <w:rPr>
          <w:noProof/>
        </w:rPr>
        <w:t> </w:t>
      </w:r>
      <w:r w:rsidR="0031342C" w:rsidRPr="00DF3EF6">
        <w:rPr>
          <w:noProof/>
        </w:rPr>
        <w:t>tym</w:t>
      </w:r>
      <w:r w:rsidRPr="00DF3EF6">
        <w:rPr>
          <w:noProof/>
        </w:rPr>
        <w:t xml:space="preserve"> organ właściwy dla tej instytucji kredytowej. Państwa członkowskie zapewniają, aby właściwy organ, we współpracy</w:t>
      </w:r>
      <w:r w:rsidR="0031342C" w:rsidRPr="00DF3EF6">
        <w:rPr>
          <w:noProof/>
        </w:rPr>
        <w:t xml:space="preserve"> z</w:t>
      </w:r>
      <w:r w:rsidR="0031342C">
        <w:rPr>
          <w:noProof/>
        </w:rPr>
        <w:t> </w:t>
      </w:r>
      <w:r w:rsidR="0031342C" w:rsidRPr="00DF3EF6">
        <w:rPr>
          <w:noProof/>
        </w:rPr>
        <w:t>sys</w:t>
      </w:r>
      <w:r w:rsidRPr="00DF3EF6">
        <w:rPr>
          <w:noProof/>
        </w:rPr>
        <w:t>temem gwarancji depozytów, korzystał</w:t>
      </w:r>
      <w:r w:rsidR="0031342C" w:rsidRPr="00DF3EF6">
        <w:rPr>
          <w:noProof/>
        </w:rPr>
        <w:t xml:space="preserve"> z</w:t>
      </w:r>
      <w:r w:rsidR="0031342C">
        <w:rPr>
          <w:noProof/>
        </w:rPr>
        <w:t> </w:t>
      </w:r>
      <w:r w:rsidR="0031342C" w:rsidRPr="00DF3EF6">
        <w:rPr>
          <w:noProof/>
        </w:rPr>
        <w:t>upr</w:t>
      </w:r>
      <w:r w:rsidRPr="00DF3EF6">
        <w:rPr>
          <w:noProof/>
        </w:rPr>
        <w:t>awnień nadzorczych określonych</w:t>
      </w:r>
      <w:r w:rsidR="0031342C" w:rsidRPr="00DF3EF6">
        <w:rPr>
          <w:noProof/>
        </w:rPr>
        <w:t xml:space="preserve"> w</w:t>
      </w:r>
      <w:r w:rsidR="0031342C">
        <w:rPr>
          <w:noProof/>
        </w:rPr>
        <w:t> </w:t>
      </w:r>
      <w:r w:rsidR="0031342C" w:rsidRPr="00DF3EF6">
        <w:rPr>
          <w:noProof/>
        </w:rPr>
        <w:t>dyr</w:t>
      </w:r>
      <w:r w:rsidRPr="00DF3EF6">
        <w:rPr>
          <w:noProof/>
        </w:rPr>
        <w:t>ektywie 2013/36/UE</w:t>
      </w:r>
      <w:r w:rsidR="0031342C" w:rsidRPr="00DF3EF6">
        <w:rPr>
          <w:noProof/>
        </w:rPr>
        <w:t xml:space="preserve"> i</w:t>
      </w:r>
      <w:r w:rsidR="0031342C">
        <w:rPr>
          <w:noProof/>
        </w:rPr>
        <w:t> </w:t>
      </w:r>
      <w:r w:rsidR="0031342C" w:rsidRPr="00DF3EF6">
        <w:rPr>
          <w:noProof/>
        </w:rPr>
        <w:t>szy</w:t>
      </w:r>
      <w:r w:rsidRPr="00DF3EF6">
        <w:rPr>
          <w:noProof/>
        </w:rPr>
        <w:t xml:space="preserve">bko wprowadzał wszelkie środki </w:t>
      </w:r>
      <w:r w:rsidRPr="00DF3EF6">
        <w:rPr>
          <w:noProof/>
        </w:rPr>
        <w:lastRenderedPageBreak/>
        <w:t>konieczne do zapewnienia spełnienia zobowiązań przez daną instytucję kredytową,</w:t>
      </w:r>
      <w:r w:rsidR="0031342C" w:rsidRPr="00DF3EF6">
        <w:rPr>
          <w:noProof/>
        </w:rPr>
        <w:t xml:space="preserve"> w</w:t>
      </w:r>
      <w:r w:rsidR="0031342C">
        <w:rPr>
          <w:noProof/>
        </w:rPr>
        <w:t> </w:t>
      </w:r>
      <w:r w:rsidR="0031342C" w:rsidRPr="00DF3EF6">
        <w:rPr>
          <w:noProof/>
        </w:rPr>
        <w:t>tym w</w:t>
      </w:r>
      <w:r w:rsidR="0031342C">
        <w:rPr>
          <w:noProof/>
        </w:rPr>
        <w:t> </w:t>
      </w:r>
      <w:r w:rsidR="0031342C" w:rsidRPr="00DF3EF6">
        <w:rPr>
          <w:noProof/>
        </w:rPr>
        <w:t>raz</w:t>
      </w:r>
      <w:r w:rsidRPr="00DF3EF6">
        <w:rPr>
          <w:noProof/>
        </w:rPr>
        <w:t>ie potrzeby poprzez nałożenie sankcji administracyjnych</w:t>
      </w:r>
      <w:r w:rsidR="0031342C" w:rsidRPr="00DF3EF6">
        <w:rPr>
          <w:noProof/>
        </w:rPr>
        <w:t xml:space="preserve"> i</w:t>
      </w:r>
      <w:r w:rsidR="0031342C">
        <w:rPr>
          <w:noProof/>
        </w:rPr>
        <w:t> </w:t>
      </w:r>
      <w:r w:rsidR="0031342C" w:rsidRPr="00DF3EF6">
        <w:rPr>
          <w:noProof/>
        </w:rPr>
        <w:t>zas</w:t>
      </w:r>
      <w:r w:rsidRPr="00DF3EF6">
        <w:rPr>
          <w:noProof/>
        </w:rPr>
        <w:t>tosowanie innych środków administracyjnych zgodnie</w:t>
      </w:r>
      <w:r w:rsidR="0031342C" w:rsidRPr="00DF3EF6">
        <w:rPr>
          <w:noProof/>
        </w:rPr>
        <w:t xml:space="preserve"> z</w:t>
      </w:r>
      <w:r w:rsidR="0031342C">
        <w:rPr>
          <w:noProof/>
        </w:rPr>
        <w:t> </w:t>
      </w:r>
      <w:r w:rsidR="0031342C" w:rsidRPr="00DF3EF6">
        <w:rPr>
          <w:noProof/>
        </w:rPr>
        <w:t>prz</w:t>
      </w:r>
      <w:r w:rsidRPr="00DF3EF6">
        <w:rPr>
          <w:noProof/>
        </w:rPr>
        <w:t>episami prawa krajowego przyjętymi</w:t>
      </w:r>
      <w:r w:rsidR="0031342C" w:rsidRPr="00DF3EF6">
        <w:rPr>
          <w:noProof/>
        </w:rPr>
        <w:t xml:space="preserve"> w</w:t>
      </w:r>
      <w:r w:rsidR="0031342C">
        <w:rPr>
          <w:noProof/>
        </w:rPr>
        <w:t> </w:t>
      </w:r>
      <w:r w:rsidR="0031342C" w:rsidRPr="00DF3EF6">
        <w:rPr>
          <w:noProof/>
        </w:rPr>
        <w:t>uzu</w:t>
      </w:r>
      <w:r w:rsidRPr="00DF3EF6">
        <w:rPr>
          <w:noProof/>
        </w:rPr>
        <w:t>pełnieniu wykonania przepisów tytułu VII rozdział 1 sekcja IV dyrektywy 2013/36/UE.”;</w:t>
      </w:r>
    </w:p>
    <w:p w14:paraId="01211B95" w14:textId="7293E7F9" w:rsidR="008C02C8" w:rsidRPr="00DF3EF6" w:rsidRDefault="00DF3EF6" w:rsidP="00DF3EF6">
      <w:pPr>
        <w:pStyle w:val="Point1"/>
        <w:rPr>
          <w:noProof/>
        </w:rPr>
      </w:pPr>
      <w:r>
        <w:rPr>
          <w:noProof/>
        </w:rPr>
        <w:t>b)</w:t>
      </w:r>
      <w:r>
        <w:rPr>
          <w:noProof/>
        </w:rPr>
        <w:tab/>
      </w:r>
      <w:r w:rsidR="0030103D" w:rsidRPr="00DF3EF6">
        <w:rPr>
          <w:noProof/>
        </w:rPr>
        <w:t xml:space="preserve">dodaje się </w:t>
      </w:r>
      <w:r w:rsidR="0030103D" w:rsidRPr="0031342C">
        <w:rPr>
          <w:noProof/>
        </w:rPr>
        <w:t>ust.</w:t>
      </w:r>
      <w:r w:rsidR="0031342C" w:rsidRPr="0031342C">
        <w:rPr>
          <w:noProof/>
        </w:rPr>
        <w:t> </w:t>
      </w:r>
      <w:r w:rsidR="0030103D" w:rsidRPr="0031342C">
        <w:rPr>
          <w:noProof/>
        </w:rPr>
        <w:t>4</w:t>
      </w:r>
      <w:r w:rsidR="0030103D" w:rsidRPr="00DF3EF6">
        <w:rPr>
          <w:noProof/>
        </w:rPr>
        <w:t>a</w:t>
      </w:r>
      <w:r w:rsidR="0031342C" w:rsidRPr="00DF3EF6">
        <w:rPr>
          <w:noProof/>
        </w:rPr>
        <w:t xml:space="preserve"> w</w:t>
      </w:r>
      <w:r w:rsidR="0031342C">
        <w:rPr>
          <w:noProof/>
        </w:rPr>
        <w:t> </w:t>
      </w:r>
      <w:r w:rsidR="0031342C" w:rsidRPr="00DF3EF6">
        <w:rPr>
          <w:noProof/>
        </w:rPr>
        <w:t>brz</w:t>
      </w:r>
      <w:r w:rsidR="0030103D" w:rsidRPr="00DF3EF6">
        <w:rPr>
          <w:noProof/>
        </w:rPr>
        <w:t>mieniu:</w:t>
      </w:r>
    </w:p>
    <w:p w14:paraId="6E2BE0B8" w14:textId="52EFAB24" w:rsidR="008C02C8" w:rsidRPr="00DF3EF6" w:rsidRDefault="008C02C8" w:rsidP="00CE6A53">
      <w:pPr>
        <w:pStyle w:val="Text2"/>
        <w:rPr>
          <w:noProof/>
        </w:rPr>
      </w:pPr>
      <w:r w:rsidRPr="00DF3EF6">
        <w:rPr>
          <w:noProof/>
        </w:rPr>
        <w:t>„4a. Państwa członkowskie zapewniają, aby wobec instytucji kredytowej, która nie dokuje zapłaty składek,</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0</w:t>
      </w:r>
      <w:r w:rsidR="0031342C" w:rsidRPr="00DF3EF6">
        <w:rPr>
          <w:noProof/>
        </w:rPr>
        <w:t xml:space="preserve"> i</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4</w:t>
      </w:r>
      <w:r w:rsidRPr="00DF3EF6">
        <w:rPr>
          <w:noProof/>
        </w:rPr>
        <w:t>,</w:t>
      </w:r>
      <w:r w:rsidR="0031342C" w:rsidRPr="00DF3EF6">
        <w:rPr>
          <w:noProof/>
        </w:rPr>
        <w:t xml:space="preserve"> w</w:t>
      </w:r>
      <w:r w:rsidR="0031342C">
        <w:rPr>
          <w:noProof/>
        </w:rPr>
        <w:t> </w:t>
      </w:r>
      <w:r w:rsidR="0031342C" w:rsidRPr="00DF3EF6">
        <w:rPr>
          <w:noProof/>
        </w:rPr>
        <w:t>ter</w:t>
      </w:r>
      <w:r w:rsidRPr="00DF3EF6">
        <w:rPr>
          <w:noProof/>
        </w:rPr>
        <w:t>minie określonym przez system gwarancji depozytów, taki system gwarancji depozytów pobierał ustawowe odsetki od zaległej kwoty przez okres zwłoki.”;</w:t>
      </w:r>
    </w:p>
    <w:p w14:paraId="2458D886" w14:textId="40D1A268" w:rsidR="008C02C8" w:rsidRPr="00DF3EF6" w:rsidRDefault="00DF3EF6" w:rsidP="00DF3EF6">
      <w:pPr>
        <w:pStyle w:val="Point1"/>
        <w:rPr>
          <w:noProof/>
        </w:rPr>
      </w:pPr>
      <w:r>
        <w:rPr>
          <w:noProof/>
        </w:rPr>
        <w:t>c)</w:t>
      </w:r>
      <w:r>
        <w:rPr>
          <w:noProof/>
        </w:rPr>
        <w:tab/>
      </w:r>
      <w:r w:rsidR="008C02C8" w:rsidRPr="0031342C">
        <w:rPr>
          <w:noProof/>
        </w:rPr>
        <w:t>ust.</w:t>
      </w:r>
      <w:r w:rsidR="0031342C" w:rsidRPr="0031342C">
        <w:rPr>
          <w:noProof/>
        </w:rPr>
        <w:t> </w:t>
      </w:r>
      <w:r w:rsidR="008C02C8" w:rsidRPr="0031342C">
        <w:rPr>
          <w:noProof/>
        </w:rPr>
        <w:t>5</w:t>
      </w:r>
      <w:r w:rsidR="0031342C" w:rsidRPr="00DF3EF6">
        <w:rPr>
          <w:noProof/>
        </w:rPr>
        <w:t xml:space="preserve"> i</w:t>
      </w:r>
      <w:r w:rsidR="0031342C">
        <w:rPr>
          <w:noProof/>
        </w:rPr>
        <w:t> </w:t>
      </w:r>
      <w:r w:rsidR="0031342C" w:rsidRPr="00DF3EF6">
        <w:rPr>
          <w:noProof/>
        </w:rPr>
        <w:t>6</w:t>
      </w:r>
      <w:r w:rsidR="008C02C8" w:rsidRPr="00DF3EF6">
        <w:rPr>
          <w:noProof/>
        </w:rPr>
        <w:t xml:space="preserve"> otrzymują brzmienie:</w:t>
      </w:r>
    </w:p>
    <w:p w14:paraId="7F775E6C" w14:textId="26B90D54" w:rsidR="008C02C8" w:rsidRPr="00DF3EF6" w:rsidRDefault="008C02C8" w:rsidP="00CE6A53">
      <w:pPr>
        <w:pStyle w:val="Text2"/>
        <w:rPr>
          <w:noProof/>
        </w:rPr>
      </w:pPr>
      <w:r w:rsidRPr="00DF3EF6">
        <w:rPr>
          <w:noProof/>
        </w:rPr>
        <w:t>„5. Państwa członkowskie zapewniają, aby system gwarancji depozytów informował wyznaczony organ, jeżeli środki,</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4</w:t>
      </w:r>
      <w:r w:rsidR="0031342C" w:rsidRPr="00DF3EF6">
        <w:rPr>
          <w:noProof/>
        </w:rPr>
        <w:t xml:space="preserve"> i</w:t>
      </w:r>
      <w:r w:rsidR="0031342C">
        <w:rPr>
          <w:noProof/>
        </w:rPr>
        <w:t> </w:t>
      </w:r>
      <w:r w:rsidR="0031342C" w:rsidRPr="00DF3EF6">
        <w:rPr>
          <w:noProof/>
        </w:rPr>
        <w:t>4</w:t>
      </w:r>
      <w:r w:rsidRPr="00DF3EF6">
        <w:rPr>
          <w:noProof/>
        </w:rPr>
        <w:t>a, nie skutkują spełnieniem zobowiązań przez instytucję kredytową. Państwa członkowskie zapewniają, aby wyznaczony organ oceniał, czy instytucja nadal spełnia warunki dalszego członkostwa</w:t>
      </w:r>
      <w:r w:rsidR="0031342C" w:rsidRPr="00DF3EF6">
        <w:rPr>
          <w:noProof/>
        </w:rPr>
        <w:t xml:space="preserve"> w</w:t>
      </w:r>
      <w:r w:rsidR="0031342C">
        <w:rPr>
          <w:noProof/>
        </w:rPr>
        <w:t> </w:t>
      </w:r>
      <w:r w:rsidR="0031342C" w:rsidRPr="00DF3EF6">
        <w:rPr>
          <w:noProof/>
        </w:rPr>
        <w:t>sys</w:t>
      </w:r>
      <w:r w:rsidRPr="00DF3EF6">
        <w:rPr>
          <w:noProof/>
        </w:rPr>
        <w:t>temie gwarancji depozytów,</w:t>
      </w:r>
      <w:r w:rsidR="0031342C" w:rsidRPr="00DF3EF6">
        <w:rPr>
          <w:noProof/>
        </w:rPr>
        <w:t xml:space="preserve"> i</w:t>
      </w:r>
      <w:r w:rsidR="0031342C">
        <w:rPr>
          <w:noProof/>
        </w:rPr>
        <w:t> </w:t>
      </w:r>
      <w:r w:rsidR="0031342C" w:rsidRPr="00DF3EF6">
        <w:rPr>
          <w:noProof/>
        </w:rPr>
        <w:t>inf</w:t>
      </w:r>
      <w:r w:rsidRPr="00DF3EF6">
        <w:rPr>
          <w:noProof/>
        </w:rPr>
        <w:t>ormował właściwy organ</w:t>
      </w:r>
      <w:r w:rsidR="0031342C" w:rsidRPr="00DF3EF6">
        <w:rPr>
          <w:noProof/>
        </w:rPr>
        <w:t xml:space="preserve"> o</w:t>
      </w:r>
      <w:r w:rsidR="0031342C">
        <w:rPr>
          <w:noProof/>
        </w:rPr>
        <w:t> </w:t>
      </w:r>
      <w:r w:rsidR="0031342C" w:rsidRPr="00DF3EF6">
        <w:rPr>
          <w:noProof/>
        </w:rPr>
        <w:t>wyn</w:t>
      </w:r>
      <w:r w:rsidRPr="00DF3EF6">
        <w:rPr>
          <w:noProof/>
        </w:rPr>
        <w:t>iku tej oceny.</w:t>
      </w:r>
    </w:p>
    <w:p w14:paraId="216E5BF5" w14:textId="1A47534F" w:rsidR="008C02C8" w:rsidRPr="00DF3EF6" w:rsidRDefault="008C02C8" w:rsidP="00CE6A53">
      <w:pPr>
        <w:pStyle w:val="Text2"/>
        <w:rPr>
          <w:noProof/>
        </w:rPr>
      </w:pPr>
      <w:r w:rsidRPr="00DF3EF6">
        <w:rPr>
          <w:noProof/>
        </w:rPr>
        <w:t>6. Państwa członkowskie zapewniają, aby</w:t>
      </w:r>
      <w:r w:rsidR="0031342C" w:rsidRPr="00DF3EF6">
        <w:rPr>
          <w:noProof/>
        </w:rPr>
        <w:t xml:space="preserve"> w</w:t>
      </w:r>
      <w:r w:rsidR="0031342C">
        <w:rPr>
          <w:noProof/>
        </w:rPr>
        <w:t> </w:t>
      </w:r>
      <w:r w:rsidR="0031342C" w:rsidRPr="00DF3EF6">
        <w:rPr>
          <w:noProof/>
        </w:rPr>
        <w:t>prz</w:t>
      </w:r>
      <w:r w:rsidRPr="00DF3EF6">
        <w:rPr>
          <w:noProof/>
        </w:rPr>
        <w:t>ypadku,</w:t>
      </w:r>
      <w:r w:rsidR="0031342C" w:rsidRPr="00DF3EF6">
        <w:rPr>
          <w:noProof/>
        </w:rPr>
        <w:t xml:space="preserve"> w</w:t>
      </w:r>
      <w:r w:rsidR="0031342C">
        <w:rPr>
          <w:noProof/>
        </w:rPr>
        <w:t> </w:t>
      </w:r>
      <w:r w:rsidR="0031342C" w:rsidRPr="00DF3EF6">
        <w:rPr>
          <w:noProof/>
        </w:rPr>
        <w:t>któ</w:t>
      </w:r>
      <w:r w:rsidRPr="00DF3EF6">
        <w:rPr>
          <w:noProof/>
        </w:rPr>
        <w:t>rym właściwy organ postanawia cofnąć zezwolenie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8 dyrektywy 2013/36/UE, instytucja kredytowa przestała być członkiem systemu gwarancji depozytów. Państwa członkowskie zapewniają, aby depozyty przechowywane na dzień,</w:t>
      </w:r>
      <w:r w:rsidR="0031342C" w:rsidRPr="00DF3EF6">
        <w:rPr>
          <w:noProof/>
        </w:rPr>
        <w:t xml:space="preserve"> w</w:t>
      </w:r>
      <w:r w:rsidR="0031342C">
        <w:rPr>
          <w:noProof/>
        </w:rPr>
        <w:t> </w:t>
      </w:r>
      <w:r w:rsidR="0031342C" w:rsidRPr="00DF3EF6">
        <w:rPr>
          <w:noProof/>
        </w:rPr>
        <w:t>któ</w:t>
      </w:r>
      <w:r w:rsidRPr="00DF3EF6">
        <w:rPr>
          <w:noProof/>
        </w:rPr>
        <w:t>rym dana instytucja kredytowa przestaje być członkiem systemu gwarancji depozytów, nadal były gwarantowane przez ten system gwarancji depozytów.”;</w:t>
      </w:r>
    </w:p>
    <w:p w14:paraId="21CA9043" w14:textId="6DF10CAB" w:rsidR="008C02C8" w:rsidRPr="00DF3EF6" w:rsidRDefault="00DF3EF6" w:rsidP="00DF3EF6">
      <w:pPr>
        <w:pStyle w:val="Point1"/>
        <w:rPr>
          <w:noProof/>
        </w:rPr>
      </w:pPr>
      <w:r>
        <w:rPr>
          <w:noProof/>
        </w:rPr>
        <w:t>d)</w:t>
      </w:r>
      <w:r>
        <w:rPr>
          <w:noProof/>
        </w:rPr>
        <w:tab/>
      </w:r>
      <w:r w:rsidR="008C02C8" w:rsidRPr="00DF3EF6">
        <w:rPr>
          <w:noProof/>
        </w:rPr>
        <w:t xml:space="preserve">uchyla się </w:t>
      </w:r>
      <w:r w:rsidR="008C02C8" w:rsidRPr="0031342C">
        <w:rPr>
          <w:noProof/>
        </w:rPr>
        <w:t>ust.</w:t>
      </w:r>
      <w:r w:rsidR="0031342C" w:rsidRPr="0031342C">
        <w:rPr>
          <w:noProof/>
        </w:rPr>
        <w:t> </w:t>
      </w:r>
      <w:r w:rsidR="008C02C8" w:rsidRPr="0031342C">
        <w:rPr>
          <w:noProof/>
        </w:rPr>
        <w:t>8</w:t>
      </w:r>
      <w:r w:rsidR="008C02C8" w:rsidRPr="00DF3EF6">
        <w:rPr>
          <w:noProof/>
        </w:rPr>
        <w:t>;</w:t>
      </w:r>
    </w:p>
    <w:p w14:paraId="730D0E0A" w14:textId="32FFB86F" w:rsidR="008C02C8" w:rsidRPr="00DF3EF6" w:rsidRDefault="00DF3EF6" w:rsidP="00DF3EF6">
      <w:pPr>
        <w:pStyle w:val="Point1"/>
        <w:rPr>
          <w:noProof/>
        </w:rPr>
      </w:pPr>
      <w:r>
        <w:rPr>
          <w:noProof/>
        </w:rPr>
        <w:t>e)</w:t>
      </w:r>
      <w:r>
        <w:rPr>
          <w:noProof/>
        </w:rPr>
        <w:tab/>
      </w:r>
      <w:r w:rsidR="008C02C8" w:rsidRPr="00DF3EF6">
        <w:rPr>
          <w:noProof/>
        </w:rPr>
        <w:t xml:space="preserve">dodaje się </w:t>
      </w:r>
      <w:r w:rsidR="008C02C8" w:rsidRPr="0031342C">
        <w:rPr>
          <w:noProof/>
        </w:rPr>
        <w:t>ust.</w:t>
      </w:r>
      <w:r w:rsidR="0031342C" w:rsidRPr="0031342C">
        <w:rPr>
          <w:noProof/>
        </w:rPr>
        <w:t> </w:t>
      </w:r>
      <w:r w:rsidR="008C02C8" w:rsidRPr="0031342C">
        <w:rPr>
          <w:noProof/>
        </w:rPr>
        <w:t>1</w:t>
      </w:r>
      <w:r w:rsidR="008C02C8" w:rsidRPr="00DF3EF6">
        <w:rPr>
          <w:noProof/>
        </w:rPr>
        <w:t>3</w:t>
      </w:r>
      <w:r w:rsidR="0031342C" w:rsidRPr="00DF3EF6">
        <w:rPr>
          <w:noProof/>
        </w:rPr>
        <w:t xml:space="preserve"> w</w:t>
      </w:r>
      <w:r w:rsidR="0031342C">
        <w:rPr>
          <w:noProof/>
        </w:rPr>
        <w:t> </w:t>
      </w:r>
      <w:r w:rsidR="0031342C" w:rsidRPr="00DF3EF6">
        <w:rPr>
          <w:noProof/>
        </w:rPr>
        <w:t>brz</w:t>
      </w:r>
      <w:r w:rsidR="008C02C8" w:rsidRPr="00DF3EF6">
        <w:rPr>
          <w:noProof/>
        </w:rPr>
        <w:t>mieniu:</w:t>
      </w:r>
    </w:p>
    <w:p w14:paraId="56E07C35" w14:textId="470065BC" w:rsidR="008C02C8" w:rsidRPr="00DF3EF6" w:rsidRDefault="00D35F51" w:rsidP="00CE6A53">
      <w:pPr>
        <w:pStyle w:val="Text2"/>
        <w:rPr>
          <w:noProof/>
        </w:rPr>
      </w:pPr>
      <w:r w:rsidRPr="00DF3EF6">
        <w:rPr>
          <w:noProof/>
        </w:rPr>
        <w:t>„13. Do dnia ... [Urząd Publikacji: proszę wstawić datę – 36 miesięcy po wejściu</w:t>
      </w:r>
      <w:r w:rsidR="0031342C" w:rsidRPr="00DF3EF6">
        <w:rPr>
          <w:noProof/>
        </w:rPr>
        <w:t xml:space="preserve"> w</w:t>
      </w:r>
      <w:r w:rsidR="0031342C">
        <w:rPr>
          <w:noProof/>
        </w:rPr>
        <w:t> </w:t>
      </w:r>
      <w:r w:rsidR="0031342C" w:rsidRPr="00DF3EF6">
        <w:rPr>
          <w:noProof/>
        </w:rPr>
        <w:t>życ</w:t>
      </w:r>
      <w:r w:rsidRPr="00DF3EF6">
        <w:rPr>
          <w:noProof/>
        </w:rPr>
        <w:t>ie] r. EUNB opracuje wytyczne dotyczące zakresu</w:t>
      </w:r>
      <w:r w:rsidR="0031342C" w:rsidRPr="00DF3EF6">
        <w:rPr>
          <w:noProof/>
        </w:rPr>
        <w:t xml:space="preserve"> i</w:t>
      </w:r>
      <w:r w:rsidR="0031342C">
        <w:rPr>
          <w:noProof/>
        </w:rPr>
        <w:t> </w:t>
      </w:r>
      <w:r w:rsidR="0031342C" w:rsidRPr="00DF3EF6">
        <w:rPr>
          <w:noProof/>
        </w:rPr>
        <w:t>tre</w:t>
      </w:r>
      <w:r w:rsidRPr="00DF3EF6">
        <w:rPr>
          <w:noProof/>
        </w:rPr>
        <w:t>ści testów warunków skrajnych,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0, oraz związanych</w:t>
      </w:r>
      <w:r w:rsidR="0031342C" w:rsidRPr="00DF3EF6">
        <w:rPr>
          <w:noProof/>
        </w:rPr>
        <w:t xml:space="preserve"> z</w:t>
      </w:r>
      <w:r w:rsidR="0031342C">
        <w:rPr>
          <w:noProof/>
        </w:rPr>
        <w:t> </w:t>
      </w:r>
      <w:r w:rsidR="0031342C" w:rsidRPr="00DF3EF6">
        <w:rPr>
          <w:noProof/>
        </w:rPr>
        <w:t>nim</w:t>
      </w:r>
      <w:r w:rsidRPr="00DF3EF6">
        <w:rPr>
          <w:noProof/>
        </w:rPr>
        <w:t>i procedur.”;</w:t>
      </w:r>
    </w:p>
    <w:p w14:paraId="7D09F0B7" w14:textId="037D366B" w:rsidR="008C02C8" w:rsidRPr="00DF3EF6" w:rsidRDefault="00DF3EF6" w:rsidP="00DF3EF6">
      <w:pPr>
        <w:pStyle w:val="Point0"/>
        <w:rPr>
          <w:noProof/>
        </w:rPr>
      </w:pPr>
      <w:r>
        <w:rPr>
          <w:noProof/>
        </w:rPr>
        <w:t>4)</w:t>
      </w:r>
      <w:r>
        <w:rPr>
          <w:noProof/>
        </w:rPr>
        <w:tab/>
      </w:r>
      <w:r w:rsidR="008C02C8" w:rsidRPr="00DF3EF6">
        <w:rPr>
          <w:noProof/>
        </w:rPr>
        <w:t xml:space="preserve">w </w:t>
      </w:r>
      <w:r w:rsidR="008C02C8" w:rsidRPr="0031342C">
        <w:rPr>
          <w:noProof/>
        </w:rPr>
        <w:t>art.</w:t>
      </w:r>
      <w:r w:rsidR="0031342C" w:rsidRPr="0031342C">
        <w:rPr>
          <w:noProof/>
        </w:rPr>
        <w:t> </w:t>
      </w:r>
      <w:r w:rsidR="008C02C8" w:rsidRPr="0031342C">
        <w:rPr>
          <w:noProof/>
        </w:rPr>
        <w:t>5</w:t>
      </w:r>
      <w:r w:rsidR="008C02C8" w:rsidRPr="00DF3EF6">
        <w:rPr>
          <w:noProof/>
        </w:rPr>
        <w:t xml:space="preserve"> wprowadza się następujące zmiany: </w:t>
      </w:r>
    </w:p>
    <w:p w14:paraId="0164992A" w14:textId="3174906F" w:rsidR="009477F0" w:rsidRPr="00DF3EF6" w:rsidRDefault="00DF3EF6" w:rsidP="00DF3EF6">
      <w:pPr>
        <w:pStyle w:val="Point1"/>
        <w:rPr>
          <w:noProof/>
        </w:rPr>
      </w:pPr>
      <w:r>
        <w:rPr>
          <w:noProof/>
        </w:rPr>
        <w:t>a)</w:t>
      </w:r>
      <w:r>
        <w:rPr>
          <w:noProof/>
        </w:rPr>
        <w:tab/>
      </w:r>
      <w:r w:rsidR="009477F0" w:rsidRPr="00DF3EF6">
        <w:rPr>
          <w:noProof/>
        </w:rPr>
        <w:t xml:space="preserve">w </w:t>
      </w:r>
      <w:r w:rsidR="009477F0" w:rsidRPr="0031342C">
        <w:rPr>
          <w:noProof/>
        </w:rPr>
        <w:t>ust.</w:t>
      </w:r>
      <w:r w:rsidR="0031342C" w:rsidRPr="0031342C">
        <w:rPr>
          <w:noProof/>
        </w:rPr>
        <w:t> </w:t>
      </w:r>
      <w:r w:rsidR="009477F0" w:rsidRPr="0031342C">
        <w:rPr>
          <w:noProof/>
        </w:rPr>
        <w:t>1</w:t>
      </w:r>
      <w:r w:rsidR="009477F0" w:rsidRPr="00DF3EF6">
        <w:rPr>
          <w:noProof/>
        </w:rPr>
        <w:t xml:space="preserve"> wprowadza się następujące zmiany:</w:t>
      </w:r>
    </w:p>
    <w:p w14:paraId="0B549D54" w14:textId="77777777" w:rsidR="00F450CE" w:rsidRPr="00DF3EF6" w:rsidRDefault="00F450CE" w:rsidP="00F450CE">
      <w:pPr>
        <w:pStyle w:val="Point2"/>
        <w:rPr>
          <w:noProof/>
        </w:rPr>
      </w:pPr>
      <w:r w:rsidRPr="00DF3EF6">
        <w:rPr>
          <w:noProof/>
        </w:rPr>
        <w:t>(i)</w:t>
      </w:r>
      <w:r w:rsidRPr="00DF3EF6">
        <w:rPr>
          <w:noProof/>
        </w:rPr>
        <w:tab/>
        <w:t>formuła wprowadzająca otrzymuje brzmienie:</w:t>
      </w:r>
    </w:p>
    <w:p w14:paraId="4824546A" w14:textId="5DBB99CE" w:rsidR="009477F0" w:rsidRPr="00DF3EF6" w:rsidRDefault="009477F0" w:rsidP="16A56A16">
      <w:pPr>
        <w:pStyle w:val="Text3"/>
        <w:rPr>
          <w:noProof/>
        </w:rPr>
      </w:pPr>
      <w:r w:rsidRPr="00DF3EF6">
        <w:rPr>
          <w:noProof/>
        </w:rPr>
        <w:t>„1. Następujące depozyty są wyłączone</w:t>
      </w:r>
      <w:r w:rsidR="0031342C" w:rsidRPr="00DF3EF6">
        <w:rPr>
          <w:noProof/>
        </w:rPr>
        <w:t xml:space="preserve"> z</w:t>
      </w:r>
      <w:r w:rsidR="0031342C">
        <w:rPr>
          <w:noProof/>
        </w:rPr>
        <w:t> </w:t>
      </w:r>
      <w:r w:rsidR="0031342C" w:rsidRPr="00DF3EF6">
        <w:rPr>
          <w:noProof/>
        </w:rPr>
        <w:t>wyp</w:t>
      </w:r>
      <w:r w:rsidRPr="00DF3EF6">
        <w:rPr>
          <w:noProof/>
        </w:rPr>
        <w:t>łaty</w:t>
      </w:r>
      <w:r w:rsidR="0031342C" w:rsidRPr="00DF3EF6">
        <w:rPr>
          <w:noProof/>
        </w:rPr>
        <w:t xml:space="preserve"> z</w:t>
      </w:r>
      <w:r w:rsidR="0031342C">
        <w:rPr>
          <w:noProof/>
        </w:rPr>
        <w:t> </w:t>
      </w:r>
      <w:r w:rsidR="0031342C" w:rsidRPr="00DF3EF6">
        <w:rPr>
          <w:noProof/>
        </w:rPr>
        <w:t>sys</w:t>
      </w:r>
      <w:r w:rsidRPr="00DF3EF6">
        <w:rPr>
          <w:noProof/>
        </w:rPr>
        <w:t>temu gwarancji depozytów:”;</w:t>
      </w:r>
    </w:p>
    <w:p w14:paraId="34C754FE" w14:textId="283FB658" w:rsidR="00F450CE" w:rsidRPr="00DF3EF6" w:rsidRDefault="00F450CE" w:rsidP="16A56A16">
      <w:pPr>
        <w:pStyle w:val="Point2"/>
        <w:rPr>
          <w:noProof/>
        </w:rPr>
      </w:pPr>
      <w:r w:rsidRPr="00DF3EF6">
        <w:rPr>
          <w:noProof/>
        </w:rPr>
        <w:t>(ii)</w:t>
      </w:r>
      <w:r w:rsidRPr="00DF3EF6">
        <w:rPr>
          <w:noProof/>
        </w:rPr>
        <w:tab/>
      </w:r>
      <w:r w:rsidRPr="0031342C">
        <w:rPr>
          <w:noProof/>
        </w:rPr>
        <w:t>lit.</w:t>
      </w:r>
      <w:r w:rsidR="0031342C" w:rsidRPr="0031342C">
        <w:rPr>
          <w:noProof/>
        </w:rPr>
        <w:t> </w:t>
      </w:r>
      <w:r w:rsidRPr="0031342C">
        <w:rPr>
          <w:noProof/>
        </w:rPr>
        <w:t>c)</w:t>
      </w:r>
      <w:r w:rsidRPr="00DF3EF6">
        <w:rPr>
          <w:noProof/>
        </w:rPr>
        <w:t xml:space="preserve"> otrzymuje brzmienie:</w:t>
      </w:r>
    </w:p>
    <w:p w14:paraId="5E145469" w14:textId="105C1E0D" w:rsidR="00F33526" w:rsidRPr="00DF3EF6" w:rsidRDefault="009477F0" w:rsidP="16A56A16">
      <w:pPr>
        <w:pStyle w:val="Text3"/>
        <w:rPr>
          <w:noProof/>
        </w:rPr>
      </w:pPr>
      <w:r w:rsidRPr="00DF3EF6">
        <w:rPr>
          <w:noProof/>
        </w:rPr>
        <w:t>„c) depozyty wynikające</w:t>
      </w:r>
      <w:r w:rsidR="0031342C" w:rsidRPr="00DF3EF6">
        <w:rPr>
          <w:noProof/>
        </w:rPr>
        <w:t xml:space="preserve"> z</w:t>
      </w:r>
      <w:r w:rsidR="0031342C">
        <w:rPr>
          <w:noProof/>
        </w:rPr>
        <w:t> </w:t>
      </w:r>
      <w:r w:rsidR="0031342C" w:rsidRPr="00DF3EF6">
        <w:rPr>
          <w:noProof/>
        </w:rPr>
        <w:t>tra</w:t>
      </w:r>
      <w:r w:rsidRPr="00DF3EF6">
        <w:rPr>
          <w:noProof/>
        </w:rPr>
        <w:t>nsakcji,</w:t>
      </w:r>
      <w:r w:rsidR="0031342C" w:rsidRPr="00DF3EF6">
        <w:rPr>
          <w:noProof/>
        </w:rPr>
        <w:t xml:space="preserve"> w</w:t>
      </w:r>
      <w:r w:rsidR="0031342C">
        <w:rPr>
          <w:noProof/>
        </w:rPr>
        <w:t> </w:t>
      </w:r>
      <w:r w:rsidR="0031342C" w:rsidRPr="00DF3EF6">
        <w:rPr>
          <w:noProof/>
        </w:rPr>
        <w:t>zwi</w:t>
      </w:r>
      <w:r w:rsidRPr="00DF3EF6">
        <w:rPr>
          <w:noProof/>
        </w:rPr>
        <w:t>ązku</w:t>
      </w:r>
      <w:r w:rsidR="0031342C" w:rsidRPr="00DF3EF6">
        <w:rPr>
          <w:noProof/>
        </w:rPr>
        <w:t xml:space="preserve"> z</w:t>
      </w:r>
      <w:r w:rsidR="0031342C">
        <w:rPr>
          <w:noProof/>
        </w:rPr>
        <w:t> </w:t>
      </w:r>
      <w:r w:rsidR="0031342C" w:rsidRPr="00DF3EF6">
        <w:rPr>
          <w:noProof/>
        </w:rPr>
        <w:t>któ</w:t>
      </w:r>
      <w:r w:rsidRPr="00DF3EF6">
        <w:rPr>
          <w:noProof/>
        </w:rPr>
        <w:t>rymi doszło do skazania</w:t>
      </w:r>
      <w:r w:rsidR="0031342C" w:rsidRPr="00DF3EF6">
        <w:rPr>
          <w:noProof/>
        </w:rPr>
        <w:t xml:space="preserve"> z</w:t>
      </w:r>
      <w:r w:rsidR="0031342C">
        <w:rPr>
          <w:noProof/>
        </w:rPr>
        <w:t> </w:t>
      </w:r>
      <w:r w:rsidR="0031342C" w:rsidRPr="00DF3EF6">
        <w:rPr>
          <w:noProof/>
        </w:rPr>
        <w:t>pow</w:t>
      </w:r>
      <w:r w:rsidRPr="00DF3EF6">
        <w:rPr>
          <w:noProof/>
        </w:rPr>
        <w:t>odu prania pieniędzy</w:t>
      </w:r>
      <w:r w:rsidR="0031342C" w:rsidRPr="00DF3EF6">
        <w:rPr>
          <w:noProof/>
        </w:rPr>
        <w:t xml:space="preserve"> i</w:t>
      </w:r>
      <w:r w:rsidR="0031342C">
        <w:rPr>
          <w:noProof/>
        </w:rPr>
        <w:t> </w:t>
      </w:r>
      <w:r w:rsidR="0031342C" w:rsidRPr="00DF3EF6">
        <w:rPr>
          <w:noProof/>
        </w:rPr>
        <w:t>fin</w:t>
      </w:r>
      <w:r w:rsidRPr="00DF3EF6">
        <w:rPr>
          <w:noProof/>
        </w:rPr>
        <w:t>ansowania terroryzmu;”;</w:t>
      </w:r>
    </w:p>
    <w:p w14:paraId="4CF72C91" w14:textId="3D6F4C7A" w:rsidR="00F44FD3" w:rsidRPr="00DF3EF6" w:rsidRDefault="00F44FD3" w:rsidP="00F44FD3">
      <w:pPr>
        <w:pStyle w:val="Point2"/>
        <w:rPr>
          <w:noProof/>
        </w:rPr>
      </w:pPr>
      <w:r w:rsidRPr="00DF3EF6">
        <w:rPr>
          <w:noProof/>
        </w:rPr>
        <w:t>(iii)</w:t>
      </w:r>
      <w:r w:rsidRPr="00DF3EF6">
        <w:rPr>
          <w:noProof/>
        </w:rPr>
        <w:tab/>
        <w:t xml:space="preserve">uchyla się </w:t>
      </w:r>
      <w:r w:rsidRPr="0031342C">
        <w:rPr>
          <w:noProof/>
        </w:rPr>
        <w:t>lit.</w:t>
      </w:r>
      <w:r w:rsidR="0031342C" w:rsidRPr="0031342C">
        <w:rPr>
          <w:noProof/>
        </w:rPr>
        <w:t> </w:t>
      </w:r>
      <w:r w:rsidRPr="0031342C">
        <w:rPr>
          <w:noProof/>
        </w:rPr>
        <w:t>e)</w:t>
      </w:r>
      <w:r w:rsidRPr="00DF3EF6">
        <w:rPr>
          <w:noProof/>
        </w:rPr>
        <w:t>;</w:t>
      </w:r>
    </w:p>
    <w:p w14:paraId="41758A25" w14:textId="2EC20A05" w:rsidR="00F44FD3" w:rsidRPr="00DF3EF6" w:rsidRDefault="00F44FD3" w:rsidP="00F44FD3">
      <w:pPr>
        <w:pStyle w:val="Point2"/>
        <w:rPr>
          <w:noProof/>
        </w:rPr>
      </w:pPr>
      <w:r w:rsidRPr="00DF3EF6">
        <w:rPr>
          <w:noProof/>
        </w:rPr>
        <w:t>(iv)</w:t>
      </w:r>
      <w:r w:rsidRPr="00DF3EF6">
        <w:rPr>
          <w:noProof/>
        </w:rPr>
        <w:tab/>
      </w:r>
      <w:r w:rsidRPr="0031342C">
        <w:rPr>
          <w:noProof/>
        </w:rPr>
        <w:t>lit.</w:t>
      </w:r>
      <w:r w:rsidR="0031342C" w:rsidRPr="0031342C">
        <w:rPr>
          <w:noProof/>
        </w:rPr>
        <w:t> </w:t>
      </w:r>
      <w:r w:rsidRPr="0031342C">
        <w:rPr>
          <w:noProof/>
        </w:rPr>
        <w:t>f)</w:t>
      </w:r>
      <w:r w:rsidRPr="00DF3EF6">
        <w:rPr>
          <w:noProof/>
        </w:rPr>
        <w:t xml:space="preserve"> otrzymuje brzmienie:</w:t>
      </w:r>
    </w:p>
    <w:p w14:paraId="5541949E" w14:textId="2E2F268E" w:rsidR="003B6C3F" w:rsidRPr="00DF3EF6" w:rsidRDefault="003B6C3F" w:rsidP="00E3000D">
      <w:pPr>
        <w:pStyle w:val="Text3"/>
        <w:rPr>
          <w:noProof/>
        </w:rPr>
      </w:pPr>
      <w:r w:rsidRPr="00DF3EF6">
        <w:rPr>
          <w:noProof/>
        </w:rPr>
        <w:t>„f) depozyty, których posiadacza nigdy nie zidentyfikowano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6 rozporządzenia (UE) ... [proszę wstawić skrócone odesłanie do </w:t>
      </w:r>
      <w:r w:rsidRPr="00DF3EF6">
        <w:rPr>
          <w:noProof/>
        </w:rPr>
        <w:lastRenderedPageBreak/>
        <w:t>wniosku dotyczącego rozporządzenia</w:t>
      </w:r>
      <w:r w:rsidR="0031342C" w:rsidRPr="00DF3EF6">
        <w:rPr>
          <w:noProof/>
        </w:rPr>
        <w:t xml:space="preserve"> w</w:t>
      </w:r>
      <w:r w:rsidR="0031342C">
        <w:rPr>
          <w:noProof/>
        </w:rPr>
        <w:t> </w:t>
      </w:r>
      <w:r w:rsidR="0031342C" w:rsidRPr="00DF3EF6">
        <w:rPr>
          <w:noProof/>
        </w:rPr>
        <w:t>spr</w:t>
      </w:r>
      <w:r w:rsidRPr="00DF3EF6">
        <w:rPr>
          <w:noProof/>
        </w:rPr>
        <w:t>awie przeciwdziałania praniu pieniędzy – COM(2021) 420 final],</w:t>
      </w:r>
      <w:r w:rsidR="0031342C" w:rsidRPr="00DF3EF6">
        <w:rPr>
          <w:noProof/>
        </w:rPr>
        <w:t xml:space="preserve"> w</w:t>
      </w:r>
      <w:r w:rsidR="0031342C">
        <w:rPr>
          <w:noProof/>
        </w:rPr>
        <w:t> </w:t>
      </w:r>
      <w:r w:rsidR="0031342C" w:rsidRPr="00DF3EF6">
        <w:rPr>
          <w:noProof/>
        </w:rPr>
        <w:t>prz</w:t>
      </w:r>
      <w:r w:rsidRPr="00DF3EF6">
        <w:rPr>
          <w:noProof/>
        </w:rPr>
        <w:t>ypadku gdy depozyty te stały się niedostępne, chyba że posiadacz zażąda wypłaty</w:t>
      </w:r>
      <w:r w:rsidR="0031342C" w:rsidRPr="00DF3EF6">
        <w:rPr>
          <w:noProof/>
        </w:rPr>
        <w:t xml:space="preserve"> i</w:t>
      </w:r>
      <w:r w:rsidR="0031342C">
        <w:rPr>
          <w:noProof/>
        </w:rPr>
        <w:t> </w:t>
      </w:r>
      <w:r w:rsidR="0031342C" w:rsidRPr="00DF3EF6">
        <w:rPr>
          <w:noProof/>
        </w:rPr>
        <w:t>udo</w:t>
      </w:r>
      <w:r w:rsidRPr="00DF3EF6">
        <w:rPr>
          <w:noProof/>
        </w:rPr>
        <w:t>wodni, że brak identyfikacji nie wynika</w:t>
      </w:r>
      <w:r w:rsidR="0031342C" w:rsidRPr="00DF3EF6">
        <w:rPr>
          <w:noProof/>
        </w:rPr>
        <w:t xml:space="preserve"> z</w:t>
      </w:r>
      <w:r w:rsidR="0031342C">
        <w:rPr>
          <w:noProof/>
        </w:rPr>
        <w:t> </w:t>
      </w:r>
      <w:r w:rsidR="0031342C" w:rsidRPr="00DF3EF6">
        <w:rPr>
          <w:noProof/>
        </w:rPr>
        <w:t>jeg</w:t>
      </w:r>
      <w:r w:rsidRPr="00DF3EF6">
        <w:rPr>
          <w:noProof/>
        </w:rPr>
        <w:t>o działania;”;</w:t>
      </w:r>
    </w:p>
    <w:p w14:paraId="4FEF4FCF" w14:textId="7DCE8F18" w:rsidR="00F44FD3" w:rsidRPr="00DF3EF6" w:rsidRDefault="00F44FD3" w:rsidP="00F44FD3">
      <w:pPr>
        <w:pStyle w:val="Point2"/>
        <w:rPr>
          <w:noProof/>
        </w:rPr>
      </w:pPr>
      <w:r w:rsidRPr="00DF3EF6">
        <w:rPr>
          <w:noProof/>
        </w:rPr>
        <w:t>(v)</w:t>
      </w:r>
      <w:r w:rsidRPr="00DF3EF6">
        <w:rPr>
          <w:noProof/>
        </w:rPr>
        <w:tab/>
        <w:t xml:space="preserve">uchyla się </w:t>
      </w:r>
      <w:r w:rsidRPr="0031342C">
        <w:rPr>
          <w:noProof/>
        </w:rPr>
        <w:t>lit.</w:t>
      </w:r>
      <w:r w:rsidR="0031342C" w:rsidRPr="0031342C">
        <w:rPr>
          <w:noProof/>
        </w:rPr>
        <w:t> </w:t>
      </w:r>
      <w:r w:rsidRPr="0031342C">
        <w:rPr>
          <w:noProof/>
        </w:rPr>
        <w:t>j)</w:t>
      </w:r>
      <w:r w:rsidRPr="00DF3EF6">
        <w:rPr>
          <w:noProof/>
        </w:rPr>
        <w:t xml:space="preserve">; </w:t>
      </w:r>
    </w:p>
    <w:p w14:paraId="2AD58CF2" w14:textId="5E15B3A7" w:rsidR="00F44FD3" w:rsidRPr="00DF3EF6" w:rsidRDefault="00DF3EF6" w:rsidP="00DF3EF6">
      <w:pPr>
        <w:pStyle w:val="Point1"/>
        <w:rPr>
          <w:noProof/>
        </w:rPr>
      </w:pPr>
      <w:r>
        <w:rPr>
          <w:noProof/>
        </w:rPr>
        <w:t>b)</w:t>
      </w:r>
      <w:r>
        <w:rPr>
          <w:noProof/>
        </w:rPr>
        <w:tab/>
      </w:r>
      <w:r w:rsidR="00F44FD3" w:rsidRPr="0031342C">
        <w:rPr>
          <w:noProof/>
        </w:rPr>
        <w:t>ust.</w:t>
      </w:r>
      <w:r w:rsidR="0031342C" w:rsidRPr="0031342C">
        <w:rPr>
          <w:noProof/>
        </w:rPr>
        <w:t> </w:t>
      </w:r>
      <w:r w:rsidR="00F44FD3" w:rsidRPr="0031342C">
        <w:rPr>
          <w:noProof/>
        </w:rPr>
        <w:t>2</w:t>
      </w:r>
      <w:r w:rsidR="00F44FD3" w:rsidRPr="00DF3EF6">
        <w:rPr>
          <w:noProof/>
        </w:rPr>
        <w:t xml:space="preserve"> otrzymuje brzmienie:</w:t>
      </w:r>
    </w:p>
    <w:p w14:paraId="5D8CE419" w14:textId="0560DC55" w:rsidR="003B6C3F" w:rsidRPr="00DF3EF6" w:rsidRDefault="003B6C3F" w:rsidP="00503328">
      <w:pPr>
        <w:pStyle w:val="Text2"/>
        <w:rPr>
          <w:noProof/>
        </w:rPr>
      </w:pPr>
      <w:r w:rsidRPr="00DF3EF6">
        <w:rPr>
          <w:noProof/>
        </w:rPr>
        <w:t>„2</w:t>
      </w:r>
      <w:r w:rsidR="0031342C" w:rsidRPr="00DF3EF6">
        <w:rPr>
          <w:noProof/>
        </w:rPr>
        <w:t>. W</w:t>
      </w:r>
      <w:r w:rsidR="0031342C">
        <w:rPr>
          <w:noProof/>
        </w:rPr>
        <w:t> </w:t>
      </w:r>
      <w:r w:rsidR="0031342C" w:rsidRPr="00DF3EF6">
        <w:rPr>
          <w:noProof/>
        </w:rPr>
        <w:t>dro</w:t>
      </w:r>
      <w:r w:rsidRPr="00DF3EF6">
        <w:rPr>
          <w:noProof/>
        </w:rPr>
        <w:t xml:space="preserve">dze odstępstwa od </w:t>
      </w:r>
      <w:r w:rsidRPr="0031342C">
        <w:rPr>
          <w:noProof/>
        </w:rPr>
        <w:t>ust.</w:t>
      </w:r>
      <w:r w:rsidR="0031342C" w:rsidRPr="0031342C">
        <w:rPr>
          <w:noProof/>
        </w:rPr>
        <w:t> </w:t>
      </w:r>
      <w:r w:rsidRPr="0031342C">
        <w:rPr>
          <w:noProof/>
        </w:rPr>
        <w:t>1</w:t>
      </w:r>
      <w:r w:rsidRPr="00DF3EF6">
        <w:rPr>
          <w:noProof/>
        </w:rPr>
        <w:t xml:space="preserve"> </w:t>
      </w:r>
      <w:r w:rsidRPr="0031342C">
        <w:rPr>
          <w:noProof/>
        </w:rPr>
        <w:t>lit.</w:t>
      </w:r>
      <w:r w:rsidR="0031342C" w:rsidRPr="0031342C">
        <w:rPr>
          <w:noProof/>
        </w:rPr>
        <w:t> </w:t>
      </w:r>
      <w:r w:rsidRPr="0031342C">
        <w:rPr>
          <w:noProof/>
        </w:rPr>
        <w:t>i)</w:t>
      </w:r>
      <w:r w:rsidRPr="00DF3EF6">
        <w:rPr>
          <w:noProof/>
        </w:rPr>
        <w:t xml:space="preserve"> państwa członkowskie mogą zadecydować, że depozyty indywidualnych systemów emerytalnych</w:t>
      </w:r>
      <w:r w:rsidR="0031342C" w:rsidRPr="00DF3EF6">
        <w:rPr>
          <w:noProof/>
        </w:rPr>
        <w:t xml:space="preserve"> i</w:t>
      </w:r>
      <w:r w:rsidR="0031342C">
        <w:rPr>
          <w:noProof/>
        </w:rPr>
        <w:t> </w:t>
      </w:r>
      <w:r w:rsidR="0031342C" w:rsidRPr="00DF3EF6">
        <w:rPr>
          <w:noProof/>
        </w:rPr>
        <w:t>pra</w:t>
      </w:r>
      <w:r w:rsidRPr="00DF3EF6">
        <w:rPr>
          <w:noProof/>
        </w:rPr>
        <w:t>cowniczych systemów emerytalnych małych lub średnich przedsiębiorstw są objęte gwarancją do poziomu gwarancji określonego</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6</w:t>
      </w:r>
      <w:r w:rsidRPr="00DF3EF6">
        <w:rPr>
          <w:noProof/>
        </w:rPr>
        <w:t xml:space="preserve"> </w:t>
      </w:r>
      <w:r w:rsidRPr="0031342C">
        <w:rPr>
          <w:noProof/>
        </w:rPr>
        <w:t>ust.</w:t>
      </w:r>
      <w:r w:rsidR="0031342C" w:rsidRPr="0031342C">
        <w:rPr>
          <w:noProof/>
        </w:rPr>
        <w:t> </w:t>
      </w:r>
      <w:r w:rsidRPr="0031342C">
        <w:rPr>
          <w:noProof/>
        </w:rPr>
        <w:t>1</w:t>
      </w:r>
      <w:r w:rsidRPr="00DF3EF6">
        <w:rPr>
          <w:noProof/>
        </w:rPr>
        <w:t>.”;</w:t>
      </w:r>
    </w:p>
    <w:p w14:paraId="0117782A" w14:textId="27E9A7B6" w:rsidR="003B6C3F" w:rsidRPr="00DF3EF6" w:rsidRDefault="00DF3EF6" w:rsidP="00DF3EF6">
      <w:pPr>
        <w:pStyle w:val="Point0"/>
        <w:rPr>
          <w:noProof/>
        </w:rPr>
      </w:pPr>
      <w:r>
        <w:rPr>
          <w:noProof/>
        </w:rPr>
        <w:t>5)</w:t>
      </w:r>
      <w:r>
        <w:rPr>
          <w:noProof/>
        </w:rPr>
        <w:tab/>
      </w:r>
      <w:r w:rsidR="003B6C3F" w:rsidRPr="00DF3EF6">
        <w:rPr>
          <w:noProof/>
        </w:rPr>
        <w:t xml:space="preserve">w </w:t>
      </w:r>
      <w:r w:rsidR="003B6C3F" w:rsidRPr="0031342C">
        <w:rPr>
          <w:noProof/>
        </w:rPr>
        <w:t>art.</w:t>
      </w:r>
      <w:r w:rsidR="0031342C" w:rsidRPr="0031342C">
        <w:rPr>
          <w:noProof/>
        </w:rPr>
        <w:t> </w:t>
      </w:r>
      <w:r w:rsidR="003B6C3F" w:rsidRPr="0031342C">
        <w:rPr>
          <w:noProof/>
        </w:rPr>
        <w:t>6</w:t>
      </w:r>
      <w:r w:rsidR="003B6C3F" w:rsidRPr="00DF3EF6">
        <w:rPr>
          <w:noProof/>
        </w:rPr>
        <w:t xml:space="preserve"> wprowadza się następujące zmiany:</w:t>
      </w:r>
    </w:p>
    <w:p w14:paraId="7C699801" w14:textId="5B1E41B2" w:rsidR="003B6C3F" w:rsidRPr="00DF3EF6" w:rsidRDefault="00DF3EF6" w:rsidP="00DF3EF6">
      <w:pPr>
        <w:pStyle w:val="Point1"/>
        <w:rPr>
          <w:noProof/>
        </w:rPr>
      </w:pPr>
      <w:r>
        <w:rPr>
          <w:noProof/>
        </w:rPr>
        <w:t>a)</w:t>
      </w:r>
      <w:r>
        <w:rPr>
          <w:noProof/>
        </w:rPr>
        <w:tab/>
      </w:r>
      <w:r w:rsidR="003B6C3F" w:rsidRPr="00DF3EF6">
        <w:rPr>
          <w:noProof/>
        </w:rPr>
        <w:t xml:space="preserve">w </w:t>
      </w:r>
      <w:r w:rsidR="003B6C3F" w:rsidRPr="0031342C">
        <w:rPr>
          <w:noProof/>
        </w:rPr>
        <w:t>ust.</w:t>
      </w:r>
      <w:r w:rsidR="0031342C" w:rsidRPr="0031342C">
        <w:rPr>
          <w:noProof/>
        </w:rPr>
        <w:t> </w:t>
      </w:r>
      <w:r w:rsidR="003B6C3F" w:rsidRPr="0031342C">
        <w:rPr>
          <w:noProof/>
        </w:rPr>
        <w:t>2</w:t>
      </w:r>
      <w:r w:rsidR="003B6C3F" w:rsidRPr="00DF3EF6">
        <w:rPr>
          <w:noProof/>
        </w:rPr>
        <w:t xml:space="preserve"> wprowadza się następujące zmiany:</w:t>
      </w:r>
    </w:p>
    <w:p w14:paraId="79F959C5" w14:textId="77777777" w:rsidR="005B0DDE" w:rsidRPr="00DF3EF6" w:rsidRDefault="005B0DDE" w:rsidP="005B0DDE">
      <w:pPr>
        <w:pStyle w:val="Point2"/>
        <w:rPr>
          <w:noProof/>
        </w:rPr>
      </w:pPr>
      <w:r w:rsidRPr="00DF3EF6">
        <w:rPr>
          <w:noProof/>
        </w:rPr>
        <w:t>(i)</w:t>
      </w:r>
      <w:r w:rsidRPr="00DF3EF6">
        <w:rPr>
          <w:noProof/>
        </w:rPr>
        <w:tab/>
        <w:t>formuła wprowadzająca otrzymuje brzmienie:</w:t>
      </w:r>
    </w:p>
    <w:p w14:paraId="6DF5C63C" w14:textId="4D78FEA7" w:rsidR="003B6C3F" w:rsidRPr="00DF3EF6" w:rsidRDefault="003B6C3F" w:rsidP="00CE6A53">
      <w:pPr>
        <w:pStyle w:val="Text3"/>
        <w:rPr>
          <w:noProof/>
        </w:rPr>
      </w:pPr>
      <w:r w:rsidRPr="00DF3EF6">
        <w:rPr>
          <w:noProof/>
        </w:rPr>
        <w:t xml:space="preserve">„W uzupełnieniu </w:t>
      </w:r>
      <w:r w:rsidRPr="0031342C">
        <w:rPr>
          <w:noProof/>
        </w:rPr>
        <w:t>ust.</w:t>
      </w:r>
      <w:r w:rsidR="0031342C" w:rsidRPr="0031342C">
        <w:rPr>
          <w:noProof/>
        </w:rPr>
        <w:t> </w:t>
      </w:r>
      <w:r w:rsidRPr="0031342C">
        <w:rPr>
          <w:noProof/>
        </w:rPr>
        <w:t>1</w:t>
      </w:r>
      <w:r w:rsidRPr="00DF3EF6">
        <w:rPr>
          <w:noProof/>
        </w:rPr>
        <w:t xml:space="preserve"> państwa członkowskie zapewniają, aby następujące depozyty były chronione co najmniej do kwoty 500 000 EUR przez 6 miesięcy po uznaniu rachunku daną kwotą lub od momentu,</w:t>
      </w:r>
      <w:r w:rsidR="0031342C" w:rsidRPr="00DF3EF6">
        <w:rPr>
          <w:noProof/>
        </w:rPr>
        <w:t xml:space="preserve"> w</w:t>
      </w:r>
      <w:r w:rsidR="0031342C">
        <w:rPr>
          <w:noProof/>
        </w:rPr>
        <w:t> </w:t>
      </w:r>
      <w:r w:rsidR="0031342C" w:rsidRPr="00DF3EF6">
        <w:rPr>
          <w:noProof/>
        </w:rPr>
        <w:t>któ</w:t>
      </w:r>
      <w:r w:rsidRPr="00DF3EF6">
        <w:rPr>
          <w:noProof/>
        </w:rPr>
        <w:t>rym zaistnieje prawna możliwość przeniesienia takich depozytów:”;</w:t>
      </w:r>
    </w:p>
    <w:p w14:paraId="08C2ECC1" w14:textId="0FE6407A" w:rsidR="005B0DDE" w:rsidRPr="00DF3EF6" w:rsidRDefault="005B0DDE" w:rsidP="005B0DDE">
      <w:pPr>
        <w:pStyle w:val="Point2"/>
        <w:rPr>
          <w:noProof/>
        </w:rPr>
      </w:pPr>
      <w:r w:rsidRPr="00DF3EF6">
        <w:rPr>
          <w:noProof/>
        </w:rPr>
        <w:t>(ii)</w:t>
      </w:r>
      <w:r w:rsidRPr="00DF3EF6">
        <w:rPr>
          <w:noProof/>
        </w:rPr>
        <w:tab/>
      </w:r>
      <w:r w:rsidRPr="0031342C">
        <w:rPr>
          <w:noProof/>
        </w:rPr>
        <w:t>lit.</w:t>
      </w:r>
      <w:r w:rsidR="0031342C" w:rsidRPr="0031342C">
        <w:rPr>
          <w:noProof/>
        </w:rPr>
        <w:t> </w:t>
      </w:r>
      <w:r w:rsidRPr="0031342C">
        <w:rPr>
          <w:noProof/>
        </w:rPr>
        <w:t>a)</w:t>
      </w:r>
      <w:r w:rsidRPr="00DF3EF6">
        <w:rPr>
          <w:noProof/>
        </w:rPr>
        <w:t xml:space="preserve"> otrzymuje brzmienie:</w:t>
      </w:r>
    </w:p>
    <w:p w14:paraId="39014C74" w14:textId="47DF5B6A" w:rsidR="003B6C3F" w:rsidRPr="00DF3EF6" w:rsidRDefault="003B6C3F" w:rsidP="00CE6A53">
      <w:pPr>
        <w:pStyle w:val="Text3"/>
        <w:rPr>
          <w:noProof/>
        </w:rPr>
      </w:pPr>
      <w:r w:rsidRPr="00DF3EF6">
        <w:rPr>
          <w:noProof/>
        </w:rPr>
        <w:t>„a) depozyty wynikające</w:t>
      </w:r>
      <w:r w:rsidR="0031342C" w:rsidRPr="00DF3EF6">
        <w:rPr>
          <w:noProof/>
        </w:rPr>
        <w:t xml:space="preserve"> z</w:t>
      </w:r>
      <w:r w:rsidR="0031342C">
        <w:rPr>
          <w:noProof/>
        </w:rPr>
        <w:t> </w:t>
      </w:r>
      <w:r w:rsidR="0031342C" w:rsidRPr="00DF3EF6">
        <w:rPr>
          <w:noProof/>
        </w:rPr>
        <w:t>tra</w:t>
      </w:r>
      <w:r w:rsidRPr="00DF3EF6">
        <w:rPr>
          <w:noProof/>
        </w:rPr>
        <w:t>nsakcji dotyczących nieruchomości związanych</w:t>
      </w:r>
      <w:r w:rsidR="0031342C" w:rsidRPr="00DF3EF6">
        <w:rPr>
          <w:noProof/>
        </w:rPr>
        <w:t xml:space="preserve"> z</w:t>
      </w:r>
      <w:r w:rsidR="0031342C">
        <w:rPr>
          <w:noProof/>
        </w:rPr>
        <w:t> </w:t>
      </w:r>
      <w:r w:rsidR="0031342C" w:rsidRPr="00DF3EF6">
        <w:rPr>
          <w:noProof/>
        </w:rPr>
        <w:t>pry</w:t>
      </w:r>
      <w:r w:rsidRPr="00DF3EF6">
        <w:rPr>
          <w:noProof/>
        </w:rPr>
        <w:t>watnymi nieruchomościami mieszkalnymi oraz depozyty przeznaczone na takie transakcje, pod warunkiem że takie transakcje są zawierane</w:t>
      </w:r>
      <w:r w:rsidR="0031342C" w:rsidRPr="00DF3EF6">
        <w:rPr>
          <w:noProof/>
        </w:rPr>
        <w:t xml:space="preserve"> w</w:t>
      </w:r>
      <w:r w:rsidR="0031342C">
        <w:rPr>
          <w:noProof/>
        </w:rPr>
        <w:t> </w:t>
      </w:r>
      <w:r w:rsidR="0031342C" w:rsidRPr="00DF3EF6">
        <w:rPr>
          <w:noProof/>
        </w:rPr>
        <w:t>kró</w:t>
      </w:r>
      <w:r w:rsidRPr="00DF3EF6">
        <w:rPr>
          <w:noProof/>
        </w:rPr>
        <w:t>tkim terminie przez osobę fizyczną oraz pod warunkiem że taka osoba fizyczna może przedstawić dokumenty na potwierdzenie takiej transakcji;”;</w:t>
      </w:r>
    </w:p>
    <w:p w14:paraId="01DEDBA8" w14:textId="0C40FB98" w:rsidR="003B6C3F" w:rsidRPr="00DF3EF6" w:rsidRDefault="00DF3EF6" w:rsidP="00DF3EF6">
      <w:pPr>
        <w:pStyle w:val="Point1"/>
        <w:rPr>
          <w:noProof/>
        </w:rPr>
      </w:pPr>
      <w:r>
        <w:rPr>
          <w:noProof/>
        </w:rPr>
        <w:t>b)</w:t>
      </w:r>
      <w:r>
        <w:rPr>
          <w:noProof/>
        </w:rPr>
        <w:tab/>
      </w:r>
      <w:r w:rsidR="003B6C3F" w:rsidRPr="00DF3EF6">
        <w:rPr>
          <w:noProof/>
        </w:rPr>
        <w:t xml:space="preserve">dodaje się </w:t>
      </w:r>
      <w:r w:rsidR="003B6C3F" w:rsidRPr="0031342C">
        <w:rPr>
          <w:noProof/>
        </w:rPr>
        <w:t>ust.</w:t>
      </w:r>
      <w:r w:rsidR="0031342C" w:rsidRPr="0031342C">
        <w:rPr>
          <w:noProof/>
        </w:rPr>
        <w:t> </w:t>
      </w:r>
      <w:r w:rsidR="003B6C3F" w:rsidRPr="0031342C">
        <w:rPr>
          <w:noProof/>
        </w:rPr>
        <w:t>2</w:t>
      </w:r>
      <w:r w:rsidR="003B6C3F" w:rsidRPr="00DF3EF6">
        <w:rPr>
          <w:noProof/>
        </w:rPr>
        <w:t>a</w:t>
      </w:r>
      <w:r w:rsidR="0031342C" w:rsidRPr="00DF3EF6">
        <w:rPr>
          <w:noProof/>
        </w:rPr>
        <w:t xml:space="preserve"> w</w:t>
      </w:r>
      <w:r w:rsidR="0031342C">
        <w:rPr>
          <w:noProof/>
        </w:rPr>
        <w:t> </w:t>
      </w:r>
      <w:r w:rsidR="0031342C" w:rsidRPr="00DF3EF6">
        <w:rPr>
          <w:noProof/>
        </w:rPr>
        <w:t>brz</w:t>
      </w:r>
      <w:r w:rsidR="003B6C3F" w:rsidRPr="00DF3EF6">
        <w:rPr>
          <w:noProof/>
        </w:rPr>
        <w:t>mieniu:</w:t>
      </w:r>
    </w:p>
    <w:p w14:paraId="5D9D6384" w14:textId="0BD828ED" w:rsidR="003B6C3F" w:rsidRPr="00DF3EF6" w:rsidRDefault="007361FD" w:rsidP="00CE6A53">
      <w:pPr>
        <w:pStyle w:val="Text2"/>
        <w:rPr>
          <w:noProof/>
        </w:rPr>
      </w:pPr>
      <w:r w:rsidRPr="00DF3EF6">
        <w:rPr>
          <w:noProof/>
        </w:rPr>
        <w:t>„2a. Państwa członkowskie zapewniają, aby poziom gwarancji określony</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2</w:t>
      </w:r>
      <w:r w:rsidRPr="00DF3EF6">
        <w:rPr>
          <w:noProof/>
        </w:rPr>
        <w:t xml:space="preserve"> uzupełniał poziom gwarancji określony</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w:t>
      </w:r>
    </w:p>
    <w:p w14:paraId="79FFB497" w14:textId="1E6B41C4" w:rsidR="003B6C3F" w:rsidRPr="00DF3EF6" w:rsidRDefault="00DF3EF6" w:rsidP="00DF3EF6">
      <w:pPr>
        <w:pStyle w:val="Point0"/>
        <w:rPr>
          <w:noProof/>
        </w:rPr>
      </w:pPr>
      <w:r>
        <w:rPr>
          <w:noProof/>
        </w:rPr>
        <w:t>6)</w:t>
      </w:r>
      <w:r>
        <w:rPr>
          <w:noProof/>
        </w:rPr>
        <w:tab/>
      </w:r>
      <w:r w:rsidR="003B6C3F" w:rsidRPr="00DF3EF6">
        <w:rPr>
          <w:noProof/>
        </w:rPr>
        <w:t xml:space="preserve">w </w:t>
      </w:r>
      <w:r w:rsidR="003B6C3F" w:rsidRPr="0031342C">
        <w:rPr>
          <w:noProof/>
        </w:rPr>
        <w:t>art.</w:t>
      </w:r>
      <w:r w:rsidR="0031342C" w:rsidRPr="0031342C">
        <w:rPr>
          <w:noProof/>
        </w:rPr>
        <w:t> </w:t>
      </w:r>
      <w:r w:rsidR="003B6C3F" w:rsidRPr="0031342C">
        <w:rPr>
          <w:noProof/>
        </w:rPr>
        <w:t>7</w:t>
      </w:r>
      <w:r w:rsidR="003B6C3F" w:rsidRPr="00DF3EF6">
        <w:rPr>
          <w:noProof/>
        </w:rPr>
        <w:t xml:space="preserve"> wprowadza się następujące zmiany:</w:t>
      </w:r>
    </w:p>
    <w:p w14:paraId="61BFFC70" w14:textId="4911EF17" w:rsidR="003B6C3F" w:rsidRPr="00DF3EF6" w:rsidRDefault="00DF3EF6" w:rsidP="00DF3EF6">
      <w:pPr>
        <w:pStyle w:val="Point1"/>
        <w:rPr>
          <w:noProof/>
        </w:rPr>
      </w:pPr>
      <w:r>
        <w:rPr>
          <w:noProof/>
        </w:rPr>
        <w:t>a)</w:t>
      </w:r>
      <w:r>
        <w:rPr>
          <w:noProof/>
        </w:rPr>
        <w:tab/>
      </w:r>
      <w:r w:rsidR="00281360" w:rsidRPr="00DF3EF6">
        <w:rPr>
          <w:noProof/>
        </w:rPr>
        <w:t xml:space="preserve">uchyla się </w:t>
      </w:r>
      <w:r w:rsidR="00281360" w:rsidRPr="0031342C">
        <w:rPr>
          <w:noProof/>
        </w:rPr>
        <w:t>ust.</w:t>
      </w:r>
      <w:r w:rsidR="0031342C" w:rsidRPr="0031342C">
        <w:rPr>
          <w:noProof/>
        </w:rPr>
        <w:t> </w:t>
      </w:r>
      <w:r w:rsidR="00281360" w:rsidRPr="0031342C">
        <w:rPr>
          <w:noProof/>
        </w:rPr>
        <w:t>5</w:t>
      </w:r>
      <w:r w:rsidR="00281360" w:rsidRPr="00DF3EF6">
        <w:rPr>
          <w:noProof/>
        </w:rPr>
        <w:t>;</w:t>
      </w:r>
    </w:p>
    <w:p w14:paraId="1D4450FF" w14:textId="46FDE7C9" w:rsidR="003B6C3F" w:rsidRPr="00DF3EF6" w:rsidRDefault="00DF3EF6" w:rsidP="00DF3EF6">
      <w:pPr>
        <w:pStyle w:val="Point1"/>
        <w:rPr>
          <w:noProof/>
        </w:rPr>
      </w:pPr>
      <w:r>
        <w:rPr>
          <w:noProof/>
        </w:rPr>
        <w:t>b)</w:t>
      </w:r>
      <w:r>
        <w:rPr>
          <w:noProof/>
        </w:rPr>
        <w:tab/>
      </w:r>
      <w:r w:rsidR="00281360" w:rsidRPr="0031342C">
        <w:rPr>
          <w:noProof/>
        </w:rPr>
        <w:t>ust.</w:t>
      </w:r>
      <w:r w:rsidR="0031342C" w:rsidRPr="0031342C">
        <w:rPr>
          <w:noProof/>
        </w:rPr>
        <w:t> </w:t>
      </w:r>
      <w:r w:rsidR="00281360" w:rsidRPr="0031342C">
        <w:rPr>
          <w:noProof/>
        </w:rPr>
        <w:t>7</w:t>
      </w:r>
      <w:r w:rsidR="00281360" w:rsidRPr="00DF3EF6">
        <w:rPr>
          <w:noProof/>
        </w:rPr>
        <w:t xml:space="preserve"> otrzymuje brzmienie:</w:t>
      </w:r>
    </w:p>
    <w:p w14:paraId="60E40739" w14:textId="4C1A29F4" w:rsidR="003B6C3F" w:rsidRPr="00DF3EF6" w:rsidRDefault="003B6C3F" w:rsidP="00CE6A53">
      <w:pPr>
        <w:pStyle w:val="Text2"/>
        <w:rPr>
          <w:noProof/>
        </w:rPr>
      </w:pPr>
      <w:r w:rsidRPr="00DF3EF6">
        <w:rPr>
          <w:noProof/>
        </w:rPr>
        <w:t>„7. Państwa członkowskie zapewniają, aby system gwarancji depozytów zwracał odsetki od depozytów, które zostały naliczone do dnia,</w:t>
      </w:r>
      <w:r w:rsidR="0031342C" w:rsidRPr="00DF3EF6">
        <w:rPr>
          <w:noProof/>
        </w:rPr>
        <w:t xml:space="preserve"> w</w:t>
      </w:r>
      <w:r w:rsidR="0031342C">
        <w:rPr>
          <w:noProof/>
        </w:rPr>
        <w:t> </w:t>
      </w:r>
      <w:r w:rsidR="0031342C" w:rsidRPr="00DF3EF6">
        <w:rPr>
          <w:noProof/>
        </w:rPr>
        <w:t>któ</w:t>
      </w:r>
      <w:r w:rsidRPr="00DF3EF6">
        <w:rPr>
          <w:noProof/>
        </w:rPr>
        <w:t>rym właściwy organ administracyjny dokonuje ustalenia,</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2</w:t>
      </w:r>
      <w:r w:rsidRPr="00DF3EF6">
        <w:rPr>
          <w:noProof/>
        </w:rPr>
        <w:t xml:space="preserve"> </w:t>
      </w:r>
      <w:r w:rsidRPr="0031342C">
        <w:rPr>
          <w:noProof/>
        </w:rPr>
        <w:t>ust.</w:t>
      </w:r>
      <w:r w:rsidR="0031342C" w:rsidRPr="0031342C">
        <w:rPr>
          <w:noProof/>
        </w:rPr>
        <w:t> </w:t>
      </w:r>
      <w:r w:rsidRPr="0031342C">
        <w:rPr>
          <w:noProof/>
        </w:rPr>
        <w:t>1</w:t>
      </w:r>
      <w:r w:rsidRPr="00DF3EF6">
        <w:rPr>
          <w:noProof/>
        </w:rPr>
        <w:t xml:space="preserve"> </w:t>
      </w:r>
      <w:r w:rsidRPr="0031342C">
        <w:rPr>
          <w:noProof/>
        </w:rPr>
        <w:t>pkt</w:t>
      </w:r>
      <w:r w:rsidR="0031342C" w:rsidRPr="0031342C">
        <w:rPr>
          <w:noProof/>
        </w:rPr>
        <w:t> </w:t>
      </w:r>
      <w:r w:rsidRPr="0031342C">
        <w:rPr>
          <w:noProof/>
        </w:rPr>
        <w:t>8</w:t>
      </w:r>
      <w:r w:rsidRPr="00DF3EF6">
        <w:rPr>
          <w:noProof/>
        </w:rPr>
        <w:t xml:space="preserve"> </w:t>
      </w:r>
      <w:r w:rsidRPr="0031342C">
        <w:rPr>
          <w:noProof/>
        </w:rPr>
        <w:t>lit.</w:t>
      </w:r>
      <w:r w:rsidR="0031342C" w:rsidRPr="0031342C">
        <w:rPr>
          <w:noProof/>
        </w:rPr>
        <w:t> </w:t>
      </w:r>
      <w:r w:rsidRPr="0031342C">
        <w:rPr>
          <w:noProof/>
        </w:rPr>
        <w:t>a)</w:t>
      </w:r>
      <w:r w:rsidRPr="00DF3EF6">
        <w:rPr>
          <w:noProof/>
        </w:rPr>
        <w:t>, lub dnia,</w:t>
      </w:r>
      <w:r w:rsidR="0031342C" w:rsidRPr="00DF3EF6">
        <w:rPr>
          <w:noProof/>
        </w:rPr>
        <w:t xml:space="preserve"> w</w:t>
      </w:r>
      <w:r w:rsidR="0031342C">
        <w:rPr>
          <w:noProof/>
        </w:rPr>
        <w:t> </w:t>
      </w:r>
      <w:r w:rsidR="0031342C" w:rsidRPr="00DF3EF6">
        <w:rPr>
          <w:noProof/>
        </w:rPr>
        <w:t>któ</w:t>
      </w:r>
      <w:r w:rsidRPr="00DF3EF6">
        <w:rPr>
          <w:noProof/>
        </w:rPr>
        <w:t>rym organ sądowy wydaje orzeczenie,</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2</w:t>
      </w:r>
      <w:r w:rsidRPr="00DF3EF6">
        <w:rPr>
          <w:noProof/>
        </w:rPr>
        <w:t xml:space="preserve"> </w:t>
      </w:r>
      <w:r w:rsidRPr="0031342C">
        <w:rPr>
          <w:noProof/>
        </w:rPr>
        <w:t>ust.</w:t>
      </w:r>
      <w:r w:rsidR="0031342C" w:rsidRPr="0031342C">
        <w:rPr>
          <w:noProof/>
        </w:rPr>
        <w:t> </w:t>
      </w:r>
      <w:r w:rsidRPr="0031342C">
        <w:rPr>
          <w:noProof/>
        </w:rPr>
        <w:t>1</w:t>
      </w:r>
      <w:r w:rsidRPr="00DF3EF6">
        <w:rPr>
          <w:noProof/>
        </w:rPr>
        <w:t xml:space="preserve"> </w:t>
      </w:r>
      <w:r w:rsidRPr="0031342C">
        <w:rPr>
          <w:noProof/>
        </w:rPr>
        <w:t>pkt</w:t>
      </w:r>
      <w:r w:rsidR="0031342C" w:rsidRPr="0031342C">
        <w:rPr>
          <w:noProof/>
        </w:rPr>
        <w:t> </w:t>
      </w:r>
      <w:r w:rsidRPr="0031342C">
        <w:rPr>
          <w:noProof/>
        </w:rPr>
        <w:t>8</w:t>
      </w:r>
      <w:r w:rsidRPr="00DF3EF6">
        <w:rPr>
          <w:noProof/>
        </w:rPr>
        <w:t xml:space="preserve"> </w:t>
      </w:r>
      <w:r w:rsidRPr="0031342C">
        <w:rPr>
          <w:noProof/>
        </w:rPr>
        <w:t>lit.</w:t>
      </w:r>
      <w:r w:rsidR="0031342C" w:rsidRPr="0031342C">
        <w:rPr>
          <w:noProof/>
        </w:rPr>
        <w:t> </w:t>
      </w:r>
      <w:r w:rsidRPr="0031342C">
        <w:rPr>
          <w:noProof/>
        </w:rPr>
        <w:t>b)</w:t>
      </w:r>
      <w:r w:rsidRPr="00DF3EF6">
        <w:rPr>
          <w:noProof/>
        </w:rPr>
        <w:t>, ale którymi to odsetkami nie uznano lub nie obciążono rachunku do tego dnia. Poziom gwarancji określony</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6</w:t>
      </w:r>
      <w:r w:rsidRPr="00DF3EF6">
        <w:rPr>
          <w:noProof/>
        </w:rPr>
        <w:t xml:space="preserve"> </w:t>
      </w:r>
      <w:r w:rsidRPr="0031342C">
        <w:rPr>
          <w:noProof/>
        </w:rPr>
        <w:t>ust.</w:t>
      </w:r>
      <w:r w:rsidR="0031342C" w:rsidRPr="0031342C">
        <w:rPr>
          <w:noProof/>
        </w:rPr>
        <w:t> </w:t>
      </w:r>
      <w:r w:rsidRPr="0031342C">
        <w:rPr>
          <w:noProof/>
        </w:rPr>
        <w:t>1</w:t>
      </w:r>
      <w:r w:rsidRPr="00DF3EF6">
        <w:rPr>
          <w:noProof/>
        </w:rPr>
        <w:t xml:space="preserve"> lub,</w:t>
      </w:r>
      <w:r w:rsidR="0031342C" w:rsidRPr="00DF3EF6">
        <w:rPr>
          <w:noProof/>
        </w:rPr>
        <w:t xml:space="preserve"> w</w:t>
      </w:r>
      <w:r w:rsidR="0031342C">
        <w:rPr>
          <w:noProof/>
        </w:rPr>
        <w:t> </w:t>
      </w:r>
      <w:r w:rsidR="0031342C" w:rsidRPr="00DF3EF6">
        <w:rPr>
          <w:noProof/>
        </w:rPr>
        <w:t>oko</w:t>
      </w:r>
      <w:r w:rsidRPr="00DF3EF6">
        <w:rPr>
          <w:noProof/>
        </w:rPr>
        <w:t>licznościach,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6</w:t>
      </w:r>
      <w:r w:rsidRPr="00DF3EF6">
        <w:rPr>
          <w:noProof/>
        </w:rPr>
        <w:t xml:space="preserve"> </w:t>
      </w:r>
      <w:r w:rsidRPr="0031342C">
        <w:rPr>
          <w:noProof/>
        </w:rPr>
        <w:t>ust.</w:t>
      </w:r>
      <w:r w:rsidR="0031342C" w:rsidRPr="0031342C">
        <w:rPr>
          <w:noProof/>
        </w:rPr>
        <w:t> </w:t>
      </w:r>
      <w:r w:rsidRPr="0031342C">
        <w:rPr>
          <w:noProof/>
        </w:rPr>
        <w:t>2</w:t>
      </w:r>
      <w:r w:rsidRPr="00DF3EF6">
        <w:rPr>
          <w:noProof/>
        </w:rPr>
        <w:t>, poziom gwarancji określony</w:t>
      </w:r>
      <w:r w:rsidR="0031342C" w:rsidRPr="00DF3EF6">
        <w:rPr>
          <w:noProof/>
        </w:rPr>
        <w:t xml:space="preserve"> w</w:t>
      </w:r>
      <w:r w:rsidR="0031342C">
        <w:rPr>
          <w:noProof/>
        </w:rPr>
        <w:t> </w:t>
      </w:r>
      <w:r w:rsidR="0031342C" w:rsidRPr="00DF3EF6">
        <w:rPr>
          <w:noProof/>
        </w:rPr>
        <w:t>tym</w:t>
      </w:r>
      <w:r w:rsidRPr="00DF3EF6">
        <w:rPr>
          <w:noProof/>
        </w:rPr>
        <w:t xml:space="preserve"> ustępie nie ulega przekroczeniu.”;</w:t>
      </w:r>
    </w:p>
    <w:p w14:paraId="26F60594" w14:textId="11D73293" w:rsidR="003B6C3F" w:rsidRPr="00DF3EF6" w:rsidRDefault="00DF3EF6" w:rsidP="00DF3EF6">
      <w:pPr>
        <w:pStyle w:val="Point0"/>
        <w:rPr>
          <w:noProof/>
        </w:rPr>
      </w:pPr>
      <w:r>
        <w:rPr>
          <w:noProof/>
        </w:rPr>
        <w:t>7)</w:t>
      </w:r>
      <w:r>
        <w:rPr>
          <w:noProof/>
        </w:rPr>
        <w:tab/>
      </w:r>
      <w:r w:rsidR="00903B81" w:rsidRPr="00DF3EF6">
        <w:rPr>
          <w:noProof/>
        </w:rPr>
        <w:t xml:space="preserve">dodaje się </w:t>
      </w:r>
      <w:r w:rsidR="00903B81" w:rsidRPr="0031342C">
        <w:rPr>
          <w:noProof/>
        </w:rPr>
        <w:t>art.</w:t>
      </w:r>
      <w:r w:rsidR="0031342C" w:rsidRPr="0031342C">
        <w:rPr>
          <w:noProof/>
        </w:rPr>
        <w:t> </w:t>
      </w:r>
      <w:r w:rsidR="00903B81" w:rsidRPr="0031342C">
        <w:rPr>
          <w:noProof/>
        </w:rPr>
        <w:t>7</w:t>
      </w:r>
      <w:r w:rsidR="00903B81" w:rsidRPr="00DF3EF6">
        <w:rPr>
          <w:noProof/>
        </w:rPr>
        <w:t>a</w:t>
      </w:r>
      <w:r w:rsidR="0031342C" w:rsidRPr="00DF3EF6">
        <w:rPr>
          <w:noProof/>
        </w:rPr>
        <w:t xml:space="preserve"> w</w:t>
      </w:r>
      <w:r w:rsidR="0031342C">
        <w:rPr>
          <w:noProof/>
        </w:rPr>
        <w:t> </w:t>
      </w:r>
      <w:r w:rsidR="0031342C" w:rsidRPr="00DF3EF6">
        <w:rPr>
          <w:noProof/>
        </w:rPr>
        <w:t>brz</w:t>
      </w:r>
      <w:r w:rsidR="00903B81" w:rsidRPr="00DF3EF6">
        <w:rPr>
          <w:noProof/>
        </w:rPr>
        <w:t>mieniu:</w:t>
      </w:r>
    </w:p>
    <w:p w14:paraId="4740B982" w14:textId="77777777" w:rsidR="00CE6A53" w:rsidRPr="00DF3EF6" w:rsidRDefault="00CE6A53" w:rsidP="00CE6A53">
      <w:pPr>
        <w:pStyle w:val="Text1"/>
        <w:jc w:val="center"/>
        <w:rPr>
          <w:i/>
          <w:noProof/>
        </w:rPr>
      </w:pPr>
      <w:r w:rsidRPr="00DF3EF6">
        <w:rPr>
          <w:i/>
          <w:noProof/>
        </w:rPr>
        <w:t>„Artykuł 7a</w:t>
      </w:r>
    </w:p>
    <w:p w14:paraId="191999A7" w14:textId="4CB5AC57" w:rsidR="00CE6A53" w:rsidRPr="00DF3EF6" w:rsidRDefault="00CE6A53" w:rsidP="00CE6A53">
      <w:pPr>
        <w:pStyle w:val="Text1"/>
        <w:jc w:val="center"/>
        <w:rPr>
          <w:b/>
          <w:noProof/>
        </w:rPr>
      </w:pPr>
      <w:r w:rsidRPr="00DF3EF6">
        <w:rPr>
          <w:b/>
          <w:noProof/>
        </w:rPr>
        <w:t>Ciężar dowodu wskazującego na kwalifikowalność depozytu</w:t>
      </w:r>
      <w:r w:rsidR="0031342C" w:rsidRPr="00DF3EF6">
        <w:rPr>
          <w:b/>
          <w:noProof/>
        </w:rPr>
        <w:t xml:space="preserve"> i</w:t>
      </w:r>
      <w:r w:rsidR="0031342C">
        <w:rPr>
          <w:b/>
          <w:noProof/>
        </w:rPr>
        <w:t> </w:t>
      </w:r>
      <w:r w:rsidR="0031342C" w:rsidRPr="00DF3EF6">
        <w:rPr>
          <w:b/>
          <w:noProof/>
        </w:rPr>
        <w:t>upr</w:t>
      </w:r>
      <w:r w:rsidRPr="00DF3EF6">
        <w:rPr>
          <w:b/>
          <w:noProof/>
        </w:rPr>
        <w:t>awnienie do depozytu</w:t>
      </w:r>
    </w:p>
    <w:p w14:paraId="062864F4" w14:textId="72F7FA48" w:rsidR="003B6C3F" w:rsidRPr="00DF3EF6" w:rsidRDefault="003B6C3F" w:rsidP="00CE6A53">
      <w:pPr>
        <w:pStyle w:val="Text2"/>
        <w:rPr>
          <w:noProof/>
        </w:rPr>
      </w:pPr>
      <w:r w:rsidRPr="00DF3EF6">
        <w:rPr>
          <w:noProof/>
        </w:rPr>
        <w:lastRenderedPageBreak/>
        <w:t>Państwa członkowskie zapewniają, aby</w:t>
      </w:r>
      <w:r w:rsidR="0031342C" w:rsidRPr="00DF3EF6">
        <w:rPr>
          <w:noProof/>
        </w:rPr>
        <w:t xml:space="preserve"> w</w:t>
      </w:r>
      <w:r w:rsidR="0031342C">
        <w:rPr>
          <w:noProof/>
        </w:rPr>
        <w:t> </w:t>
      </w:r>
      <w:r w:rsidR="0031342C" w:rsidRPr="00DF3EF6">
        <w:rPr>
          <w:noProof/>
        </w:rPr>
        <w:t>prz</w:t>
      </w:r>
      <w:r w:rsidRPr="00DF3EF6">
        <w:rPr>
          <w:noProof/>
        </w:rPr>
        <w:t>ypadkach,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6</w:t>
      </w:r>
      <w:r w:rsidRPr="00DF3EF6">
        <w:rPr>
          <w:noProof/>
        </w:rPr>
        <w:t xml:space="preserve"> </w:t>
      </w:r>
      <w:r w:rsidRPr="0031342C">
        <w:rPr>
          <w:noProof/>
        </w:rPr>
        <w:t>ust.</w:t>
      </w:r>
      <w:r w:rsidR="0031342C" w:rsidRPr="0031342C">
        <w:rPr>
          <w:noProof/>
        </w:rPr>
        <w:t> </w:t>
      </w:r>
      <w:r w:rsidRPr="0031342C">
        <w:rPr>
          <w:noProof/>
        </w:rPr>
        <w:t>2</w:t>
      </w:r>
      <w:r w:rsidR="0031342C" w:rsidRPr="00DF3EF6">
        <w:rPr>
          <w:noProof/>
        </w:rPr>
        <w:t xml:space="preserve"> i</w:t>
      </w:r>
      <w:r w:rsidR="0031342C">
        <w:rPr>
          <w:noProof/>
        </w:rPr>
        <w:t> </w:t>
      </w:r>
      <w:r w:rsidR="0031342C" w:rsidRPr="0031342C">
        <w:rPr>
          <w:noProof/>
        </w:rPr>
        <w:t>art</w:t>
      </w:r>
      <w:r w:rsidRPr="0031342C">
        <w:rPr>
          <w:noProof/>
        </w:rPr>
        <w:t>.</w:t>
      </w:r>
      <w:r w:rsidR="0031342C" w:rsidRPr="0031342C">
        <w:rPr>
          <w:noProof/>
        </w:rPr>
        <w:t> </w:t>
      </w:r>
      <w:r w:rsidRPr="0031342C">
        <w:rPr>
          <w:noProof/>
        </w:rPr>
        <w:t>7</w:t>
      </w:r>
      <w:r w:rsidRPr="00DF3EF6">
        <w:rPr>
          <w:noProof/>
        </w:rPr>
        <w:t xml:space="preserve"> </w:t>
      </w:r>
      <w:r w:rsidRPr="0031342C">
        <w:rPr>
          <w:noProof/>
        </w:rPr>
        <w:t>ust.</w:t>
      </w:r>
      <w:r w:rsidR="0031342C" w:rsidRPr="0031342C">
        <w:rPr>
          <w:noProof/>
        </w:rPr>
        <w:t> </w:t>
      </w:r>
      <w:r w:rsidRPr="0031342C">
        <w:rPr>
          <w:noProof/>
        </w:rPr>
        <w:t>3</w:t>
      </w:r>
      <w:r w:rsidRPr="00DF3EF6">
        <w:rPr>
          <w:noProof/>
        </w:rPr>
        <w:t>, deponent lub,</w:t>
      </w:r>
      <w:r w:rsidR="0031342C" w:rsidRPr="00DF3EF6">
        <w:rPr>
          <w:noProof/>
        </w:rPr>
        <w:t xml:space="preserve"> w</w:t>
      </w:r>
      <w:r w:rsidR="0031342C">
        <w:rPr>
          <w:noProof/>
        </w:rPr>
        <w:t> </w:t>
      </w:r>
      <w:r w:rsidR="0031342C" w:rsidRPr="00DF3EF6">
        <w:rPr>
          <w:noProof/>
        </w:rPr>
        <w:t>sto</w:t>
      </w:r>
      <w:r w:rsidRPr="00DF3EF6">
        <w:rPr>
          <w:noProof/>
        </w:rPr>
        <w:t>sownych przypadkach, posiadacz rachunku udowodnił, że dane depozyty spełniają warunki określone</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6</w:t>
      </w:r>
      <w:r w:rsidRPr="00DF3EF6">
        <w:rPr>
          <w:noProof/>
        </w:rPr>
        <w:t xml:space="preserve"> </w:t>
      </w:r>
      <w:r w:rsidRPr="0031342C">
        <w:rPr>
          <w:noProof/>
        </w:rPr>
        <w:t>ust.</w:t>
      </w:r>
      <w:r w:rsidR="0031342C" w:rsidRPr="0031342C">
        <w:rPr>
          <w:noProof/>
        </w:rPr>
        <w:t> </w:t>
      </w:r>
      <w:r w:rsidRPr="0031342C">
        <w:rPr>
          <w:noProof/>
        </w:rPr>
        <w:t>2</w:t>
      </w:r>
      <w:r w:rsidRPr="00DF3EF6">
        <w:rPr>
          <w:noProof/>
        </w:rPr>
        <w:t xml:space="preserve"> albo że przysługuje mu uprawnienie do danych depozytów</w:t>
      </w:r>
      <w:r w:rsidR="0031342C" w:rsidRPr="00DF3EF6">
        <w:rPr>
          <w:noProof/>
        </w:rPr>
        <w:t xml:space="preserve"> w</w:t>
      </w:r>
      <w:r w:rsidR="0031342C">
        <w:rPr>
          <w:noProof/>
        </w:rPr>
        <w:t> </w:t>
      </w:r>
      <w:r w:rsidR="0031342C" w:rsidRPr="00DF3EF6">
        <w:rPr>
          <w:noProof/>
        </w:rPr>
        <w:t>oko</w:t>
      </w:r>
      <w:r w:rsidRPr="00DF3EF6">
        <w:rPr>
          <w:noProof/>
        </w:rPr>
        <w:t>licznościach,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7</w:t>
      </w:r>
      <w:r w:rsidRPr="00DF3EF6">
        <w:rPr>
          <w:noProof/>
        </w:rPr>
        <w:t xml:space="preserve"> </w:t>
      </w:r>
      <w:r w:rsidRPr="0031342C">
        <w:rPr>
          <w:noProof/>
        </w:rPr>
        <w:t>ust.</w:t>
      </w:r>
      <w:r w:rsidR="0031342C" w:rsidRPr="0031342C">
        <w:rPr>
          <w:noProof/>
        </w:rPr>
        <w:t> </w:t>
      </w:r>
      <w:r w:rsidRPr="0031342C">
        <w:rPr>
          <w:noProof/>
        </w:rPr>
        <w:t>3</w:t>
      </w:r>
      <w:r w:rsidRPr="00DF3EF6">
        <w:rPr>
          <w:noProof/>
        </w:rPr>
        <w:t>.”;</w:t>
      </w:r>
    </w:p>
    <w:p w14:paraId="56B58A7A" w14:textId="2B6EC3A7" w:rsidR="003B6C3F" w:rsidRPr="00DF3EF6" w:rsidRDefault="00DF3EF6" w:rsidP="00DF3EF6">
      <w:pPr>
        <w:pStyle w:val="Point0"/>
        <w:rPr>
          <w:noProof/>
        </w:rPr>
      </w:pPr>
      <w:r>
        <w:rPr>
          <w:noProof/>
        </w:rPr>
        <w:t>8)</w:t>
      </w:r>
      <w:r>
        <w:rPr>
          <w:noProof/>
        </w:rPr>
        <w:tab/>
      </w:r>
      <w:r w:rsidR="003B6C3F" w:rsidRPr="00DF3EF6">
        <w:rPr>
          <w:noProof/>
        </w:rPr>
        <w:t xml:space="preserve">w </w:t>
      </w:r>
      <w:r w:rsidR="003B6C3F" w:rsidRPr="0031342C">
        <w:rPr>
          <w:noProof/>
        </w:rPr>
        <w:t>art.</w:t>
      </w:r>
      <w:r w:rsidR="0031342C" w:rsidRPr="0031342C">
        <w:rPr>
          <w:noProof/>
        </w:rPr>
        <w:t> </w:t>
      </w:r>
      <w:r w:rsidR="003B6C3F" w:rsidRPr="0031342C">
        <w:rPr>
          <w:noProof/>
        </w:rPr>
        <w:t>8</w:t>
      </w:r>
      <w:r w:rsidR="003B6C3F" w:rsidRPr="00DF3EF6">
        <w:rPr>
          <w:noProof/>
        </w:rPr>
        <w:t xml:space="preserve"> wprowadza się następujące zmiany:</w:t>
      </w:r>
    </w:p>
    <w:p w14:paraId="0D8E601C" w14:textId="712289A6" w:rsidR="003B6C3F" w:rsidRPr="00DF3EF6" w:rsidRDefault="00DF3EF6" w:rsidP="00DF3EF6">
      <w:pPr>
        <w:pStyle w:val="Point1"/>
        <w:rPr>
          <w:noProof/>
        </w:rPr>
      </w:pPr>
      <w:r>
        <w:rPr>
          <w:noProof/>
        </w:rPr>
        <w:t>a)</w:t>
      </w:r>
      <w:r>
        <w:rPr>
          <w:noProof/>
        </w:rPr>
        <w:tab/>
      </w:r>
      <w:r w:rsidR="003B6C3F" w:rsidRPr="0031342C">
        <w:rPr>
          <w:noProof/>
        </w:rPr>
        <w:t>ust.</w:t>
      </w:r>
      <w:r w:rsidR="0031342C" w:rsidRPr="0031342C">
        <w:rPr>
          <w:noProof/>
        </w:rPr>
        <w:t> </w:t>
      </w:r>
      <w:r w:rsidR="003B6C3F" w:rsidRPr="0031342C">
        <w:rPr>
          <w:noProof/>
        </w:rPr>
        <w:t>3</w:t>
      </w:r>
      <w:r w:rsidR="003B6C3F" w:rsidRPr="00DF3EF6">
        <w:rPr>
          <w:noProof/>
        </w:rPr>
        <w:t xml:space="preserve"> otrzymuje brzmienie:</w:t>
      </w:r>
    </w:p>
    <w:p w14:paraId="2A09DA54" w14:textId="29B7A7C5" w:rsidR="003B6C3F" w:rsidRPr="00DF3EF6" w:rsidRDefault="003B6C3F" w:rsidP="00CE6A53">
      <w:pPr>
        <w:pStyle w:val="Text2"/>
        <w:rPr>
          <w:noProof/>
        </w:rPr>
      </w:pPr>
      <w:r w:rsidRPr="00DF3EF6">
        <w:rPr>
          <w:noProof/>
        </w:rPr>
        <w:t>„3</w:t>
      </w:r>
      <w:r w:rsidR="0031342C" w:rsidRPr="00DF3EF6">
        <w:rPr>
          <w:noProof/>
        </w:rPr>
        <w:t>. W</w:t>
      </w:r>
      <w:r w:rsidR="0031342C">
        <w:rPr>
          <w:noProof/>
        </w:rPr>
        <w:t> </w:t>
      </w:r>
      <w:r w:rsidR="0031342C" w:rsidRPr="00DF3EF6">
        <w:rPr>
          <w:noProof/>
        </w:rPr>
        <w:t>dro</w:t>
      </w:r>
      <w:r w:rsidRPr="00DF3EF6">
        <w:rPr>
          <w:noProof/>
        </w:rPr>
        <w:t xml:space="preserve">dze odstępstwa od </w:t>
      </w:r>
      <w:r w:rsidRPr="0031342C">
        <w:rPr>
          <w:noProof/>
        </w:rPr>
        <w:t>ust.</w:t>
      </w:r>
      <w:r w:rsidR="0031342C" w:rsidRPr="0031342C">
        <w:rPr>
          <w:noProof/>
        </w:rPr>
        <w:t> </w:t>
      </w:r>
      <w:r w:rsidRPr="0031342C">
        <w:rPr>
          <w:noProof/>
        </w:rPr>
        <w:t>1</w:t>
      </w:r>
      <w:r w:rsidRPr="00DF3EF6">
        <w:rPr>
          <w:noProof/>
        </w:rPr>
        <w:t xml:space="preserve"> państwa członkowskie zezwalają systemom gwarancji depozytów na stosowanie dłuższego okresu wypłaty depozytów,</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6</w:t>
      </w:r>
      <w:r w:rsidRPr="00DF3EF6">
        <w:rPr>
          <w:noProof/>
        </w:rPr>
        <w:t xml:space="preserve"> </w:t>
      </w:r>
      <w:r w:rsidRPr="0031342C">
        <w:rPr>
          <w:noProof/>
        </w:rPr>
        <w:t>ust.</w:t>
      </w:r>
      <w:r w:rsidR="0031342C" w:rsidRPr="0031342C">
        <w:rPr>
          <w:noProof/>
        </w:rPr>
        <w:t> </w:t>
      </w:r>
      <w:r w:rsidRPr="0031342C">
        <w:rPr>
          <w:noProof/>
        </w:rPr>
        <w:t>2</w:t>
      </w:r>
      <w:r w:rsidRPr="00DF3EF6">
        <w:rPr>
          <w:noProof/>
        </w:rPr>
        <w:t xml:space="preserve">, </w:t>
      </w:r>
      <w:r w:rsidRPr="0031342C">
        <w:rPr>
          <w:noProof/>
        </w:rPr>
        <w:t>art.</w:t>
      </w:r>
      <w:r w:rsidR="0031342C" w:rsidRPr="0031342C">
        <w:rPr>
          <w:noProof/>
        </w:rPr>
        <w:t> </w:t>
      </w:r>
      <w:r w:rsidRPr="0031342C">
        <w:rPr>
          <w:noProof/>
        </w:rPr>
        <w:t>7</w:t>
      </w:r>
      <w:r w:rsidRPr="00DF3EF6">
        <w:rPr>
          <w:noProof/>
        </w:rPr>
        <w:t xml:space="preserve"> </w:t>
      </w:r>
      <w:r w:rsidRPr="0031342C">
        <w:rPr>
          <w:noProof/>
        </w:rPr>
        <w:t>ust.</w:t>
      </w:r>
      <w:r w:rsidR="0031342C" w:rsidRPr="0031342C">
        <w:rPr>
          <w:noProof/>
        </w:rPr>
        <w:t> </w:t>
      </w:r>
      <w:r w:rsidRPr="0031342C">
        <w:rPr>
          <w:noProof/>
        </w:rPr>
        <w:t>3</w:t>
      </w:r>
      <w:r w:rsidR="0031342C" w:rsidRPr="00DF3EF6">
        <w:rPr>
          <w:noProof/>
        </w:rPr>
        <w:t xml:space="preserve"> i</w:t>
      </w:r>
      <w:r w:rsidR="0031342C">
        <w:rPr>
          <w:noProof/>
        </w:rPr>
        <w:t> </w:t>
      </w:r>
      <w:r w:rsidR="0031342C" w:rsidRPr="0031342C">
        <w:rPr>
          <w:noProof/>
        </w:rPr>
        <w:t>art</w:t>
      </w:r>
      <w:r w:rsidRPr="0031342C">
        <w:rPr>
          <w:noProof/>
        </w:rPr>
        <w:t>.</w:t>
      </w:r>
      <w:r w:rsidR="0031342C" w:rsidRPr="0031342C">
        <w:rPr>
          <w:noProof/>
        </w:rPr>
        <w:t> </w:t>
      </w:r>
      <w:r w:rsidRPr="0031342C">
        <w:rPr>
          <w:noProof/>
        </w:rPr>
        <w:t>8</w:t>
      </w:r>
      <w:r w:rsidRPr="00DF3EF6">
        <w:rPr>
          <w:noProof/>
        </w:rPr>
        <w:t>b, który to okres nie może przekraczać 20 dni roboczych od daty otrzymania przez te systemy gwarancji depozytów pełnej dokumentacji, której zażądały od deponenta</w:t>
      </w:r>
      <w:r w:rsidR="0031342C" w:rsidRPr="00DF3EF6">
        <w:rPr>
          <w:noProof/>
        </w:rPr>
        <w:t xml:space="preserve"> w</w:t>
      </w:r>
      <w:r w:rsidR="0031342C">
        <w:rPr>
          <w:noProof/>
        </w:rPr>
        <w:t> </w:t>
      </w:r>
      <w:r w:rsidR="0031342C" w:rsidRPr="00DF3EF6">
        <w:rPr>
          <w:noProof/>
        </w:rPr>
        <w:t>cel</w:t>
      </w:r>
      <w:r w:rsidRPr="00DF3EF6">
        <w:rPr>
          <w:noProof/>
        </w:rPr>
        <w:t>u zbadania roszczeń</w:t>
      </w:r>
      <w:r w:rsidR="0031342C" w:rsidRPr="00DF3EF6">
        <w:rPr>
          <w:noProof/>
        </w:rPr>
        <w:t xml:space="preserve"> i</w:t>
      </w:r>
      <w:r w:rsidR="0031342C">
        <w:rPr>
          <w:noProof/>
        </w:rPr>
        <w:t> </w:t>
      </w:r>
      <w:r w:rsidR="0031342C" w:rsidRPr="00DF3EF6">
        <w:rPr>
          <w:noProof/>
        </w:rPr>
        <w:t>wer</w:t>
      </w:r>
      <w:r w:rsidRPr="00DF3EF6">
        <w:rPr>
          <w:noProof/>
        </w:rPr>
        <w:t>yfikacji spełnienia warunków wypłaty.”;</w:t>
      </w:r>
    </w:p>
    <w:p w14:paraId="57099F48" w14:textId="0BF895D7" w:rsidR="00AF5370" w:rsidRPr="00DF3EF6" w:rsidRDefault="00DF3EF6" w:rsidP="00DF3EF6">
      <w:pPr>
        <w:pStyle w:val="Point1"/>
        <w:rPr>
          <w:noProof/>
        </w:rPr>
      </w:pPr>
      <w:r>
        <w:rPr>
          <w:noProof/>
        </w:rPr>
        <w:t>b)</w:t>
      </w:r>
      <w:r>
        <w:rPr>
          <w:noProof/>
        </w:rPr>
        <w:tab/>
      </w:r>
      <w:r w:rsidR="003B6C3F" w:rsidRPr="00DF3EF6">
        <w:rPr>
          <w:noProof/>
        </w:rPr>
        <w:t xml:space="preserve">w </w:t>
      </w:r>
      <w:r w:rsidR="003B6C3F" w:rsidRPr="0031342C">
        <w:rPr>
          <w:noProof/>
        </w:rPr>
        <w:t>ust.</w:t>
      </w:r>
      <w:r w:rsidR="0031342C" w:rsidRPr="0031342C">
        <w:rPr>
          <w:noProof/>
        </w:rPr>
        <w:t> </w:t>
      </w:r>
      <w:r w:rsidR="003B6C3F" w:rsidRPr="0031342C">
        <w:rPr>
          <w:noProof/>
        </w:rPr>
        <w:t>5</w:t>
      </w:r>
      <w:r w:rsidR="003B6C3F" w:rsidRPr="00DF3EF6">
        <w:rPr>
          <w:noProof/>
        </w:rPr>
        <w:t xml:space="preserve"> wprowadza się następujące zmiany:</w:t>
      </w:r>
    </w:p>
    <w:p w14:paraId="27307409" w14:textId="3A7C3936" w:rsidR="003B6C3F" w:rsidRPr="00DF3EF6" w:rsidRDefault="00AF5370" w:rsidP="00E3000D">
      <w:pPr>
        <w:pStyle w:val="Point2"/>
        <w:rPr>
          <w:noProof/>
        </w:rPr>
      </w:pPr>
      <w:r w:rsidRPr="00DF3EF6">
        <w:rPr>
          <w:noProof/>
        </w:rPr>
        <w:t>(i)</w:t>
      </w:r>
      <w:r w:rsidRPr="00DF3EF6">
        <w:rPr>
          <w:noProof/>
        </w:rPr>
        <w:tab/>
      </w:r>
      <w:r w:rsidRPr="0031342C">
        <w:rPr>
          <w:noProof/>
        </w:rPr>
        <w:t>lit.</w:t>
      </w:r>
      <w:r w:rsidR="0031342C" w:rsidRPr="0031342C">
        <w:rPr>
          <w:noProof/>
        </w:rPr>
        <w:t> </w:t>
      </w:r>
      <w:r w:rsidRPr="0031342C">
        <w:rPr>
          <w:noProof/>
        </w:rPr>
        <w:t>c)</w:t>
      </w:r>
      <w:r w:rsidRPr="00DF3EF6">
        <w:rPr>
          <w:noProof/>
        </w:rPr>
        <w:t xml:space="preserve"> otrzymuje brzmienie:</w:t>
      </w:r>
    </w:p>
    <w:p w14:paraId="08E03FCF" w14:textId="0B09DAD1" w:rsidR="003B6C3F" w:rsidRPr="00DF3EF6" w:rsidRDefault="003B6C3F" w:rsidP="00E3000D">
      <w:pPr>
        <w:pStyle w:val="Text3"/>
        <w:rPr>
          <w:noProof/>
        </w:rPr>
      </w:pPr>
      <w:r w:rsidRPr="00DF3EF6">
        <w:rPr>
          <w:noProof/>
        </w:rPr>
        <w:t>„c)</w:t>
      </w:r>
      <w:r w:rsidR="0031342C" w:rsidRPr="00DF3EF6">
        <w:rPr>
          <w:noProof/>
        </w:rPr>
        <w:t xml:space="preserve"> w</w:t>
      </w:r>
      <w:r w:rsidR="0031342C">
        <w:rPr>
          <w:noProof/>
        </w:rPr>
        <w:t> </w:t>
      </w:r>
      <w:r w:rsidR="0031342C" w:rsidRPr="00DF3EF6">
        <w:rPr>
          <w:noProof/>
        </w:rPr>
        <w:t>dro</w:t>
      </w:r>
      <w:r w:rsidRPr="00DF3EF6">
        <w:rPr>
          <w:noProof/>
        </w:rPr>
        <w:t xml:space="preserve">dze odstępstwa od </w:t>
      </w:r>
      <w:r w:rsidRPr="0031342C">
        <w:rPr>
          <w:noProof/>
        </w:rPr>
        <w:t>ust.</w:t>
      </w:r>
      <w:r w:rsidR="0031342C" w:rsidRPr="0031342C">
        <w:rPr>
          <w:noProof/>
        </w:rPr>
        <w:t> </w:t>
      </w:r>
      <w:r w:rsidRPr="0031342C">
        <w:rPr>
          <w:noProof/>
        </w:rPr>
        <w:t>9</w:t>
      </w:r>
      <w:r w:rsidRPr="00DF3EF6">
        <w:rPr>
          <w:noProof/>
        </w:rPr>
        <w:t xml:space="preserve"> –</w:t>
      </w:r>
      <w:r w:rsidR="0031342C" w:rsidRPr="00DF3EF6">
        <w:rPr>
          <w:noProof/>
        </w:rPr>
        <w:t xml:space="preserve"> w</w:t>
      </w:r>
      <w:r w:rsidR="0031342C">
        <w:rPr>
          <w:noProof/>
        </w:rPr>
        <w:t> </w:t>
      </w:r>
      <w:r w:rsidR="0031342C" w:rsidRPr="00DF3EF6">
        <w:rPr>
          <w:noProof/>
        </w:rPr>
        <w:t>cią</w:t>
      </w:r>
      <w:r w:rsidRPr="00DF3EF6">
        <w:rPr>
          <w:noProof/>
        </w:rPr>
        <w:t>gu ostatnich 24 miesięcy nie miała miejsce żadna operacja związana</w:t>
      </w:r>
      <w:r w:rsidR="0031342C" w:rsidRPr="00DF3EF6">
        <w:rPr>
          <w:noProof/>
        </w:rPr>
        <w:t xml:space="preserve"> z</w:t>
      </w:r>
      <w:r w:rsidR="0031342C">
        <w:rPr>
          <w:noProof/>
        </w:rPr>
        <w:t> </w:t>
      </w:r>
      <w:r w:rsidR="0031342C" w:rsidRPr="00DF3EF6">
        <w:rPr>
          <w:noProof/>
        </w:rPr>
        <w:t>dep</w:t>
      </w:r>
      <w:r w:rsidRPr="00DF3EF6">
        <w:rPr>
          <w:noProof/>
        </w:rPr>
        <w:t>ozytem (rachunek jest nieaktywny), chyba że deponent posiada również depozyty na innym rachunku, który nie jest nieaktywny;”;</w:t>
      </w:r>
    </w:p>
    <w:p w14:paraId="1DFCA711" w14:textId="5442B8E1" w:rsidR="004F08DC" w:rsidRPr="00DF3EF6" w:rsidRDefault="00AF5370" w:rsidP="000909A4">
      <w:pPr>
        <w:pStyle w:val="Point2"/>
        <w:rPr>
          <w:noProof/>
        </w:rPr>
      </w:pPr>
      <w:r w:rsidRPr="00DF3EF6">
        <w:rPr>
          <w:noProof/>
        </w:rPr>
        <w:t>(ii)</w:t>
      </w:r>
      <w:r w:rsidRPr="00DF3EF6">
        <w:rPr>
          <w:noProof/>
        </w:rPr>
        <w:tab/>
        <w:t xml:space="preserve">uchyla się </w:t>
      </w:r>
      <w:r w:rsidRPr="0031342C">
        <w:rPr>
          <w:noProof/>
        </w:rPr>
        <w:t>lit.</w:t>
      </w:r>
      <w:r w:rsidR="0031342C" w:rsidRPr="0031342C">
        <w:rPr>
          <w:noProof/>
        </w:rPr>
        <w:t> </w:t>
      </w:r>
      <w:r w:rsidRPr="0031342C">
        <w:rPr>
          <w:noProof/>
        </w:rPr>
        <w:t>d)</w:t>
      </w:r>
      <w:r w:rsidRPr="00DF3EF6">
        <w:rPr>
          <w:noProof/>
        </w:rPr>
        <w:t>;</w:t>
      </w:r>
    </w:p>
    <w:p w14:paraId="00A1F9DE" w14:textId="18CAED8D" w:rsidR="003B6C3F" w:rsidRPr="00DF3EF6" w:rsidRDefault="00DF3EF6" w:rsidP="00DF3EF6">
      <w:pPr>
        <w:pStyle w:val="Point1"/>
        <w:rPr>
          <w:noProof/>
        </w:rPr>
      </w:pPr>
      <w:r>
        <w:rPr>
          <w:noProof/>
        </w:rPr>
        <w:t>c)</w:t>
      </w:r>
      <w:r>
        <w:rPr>
          <w:noProof/>
        </w:rPr>
        <w:tab/>
      </w:r>
      <w:r w:rsidR="003B6C3F" w:rsidRPr="00DF3EF6">
        <w:rPr>
          <w:noProof/>
        </w:rPr>
        <w:t xml:space="preserve">uchyla się </w:t>
      </w:r>
      <w:r w:rsidR="003B6C3F" w:rsidRPr="0031342C">
        <w:rPr>
          <w:noProof/>
        </w:rPr>
        <w:t>ust.</w:t>
      </w:r>
      <w:r w:rsidR="0031342C" w:rsidRPr="0031342C">
        <w:rPr>
          <w:noProof/>
        </w:rPr>
        <w:t> </w:t>
      </w:r>
      <w:r w:rsidR="003B6C3F" w:rsidRPr="0031342C">
        <w:rPr>
          <w:noProof/>
        </w:rPr>
        <w:t>8</w:t>
      </w:r>
      <w:r w:rsidR="003B6C3F" w:rsidRPr="00DF3EF6">
        <w:rPr>
          <w:noProof/>
        </w:rPr>
        <w:t xml:space="preserve">; </w:t>
      </w:r>
    </w:p>
    <w:p w14:paraId="60FB6016" w14:textId="17115F62" w:rsidR="003B6C3F" w:rsidRPr="00DF3EF6" w:rsidRDefault="00DF3EF6" w:rsidP="00DF3EF6">
      <w:pPr>
        <w:pStyle w:val="Point1"/>
        <w:rPr>
          <w:noProof/>
        </w:rPr>
      </w:pPr>
      <w:r>
        <w:rPr>
          <w:noProof/>
        </w:rPr>
        <w:t>d)</w:t>
      </w:r>
      <w:r>
        <w:rPr>
          <w:noProof/>
        </w:rPr>
        <w:tab/>
      </w:r>
      <w:r w:rsidR="003B6C3F" w:rsidRPr="0031342C">
        <w:rPr>
          <w:noProof/>
        </w:rPr>
        <w:t>ust.</w:t>
      </w:r>
      <w:r w:rsidR="0031342C" w:rsidRPr="0031342C">
        <w:rPr>
          <w:noProof/>
        </w:rPr>
        <w:t> </w:t>
      </w:r>
      <w:r w:rsidR="003B6C3F" w:rsidRPr="0031342C">
        <w:rPr>
          <w:noProof/>
        </w:rPr>
        <w:t>9</w:t>
      </w:r>
      <w:r w:rsidR="003B6C3F" w:rsidRPr="00DF3EF6">
        <w:rPr>
          <w:noProof/>
        </w:rPr>
        <w:t xml:space="preserve"> otrzymuje brzmienie: </w:t>
      </w:r>
    </w:p>
    <w:p w14:paraId="26A20CCD" w14:textId="2992424E" w:rsidR="00C9582B" w:rsidRPr="00DF3EF6" w:rsidRDefault="003B6C3F" w:rsidP="00CE6A53">
      <w:pPr>
        <w:pStyle w:val="Text2"/>
        <w:rPr>
          <w:noProof/>
        </w:rPr>
      </w:pPr>
      <w:r w:rsidRPr="00DF3EF6">
        <w:rPr>
          <w:noProof/>
        </w:rPr>
        <w:t>„9. Państwa członkowskie zapewniają, aby</w:t>
      </w:r>
      <w:r w:rsidR="0031342C" w:rsidRPr="00DF3EF6">
        <w:rPr>
          <w:noProof/>
        </w:rPr>
        <w:t xml:space="preserve"> w</w:t>
      </w:r>
      <w:r w:rsidR="0031342C">
        <w:rPr>
          <w:noProof/>
        </w:rPr>
        <w:t> </w:t>
      </w:r>
      <w:r w:rsidR="0031342C" w:rsidRPr="00DF3EF6">
        <w:rPr>
          <w:noProof/>
        </w:rPr>
        <w:t>prz</w:t>
      </w:r>
      <w:r w:rsidRPr="00DF3EF6">
        <w:rPr>
          <w:noProof/>
        </w:rPr>
        <w:t>ypadku gdy</w:t>
      </w:r>
      <w:r w:rsidR="0031342C" w:rsidRPr="00DF3EF6">
        <w:rPr>
          <w:noProof/>
        </w:rPr>
        <w:t xml:space="preserve"> w</w:t>
      </w:r>
      <w:r w:rsidR="0031342C">
        <w:rPr>
          <w:noProof/>
        </w:rPr>
        <w:t> </w:t>
      </w:r>
      <w:r w:rsidR="0031342C" w:rsidRPr="00DF3EF6">
        <w:rPr>
          <w:noProof/>
        </w:rPr>
        <w:t>cią</w:t>
      </w:r>
      <w:r w:rsidRPr="00DF3EF6">
        <w:rPr>
          <w:noProof/>
        </w:rPr>
        <w:t>gu ostatnich 24 miesięcy nie miała miejsca żadna operacja związana</w:t>
      </w:r>
      <w:r w:rsidR="0031342C" w:rsidRPr="00DF3EF6">
        <w:rPr>
          <w:noProof/>
        </w:rPr>
        <w:t xml:space="preserve"> z</w:t>
      </w:r>
      <w:r w:rsidR="0031342C">
        <w:rPr>
          <w:noProof/>
        </w:rPr>
        <w:t> </w:t>
      </w:r>
      <w:r w:rsidR="0031342C" w:rsidRPr="00DF3EF6">
        <w:rPr>
          <w:noProof/>
        </w:rPr>
        <w:t>dep</w:t>
      </w:r>
      <w:r w:rsidRPr="00DF3EF6">
        <w:rPr>
          <w:noProof/>
        </w:rPr>
        <w:t>ozytem, systemy gwarancji depozytów mogły ustalić próg dotyczący kosztów administracyjnych, jakie poniosłyby te systemy gwarancji depozytów, dokonując takiej wypłaty. Systemy gwarancji depozytów nie są zobowiązane do podejmowania aktywnych działań</w:t>
      </w:r>
      <w:r w:rsidR="0031342C" w:rsidRPr="00DF3EF6">
        <w:rPr>
          <w:noProof/>
        </w:rPr>
        <w:t xml:space="preserve"> w</w:t>
      </w:r>
      <w:r w:rsidR="0031342C">
        <w:rPr>
          <w:noProof/>
        </w:rPr>
        <w:t> </w:t>
      </w:r>
      <w:r w:rsidR="0031342C" w:rsidRPr="00DF3EF6">
        <w:rPr>
          <w:noProof/>
        </w:rPr>
        <w:t>cel</w:t>
      </w:r>
      <w:r w:rsidRPr="00DF3EF6">
        <w:rPr>
          <w:noProof/>
        </w:rPr>
        <w:t>u dokonywania wypłat na rzecz deponentów poniżej tego progu. Państwa członkowskie zapewniają, aby systemy gwarancji depozytów dokonywały wypłat na rzecz deponentów poniżej tego progu na wniosek takich deponentów.”;</w:t>
      </w:r>
    </w:p>
    <w:p w14:paraId="31D1ED7D" w14:textId="1D1D7346" w:rsidR="00F15BAB" w:rsidRPr="00DF3EF6" w:rsidRDefault="00DF3EF6" w:rsidP="00DF3EF6">
      <w:pPr>
        <w:pStyle w:val="Point0"/>
        <w:rPr>
          <w:noProof/>
        </w:rPr>
      </w:pPr>
      <w:r>
        <w:rPr>
          <w:noProof/>
        </w:rPr>
        <w:t>9)</w:t>
      </w:r>
      <w:r>
        <w:rPr>
          <w:noProof/>
        </w:rPr>
        <w:tab/>
      </w:r>
      <w:r w:rsidR="000D216D" w:rsidRPr="00DF3EF6">
        <w:rPr>
          <w:noProof/>
        </w:rPr>
        <w:t xml:space="preserve">dodaje się </w:t>
      </w:r>
      <w:r w:rsidR="000D216D" w:rsidRPr="0031342C">
        <w:rPr>
          <w:noProof/>
        </w:rPr>
        <w:t>art.</w:t>
      </w:r>
      <w:r w:rsidR="0031342C" w:rsidRPr="0031342C">
        <w:rPr>
          <w:noProof/>
        </w:rPr>
        <w:t> </w:t>
      </w:r>
      <w:r w:rsidR="000D216D" w:rsidRPr="0031342C">
        <w:rPr>
          <w:noProof/>
        </w:rPr>
        <w:t>8</w:t>
      </w:r>
      <w:r w:rsidR="000D216D" w:rsidRPr="00DF3EF6">
        <w:rPr>
          <w:noProof/>
        </w:rPr>
        <w:t>a, 8b</w:t>
      </w:r>
      <w:r w:rsidR="0031342C" w:rsidRPr="00DF3EF6">
        <w:rPr>
          <w:noProof/>
        </w:rPr>
        <w:t xml:space="preserve"> i</w:t>
      </w:r>
      <w:r w:rsidR="0031342C">
        <w:rPr>
          <w:noProof/>
        </w:rPr>
        <w:t> </w:t>
      </w:r>
      <w:r w:rsidR="0031342C" w:rsidRPr="00DF3EF6">
        <w:rPr>
          <w:noProof/>
        </w:rPr>
        <w:t>8</w:t>
      </w:r>
      <w:r w:rsidR="000D216D" w:rsidRPr="00DF3EF6">
        <w:rPr>
          <w:noProof/>
        </w:rPr>
        <w:t>c</w:t>
      </w:r>
      <w:r w:rsidR="0031342C" w:rsidRPr="00DF3EF6">
        <w:rPr>
          <w:noProof/>
        </w:rPr>
        <w:t xml:space="preserve"> w</w:t>
      </w:r>
      <w:r w:rsidR="0031342C">
        <w:rPr>
          <w:noProof/>
        </w:rPr>
        <w:t> </w:t>
      </w:r>
      <w:r w:rsidR="0031342C" w:rsidRPr="00DF3EF6">
        <w:rPr>
          <w:noProof/>
        </w:rPr>
        <w:t>brz</w:t>
      </w:r>
      <w:r w:rsidR="000D216D" w:rsidRPr="00DF3EF6">
        <w:rPr>
          <w:noProof/>
        </w:rPr>
        <w:t>mieniu:</w:t>
      </w:r>
    </w:p>
    <w:p w14:paraId="60CF7C05" w14:textId="77777777" w:rsidR="00F15BAB" w:rsidRPr="00DF3EF6" w:rsidRDefault="00F15BAB">
      <w:pPr>
        <w:spacing w:before="0" w:after="200" w:line="276" w:lineRule="auto"/>
        <w:jc w:val="left"/>
        <w:rPr>
          <w:noProof/>
        </w:rPr>
      </w:pPr>
      <w:r w:rsidRPr="00DF3EF6">
        <w:rPr>
          <w:noProof/>
        </w:rPr>
        <w:br w:type="page"/>
      </w:r>
    </w:p>
    <w:p w14:paraId="5D90A628" w14:textId="77777777" w:rsidR="00AF43A1" w:rsidRPr="00DF3EF6" w:rsidRDefault="00AF43A1" w:rsidP="00AF43A1">
      <w:pPr>
        <w:pStyle w:val="Text1"/>
        <w:jc w:val="center"/>
        <w:rPr>
          <w:i/>
          <w:noProof/>
        </w:rPr>
      </w:pPr>
      <w:r w:rsidRPr="00DF3EF6">
        <w:rPr>
          <w:i/>
          <w:noProof/>
        </w:rPr>
        <w:lastRenderedPageBreak/>
        <w:t>„Artykuł 8a</w:t>
      </w:r>
    </w:p>
    <w:p w14:paraId="11432CE4" w14:textId="39BE34DB" w:rsidR="000909A4" w:rsidRPr="00DF3EF6" w:rsidRDefault="000909A4" w:rsidP="000909A4">
      <w:pPr>
        <w:pStyle w:val="Text1"/>
        <w:jc w:val="center"/>
        <w:rPr>
          <w:b/>
          <w:noProof/>
        </w:rPr>
      </w:pPr>
      <w:r w:rsidRPr="00DF3EF6">
        <w:rPr>
          <w:b/>
          <w:noProof/>
        </w:rPr>
        <w:t>Wypłata depozytów</w:t>
      </w:r>
      <w:r w:rsidR="0031342C" w:rsidRPr="00DF3EF6">
        <w:rPr>
          <w:b/>
          <w:noProof/>
        </w:rPr>
        <w:t xml:space="preserve"> o</w:t>
      </w:r>
      <w:r w:rsidR="0031342C">
        <w:rPr>
          <w:b/>
          <w:noProof/>
        </w:rPr>
        <w:t> </w:t>
      </w:r>
      <w:r w:rsidR="0031342C" w:rsidRPr="00DF3EF6">
        <w:rPr>
          <w:b/>
          <w:noProof/>
        </w:rPr>
        <w:t>war</w:t>
      </w:r>
      <w:r w:rsidRPr="00DF3EF6">
        <w:rPr>
          <w:b/>
          <w:noProof/>
        </w:rPr>
        <w:t>tości przekraczającej 10 000 EUR</w:t>
      </w:r>
    </w:p>
    <w:p w14:paraId="591DF0EE" w14:textId="7F84F8CB" w:rsidR="003B6C3F" w:rsidRPr="00DF3EF6" w:rsidRDefault="003B6C3F" w:rsidP="007361FD">
      <w:pPr>
        <w:pStyle w:val="Text1"/>
        <w:rPr>
          <w:noProof/>
        </w:rPr>
      </w:pPr>
      <w:r w:rsidRPr="00DF3EF6">
        <w:rPr>
          <w:noProof/>
        </w:rPr>
        <w:t>Państwa członkowskie zapewniają, aby</w:t>
      </w:r>
      <w:r w:rsidR="0031342C" w:rsidRPr="00DF3EF6">
        <w:rPr>
          <w:noProof/>
        </w:rPr>
        <w:t xml:space="preserve"> w</w:t>
      </w:r>
      <w:r w:rsidR="0031342C">
        <w:rPr>
          <w:noProof/>
        </w:rPr>
        <w:t> </w:t>
      </w:r>
      <w:r w:rsidR="0031342C" w:rsidRPr="00DF3EF6">
        <w:rPr>
          <w:noProof/>
        </w:rPr>
        <w:t>syt</w:t>
      </w:r>
      <w:r w:rsidRPr="00DF3EF6">
        <w:rPr>
          <w:noProof/>
        </w:rPr>
        <w:t>uacji,</w:t>
      </w:r>
      <w:r w:rsidR="0031342C" w:rsidRPr="00DF3EF6">
        <w:rPr>
          <w:noProof/>
        </w:rPr>
        <w:t xml:space="preserve"> w</w:t>
      </w:r>
      <w:r w:rsidR="0031342C">
        <w:rPr>
          <w:noProof/>
        </w:rPr>
        <w:t> </w:t>
      </w:r>
      <w:r w:rsidR="0031342C" w:rsidRPr="00DF3EF6">
        <w:rPr>
          <w:noProof/>
        </w:rPr>
        <w:t>któ</w:t>
      </w:r>
      <w:r w:rsidRPr="00DF3EF6">
        <w:rPr>
          <w:noProof/>
        </w:rPr>
        <w:t>rej wypłacane kwoty przekraczają 10 000 EUR, systemy gwarancji depozytów wypłacały te kwoty na rzecz deponentów</w:t>
      </w:r>
      <w:r w:rsidR="0031342C" w:rsidRPr="00DF3EF6">
        <w:rPr>
          <w:noProof/>
        </w:rPr>
        <w:t xml:space="preserve"> w</w:t>
      </w:r>
      <w:r w:rsidR="0031342C">
        <w:rPr>
          <w:noProof/>
        </w:rPr>
        <w:t> </w:t>
      </w:r>
      <w:r w:rsidR="0031342C" w:rsidRPr="00DF3EF6">
        <w:rPr>
          <w:noProof/>
        </w:rPr>
        <w:t>dro</w:t>
      </w:r>
      <w:r w:rsidRPr="00DF3EF6">
        <w:rPr>
          <w:noProof/>
        </w:rPr>
        <w:t>dze poleceń przelewu zdefiniowanych</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2</w:t>
      </w:r>
      <w:r w:rsidRPr="00DF3EF6">
        <w:rPr>
          <w:noProof/>
        </w:rPr>
        <w:t xml:space="preserve"> </w:t>
      </w:r>
      <w:r w:rsidRPr="0031342C">
        <w:rPr>
          <w:noProof/>
        </w:rPr>
        <w:t>pkt</w:t>
      </w:r>
      <w:r w:rsidR="0031342C" w:rsidRPr="0031342C">
        <w:rPr>
          <w:noProof/>
        </w:rPr>
        <w:t> </w:t>
      </w:r>
      <w:r w:rsidRPr="0031342C">
        <w:rPr>
          <w:noProof/>
        </w:rPr>
        <w:t>2</w:t>
      </w:r>
      <w:r w:rsidRPr="00DF3EF6">
        <w:rPr>
          <w:noProof/>
        </w:rPr>
        <w:t>0 dyrektywy Parlamentu Europejskiego</w:t>
      </w:r>
      <w:r w:rsidR="0031342C" w:rsidRPr="00DF3EF6">
        <w:rPr>
          <w:noProof/>
        </w:rPr>
        <w:t xml:space="preserve"> i</w:t>
      </w:r>
      <w:r w:rsidR="0031342C">
        <w:rPr>
          <w:noProof/>
        </w:rPr>
        <w:t> </w:t>
      </w:r>
      <w:r w:rsidR="0031342C" w:rsidRPr="00DF3EF6">
        <w:rPr>
          <w:noProof/>
        </w:rPr>
        <w:t>Rad</w:t>
      </w:r>
      <w:r w:rsidRPr="00DF3EF6">
        <w:rPr>
          <w:noProof/>
        </w:rPr>
        <w:t>y 2014/92/UE*.</w:t>
      </w:r>
    </w:p>
    <w:p w14:paraId="6CB0CCF3" w14:textId="77777777" w:rsidR="00AF43A1" w:rsidRPr="00DF3EF6" w:rsidRDefault="00AF43A1" w:rsidP="00AF43A1">
      <w:pPr>
        <w:pStyle w:val="Text1"/>
        <w:jc w:val="center"/>
        <w:rPr>
          <w:i/>
          <w:noProof/>
        </w:rPr>
      </w:pPr>
      <w:r w:rsidRPr="00DF3EF6">
        <w:rPr>
          <w:i/>
          <w:noProof/>
        </w:rPr>
        <w:t>Artykuł 8b</w:t>
      </w:r>
    </w:p>
    <w:p w14:paraId="55B37518" w14:textId="77777777" w:rsidR="00D67F29" w:rsidRPr="00DF3EF6" w:rsidRDefault="00D67F29" w:rsidP="00D67F29">
      <w:pPr>
        <w:pStyle w:val="Text1"/>
        <w:jc w:val="center"/>
        <w:rPr>
          <w:b/>
          <w:noProof/>
        </w:rPr>
      </w:pPr>
      <w:r w:rsidRPr="00DF3EF6">
        <w:rPr>
          <w:b/>
          <w:noProof/>
        </w:rPr>
        <w:t>Gwarantowanie depozytów ze środkami klientów</w:t>
      </w:r>
    </w:p>
    <w:p w14:paraId="60A00C6F" w14:textId="77777777" w:rsidR="005B0DDE" w:rsidRPr="00DF3EF6" w:rsidRDefault="007361FD" w:rsidP="000909A4">
      <w:pPr>
        <w:pStyle w:val="Text1"/>
        <w:rPr>
          <w:noProof/>
        </w:rPr>
      </w:pPr>
      <w:r w:rsidRPr="00DF3EF6">
        <w:rPr>
          <w:noProof/>
        </w:rPr>
        <w:t>1. Państwa członkowskie zapewniają, aby depozyty ze środkami klientów były objęte gwarancją systemu gwarancji depozytów, jeżeli spełnione są wszystkie poniższe warunki:</w:t>
      </w:r>
    </w:p>
    <w:p w14:paraId="7709DBAF" w14:textId="4252667A" w:rsidR="007361FD" w:rsidRPr="00DF3EF6" w:rsidRDefault="00DF3EF6" w:rsidP="00DF3EF6">
      <w:pPr>
        <w:pStyle w:val="Point1"/>
        <w:rPr>
          <w:noProof/>
        </w:rPr>
      </w:pPr>
      <w:r>
        <w:rPr>
          <w:noProof/>
        </w:rPr>
        <w:t>a)</w:t>
      </w:r>
      <w:r>
        <w:rPr>
          <w:noProof/>
        </w:rPr>
        <w:tab/>
      </w:r>
      <w:r w:rsidR="007361FD" w:rsidRPr="00DF3EF6">
        <w:rPr>
          <w:noProof/>
        </w:rPr>
        <w:t>takie depozyty są deponowane</w:t>
      </w:r>
      <w:r w:rsidR="0031342C" w:rsidRPr="00DF3EF6">
        <w:rPr>
          <w:noProof/>
        </w:rPr>
        <w:t xml:space="preserve"> w</w:t>
      </w:r>
      <w:r w:rsidR="0031342C">
        <w:rPr>
          <w:noProof/>
        </w:rPr>
        <w:t> </w:t>
      </w:r>
      <w:r w:rsidR="0031342C" w:rsidRPr="00DF3EF6">
        <w:rPr>
          <w:noProof/>
        </w:rPr>
        <w:t>imi</w:t>
      </w:r>
      <w:r w:rsidR="007361FD" w:rsidRPr="00DF3EF6">
        <w:rPr>
          <w:noProof/>
        </w:rPr>
        <w:t>eniu i na rzecz klientów, którzy kwalifikują się do ochrony zgodnie</w:t>
      </w:r>
      <w:r w:rsidR="0031342C" w:rsidRPr="00DF3EF6">
        <w:rPr>
          <w:noProof/>
        </w:rPr>
        <w:t xml:space="preserve"> z</w:t>
      </w:r>
      <w:r w:rsidR="0031342C">
        <w:rPr>
          <w:noProof/>
        </w:rPr>
        <w:t> </w:t>
      </w:r>
      <w:r w:rsidR="0031342C" w:rsidRPr="0031342C">
        <w:rPr>
          <w:noProof/>
        </w:rPr>
        <w:t>art</w:t>
      </w:r>
      <w:r w:rsidR="007361FD" w:rsidRPr="0031342C">
        <w:rPr>
          <w:noProof/>
        </w:rPr>
        <w:t>.</w:t>
      </w:r>
      <w:r w:rsidR="0031342C" w:rsidRPr="0031342C">
        <w:rPr>
          <w:noProof/>
        </w:rPr>
        <w:t> </w:t>
      </w:r>
      <w:r w:rsidR="007361FD" w:rsidRPr="0031342C">
        <w:rPr>
          <w:noProof/>
        </w:rPr>
        <w:t>5</w:t>
      </w:r>
      <w:r w:rsidR="007361FD" w:rsidRPr="00DF3EF6">
        <w:rPr>
          <w:noProof/>
        </w:rPr>
        <w:t xml:space="preserve"> </w:t>
      </w:r>
      <w:r w:rsidR="007361FD" w:rsidRPr="0031342C">
        <w:rPr>
          <w:noProof/>
        </w:rPr>
        <w:t>ust.</w:t>
      </w:r>
      <w:r w:rsidR="0031342C" w:rsidRPr="0031342C">
        <w:rPr>
          <w:noProof/>
        </w:rPr>
        <w:t> </w:t>
      </w:r>
      <w:r w:rsidR="007361FD" w:rsidRPr="0031342C">
        <w:rPr>
          <w:noProof/>
        </w:rPr>
        <w:t>1</w:t>
      </w:r>
      <w:r w:rsidR="007361FD" w:rsidRPr="00DF3EF6">
        <w:rPr>
          <w:noProof/>
        </w:rPr>
        <w:t>;</w:t>
      </w:r>
    </w:p>
    <w:p w14:paraId="503DAEDA" w14:textId="28C1B971" w:rsidR="003B6C3F" w:rsidRPr="00DF3EF6" w:rsidRDefault="00DF3EF6" w:rsidP="00DF3EF6">
      <w:pPr>
        <w:pStyle w:val="Point1"/>
        <w:rPr>
          <w:noProof/>
        </w:rPr>
      </w:pPr>
      <w:r>
        <w:rPr>
          <w:noProof/>
        </w:rPr>
        <w:t>b)</w:t>
      </w:r>
      <w:r>
        <w:rPr>
          <w:noProof/>
        </w:rPr>
        <w:tab/>
      </w:r>
      <w:r w:rsidR="003B6C3F" w:rsidRPr="00DF3EF6">
        <w:rPr>
          <w:noProof/>
        </w:rPr>
        <w:t>takie depozyty są dokonywane</w:t>
      </w:r>
      <w:r w:rsidR="0031342C" w:rsidRPr="00DF3EF6">
        <w:rPr>
          <w:noProof/>
        </w:rPr>
        <w:t xml:space="preserve"> w</w:t>
      </w:r>
      <w:r w:rsidR="0031342C">
        <w:rPr>
          <w:noProof/>
        </w:rPr>
        <w:t> </w:t>
      </w:r>
      <w:r w:rsidR="0031342C" w:rsidRPr="00DF3EF6">
        <w:rPr>
          <w:noProof/>
        </w:rPr>
        <w:t>cel</w:t>
      </w:r>
      <w:r w:rsidR="003B6C3F" w:rsidRPr="00DF3EF6">
        <w:rPr>
          <w:noProof/>
        </w:rPr>
        <w:t>u wyodrębnienia środków finansowych należących do klientów zgodnie</w:t>
      </w:r>
      <w:r w:rsidR="0031342C" w:rsidRPr="00DF3EF6">
        <w:rPr>
          <w:noProof/>
        </w:rPr>
        <w:t xml:space="preserve"> z</w:t>
      </w:r>
      <w:r w:rsidR="0031342C">
        <w:rPr>
          <w:noProof/>
        </w:rPr>
        <w:t> </w:t>
      </w:r>
      <w:r w:rsidR="0031342C" w:rsidRPr="00DF3EF6">
        <w:rPr>
          <w:noProof/>
        </w:rPr>
        <w:t>wym</w:t>
      </w:r>
      <w:r w:rsidR="003B6C3F" w:rsidRPr="00DF3EF6">
        <w:rPr>
          <w:noProof/>
        </w:rPr>
        <w:t>ogami dotyczącymi zabezpieczeń określonymi</w:t>
      </w:r>
      <w:r w:rsidR="0031342C" w:rsidRPr="00DF3EF6">
        <w:rPr>
          <w:noProof/>
        </w:rPr>
        <w:t xml:space="preserve"> w</w:t>
      </w:r>
      <w:r w:rsidR="0031342C">
        <w:rPr>
          <w:noProof/>
        </w:rPr>
        <w:t> </w:t>
      </w:r>
      <w:r w:rsidR="0031342C" w:rsidRPr="00DF3EF6">
        <w:rPr>
          <w:noProof/>
        </w:rPr>
        <w:t>pra</w:t>
      </w:r>
      <w:r w:rsidR="003B6C3F" w:rsidRPr="00DF3EF6">
        <w:rPr>
          <w:noProof/>
        </w:rPr>
        <w:t>wie Unii regulującym działalność podmiotów,</w:t>
      </w:r>
      <w:r w:rsidR="0031342C" w:rsidRPr="00DF3EF6">
        <w:rPr>
          <w:noProof/>
        </w:rPr>
        <w:t xml:space="preserve"> o</w:t>
      </w:r>
      <w:r w:rsidR="0031342C">
        <w:rPr>
          <w:noProof/>
        </w:rPr>
        <w:t> </w:t>
      </w:r>
      <w:r w:rsidR="0031342C" w:rsidRPr="00DF3EF6">
        <w:rPr>
          <w:noProof/>
        </w:rPr>
        <w:t>któ</w:t>
      </w:r>
      <w:r w:rsidR="003B6C3F" w:rsidRPr="00DF3EF6">
        <w:rPr>
          <w:noProof/>
        </w:rPr>
        <w:t>rych mowa</w:t>
      </w:r>
      <w:r w:rsidR="0031342C" w:rsidRPr="00DF3EF6">
        <w:rPr>
          <w:noProof/>
        </w:rPr>
        <w:t xml:space="preserve"> w</w:t>
      </w:r>
      <w:r w:rsidR="0031342C">
        <w:rPr>
          <w:noProof/>
        </w:rPr>
        <w:t> </w:t>
      </w:r>
      <w:r w:rsidR="0031342C" w:rsidRPr="0031342C">
        <w:rPr>
          <w:noProof/>
        </w:rPr>
        <w:t>art</w:t>
      </w:r>
      <w:r w:rsidR="003B6C3F" w:rsidRPr="0031342C">
        <w:rPr>
          <w:noProof/>
        </w:rPr>
        <w:t>.</w:t>
      </w:r>
      <w:r w:rsidR="0031342C" w:rsidRPr="0031342C">
        <w:rPr>
          <w:noProof/>
        </w:rPr>
        <w:t> </w:t>
      </w:r>
      <w:r w:rsidR="003B6C3F" w:rsidRPr="0031342C">
        <w:rPr>
          <w:noProof/>
        </w:rPr>
        <w:t>5</w:t>
      </w:r>
      <w:r w:rsidR="003B6C3F" w:rsidRPr="00DF3EF6">
        <w:rPr>
          <w:noProof/>
        </w:rPr>
        <w:t xml:space="preserve"> </w:t>
      </w:r>
      <w:r w:rsidR="003B6C3F" w:rsidRPr="0031342C">
        <w:rPr>
          <w:noProof/>
        </w:rPr>
        <w:t>ust.</w:t>
      </w:r>
      <w:r w:rsidR="0031342C" w:rsidRPr="0031342C">
        <w:rPr>
          <w:noProof/>
        </w:rPr>
        <w:t> </w:t>
      </w:r>
      <w:r w:rsidR="003B6C3F" w:rsidRPr="0031342C">
        <w:rPr>
          <w:noProof/>
        </w:rPr>
        <w:t>1</w:t>
      </w:r>
      <w:r w:rsidR="003B6C3F" w:rsidRPr="00DF3EF6">
        <w:rPr>
          <w:noProof/>
        </w:rPr>
        <w:t xml:space="preserve"> </w:t>
      </w:r>
      <w:r w:rsidR="003B6C3F" w:rsidRPr="0031342C">
        <w:rPr>
          <w:noProof/>
        </w:rPr>
        <w:t>lit.</w:t>
      </w:r>
      <w:r w:rsidR="0031342C" w:rsidRPr="0031342C">
        <w:rPr>
          <w:noProof/>
        </w:rPr>
        <w:t> </w:t>
      </w:r>
      <w:r w:rsidR="003B6C3F" w:rsidRPr="0031342C">
        <w:rPr>
          <w:noProof/>
        </w:rPr>
        <w:t>d)</w:t>
      </w:r>
      <w:r w:rsidR="003B6C3F" w:rsidRPr="00DF3EF6">
        <w:rPr>
          <w:noProof/>
        </w:rPr>
        <w:t xml:space="preserve">; </w:t>
      </w:r>
    </w:p>
    <w:p w14:paraId="6969B8C9" w14:textId="69FC210E" w:rsidR="003B6C3F" w:rsidRPr="00DF3EF6" w:rsidRDefault="00DF3EF6" w:rsidP="00DF3EF6">
      <w:pPr>
        <w:pStyle w:val="Point1"/>
        <w:rPr>
          <w:noProof/>
        </w:rPr>
      </w:pPr>
      <w:r>
        <w:rPr>
          <w:noProof/>
        </w:rPr>
        <w:t>c)</w:t>
      </w:r>
      <w:r>
        <w:rPr>
          <w:noProof/>
        </w:rPr>
        <w:tab/>
      </w:r>
      <w:r w:rsidR="004F5419" w:rsidRPr="00DF3EF6">
        <w:rPr>
          <w:noProof/>
        </w:rPr>
        <w:t>klienci,</w:t>
      </w:r>
      <w:r w:rsidR="0031342C" w:rsidRPr="00DF3EF6">
        <w:rPr>
          <w:noProof/>
        </w:rPr>
        <w:t xml:space="preserve"> o</w:t>
      </w:r>
      <w:r w:rsidR="0031342C">
        <w:rPr>
          <w:noProof/>
        </w:rPr>
        <w:t> </w:t>
      </w:r>
      <w:r w:rsidR="0031342C" w:rsidRPr="00DF3EF6">
        <w:rPr>
          <w:noProof/>
        </w:rPr>
        <w:t>któ</w:t>
      </w:r>
      <w:r w:rsidR="004F5419" w:rsidRPr="00DF3EF6">
        <w:rPr>
          <w:noProof/>
        </w:rPr>
        <w:t>rych mowa</w:t>
      </w:r>
      <w:r w:rsidR="0031342C" w:rsidRPr="00DF3EF6">
        <w:rPr>
          <w:noProof/>
        </w:rPr>
        <w:t xml:space="preserve"> w</w:t>
      </w:r>
      <w:r w:rsidR="0031342C">
        <w:rPr>
          <w:noProof/>
        </w:rPr>
        <w:t> </w:t>
      </w:r>
      <w:r w:rsidR="0031342C" w:rsidRPr="0031342C">
        <w:rPr>
          <w:noProof/>
        </w:rPr>
        <w:t>lit</w:t>
      </w:r>
      <w:r w:rsidR="004F5419" w:rsidRPr="0031342C">
        <w:rPr>
          <w:noProof/>
        </w:rPr>
        <w:t>.</w:t>
      </w:r>
      <w:r w:rsidR="0031342C" w:rsidRPr="0031342C">
        <w:rPr>
          <w:noProof/>
        </w:rPr>
        <w:t> </w:t>
      </w:r>
      <w:r w:rsidR="004F5419" w:rsidRPr="0031342C">
        <w:rPr>
          <w:noProof/>
        </w:rPr>
        <w:t>a)</w:t>
      </w:r>
      <w:r w:rsidR="004F5419" w:rsidRPr="00DF3EF6">
        <w:rPr>
          <w:noProof/>
        </w:rPr>
        <w:t>, zostali zidentyfikowani lub można ich zidentyfikować przed dniem,</w:t>
      </w:r>
      <w:r w:rsidR="0031342C" w:rsidRPr="00DF3EF6">
        <w:rPr>
          <w:noProof/>
        </w:rPr>
        <w:t xml:space="preserve"> w</w:t>
      </w:r>
      <w:r w:rsidR="0031342C">
        <w:rPr>
          <w:noProof/>
        </w:rPr>
        <w:t> </w:t>
      </w:r>
      <w:r w:rsidR="0031342C" w:rsidRPr="00DF3EF6">
        <w:rPr>
          <w:noProof/>
        </w:rPr>
        <w:t>któ</w:t>
      </w:r>
      <w:r w:rsidR="004F5419" w:rsidRPr="00DF3EF6">
        <w:rPr>
          <w:noProof/>
        </w:rPr>
        <w:t>rym właściwy organ administracyjny dokonuje ustalenia,</w:t>
      </w:r>
      <w:r w:rsidR="0031342C" w:rsidRPr="00DF3EF6">
        <w:rPr>
          <w:noProof/>
        </w:rPr>
        <w:t xml:space="preserve"> o</w:t>
      </w:r>
      <w:r w:rsidR="0031342C">
        <w:rPr>
          <w:noProof/>
        </w:rPr>
        <w:t> </w:t>
      </w:r>
      <w:r w:rsidR="0031342C" w:rsidRPr="00DF3EF6">
        <w:rPr>
          <w:noProof/>
        </w:rPr>
        <w:t>któ</w:t>
      </w:r>
      <w:r w:rsidR="004F5419" w:rsidRPr="00DF3EF6">
        <w:rPr>
          <w:noProof/>
        </w:rPr>
        <w:t>rym mowa</w:t>
      </w:r>
      <w:r w:rsidR="0031342C" w:rsidRPr="00DF3EF6">
        <w:rPr>
          <w:noProof/>
        </w:rPr>
        <w:t xml:space="preserve"> w</w:t>
      </w:r>
      <w:r w:rsidR="0031342C">
        <w:rPr>
          <w:noProof/>
        </w:rPr>
        <w:t> </w:t>
      </w:r>
      <w:r w:rsidR="0031342C" w:rsidRPr="0031342C">
        <w:rPr>
          <w:noProof/>
        </w:rPr>
        <w:t>art</w:t>
      </w:r>
      <w:r w:rsidR="004F5419" w:rsidRPr="0031342C">
        <w:rPr>
          <w:noProof/>
        </w:rPr>
        <w:t>.</w:t>
      </w:r>
      <w:r w:rsidR="0031342C" w:rsidRPr="0031342C">
        <w:rPr>
          <w:noProof/>
        </w:rPr>
        <w:t> </w:t>
      </w:r>
      <w:r w:rsidR="004F5419" w:rsidRPr="0031342C">
        <w:rPr>
          <w:noProof/>
        </w:rPr>
        <w:t>2</w:t>
      </w:r>
      <w:r w:rsidR="004F5419" w:rsidRPr="00DF3EF6">
        <w:rPr>
          <w:noProof/>
        </w:rPr>
        <w:t xml:space="preserve"> </w:t>
      </w:r>
      <w:r w:rsidR="004F5419" w:rsidRPr="0031342C">
        <w:rPr>
          <w:noProof/>
        </w:rPr>
        <w:t>ust.</w:t>
      </w:r>
      <w:r w:rsidR="0031342C" w:rsidRPr="0031342C">
        <w:rPr>
          <w:noProof/>
        </w:rPr>
        <w:t> </w:t>
      </w:r>
      <w:r w:rsidR="004F5419" w:rsidRPr="0031342C">
        <w:rPr>
          <w:noProof/>
        </w:rPr>
        <w:t>1</w:t>
      </w:r>
      <w:r w:rsidR="004F5419" w:rsidRPr="00DF3EF6">
        <w:rPr>
          <w:noProof/>
        </w:rPr>
        <w:t xml:space="preserve"> </w:t>
      </w:r>
      <w:r w:rsidR="004F5419" w:rsidRPr="0031342C">
        <w:rPr>
          <w:noProof/>
        </w:rPr>
        <w:t>pkt</w:t>
      </w:r>
      <w:r w:rsidR="0031342C" w:rsidRPr="0031342C">
        <w:rPr>
          <w:noProof/>
        </w:rPr>
        <w:t> </w:t>
      </w:r>
      <w:r w:rsidR="004F5419" w:rsidRPr="0031342C">
        <w:rPr>
          <w:noProof/>
        </w:rPr>
        <w:t>8</w:t>
      </w:r>
      <w:r w:rsidR="004F5419" w:rsidRPr="00DF3EF6">
        <w:rPr>
          <w:noProof/>
        </w:rPr>
        <w:t xml:space="preserve"> </w:t>
      </w:r>
      <w:r w:rsidR="004F5419" w:rsidRPr="0031342C">
        <w:rPr>
          <w:noProof/>
        </w:rPr>
        <w:t>lit.</w:t>
      </w:r>
      <w:r w:rsidR="0031342C" w:rsidRPr="0031342C">
        <w:rPr>
          <w:noProof/>
        </w:rPr>
        <w:t> </w:t>
      </w:r>
      <w:r w:rsidR="004F5419" w:rsidRPr="0031342C">
        <w:rPr>
          <w:noProof/>
        </w:rPr>
        <w:t>a)</w:t>
      </w:r>
      <w:r w:rsidR="004F5419" w:rsidRPr="00DF3EF6">
        <w:rPr>
          <w:noProof/>
        </w:rPr>
        <w:t>, lub dniem,</w:t>
      </w:r>
      <w:r w:rsidR="0031342C" w:rsidRPr="00DF3EF6">
        <w:rPr>
          <w:noProof/>
        </w:rPr>
        <w:t xml:space="preserve"> w</w:t>
      </w:r>
      <w:r w:rsidR="0031342C">
        <w:rPr>
          <w:noProof/>
        </w:rPr>
        <w:t> </w:t>
      </w:r>
      <w:r w:rsidR="0031342C" w:rsidRPr="00DF3EF6">
        <w:rPr>
          <w:noProof/>
        </w:rPr>
        <w:t>któ</w:t>
      </w:r>
      <w:r w:rsidR="004F5419" w:rsidRPr="00DF3EF6">
        <w:rPr>
          <w:noProof/>
        </w:rPr>
        <w:t>rym organ sądowy wydaje orzeczenie,</w:t>
      </w:r>
      <w:r w:rsidR="0031342C" w:rsidRPr="00DF3EF6">
        <w:rPr>
          <w:noProof/>
        </w:rPr>
        <w:t xml:space="preserve"> o</w:t>
      </w:r>
      <w:r w:rsidR="0031342C">
        <w:rPr>
          <w:noProof/>
        </w:rPr>
        <w:t> </w:t>
      </w:r>
      <w:r w:rsidR="0031342C" w:rsidRPr="00DF3EF6">
        <w:rPr>
          <w:noProof/>
        </w:rPr>
        <w:t>któ</w:t>
      </w:r>
      <w:r w:rsidR="004F5419" w:rsidRPr="00DF3EF6">
        <w:rPr>
          <w:noProof/>
        </w:rPr>
        <w:t>rym mowa</w:t>
      </w:r>
      <w:r w:rsidR="0031342C" w:rsidRPr="00DF3EF6">
        <w:rPr>
          <w:noProof/>
        </w:rPr>
        <w:t xml:space="preserve"> w</w:t>
      </w:r>
      <w:r w:rsidR="0031342C">
        <w:rPr>
          <w:noProof/>
        </w:rPr>
        <w:t> </w:t>
      </w:r>
      <w:r w:rsidR="0031342C" w:rsidRPr="0031342C">
        <w:rPr>
          <w:noProof/>
        </w:rPr>
        <w:t>art</w:t>
      </w:r>
      <w:r w:rsidR="004F5419" w:rsidRPr="0031342C">
        <w:rPr>
          <w:noProof/>
        </w:rPr>
        <w:t>.</w:t>
      </w:r>
      <w:r w:rsidR="0031342C" w:rsidRPr="0031342C">
        <w:rPr>
          <w:noProof/>
        </w:rPr>
        <w:t> </w:t>
      </w:r>
      <w:r w:rsidR="004F5419" w:rsidRPr="0031342C">
        <w:rPr>
          <w:noProof/>
        </w:rPr>
        <w:t>2</w:t>
      </w:r>
      <w:r w:rsidR="004F5419" w:rsidRPr="00DF3EF6">
        <w:rPr>
          <w:noProof/>
        </w:rPr>
        <w:t xml:space="preserve"> </w:t>
      </w:r>
      <w:r w:rsidR="004F5419" w:rsidRPr="0031342C">
        <w:rPr>
          <w:noProof/>
        </w:rPr>
        <w:t>ust.</w:t>
      </w:r>
      <w:r w:rsidR="0031342C" w:rsidRPr="0031342C">
        <w:rPr>
          <w:noProof/>
        </w:rPr>
        <w:t> </w:t>
      </w:r>
      <w:r w:rsidR="004F5419" w:rsidRPr="0031342C">
        <w:rPr>
          <w:noProof/>
        </w:rPr>
        <w:t>1</w:t>
      </w:r>
      <w:r w:rsidR="004F5419" w:rsidRPr="00DF3EF6">
        <w:rPr>
          <w:noProof/>
        </w:rPr>
        <w:t xml:space="preserve"> </w:t>
      </w:r>
      <w:r w:rsidR="004F5419" w:rsidRPr="0031342C">
        <w:rPr>
          <w:noProof/>
        </w:rPr>
        <w:t>pkt</w:t>
      </w:r>
      <w:r w:rsidR="0031342C" w:rsidRPr="0031342C">
        <w:rPr>
          <w:noProof/>
        </w:rPr>
        <w:t> </w:t>
      </w:r>
      <w:r w:rsidR="004F5419" w:rsidRPr="0031342C">
        <w:rPr>
          <w:noProof/>
        </w:rPr>
        <w:t>8</w:t>
      </w:r>
      <w:r w:rsidR="004F5419" w:rsidRPr="00DF3EF6">
        <w:rPr>
          <w:noProof/>
        </w:rPr>
        <w:t xml:space="preserve"> </w:t>
      </w:r>
      <w:r w:rsidR="004F5419" w:rsidRPr="0031342C">
        <w:rPr>
          <w:noProof/>
        </w:rPr>
        <w:t>lit.</w:t>
      </w:r>
      <w:r w:rsidR="0031342C" w:rsidRPr="0031342C">
        <w:rPr>
          <w:noProof/>
        </w:rPr>
        <w:t> </w:t>
      </w:r>
      <w:r w:rsidR="004F5419" w:rsidRPr="0031342C">
        <w:rPr>
          <w:noProof/>
        </w:rPr>
        <w:t>b)</w:t>
      </w:r>
      <w:r w:rsidR="004F5419" w:rsidRPr="00DF3EF6">
        <w:rPr>
          <w:noProof/>
        </w:rPr>
        <w:t>.</w:t>
      </w:r>
    </w:p>
    <w:p w14:paraId="17E2DDD3" w14:textId="5131119E" w:rsidR="003B6C3F" w:rsidRPr="00DF3EF6" w:rsidRDefault="003B6C3F" w:rsidP="00AF43A1">
      <w:pPr>
        <w:pStyle w:val="Text1"/>
        <w:rPr>
          <w:noProof/>
        </w:rPr>
      </w:pPr>
      <w:r w:rsidRPr="00DF3EF6">
        <w:rPr>
          <w:noProof/>
        </w:rPr>
        <w:t>2. Państwa członkowskie zapewniają, aby poziom gwarancji,</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6</w:t>
      </w:r>
      <w:r w:rsidRPr="00DF3EF6">
        <w:rPr>
          <w:noProof/>
        </w:rPr>
        <w:t xml:space="preserve"> </w:t>
      </w:r>
      <w:r w:rsidRPr="0031342C">
        <w:rPr>
          <w:noProof/>
        </w:rPr>
        <w:t>ust.</w:t>
      </w:r>
      <w:r w:rsidR="0031342C" w:rsidRPr="0031342C">
        <w:rPr>
          <w:noProof/>
        </w:rPr>
        <w:t> </w:t>
      </w:r>
      <w:r w:rsidRPr="0031342C">
        <w:rPr>
          <w:noProof/>
        </w:rPr>
        <w:t>1</w:t>
      </w:r>
      <w:r w:rsidRPr="00DF3EF6">
        <w:rPr>
          <w:noProof/>
        </w:rPr>
        <w:t>, miał zastosowanie do każdego</w:t>
      </w:r>
      <w:r w:rsidR="0031342C" w:rsidRPr="00DF3EF6">
        <w:rPr>
          <w:noProof/>
        </w:rPr>
        <w:t xml:space="preserve"> z</w:t>
      </w:r>
      <w:r w:rsidR="0031342C">
        <w:rPr>
          <w:noProof/>
        </w:rPr>
        <w:t> </w:t>
      </w:r>
      <w:r w:rsidR="0031342C" w:rsidRPr="00DF3EF6">
        <w:rPr>
          <w:noProof/>
        </w:rPr>
        <w:t>kli</w:t>
      </w:r>
      <w:r w:rsidRPr="00DF3EF6">
        <w:rPr>
          <w:noProof/>
        </w:rPr>
        <w:t>entów spełniających warunki określone</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xml:space="preserve"> </w:t>
      </w:r>
      <w:r w:rsidRPr="0031342C">
        <w:rPr>
          <w:noProof/>
        </w:rPr>
        <w:t>lit.</w:t>
      </w:r>
      <w:r w:rsidR="0031342C" w:rsidRPr="0031342C">
        <w:rPr>
          <w:noProof/>
        </w:rPr>
        <w:t> </w:t>
      </w:r>
      <w:r w:rsidRPr="0031342C">
        <w:rPr>
          <w:noProof/>
        </w:rPr>
        <w:t>c)</w:t>
      </w:r>
      <w:r w:rsidRPr="00DF3EF6">
        <w:rPr>
          <w:noProof/>
        </w:rPr>
        <w:t xml:space="preserve"> niniejszego artykułu</w:t>
      </w:r>
      <w:r w:rsidR="0031342C" w:rsidRPr="00DF3EF6">
        <w:rPr>
          <w:noProof/>
        </w:rPr>
        <w:t>. W</w:t>
      </w:r>
      <w:r w:rsidR="0031342C">
        <w:rPr>
          <w:noProof/>
        </w:rPr>
        <w:t> </w:t>
      </w:r>
      <w:r w:rsidR="0031342C" w:rsidRPr="00DF3EF6">
        <w:rPr>
          <w:noProof/>
        </w:rPr>
        <w:t>dro</w:t>
      </w:r>
      <w:r w:rsidRPr="00DF3EF6">
        <w:rPr>
          <w:noProof/>
        </w:rPr>
        <w:t xml:space="preserve">dze odstępstwa od </w:t>
      </w:r>
      <w:r w:rsidRPr="0031342C">
        <w:rPr>
          <w:noProof/>
        </w:rPr>
        <w:t>art.</w:t>
      </w:r>
      <w:r w:rsidR="0031342C" w:rsidRPr="0031342C">
        <w:rPr>
          <w:noProof/>
        </w:rPr>
        <w:t> </w:t>
      </w:r>
      <w:r w:rsidRPr="0031342C">
        <w:rPr>
          <w:noProof/>
        </w:rPr>
        <w:t>7</w:t>
      </w:r>
      <w:r w:rsidRPr="00DF3EF6">
        <w:rPr>
          <w:noProof/>
        </w:rPr>
        <w:t xml:space="preserve"> </w:t>
      </w:r>
      <w:r w:rsidRPr="0031342C">
        <w:rPr>
          <w:noProof/>
        </w:rPr>
        <w:t>ust.</w:t>
      </w:r>
      <w:r w:rsidR="0031342C" w:rsidRPr="0031342C">
        <w:rPr>
          <w:noProof/>
        </w:rPr>
        <w:t> </w:t>
      </w:r>
      <w:r w:rsidRPr="0031342C">
        <w:rPr>
          <w:noProof/>
        </w:rPr>
        <w:t>1</w:t>
      </w:r>
      <w:r w:rsidRPr="00DF3EF6">
        <w:rPr>
          <w:noProof/>
        </w:rPr>
        <w:t>, przy określaniu kwoty podlegającej wypłacie</w:t>
      </w:r>
      <w:r w:rsidR="0031342C" w:rsidRPr="00DF3EF6">
        <w:rPr>
          <w:noProof/>
        </w:rPr>
        <w:t xml:space="preserve"> w</w:t>
      </w:r>
      <w:r w:rsidR="0031342C">
        <w:rPr>
          <w:noProof/>
        </w:rPr>
        <w:t> </w:t>
      </w:r>
      <w:r w:rsidR="0031342C" w:rsidRPr="00DF3EF6">
        <w:rPr>
          <w:noProof/>
        </w:rPr>
        <w:t>odn</w:t>
      </w:r>
      <w:r w:rsidRPr="00DF3EF6">
        <w:rPr>
          <w:noProof/>
        </w:rPr>
        <w:t>iesieniu do pojedynczego klienta, system gwarancji depozytów nie uwzględnia łącznej kwoty depozytów tego klienta</w:t>
      </w:r>
      <w:r w:rsidR="0031342C" w:rsidRPr="00DF3EF6">
        <w:rPr>
          <w:noProof/>
        </w:rPr>
        <w:t xml:space="preserve"> w</w:t>
      </w:r>
      <w:r w:rsidR="0031342C">
        <w:rPr>
          <w:noProof/>
        </w:rPr>
        <w:t> </w:t>
      </w:r>
      <w:r w:rsidR="0031342C" w:rsidRPr="00DF3EF6">
        <w:rPr>
          <w:noProof/>
        </w:rPr>
        <w:t>tej</w:t>
      </w:r>
      <w:r w:rsidRPr="00DF3EF6">
        <w:rPr>
          <w:noProof/>
        </w:rPr>
        <w:t xml:space="preserve"> samej instytucji kredytowej. </w:t>
      </w:r>
    </w:p>
    <w:p w14:paraId="7564A338" w14:textId="37556B1A" w:rsidR="003B6C3F" w:rsidRPr="00DF3EF6" w:rsidRDefault="003B6C3F" w:rsidP="00AF43A1">
      <w:pPr>
        <w:pStyle w:val="Text1"/>
        <w:rPr>
          <w:noProof/>
        </w:rPr>
      </w:pPr>
      <w:r w:rsidRPr="00DF3EF6">
        <w:rPr>
          <w:noProof/>
        </w:rPr>
        <w:t>3. Państwa członkowskie zapewniają, aby systemy gwarancji depozytów wypłacały gwarantowane depozyty albo posiadaczowi rachunku na rzecz każdego</w:t>
      </w:r>
      <w:r w:rsidR="0031342C" w:rsidRPr="00DF3EF6">
        <w:rPr>
          <w:noProof/>
        </w:rPr>
        <w:t xml:space="preserve"> z</w:t>
      </w:r>
      <w:r w:rsidR="0031342C">
        <w:rPr>
          <w:noProof/>
        </w:rPr>
        <w:t> </w:t>
      </w:r>
      <w:r w:rsidR="0031342C" w:rsidRPr="00DF3EF6">
        <w:rPr>
          <w:noProof/>
        </w:rPr>
        <w:t>kli</w:t>
      </w:r>
      <w:r w:rsidRPr="00DF3EF6">
        <w:rPr>
          <w:noProof/>
        </w:rPr>
        <w:t>entów, albo bezpośrednio klientowi.</w:t>
      </w:r>
    </w:p>
    <w:p w14:paraId="30D684B2" w14:textId="20002138" w:rsidR="00566A67" w:rsidRPr="00DF3EF6" w:rsidRDefault="003B6C3F" w:rsidP="00AF43A1">
      <w:pPr>
        <w:pStyle w:val="Text1"/>
        <w:rPr>
          <w:noProof/>
        </w:rPr>
      </w:pPr>
      <w:r w:rsidRPr="00DF3EF6">
        <w:rPr>
          <w:noProof/>
        </w:rPr>
        <w:t>4. EUNB opracowuje projekty regulacyjnych standardów technicznych</w:t>
      </w:r>
      <w:r w:rsidR="0031342C" w:rsidRPr="00DF3EF6">
        <w:rPr>
          <w:noProof/>
        </w:rPr>
        <w:t xml:space="preserve"> w</w:t>
      </w:r>
      <w:r w:rsidR="0031342C">
        <w:rPr>
          <w:noProof/>
        </w:rPr>
        <w:t> </w:t>
      </w:r>
      <w:r w:rsidR="0031342C" w:rsidRPr="00DF3EF6">
        <w:rPr>
          <w:noProof/>
        </w:rPr>
        <w:t>cel</w:t>
      </w:r>
      <w:r w:rsidRPr="00DF3EF6">
        <w:rPr>
          <w:noProof/>
        </w:rPr>
        <w:t>u określenia:</w:t>
      </w:r>
    </w:p>
    <w:p w14:paraId="30AD6320" w14:textId="341B1819" w:rsidR="00345436" w:rsidRPr="00DF3EF6" w:rsidRDefault="00DF3EF6" w:rsidP="00DF3EF6">
      <w:pPr>
        <w:pStyle w:val="Point1"/>
        <w:rPr>
          <w:noProof/>
        </w:rPr>
      </w:pPr>
      <w:r>
        <w:rPr>
          <w:noProof/>
        </w:rPr>
        <w:t>a)</w:t>
      </w:r>
      <w:r>
        <w:rPr>
          <w:noProof/>
        </w:rPr>
        <w:tab/>
      </w:r>
      <w:r w:rsidR="003B6C3F" w:rsidRPr="00DF3EF6">
        <w:rPr>
          <w:noProof/>
        </w:rPr>
        <w:t>szczegółów technicznych dotyczących identyfikacji klientów na potrzeby wypłaty zgodnie</w:t>
      </w:r>
      <w:r w:rsidR="0031342C" w:rsidRPr="00DF3EF6">
        <w:rPr>
          <w:noProof/>
        </w:rPr>
        <w:t xml:space="preserve"> z</w:t>
      </w:r>
      <w:r w:rsidR="0031342C">
        <w:rPr>
          <w:noProof/>
        </w:rPr>
        <w:t> </w:t>
      </w:r>
      <w:r w:rsidR="0031342C" w:rsidRPr="0031342C">
        <w:rPr>
          <w:noProof/>
        </w:rPr>
        <w:t>art</w:t>
      </w:r>
      <w:r w:rsidR="003B6C3F" w:rsidRPr="0031342C">
        <w:rPr>
          <w:noProof/>
        </w:rPr>
        <w:t>.</w:t>
      </w:r>
      <w:r w:rsidR="0031342C" w:rsidRPr="0031342C">
        <w:rPr>
          <w:noProof/>
        </w:rPr>
        <w:t> </w:t>
      </w:r>
      <w:r w:rsidR="003B6C3F" w:rsidRPr="0031342C">
        <w:rPr>
          <w:noProof/>
        </w:rPr>
        <w:t>8</w:t>
      </w:r>
      <w:r w:rsidR="003B6C3F" w:rsidRPr="00DF3EF6">
        <w:rPr>
          <w:noProof/>
        </w:rPr>
        <w:t xml:space="preserve">; </w:t>
      </w:r>
    </w:p>
    <w:p w14:paraId="06C0A0E3" w14:textId="020A1125" w:rsidR="008F1B49" w:rsidRPr="00DF3EF6" w:rsidRDefault="00DF3EF6" w:rsidP="00DF3EF6">
      <w:pPr>
        <w:pStyle w:val="Point1"/>
        <w:rPr>
          <w:noProof/>
        </w:rPr>
      </w:pPr>
      <w:r>
        <w:rPr>
          <w:noProof/>
        </w:rPr>
        <w:t>b)</w:t>
      </w:r>
      <w:r>
        <w:rPr>
          <w:noProof/>
        </w:rPr>
        <w:tab/>
      </w:r>
      <w:r w:rsidR="008F1B49" w:rsidRPr="00DF3EF6">
        <w:rPr>
          <w:noProof/>
        </w:rPr>
        <w:t>kryteriów, na jakich podstawie wypłata ma być dokonywana na rzecz posiadacza rachunku na rzecz każdego</w:t>
      </w:r>
      <w:r w:rsidR="0031342C" w:rsidRPr="00DF3EF6">
        <w:rPr>
          <w:noProof/>
        </w:rPr>
        <w:t xml:space="preserve"> z</w:t>
      </w:r>
      <w:r w:rsidR="0031342C">
        <w:rPr>
          <w:noProof/>
        </w:rPr>
        <w:t> </w:t>
      </w:r>
      <w:r w:rsidR="0031342C" w:rsidRPr="00DF3EF6">
        <w:rPr>
          <w:noProof/>
        </w:rPr>
        <w:t>kli</w:t>
      </w:r>
      <w:r w:rsidR="008F1B49" w:rsidRPr="00DF3EF6">
        <w:rPr>
          <w:noProof/>
        </w:rPr>
        <w:t>entów albo bezpośrednio klientowi, oraz okoliczności,</w:t>
      </w:r>
      <w:r w:rsidR="0031342C" w:rsidRPr="00DF3EF6">
        <w:rPr>
          <w:noProof/>
        </w:rPr>
        <w:t xml:space="preserve"> w</w:t>
      </w:r>
      <w:r w:rsidR="0031342C">
        <w:rPr>
          <w:noProof/>
        </w:rPr>
        <w:t> </w:t>
      </w:r>
      <w:r w:rsidR="0031342C" w:rsidRPr="00DF3EF6">
        <w:rPr>
          <w:noProof/>
        </w:rPr>
        <w:t>jak</w:t>
      </w:r>
      <w:r w:rsidR="008F1B49" w:rsidRPr="00DF3EF6">
        <w:rPr>
          <w:noProof/>
        </w:rPr>
        <w:t>ich taka wypłata ma być dokonywana;</w:t>
      </w:r>
    </w:p>
    <w:p w14:paraId="26E8EB46" w14:textId="61CE862D" w:rsidR="00566A67" w:rsidRPr="00DF3EF6" w:rsidRDefault="00DF3EF6" w:rsidP="00DF3EF6">
      <w:pPr>
        <w:pStyle w:val="Point1"/>
        <w:rPr>
          <w:noProof/>
        </w:rPr>
      </w:pPr>
      <w:r>
        <w:rPr>
          <w:noProof/>
        </w:rPr>
        <w:t>c)</w:t>
      </w:r>
      <w:r>
        <w:rPr>
          <w:noProof/>
        </w:rPr>
        <w:tab/>
      </w:r>
      <w:r w:rsidR="008F1B49" w:rsidRPr="00DF3EF6">
        <w:rPr>
          <w:noProof/>
        </w:rPr>
        <w:t>zasad mających na celu uniknięcie wielokrotnych roszczeń</w:t>
      </w:r>
      <w:r w:rsidR="0031342C" w:rsidRPr="00DF3EF6">
        <w:rPr>
          <w:noProof/>
        </w:rPr>
        <w:t xml:space="preserve"> o</w:t>
      </w:r>
      <w:r w:rsidR="0031342C">
        <w:rPr>
          <w:noProof/>
        </w:rPr>
        <w:t> </w:t>
      </w:r>
      <w:r w:rsidR="0031342C" w:rsidRPr="00DF3EF6">
        <w:rPr>
          <w:noProof/>
        </w:rPr>
        <w:t>wyp</w:t>
      </w:r>
      <w:r w:rsidR="008F1B49" w:rsidRPr="00DF3EF6">
        <w:rPr>
          <w:noProof/>
        </w:rPr>
        <w:t>łatę na rzecz tego samego beneficjenta.</w:t>
      </w:r>
    </w:p>
    <w:p w14:paraId="5096A8DB" w14:textId="77777777" w:rsidR="003B6C3F" w:rsidRPr="00DF3EF6" w:rsidRDefault="00317631" w:rsidP="00AF43A1">
      <w:pPr>
        <w:pStyle w:val="Text1"/>
        <w:rPr>
          <w:noProof/>
        </w:rPr>
      </w:pPr>
      <w:r w:rsidRPr="00DF3EF6">
        <w:rPr>
          <w:noProof/>
        </w:rPr>
        <w:t>Przy opracowywaniu wspomnianych projektów regulacyjnych standardów technicznych EUNB bierze pod uwagę wszystkie następujące elementy:</w:t>
      </w:r>
    </w:p>
    <w:p w14:paraId="3ED8BDE3" w14:textId="0AA289F3" w:rsidR="00566A67" w:rsidRPr="00DF3EF6" w:rsidRDefault="00DF3EF6" w:rsidP="00DF3EF6">
      <w:pPr>
        <w:pStyle w:val="Point1"/>
        <w:rPr>
          <w:noProof/>
        </w:rPr>
      </w:pPr>
      <w:r>
        <w:rPr>
          <w:noProof/>
        </w:rPr>
        <w:t>a)</w:t>
      </w:r>
      <w:r>
        <w:rPr>
          <w:noProof/>
        </w:rPr>
        <w:tab/>
      </w:r>
      <w:r w:rsidR="00566A67" w:rsidRPr="00DF3EF6">
        <w:rPr>
          <w:noProof/>
        </w:rPr>
        <w:t>specyfikę modelu biznesowego poszczególnych rodzajów instytucji finansowych,</w:t>
      </w:r>
      <w:r w:rsidR="0031342C" w:rsidRPr="00DF3EF6">
        <w:rPr>
          <w:noProof/>
        </w:rPr>
        <w:t xml:space="preserve"> o</w:t>
      </w:r>
      <w:r w:rsidR="0031342C">
        <w:rPr>
          <w:noProof/>
        </w:rPr>
        <w:t> </w:t>
      </w:r>
      <w:r w:rsidR="0031342C" w:rsidRPr="00DF3EF6">
        <w:rPr>
          <w:noProof/>
        </w:rPr>
        <w:t>któ</w:t>
      </w:r>
      <w:r w:rsidR="00566A67" w:rsidRPr="00DF3EF6">
        <w:rPr>
          <w:noProof/>
        </w:rPr>
        <w:t>rych mowa</w:t>
      </w:r>
      <w:r w:rsidR="0031342C" w:rsidRPr="00DF3EF6">
        <w:rPr>
          <w:noProof/>
        </w:rPr>
        <w:t xml:space="preserve"> w</w:t>
      </w:r>
      <w:r w:rsidR="0031342C">
        <w:rPr>
          <w:noProof/>
        </w:rPr>
        <w:t> </w:t>
      </w:r>
      <w:r w:rsidR="0031342C" w:rsidRPr="0031342C">
        <w:rPr>
          <w:noProof/>
        </w:rPr>
        <w:t>art</w:t>
      </w:r>
      <w:r w:rsidR="00566A67" w:rsidRPr="0031342C">
        <w:rPr>
          <w:noProof/>
        </w:rPr>
        <w:t>.</w:t>
      </w:r>
      <w:r w:rsidR="0031342C" w:rsidRPr="0031342C">
        <w:rPr>
          <w:noProof/>
        </w:rPr>
        <w:t> </w:t>
      </w:r>
      <w:r w:rsidR="00566A67" w:rsidRPr="0031342C">
        <w:rPr>
          <w:noProof/>
        </w:rPr>
        <w:t>5</w:t>
      </w:r>
      <w:r w:rsidR="00566A67" w:rsidRPr="00DF3EF6">
        <w:rPr>
          <w:noProof/>
        </w:rPr>
        <w:t xml:space="preserve"> </w:t>
      </w:r>
      <w:r w:rsidR="00566A67" w:rsidRPr="0031342C">
        <w:rPr>
          <w:noProof/>
        </w:rPr>
        <w:t>ust.</w:t>
      </w:r>
      <w:r w:rsidR="0031342C" w:rsidRPr="0031342C">
        <w:rPr>
          <w:noProof/>
        </w:rPr>
        <w:t> </w:t>
      </w:r>
      <w:r w:rsidR="00566A67" w:rsidRPr="0031342C">
        <w:rPr>
          <w:noProof/>
        </w:rPr>
        <w:t>1</w:t>
      </w:r>
      <w:r w:rsidR="00566A67" w:rsidRPr="00DF3EF6">
        <w:rPr>
          <w:noProof/>
        </w:rPr>
        <w:t xml:space="preserve"> </w:t>
      </w:r>
      <w:r w:rsidR="00566A67" w:rsidRPr="0031342C">
        <w:rPr>
          <w:noProof/>
        </w:rPr>
        <w:t>lit.</w:t>
      </w:r>
      <w:r w:rsidR="0031342C" w:rsidRPr="0031342C">
        <w:rPr>
          <w:noProof/>
        </w:rPr>
        <w:t> </w:t>
      </w:r>
      <w:r w:rsidR="00566A67" w:rsidRPr="0031342C">
        <w:rPr>
          <w:noProof/>
        </w:rPr>
        <w:t>d)</w:t>
      </w:r>
      <w:r w:rsidR="00566A67" w:rsidRPr="00DF3EF6">
        <w:rPr>
          <w:noProof/>
        </w:rPr>
        <w:t>;</w:t>
      </w:r>
    </w:p>
    <w:p w14:paraId="1BF98FA0" w14:textId="37355CEB" w:rsidR="00566A67" w:rsidRPr="00DF3EF6" w:rsidRDefault="00DF3EF6" w:rsidP="00DF3EF6">
      <w:pPr>
        <w:pStyle w:val="Point1"/>
        <w:rPr>
          <w:noProof/>
        </w:rPr>
      </w:pPr>
      <w:r>
        <w:rPr>
          <w:noProof/>
        </w:rPr>
        <w:lastRenderedPageBreak/>
        <w:t>b)</w:t>
      </w:r>
      <w:r>
        <w:rPr>
          <w:noProof/>
        </w:rPr>
        <w:tab/>
      </w:r>
      <w:r w:rsidR="00566A67" w:rsidRPr="00DF3EF6">
        <w:rPr>
          <w:noProof/>
        </w:rPr>
        <w:t>szczegółowe wymogi określone</w:t>
      </w:r>
      <w:r w:rsidR="0031342C" w:rsidRPr="00DF3EF6">
        <w:rPr>
          <w:noProof/>
        </w:rPr>
        <w:t xml:space="preserve"> w</w:t>
      </w:r>
      <w:r w:rsidR="0031342C">
        <w:rPr>
          <w:noProof/>
        </w:rPr>
        <w:t> </w:t>
      </w:r>
      <w:r w:rsidR="0031342C" w:rsidRPr="00DF3EF6">
        <w:rPr>
          <w:noProof/>
        </w:rPr>
        <w:t>maj</w:t>
      </w:r>
      <w:r w:rsidR="00566A67" w:rsidRPr="00DF3EF6">
        <w:rPr>
          <w:noProof/>
        </w:rPr>
        <w:t>ącym zastosowanie prawie Unii regulującym działalność instytucji finansowych,</w:t>
      </w:r>
      <w:r w:rsidR="0031342C" w:rsidRPr="00DF3EF6">
        <w:rPr>
          <w:noProof/>
        </w:rPr>
        <w:t xml:space="preserve"> o</w:t>
      </w:r>
      <w:r w:rsidR="0031342C">
        <w:rPr>
          <w:noProof/>
        </w:rPr>
        <w:t> </w:t>
      </w:r>
      <w:r w:rsidR="0031342C" w:rsidRPr="00DF3EF6">
        <w:rPr>
          <w:noProof/>
        </w:rPr>
        <w:t>któ</w:t>
      </w:r>
      <w:r w:rsidR="00566A67" w:rsidRPr="00DF3EF6">
        <w:rPr>
          <w:noProof/>
        </w:rPr>
        <w:t>rych mowa</w:t>
      </w:r>
      <w:r w:rsidR="0031342C" w:rsidRPr="00DF3EF6">
        <w:rPr>
          <w:noProof/>
        </w:rPr>
        <w:t xml:space="preserve"> w</w:t>
      </w:r>
      <w:r w:rsidR="0031342C">
        <w:rPr>
          <w:noProof/>
        </w:rPr>
        <w:t> </w:t>
      </w:r>
      <w:r w:rsidR="0031342C" w:rsidRPr="0031342C">
        <w:rPr>
          <w:noProof/>
        </w:rPr>
        <w:t>art</w:t>
      </w:r>
      <w:r w:rsidR="00566A67" w:rsidRPr="0031342C">
        <w:rPr>
          <w:noProof/>
        </w:rPr>
        <w:t>.</w:t>
      </w:r>
      <w:r w:rsidR="0031342C" w:rsidRPr="0031342C">
        <w:rPr>
          <w:noProof/>
        </w:rPr>
        <w:t> </w:t>
      </w:r>
      <w:r w:rsidR="00566A67" w:rsidRPr="0031342C">
        <w:rPr>
          <w:noProof/>
        </w:rPr>
        <w:t>5</w:t>
      </w:r>
      <w:r w:rsidR="00566A67" w:rsidRPr="00DF3EF6">
        <w:rPr>
          <w:noProof/>
        </w:rPr>
        <w:t xml:space="preserve"> </w:t>
      </w:r>
      <w:r w:rsidR="00566A67" w:rsidRPr="0031342C">
        <w:rPr>
          <w:noProof/>
        </w:rPr>
        <w:t>ust.</w:t>
      </w:r>
      <w:r w:rsidR="0031342C" w:rsidRPr="0031342C">
        <w:rPr>
          <w:noProof/>
        </w:rPr>
        <w:t> </w:t>
      </w:r>
      <w:r w:rsidR="00566A67" w:rsidRPr="0031342C">
        <w:rPr>
          <w:noProof/>
        </w:rPr>
        <w:t>1</w:t>
      </w:r>
      <w:r w:rsidR="00566A67" w:rsidRPr="00DF3EF6">
        <w:rPr>
          <w:noProof/>
        </w:rPr>
        <w:t xml:space="preserve"> </w:t>
      </w:r>
      <w:r w:rsidR="00566A67" w:rsidRPr="0031342C">
        <w:rPr>
          <w:noProof/>
        </w:rPr>
        <w:t>lit.</w:t>
      </w:r>
      <w:r w:rsidR="0031342C" w:rsidRPr="0031342C">
        <w:rPr>
          <w:noProof/>
        </w:rPr>
        <w:t> </w:t>
      </w:r>
      <w:r w:rsidR="00566A67" w:rsidRPr="0031342C">
        <w:rPr>
          <w:noProof/>
        </w:rPr>
        <w:t>d)</w:t>
      </w:r>
      <w:r w:rsidR="00566A67" w:rsidRPr="00DF3EF6">
        <w:rPr>
          <w:noProof/>
        </w:rPr>
        <w:t>,</w:t>
      </w:r>
      <w:r w:rsidR="0031342C" w:rsidRPr="00DF3EF6">
        <w:rPr>
          <w:noProof/>
        </w:rPr>
        <w:t xml:space="preserve"> w</w:t>
      </w:r>
      <w:r w:rsidR="0031342C">
        <w:rPr>
          <w:noProof/>
        </w:rPr>
        <w:t> </w:t>
      </w:r>
      <w:r w:rsidR="0031342C" w:rsidRPr="00DF3EF6">
        <w:rPr>
          <w:noProof/>
        </w:rPr>
        <w:t>zak</w:t>
      </w:r>
      <w:r w:rsidR="00566A67" w:rsidRPr="00DF3EF6">
        <w:rPr>
          <w:noProof/>
        </w:rPr>
        <w:t>resie traktowania środków finansowych należących do klientów.</w:t>
      </w:r>
    </w:p>
    <w:p w14:paraId="50079EA7" w14:textId="09545BAE" w:rsidR="003B6C3F" w:rsidRPr="00DF3EF6" w:rsidRDefault="009D6EDB" w:rsidP="003C6175">
      <w:pPr>
        <w:pStyle w:val="Text1"/>
        <w:rPr>
          <w:noProof/>
        </w:rPr>
      </w:pPr>
      <w:r w:rsidRPr="00DF3EF6">
        <w:rPr>
          <w:noProof/>
        </w:rPr>
        <w:t>EUNB przedstawia Komisji te projekty regulacyjnych standardów technicznych do dnia ... [Urząd Publikacji – proszę wstawić datę = 12 miesięcy od daty wejścia</w:t>
      </w:r>
      <w:r w:rsidR="0031342C" w:rsidRPr="00DF3EF6">
        <w:rPr>
          <w:noProof/>
        </w:rPr>
        <w:t xml:space="preserve"> w</w:t>
      </w:r>
      <w:r w:rsidR="0031342C">
        <w:rPr>
          <w:noProof/>
        </w:rPr>
        <w:t> </w:t>
      </w:r>
      <w:r w:rsidR="0031342C" w:rsidRPr="00DF3EF6">
        <w:rPr>
          <w:noProof/>
        </w:rPr>
        <w:t>życ</w:t>
      </w:r>
      <w:r w:rsidRPr="00DF3EF6">
        <w:rPr>
          <w:noProof/>
        </w:rPr>
        <w:t>ie niniejszej dyrektywy] r.</w:t>
      </w:r>
    </w:p>
    <w:p w14:paraId="4F5E48FB" w14:textId="39B07077" w:rsidR="003B6C3F" w:rsidRPr="00DF3EF6" w:rsidRDefault="00CC0B86" w:rsidP="000909A4">
      <w:pPr>
        <w:pStyle w:val="Text1"/>
        <w:rPr>
          <w:noProof/>
        </w:rPr>
      </w:pPr>
      <w:r w:rsidRPr="00DF3EF6">
        <w:rPr>
          <w:noProof/>
        </w:rPr>
        <w:t>Komisja jest uprawniona do uzupełnienia niniejszej dyrektywy poprzez przyjęcie regulacyjnych standardów technicznych,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DF3EF6">
        <w:rPr>
          <w:noProof/>
        </w:rPr>
        <w:t>aka</w:t>
      </w:r>
      <w:r w:rsidRPr="00DF3EF6">
        <w:rPr>
          <w:noProof/>
        </w:rPr>
        <w:t>picie pierwszym niniejszego ustępu,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0–14 rozporządzenia (UE) </w:t>
      </w:r>
      <w:r w:rsidRPr="0031342C">
        <w:rPr>
          <w:noProof/>
        </w:rPr>
        <w:t>nr</w:t>
      </w:r>
      <w:r w:rsidR="0031342C" w:rsidRPr="0031342C">
        <w:rPr>
          <w:noProof/>
        </w:rPr>
        <w:t> </w:t>
      </w:r>
      <w:r w:rsidRPr="0031342C">
        <w:rPr>
          <w:noProof/>
        </w:rPr>
        <w:t>1</w:t>
      </w:r>
      <w:r w:rsidRPr="00DF3EF6">
        <w:rPr>
          <w:noProof/>
        </w:rPr>
        <w:t>093/2010.</w:t>
      </w:r>
    </w:p>
    <w:p w14:paraId="6F2296A1" w14:textId="77777777" w:rsidR="000909A4" w:rsidRPr="00DF3EF6" w:rsidRDefault="000909A4" w:rsidP="000909A4">
      <w:pPr>
        <w:pStyle w:val="Text1"/>
        <w:jc w:val="center"/>
        <w:rPr>
          <w:i/>
          <w:noProof/>
        </w:rPr>
      </w:pPr>
      <w:r w:rsidRPr="00DF3EF6">
        <w:rPr>
          <w:i/>
          <w:noProof/>
        </w:rPr>
        <w:t>Artykuł 8c</w:t>
      </w:r>
    </w:p>
    <w:p w14:paraId="1CF98957" w14:textId="4CC49086" w:rsidR="003C6175" w:rsidRPr="00DF3EF6" w:rsidRDefault="003C6175" w:rsidP="00733ABE">
      <w:pPr>
        <w:pStyle w:val="Text1"/>
        <w:jc w:val="center"/>
        <w:rPr>
          <w:b/>
          <w:noProof/>
        </w:rPr>
      </w:pPr>
      <w:r w:rsidRPr="00DF3EF6">
        <w:rPr>
          <w:b/>
          <w:noProof/>
        </w:rPr>
        <w:t>Zawieszenie wypłat</w:t>
      </w:r>
      <w:r w:rsidR="0031342C" w:rsidRPr="00DF3EF6">
        <w:rPr>
          <w:b/>
          <w:noProof/>
        </w:rPr>
        <w:t xml:space="preserve"> w</w:t>
      </w:r>
      <w:r w:rsidR="0031342C">
        <w:rPr>
          <w:b/>
          <w:noProof/>
        </w:rPr>
        <w:t> </w:t>
      </w:r>
      <w:r w:rsidR="0031342C" w:rsidRPr="00DF3EF6">
        <w:rPr>
          <w:b/>
          <w:noProof/>
        </w:rPr>
        <w:t>prz</w:t>
      </w:r>
      <w:r w:rsidRPr="00DF3EF6">
        <w:rPr>
          <w:b/>
          <w:noProof/>
        </w:rPr>
        <w:t xml:space="preserve">ypadku obaw dotyczących prania pieniędzy lub finansowania terroryzmu </w:t>
      </w:r>
    </w:p>
    <w:p w14:paraId="2C1682FB" w14:textId="07FD8E97" w:rsidR="003B6C3F" w:rsidRPr="00DF3EF6" w:rsidRDefault="00306F3A" w:rsidP="00733ABE">
      <w:pPr>
        <w:pStyle w:val="Text1"/>
        <w:rPr>
          <w:noProof/>
        </w:rPr>
      </w:pPr>
      <w:r w:rsidRPr="00DF3EF6">
        <w:rPr>
          <w:noProof/>
        </w:rPr>
        <w:t>1. Państwa członkowskie zapewniają, aby wyznaczony organ informował system gwarancji depozytów</w:t>
      </w:r>
      <w:r w:rsidR="0031342C" w:rsidRPr="00DF3EF6">
        <w:rPr>
          <w:noProof/>
        </w:rPr>
        <w:t xml:space="preserve"> w</w:t>
      </w:r>
      <w:r w:rsidR="0031342C">
        <w:rPr>
          <w:noProof/>
        </w:rPr>
        <w:t> </w:t>
      </w:r>
      <w:r w:rsidR="0031342C" w:rsidRPr="00DF3EF6">
        <w:rPr>
          <w:noProof/>
        </w:rPr>
        <w:t>cią</w:t>
      </w:r>
      <w:r w:rsidRPr="00DF3EF6">
        <w:rPr>
          <w:noProof/>
        </w:rPr>
        <w:t>gu 24 godzin od momentu otrzymania przez ten organ informacji,</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4</w:t>
      </w:r>
      <w:r w:rsidRPr="00DF3EF6">
        <w:rPr>
          <w:noProof/>
        </w:rPr>
        <w:t xml:space="preserve">8 </w:t>
      </w:r>
      <w:r w:rsidRPr="0031342C">
        <w:rPr>
          <w:noProof/>
        </w:rPr>
        <w:t>ust.</w:t>
      </w:r>
      <w:r w:rsidR="0031342C" w:rsidRPr="0031342C">
        <w:rPr>
          <w:noProof/>
        </w:rPr>
        <w:t> </w:t>
      </w:r>
      <w:r w:rsidRPr="0031342C">
        <w:rPr>
          <w:noProof/>
        </w:rPr>
        <w:t>4</w:t>
      </w:r>
      <w:r w:rsidRPr="00DF3EF6">
        <w:rPr>
          <w:noProof/>
        </w:rPr>
        <w:t xml:space="preserve"> [proszę wstawić odesłanie do wniosku dotyczącego dyrektywy</w:t>
      </w:r>
      <w:r w:rsidR="0031342C" w:rsidRPr="00DF3EF6">
        <w:rPr>
          <w:noProof/>
        </w:rPr>
        <w:t xml:space="preserve"> w</w:t>
      </w:r>
      <w:r w:rsidR="0031342C">
        <w:rPr>
          <w:noProof/>
        </w:rPr>
        <w:t> </w:t>
      </w:r>
      <w:r w:rsidR="0031342C" w:rsidRPr="00DF3EF6">
        <w:rPr>
          <w:noProof/>
        </w:rPr>
        <w:t>spr</w:t>
      </w:r>
      <w:r w:rsidRPr="00DF3EF6">
        <w:rPr>
          <w:noProof/>
        </w:rPr>
        <w:t>awie przeciwdziałania praniu pieniędzy uchylającej dyrektywę (UE) 2015/849 – COM(2021) 423 final],</w:t>
      </w:r>
      <w:r w:rsidR="0031342C" w:rsidRPr="00DF3EF6">
        <w:rPr>
          <w:noProof/>
        </w:rPr>
        <w:t xml:space="preserve"> o</w:t>
      </w:r>
      <w:r w:rsidR="0031342C">
        <w:rPr>
          <w:noProof/>
        </w:rPr>
        <w:t> </w:t>
      </w:r>
      <w:r w:rsidR="0031342C" w:rsidRPr="00DF3EF6">
        <w:rPr>
          <w:noProof/>
        </w:rPr>
        <w:t>wyn</w:t>
      </w:r>
      <w:r w:rsidRPr="00DF3EF6">
        <w:rPr>
          <w:noProof/>
        </w:rPr>
        <w:t>ikach zastosowania środków należytej staranności wobec klienta,</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5 </w:t>
      </w:r>
      <w:r w:rsidRPr="0031342C">
        <w:rPr>
          <w:noProof/>
        </w:rPr>
        <w:t>ust.</w:t>
      </w:r>
      <w:r w:rsidR="0031342C" w:rsidRPr="0031342C">
        <w:rPr>
          <w:noProof/>
        </w:rPr>
        <w:t> </w:t>
      </w:r>
      <w:r w:rsidRPr="0031342C">
        <w:rPr>
          <w:noProof/>
        </w:rPr>
        <w:t>4</w:t>
      </w:r>
      <w:r w:rsidRPr="00DF3EF6">
        <w:rPr>
          <w:noProof/>
        </w:rPr>
        <w:t xml:space="preserve"> rozporządzenia (UE) ... [proszę wstawić skrócone odesłanie do wniosku dotyczącego rozporządzenia</w:t>
      </w:r>
      <w:r w:rsidR="0031342C" w:rsidRPr="00DF3EF6">
        <w:rPr>
          <w:noProof/>
        </w:rPr>
        <w:t xml:space="preserve"> w</w:t>
      </w:r>
      <w:r w:rsidR="0031342C">
        <w:rPr>
          <w:noProof/>
        </w:rPr>
        <w:t> </w:t>
      </w:r>
      <w:r w:rsidR="0031342C" w:rsidRPr="00DF3EF6">
        <w:rPr>
          <w:noProof/>
        </w:rPr>
        <w:t>spr</w:t>
      </w:r>
      <w:r w:rsidRPr="00DF3EF6">
        <w:rPr>
          <w:noProof/>
        </w:rPr>
        <w:t>awie przeciwdziałania praniu pieniędzy – COM(2021) 420 final]. Państwa członkowskie zapewniają, aby informacje, którymi wymieniają się wyznaczony organ</w:t>
      </w:r>
      <w:r w:rsidR="0031342C" w:rsidRPr="00DF3EF6">
        <w:rPr>
          <w:noProof/>
        </w:rPr>
        <w:t xml:space="preserve"> i</w:t>
      </w:r>
      <w:r w:rsidR="0031342C">
        <w:rPr>
          <w:noProof/>
        </w:rPr>
        <w:t> </w:t>
      </w:r>
      <w:r w:rsidR="0031342C" w:rsidRPr="00DF3EF6">
        <w:rPr>
          <w:noProof/>
        </w:rPr>
        <w:t>sys</w:t>
      </w:r>
      <w:r w:rsidRPr="00DF3EF6">
        <w:rPr>
          <w:noProof/>
        </w:rPr>
        <w:t>tem gwarancji depozytów, ograniczały się do informacji bezwzględnie koniecznych do realizacji zadań</w:t>
      </w:r>
      <w:r w:rsidR="0031342C" w:rsidRPr="00DF3EF6">
        <w:rPr>
          <w:noProof/>
        </w:rPr>
        <w:t xml:space="preserve"> i</w:t>
      </w:r>
      <w:r w:rsidR="0031342C">
        <w:rPr>
          <w:noProof/>
        </w:rPr>
        <w:t> </w:t>
      </w:r>
      <w:r w:rsidR="0031342C" w:rsidRPr="00DF3EF6">
        <w:rPr>
          <w:noProof/>
        </w:rPr>
        <w:t>obo</w:t>
      </w:r>
      <w:r w:rsidRPr="00DF3EF6">
        <w:rPr>
          <w:noProof/>
        </w:rPr>
        <w:t>wiązków systemu gwarancji depozytów wynikających</w:t>
      </w:r>
      <w:r w:rsidR="0031342C" w:rsidRPr="00DF3EF6">
        <w:rPr>
          <w:noProof/>
        </w:rPr>
        <w:t xml:space="preserve"> z</w:t>
      </w:r>
      <w:r w:rsidR="0031342C">
        <w:rPr>
          <w:noProof/>
        </w:rPr>
        <w:t> </w:t>
      </w:r>
      <w:r w:rsidR="0031342C" w:rsidRPr="00DF3EF6">
        <w:rPr>
          <w:noProof/>
        </w:rPr>
        <w:t>nin</w:t>
      </w:r>
      <w:r w:rsidRPr="00DF3EF6">
        <w:rPr>
          <w:noProof/>
        </w:rPr>
        <w:t>iejszej dyrektywy,</w:t>
      </w:r>
      <w:r w:rsidR="0031342C" w:rsidRPr="00DF3EF6">
        <w:rPr>
          <w:noProof/>
        </w:rPr>
        <w:t xml:space="preserve"> a</w:t>
      </w:r>
      <w:r w:rsidR="0031342C">
        <w:rPr>
          <w:noProof/>
        </w:rPr>
        <w:t> </w:t>
      </w:r>
      <w:r w:rsidR="0031342C" w:rsidRPr="00DF3EF6">
        <w:rPr>
          <w:noProof/>
        </w:rPr>
        <w:t>tak</w:t>
      </w:r>
      <w:r w:rsidRPr="00DF3EF6">
        <w:rPr>
          <w:noProof/>
        </w:rPr>
        <w:t>a wymiana informacji była prowadzona zgodnie</w:t>
      </w:r>
      <w:r w:rsidR="0031342C" w:rsidRPr="00DF3EF6">
        <w:rPr>
          <w:noProof/>
        </w:rPr>
        <w:t xml:space="preserve"> z</w:t>
      </w:r>
      <w:r w:rsidR="0031342C">
        <w:rPr>
          <w:noProof/>
        </w:rPr>
        <w:t> </w:t>
      </w:r>
      <w:r w:rsidR="0031342C" w:rsidRPr="00DF3EF6">
        <w:rPr>
          <w:noProof/>
        </w:rPr>
        <w:t>wym</w:t>
      </w:r>
      <w:r w:rsidRPr="00DF3EF6">
        <w:rPr>
          <w:noProof/>
        </w:rPr>
        <w:t>ogami określonymi</w:t>
      </w:r>
      <w:r w:rsidR="0031342C" w:rsidRPr="00DF3EF6">
        <w:rPr>
          <w:noProof/>
        </w:rPr>
        <w:t xml:space="preserve"> w</w:t>
      </w:r>
      <w:r w:rsidR="0031342C">
        <w:rPr>
          <w:noProof/>
        </w:rPr>
        <w:t> </w:t>
      </w:r>
      <w:r w:rsidR="0031342C" w:rsidRPr="00DF3EF6">
        <w:rPr>
          <w:noProof/>
        </w:rPr>
        <w:t>dyr</w:t>
      </w:r>
      <w:r w:rsidRPr="00DF3EF6">
        <w:rPr>
          <w:noProof/>
        </w:rPr>
        <w:t>ektywie 96/9/WE Parlamentu Europejskiego</w:t>
      </w:r>
      <w:r w:rsidR="0031342C" w:rsidRPr="00DF3EF6">
        <w:rPr>
          <w:noProof/>
        </w:rPr>
        <w:t xml:space="preserve"> i</w:t>
      </w:r>
      <w:r w:rsidR="0031342C">
        <w:rPr>
          <w:noProof/>
        </w:rPr>
        <w:t> </w:t>
      </w:r>
      <w:r w:rsidR="0031342C" w:rsidRPr="00DF3EF6">
        <w:rPr>
          <w:noProof/>
        </w:rPr>
        <w:t>Rad</w:t>
      </w:r>
      <w:r w:rsidRPr="00DF3EF6">
        <w:rPr>
          <w:noProof/>
        </w:rPr>
        <w:t>y**.</w:t>
      </w:r>
    </w:p>
    <w:p w14:paraId="76ABAFBF" w14:textId="164995A0" w:rsidR="00930DB9" w:rsidRPr="00DF3EF6" w:rsidRDefault="004F08DC" w:rsidP="00733ABE">
      <w:pPr>
        <w:pStyle w:val="Text1"/>
        <w:rPr>
          <w:noProof/>
        </w:rPr>
      </w:pPr>
      <w:r w:rsidRPr="00DF3EF6">
        <w:rPr>
          <w:noProof/>
        </w:rPr>
        <w:t>2. Państwa członkowskie zapewniają, aby systemy gwarancji depozytów zawieszały wypłatę,</w:t>
      </w:r>
      <w:r w:rsidR="0031342C" w:rsidRPr="00DF3EF6">
        <w:rPr>
          <w:noProof/>
        </w:rPr>
        <w:t xml:space="preserve"> o</w:t>
      </w:r>
      <w:r w:rsidR="0031342C">
        <w:rPr>
          <w:noProof/>
        </w:rPr>
        <w:t> </w:t>
      </w:r>
      <w:r w:rsidR="0031342C" w:rsidRPr="00DF3EF6">
        <w:rPr>
          <w:noProof/>
        </w:rPr>
        <w:t>któ</w:t>
      </w:r>
      <w:r w:rsidRPr="00DF3EF6">
        <w:rPr>
          <w:noProof/>
        </w:rPr>
        <w:t>rej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8</w:t>
      </w:r>
      <w:r w:rsidRPr="00DF3EF6">
        <w:rPr>
          <w:noProof/>
        </w:rPr>
        <w:t xml:space="preserve"> </w:t>
      </w:r>
      <w:r w:rsidRPr="0031342C">
        <w:rPr>
          <w:noProof/>
        </w:rPr>
        <w:t>ust.</w:t>
      </w:r>
      <w:r w:rsidR="0031342C" w:rsidRPr="0031342C">
        <w:rPr>
          <w:noProof/>
        </w:rPr>
        <w:t> </w:t>
      </w:r>
      <w:r w:rsidRPr="0031342C">
        <w:rPr>
          <w:noProof/>
        </w:rPr>
        <w:t>1</w:t>
      </w:r>
      <w:r w:rsidRPr="00DF3EF6">
        <w:rPr>
          <w:noProof/>
        </w:rPr>
        <w:t>, jeżeli deponenta lub jakąkolwiek inną osobę, która ma prawo do kwoty złożonej na jego rachunku, oskarżono</w:t>
      </w:r>
      <w:r w:rsidR="0031342C" w:rsidRPr="00DF3EF6">
        <w:rPr>
          <w:noProof/>
        </w:rPr>
        <w:t xml:space="preserve"> o</w:t>
      </w:r>
      <w:r w:rsidR="0031342C">
        <w:rPr>
          <w:noProof/>
        </w:rPr>
        <w:t> </w:t>
      </w:r>
      <w:r w:rsidR="0031342C" w:rsidRPr="00DF3EF6">
        <w:rPr>
          <w:noProof/>
        </w:rPr>
        <w:t>prz</w:t>
      </w:r>
      <w:r w:rsidRPr="00DF3EF6">
        <w:rPr>
          <w:noProof/>
        </w:rPr>
        <w:t>estępstwo, które ma związek</w:t>
      </w:r>
      <w:r w:rsidR="0031342C" w:rsidRPr="00DF3EF6">
        <w:rPr>
          <w:noProof/>
        </w:rPr>
        <w:t xml:space="preserve"> z</w:t>
      </w:r>
      <w:r w:rsidR="0031342C">
        <w:rPr>
          <w:noProof/>
        </w:rPr>
        <w:t> </w:t>
      </w:r>
      <w:r w:rsidR="0031342C" w:rsidRPr="00DF3EF6">
        <w:rPr>
          <w:noProof/>
        </w:rPr>
        <w:t>pra</w:t>
      </w:r>
      <w:r w:rsidRPr="00DF3EF6">
        <w:rPr>
          <w:noProof/>
        </w:rPr>
        <w:t>niem pieniędzy lub finansowaniem terroryzmu, do czasu wydania wyroku przez sąd.</w:t>
      </w:r>
    </w:p>
    <w:p w14:paraId="3382270D" w14:textId="420B39AB" w:rsidR="003B6C3F" w:rsidRPr="00DF3EF6" w:rsidRDefault="004F08DC" w:rsidP="00733ABE">
      <w:pPr>
        <w:pStyle w:val="Text1"/>
        <w:rPr>
          <w:noProof/>
        </w:rPr>
      </w:pPr>
      <w:r w:rsidRPr="00DF3EF6">
        <w:rPr>
          <w:noProof/>
        </w:rPr>
        <w:t>3. Państwa członkowskie zapewniają, aby systemy gwarancji depozytów zawieszały wypłatę,</w:t>
      </w:r>
      <w:r w:rsidR="0031342C" w:rsidRPr="00DF3EF6">
        <w:rPr>
          <w:noProof/>
        </w:rPr>
        <w:t xml:space="preserve"> o</w:t>
      </w:r>
      <w:r w:rsidR="0031342C">
        <w:rPr>
          <w:noProof/>
        </w:rPr>
        <w:t> </w:t>
      </w:r>
      <w:r w:rsidR="0031342C" w:rsidRPr="00DF3EF6">
        <w:rPr>
          <w:noProof/>
        </w:rPr>
        <w:t>któ</w:t>
      </w:r>
      <w:r w:rsidRPr="00DF3EF6">
        <w:rPr>
          <w:noProof/>
        </w:rPr>
        <w:t>rej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8</w:t>
      </w:r>
      <w:r w:rsidRPr="00DF3EF6">
        <w:rPr>
          <w:noProof/>
        </w:rPr>
        <w:t xml:space="preserve"> </w:t>
      </w:r>
      <w:r w:rsidRPr="0031342C">
        <w:rPr>
          <w:noProof/>
        </w:rPr>
        <w:t>ust.</w:t>
      </w:r>
      <w:r w:rsidR="0031342C" w:rsidRPr="0031342C">
        <w:rPr>
          <w:noProof/>
        </w:rPr>
        <w:t> </w:t>
      </w:r>
      <w:r w:rsidRPr="0031342C">
        <w:rPr>
          <w:noProof/>
        </w:rPr>
        <w:t>1</w:t>
      </w:r>
      <w:r w:rsidRPr="00DF3EF6">
        <w:rPr>
          <w:noProof/>
        </w:rPr>
        <w:t>, na okres równy okresowi określonemu</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2</w:t>
      </w:r>
      <w:r w:rsidRPr="00DF3EF6">
        <w:rPr>
          <w:noProof/>
        </w:rPr>
        <w:t>0 [proszę wstawić skrócone odesłanie do wniosku dotyczącego dyrektywy</w:t>
      </w:r>
      <w:r w:rsidR="0031342C" w:rsidRPr="00DF3EF6">
        <w:rPr>
          <w:noProof/>
        </w:rPr>
        <w:t xml:space="preserve"> w</w:t>
      </w:r>
      <w:r w:rsidR="0031342C">
        <w:rPr>
          <w:noProof/>
        </w:rPr>
        <w:t> </w:t>
      </w:r>
      <w:r w:rsidR="0031342C" w:rsidRPr="00DF3EF6">
        <w:rPr>
          <w:noProof/>
        </w:rPr>
        <w:t>spr</w:t>
      </w:r>
      <w:r w:rsidRPr="00DF3EF6">
        <w:rPr>
          <w:noProof/>
        </w:rPr>
        <w:t>awie przeciwdziałania praniu pieniędzy uchylającej dyrektywę (UE) 2015/849 – COM(2021) 423 final], jeżeli zostaną poinformowane przez jednostkę analityki finansowej,</w:t>
      </w:r>
      <w:r w:rsidR="0031342C" w:rsidRPr="00DF3EF6">
        <w:rPr>
          <w:noProof/>
        </w:rPr>
        <w:t xml:space="preserve"> o</w:t>
      </w:r>
      <w:r w:rsidR="0031342C">
        <w:rPr>
          <w:noProof/>
        </w:rPr>
        <w:t> </w:t>
      </w:r>
      <w:r w:rsidR="0031342C" w:rsidRPr="00DF3EF6">
        <w:rPr>
          <w:noProof/>
        </w:rPr>
        <w:t>któ</w:t>
      </w:r>
      <w:r w:rsidRPr="00DF3EF6">
        <w:rPr>
          <w:noProof/>
        </w:rPr>
        <w:t>rej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3</w:t>
      </w:r>
      <w:r w:rsidRPr="00DF3EF6">
        <w:rPr>
          <w:noProof/>
        </w:rPr>
        <w:t>2 dyrektywy (UE) [proszę wstawić odesłanie do wniosku dotyczącego dyrektywy</w:t>
      </w:r>
      <w:r w:rsidR="0031342C" w:rsidRPr="00DF3EF6">
        <w:rPr>
          <w:noProof/>
        </w:rPr>
        <w:t xml:space="preserve"> w</w:t>
      </w:r>
      <w:r w:rsidR="0031342C">
        <w:rPr>
          <w:noProof/>
        </w:rPr>
        <w:t> </w:t>
      </w:r>
      <w:r w:rsidR="0031342C" w:rsidRPr="00DF3EF6">
        <w:rPr>
          <w:noProof/>
        </w:rPr>
        <w:t>spr</w:t>
      </w:r>
      <w:r w:rsidRPr="00DF3EF6">
        <w:rPr>
          <w:noProof/>
        </w:rPr>
        <w:t>awie przeciwdziałania praniu pieniędzy uchylającej dyrektywę (UE) 2015/849 – COM(2021) 423 final], że jednostka ta zdecydowała</w:t>
      </w:r>
      <w:r w:rsidR="0031342C" w:rsidRPr="00DF3EF6">
        <w:rPr>
          <w:noProof/>
        </w:rPr>
        <w:t xml:space="preserve"> o</w:t>
      </w:r>
      <w:r w:rsidR="0031342C">
        <w:rPr>
          <w:noProof/>
        </w:rPr>
        <w:t> </w:t>
      </w:r>
      <w:r w:rsidR="0031342C" w:rsidRPr="00DF3EF6">
        <w:rPr>
          <w:noProof/>
        </w:rPr>
        <w:t>zaw</w:t>
      </w:r>
      <w:r w:rsidRPr="00DF3EF6">
        <w:rPr>
          <w:noProof/>
        </w:rPr>
        <w:t>ieszeniu transakcji lub</w:t>
      </w:r>
      <w:r w:rsidR="0031342C" w:rsidRPr="00DF3EF6">
        <w:rPr>
          <w:noProof/>
        </w:rPr>
        <w:t xml:space="preserve"> o</w:t>
      </w:r>
      <w:r w:rsidR="0031342C">
        <w:rPr>
          <w:noProof/>
        </w:rPr>
        <w:t> </w:t>
      </w:r>
      <w:r w:rsidR="0031342C" w:rsidRPr="00DF3EF6">
        <w:rPr>
          <w:noProof/>
        </w:rPr>
        <w:t>wst</w:t>
      </w:r>
      <w:r w:rsidRPr="00DF3EF6">
        <w:rPr>
          <w:noProof/>
        </w:rPr>
        <w:t>rzymaniu na nią zgody, lub też</w:t>
      </w:r>
      <w:r w:rsidR="0031342C" w:rsidRPr="00DF3EF6">
        <w:rPr>
          <w:noProof/>
        </w:rPr>
        <w:t xml:space="preserve"> o</w:t>
      </w:r>
      <w:r w:rsidR="0031342C">
        <w:rPr>
          <w:noProof/>
        </w:rPr>
        <w:t> </w:t>
      </w:r>
      <w:r w:rsidR="0031342C" w:rsidRPr="00DF3EF6">
        <w:rPr>
          <w:noProof/>
        </w:rPr>
        <w:t>zaw</w:t>
      </w:r>
      <w:r w:rsidRPr="00DF3EF6">
        <w:rPr>
          <w:noProof/>
        </w:rPr>
        <w:t>ieszeniu rachunku bankowego lub płatniczego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2</w:t>
      </w:r>
      <w:r w:rsidRPr="00DF3EF6">
        <w:rPr>
          <w:noProof/>
        </w:rPr>
        <w:t xml:space="preserve">0 </w:t>
      </w:r>
      <w:r w:rsidRPr="0031342C">
        <w:rPr>
          <w:noProof/>
        </w:rPr>
        <w:t>ust.</w:t>
      </w:r>
      <w:r w:rsidR="0031342C" w:rsidRPr="0031342C">
        <w:rPr>
          <w:noProof/>
        </w:rPr>
        <w:t> </w:t>
      </w:r>
      <w:r w:rsidRPr="0031342C">
        <w:rPr>
          <w:noProof/>
        </w:rPr>
        <w:t>1</w:t>
      </w:r>
      <w:r w:rsidRPr="00DF3EF6">
        <w:rPr>
          <w:noProof/>
        </w:rPr>
        <w:t xml:space="preserve"> </w:t>
      </w:r>
      <w:r w:rsidRPr="0031342C">
        <w:rPr>
          <w:noProof/>
        </w:rPr>
        <w:t>lub</w:t>
      </w:r>
      <w:r w:rsidR="0031342C" w:rsidRPr="0031342C">
        <w:rPr>
          <w:noProof/>
        </w:rPr>
        <w:t> </w:t>
      </w:r>
      <w:r w:rsidRPr="0031342C">
        <w:rPr>
          <w:noProof/>
        </w:rPr>
        <w:t>2</w:t>
      </w:r>
      <w:r w:rsidRPr="00DF3EF6">
        <w:rPr>
          <w:noProof/>
        </w:rPr>
        <w:t xml:space="preserve"> dyrektywy (UE) [proszę wstawić odesłanie do wniosku dotyczącego dyrektywy</w:t>
      </w:r>
      <w:r w:rsidR="0031342C" w:rsidRPr="00DF3EF6">
        <w:rPr>
          <w:noProof/>
        </w:rPr>
        <w:t xml:space="preserve"> w</w:t>
      </w:r>
      <w:r w:rsidR="0031342C">
        <w:rPr>
          <w:noProof/>
        </w:rPr>
        <w:t> </w:t>
      </w:r>
      <w:r w:rsidR="0031342C" w:rsidRPr="00DF3EF6">
        <w:rPr>
          <w:noProof/>
        </w:rPr>
        <w:t>spr</w:t>
      </w:r>
      <w:r w:rsidRPr="00DF3EF6">
        <w:rPr>
          <w:noProof/>
        </w:rPr>
        <w:t xml:space="preserve">awie przeciwdziałania praniu pieniędzy uchylającej dyrektywę (UE) 2015/849 – COM(2021) 423 final]. </w:t>
      </w:r>
    </w:p>
    <w:p w14:paraId="2320F085" w14:textId="74C973FC" w:rsidR="003B6C3F" w:rsidRPr="00DF3EF6" w:rsidRDefault="004F08DC" w:rsidP="0099388A">
      <w:pPr>
        <w:pStyle w:val="Text1"/>
        <w:pBdr>
          <w:bottom w:val="double" w:sz="6" w:space="1" w:color="auto"/>
        </w:pBdr>
        <w:rPr>
          <w:noProof/>
        </w:rPr>
      </w:pPr>
      <w:r w:rsidRPr="00DF3EF6">
        <w:rPr>
          <w:noProof/>
        </w:rPr>
        <w:t>4. Państwa członkowskie zapewniają, aby systemy gwarancji depozytów nie ponosiły odpowiedzialności za żadne środki wprowadzone zgodnie</w:t>
      </w:r>
      <w:r w:rsidR="0031342C" w:rsidRPr="00DF3EF6">
        <w:rPr>
          <w:noProof/>
        </w:rPr>
        <w:t xml:space="preserve"> z</w:t>
      </w:r>
      <w:r w:rsidR="0031342C">
        <w:rPr>
          <w:noProof/>
        </w:rPr>
        <w:t> </w:t>
      </w:r>
      <w:r w:rsidR="0031342C" w:rsidRPr="00DF3EF6">
        <w:rPr>
          <w:noProof/>
        </w:rPr>
        <w:t>ins</w:t>
      </w:r>
      <w:r w:rsidRPr="00DF3EF6">
        <w:rPr>
          <w:noProof/>
        </w:rPr>
        <w:t xml:space="preserve">trukcjami jednostki analityki finansowej. Systemy gwarancji depozytów wykorzystują </w:t>
      </w:r>
      <w:r w:rsidRPr="00DF3EF6">
        <w:rPr>
          <w:noProof/>
        </w:rPr>
        <w:lastRenderedPageBreak/>
        <w:t>informacje otrzymane od jednostki analityki finansowej wyłącznie do celów niniejszej dyrektywy.</w:t>
      </w:r>
    </w:p>
    <w:p w14:paraId="41B7ED24" w14:textId="5A733339" w:rsidR="00EE3E47" w:rsidRPr="00DF3EF6" w:rsidRDefault="00EE3E47" w:rsidP="000909A4">
      <w:pPr>
        <w:pStyle w:val="Text1"/>
        <w:rPr>
          <w:noProof/>
        </w:rPr>
      </w:pPr>
      <w:r w:rsidRPr="00DF3EF6">
        <w:rPr>
          <w:noProof/>
        </w:rPr>
        <w:t>*</w:t>
      </w:r>
      <w:r w:rsidRPr="00DF3EF6">
        <w:rPr>
          <w:noProof/>
        </w:rPr>
        <w:tab/>
        <w:t>Dyrektywa Parlamentu Europejskiego</w:t>
      </w:r>
      <w:r w:rsidR="0031342C" w:rsidRPr="00DF3EF6">
        <w:rPr>
          <w:noProof/>
        </w:rPr>
        <w:t xml:space="preserve"> i</w:t>
      </w:r>
      <w:r w:rsidR="0031342C">
        <w:rPr>
          <w:noProof/>
        </w:rPr>
        <w:t> </w:t>
      </w:r>
      <w:r w:rsidR="0031342C" w:rsidRPr="00DF3EF6">
        <w:rPr>
          <w:noProof/>
        </w:rPr>
        <w:t>Rad</w:t>
      </w:r>
      <w:r w:rsidRPr="00DF3EF6">
        <w:rPr>
          <w:noProof/>
        </w:rPr>
        <w:t>y 2014/92/UE</w:t>
      </w:r>
      <w:r w:rsidR="0031342C" w:rsidRPr="00DF3EF6">
        <w:rPr>
          <w:noProof/>
        </w:rPr>
        <w:t xml:space="preserve"> z</w:t>
      </w:r>
      <w:r w:rsidR="0031342C">
        <w:rPr>
          <w:noProof/>
        </w:rPr>
        <w:t> </w:t>
      </w:r>
      <w:r w:rsidR="0031342C" w:rsidRPr="00DF3EF6">
        <w:rPr>
          <w:noProof/>
        </w:rPr>
        <w:t>dni</w:t>
      </w:r>
      <w:r w:rsidRPr="00DF3EF6">
        <w:rPr>
          <w:noProof/>
        </w:rPr>
        <w:t>a 23 lipca 20</w:t>
      </w:r>
      <w:r w:rsidRPr="0031342C">
        <w:rPr>
          <w:noProof/>
        </w:rPr>
        <w:t>14</w:t>
      </w:r>
      <w:r w:rsidR="0031342C" w:rsidRPr="0031342C">
        <w:rPr>
          <w:noProof/>
        </w:rPr>
        <w:t> </w:t>
      </w:r>
      <w:r w:rsidRPr="0031342C">
        <w:rPr>
          <w:noProof/>
        </w:rPr>
        <w:t>r.</w:t>
      </w:r>
      <w:r w:rsidR="0031342C" w:rsidRPr="00DF3EF6">
        <w:rPr>
          <w:noProof/>
        </w:rPr>
        <w:t xml:space="preserve"> w</w:t>
      </w:r>
      <w:r w:rsidR="0031342C">
        <w:rPr>
          <w:noProof/>
        </w:rPr>
        <w:t> </w:t>
      </w:r>
      <w:r w:rsidR="0031342C" w:rsidRPr="00DF3EF6">
        <w:rPr>
          <w:noProof/>
        </w:rPr>
        <w:t>spr</w:t>
      </w:r>
      <w:r w:rsidRPr="00DF3EF6">
        <w:rPr>
          <w:noProof/>
        </w:rPr>
        <w:t>awie porównywalności opłat związanych</w:t>
      </w:r>
      <w:r w:rsidR="0031342C" w:rsidRPr="00DF3EF6">
        <w:rPr>
          <w:noProof/>
        </w:rPr>
        <w:t xml:space="preserve"> z</w:t>
      </w:r>
      <w:r w:rsidR="0031342C">
        <w:rPr>
          <w:noProof/>
        </w:rPr>
        <w:t> </w:t>
      </w:r>
      <w:r w:rsidR="0031342C" w:rsidRPr="00DF3EF6">
        <w:rPr>
          <w:noProof/>
        </w:rPr>
        <w:t>rac</w:t>
      </w:r>
      <w:r w:rsidRPr="00DF3EF6">
        <w:rPr>
          <w:noProof/>
        </w:rPr>
        <w:t>hunkami płatniczymi, przenoszenia rachunku płatniczego oraz dostępu do podstawowego rachunku płatniczego (Dz.U. L 257</w:t>
      </w:r>
      <w:r w:rsidR="0031342C" w:rsidRPr="00DF3EF6">
        <w:rPr>
          <w:noProof/>
        </w:rPr>
        <w:t xml:space="preserve"> z</w:t>
      </w:r>
      <w:r w:rsidR="0031342C">
        <w:rPr>
          <w:noProof/>
        </w:rPr>
        <w:t> </w:t>
      </w:r>
      <w:r w:rsidR="0031342C" w:rsidRPr="00DF3EF6">
        <w:rPr>
          <w:noProof/>
        </w:rPr>
        <w:t>2</w:t>
      </w:r>
      <w:r w:rsidRPr="00DF3EF6">
        <w:rPr>
          <w:noProof/>
        </w:rPr>
        <w:t>8.8.2014, s. 214).</w:t>
      </w:r>
    </w:p>
    <w:p w14:paraId="48115B37" w14:textId="250DE04F" w:rsidR="006D0715" w:rsidRPr="00DF3EF6" w:rsidRDefault="006D0715" w:rsidP="000909A4">
      <w:pPr>
        <w:pStyle w:val="Text1"/>
        <w:rPr>
          <w:noProof/>
        </w:rPr>
      </w:pPr>
      <w:r w:rsidRPr="00DF3EF6">
        <w:rPr>
          <w:noProof/>
        </w:rPr>
        <w:t>**</w:t>
      </w:r>
      <w:r w:rsidRPr="00DF3EF6">
        <w:rPr>
          <w:noProof/>
        </w:rPr>
        <w:tab/>
        <w:t>Dyrektywa 96/9/WE Parlamentu Europejskiego</w:t>
      </w:r>
      <w:r w:rsidR="0031342C" w:rsidRPr="00DF3EF6">
        <w:rPr>
          <w:noProof/>
        </w:rPr>
        <w:t xml:space="preserve"> i</w:t>
      </w:r>
      <w:r w:rsidR="0031342C">
        <w:rPr>
          <w:noProof/>
        </w:rPr>
        <w:t> </w:t>
      </w:r>
      <w:r w:rsidR="0031342C" w:rsidRPr="00DF3EF6">
        <w:rPr>
          <w:noProof/>
        </w:rPr>
        <w:t>Rad</w:t>
      </w:r>
      <w:r w:rsidRPr="00DF3EF6">
        <w:rPr>
          <w:noProof/>
        </w:rPr>
        <w:t>y</w:t>
      </w:r>
      <w:r w:rsidR="0031342C" w:rsidRPr="00DF3EF6">
        <w:rPr>
          <w:noProof/>
        </w:rPr>
        <w:t xml:space="preserve"> z</w:t>
      </w:r>
      <w:r w:rsidR="0031342C">
        <w:rPr>
          <w:noProof/>
        </w:rPr>
        <w:t> </w:t>
      </w:r>
      <w:r w:rsidR="0031342C" w:rsidRPr="00DF3EF6">
        <w:rPr>
          <w:noProof/>
        </w:rPr>
        <w:t>dni</w:t>
      </w:r>
      <w:r w:rsidRPr="00DF3EF6">
        <w:rPr>
          <w:noProof/>
        </w:rPr>
        <w:t>a 11 marca 19</w:t>
      </w:r>
      <w:r w:rsidRPr="0031342C">
        <w:rPr>
          <w:noProof/>
        </w:rPr>
        <w:t>96</w:t>
      </w:r>
      <w:r w:rsidR="0031342C" w:rsidRPr="0031342C">
        <w:rPr>
          <w:noProof/>
        </w:rPr>
        <w:t> </w:t>
      </w:r>
      <w:r w:rsidRPr="0031342C">
        <w:rPr>
          <w:noProof/>
        </w:rPr>
        <w:t>r.</w:t>
      </w:r>
      <w:r w:rsidR="0031342C" w:rsidRPr="00DF3EF6">
        <w:rPr>
          <w:noProof/>
        </w:rPr>
        <w:t xml:space="preserve"> w</w:t>
      </w:r>
      <w:r w:rsidR="0031342C">
        <w:rPr>
          <w:noProof/>
        </w:rPr>
        <w:t> </w:t>
      </w:r>
      <w:r w:rsidR="0031342C" w:rsidRPr="00DF3EF6">
        <w:rPr>
          <w:noProof/>
        </w:rPr>
        <w:t>spr</w:t>
      </w:r>
      <w:r w:rsidRPr="00DF3EF6">
        <w:rPr>
          <w:noProof/>
        </w:rPr>
        <w:t>awie ochrony prawnej baz danych (Dz.U. L 77</w:t>
      </w:r>
      <w:r w:rsidR="0031342C" w:rsidRPr="00DF3EF6">
        <w:rPr>
          <w:noProof/>
        </w:rPr>
        <w:t xml:space="preserve"> z</w:t>
      </w:r>
      <w:r w:rsidR="0031342C">
        <w:rPr>
          <w:noProof/>
        </w:rPr>
        <w:t> </w:t>
      </w:r>
      <w:r w:rsidR="0031342C" w:rsidRPr="00DF3EF6">
        <w:rPr>
          <w:noProof/>
        </w:rPr>
        <w:t>2</w:t>
      </w:r>
      <w:r w:rsidRPr="00DF3EF6">
        <w:rPr>
          <w:noProof/>
        </w:rPr>
        <w:t>7.3.1996, s. 20).”;</w:t>
      </w:r>
    </w:p>
    <w:p w14:paraId="5CE51E5A" w14:textId="18559789" w:rsidR="003B6C3F" w:rsidRPr="00DF3EF6" w:rsidRDefault="00DF3EF6" w:rsidP="00DF3EF6">
      <w:pPr>
        <w:pStyle w:val="Point0"/>
        <w:rPr>
          <w:noProof/>
        </w:rPr>
      </w:pPr>
      <w:r>
        <w:rPr>
          <w:noProof/>
        </w:rPr>
        <w:t>10)</w:t>
      </w:r>
      <w:r>
        <w:rPr>
          <w:noProof/>
        </w:rPr>
        <w:tab/>
      </w:r>
      <w:r w:rsidR="006D0715" w:rsidRPr="0031342C">
        <w:rPr>
          <w:noProof/>
        </w:rPr>
        <w:t>art.</w:t>
      </w:r>
      <w:r w:rsidR="0031342C" w:rsidRPr="0031342C">
        <w:rPr>
          <w:noProof/>
        </w:rPr>
        <w:t> </w:t>
      </w:r>
      <w:r w:rsidR="006D0715" w:rsidRPr="0031342C">
        <w:rPr>
          <w:noProof/>
        </w:rPr>
        <w:t>9</w:t>
      </w:r>
      <w:r w:rsidR="006D0715" w:rsidRPr="00DF3EF6">
        <w:rPr>
          <w:noProof/>
        </w:rPr>
        <w:t xml:space="preserve"> </w:t>
      </w:r>
      <w:r w:rsidR="006D0715" w:rsidRPr="0031342C">
        <w:rPr>
          <w:noProof/>
        </w:rPr>
        <w:t>ust.</w:t>
      </w:r>
      <w:r w:rsidR="0031342C" w:rsidRPr="0031342C">
        <w:rPr>
          <w:noProof/>
        </w:rPr>
        <w:t> </w:t>
      </w:r>
      <w:r w:rsidR="006D0715" w:rsidRPr="0031342C">
        <w:rPr>
          <w:noProof/>
        </w:rPr>
        <w:t>2</w:t>
      </w:r>
      <w:r w:rsidR="0031342C" w:rsidRPr="00DF3EF6">
        <w:rPr>
          <w:noProof/>
        </w:rPr>
        <w:t xml:space="preserve"> i</w:t>
      </w:r>
      <w:r w:rsidR="0031342C">
        <w:rPr>
          <w:noProof/>
        </w:rPr>
        <w:t> </w:t>
      </w:r>
      <w:r w:rsidR="0031342C" w:rsidRPr="00DF3EF6">
        <w:rPr>
          <w:noProof/>
        </w:rPr>
        <w:t>3</w:t>
      </w:r>
      <w:r w:rsidR="006D0715" w:rsidRPr="00DF3EF6">
        <w:rPr>
          <w:noProof/>
        </w:rPr>
        <w:t xml:space="preserve"> otrzymują brzmienie:</w:t>
      </w:r>
    </w:p>
    <w:p w14:paraId="5CCA4693" w14:textId="69CDE838" w:rsidR="003B6C3F" w:rsidRPr="00DF3EF6" w:rsidRDefault="003B6C3F" w:rsidP="002853EA">
      <w:pPr>
        <w:pStyle w:val="Text1"/>
        <w:rPr>
          <w:noProof/>
        </w:rPr>
      </w:pPr>
      <w:r w:rsidRPr="00DF3EF6">
        <w:rPr>
          <w:noProof/>
        </w:rPr>
        <w:t>„2. Bez uszczerbku dla praw, które mogą przysługiwać systemom gwarancji depozytów na mocy prawa krajowego, systemom gwarancji depozytów dokonującym płatności</w:t>
      </w:r>
      <w:r w:rsidR="0031342C" w:rsidRPr="00DF3EF6">
        <w:rPr>
          <w:noProof/>
        </w:rPr>
        <w:t xml:space="preserve"> z</w:t>
      </w:r>
      <w:r w:rsidR="0031342C">
        <w:rPr>
          <w:noProof/>
        </w:rPr>
        <w:t> </w:t>
      </w:r>
      <w:r w:rsidR="0031342C" w:rsidRPr="00DF3EF6">
        <w:rPr>
          <w:noProof/>
        </w:rPr>
        <w:t>tyt</w:t>
      </w:r>
      <w:r w:rsidRPr="00DF3EF6">
        <w:rPr>
          <w:noProof/>
        </w:rPr>
        <w:t>ułu gwarancji</w:t>
      </w:r>
      <w:r w:rsidR="0031342C" w:rsidRPr="00DF3EF6">
        <w:rPr>
          <w:noProof/>
        </w:rPr>
        <w:t xml:space="preserve"> w</w:t>
      </w:r>
      <w:r w:rsidR="0031342C">
        <w:rPr>
          <w:noProof/>
        </w:rPr>
        <w:t> </w:t>
      </w:r>
      <w:r w:rsidR="0031342C" w:rsidRPr="00DF3EF6">
        <w:rPr>
          <w:noProof/>
        </w:rPr>
        <w:t>ram</w:t>
      </w:r>
      <w:r w:rsidRPr="00DF3EF6">
        <w:rPr>
          <w:noProof/>
        </w:rPr>
        <w:t>ach systemów krajowych przysługuje,</w:t>
      </w:r>
      <w:r w:rsidR="0031342C" w:rsidRPr="00DF3EF6">
        <w:rPr>
          <w:noProof/>
        </w:rPr>
        <w:t xml:space="preserve"> w</w:t>
      </w:r>
      <w:r w:rsidR="0031342C">
        <w:rPr>
          <w:noProof/>
        </w:rPr>
        <w:t> </w:t>
      </w:r>
      <w:r w:rsidR="0031342C" w:rsidRPr="00DF3EF6">
        <w:rPr>
          <w:noProof/>
        </w:rPr>
        <w:t>ram</w:t>
      </w:r>
      <w:r w:rsidRPr="00DF3EF6">
        <w:rPr>
          <w:noProof/>
        </w:rPr>
        <w:t>ach postępowania likwidacyjnego lub reorganizacyjnego, prawo do wstąpienia</w:t>
      </w:r>
      <w:r w:rsidR="0031342C" w:rsidRPr="00DF3EF6">
        <w:rPr>
          <w:noProof/>
        </w:rPr>
        <w:t xml:space="preserve"> w</w:t>
      </w:r>
      <w:r w:rsidR="0031342C">
        <w:rPr>
          <w:noProof/>
        </w:rPr>
        <w:t> </w:t>
      </w:r>
      <w:r w:rsidR="0031342C" w:rsidRPr="00DF3EF6">
        <w:rPr>
          <w:noProof/>
        </w:rPr>
        <w:t>pra</w:t>
      </w:r>
      <w:r w:rsidRPr="00DF3EF6">
        <w:rPr>
          <w:noProof/>
        </w:rPr>
        <w:t>wa deponentów na kwotę równą płatnościom dokonanym przez nie na rzecz deponentów. Systemom gwarancji depozytów wnoszącym wkład</w:t>
      </w:r>
      <w:r w:rsidR="0031342C" w:rsidRPr="00DF3EF6">
        <w:rPr>
          <w:noProof/>
        </w:rPr>
        <w:t xml:space="preserve"> w</w:t>
      </w:r>
      <w:r w:rsidR="0031342C">
        <w:rPr>
          <w:noProof/>
        </w:rPr>
        <w:t> </w:t>
      </w:r>
      <w:r w:rsidR="0031342C" w:rsidRPr="00DF3EF6">
        <w:rPr>
          <w:noProof/>
        </w:rPr>
        <w:t>kon</w:t>
      </w:r>
      <w:r w:rsidRPr="00DF3EF6">
        <w:rPr>
          <w:noProof/>
        </w:rPr>
        <w:t>tekście instrumentów restrukturyzacji</w:t>
      </w:r>
      <w:r w:rsidR="0031342C" w:rsidRPr="00DF3EF6">
        <w:rPr>
          <w:noProof/>
        </w:rPr>
        <w:t xml:space="preserve"> i</w:t>
      </w:r>
      <w:r w:rsidR="0031342C">
        <w:rPr>
          <w:noProof/>
        </w:rPr>
        <w:t> </w:t>
      </w:r>
      <w:r w:rsidR="0031342C" w:rsidRPr="00DF3EF6">
        <w:rPr>
          <w:noProof/>
        </w:rPr>
        <w:t>upo</w:t>
      </w:r>
      <w:r w:rsidRPr="00DF3EF6">
        <w:rPr>
          <w:noProof/>
        </w:rPr>
        <w:t>rządkowanej likwidacji,</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3</w:t>
      </w:r>
      <w:r w:rsidRPr="00DF3EF6">
        <w:rPr>
          <w:noProof/>
        </w:rPr>
        <w:t xml:space="preserve">7 </w:t>
      </w:r>
      <w:r w:rsidRPr="0031342C">
        <w:rPr>
          <w:noProof/>
        </w:rPr>
        <w:t>ust.</w:t>
      </w:r>
      <w:r w:rsidR="0031342C" w:rsidRPr="0031342C">
        <w:rPr>
          <w:noProof/>
        </w:rPr>
        <w:t> </w:t>
      </w:r>
      <w:r w:rsidRPr="0031342C">
        <w:rPr>
          <w:noProof/>
        </w:rPr>
        <w:t>3</w:t>
      </w:r>
      <w:r w:rsidRPr="00DF3EF6">
        <w:rPr>
          <w:noProof/>
        </w:rPr>
        <w:t xml:space="preserve"> </w:t>
      </w:r>
      <w:r w:rsidRPr="0031342C">
        <w:rPr>
          <w:noProof/>
        </w:rPr>
        <w:t>lit.</w:t>
      </w:r>
      <w:r w:rsidR="0031342C" w:rsidRPr="0031342C">
        <w:rPr>
          <w:noProof/>
        </w:rPr>
        <w:t> </w:t>
      </w:r>
      <w:r w:rsidRPr="0031342C">
        <w:rPr>
          <w:noProof/>
        </w:rPr>
        <w:t>a)</w:t>
      </w:r>
      <w:r w:rsidRPr="00DF3EF6">
        <w:rPr>
          <w:noProof/>
        </w:rPr>
        <w:t xml:space="preserve"> lub b) dyrektywy 2014/59/UE, lub</w:t>
      </w:r>
      <w:r w:rsidR="0031342C" w:rsidRPr="00DF3EF6">
        <w:rPr>
          <w:noProof/>
        </w:rPr>
        <w:t xml:space="preserve"> w</w:t>
      </w:r>
      <w:r w:rsidR="0031342C">
        <w:rPr>
          <w:noProof/>
        </w:rPr>
        <w:t> </w:t>
      </w:r>
      <w:r w:rsidR="0031342C" w:rsidRPr="00DF3EF6">
        <w:rPr>
          <w:noProof/>
        </w:rPr>
        <w:t>kon</w:t>
      </w:r>
      <w:r w:rsidRPr="00DF3EF6">
        <w:rPr>
          <w:noProof/>
        </w:rPr>
        <w:t>tekście środków wprowadzonych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5</w:t>
      </w:r>
      <w:r w:rsidRPr="00DF3EF6">
        <w:rPr>
          <w:noProof/>
        </w:rPr>
        <w:t xml:space="preserve"> niniejszej dyrektywy przysługuje roszczenie wobec pozostałej części instytucji kredytowej</w:t>
      </w:r>
      <w:r w:rsidR="0031342C" w:rsidRPr="00DF3EF6">
        <w:rPr>
          <w:noProof/>
        </w:rPr>
        <w:t xml:space="preserve"> z</w:t>
      </w:r>
      <w:r w:rsidR="0031342C">
        <w:rPr>
          <w:noProof/>
        </w:rPr>
        <w:t> </w:t>
      </w:r>
      <w:r w:rsidR="0031342C" w:rsidRPr="00DF3EF6">
        <w:rPr>
          <w:noProof/>
        </w:rPr>
        <w:t>tyt</w:t>
      </w:r>
      <w:r w:rsidRPr="00DF3EF6">
        <w:rPr>
          <w:noProof/>
        </w:rPr>
        <w:t>ułu wszelkich strat poniesionych</w:t>
      </w:r>
      <w:r w:rsidR="0031342C" w:rsidRPr="00DF3EF6">
        <w:rPr>
          <w:noProof/>
        </w:rPr>
        <w:t xml:space="preserve"> w</w:t>
      </w:r>
      <w:r w:rsidR="0031342C">
        <w:rPr>
          <w:noProof/>
        </w:rPr>
        <w:t> </w:t>
      </w:r>
      <w:r w:rsidR="0031342C" w:rsidRPr="00DF3EF6">
        <w:rPr>
          <w:noProof/>
        </w:rPr>
        <w:t>wyn</w:t>
      </w:r>
      <w:r w:rsidRPr="00DF3EF6">
        <w:rPr>
          <w:noProof/>
        </w:rPr>
        <w:t>iku wszelkich wkładów wniesionych na rzecz restrukturyzacji</w:t>
      </w:r>
      <w:r w:rsidR="0031342C" w:rsidRPr="00DF3EF6">
        <w:rPr>
          <w:noProof/>
        </w:rPr>
        <w:t xml:space="preserve"> i</w:t>
      </w:r>
      <w:r w:rsidR="0031342C">
        <w:rPr>
          <w:noProof/>
        </w:rPr>
        <w:t> </w:t>
      </w:r>
      <w:r w:rsidR="0031342C" w:rsidRPr="00DF3EF6">
        <w:rPr>
          <w:noProof/>
        </w:rPr>
        <w:t>upo</w:t>
      </w:r>
      <w:r w:rsidRPr="00DF3EF6">
        <w:rPr>
          <w:noProof/>
        </w:rPr>
        <w:t xml:space="preserve">rządkowanej likwidacji na podstawie </w:t>
      </w:r>
      <w:r w:rsidRPr="0031342C">
        <w:rPr>
          <w:noProof/>
        </w:rPr>
        <w:t>art.</w:t>
      </w:r>
      <w:r w:rsidR="0031342C" w:rsidRPr="0031342C">
        <w:rPr>
          <w:noProof/>
        </w:rPr>
        <w:t> </w:t>
      </w:r>
      <w:r w:rsidRPr="0031342C">
        <w:rPr>
          <w:noProof/>
        </w:rPr>
        <w:t>1</w:t>
      </w:r>
      <w:r w:rsidRPr="00DF3EF6">
        <w:rPr>
          <w:noProof/>
        </w:rPr>
        <w:t xml:space="preserve">09 dyrektywy 2014/59/UE lub na rzecz transferu dokonanego na podstawie </w:t>
      </w:r>
      <w:r w:rsidRPr="0031342C">
        <w:rPr>
          <w:noProof/>
        </w:rPr>
        <w:t>art.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5</w:t>
      </w:r>
      <w:r w:rsidRPr="00DF3EF6">
        <w:rPr>
          <w:noProof/>
        </w:rPr>
        <w:t xml:space="preserve"> niniejszej dyrektywy</w:t>
      </w:r>
      <w:r w:rsidR="0031342C" w:rsidRPr="00DF3EF6">
        <w:rPr>
          <w:noProof/>
        </w:rPr>
        <w:t xml:space="preserve"> w</w:t>
      </w:r>
      <w:r w:rsidR="0031342C">
        <w:rPr>
          <w:noProof/>
        </w:rPr>
        <w:t> </w:t>
      </w:r>
      <w:r w:rsidR="0031342C" w:rsidRPr="00DF3EF6">
        <w:rPr>
          <w:noProof/>
        </w:rPr>
        <w:t>zwi</w:t>
      </w:r>
      <w:r w:rsidRPr="00DF3EF6">
        <w:rPr>
          <w:noProof/>
        </w:rPr>
        <w:t>ązku ze stratami, które</w:t>
      </w:r>
      <w:r w:rsidR="0031342C" w:rsidRPr="00DF3EF6">
        <w:rPr>
          <w:noProof/>
        </w:rPr>
        <w:t xml:space="preserve"> w</w:t>
      </w:r>
      <w:r w:rsidR="0031342C">
        <w:rPr>
          <w:noProof/>
        </w:rPr>
        <w:t> </w:t>
      </w:r>
      <w:r w:rsidR="0031342C" w:rsidRPr="00DF3EF6">
        <w:rPr>
          <w:noProof/>
        </w:rPr>
        <w:t>prz</w:t>
      </w:r>
      <w:r w:rsidRPr="00DF3EF6">
        <w:rPr>
          <w:noProof/>
        </w:rPr>
        <w:t>eciwnym wypadku zostałyby poniesione przez deponentów. Roszczenie to ma taki sam stopień uprzywilejowania, jaki przysługuje depozytom na mocy przepisów prawa krajowego regulujących standardowe postępowanie upadłościowe.</w:t>
      </w:r>
    </w:p>
    <w:p w14:paraId="5702541C" w14:textId="4ACDD0DD" w:rsidR="003B6C3F" w:rsidRPr="00DF3EF6" w:rsidRDefault="00220583" w:rsidP="002853EA">
      <w:pPr>
        <w:pStyle w:val="Text1"/>
        <w:rPr>
          <w:noProof/>
        </w:rPr>
      </w:pPr>
      <w:r w:rsidRPr="00DF3EF6">
        <w:rPr>
          <w:noProof/>
        </w:rPr>
        <w:t>3. Państwa członkowskie zapewniają, aby deponenci, których depozyty nie zostały wypłacone lub uznane przez system gwarancji depozytów</w:t>
      </w:r>
      <w:r w:rsidR="0031342C" w:rsidRPr="00DF3EF6">
        <w:rPr>
          <w:noProof/>
        </w:rPr>
        <w:t xml:space="preserve"> w</w:t>
      </w:r>
      <w:r w:rsidR="0031342C">
        <w:rPr>
          <w:noProof/>
        </w:rPr>
        <w:t> </w:t>
      </w:r>
      <w:r w:rsidR="0031342C" w:rsidRPr="00DF3EF6">
        <w:rPr>
          <w:noProof/>
        </w:rPr>
        <w:t>ter</w:t>
      </w:r>
      <w:r w:rsidRPr="00DF3EF6">
        <w:rPr>
          <w:noProof/>
        </w:rPr>
        <w:t>minach określonych</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8</w:t>
      </w:r>
      <w:r w:rsidRPr="00DF3EF6">
        <w:rPr>
          <w:noProof/>
        </w:rPr>
        <w:t xml:space="preserve"> </w:t>
      </w:r>
      <w:r w:rsidRPr="0031342C">
        <w:rPr>
          <w:noProof/>
        </w:rPr>
        <w:t>ust.</w:t>
      </w:r>
      <w:r w:rsidR="0031342C" w:rsidRPr="0031342C">
        <w:rPr>
          <w:noProof/>
        </w:rPr>
        <w:t> </w:t>
      </w:r>
      <w:r w:rsidRPr="0031342C">
        <w:rPr>
          <w:noProof/>
        </w:rPr>
        <w:t>1</w:t>
      </w:r>
      <w:r w:rsidR="0031342C" w:rsidRPr="00DF3EF6">
        <w:rPr>
          <w:noProof/>
        </w:rPr>
        <w:t xml:space="preserve"> i</w:t>
      </w:r>
      <w:r w:rsidR="0031342C">
        <w:rPr>
          <w:noProof/>
        </w:rPr>
        <w:t> </w:t>
      </w:r>
      <w:r w:rsidR="0031342C" w:rsidRPr="00DF3EF6">
        <w:rPr>
          <w:noProof/>
        </w:rPr>
        <w:t>3</w:t>
      </w:r>
      <w:r w:rsidRPr="00DF3EF6">
        <w:rPr>
          <w:noProof/>
        </w:rPr>
        <w:t>, mogli dochodzić roszczeń</w:t>
      </w:r>
      <w:r w:rsidR="0031342C" w:rsidRPr="00DF3EF6">
        <w:rPr>
          <w:noProof/>
        </w:rPr>
        <w:t xml:space="preserve"> o</w:t>
      </w:r>
      <w:r w:rsidR="0031342C">
        <w:rPr>
          <w:noProof/>
        </w:rPr>
        <w:t> </w:t>
      </w:r>
      <w:r w:rsidR="0031342C" w:rsidRPr="00DF3EF6">
        <w:rPr>
          <w:noProof/>
        </w:rPr>
        <w:t>wyp</w:t>
      </w:r>
      <w:r w:rsidRPr="00DF3EF6">
        <w:rPr>
          <w:noProof/>
        </w:rPr>
        <w:t>łatę ich depozytów przez okres 5 lat.”;</w:t>
      </w:r>
    </w:p>
    <w:p w14:paraId="0F61A6CB" w14:textId="559779C1" w:rsidR="00DA5653" w:rsidRPr="00DF3EF6" w:rsidRDefault="00DF3EF6" w:rsidP="00DF3EF6">
      <w:pPr>
        <w:pStyle w:val="Point0"/>
        <w:rPr>
          <w:noProof/>
        </w:rPr>
      </w:pPr>
      <w:r>
        <w:rPr>
          <w:noProof/>
        </w:rPr>
        <w:t>11)</w:t>
      </w:r>
      <w:r>
        <w:rPr>
          <w:noProof/>
        </w:rPr>
        <w:tab/>
      </w:r>
      <w:r w:rsidR="00DA5653" w:rsidRPr="00DF3EF6">
        <w:rPr>
          <w:noProof/>
        </w:rPr>
        <w:t xml:space="preserve">w </w:t>
      </w:r>
      <w:r w:rsidR="00DA5653" w:rsidRPr="0031342C">
        <w:rPr>
          <w:noProof/>
        </w:rPr>
        <w:t>art.</w:t>
      </w:r>
      <w:r w:rsidR="0031342C" w:rsidRPr="0031342C">
        <w:rPr>
          <w:noProof/>
        </w:rPr>
        <w:t> </w:t>
      </w:r>
      <w:r w:rsidR="00DA5653" w:rsidRPr="0031342C">
        <w:rPr>
          <w:noProof/>
        </w:rPr>
        <w:t>1</w:t>
      </w:r>
      <w:r w:rsidR="00DA5653" w:rsidRPr="00DF3EF6">
        <w:rPr>
          <w:noProof/>
        </w:rPr>
        <w:t>0 wprowadza się następujące zmiany:</w:t>
      </w:r>
    </w:p>
    <w:p w14:paraId="30486D73" w14:textId="7C912C4A" w:rsidR="00DA5653" w:rsidRPr="00DF3EF6" w:rsidRDefault="00DF3EF6" w:rsidP="00DF3EF6">
      <w:pPr>
        <w:pStyle w:val="Point1"/>
        <w:rPr>
          <w:noProof/>
        </w:rPr>
      </w:pPr>
      <w:r>
        <w:rPr>
          <w:noProof/>
        </w:rPr>
        <w:t>a)</w:t>
      </w:r>
      <w:r>
        <w:rPr>
          <w:noProof/>
        </w:rPr>
        <w:tab/>
      </w:r>
      <w:r w:rsidR="00DA5653" w:rsidRPr="00DF3EF6">
        <w:rPr>
          <w:noProof/>
        </w:rPr>
        <w:t xml:space="preserve">w </w:t>
      </w:r>
      <w:r w:rsidR="00DA5653" w:rsidRPr="0031342C">
        <w:rPr>
          <w:noProof/>
        </w:rPr>
        <w:t>ust.</w:t>
      </w:r>
      <w:r w:rsidR="0031342C" w:rsidRPr="0031342C">
        <w:rPr>
          <w:noProof/>
        </w:rPr>
        <w:t> </w:t>
      </w:r>
      <w:r w:rsidR="00DA5653" w:rsidRPr="0031342C">
        <w:rPr>
          <w:noProof/>
        </w:rPr>
        <w:t>2</w:t>
      </w:r>
      <w:r w:rsidR="00DA5653" w:rsidRPr="00DF3EF6">
        <w:rPr>
          <w:noProof/>
        </w:rPr>
        <w:t xml:space="preserve"> wprowadza się następujące zmiany:</w:t>
      </w:r>
    </w:p>
    <w:p w14:paraId="659B94FD" w14:textId="58FF520A" w:rsidR="00220583" w:rsidRPr="00DF3EF6" w:rsidRDefault="00220583" w:rsidP="000E3924">
      <w:pPr>
        <w:pStyle w:val="Point2"/>
        <w:rPr>
          <w:noProof/>
        </w:rPr>
      </w:pPr>
      <w:r w:rsidRPr="00DF3EF6">
        <w:rPr>
          <w:noProof/>
        </w:rPr>
        <w:t>(i)</w:t>
      </w:r>
      <w:r w:rsidRPr="00DF3EF6">
        <w:rPr>
          <w:noProof/>
        </w:rPr>
        <w:tab/>
        <w:t>po akapicie pierwszym dodaje się akapity</w:t>
      </w:r>
      <w:r w:rsidR="0031342C" w:rsidRPr="00DF3EF6">
        <w:rPr>
          <w:noProof/>
        </w:rPr>
        <w:t xml:space="preserve"> w</w:t>
      </w:r>
      <w:r w:rsidR="0031342C">
        <w:rPr>
          <w:noProof/>
        </w:rPr>
        <w:t> </w:t>
      </w:r>
      <w:r w:rsidR="0031342C" w:rsidRPr="00DF3EF6">
        <w:rPr>
          <w:noProof/>
        </w:rPr>
        <w:t>brz</w:t>
      </w:r>
      <w:r w:rsidRPr="00DF3EF6">
        <w:rPr>
          <w:noProof/>
        </w:rPr>
        <w:t>mieniu:</w:t>
      </w:r>
    </w:p>
    <w:p w14:paraId="1CAFA14D" w14:textId="15A270BB" w:rsidR="00DA5653" w:rsidRPr="00DF3EF6" w:rsidRDefault="00DA5653" w:rsidP="000E3924">
      <w:pPr>
        <w:pStyle w:val="Text3"/>
        <w:rPr>
          <w:noProof/>
        </w:rPr>
      </w:pPr>
      <w:r w:rsidRPr="00DF3EF6">
        <w:rPr>
          <w:noProof/>
        </w:rPr>
        <w:t>„Okresem odniesienia do celów obliczenia poziomu docelowego,</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DF3EF6">
        <w:rPr>
          <w:noProof/>
        </w:rPr>
        <w:t>aka</w:t>
      </w:r>
      <w:r w:rsidRPr="00DF3EF6">
        <w:rPr>
          <w:noProof/>
        </w:rPr>
        <w:t xml:space="preserve">picie pierwszym, jest okres między dniem 31 grudnia poprzedzającym datę, do której poziom docelowy ma zostać osiągnięty, a tą datą. </w:t>
      </w:r>
    </w:p>
    <w:p w14:paraId="18CBD653" w14:textId="68F93774" w:rsidR="00DA5653" w:rsidRPr="00DF3EF6" w:rsidRDefault="00220583" w:rsidP="000E3924">
      <w:pPr>
        <w:pStyle w:val="Text3"/>
        <w:rPr>
          <w:noProof/>
        </w:rPr>
      </w:pPr>
      <w:r w:rsidRPr="00DF3EF6">
        <w:rPr>
          <w:noProof/>
        </w:rPr>
        <w:t>Przy ustalaniu, czy system gwarancji depozytów osiągnął poziom docelowy, państwa członkowskie biorą pod uwagę wyłącznie dostępne środki finansowe bezpośrednio wniesione przez członków danego systemu gwarancji depozytów lub od nich odzyskane, po odliczeniu opłat</w:t>
      </w:r>
      <w:r w:rsidR="0031342C" w:rsidRPr="00DF3EF6">
        <w:rPr>
          <w:noProof/>
        </w:rPr>
        <w:t xml:space="preserve"> i</w:t>
      </w:r>
      <w:r w:rsidR="0031342C">
        <w:rPr>
          <w:noProof/>
        </w:rPr>
        <w:t> </w:t>
      </w:r>
      <w:r w:rsidR="0031342C" w:rsidRPr="00DF3EF6">
        <w:rPr>
          <w:noProof/>
        </w:rPr>
        <w:t>nal</w:t>
      </w:r>
      <w:r w:rsidRPr="00DF3EF6">
        <w:rPr>
          <w:noProof/>
        </w:rPr>
        <w:t>eżności administracyjnych. Takie dostępne środki finansowe obejmują przychody inwestycyjne, których źródłem są środki wniesione przez członków systemu gwarancji depozytów, ale nie obejmują wypłat, wobec których kwalifikujący się deponenci nie zgłosili roszczeń</w:t>
      </w:r>
      <w:r w:rsidR="0031342C" w:rsidRPr="00DF3EF6">
        <w:rPr>
          <w:noProof/>
        </w:rPr>
        <w:t xml:space="preserve"> w</w:t>
      </w:r>
      <w:r w:rsidR="0031342C">
        <w:rPr>
          <w:noProof/>
        </w:rPr>
        <w:t> </w:t>
      </w:r>
      <w:r w:rsidR="0031342C" w:rsidRPr="00DF3EF6">
        <w:rPr>
          <w:noProof/>
        </w:rPr>
        <w:t>tok</w:t>
      </w:r>
      <w:r w:rsidRPr="00DF3EF6">
        <w:rPr>
          <w:noProof/>
        </w:rPr>
        <w:t xml:space="preserve">u </w:t>
      </w:r>
      <w:r w:rsidRPr="00DF3EF6">
        <w:rPr>
          <w:noProof/>
        </w:rPr>
        <w:lastRenderedPageBreak/>
        <w:t>trwających wypłat, ani pożyczek między systemami gwarancji depozytów.”;</w:t>
      </w:r>
    </w:p>
    <w:p w14:paraId="5EE9EF57" w14:textId="77777777" w:rsidR="00DA5653" w:rsidRPr="00DF3EF6" w:rsidRDefault="00FA00B9" w:rsidP="00FA00B9">
      <w:pPr>
        <w:pStyle w:val="Point2"/>
        <w:rPr>
          <w:noProof/>
        </w:rPr>
      </w:pPr>
      <w:r w:rsidRPr="00DF3EF6">
        <w:rPr>
          <w:noProof/>
        </w:rPr>
        <w:t>(ii)</w:t>
      </w:r>
      <w:r w:rsidRPr="00DF3EF6">
        <w:rPr>
          <w:noProof/>
        </w:rPr>
        <w:tab/>
        <w:t>akapit trzeci otrzymuje brzmienie:</w:t>
      </w:r>
    </w:p>
    <w:p w14:paraId="4F8FB77E" w14:textId="68776F09" w:rsidR="00DA5653" w:rsidRPr="00DF3EF6" w:rsidRDefault="00DA5653" w:rsidP="00FA00B9">
      <w:pPr>
        <w:pStyle w:val="Text3"/>
        <w:rPr>
          <w:noProof/>
        </w:rPr>
      </w:pPr>
      <w:r w:rsidRPr="00DF3EF6">
        <w:rPr>
          <w:noProof/>
        </w:rPr>
        <w:t>„Jeżeli po pierwszym osiągnięciu poziomu docelowego,</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DF3EF6">
        <w:rPr>
          <w:noProof/>
        </w:rPr>
        <w:t>aka</w:t>
      </w:r>
      <w:r w:rsidRPr="00DF3EF6">
        <w:rPr>
          <w:noProof/>
        </w:rPr>
        <w:t>picie pierwszym, poziom dostępnych środków finansowych – po wypłacie środków</w:t>
      </w:r>
      <w:r w:rsidR="0031342C" w:rsidRPr="00DF3EF6">
        <w:rPr>
          <w:noProof/>
        </w:rPr>
        <w:t xml:space="preserve"> z</w:t>
      </w:r>
      <w:r w:rsidR="0031342C">
        <w:rPr>
          <w:noProof/>
        </w:rPr>
        <w:t> </w:t>
      </w:r>
      <w:r w:rsidR="0031342C" w:rsidRPr="00DF3EF6">
        <w:rPr>
          <w:noProof/>
        </w:rPr>
        <w:t>sys</w:t>
      </w:r>
      <w:r w:rsidRPr="00DF3EF6">
        <w:rPr>
          <w:noProof/>
        </w:rPr>
        <w:t>temu gwarancji depozytów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8</w:t>
      </w:r>
      <w:r w:rsidRPr="00DF3EF6">
        <w:rPr>
          <w:noProof/>
        </w:rPr>
        <w:t xml:space="preserve"> </w:t>
      </w:r>
      <w:r w:rsidRPr="0031342C">
        <w:rPr>
          <w:noProof/>
        </w:rPr>
        <w:t>ust.</w:t>
      </w:r>
      <w:r w:rsidR="0031342C" w:rsidRPr="0031342C">
        <w:rPr>
          <w:noProof/>
        </w:rPr>
        <w:t> </w:t>
      </w:r>
      <w:r w:rsidRPr="0031342C">
        <w:rPr>
          <w:noProof/>
        </w:rPr>
        <w:t>1</w:t>
      </w:r>
      <w:r w:rsidR="0031342C" w:rsidRPr="00DF3EF6">
        <w:rPr>
          <w:noProof/>
        </w:rPr>
        <w:t xml:space="preserve"> i</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2</w:t>
      </w:r>
      <w:r w:rsidRPr="00DF3EF6">
        <w:rPr>
          <w:noProof/>
        </w:rPr>
        <w:t>, 3</w:t>
      </w:r>
      <w:r w:rsidR="0031342C" w:rsidRPr="00DF3EF6">
        <w:rPr>
          <w:noProof/>
        </w:rPr>
        <w:t xml:space="preserve"> i</w:t>
      </w:r>
      <w:r w:rsidR="0031342C">
        <w:rPr>
          <w:noProof/>
        </w:rPr>
        <w:t> </w:t>
      </w:r>
      <w:r w:rsidR="0031342C" w:rsidRPr="00DF3EF6">
        <w:rPr>
          <w:noProof/>
        </w:rPr>
        <w:t>5</w:t>
      </w:r>
      <w:r w:rsidRPr="00DF3EF6">
        <w:rPr>
          <w:noProof/>
        </w:rPr>
        <w:t xml:space="preserve"> – spadnie poniżej dwóch trzecich poziomu docelowego, systemy gwarancji depozytów ustalają stałą składkę na poziomie umożliwiającym osiągnięcie poziomu docelowego</w:t>
      </w:r>
      <w:r w:rsidR="0031342C" w:rsidRPr="00DF3EF6">
        <w:rPr>
          <w:noProof/>
        </w:rPr>
        <w:t xml:space="preserve"> w</w:t>
      </w:r>
      <w:r w:rsidR="0031342C">
        <w:rPr>
          <w:noProof/>
        </w:rPr>
        <w:t> </w:t>
      </w:r>
      <w:r w:rsidR="0031342C" w:rsidRPr="00DF3EF6">
        <w:rPr>
          <w:noProof/>
        </w:rPr>
        <w:t>cią</w:t>
      </w:r>
      <w:r w:rsidRPr="00DF3EF6">
        <w:rPr>
          <w:noProof/>
        </w:rPr>
        <w:t>gu 6 lat.”;</w:t>
      </w:r>
    </w:p>
    <w:p w14:paraId="577F4346" w14:textId="6C827FCF" w:rsidR="00DA5653" w:rsidRPr="00DF3EF6" w:rsidRDefault="00DF3EF6" w:rsidP="00DF3EF6">
      <w:pPr>
        <w:pStyle w:val="Point1"/>
        <w:rPr>
          <w:noProof/>
        </w:rPr>
      </w:pPr>
      <w:r>
        <w:rPr>
          <w:noProof/>
        </w:rPr>
        <w:t>b)</w:t>
      </w:r>
      <w:r>
        <w:rPr>
          <w:noProof/>
        </w:rPr>
        <w:tab/>
      </w:r>
      <w:r w:rsidR="00077CEB" w:rsidRPr="0031342C">
        <w:rPr>
          <w:noProof/>
        </w:rPr>
        <w:t>ust.</w:t>
      </w:r>
      <w:r w:rsidR="0031342C" w:rsidRPr="0031342C">
        <w:rPr>
          <w:noProof/>
        </w:rPr>
        <w:t> </w:t>
      </w:r>
      <w:r w:rsidR="00077CEB" w:rsidRPr="0031342C">
        <w:rPr>
          <w:noProof/>
        </w:rPr>
        <w:t>3</w:t>
      </w:r>
      <w:r w:rsidR="00077CEB" w:rsidRPr="00DF3EF6">
        <w:rPr>
          <w:noProof/>
        </w:rPr>
        <w:t xml:space="preserve"> otrzymuje brzmienie:</w:t>
      </w:r>
    </w:p>
    <w:p w14:paraId="4844C0DA" w14:textId="6A3FD41D" w:rsidR="00786AA2" w:rsidRPr="00DF3EF6" w:rsidRDefault="00DA5653" w:rsidP="005C50FF">
      <w:pPr>
        <w:pStyle w:val="Text2"/>
        <w:rPr>
          <w:noProof/>
        </w:rPr>
      </w:pPr>
      <w:r w:rsidRPr="00DF3EF6">
        <w:rPr>
          <w:noProof/>
        </w:rPr>
        <w:t>„3. Dostępne środki finansowe, które system gwarancji depozytów uwzględnia do celów osiągnięcia poziomu docelowego,</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2</w:t>
      </w:r>
      <w:r w:rsidRPr="00DF3EF6">
        <w:rPr>
          <w:noProof/>
        </w:rPr>
        <w:t>, mogą obejmować zobowiązania do zapłaty. Całkowity udział takich zobowiązań do zapłaty nie może przekraczać 3</w:t>
      </w:r>
      <w:r w:rsidRPr="0031342C">
        <w:rPr>
          <w:noProof/>
        </w:rPr>
        <w:t>0</w:t>
      </w:r>
      <w:r w:rsidR="0031342C" w:rsidRPr="0031342C">
        <w:rPr>
          <w:noProof/>
        </w:rPr>
        <w:t> </w:t>
      </w:r>
      <w:r w:rsidRPr="0031342C">
        <w:rPr>
          <w:noProof/>
        </w:rPr>
        <w:t>%</w:t>
      </w:r>
      <w:r w:rsidRPr="00DF3EF6">
        <w:rPr>
          <w:noProof/>
        </w:rPr>
        <w:t xml:space="preserve"> całkowitej kwoty dostępnych środków finansowych pozyskanych zgodnie</w:t>
      </w:r>
      <w:r w:rsidR="0031342C" w:rsidRPr="00DF3EF6">
        <w:rPr>
          <w:noProof/>
        </w:rPr>
        <w:t xml:space="preserve"> z</w:t>
      </w:r>
      <w:r w:rsidR="0031342C">
        <w:rPr>
          <w:noProof/>
        </w:rPr>
        <w:t> </w:t>
      </w:r>
      <w:r w:rsidR="0031342C" w:rsidRPr="0031342C">
        <w:rPr>
          <w:noProof/>
        </w:rPr>
        <w:t>ust</w:t>
      </w:r>
      <w:r w:rsidRPr="0031342C">
        <w:rPr>
          <w:noProof/>
        </w:rPr>
        <w:t>.</w:t>
      </w:r>
      <w:r w:rsidR="0031342C" w:rsidRPr="0031342C">
        <w:rPr>
          <w:noProof/>
        </w:rPr>
        <w:t> </w:t>
      </w:r>
      <w:r w:rsidRPr="0031342C">
        <w:rPr>
          <w:noProof/>
        </w:rPr>
        <w:t>2</w:t>
      </w:r>
      <w:r w:rsidRPr="00DF3EF6">
        <w:rPr>
          <w:noProof/>
        </w:rPr>
        <w:t xml:space="preserve">. </w:t>
      </w:r>
    </w:p>
    <w:p w14:paraId="10A73EAB" w14:textId="0D61D194" w:rsidR="00DA5653" w:rsidRPr="00DF3EF6" w:rsidRDefault="00077CEB" w:rsidP="005C50FF">
      <w:pPr>
        <w:pStyle w:val="Text2"/>
        <w:rPr>
          <w:noProof/>
        </w:rPr>
      </w:pPr>
      <w:r w:rsidRPr="00DF3EF6">
        <w:rPr>
          <w:noProof/>
        </w:rPr>
        <w:t>EUNB wydaje wytyczne dotyczące zobowiązań do zapłaty,</w:t>
      </w:r>
      <w:r w:rsidR="0031342C" w:rsidRPr="00DF3EF6">
        <w:rPr>
          <w:noProof/>
        </w:rPr>
        <w:t xml:space="preserve"> w</w:t>
      </w:r>
      <w:r w:rsidR="0031342C">
        <w:rPr>
          <w:noProof/>
        </w:rPr>
        <w:t> </w:t>
      </w:r>
      <w:r w:rsidR="0031342C" w:rsidRPr="00DF3EF6">
        <w:rPr>
          <w:noProof/>
        </w:rPr>
        <w:t>któ</w:t>
      </w:r>
      <w:r w:rsidRPr="00DF3EF6">
        <w:rPr>
          <w:noProof/>
        </w:rPr>
        <w:t>rych to wytycznych określa kryteria dopuszczalności tych zobowiązań.”;</w:t>
      </w:r>
    </w:p>
    <w:p w14:paraId="7B1BE6EE" w14:textId="09AFBA1D" w:rsidR="00DA5653" w:rsidRPr="00DF3EF6" w:rsidRDefault="00DF3EF6" w:rsidP="00DF3EF6">
      <w:pPr>
        <w:pStyle w:val="Point1"/>
        <w:rPr>
          <w:noProof/>
        </w:rPr>
      </w:pPr>
      <w:r>
        <w:rPr>
          <w:noProof/>
        </w:rPr>
        <w:t>c)</w:t>
      </w:r>
      <w:r>
        <w:rPr>
          <w:noProof/>
        </w:rPr>
        <w:tab/>
      </w:r>
      <w:r w:rsidR="00DA5653" w:rsidRPr="00DF3EF6">
        <w:rPr>
          <w:noProof/>
        </w:rPr>
        <w:t xml:space="preserve">uchyla się </w:t>
      </w:r>
      <w:r w:rsidR="00DA5653" w:rsidRPr="0031342C">
        <w:rPr>
          <w:noProof/>
        </w:rPr>
        <w:t>ust.</w:t>
      </w:r>
      <w:r w:rsidR="0031342C" w:rsidRPr="0031342C">
        <w:rPr>
          <w:noProof/>
        </w:rPr>
        <w:t> </w:t>
      </w:r>
      <w:r w:rsidR="00DA5653" w:rsidRPr="0031342C">
        <w:rPr>
          <w:noProof/>
        </w:rPr>
        <w:t>4</w:t>
      </w:r>
      <w:r w:rsidR="00DA5653" w:rsidRPr="00DF3EF6">
        <w:rPr>
          <w:noProof/>
        </w:rPr>
        <w:t xml:space="preserve">; </w:t>
      </w:r>
    </w:p>
    <w:p w14:paraId="78773D3B" w14:textId="147174DA" w:rsidR="00DA5653" w:rsidRPr="00DF3EF6" w:rsidRDefault="00DF3EF6" w:rsidP="00DF3EF6">
      <w:pPr>
        <w:pStyle w:val="Point1"/>
        <w:rPr>
          <w:noProof/>
        </w:rPr>
      </w:pPr>
      <w:r>
        <w:rPr>
          <w:noProof/>
        </w:rPr>
        <w:t>d)</w:t>
      </w:r>
      <w:r>
        <w:rPr>
          <w:noProof/>
        </w:rPr>
        <w:tab/>
      </w:r>
      <w:r w:rsidR="00DA5653" w:rsidRPr="0031342C">
        <w:rPr>
          <w:noProof/>
        </w:rPr>
        <w:t>ust.</w:t>
      </w:r>
      <w:r w:rsidR="0031342C" w:rsidRPr="0031342C">
        <w:rPr>
          <w:noProof/>
        </w:rPr>
        <w:t> </w:t>
      </w:r>
      <w:r w:rsidR="00DA5653" w:rsidRPr="0031342C">
        <w:rPr>
          <w:noProof/>
        </w:rPr>
        <w:t>7</w:t>
      </w:r>
      <w:r w:rsidR="00DA5653" w:rsidRPr="00DF3EF6">
        <w:rPr>
          <w:noProof/>
        </w:rPr>
        <w:t xml:space="preserve"> otrzymuje brzmienie:</w:t>
      </w:r>
    </w:p>
    <w:p w14:paraId="1174FB8B" w14:textId="3DF1ABD9" w:rsidR="00DA5653" w:rsidRPr="00DF3EF6" w:rsidRDefault="00DA5653" w:rsidP="005C50FF">
      <w:pPr>
        <w:pStyle w:val="Text2"/>
        <w:rPr>
          <w:noProof/>
        </w:rPr>
      </w:pPr>
      <w:r w:rsidRPr="00DF3EF6">
        <w:rPr>
          <w:noProof/>
        </w:rPr>
        <w:t>„7. Państwo członkowskie zapewniają, aby systemy gwarancji depozytów, wyznaczone organy lub właściwe organy określiły strategię inwestycyjną dla dostępnych środków finansowych systemów gwarancji depozytów oraz aby ta strategia inwestycyjna była zgodna</w:t>
      </w:r>
      <w:r w:rsidR="0031342C" w:rsidRPr="00DF3EF6">
        <w:rPr>
          <w:noProof/>
        </w:rPr>
        <w:t xml:space="preserve"> z</w:t>
      </w:r>
      <w:r w:rsidR="0031342C">
        <w:rPr>
          <w:noProof/>
        </w:rPr>
        <w:t> </w:t>
      </w:r>
      <w:r w:rsidR="0031342C" w:rsidRPr="00DF3EF6">
        <w:rPr>
          <w:noProof/>
        </w:rPr>
        <w:t>zas</w:t>
      </w:r>
      <w:r w:rsidRPr="00DF3EF6">
        <w:rPr>
          <w:noProof/>
        </w:rPr>
        <w:t>adą dywersyfikacji</w:t>
      </w:r>
      <w:r w:rsidR="0031342C" w:rsidRPr="00DF3EF6">
        <w:rPr>
          <w:noProof/>
        </w:rPr>
        <w:t xml:space="preserve"> i</w:t>
      </w:r>
      <w:r w:rsidR="0031342C">
        <w:rPr>
          <w:noProof/>
        </w:rPr>
        <w:t> </w:t>
      </w:r>
      <w:r w:rsidR="0031342C" w:rsidRPr="00DF3EF6">
        <w:rPr>
          <w:noProof/>
        </w:rPr>
        <w:t>inw</w:t>
      </w:r>
      <w:r w:rsidRPr="00DF3EF6">
        <w:rPr>
          <w:noProof/>
        </w:rPr>
        <w:t>estycji</w:t>
      </w:r>
      <w:r w:rsidR="0031342C" w:rsidRPr="00DF3EF6">
        <w:rPr>
          <w:noProof/>
        </w:rPr>
        <w:t xml:space="preserve"> w</w:t>
      </w:r>
      <w:r w:rsidR="0031342C">
        <w:rPr>
          <w:noProof/>
        </w:rPr>
        <w:t> </w:t>
      </w:r>
      <w:r w:rsidR="0031342C" w:rsidRPr="00DF3EF6">
        <w:rPr>
          <w:noProof/>
        </w:rPr>
        <w:t>akt</w:t>
      </w:r>
      <w:r w:rsidRPr="00DF3EF6">
        <w:rPr>
          <w:noProof/>
        </w:rPr>
        <w:t>ywa</w:t>
      </w:r>
      <w:r w:rsidR="0031342C" w:rsidRPr="00DF3EF6">
        <w:rPr>
          <w:noProof/>
        </w:rPr>
        <w:t xml:space="preserve"> o</w:t>
      </w:r>
      <w:r w:rsidR="0031342C">
        <w:rPr>
          <w:noProof/>
        </w:rPr>
        <w:t> </w:t>
      </w:r>
      <w:r w:rsidR="0031342C" w:rsidRPr="00DF3EF6">
        <w:rPr>
          <w:noProof/>
        </w:rPr>
        <w:t>nis</w:t>
      </w:r>
      <w:r w:rsidRPr="00DF3EF6">
        <w:rPr>
          <w:noProof/>
        </w:rPr>
        <w:t>kim ryzyku.”;</w:t>
      </w:r>
    </w:p>
    <w:p w14:paraId="4FE2C7C1" w14:textId="0A88176E" w:rsidR="00DA5653" w:rsidRPr="00DF3EF6" w:rsidRDefault="00DF3EF6" w:rsidP="00DF3EF6">
      <w:pPr>
        <w:pStyle w:val="Point1"/>
        <w:rPr>
          <w:noProof/>
        </w:rPr>
      </w:pPr>
      <w:r>
        <w:rPr>
          <w:noProof/>
        </w:rPr>
        <w:t>e)</w:t>
      </w:r>
      <w:r>
        <w:rPr>
          <w:noProof/>
        </w:rPr>
        <w:tab/>
      </w:r>
      <w:r w:rsidR="00B478A6" w:rsidRPr="00DF3EF6">
        <w:rPr>
          <w:noProof/>
        </w:rPr>
        <w:t xml:space="preserve">dodaje się </w:t>
      </w:r>
      <w:r w:rsidR="00B478A6" w:rsidRPr="0031342C">
        <w:rPr>
          <w:noProof/>
        </w:rPr>
        <w:t>ust.</w:t>
      </w:r>
      <w:r w:rsidR="0031342C" w:rsidRPr="0031342C">
        <w:rPr>
          <w:noProof/>
        </w:rPr>
        <w:t> </w:t>
      </w:r>
      <w:r w:rsidR="00B478A6" w:rsidRPr="0031342C">
        <w:rPr>
          <w:noProof/>
        </w:rPr>
        <w:t>7</w:t>
      </w:r>
      <w:r w:rsidR="00B478A6" w:rsidRPr="00DF3EF6">
        <w:rPr>
          <w:noProof/>
        </w:rPr>
        <w:t>a</w:t>
      </w:r>
      <w:r w:rsidR="0031342C" w:rsidRPr="00DF3EF6">
        <w:rPr>
          <w:noProof/>
        </w:rPr>
        <w:t xml:space="preserve"> w</w:t>
      </w:r>
      <w:r w:rsidR="0031342C">
        <w:rPr>
          <w:noProof/>
        </w:rPr>
        <w:t> </w:t>
      </w:r>
      <w:r w:rsidR="0031342C" w:rsidRPr="00DF3EF6">
        <w:rPr>
          <w:noProof/>
        </w:rPr>
        <w:t>brz</w:t>
      </w:r>
      <w:r w:rsidR="00B478A6" w:rsidRPr="00DF3EF6">
        <w:rPr>
          <w:noProof/>
        </w:rPr>
        <w:t>mieniu:</w:t>
      </w:r>
    </w:p>
    <w:p w14:paraId="4A162329" w14:textId="5B3583A7" w:rsidR="00DA5653" w:rsidRPr="00DF3EF6" w:rsidRDefault="00DA5653" w:rsidP="005C50FF">
      <w:pPr>
        <w:pStyle w:val="Text2"/>
        <w:rPr>
          <w:noProof/>
        </w:rPr>
      </w:pPr>
      <w:r w:rsidRPr="00DF3EF6">
        <w:rPr>
          <w:noProof/>
        </w:rPr>
        <w:t>„7a. Państwa członkowskie zapewniają, aby systemy gwarancji depozytów mogły lokować całość lub część swoich dostępnych środków finansowych</w:t>
      </w:r>
      <w:r w:rsidR="0031342C" w:rsidRPr="00DF3EF6">
        <w:rPr>
          <w:noProof/>
        </w:rPr>
        <w:t xml:space="preserve"> w</w:t>
      </w:r>
      <w:r w:rsidR="0031342C">
        <w:rPr>
          <w:noProof/>
        </w:rPr>
        <w:t> </w:t>
      </w:r>
      <w:r w:rsidR="0031342C" w:rsidRPr="00DF3EF6">
        <w:rPr>
          <w:noProof/>
        </w:rPr>
        <w:t>kra</w:t>
      </w:r>
      <w:r w:rsidRPr="00DF3EF6">
        <w:rPr>
          <w:noProof/>
        </w:rPr>
        <w:t>jowym banku centralnym lub</w:t>
      </w:r>
      <w:r w:rsidR="0031342C" w:rsidRPr="00DF3EF6">
        <w:rPr>
          <w:noProof/>
        </w:rPr>
        <w:t xml:space="preserve"> w</w:t>
      </w:r>
      <w:r w:rsidR="0031342C">
        <w:rPr>
          <w:noProof/>
        </w:rPr>
        <w:t> </w:t>
      </w:r>
      <w:r w:rsidR="0031342C" w:rsidRPr="00DF3EF6">
        <w:rPr>
          <w:noProof/>
        </w:rPr>
        <w:t>Ska</w:t>
      </w:r>
      <w:r w:rsidRPr="00DF3EF6">
        <w:rPr>
          <w:noProof/>
        </w:rPr>
        <w:t>rbie Państwa, pod warunkiem że takie dostępne środki finansowe są trzymane na odrębnym rachunku i są łatwo dostępne do wykorzystania przez system gwarancji depozytów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1</w:t>
      </w:r>
      <w:r w:rsidR="0031342C" w:rsidRPr="00DF3EF6">
        <w:rPr>
          <w:noProof/>
        </w:rPr>
        <w:t xml:space="preserve"> i</w:t>
      </w:r>
      <w:r w:rsidR="0031342C">
        <w:rPr>
          <w:noProof/>
        </w:rPr>
        <w:t> </w:t>
      </w:r>
      <w:r w:rsidR="0031342C" w:rsidRPr="00DF3EF6">
        <w:rPr>
          <w:noProof/>
        </w:rPr>
        <w:t>1</w:t>
      </w:r>
      <w:r w:rsidRPr="00DF3EF6">
        <w:rPr>
          <w:noProof/>
        </w:rPr>
        <w:t>2.”;</w:t>
      </w:r>
    </w:p>
    <w:p w14:paraId="4E4FB2E3" w14:textId="793860A6" w:rsidR="00DA5653" w:rsidRPr="00DF3EF6" w:rsidRDefault="00DF3EF6" w:rsidP="00DF3EF6">
      <w:pPr>
        <w:pStyle w:val="Point1"/>
        <w:rPr>
          <w:noProof/>
        </w:rPr>
      </w:pPr>
      <w:r>
        <w:rPr>
          <w:noProof/>
        </w:rPr>
        <w:t>f)</w:t>
      </w:r>
      <w:r>
        <w:rPr>
          <w:noProof/>
        </w:rPr>
        <w:tab/>
      </w:r>
      <w:r w:rsidR="00B478A6" w:rsidRPr="00DF3EF6">
        <w:rPr>
          <w:noProof/>
        </w:rPr>
        <w:t xml:space="preserve">uchyla się </w:t>
      </w:r>
      <w:r w:rsidR="00B478A6" w:rsidRPr="0031342C">
        <w:rPr>
          <w:noProof/>
        </w:rPr>
        <w:t>ust.</w:t>
      </w:r>
      <w:r w:rsidR="0031342C" w:rsidRPr="0031342C">
        <w:rPr>
          <w:noProof/>
        </w:rPr>
        <w:t> </w:t>
      </w:r>
      <w:r w:rsidR="00B478A6" w:rsidRPr="0031342C">
        <w:rPr>
          <w:noProof/>
        </w:rPr>
        <w:t>1</w:t>
      </w:r>
      <w:r w:rsidR="00B478A6" w:rsidRPr="00DF3EF6">
        <w:rPr>
          <w:noProof/>
        </w:rPr>
        <w:t>0;</w:t>
      </w:r>
    </w:p>
    <w:p w14:paraId="628E83E2" w14:textId="5C20E2A5" w:rsidR="00DA5653" w:rsidRPr="00DF3EF6" w:rsidRDefault="00DF3EF6" w:rsidP="00DF3EF6">
      <w:pPr>
        <w:pStyle w:val="Point1"/>
        <w:rPr>
          <w:noProof/>
        </w:rPr>
      </w:pPr>
      <w:r>
        <w:rPr>
          <w:noProof/>
        </w:rPr>
        <w:t>g)</w:t>
      </w:r>
      <w:r>
        <w:rPr>
          <w:noProof/>
        </w:rPr>
        <w:tab/>
      </w:r>
      <w:r w:rsidR="00B478A6" w:rsidRPr="00DF3EF6">
        <w:rPr>
          <w:noProof/>
        </w:rPr>
        <w:t xml:space="preserve">dodaje się </w:t>
      </w:r>
      <w:r w:rsidR="00B478A6" w:rsidRPr="0031342C">
        <w:rPr>
          <w:noProof/>
        </w:rPr>
        <w:t>ust.</w:t>
      </w:r>
      <w:r w:rsidR="0031342C" w:rsidRPr="0031342C">
        <w:rPr>
          <w:noProof/>
        </w:rPr>
        <w:t> </w:t>
      </w:r>
      <w:r w:rsidR="00B478A6" w:rsidRPr="0031342C">
        <w:rPr>
          <w:noProof/>
        </w:rPr>
        <w:t>1</w:t>
      </w:r>
      <w:r w:rsidR="00B478A6" w:rsidRPr="00DF3EF6">
        <w:rPr>
          <w:noProof/>
        </w:rPr>
        <w:t>1, 12</w:t>
      </w:r>
      <w:r w:rsidR="0031342C" w:rsidRPr="00DF3EF6">
        <w:rPr>
          <w:noProof/>
        </w:rPr>
        <w:t xml:space="preserve"> i</w:t>
      </w:r>
      <w:r w:rsidR="0031342C">
        <w:rPr>
          <w:noProof/>
        </w:rPr>
        <w:t> </w:t>
      </w:r>
      <w:r w:rsidR="0031342C" w:rsidRPr="00DF3EF6">
        <w:rPr>
          <w:noProof/>
        </w:rPr>
        <w:t>1</w:t>
      </w:r>
      <w:r w:rsidR="00B478A6" w:rsidRPr="00DF3EF6">
        <w:rPr>
          <w:noProof/>
        </w:rPr>
        <w:t>3</w:t>
      </w:r>
      <w:r w:rsidR="0031342C" w:rsidRPr="00DF3EF6">
        <w:rPr>
          <w:noProof/>
        </w:rPr>
        <w:t xml:space="preserve"> w</w:t>
      </w:r>
      <w:r w:rsidR="0031342C">
        <w:rPr>
          <w:noProof/>
        </w:rPr>
        <w:t> </w:t>
      </w:r>
      <w:r w:rsidR="0031342C" w:rsidRPr="00DF3EF6">
        <w:rPr>
          <w:noProof/>
        </w:rPr>
        <w:t>brz</w:t>
      </w:r>
      <w:r w:rsidR="00B478A6" w:rsidRPr="00DF3EF6">
        <w:rPr>
          <w:noProof/>
        </w:rPr>
        <w:t>mieniu:</w:t>
      </w:r>
    </w:p>
    <w:p w14:paraId="106651A4" w14:textId="607A387B" w:rsidR="002029C7" w:rsidRPr="00DF3EF6" w:rsidRDefault="007C570B" w:rsidP="005C50FF">
      <w:pPr>
        <w:pStyle w:val="Text2"/>
        <w:rPr>
          <w:noProof/>
        </w:rPr>
      </w:pPr>
      <w:r w:rsidRPr="00DF3EF6">
        <w:rPr>
          <w:noProof/>
        </w:rPr>
        <w:t>„11. Państwa członkowskie zapewniają, aby</w:t>
      </w:r>
      <w:r w:rsidR="0031342C" w:rsidRPr="00DF3EF6">
        <w:rPr>
          <w:noProof/>
        </w:rPr>
        <w:t xml:space="preserve"> w</w:t>
      </w:r>
      <w:r w:rsidR="0031342C">
        <w:rPr>
          <w:noProof/>
        </w:rPr>
        <w:t> </w:t>
      </w:r>
      <w:r w:rsidR="0031342C" w:rsidRPr="00DF3EF6">
        <w:rPr>
          <w:noProof/>
        </w:rPr>
        <w:t>kon</w:t>
      </w:r>
      <w:r w:rsidRPr="00DF3EF6">
        <w:rPr>
          <w:noProof/>
        </w:rPr>
        <w:t>tekście środków,</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1</w:t>
      </w:r>
      <w:r w:rsidRPr="00DF3EF6">
        <w:rPr>
          <w:noProof/>
        </w:rPr>
        <w:t>, 2, 3</w:t>
      </w:r>
      <w:r w:rsidR="0031342C" w:rsidRPr="00DF3EF6">
        <w:rPr>
          <w:noProof/>
        </w:rPr>
        <w:t xml:space="preserve"> i</w:t>
      </w:r>
      <w:r w:rsidR="0031342C">
        <w:rPr>
          <w:noProof/>
        </w:rPr>
        <w:t> </w:t>
      </w:r>
      <w:r w:rsidR="0031342C" w:rsidRPr="00DF3EF6">
        <w:rPr>
          <w:noProof/>
        </w:rPr>
        <w:t>5</w:t>
      </w:r>
      <w:r w:rsidRPr="00DF3EF6">
        <w:rPr>
          <w:noProof/>
        </w:rPr>
        <w:t>, systemy gwarancji depozytów mogły wykorzystywać środki finansowe pochodzące</w:t>
      </w:r>
      <w:r w:rsidR="0031342C" w:rsidRPr="00DF3EF6">
        <w:rPr>
          <w:noProof/>
        </w:rPr>
        <w:t xml:space="preserve"> z</w:t>
      </w:r>
      <w:r w:rsidR="0031342C">
        <w:rPr>
          <w:noProof/>
        </w:rPr>
        <w:t> </w:t>
      </w:r>
      <w:r w:rsidR="0031342C" w:rsidRPr="00DF3EF6">
        <w:rPr>
          <w:noProof/>
        </w:rPr>
        <w:t>alt</w:t>
      </w:r>
      <w:r w:rsidRPr="00DF3EF6">
        <w:rPr>
          <w:noProof/>
        </w:rPr>
        <w:t>ernatywnych mechanizmów finansowania,</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0 </w:t>
      </w:r>
      <w:r w:rsidRPr="0031342C">
        <w:rPr>
          <w:noProof/>
        </w:rPr>
        <w:t>ust.</w:t>
      </w:r>
      <w:r w:rsidR="0031342C" w:rsidRPr="0031342C">
        <w:rPr>
          <w:noProof/>
        </w:rPr>
        <w:t> </w:t>
      </w:r>
      <w:r w:rsidRPr="0031342C">
        <w:rPr>
          <w:noProof/>
        </w:rPr>
        <w:t>9</w:t>
      </w:r>
      <w:r w:rsidRPr="00DF3EF6">
        <w:rPr>
          <w:noProof/>
        </w:rPr>
        <w:t>, innych niż finansowanie ze środków publicznych, zanim wykorzystają dostępne środki finansowe</w:t>
      </w:r>
      <w:r w:rsidR="0031342C" w:rsidRPr="00DF3EF6">
        <w:rPr>
          <w:noProof/>
        </w:rPr>
        <w:t xml:space="preserve"> i</w:t>
      </w:r>
      <w:r w:rsidR="0031342C">
        <w:rPr>
          <w:noProof/>
        </w:rPr>
        <w:t> </w:t>
      </w:r>
      <w:r w:rsidR="0031342C" w:rsidRPr="00DF3EF6">
        <w:rPr>
          <w:noProof/>
        </w:rPr>
        <w:t>zan</w:t>
      </w:r>
      <w:r w:rsidRPr="00DF3EF6">
        <w:rPr>
          <w:noProof/>
        </w:rPr>
        <w:t>im dokonają poboru składek nadzwyczajnych,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0 </w:t>
      </w:r>
      <w:r w:rsidRPr="0031342C">
        <w:rPr>
          <w:noProof/>
        </w:rPr>
        <w:t>ust.</w:t>
      </w:r>
      <w:r w:rsidR="0031342C" w:rsidRPr="0031342C">
        <w:rPr>
          <w:noProof/>
        </w:rPr>
        <w:t> </w:t>
      </w:r>
      <w:r w:rsidRPr="0031342C">
        <w:rPr>
          <w:noProof/>
        </w:rPr>
        <w:t>8</w:t>
      </w:r>
      <w:r w:rsidRPr="00DF3EF6">
        <w:rPr>
          <w:noProof/>
        </w:rPr>
        <w:t>. Państwa członkowskie zapewniają, aby systemy gwarancji depozytów wykorzystywały alternatywne mechanizmy finansowania ze środków publicznych jedynie</w:t>
      </w:r>
      <w:r w:rsidR="0031342C" w:rsidRPr="00DF3EF6">
        <w:rPr>
          <w:noProof/>
        </w:rPr>
        <w:t xml:space="preserve"> w</w:t>
      </w:r>
      <w:r w:rsidR="0031342C">
        <w:rPr>
          <w:noProof/>
        </w:rPr>
        <w:t> </w:t>
      </w:r>
      <w:r w:rsidR="0031342C" w:rsidRPr="00DF3EF6">
        <w:rPr>
          <w:noProof/>
        </w:rPr>
        <w:t>ost</w:t>
      </w:r>
      <w:r w:rsidRPr="00DF3EF6">
        <w:rPr>
          <w:noProof/>
        </w:rPr>
        <w:t>ateczności.</w:t>
      </w:r>
    </w:p>
    <w:p w14:paraId="4056C091" w14:textId="08115C21" w:rsidR="00C947D0" w:rsidRPr="00DF3EF6" w:rsidRDefault="00DA5653" w:rsidP="005C50FF">
      <w:pPr>
        <w:pStyle w:val="Text2"/>
        <w:rPr>
          <w:noProof/>
        </w:rPr>
      </w:pPr>
      <w:r w:rsidRPr="00DF3EF6">
        <w:rPr>
          <w:noProof/>
        </w:rPr>
        <w:lastRenderedPageBreak/>
        <w:t>12. EUNB opracowuje projekty regulacyjnych standardów technicznych</w:t>
      </w:r>
      <w:r w:rsidR="0031342C" w:rsidRPr="00DF3EF6">
        <w:rPr>
          <w:noProof/>
        </w:rPr>
        <w:t xml:space="preserve"> w</w:t>
      </w:r>
      <w:r w:rsidR="0031342C">
        <w:rPr>
          <w:noProof/>
        </w:rPr>
        <w:t> </w:t>
      </w:r>
      <w:r w:rsidR="0031342C" w:rsidRPr="00DF3EF6">
        <w:rPr>
          <w:noProof/>
        </w:rPr>
        <w:t>cel</w:t>
      </w:r>
      <w:r w:rsidRPr="00DF3EF6">
        <w:rPr>
          <w:noProof/>
        </w:rPr>
        <w:t>u określenia:</w:t>
      </w:r>
    </w:p>
    <w:p w14:paraId="5B265929" w14:textId="63C7D09C" w:rsidR="00C947D0" w:rsidRPr="00DF3EF6" w:rsidRDefault="00DF3EF6" w:rsidP="00DF3EF6">
      <w:pPr>
        <w:pStyle w:val="Point2"/>
        <w:rPr>
          <w:noProof/>
        </w:rPr>
      </w:pPr>
      <w:r>
        <w:rPr>
          <w:noProof/>
        </w:rPr>
        <w:t>a)</w:t>
      </w:r>
      <w:r>
        <w:rPr>
          <w:noProof/>
        </w:rPr>
        <w:tab/>
      </w:r>
      <w:r w:rsidR="00DA5653" w:rsidRPr="00DF3EF6">
        <w:rPr>
          <w:noProof/>
        </w:rPr>
        <w:t>metodyki obliczania dostępnych środków finansowych kwalifikujących się na poczet osiągniecia poziomu docelowego,</w:t>
      </w:r>
      <w:r w:rsidR="0031342C" w:rsidRPr="00DF3EF6">
        <w:rPr>
          <w:noProof/>
        </w:rPr>
        <w:t xml:space="preserve"> o</w:t>
      </w:r>
      <w:r w:rsidR="0031342C">
        <w:rPr>
          <w:noProof/>
        </w:rPr>
        <w:t> </w:t>
      </w:r>
      <w:r w:rsidR="0031342C" w:rsidRPr="00DF3EF6">
        <w:rPr>
          <w:noProof/>
        </w:rPr>
        <w:t>któ</w:t>
      </w:r>
      <w:r w:rsidR="00DA5653" w:rsidRPr="00DF3EF6">
        <w:rPr>
          <w:noProof/>
        </w:rPr>
        <w:t>rym mowa</w:t>
      </w:r>
      <w:r w:rsidR="0031342C" w:rsidRPr="00DF3EF6">
        <w:rPr>
          <w:noProof/>
        </w:rPr>
        <w:t xml:space="preserve"> w</w:t>
      </w:r>
      <w:r w:rsidR="0031342C">
        <w:rPr>
          <w:noProof/>
        </w:rPr>
        <w:t> </w:t>
      </w:r>
      <w:r w:rsidR="0031342C" w:rsidRPr="0031342C">
        <w:rPr>
          <w:noProof/>
        </w:rPr>
        <w:t>ust</w:t>
      </w:r>
      <w:r w:rsidR="00DA5653" w:rsidRPr="0031342C">
        <w:rPr>
          <w:noProof/>
        </w:rPr>
        <w:t>.</w:t>
      </w:r>
      <w:r w:rsidR="0031342C" w:rsidRPr="0031342C">
        <w:rPr>
          <w:noProof/>
        </w:rPr>
        <w:t> </w:t>
      </w:r>
      <w:r w:rsidR="00DA5653" w:rsidRPr="0031342C">
        <w:rPr>
          <w:noProof/>
        </w:rPr>
        <w:t>2</w:t>
      </w:r>
      <w:r w:rsidR="00DA5653" w:rsidRPr="00DF3EF6">
        <w:rPr>
          <w:noProof/>
        </w:rPr>
        <w:t>,</w:t>
      </w:r>
      <w:r w:rsidR="0031342C" w:rsidRPr="00DF3EF6">
        <w:rPr>
          <w:noProof/>
        </w:rPr>
        <w:t xml:space="preserve"> z</w:t>
      </w:r>
      <w:r w:rsidR="0031342C">
        <w:rPr>
          <w:noProof/>
        </w:rPr>
        <w:t> </w:t>
      </w:r>
      <w:r w:rsidR="0031342C" w:rsidRPr="00DF3EF6">
        <w:rPr>
          <w:noProof/>
        </w:rPr>
        <w:t>uwz</w:t>
      </w:r>
      <w:r w:rsidR="00DA5653" w:rsidRPr="00DF3EF6">
        <w:rPr>
          <w:noProof/>
        </w:rPr>
        <w:t>ględnieniem rozgraniczenia dostępnych środków finansowych systemów gwarancji depozytów</w:t>
      </w:r>
      <w:r w:rsidR="0031342C" w:rsidRPr="00DF3EF6">
        <w:rPr>
          <w:noProof/>
        </w:rPr>
        <w:t xml:space="preserve"> i</w:t>
      </w:r>
      <w:r w:rsidR="0031342C">
        <w:rPr>
          <w:noProof/>
        </w:rPr>
        <w:t> </w:t>
      </w:r>
      <w:r w:rsidR="0031342C" w:rsidRPr="00DF3EF6">
        <w:rPr>
          <w:noProof/>
        </w:rPr>
        <w:t>kat</w:t>
      </w:r>
      <w:r w:rsidR="00DA5653" w:rsidRPr="00DF3EF6">
        <w:rPr>
          <w:noProof/>
        </w:rPr>
        <w:t>egorii dostępnych środków finansowych pochodzących</w:t>
      </w:r>
      <w:r w:rsidR="0031342C" w:rsidRPr="00DF3EF6">
        <w:rPr>
          <w:noProof/>
        </w:rPr>
        <w:t xml:space="preserve"> z</w:t>
      </w:r>
      <w:r w:rsidR="0031342C">
        <w:rPr>
          <w:noProof/>
        </w:rPr>
        <w:t> </w:t>
      </w:r>
      <w:r w:rsidR="0031342C" w:rsidRPr="00DF3EF6">
        <w:rPr>
          <w:noProof/>
        </w:rPr>
        <w:t>wni</w:t>
      </w:r>
      <w:r w:rsidR="00DA5653" w:rsidRPr="00DF3EF6">
        <w:rPr>
          <w:noProof/>
        </w:rPr>
        <w:t>esionych środków;</w:t>
      </w:r>
    </w:p>
    <w:p w14:paraId="6937559B" w14:textId="35270ED8" w:rsidR="00DA5653" w:rsidRPr="00DF3EF6" w:rsidRDefault="00DF3EF6" w:rsidP="00DF3EF6">
      <w:pPr>
        <w:pStyle w:val="Point2"/>
        <w:rPr>
          <w:noProof/>
        </w:rPr>
      </w:pPr>
      <w:r>
        <w:rPr>
          <w:noProof/>
        </w:rPr>
        <w:t>b)</w:t>
      </w:r>
      <w:r>
        <w:rPr>
          <w:noProof/>
        </w:rPr>
        <w:tab/>
      </w:r>
      <w:r w:rsidR="00DA5653" w:rsidRPr="00DF3EF6">
        <w:rPr>
          <w:noProof/>
        </w:rPr>
        <w:t>szczegółów procesu stosowanego</w:t>
      </w:r>
      <w:r w:rsidR="0031342C" w:rsidRPr="00DF3EF6">
        <w:rPr>
          <w:noProof/>
        </w:rPr>
        <w:t xml:space="preserve"> w</w:t>
      </w:r>
      <w:r w:rsidR="0031342C">
        <w:rPr>
          <w:noProof/>
        </w:rPr>
        <w:t> </w:t>
      </w:r>
      <w:r w:rsidR="0031342C" w:rsidRPr="00DF3EF6">
        <w:rPr>
          <w:noProof/>
        </w:rPr>
        <w:t>cel</w:t>
      </w:r>
      <w:r w:rsidR="00DA5653" w:rsidRPr="00DF3EF6">
        <w:rPr>
          <w:noProof/>
        </w:rPr>
        <w:t>u osiągnięcia poziomu docelowego,</w:t>
      </w:r>
      <w:r w:rsidR="0031342C" w:rsidRPr="00DF3EF6">
        <w:rPr>
          <w:noProof/>
        </w:rPr>
        <w:t xml:space="preserve"> o</w:t>
      </w:r>
      <w:r w:rsidR="0031342C">
        <w:rPr>
          <w:noProof/>
        </w:rPr>
        <w:t> </w:t>
      </w:r>
      <w:r w:rsidR="0031342C" w:rsidRPr="00DF3EF6">
        <w:rPr>
          <w:noProof/>
        </w:rPr>
        <w:t>któ</w:t>
      </w:r>
      <w:r w:rsidR="00DA5653" w:rsidRPr="00DF3EF6">
        <w:rPr>
          <w:noProof/>
        </w:rPr>
        <w:t>rym mowa</w:t>
      </w:r>
      <w:r w:rsidR="0031342C" w:rsidRPr="00DF3EF6">
        <w:rPr>
          <w:noProof/>
        </w:rPr>
        <w:t xml:space="preserve"> w</w:t>
      </w:r>
      <w:r w:rsidR="0031342C">
        <w:rPr>
          <w:noProof/>
        </w:rPr>
        <w:t> </w:t>
      </w:r>
      <w:r w:rsidR="0031342C" w:rsidRPr="0031342C">
        <w:rPr>
          <w:noProof/>
        </w:rPr>
        <w:t>ust</w:t>
      </w:r>
      <w:r w:rsidR="00DA5653" w:rsidRPr="0031342C">
        <w:rPr>
          <w:noProof/>
        </w:rPr>
        <w:t>.</w:t>
      </w:r>
      <w:r w:rsidR="0031342C" w:rsidRPr="0031342C">
        <w:rPr>
          <w:noProof/>
        </w:rPr>
        <w:t> </w:t>
      </w:r>
      <w:r w:rsidR="00DA5653" w:rsidRPr="0031342C">
        <w:rPr>
          <w:noProof/>
        </w:rPr>
        <w:t>2</w:t>
      </w:r>
      <w:r w:rsidR="00DA5653" w:rsidRPr="00DF3EF6">
        <w:rPr>
          <w:noProof/>
        </w:rPr>
        <w:t>, po wykorzystaniu przez system gwarancji depozytów dostępnych środków finansowych zgodnie</w:t>
      </w:r>
      <w:r w:rsidR="0031342C" w:rsidRPr="00DF3EF6">
        <w:rPr>
          <w:noProof/>
        </w:rPr>
        <w:t xml:space="preserve"> z</w:t>
      </w:r>
      <w:r w:rsidR="0031342C">
        <w:rPr>
          <w:noProof/>
        </w:rPr>
        <w:t> </w:t>
      </w:r>
      <w:r w:rsidR="0031342C" w:rsidRPr="0031342C">
        <w:rPr>
          <w:noProof/>
        </w:rPr>
        <w:t>art</w:t>
      </w:r>
      <w:r w:rsidR="00DA5653" w:rsidRPr="0031342C">
        <w:rPr>
          <w:noProof/>
        </w:rPr>
        <w:t>.</w:t>
      </w:r>
      <w:r w:rsidR="0031342C" w:rsidRPr="0031342C">
        <w:rPr>
          <w:noProof/>
        </w:rPr>
        <w:t> </w:t>
      </w:r>
      <w:r w:rsidR="00DA5653" w:rsidRPr="0031342C">
        <w:rPr>
          <w:noProof/>
        </w:rPr>
        <w:t>1</w:t>
      </w:r>
      <w:r w:rsidR="00DA5653" w:rsidRPr="00DF3EF6">
        <w:rPr>
          <w:noProof/>
        </w:rPr>
        <w:t>1.</w:t>
      </w:r>
    </w:p>
    <w:p w14:paraId="0ADC01BD" w14:textId="568A442D" w:rsidR="00DA5653" w:rsidRPr="00DF3EF6" w:rsidRDefault="00DA5653" w:rsidP="005C50FF">
      <w:pPr>
        <w:pStyle w:val="Text2"/>
        <w:rPr>
          <w:noProof/>
        </w:rPr>
      </w:pPr>
      <w:r w:rsidRPr="00DF3EF6">
        <w:rPr>
          <w:noProof/>
        </w:rPr>
        <w:t>EUNB przedstawia Komisji te projekty regulacyjnych standardów technicznych do dnia [Urząd Publikacji: proszę wstawić datę = 24 miesiące od daty wejścia</w:t>
      </w:r>
      <w:r w:rsidR="0031342C" w:rsidRPr="00DF3EF6">
        <w:rPr>
          <w:noProof/>
        </w:rPr>
        <w:t xml:space="preserve"> w</w:t>
      </w:r>
      <w:r w:rsidR="0031342C">
        <w:rPr>
          <w:noProof/>
        </w:rPr>
        <w:t> </w:t>
      </w:r>
      <w:r w:rsidR="0031342C" w:rsidRPr="00DF3EF6">
        <w:rPr>
          <w:noProof/>
        </w:rPr>
        <w:t>życ</w:t>
      </w:r>
      <w:r w:rsidRPr="00DF3EF6">
        <w:rPr>
          <w:noProof/>
        </w:rPr>
        <w:t>ie niniejszej dyrektywy] r.</w:t>
      </w:r>
    </w:p>
    <w:p w14:paraId="353B6EC0" w14:textId="252D70F3" w:rsidR="00DA5653" w:rsidRPr="00DF3EF6" w:rsidRDefault="004A2331" w:rsidP="005C50FF">
      <w:pPr>
        <w:pStyle w:val="Text2"/>
        <w:rPr>
          <w:noProof/>
        </w:rPr>
      </w:pPr>
      <w:r w:rsidRPr="00DF3EF6">
        <w:rPr>
          <w:noProof/>
        </w:rPr>
        <w:t>Komisja jest uprawniona do uzupełnienia niniejszej dyrektywy poprzez przyjęcie regulacyjnych standardów technicznych,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DF3EF6">
        <w:rPr>
          <w:noProof/>
        </w:rPr>
        <w:t>aka</w:t>
      </w:r>
      <w:r w:rsidRPr="00DF3EF6">
        <w:rPr>
          <w:noProof/>
        </w:rPr>
        <w:t>picie pierwszym,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0–14 rozporządzenia (UE) </w:t>
      </w:r>
      <w:r w:rsidRPr="0031342C">
        <w:rPr>
          <w:noProof/>
        </w:rPr>
        <w:t>nr</w:t>
      </w:r>
      <w:r w:rsidR="0031342C" w:rsidRPr="0031342C">
        <w:rPr>
          <w:noProof/>
        </w:rPr>
        <w:t> </w:t>
      </w:r>
      <w:r w:rsidRPr="0031342C">
        <w:rPr>
          <w:noProof/>
        </w:rPr>
        <w:t>1</w:t>
      </w:r>
      <w:r w:rsidRPr="00DF3EF6">
        <w:rPr>
          <w:noProof/>
        </w:rPr>
        <w:t>093/2010.</w:t>
      </w:r>
    </w:p>
    <w:p w14:paraId="44149357" w14:textId="6A661EA3" w:rsidR="00DA5653" w:rsidRPr="00DF3EF6" w:rsidRDefault="00DA5653" w:rsidP="005C50FF">
      <w:pPr>
        <w:pStyle w:val="Text2"/>
        <w:rPr>
          <w:noProof/>
        </w:rPr>
      </w:pPr>
      <w:r w:rsidRPr="00DF3EF6">
        <w:rPr>
          <w:noProof/>
        </w:rPr>
        <w:t>13. Do dnia ... [Urząd Publikacji – proszę wstawić datę = 24 miesiące od daty wejścia</w:t>
      </w:r>
      <w:r w:rsidR="0031342C" w:rsidRPr="00DF3EF6">
        <w:rPr>
          <w:noProof/>
        </w:rPr>
        <w:t xml:space="preserve"> w</w:t>
      </w:r>
      <w:r w:rsidR="0031342C">
        <w:rPr>
          <w:noProof/>
        </w:rPr>
        <w:t> </w:t>
      </w:r>
      <w:r w:rsidR="0031342C" w:rsidRPr="00DF3EF6">
        <w:rPr>
          <w:noProof/>
        </w:rPr>
        <w:t>życ</w:t>
      </w:r>
      <w:r w:rsidRPr="00DF3EF6">
        <w:rPr>
          <w:noProof/>
        </w:rPr>
        <w:t>ie niniejszej dyrektywy] r. EUNB opracuje wytyczne mające pomóc systemom gwarancji depozytów</w:t>
      </w:r>
      <w:r w:rsidR="0031342C" w:rsidRPr="00DF3EF6">
        <w:rPr>
          <w:noProof/>
        </w:rPr>
        <w:t xml:space="preserve"> w</w:t>
      </w:r>
      <w:r w:rsidR="0031342C">
        <w:rPr>
          <w:noProof/>
        </w:rPr>
        <w:t> </w:t>
      </w:r>
      <w:r w:rsidR="0031342C" w:rsidRPr="00DF3EF6">
        <w:rPr>
          <w:noProof/>
        </w:rPr>
        <w:t>dyw</w:t>
      </w:r>
      <w:r w:rsidRPr="00DF3EF6">
        <w:rPr>
          <w:noProof/>
        </w:rPr>
        <w:t>ersyfikacji dostępnych środków finansowych oraz wskazujące możliwości dokonywania przez systemy gwarancji depozytów inwestycji</w:t>
      </w:r>
      <w:r w:rsidR="0031342C" w:rsidRPr="00DF3EF6">
        <w:rPr>
          <w:noProof/>
        </w:rPr>
        <w:t xml:space="preserve"> w</w:t>
      </w:r>
      <w:r w:rsidR="0031342C">
        <w:rPr>
          <w:noProof/>
        </w:rPr>
        <w:t> </w:t>
      </w:r>
      <w:r w:rsidR="0031342C" w:rsidRPr="00DF3EF6">
        <w:rPr>
          <w:noProof/>
        </w:rPr>
        <w:t>akt</w:t>
      </w:r>
      <w:r w:rsidRPr="00DF3EF6">
        <w:rPr>
          <w:noProof/>
        </w:rPr>
        <w:t>ywa</w:t>
      </w:r>
      <w:r w:rsidR="0031342C" w:rsidRPr="00DF3EF6">
        <w:rPr>
          <w:noProof/>
        </w:rPr>
        <w:t xml:space="preserve"> o</w:t>
      </w:r>
      <w:r w:rsidR="0031342C">
        <w:rPr>
          <w:noProof/>
        </w:rPr>
        <w:t> </w:t>
      </w:r>
      <w:r w:rsidR="0031342C" w:rsidRPr="00DF3EF6">
        <w:rPr>
          <w:noProof/>
        </w:rPr>
        <w:t>nis</w:t>
      </w:r>
      <w:r w:rsidRPr="00DF3EF6">
        <w:rPr>
          <w:noProof/>
        </w:rPr>
        <w:t>kim ryzyku</w:t>
      </w:r>
      <w:r w:rsidR="0031342C" w:rsidRPr="00DF3EF6">
        <w:rPr>
          <w:noProof/>
        </w:rPr>
        <w:t xml:space="preserve"> z</w:t>
      </w:r>
      <w:r w:rsidR="0031342C">
        <w:rPr>
          <w:noProof/>
        </w:rPr>
        <w:t> </w:t>
      </w:r>
      <w:r w:rsidR="0031342C" w:rsidRPr="00DF3EF6">
        <w:rPr>
          <w:noProof/>
        </w:rPr>
        <w:t>wyk</w:t>
      </w:r>
      <w:r w:rsidRPr="00DF3EF6">
        <w:rPr>
          <w:noProof/>
        </w:rPr>
        <w:t>orzystaniem ich dostępnych środków finansowych.”;</w:t>
      </w:r>
    </w:p>
    <w:p w14:paraId="64655768" w14:textId="4FA8B7F9" w:rsidR="00DA5653" w:rsidRPr="00DF3EF6" w:rsidRDefault="00DF3EF6" w:rsidP="00DF3EF6">
      <w:pPr>
        <w:pStyle w:val="Point0"/>
        <w:rPr>
          <w:noProof/>
        </w:rPr>
      </w:pPr>
      <w:r>
        <w:rPr>
          <w:noProof/>
        </w:rPr>
        <w:t>12)</w:t>
      </w:r>
      <w:r>
        <w:rPr>
          <w:noProof/>
        </w:rPr>
        <w:tab/>
      </w:r>
      <w:r w:rsidR="00DA5653" w:rsidRPr="0031342C">
        <w:rPr>
          <w:noProof/>
        </w:rPr>
        <w:t>art.</w:t>
      </w:r>
      <w:r w:rsidR="0031342C" w:rsidRPr="0031342C">
        <w:rPr>
          <w:noProof/>
        </w:rPr>
        <w:t> </w:t>
      </w:r>
      <w:r w:rsidR="00DA5653" w:rsidRPr="0031342C">
        <w:rPr>
          <w:noProof/>
        </w:rPr>
        <w:t>1</w:t>
      </w:r>
      <w:r w:rsidR="00DA5653" w:rsidRPr="00DF3EF6">
        <w:rPr>
          <w:noProof/>
        </w:rPr>
        <w:t>1 otrzymuje brzmienie:</w:t>
      </w:r>
    </w:p>
    <w:p w14:paraId="1ED712B7" w14:textId="77777777" w:rsidR="0035057D" w:rsidRPr="00DF3EF6" w:rsidRDefault="0035057D" w:rsidP="0035057D">
      <w:pPr>
        <w:pStyle w:val="Text1"/>
        <w:jc w:val="center"/>
        <w:rPr>
          <w:i/>
          <w:noProof/>
        </w:rPr>
      </w:pPr>
      <w:r w:rsidRPr="00DF3EF6">
        <w:rPr>
          <w:noProof/>
        </w:rPr>
        <w:t>„</w:t>
      </w:r>
      <w:r w:rsidRPr="00DF3EF6">
        <w:rPr>
          <w:i/>
          <w:noProof/>
        </w:rPr>
        <w:t>Artykuł 11</w:t>
      </w:r>
    </w:p>
    <w:p w14:paraId="3BF5B978" w14:textId="77777777" w:rsidR="0035057D" w:rsidRPr="00DF3EF6" w:rsidRDefault="0035057D" w:rsidP="0035057D">
      <w:pPr>
        <w:pStyle w:val="Text1"/>
        <w:jc w:val="center"/>
        <w:rPr>
          <w:b/>
          <w:noProof/>
        </w:rPr>
      </w:pPr>
      <w:r w:rsidRPr="00DF3EF6">
        <w:rPr>
          <w:b/>
          <w:noProof/>
        </w:rPr>
        <w:t>Wykorzystanie środków finansowych</w:t>
      </w:r>
    </w:p>
    <w:p w14:paraId="5CD8F2E7" w14:textId="2C42AF2F" w:rsidR="0035057D" w:rsidRPr="00DF3EF6" w:rsidRDefault="322264F0" w:rsidP="004F6011">
      <w:pPr>
        <w:pStyle w:val="Text1"/>
        <w:rPr>
          <w:noProof/>
        </w:rPr>
      </w:pPr>
      <w:r w:rsidRPr="00DF3EF6">
        <w:rPr>
          <w:noProof/>
        </w:rPr>
        <w:t>1. Państwa członkowskie zapewniają, aby systemy gwarancji depozytów wykorzystywały dostępne środki finansowe,</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0, głównie do dokonywania wypłat na rzecz deponentów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8</w:t>
      </w:r>
      <w:r w:rsidRPr="00DF3EF6">
        <w:rPr>
          <w:noProof/>
        </w:rPr>
        <w:t xml:space="preserve"> bez uszczerbku dla możliwości wykorzystania dodatkowych środków finansowych zgromadzonych przez systemy gwarancji depozytów na potrzeby realizacji zadań innych niż ochrona deponentów na podstawie niniejszej dyrektywy. </w:t>
      </w:r>
    </w:p>
    <w:p w14:paraId="09EB7E9C" w14:textId="16AAEDDD" w:rsidR="0035057D" w:rsidRPr="00DF3EF6" w:rsidRDefault="0035057D" w:rsidP="00D90C65">
      <w:pPr>
        <w:pStyle w:val="Text1"/>
        <w:rPr>
          <w:noProof/>
        </w:rPr>
      </w:pPr>
      <w:r w:rsidRPr="00DF3EF6">
        <w:rPr>
          <w:noProof/>
        </w:rPr>
        <w:t>2. Państwa członkowskie zapewniają, aby systemy gwarancji depozytów wykorzystywały dostępne środki finansowe do finansowania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instytucji kredytowych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09 dyrektywy 2014/59/UE. Państwa członkowskie zapewniają, aby organy ds.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ustalały kwotę wkładu systemu gwarancji depozytów</w:t>
      </w:r>
      <w:r w:rsidR="0031342C" w:rsidRPr="00DF3EF6">
        <w:rPr>
          <w:noProof/>
        </w:rPr>
        <w:t xml:space="preserve"> w</w:t>
      </w:r>
      <w:r w:rsidR="0031342C">
        <w:rPr>
          <w:noProof/>
        </w:rPr>
        <w:t> </w:t>
      </w:r>
      <w:r w:rsidR="0031342C" w:rsidRPr="00DF3EF6">
        <w:rPr>
          <w:noProof/>
        </w:rPr>
        <w:t>fin</w:t>
      </w:r>
      <w:r w:rsidRPr="00DF3EF6">
        <w:rPr>
          <w:noProof/>
        </w:rPr>
        <w:t>ansowanie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instytucji kredytowych po przeprowadzeniu przez te organy konsultacji</w:t>
      </w:r>
      <w:r w:rsidR="0031342C" w:rsidRPr="00DF3EF6">
        <w:rPr>
          <w:noProof/>
        </w:rPr>
        <w:t xml:space="preserve"> z</w:t>
      </w:r>
      <w:r w:rsidR="0031342C">
        <w:rPr>
          <w:noProof/>
        </w:rPr>
        <w:t> </w:t>
      </w:r>
      <w:r w:rsidR="0031342C" w:rsidRPr="00DF3EF6">
        <w:rPr>
          <w:noProof/>
        </w:rPr>
        <w:t>dan</w:t>
      </w:r>
      <w:r w:rsidRPr="00DF3EF6">
        <w:rPr>
          <w:noProof/>
        </w:rPr>
        <w:t>ym systemem gwarancji depozytów</w:t>
      </w:r>
      <w:r w:rsidR="0031342C" w:rsidRPr="00DF3EF6">
        <w:rPr>
          <w:noProof/>
        </w:rPr>
        <w:t xml:space="preserve"> w</w:t>
      </w:r>
      <w:r w:rsidR="0031342C">
        <w:rPr>
          <w:noProof/>
        </w:rPr>
        <w:t> </w:t>
      </w:r>
      <w:r w:rsidR="0031342C" w:rsidRPr="00DF3EF6">
        <w:rPr>
          <w:noProof/>
        </w:rPr>
        <w:t>spr</w:t>
      </w:r>
      <w:r w:rsidRPr="00DF3EF6">
        <w:rPr>
          <w:noProof/>
        </w:rPr>
        <w:t>awie wyników testu najniższego kosztu,</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1e niniejszej dyrektywy.</w:t>
      </w:r>
    </w:p>
    <w:p w14:paraId="2A64CF5C" w14:textId="081DDF5D" w:rsidR="00AC3AFA" w:rsidRPr="00DF3EF6" w:rsidRDefault="0035057D" w:rsidP="00D90C65">
      <w:pPr>
        <w:pStyle w:val="Text1"/>
        <w:rPr>
          <w:noProof/>
        </w:rPr>
      </w:pPr>
      <w:r w:rsidRPr="00DF3EF6">
        <w:rPr>
          <w:noProof/>
        </w:rPr>
        <w:t>3. Państwa członkowskie mogą zezwolić systemom gwarancji depozytów na wykorzystanie dostępnych środków finansowych na potrzeby środków zapobiegawczych,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1a, na rzecz instytucji kredytowej, jeżeli spełnione są wszystkie poniższe warunki:</w:t>
      </w:r>
    </w:p>
    <w:p w14:paraId="7873C819" w14:textId="4446F70F" w:rsidR="00AC3AFA" w:rsidRPr="00DF3EF6" w:rsidRDefault="00DF3EF6" w:rsidP="00DF3EF6">
      <w:pPr>
        <w:pStyle w:val="Point1"/>
        <w:rPr>
          <w:noProof/>
        </w:rPr>
      </w:pPr>
      <w:r>
        <w:rPr>
          <w:noProof/>
        </w:rPr>
        <w:lastRenderedPageBreak/>
        <w:t>a)</w:t>
      </w:r>
      <w:r>
        <w:rPr>
          <w:noProof/>
        </w:rPr>
        <w:tab/>
      </w:r>
      <w:r w:rsidR="0035057D" w:rsidRPr="00DF3EF6">
        <w:rPr>
          <w:noProof/>
        </w:rPr>
        <w:t>nie zachodzą żadne</w:t>
      </w:r>
      <w:r w:rsidR="0031342C" w:rsidRPr="00DF3EF6">
        <w:rPr>
          <w:noProof/>
        </w:rPr>
        <w:t xml:space="preserve"> z</w:t>
      </w:r>
      <w:r w:rsidR="0031342C">
        <w:rPr>
          <w:noProof/>
        </w:rPr>
        <w:t> </w:t>
      </w:r>
      <w:r w:rsidR="0031342C" w:rsidRPr="00DF3EF6">
        <w:rPr>
          <w:noProof/>
        </w:rPr>
        <w:t>oko</w:t>
      </w:r>
      <w:r w:rsidR="0035057D" w:rsidRPr="00DF3EF6">
        <w:rPr>
          <w:noProof/>
        </w:rPr>
        <w:t>liczności,</w:t>
      </w:r>
      <w:r w:rsidR="0031342C" w:rsidRPr="00DF3EF6">
        <w:rPr>
          <w:noProof/>
        </w:rPr>
        <w:t xml:space="preserve"> o</w:t>
      </w:r>
      <w:r w:rsidR="0031342C">
        <w:rPr>
          <w:noProof/>
        </w:rPr>
        <w:t> </w:t>
      </w:r>
      <w:r w:rsidR="0031342C" w:rsidRPr="00DF3EF6">
        <w:rPr>
          <w:noProof/>
        </w:rPr>
        <w:t>któ</w:t>
      </w:r>
      <w:r w:rsidR="0035057D" w:rsidRPr="00DF3EF6">
        <w:rPr>
          <w:noProof/>
        </w:rPr>
        <w:t>rych mowa</w:t>
      </w:r>
      <w:r w:rsidR="0031342C" w:rsidRPr="00DF3EF6">
        <w:rPr>
          <w:noProof/>
        </w:rPr>
        <w:t xml:space="preserve"> w</w:t>
      </w:r>
      <w:r w:rsidR="0031342C">
        <w:rPr>
          <w:noProof/>
        </w:rPr>
        <w:t> </w:t>
      </w:r>
      <w:r w:rsidR="0031342C" w:rsidRPr="0031342C">
        <w:rPr>
          <w:noProof/>
        </w:rPr>
        <w:t>art</w:t>
      </w:r>
      <w:r w:rsidR="0035057D" w:rsidRPr="0031342C">
        <w:rPr>
          <w:noProof/>
        </w:rPr>
        <w:t>.</w:t>
      </w:r>
      <w:r w:rsidR="0031342C" w:rsidRPr="0031342C">
        <w:rPr>
          <w:noProof/>
        </w:rPr>
        <w:t> </w:t>
      </w:r>
      <w:r w:rsidR="0035057D" w:rsidRPr="0031342C">
        <w:rPr>
          <w:noProof/>
        </w:rPr>
        <w:t>3</w:t>
      </w:r>
      <w:r w:rsidR="0035057D" w:rsidRPr="00DF3EF6">
        <w:rPr>
          <w:noProof/>
        </w:rPr>
        <w:t xml:space="preserve">2 </w:t>
      </w:r>
      <w:r w:rsidR="0035057D" w:rsidRPr="0031342C">
        <w:rPr>
          <w:noProof/>
        </w:rPr>
        <w:t>ust.</w:t>
      </w:r>
      <w:r w:rsidR="0031342C" w:rsidRPr="0031342C">
        <w:rPr>
          <w:noProof/>
        </w:rPr>
        <w:t> </w:t>
      </w:r>
      <w:r w:rsidR="0035057D" w:rsidRPr="0031342C">
        <w:rPr>
          <w:noProof/>
        </w:rPr>
        <w:t>4</w:t>
      </w:r>
      <w:r w:rsidR="0035057D" w:rsidRPr="00DF3EF6">
        <w:rPr>
          <w:noProof/>
        </w:rPr>
        <w:t xml:space="preserve"> dyrektywy 2014/59/UE;</w:t>
      </w:r>
    </w:p>
    <w:p w14:paraId="0CD05275" w14:textId="77E8F028" w:rsidR="00AC3AFA" w:rsidRPr="00DF3EF6" w:rsidRDefault="00DF3EF6" w:rsidP="00DF3EF6">
      <w:pPr>
        <w:pStyle w:val="Point1"/>
        <w:rPr>
          <w:noProof/>
        </w:rPr>
      </w:pPr>
      <w:r>
        <w:rPr>
          <w:noProof/>
        </w:rPr>
        <w:t>b)</w:t>
      </w:r>
      <w:r>
        <w:rPr>
          <w:noProof/>
        </w:rPr>
        <w:tab/>
      </w:r>
      <w:r w:rsidR="0035057D" w:rsidRPr="00DF3EF6">
        <w:rPr>
          <w:noProof/>
        </w:rPr>
        <w:t>system gwarancji depozytów potwierdził, że koszt środka nie przekracza kosztu wypłaty na rzecz deponentów, jak obliczono zgodnie</w:t>
      </w:r>
      <w:r w:rsidR="0031342C" w:rsidRPr="00DF3EF6">
        <w:rPr>
          <w:noProof/>
        </w:rPr>
        <w:t xml:space="preserve"> z</w:t>
      </w:r>
      <w:r w:rsidR="0031342C">
        <w:rPr>
          <w:noProof/>
        </w:rPr>
        <w:t> </w:t>
      </w:r>
      <w:r w:rsidR="0031342C" w:rsidRPr="0031342C">
        <w:rPr>
          <w:noProof/>
        </w:rPr>
        <w:t>art</w:t>
      </w:r>
      <w:r w:rsidR="0035057D" w:rsidRPr="0031342C">
        <w:rPr>
          <w:noProof/>
        </w:rPr>
        <w:t>.</w:t>
      </w:r>
      <w:r w:rsidR="0031342C" w:rsidRPr="0031342C">
        <w:rPr>
          <w:noProof/>
        </w:rPr>
        <w:t> </w:t>
      </w:r>
      <w:r w:rsidR="0035057D" w:rsidRPr="0031342C">
        <w:rPr>
          <w:noProof/>
        </w:rPr>
        <w:t>1</w:t>
      </w:r>
      <w:r w:rsidR="0035057D" w:rsidRPr="00DF3EF6">
        <w:rPr>
          <w:noProof/>
        </w:rPr>
        <w:t>1e;</w:t>
      </w:r>
    </w:p>
    <w:p w14:paraId="2EF81138" w14:textId="01032D08" w:rsidR="0035057D" w:rsidRPr="00DF3EF6" w:rsidRDefault="00DF3EF6" w:rsidP="00DF3EF6">
      <w:pPr>
        <w:pStyle w:val="Point1"/>
        <w:rPr>
          <w:noProof/>
        </w:rPr>
      </w:pPr>
      <w:r>
        <w:rPr>
          <w:noProof/>
        </w:rPr>
        <w:t>c)</w:t>
      </w:r>
      <w:r>
        <w:rPr>
          <w:noProof/>
        </w:rPr>
        <w:tab/>
      </w:r>
      <w:r w:rsidR="0035057D" w:rsidRPr="00DF3EF6">
        <w:rPr>
          <w:noProof/>
        </w:rPr>
        <w:t>wszystkie warunki określone</w:t>
      </w:r>
      <w:r w:rsidR="0031342C" w:rsidRPr="00DF3EF6">
        <w:rPr>
          <w:noProof/>
        </w:rPr>
        <w:t xml:space="preserve"> w</w:t>
      </w:r>
      <w:r w:rsidR="0031342C">
        <w:rPr>
          <w:noProof/>
        </w:rPr>
        <w:t> </w:t>
      </w:r>
      <w:r w:rsidR="0031342C" w:rsidRPr="0031342C">
        <w:rPr>
          <w:noProof/>
        </w:rPr>
        <w:t>art</w:t>
      </w:r>
      <w:r w:rsidR="0035057D" w:rsidRPr="0031342C">
        <w:rPr>
          <w:noProof/>
        </w:rPr>
        <w:t>.</w:t>
      </w:r>
      <w:r w:rsidR="0031342C" w:rsidRPr="0031342C">
        <w:rPr>
          <w:noProof/>
        </w:rPr>
        <w:t> </w:t>
      </w:r>
      <w:r w:rsidR="0035057D" w:rsidRPr="0031342C">
        <w:rPr>
          <w:noProof/>
        </w:rPr>
        <w:t>1</w:t>
      </w:r>
      <w:r w:rsidR="0035057D" w:rsidRPr="00DF3EF6">
        <w:rPr>
          <w:noProof/>
        </w:rPr>
        <w:t>1a</w:t>
      </w:r>
      <w:r w:rsidR="0031342C" w:rsidRPr="00DF3EF6">
        <w:rPr>
          <w:noProof/>
        </w:rPr>
        <w:t xml:space="preserve"> i</w:t>
      </w:r>
      <w:r w:rsidR="0031342C">
        <w:rPr>
          <w:noProof/>
        </w:rPr>
        <w:t> </w:t>
      </w:r>
      <w:r w:rsidR="0031342C" w:rsidRPr="00DF3EF6">
        <w:rPr>
          <w:noProof/>
        </w:rPr>
        <w:t>1</w:t>
      </w:r>
      <w:r w:rsidR="0035057D" w:rsidRPr="00DF3EF6">
        <w:rPr>
          <w:noProof/>
        </w:rPr>
        <w:t xml:space="preserve">1b są spełnione. </w:t>
      </w:r>
    </w:p>
    <w:p w14:paraId="7DB96C74" w14:textId="3AC26BBB" w:rsidR="0035057D" w:rsidRPr="00DF3EF6" w:rsidRDefault="0035057D" w:rsidP="00D90C65">
      <w:pPr>
        <w:pStyle w:val="Text1"/>
        <w:rPr>
          <w:noProof/>
        </w:rPr>
      </w:pPr>
      <w:r w:rsidRPr="00DF3EF6">
        <w:rPr>
          <w:noProof/>
        </w:rPr>
        <w:t>4. Jeżeli dostępne środki finansowe są wykorzystywane na potrzeby środków zapobiegawczych,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1a, instytucje kredytowe należące do systemu gwarancji depozytów natychmiast zapewniają temu systemowi środki wykorzystywane na potrzeby takich środków zapobiegawczych,</w:t>
      </w:r>
      <w:r w:rsidR="0031342C" w:rsidRPr="00DF3EF6">
        <w:rPr>
          <w:noProof/>
        </w:rPr>
        <w:t xml:space="preserve"> w</w:t>
      </w:r>
      <w:r w:rsidR="0031342C">
        <w:rPr>
          <w:noProof/>
        </w:rPr>
        <w:t> </w:t>
      </w:r>
      <w:r w:rsidR="0031342C" w:rsidRPr="00DF3EF6">
        <w:rPr>
          <w:noProof/>
        </w:rPr>
        <w:t>raz</w:t>
      </w:r>
      <w:r w:rsidRPr="00DF3EF6">
        <w:rPr>
          <w:noProof/>
        </w:rPr>
        <w:t>ie potrzeby</w:t>
      </w:r>
      <w:r w:rsidR="0031342C" w:rsidRPr="00DF3EF6">
        <w:rPr>
          <w:noProof/>
        </w:rPr>
        <w:t xml:space="preserve"> w</w:t>
      </w:r>
      <w:r w:rsidR="0031342C">
        <w:rPr>
          <w:noProof/>
        </w:rPr>
        <w:t> </w:t>
      </w:r>
      <w:r w:rsidR="0031342C" w:rsidRPr="00DF3EF6">
        <w:rPr>
          <w:noProof/>
        </w:rPr>
        <w:t>for</w:t>
      </w:r>
      <w:r w:rsidRPr="00DF3EF6">
        <w:rPr>
          <w:noProof/>
        </w:rPr>
        <w:t>mie składek nadzwyczajnych, jeżeli spełniona jest którakolwiek</w:t>
      </w:r>
      <w:r w:rsidR="0031342C" w:rsidRPr="00DF3EF6">
        <w:rPr>
          <w:noProof/>
        </w:rPr>
        <w:t xml:space="preserve"> z</w:t>
      </w:r>
      <w:r w:rsidR="0031342C">
        <w:rPr>
          <w:noProof/>
        </w:rPr>
        <w:t> </w:t>
      </w:r>
      <w:r w:rsidR="0031342C" w:rsidRPr="00DF3EF6">
        <w:rPr>
          <w:noProof/>
        </w:rPr>
        <w:t>nas</w:t>
      </w:r>
      <w:r w:rsidRPr="00DF3EF6">
        <w:rPr>
          <w:noProof/>
        </w:rPr>
        <w:t>tępujących przesłanek:</w:t>
      </w:r>
    </w:p>
    <w:p w14:paraId="4D82998C" w14:textId="1B384BC4" w:rsidR="002B1CBF" w:rsidRPr="00DF3EF6" w:rsidRDefault="00DF3EF6" w:rsidP="00DF3EF6">
      <w:pPr>
        <w:pStyle w:val="Point1"/>
        <w:rPr>
          <w:noProof/>
        </w:rPr>
      </w:pPr>
      <w:r>
        <w:rPr>
          <w:noProof/>
        </w:rPr>
        <w:t>a)</w:t>
      </w:r>
      <w:r>
        <w:rPr>
          <w:noProof/>
        </w:rPr>
        <w:tab/>
      </w:r>
      <w:r w:rsidR="0035057D" w:rsidRPr="00DF3EF6">
        <w:rPr>
          <w:noProof/>
        </w:rPr>
        <w:t>pojawia się konieczność dokonania wypłat na rzecz deponentów,</w:t>
      </w:r>
      <w:r w:rsidR="0031342C" w:rsidRPr="00DF3EF6">
        <w:rPr>
          <w:noProof/>
        </w:rPr>
        <w:t xml:space="preserve"> a</w:t>
      </w:r>
      <w:r w:rsidR="0031342C">
        <w:rPr>
          <w:noProof/>
        </w:rPr>
        <w:t> </w:t>
      </w:r>
      <w:r w:rsidR="0031342C" w:rsidRPr="00DF3EF6">
        <w:rPr>
          <w:noProof/>
        </w:rPr>
        <w:t>dos</w:t>
      </w:r>
      <w:r w:rsidR="0035057D" w:rsidRPr="00DF3EF6">
        <w:rPr>
          <w:noProof/>
        </w:rPr>
        <w:t>tępne środki finansowe systemu gwarancji depozytów wynoszą mniej niż dwie trzecie poziomu docelowego;</w:t>
      </w:r>
    </w:p>
    <w:p w14:paraId="26496FFF" w14:textId="4CBD0954" w:rsidR="0035057D" w:rsidRPr="00DF3EF6" w:rsidRDefault="00DF3EF6" w:rsidP="00DF3EF6">
      <w:pPr>
        <w:pStyle w:val="Point1"/>
        <w:rPr>
          <w:noProof/>
        </w:rPr>
      </w:pPr>
      <w:r>
        <w:rPr>
          <w:noProof/>
        </w:rPr>
        <w:t>b)</w:t>
      </w:r>
      <w:r>
        <w:rPr>
          <w:noProof/>
        </w:rPr>
        <w:tab/>
      </w:r>
      <w:r w:rsidR="0035057D" w:rsidRPr="00DF3EF6">
        <w:rPr>
          <w:noProof/>
        </w:rPr>
        <w:t>dostępne środki finansowe systemu gwarancji depozytów spadły poniżej 2</w:t>
      </w:r>
      <w:r w:rsidR="0035057D" w:rsidRPr="0031342C">
        <w:rPr>
          <w:noProof/>
        </w:rPr>
        <w:t>5</w:t>
      </w:r>
      <w:r w:rsidR="0031342C" w:rsidRPr="0031342C">
        <w:rPr>
          <w:noProof/>
        </w:rPr>
        <w:t> </w:t>
      </w:r>
      <w:r w:rsidR="0035057D" w:rsidRPr="0031342C">
        <w:rPr>
          <w:noProof/>
        </w:rPr>
        <w:t>%</w:t>
      </w:r>
      <w:r w:rsidR="0035057D" w:rsidRPr="00DF3EF6">
        <w:rPr>
          <w:noProof/>
        </w:rPr>
        <w:t xml:space="preserve"> poziomu docelowego.</w:t>
      </w:r>
    </w:p>
    <w:p w14:paraId="6A5A3ED5" w14:textId="0E130AFB" w:rsidR="0035057D" w:rsidRPr="00DF3EF6" w:rsidRDefault="0035057D" w:rsidP="00D90C65">
      <w:pPr>
        <w:pStyle w:val="Text1"/>
        <w:rPr>
          <w:noProof/>
        </w:rPr>
      </w:pPr>
      <w:r w:rsidRPr="00DF3EF6">
        <w:rPr>
          <w:noProof/>
        </w:rPr>
        <w:t>5. Jeżeli instytucja kredytowa zostaje zlikwidowana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3</w:t>
      </w:r>
      <w:r w:rsidRPr="00DF3EF6">
        <w:rPr>
          <w:noProof/>
        </w:rPr>
        <w:t>2b dyrektywy 2014/59/UE</w:t>
      </w:r>
      <w:r w:rsidR="0031342C" w:rsidRPr="00DF3EF6">
        <w:rPr>
          <w:noProof/>
        </w:rPr>
        <w:t xml:space="preserve"> w</w:t>
      </w:r>
      <w:r w:rsidR="0031342C">
        <w:rPr>
          <w:noProof/>
        </w:rPr>
        <w:t> </w:t>
      </w:r>
      <w:r w:rsidR="0031342C" w:rsidRPr="00DF3EF6">
        <w:rPr>
          <w:noProof/>
        </w:rPr>
        <w:t>cel</w:t>
      </w:r>
      <w:r w:rsidRPr="00DF3EF6">
        <w:rPr>
          <w:noProof/>
        </w:rPr>
        <w:t>u opuszczenia rynku lub zakończenia prowadzonej działalności bankowej, państwa członkowskie mogą zezwolić systemom gwarancji depozytów na wykorzystanie dostępnych środków finansowych na potrzeby środków alternatywnych, aby zapewnić dostęp deponentów do ich depozytów,</w:t>
      </w:r>
      <w:r w:rsidR="0031342C" w:rsidRPr="00DF3EF6">
        <w:rPr>
          <w:noProof/>
        </w:rPr>
        <w:t xml:space="preserve"> w</w:t>
      </w:r>
      <w:r w:rsidR="0031342C">
        <w:rPr>
          <w:noProof/>
        </w:rPr>
        <w:t> </w:t>
      </w:r>
      <w:r w:rsidR="0031342C" w:rsidRPr="00DF3EF6">
        <w:rPr>
          <w:noProof/>
        </w:rPr>
        <w:t>tym</w:t>
      </w:r>
      <w:r w:rsidRPr="00DF3EF6">
        <w:rPr>
          <w:noProof/>
        </w:rPr>
        <w:t xml:space="preserve"> transfer aktywów</w:t>
      </w:r>
      <w:r w:rsidR="0031342C" w:rsidRPr="00DF3EF6">
        <w:rPr>
          <w:noProof/>
        </w:rPr>
        <w:t xml:space="preserve"> i</w:t>
      </w:r>
      <w:r w:rsidR="0031342C">
        <w:rPr>
          <w:noProof/>
        </w:rPr>
        <w:t> </w:t>
      </w:r>
      <w:r w:rsidR="0031342C" w:rsidRPr="00DF3EF6">
        <w:rPr>
          <w:noProof/>
        </w:rPr>
        <w:t>pas</w:t>
      </w:r>
      <w:r w:rsidRPr="00DF3EF6">
        <w:rPr>
          <w:noProof/>
        </w:rPr>
        <w:t>ywów oraz transfer portfela depozytów, pod warunkiem że system gwarancji depozytów potwierdzi, iż koszt takiego środka nie przekracza kosztu wypłat na rzecz deponentów, jak obliczono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1e niniejszej dyrektywy, oraz pod warunkiem że wszystkie warunki określone</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1d niniejszej dyrektywy są spełnione.”;</w:t>
      </w:r>
    </w:p>
    <w:p w14:paraId="2329703C" w14:textId="4F9F119E" w:rsidR="0035057D" w:rsidRPr="00DF3EF6" w:rsidRDefault="00DF3EF6" w:rsidP="00DF3EF6">
      <w:pPr>
        <w:pStyle w:val="Point0"/>
        <w:rPr>
          <w:noProof/>
        </w:rPr>
      </w:pPr>
      <w:r>
        <w:rPr>
          <w:noProof/>
        </w:rPr>
        <w:t>13)</w:t>
      </w:r>
      <w:r>
        <w:rPr>
          <w:noProof/>
        </w:rPr>
        <w:tab/>
      </w:r>
      <w:r w:rsidR="0035057D" w:rsidRPr="00DF3EF6">
        <w:rPr>
          <w:noProof/>
        </w:rPr>
        <w:t xml:space="preserve">dodaje się </w:t>
      </w:r>
      <w:r w:rsidR="0035057D" w:rsidRPr="0031342C">
        <w:rPr>
          <w:noProof/>
        </w:rPr>
        <w:t>art.</w:t>
      </w:r>
      <w:r w:rsidR="0031342C" w:rsidRPr="0031342C">
        <w:rPr>
          <w:noProof/>
        </w:rPr>
        <w:t> </w:t>
      </w:r>
      <w:r w:rsidR="0035057D" w:rsidRPr="0031342C">
        <w:rPr>
          <w:noProof/>
        </w:rPr>
        <w:t>1</w:t>
      </w:r>
      <w:r w:rsidR="0035057D" w:rsidRPr="00DF3EF6">
        <w:rPr>
          <w:noProof/>
        </w:rPr>
        <w:t>1a–11e</w:t>
      </w:r>
      <w:r w:rsidR="0031342C" w:rsidRPr="00DF3EF6">
        <w:rPr>
          <w:noProof/>
        </w:rPr>
        <w:t xml:space="preserve"> w</w:t>
      </w:r>
      <w:r w:rsidR="0031342C">
        <w:rPr>
          <w:noProof/>
        </w:rPr>
        <w:t> </w:t>
      </w:r>
      <w:r w:rsidR="0031342C" w:rsidRPr="00DF3EF6">
        <w:rPr>
          <w:noProof/>
        </w:rPr>
        <w:t>brz</w:t>
      </w:r>
      <w:r w:rsidR="0035057D" w:rsidRPr="00DF3EF6">
        <w:rPr>
          <w:noProof/>
        </w:rPr>
        <w:t>mieniu:</w:t>
      </w:r>
    </w:p>
    <w:p w14:paraId="07C37522" w14:textId="77777777" w:rsidR="000909A4" w:rsidRPr="00DF3EF6" w:rsidRDefault="000909A4" w:rsidP="000909A4">
      <w:pPr>
        <w:pStyle w:val="Text1"/>
        <w:jc w:val="center"/>
        <w:rPr>
          <w:i/>
          <w:noProof/>
        </w:rPr>
      </w:pPr>
      <w:r w:rsidRPr="00DF3EF6">
        <w:rPr>
          <w:i/>
          <w:noProof/>
        </w:rPr>
        <w:t>„Artykuł 11a</w:t>
      </w:r>
    </w:p>
    <w:p w14:paraId="707149D4" w14:textId="77777777" w:rsidR="0099388A" w:rsidRPr="00DF3EF6" w:rsidRDefault="0099388A" w:rsidP="0099388A">
      <w:pPr>
        <w:pStyle w:val="Text1"/>
        <w:jc w:val="center"/>
        <w:rPr>
          <w:b/>
          <w:noProof/>
        </w:rPr>
      </w:pPr>
      <w:bookmarkStart w:id="14" w:name="_Hlk126948059"/>
      <w:bookmarkStart w:id="15" w:name="_Hlk127533203"/>
      <w:r w:rsidRPr="00DF3EF6">
        <w:rPr>
          <w:b/>
          <w:noProof/>
        </w:rPr>
        <w:t>Środki zapobiegawcze</w:t>
      </w:r>
    </w:p>
    <w:p w14:paraId="452A37DC" w14:textId="644E3E02" w:rsidR="0035057D" w:rsidRPr="00DF3EF6" w:rsidRDefault="002B1CBF" w:rsidP="00D90C65">
      <w:pPr>
        <w:pStyle w:val="Text1"/>
        <w:rPr>
          <w:noProof/>
        </w:rPr>
      </w:pPr>
      <w:r w:rsidRPr="00DF3EF6">
        <w:rPr>
          <w:noProof/>
        </w:rPr>
        <w:t>1. Jeżeli państwa członkowskie dopuszczają wykorzystanie środków systemu gwarancji depozytów na potrzeby środków zapobiegawczych,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3</w:t>
      </w:r>
      <w:r w:rsidRPr="00DF3EF6">
        <w:rPr>
          <w:noProof/>
        </w:rPr>
        <w:t>, państwa członkowskie zapewniają, aby systemy gwarancji depozytów wykorzystywały dostępne środki finansowe na potrzeby środków zapobiegawczych,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3</w:t>
      </w:r>
      <w:r w:rsidRPr="00DF3EF6">
        <w:rPr>
          <w:noProof/>
        </w:rPr>
        <w:t>, pod warunkiem że wszystkie następujące warunki są spełnione</w:t>
      </w:r>
      <w:bookmarkEnd w:id="14"/>
      <w:r w:rsidRPr="00DF3EF6">
        <w:rPr>
          <w:noProof/>
        </w:rPr>
        <w:t>:</w:t>
      </w:r>
    </w:p>
    <w:p w14:paraId="7FADD7D9" w14:textId="49242A96" w:rsidR="0035057D" w:rsidRPr="00DF3EF6" w:rsidRDefault="00DF3EF6" w:rsidP="00DF3EF6">
      <w:pPr>
        <w:pStyle w:val="Point1"/>
        <w:rPr>
          <w:noProof/>
        </w:rPr>
      </w:pPr>
      <w:r>
        <w:rPr>
          <w:noProof/>
        </w:rPr>
        <w:t>a)</w:t>
      </w:r>
      <w:r>
        <w:rPr>
          <w:noProof/>
        </w:rPr>
        <w:tab/>
      </w:r>
      <w:r w:rsidR="0035057D" w:rsidRPr="00DF3EF6">
        <w:rPr>
          <w:noProof/>
        </w:rPr>
        <w:t>do wniosku instytucji kredytowej</w:t>
      </w:r>
      <w:r w:rsidR="0031342C" w:rsidRPr="00DF3EF6">
        <w:rPr>
          <w:noProof/>
        </w:rPr>
        <w:t xml:space="preserve"> o</w:t>
      </w:r>
      <w:r w:rsidR="0031342C">
        <w:rPr>
          <w:noProof/>
        </w:rPr>
        <w:t> </w:t>
      </w:r>
      <w:r w:rsidR="0031342C" w:rsidRPr="00DF3EF6">
        <w:rPr>
          <w:noProof/>
        </w:rPr>
        <w:t>fin</w:t>
      </w:r>
      <w:r w:rsidR="0035057D" w:rsidRPr="00DF3EF6">
        <w:rPr>
          <w:noProof/>
        </w:rPr>
        <w:t>ansowanie takich środków zapobiegawczych załączono oświadczenie zawierające wykaz środków,</w:t>
      </w:r>
      <w:r w:rsidR="0031342C" w:rsidRPr="00DF3EF6">
        <w:rPr>
          <w:noProof/>
        </w:rPr>
        <w:t xml:space="preserve"> o</w:t>
      </w:r>
      <w:r w:rsidR="0031342C">
        <w:rPr>
          <w:noProof/>
        </w:rPr>
        <w:t> </w:t>
      </w:r>
      <w:r w:rsidR="0031342C" w:rsidRPr="00DF3EF6">
        <w:rPr>
          <w:noProof/>
        </w:rPr>
        <w:t>któ</w:t>
      </w:r>
      <w:r w:rsidR="0035057D" w:rsidRPr="00DF3EF6">
        <w:rPr>
          <w:noProof/>
        </w:rPr>
        <w:t>rym to oświadczeniu mowa</w:t>
      </w:r>
      <w:r w:rsidR="0031342C" w:rsidRPr="00DF3EF6">
        <w:rPr>
          <w:noProof/>
        </w:rPr>
        <w:t xml:space="preserve"> w</w:t>
      </w:r>
      <w:r w:rsidR="0031342C">
        <w:rPr>
          <w:noProof/>
        </w:rPr>
        <w:t> </w:t>
      </w:r>
      <w:r w:rsidR="0031342C" w:rsidRPr="0031342C">
        <w:rPr>
          <w:noProof/>
        </w:rPr>
        <w:t>art</w:t>
      </w:r>
      <w:r w:rsidR="0035057D" w:rsidRPr="0031342C">
        <w:rPr>
          <w:noProof/>
        </w:rPr>
        <w:t>.</w:t>
      </w:r>
      <w:r w:rsidR="0031342C" w:rsidRPr="0031342C">
        <w:rPr>
          <w:noProof/>
        </w:rPr>
        <w:t> </w:t>
      </w:r>
      <w:r w:rsidR="0035057D" w:rsidRPr="0031342C">
        <w:rPr>
          <w:noProof/>
        </w:rPr>
        <w:t>1</w:t>
      </w:r>
      <w:r w:rsidR="0035057D" w:rsidRPr="00DF3EF6">
        <w:rPr>
          <w:noProof/>
        </w:rPr>
        <w:t>1b;</w:t>
      </w:r>
    </w:p>
    <w:p w14:paraId="4B3E935F" w14:textId="6F180CF4" w:rsidR="0035057D" w:rsidRPr="00DF3EF6" w:rsidRDefault="00DF3EF6" w:rsidP="00DF3EF6">
      <w:pPr>
        <w:pStyle w:val="Point1"/>
        <w:rPr>
          <w:noProof/>
        </w:rPr>
      </w:pPr>
      <w:r>
        <w:rPr>
          <w:noProof/>
        </w:rPr>
        <w:t>b)</w:t>
      </w:r>
      <w:r>
        <w:rPr>
          <w:noProof/>
        </w:rPr>
        <w:tab/>
      </w:r>
      <w:r w:rsidR="0035057D" w:rsidRPr="00DF3EF6">
        <w:rPr>
          <w:noProof/>
        </w:rPr>
        <w:t>instytucja kredytowa skonsultowała się</w:t>
      </w:r>
      <w:r w:rsidR="0031342C" w:rsidRPr="00DF3EF6">
        <w:rPr>
          <w:noProof/>
        </w:rPr>
        <w:t xml:space="preserve"> z</w:t>
      </w:r>
      <w:r w:rsidR="0031342C">
        <w:rPr>
          <w:noProof/>
        </w:rPr>
        <w:t> </w:t>
      </w:r>
      <w:r w:rsidR="0031342C" w:rsidRPr="00DF3EF6">
        <w:rPr>
          <w:noProof/>
        </w:rPr>
        <w:t>wła</w:t>
      </w:r>
      <w:r w:rsidR="0035057D" w:rsidRPr="00DF3EF6">
        <w:rPr>
          <w:noProof/>
        </w:rPr>
        <w:t>ściwym organem</w:t>
      </w:r>
      <w:r w:rsidR="0031342C" w:rsidRPr="00DF3EF6">
        <w:rPr>
          <w:noProof/>
        </w:rPr>
        <w:t xml:space="preserve"> w</w:t>
      </w:r>
      <w:r w:rsidR="0031342C">
        <w:rPr>
          <w:noProof/>
        </w:rPr>
        <w:t> </w:t>
      </w:r>
      <w:r w:rsidR="0031342C" w:rsidRPr="00DF3EF6">
        <w:rPr>
          <w:noProof/>
        </w:rPr>
        <w:t>spr</w:t>
      </w:r>
      <w:r w:rsidR="0035057D" w:rsidRPr="00DF3EF6">
        <w:rPr>
          <w:noProof/>
        </w:rPr>
        <w:t>awie środków przewidzianych</w:t>
      </w:r>
      <w:r w:rsidR="0031342C" w:rsidRPr="00DF3EF6">
        <w:rPr>
          <w:noProof/>
        </w:rPr>
        <w:t xml:space="preserve"> w</w:t>
      </w:r>
      <w:r w:rsidR="0031342C">
        <w:rPr>
          <w:noProof/>
        </w:rPr>
        <w:t> </w:t>
      </w:r>
      <w:r w:rsidR="0031342C" w:rsidRPr="00DF3EF6">
        <w:rPr>
          <w:noProof/>
        </w:rPr>
        <w:t>ośw</w:t>
      </w:r>
      <w:r w:rsidR="0035057D" w:rsidRPr="00DF3EF6">
        <w:rPr>
          <w:noProof/>
        </w:rPr>
        <w:t>iadczeniu,</w:t>
      </w:r>
      <w:r w:rsidR="0031342C" w:rsidRPr="00DF3EF6">
        <w:rPr>
          <w:noProof/>
        </w:rPr>
        <w:t xml:space="preserve"> o</w:t>
      </w:r>
      <w:r w:rsidR="0031342C">
        <w:rPr>
          <w:noProof/>
        </w:rPr>
        <w:t> </w:t>
      </w:r>
      <w:r w:rsidR="0031342C" w:rsidRPr="00DF3EF6">
        <w:rPr>
          <w:noProof/>
        </w:rPr>
        <w:t>któ</w:t>
      </w:r>
      <w:r w:rsidR="0035057D" w:rsidRPr="00DF3EF6">
        <w:rPr>
          <w:noProof/>
        </w:rPr>
        <w:t>rym mowa</w:t>
      </w:r>
      <w:r w:rsidR="0031342C" w:rsidRPr="00DF3EF6">
        <w:rPr>
          <w:noProof/>
        </w:rPr>
        <w:t xml:space="preserve"> w</w:t>
      </w:r>
      <w:r w:rsidR="0031342C">
        <w:rPr>
          <w:noProof/>
        </w:rPr>
        <w:t> </w:t>
      </w:r>
      <w:r w:rsidR="0031342C" w:rsidRPr="0031342C">
        <w:rPr>
          <w:noProof/>
        </w:rPr>
        <w:t>art</w:t>
      </w:r>
      <w:r w:rsidR="0035057D" w:rsidRPr="0031342C">
        <w:rPr>
          <w:noProof/>
        </w:rPr>
        <w:t>.</w:t>
      </w:r>
      <w:r w:rsidR="0031342C" w:rsidRPr="0031342C">
        <w:rPr>
          <w:noProof/>
        </w:rPr>
        <w:t> </w:t>
      </w:r>
      <w:r w:rsidR="0035057D" w:rsidRPr="0031342C">
        <w:rPr>
          <w:noProof/>
        </w:rPr>
        <w:t>1</w:t>
      </w:r>
      <w:r w:rsidR="0035057D" w:rsidRPr="00DF3EF6">
        <w:rPr>
          <w:noProof/>
        </w:rPr>
        <w:t>1b;</w:t>
      </w:r>
    </w:p>
    <w:bookmarkEnd w:id="15"/>
    <w:p w14:paraId="3AA880F3" w14:textId="58613FA3" w:rsidR="0035057D" w:rsidRPr="00DF3EF6" w:rsidRDefault="00DF3EF6" w:rsidP="00DF3EF6">
      <w:pPr>
        <w:pStyle w:val="Point1"/>
        <w:rPr>
          <w:noProof/>
        </w:rPr>
      </w:pPr>
      <w:r>
        <w:rPr>
          <w:noProof/>
        </w:rPr>
        <w:t>c)</w:t>
      </w:r>
      <w:r>
        <w:rPr>
          <w:noProof/>
        </w:rPr>
        <w:tab/>
      </w:r>
      <w:r w:rsidR="0035057D" w:rsidRPr="00DF3EF6">
        <w:rPr>
          <w:noProof/>
        </w:rPr>
        <w:t>stosowanie przez system gwarancji depozytów środków zapobiegawczych wiąże się</w:t>
      </w:r>
      <w:r w:rsidR="0031342C" w:rsidRPr="00DF3EF6">
        <w:rPr>
          <w:noProof/>
        </w:rPr>
        <w:t xml:space="preserve"> z</w:t>
      </w:r>
      <w:r w:rsidR="0031342C">
        <w:rPr>
          <w:noProof/>
        </w:rPr>
        <w:t> </w:t>
      </w:r>
      <w:r w:rsidR="0031342C" w:rsidRPr="00DF3EF6">
        <w:rPr>
          <w:noProof/>
        </w:rPr>
        <w:t>nał</w:t>
      </w:r>
      <w:r w:rsidR="0035057D" w:rsidRPr="00DF3EF6">
        <w:rPr>
          <w:noProof/>
        </w:rPr>
        <w:t>ożeniem na instytucję kredytową objętą wsparciem warunków, które przewidują co najmniej ściślejsze monitorowanie ryzyka związanego</w:t>
      </w:r>
      <w:r w:rsidR="0031342C" w:rsidRPr="00DF3EF6">
        <w:rPr>
          <w:noProof/>
        </w:rPr>
        <w:t xml:space="preserve"> z</w:t>
      </w:r>
      <w:r w:rsidR="0031342C">
        <w:rPr>
          <w:noProof/>
        </w:rPr>
        <w:t> </w:t>
      </w:r>
      <w:r w:rsidR="0031342C" w:rsidRPr="00DF3EF6">
        <w:rPr>
          <w:noProof/>
        </w:rPr>
        <w:t>dan</w:t>
      </w:r>
      <w:r w:rsidR="0035057D" w:rsidRPr="00DF3EF6">
        <w:rPr>
          <w:noProof/>
        </w:rPr>
        <w:t>ą instytucją kredytową oraz większe prawa</w:t>
      </w:r>
      <w:r w:rsidR="0031342C" w:rsidRPr="00DF3EF6">
        <w:rPr>
          <w:noProof/>
        </w:rPr>
        <w:t xml:space="preserve"> w</w:t>
      </w:r>
      <w:r w:rsidR="0031342C">
        <w:rPr>
          <w:noProof/>
        </w:rPr>
        <w:t> </w:t>
      </w:r>
      <w:r w:rsidR="0031342C" w:rsidRPr="00DF3EF6">
        <w:rPr>
          <w:noProof/>
        </w:rPr>
        <w:t>zak</w:t>
      </w:r>
      <w:r w:rsidR="0035057D" w:rsidRPr="00DF3EF6">
        <w:rPr>
          <w:noProof/>
        </w:rPr>
        <w:t>resie weryfikacji przysługujące systemowi gwarancji depozytów;</w:t>
      </w:r>
    </w:p>
    <w:p w14:paraId="6D67B128" w14:textId="3059EC62" w:rsidR="0035057D" w:rsidRPr="00DF3EF6" w:rsidRDefault="00DF3EF6" w:rsidP="00DF3EF6">
      <w:pPr>
        <w:pStyle w:val="Point1"/>
        <w:rPr>
          <w:noProof/>
        </w:rPr>
      </w:pPr>
      <w:r>
        <w:rPr>
          <w:noProof/>
        </w:rPr>
        <w:lastRenderedPageBreak/>
        <w:t>d)</w:t>
      </w:r>
      <w:r>
        <w:rPr>
          <w:noProof/>
        </w:rPr>
        <w:tab/>
      </w:r>
      <w:r w:rsidR="0035057D" w:rsidRPr="00DF3EF6">
        <w:rPr>
          <w:noProof/>
        </w:rPr>
        <w:t>stosowanie przez system gwarancji depozytów środków zapobiegawczych jest uzależnione od zobowiązania się instytucji kredytowej do zapewnienia dostępu do gwarantowanych depozytów;</w:t>
      </w:r>
    </w:p>
    <w:p w14:paraId="3E04454A" w14:textId="03DEE017" w:rsidR="0035057D" w:rsidRPr="00DF3EF6" w:rsidRDefault="00DF3EF6" w:rsidP="00DF3EF6">
      <w:pPr>
        <w:pStyle w:val="Point1"/>
        <w:rPr>
          <w:noProof/>
        </w:rPr>
      </w:pPr>
      <w:r>
        <w:rPr>
          <w:noProof/>
        </w:rPr>
        <w:t>e)</w:t>
      </w:r>
      <w:r>
        <w:rPr>
          <w:noProof/>
        </w:rPr>
        <w:tab/>
      </w:r>
      <w:r w:rsidR="0035057D" w:rsidRPr="00DF3EF6">
        <w:rPr>
          <w:noProof/>
        </w:rPr>
        <w:t>instytucje kredytowe należące do systemu gwarancji depozytów są</w:t>
      </w:r>
      <w:r w:rsidR="0031342C" w:rsidRPr="00DF3EF6">
        <w:rPr>
          <w:noProof/>
        </w:rPr>
        <w:t xml:space="preserve"> w</w:t>
      </w:r>
      <w:r w:rsidR="0031342C">
        <w:rPr>
          <w:noProof/>
        </w:rPr>
        <w:t> </w:t>
      </w:r>
      <w:r w:rsidR="0031342C" w:rsidRPr="00DF3EF6">
        <w:rPr>
          <w:noProof/>
        </w:rPr>
        <w:t>sta</w:t>
      </w:r>
      <w:r w:rsidR="0035057D" w:rsidRPr="00DF3EF6">
        <w:rPr>
          <w:noProof/>
        </w:rPr>
        <w:t>nie uiścić składki nadzwyczajne zgodnie</w:t>
      </w:r>
      <w:r w:rsidR="0031342C" w:rsidRPr="00DF3EF6">
        <w:rPr>
          <w:noProof/>
        </w:rPr>
        <w:t xml:space="preserve"> z</w:t>
      </w:r>
      <w:r w:rsidR="0031342C">
        <w:rPr>
          <w:noProof/>
        </w:rPr>
        <w:t> </w:t>
      </w:r>
      <w:r w:rsidR="0031342C" w:rsidRPr="0031342C">
        <w:rPr>
          <w:noProof/>
        </w:rPr>
        <w:t>art</w:t>
      </w:r>
      <w:r w:rsidR="0035057D" w:rsidRPr="0031342C">
        <w:rPr>
          <w:noProof/>
        </w:rPr>
        <w:t>.</w:t>
      </w:r>
      <w:r w:rsidR="0031342C" w:rsidRPr="0031342C">
        <w:rPr>
          <w:noProof/>
        </w:rPr>
        <w:t> </w:t>
      </w:r>
      <w:r w:rsidR="0035057D" w:rsidRPr="0031342C">
        <w:rPr>
          <w:noProof/>
        </w:rPr>
        <w:t>1</w:t>
      </w:r>
      <w:r w:rsidR="0035057D" w:rsidRPr="00DF3EF6">
        <w:rPr>
          <w:noProof/>
        </w:rPr>
        <w:t xml:space="preserve">1 </w:t>
      </w:r>
      <w:r w:rsidR="0035057D" w:rsidRPr="0031342C">
        <w:rPr>
          <w:noProof/>
        </w:rPr>
        <w:t>ust.</w:t>
      </w:r>
      <w:r w:rsidR="0031342C" w:rsidRPr="0031342C">
        <w:rPr>
          <w:noProof/>
        </w:rPr>
        <w:t> </w:t>
      </w:r>
      <w:r w:rsidR="0035057D" w:rsidRPr="0031342C">
        <w:rPr>
          <w:noProof/>
        </w:rPr>
        <w:t>4</w:t>
      </w:r>
      <w:r w:rsidR="0035057D" w:rsidRPr="00DF3EF6">
        <w:rPr>
          <w:noProof/>
        </w:rPr>
        <w:t>;</w:t>
      </w:r>
    </w:p>
    <w:p w14:paraId="44E3082A" w14:textId="5B668029" w:rsidR="0035057D" w:rsidRPr="00DF3EF6" w:rsidRDefault="00DF3EF6" w:rsidP="00DF3EF6">
      <w:pPr>
        <w:pStyle w:val="Point1"/>
        <w:rPr>
          <w:noProof/>
        </w:rPr>
      </w:pPr>
      <w:r>
        <w:rPr>
          <w:noProof/>
        </w:rPr>
        <w:t>f)</w:t>
      </w:r>
      <w:r>
        <w:rPr>
          <w:noProof/>
        </w:rPr>
        <w:tab/>
      </w:r>
      <w:r w:rsidR="0035057D" w:rsidRPr="00DF3EF6">
        <w:rPr>
          <w:noProof/>
        </w:rPr>
        <w:t>instytucja kredytowa wywiązuje się</w:t>
      </w:r>
      <w:r w:rsidR="0031342C" w:rsidRPr="00DF3EF6">
        <w:rPr>
          <w:noProof/>
        </w:rPr>
        <w:t xml:space="preserve"> z</w:t>
      </w:r>
      <w:r w:rsidR="0031342C">
        <w:rPr>
          <w:noProof/>
        </w:rPr>
        <w:t> </w:t>
      </w:r>
      <w:r w:rsidR="0031342C" w:rsidRPr="00DF3EF6">
        <w:rPr>
          <w:noProof/>
        </w:rPr>
        <w:t>zob</w:t>
      </w:r>
      <w:r w:rsidR="0035057D" w:rsidRPr="00DF3EF6">
        <w:rPr>
          <w:noProof/>
        </w:rPr>
        <w:t>owiązań nałożonych na nią niniejszą dyrektywą</w:t>
      </w:r>
      <w:r w:rsidR="0031342C" w:rsidRPr="00DF3EF6">
        <w:rPr>
          <w:noProof/>
        </w:rPr>
        <w:t xml:space="preserve"> i</w:t>
      </w:r>
      <w:r w:rsidR="0031342C">
        <w:rPr>
          <w:noProof/>
        </w:rPr>
        <w:t> </w:t>
      </w:r>
      <w:r w:rsidR="0031342C" w:rsidRPr="00DF3EF6">
        <w:rPr>
          <w:noProof/>
        </w:rPr>
        <w:t>w</w:t>
      </w:r>
      <w:r w:rsidR="0031342C">
        <w:rPr>
          <w:noProof/>
        </w:rPr>
        <w:t> </w:t>
      </w:r>
      <w:r w:rsidR="0031342C" w:rsidRPr="00DF3EF6">
        <w:rPr>
          <w:noProof/>
        </w:rPr>
        <w:t>peł</w:t>
      </w:r>
      <w:r w:rsidR="0035057D" w:rsidRPr="00DF3EF6">
        <w:rPr>
          <w:noProof/>
        </w:rPr>
        <w:t>ni zwróciła koszty wszelkich wcześniejszych środków zapobiegawczych.</w:t>
      </w:r>
    </w:p>
    <w:p w14:paraId="54BD1CC2" w14:textId="727D3760" w:rsidR="0035057D" w:rsidRPr="00DF3EF6" w:rsidRDefault="0035057D" w:rsidP="006E2871">
      <w:pPr>
        <w:pStyle w:val="Text1"/>
        <w:rPr>
          <w:noProof/>
        </w:rPr>
      </w:pPr>
      <w:r w:rsidRPr="00DF3EF6">
        <w:rPr>
          <w:noProof/>
        </w:rPr>
        <w:t>2. Państwa członkowskie zapewniają, aby systemy gwarancji depozytów dysponowały systemami monitorowania</w:t>
      </w:r>
      <w:r w:rsidR="0031342C" w:rsidRPr="00DF3EF6">
        <w:rPr>
          <w:noProof/>
        </w:rPr>
        <w:t xml:space="preserve"> i</w:t>
      </w:r>
      <w:r w:rsidR="0031342C">
        <w:rPr>
          <w:noProof/>
        </w:rPr>
        <w:t> </w:t>
      </w:r>
      <w:r w:rsidR="0031342C" w:rsidRPr="00DF3EF6">
        <w:rPr>
          <w:noProof/>
        </w:rPr>
        <w:t>pro</w:t>
      </w:r>
      <w:r w:rsidRPr="00DF3EF6">
        <w:rPr>
          <w:noProof/>
        </w:rPr>
        <w:t>cedurami decyzyjnymi, które są odpowiednie do tego, aby umożliwić wybór</w:t>
      </w:r>
      <w:r w:rsidR="0031342C" w:rsidRPr="00DF3EF6">
        <w:rPr>
          <w:noProof/>
        </w:rPr>
        <w:t xml:space="preserve"> i</w:t>
      </w:r>
      <w:r w:rsidR="0031342C">
        <w:rPr>
          <w:noProof/>
        </w:rPr>
        <w:t> </w:t>
      </w:r>
      <w:r w:rsidR="0031342C" w:rsidRPr="00DF3EF6">
        <w:rPr>
          <w:noProof/>
        </w:rPr>
        <w:t>wdr</w:t>
      </w:r>
      <w:r w:rsidRPr="00DF3EF6">
        <w:rPr>
          <w:noProof/>
        </w:rPr>
        <w:t>ażanie środków zapobiegawczych oraz monitorowanie związanego</w:t>
      </w:r>
      <w:r w:rsidR="0031342C" w:rsidRPr="00DF3EF6">
        <w:rPr>
          <w:noProof/>
        </w:rPr>
        <w:t xml:space="preserve"> z</w:t>
      </w:r>
      <w:r w:rsidR="0031342C">
        <w:rPr>
          <w:noProof/>
        </w:rPr>
        <w:t> </w:t>
      </w:r>
      <w:r w:rsidR="0031342C" w:rsidRPr="00DF3EF6">
        <w:rPr>
          <w:noProof/>
        </w:rPr>
        <w:t>tym</w:t>
      </w:r>
      <w:r w:rsidRPr="00DF3EF6">
        <w:rPr>
          <w:noProof/>
        </w:rPr>
        <w:t xml:space="preserve"> ryzyka.</w:t>
      </w:r>
    </w:p>
    <w:p w14:paraId="76050EB9" w14:textId="4347CD44" w:rsidR="0035057D" w:rsidRPr="00DF3EF6" w:rsidRDefault="0035057D" w:rsidP="006E2871">
      <w:pPr>
        <w:pStyle w:val="Text1"/>
        <w:rPr>
          <w:noProof/>
        </w:rPr>
      </w:pPr>
      <w:r w:rsidRPr="00DF3EF6">
        <w:rPr>
          <w:noProof/>
        </w:rPr>
        <w:t>3. Państwa członkowskie zapewniają, aby systemy gwarancji depozytów mogły wdrożyć środki zapobiegawcze jedynie wówczas, gdy wyznaczony organ potwierdzi, że wszystkie warunki określone</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xml:space="preserve"> zostały spełnione. Wyznaczony organ powiadamia właściwy organ</w:t>
      </w:r>
      <w:r w:rsidR="0031342C" w:rsidRPr="00DF3EF6">
        <w:rPr>
          <w:noProof/>
        </w:rPr>
        <w:t xml:space="preserve"> i</w:t>
      </w:r>
      <w:r w:rsidR="0031342C">
        <w:rPr>
          <w:noProof/>
        </w:rPr>
        <w:t> </w:t>
      </w:r>
      <w:r w:rsidR="0031342C" w:rsidRPr="00DF3EF6">
        <w:rPr>
          <w:noProof/>
        </w:rPr>
        <w:t>org</w:t>
      </w:r>
      <w:r w:rsidRPr="00DF3EF6">
        <w:rPr>
          <w:noProof/>
        </w:rPr>
        <w:t>an ds. restrukturyzacji</w:t>
      </w:r>
      <w:r w:rsidR="0031342C" w:rsidRPr="00DF3EF6">
        <w:rPr>
          <w:noProof/>
        </w:rPr>
        <w:t xml:space="preserve"> i</w:t>
      </w:r>
      <w:r w:rsidR="0031342C">
        <w:rPr>
          <w:noProof/>
        </w:rPr>
        <w:t> </w:t>
      </w:r>
      <w:r w:rsidR="0031342C" w:rsidRPr="00DF3EF6">
        <w:rPr>
          <w:noProof/>
        </w:rPr>
        <w:t>upo</w:t>
      </w:r>
      <w:r w:rsidRPr="00DF3EF6">
        <w:rPr>
          <w:noProof/>
        </w:rPr>
        <w:t>rządkowanej likwidacji.</w:t>
      </w:r>
    </w:p>
    <w:p w14:paraId="3B12BDA7" w14:textId="630145A5" w:rsidR="00A9053B" w:rsidRPr="00DF3EF6" w:rsidRDefault="00A9053B" w:rsidP="006E2871">
      <w:pPr>
        <w:pStyle w:val="Text1"/>
        <w:rPr>
          <w:noProof/>
        </w:rPr>
      </w:pPr>
      <w:r w:rsidRPr="00DF3EF6">
        <w:rPr>
          <w:noProof/>
        </w:rPr>
        <w:t>4. Państwa członkowskie zapewniają, aby system gwarancji depozytów, który wykorzystuje swoje dostępne środki finansowe na potrzeby środków wsparcia kapitałowego, przeniósł posiadane przez siebie akcje lub inne instrumenty kapitałowe instytucji kredytowej objętej wsparciem do sektora prywatnego tak szybko, jak pozwolą na to warunki rynkowe</w:t>
      </w:r>
      <w:r w:rsidR="0031342C" w:rsidRPr="00DF3EF6">
        <w:rPr>
          <w:noProof/>
        </w:rPr>
        <w:t xml:space="preserve"> i</w:t>
      </w:r>
      <w:r w:rsidR="0031342C">
        <w:rPr>
          <w:noProof/>
        </w:rPr>
        <w:t> </w:t>
      </w:r>
      <w:r w:rsidR="0031342C" w:rsidRPr="00DF3EF6">
        <w:rPr>
          <w:noProof/>
        </w:rPr>
        <w:t>fin</w:t>
      </w:r>
      <w:r w:rsidRPr="00DF3EF6">
        <w:rPr>
          <w:noProof/>
        </w:rPr>
        <w:t>ansowe.</w:t>
      </w:r>
    </w:p>
    <w:p w14:paraId="59027F9E" w14:textId="77777777" w:rsidR="006E2871" w:rsidRPr="00DF3EF6" w:rsidRDefault="006E2871" w:rsidP="006E2871">
      <w:pPr>
        <w:pStyle w:val="Text1"/>
        <w:jc w:val="center"/>
        <w:rPr>
          <w:i/>
          <w:noProof/>
        </w:rPr>
      </w:pPr>
      <w:r w:rsidRPr="00DF3EF6">
        <w:rPr>
          <w:i/>
          <w:noProof/>
        </w:rPr>
        <w:t>Artykuł 11b</w:t>
      </w:r>
    </w:p>
    <w:p w14:paraId="4FE6A2F8" w14:textId="77777777" w:rsidR="00CE76A6" w:rsidRPr="00DF3EF6" w:rsidRDefault="00A9053B" w:rsidP="00CE76A6">
      <w:pPr>
        <w:pStyle w:val="Text1"/>
        <w:jc w:val="center"/>
        <w:rPr>
          <w:b/>
          <w:noProof/>
        </w:rPr>
      </w:pPr>
      <w:r w:rsidRPr="00DF3EF6">
        <w:rPr>
          <w:b/>
          <w:noProof/>
        </w:rPr>
        <w:t>Oświadczenie towarzyszące środkom zapobiegawczym</w:t>
      </w:r>
    </w:p>
    <w:p w14:paraId="5E06E460" w14:textId="24C0F461" w:rsidR="0035057D" w:rsidRPr="00DF3EF6" w:rsidRDefault="00045E49" w:rsidP="006E2871">
      <w:pPr>
        <w:pStyle w:val="Text1"/>
        <w:rPr>
          <w:noProof/>
        </w:rPr>
      </w:pPr>
      <w:r w:rsidRPr="00DF3EF6">
        <w:rPr>
          <w:noProof/>
        </w:rPr>
        <w:t>1. Państwa członkowskie zapewniają, aby instytucje kredytowe, które zwracają się do systemu gwarancji depozytów</w:t>
      </w:r>
      <w:r w:rsidR="0031342C" w:rsidRPr="00DF3EF6">
        <w:rPr>
          <w:noProof/>
        </w:rPr>
        <w:t xml:space="preserve"> z</w:t>
      </w:r>
      <w:r w:rsidR="0031342C">
        <w:rPr>
          <w:noProof/>
        </w:rPr>
        <w:t> </w:t>
      </w:r>
      <w:r w:rsidR="0031342C" w:rsidRPr="00DF3EF6">
        <w:rPr>
          <w:noProof/>
        </w:rPr>
        <w:t>wni</w:t>
      </w:r>
      <w:r w:rsidRPr="00DF3EF6">
        <w:rPr>
          <w:noProof/>
        </w:rPr>
        <w:t>oskiem</w:t>
      </w:r>
      <w:r w:rsidR="0031342C" w:rsidRPr="00DF3EF6">
        <w:rPr>
          <w:noProof/>
        </w:rPr>
        <w:t xml:space="preserve"> o</w:t>
      </w:r>
      <w:r w:rsidR="0031342C">
        <w:rPr>
          <w:noProof/>
        </w:rPr>
        <w:t> </w:t>
      </w:r>
      <w:r w:rsidR="0031342C" w:rsidRPr="00DF3EF6">
        <w:rPr>
          <w:noProof/>
        </w:rPr>
        <w:t>fin</w:t>
      </w:r>
      <w:r w:rsidRPr="00DF3EF6">
        <w:rPr>
          <w:noProof/>
        </w:rPr>
        <w:t>ansowanie środków zapobiegawczych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3</w:t>
      </w:r>
      <w:r w:rsidRPr="00DF3EF6">
        <w:rPr>
          <w:noProof/>
        </w:rPr>
        <w:t>, przedstawiły właściwemu organowi do konsultacji oświadczenie zawierające wykaz środków, które te instytucje kredytowe zobowiązują się wprowadzić</w:t>
      </w:r>
      <w:r w:rsidR="0031342C" w:rsidRPr="00DF3EF6">
        <w:rPr>
          <w:noProof/>
        </w:rPr>
        <w:t xml:space="preserve"> w</w:t>
      </w:r>
      <w:r w:rsidR="0031342C">
        <w:rPr>
          <w:noProof/>
        </w:rPr>
        <w:t> </w:t>
      </w:r>
      <w:r w:rsidR="0031342C" w:rsidRPr="00DF3EF6">
        <w:rPr>
          <w:noProof/>
        </w:rPr>
        <w:t>cel</w:t>
      </w:r>
      <w:r w:rsidRPr="00DF3EF6">
        <w:rPr>
          <w:noProof/>
        </w:rPr>
        <w:t>u zapewnienia lub przywrócenia zgodności</w:t>
      </w:r>
      <w:r w:rsidR="0031342C" w:rsidRPr="00DF3EF6">
        <w:rPr>
          <w:noProof/>
        </w:rPr>
        <w:t xml:space="preserve"> z</w:t>
      </w:r>
      <w:r w:rsidR="0031342C">
        <w:rPr>
          <w:noProof/>
        </w:rPr>
        <w:t> </w:t>
      </w:r>
      <w:r w:rsidR="0031342C" w:rsidRPr="00DF3EF6">
        <w:rPr>
          <w:noProof/>
        </w:rPr>
        <w:t>wym</w:t>
      </w:r>
      <w:r w:rsidRPr="00DF3EF6">
        <w:rPr>
          <w:noProof/>
        </w:rPr>
        <w:t>ogami nadzorczymi mającymi zastosowanie do danej instytucji kredytowej,</w:t>
      </w:r>
      <w:r w:rsidR="0031342C" w:rsidRPr="00DF3EF6">
        <w:rPr>
          <w:noProof/>
        </w:rPr>
        <w:t xml:space="preserve"> a</w:t>
      </w:r>
      <w:r w:rsidR="0031342C">
        <w:rPr>
          <w:noProof/>
        </w:rPr>
        <w:t> </w:t>
      </w:r>
      <w:r w:rsidR="0031342C" w:rsidRPr="00DF3EF6">
        <w:rPr>
          <w:noProof/>
        </w:rPr>
        <w:t>okr</w:t>
      </w:r>
      <w:r w:rsidRPr="00DF3EF6">
        <w:rPr>
          <w:noProof/>
        </w:rPr>
        <w:t>eślonymi</w:t>
      </w:r>
      <w:r w:rsidR="0031342C" w:rsidRPr="00DF3EF6">
        <w:rPr>
          <w:noProof/>
        </w:rPr>
        <w:t xml:space="preserve"> w</w:t>
      </w:r>
      <w:r w:rsidR="0031342C">
        <w:rPr>
          <w:noProof/>
        </w:rPr>
        <w:t> </w:t>
      </w:r>
      <w:r w:rsidR="0031342C" w:rsidRPr="00DF3EF6">
        <w:rPr>
          <w:noProof/>
        </w:rPr>
        <w:t>dyr</w:t>
      </w:r>
      <w:r w:rsidRPr="00DF3EF6">
        <w:rPr>
          <w:noProof/>
        </w:rPr>
        <w:t>ektywie 2013/36/UE</w:t>
      </w:r>
      <w:r w:rsidR="0031342C" w:rsidRPr="00DF3EF6">
        <w:rPr>
          <w:noProof/>
        </w:rPr>
        <w:t xml:space="preserve"> i</w:t>
      </w:r>
      <w:r w:rsidR="0031342C">
        <w:rPr>
          <w:noProof/>
        </w:rPr>
        <w:t> </w:t>
      </w:r>
      <w:r w:rsidR="0031342C" w:rsidRPr="00DF3EF6">
        <w:rPr>
          <w:noProof/>
        </w:rPr>
        <w:t>roz</w:t>
      </w:r>
      <w:r w:rsidRPr="00DF3EF6">
        <w:rPr>
          <w:noProof/>
        </w:rPr>
        <w:t xml:space="preserve">porządzeniu (UE) </w:t>
      </w:r>
      <w:r w:rsidRPr="0031342C">
        <w:rPr>
          <w:noProof/>
        </w:rPr>
        <w:t>nr</w:t>
      </w:r>
      <w:r w:rsidR="0031342C" w:rsidRPr="0031342C">
        <w:rPr>
          <w:noProof/>
        </w:rPr>
        <w:t> </w:t>
      </w:r>
      <w:r w:rsidRPr="0031342C">
        <w:rPr>
          <w:noProof/>
        </w:rPr>
        <w:t>5</w:t>
      </w:r>
      <w:r w:rsidRPr="00DF3EF6">
        <w:rPr>
          <w:noProof/>
        </w:rPr>
        <w:t xml:space="preserve">75/2013. </w:t>
      </w:r>
    </w:p>
    <w:p w14:paraId="49742060" w14:textId="5475112B" w:rsidR="0035057D" w:rsidRPr="00DF3EF6" w:rsidRDefault="00045E49" w:rsidP="005640F3">
      <w:pPr>
        <w:pStyle w:val="Text1"/>
        <w:rPr>
          <w:noProof/>
        </w:rPr>
      </w:pPr>
      <w:r w:rsidRPr="00DF3EF6">
        <w:rPr>
          <w:noProof/>
        </w:rPr>
        <w:t>2</w:t>
      </w:r>
      <w:r w:rsidR="0031342C" w:rsidRPr="00DF3EF6">
        <w:rPr>
          <w:noProof/>
        </w:rPr>
        <w:t>. W</w:t>
      </w:r>
      <w:r w:rsidR="0031342C">
        <w:rPr>
          <w:noProof/>
        </w:rPr>
        <w:t> </w:t>
      </w:r>
      <w:r w:rsidR="0031342C" w:rsidRPr="00DF3EF6">
        <w:rPr>
          <w:noProof/>
        </w:rPr>
        <w:t>ośw</w:t>
      </w:r>
      <w:r w:rsidRPr="00DF3EF6">
        <w:rPr>
          <w:noProof/>
        </w:rPr>
        <w:t>iadczeniu,</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określa się działania mające na celu ograniczenie ryzyka pogorszenia się kondycji finansowej oraz zwiększenie poziomu płynności</w:t>
      </w:r>
      <w:r w:rsidR="0031342C" w:rsidRPr="00DF3EF6">
        <w:rPr>
          <w:noProof/>
        </w:rPr>
        <w:t xml:space="preserve"> i</w:t>
      </w:r>
      <w:r w:rsidR="0031342C">
        <w:rPr>
          <w:noProof/>
        </w:rPr>
        <w:t> </w:t>
      </w:r>
      <w:r w:rsidR="0031342C" w:rsidRPr="00DF3EF6">
        <w:rPr>
          <w:noProof/>
        </w:rPr>
        <w:t>kap</w:t>
      </w:r>
      <w:r w:rsidRPr="00DF3EF6">
        <w:rPr>
          <w:noProof/>
        </w:rPr>
        <w:t xml:space="preserve">itału danej instytucji kredytowej. </w:t>
      </w:r>
    </w:p>
    <w:p w14:paraId="070AD321" w14:textId="3BA0C7FD" w:rsidR="0035057D" w:rsidRPr="00DF3EF6" w:rsidRDefault="00045E49" w:rsidP="005640F3">
      <w:pPr>
        <w:pStyle w:val="Text1"/>
        <w:rPr>
          <w:noProof/>
        </w:rPr>
      </w:pPr>
      <w:r w:rsidRPr="00DF3EF6">
        <w:rPr>
          <w:noProof/>
        </w:rPr>
        <w:t>3. Państwa członkowskie zapewniają, aby</w:t>
      </w:r>
      <w:r w:rsidR="0031342C" w:rsidRPr="00DF3EF6">
        <w:rPr>
          <w:noProof/>
        </w:rPr>
        <w:t xml:space="preserve"> w</w:t>
      </w:r>
      <w:r w:rsidR="0031342C">
        <w:rPr>
          <w:noProof/>
        </w:rPr>
        <w:t> </w:t>
      </w:r>
      <w:r w:rsidR="0031342C" w:rsidRPr="00DF3EF6">
        <w:rPr>
          <w:noProof/>
        </w:rPr>
        <w:t>prz</w:t>
      </w:r>
      <w:r w:rsidRPr="00DF3EF6">
        <w:rPr>
          <w:noProof/>
        </w:rPr>
        <w:t>ypadku środka wsparcia kapitałowego</w:t>
      </w:r>
      <w:r w:rsidR="0031342C" w:rsidRPr="00DF3EF6">
        <w:rPr>
          <w:noProof/>
        </w:rPr>
        <w:t xml:space="preserve"> w</w:t>
      </w:r>
      <w:r w:rsidR="0031342C">
        <w:rPr>
          <w:noProof/>
        </w:rPr>
        <w:t> </w:t>
      </w:r>
      <w:r w:rsidR="0031342C" w:rsidRPr="00DF3EF6">
        <w:rPr>
          <w:noProof/>
        </w:rPr>
        <w:t>ośw</w:t>
      </w:r>
      <w:r w:rsidRPr="00DF3EF6">
        <w:rPr>
          <w:noProof/>
        </w:rPr>
        <w:t>iadczeniu,</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wskazano wszystkie środki służące pozyskaniu kapitału, które można wdrożyć,</w:t>
      </w:r>
      <w:r w:rsidR="0031342C" w:rsidRPr="00DF3EF6">
        <w:rPr>
          <w:noProof/>
        </w:rPr>
        <w:t xml:space="preserve"> w</w:t>
      </w:r>
      <w:r w:rsidR="0031342C">
        <w:rPr>
          <w:noProof/>
        </w:rPr>
        <w:t> </w:t>
      </w:r>
      <w:r w:rsidR="0031342C" w:rsidRPr="00DF3EF6">
        <w:rPr>
          <w:noProof/>
        </w:rPr>
        <w:t>tym</w:t>
      </w:r>
      <w:r w:rsidRPr="00DF3EF6">
        <w:rPr>
          <w:noProof/>
        </w:rPr>
        <w:t xml:space="preserve"> zabezpieczenia zapobiegające wypływowi środków finansowych, prospektywną ocenę adekwatności kapitałowej oraz określenie nadal istniejącego niedoboru kapitału, który system gwarancji depozytów musi pokryć.</w:t>
      </w:r>
    </w:p>
    <w:p w14:paraId="45523AB5" w14:textId="457C0CD0" w:rsidR="0035057D" w:rsidRPr="00DF3EF6" w:rsidRDefault="002B1CBF" w:rsidP="005640F3">
      <w:pPr>
        <w:pStyle w:val="Text1"/>
        <w:rPr>
          <w:noProof/>
        </w:rPr>
      </w:pPr>
      <w:r w:rsidRPr="00DF3EF6">
        <w:rPr>
          <w:noProof/>
        </w:rPr>
        <w:t>4. Państwa członkowskie zapewniają, aby</w:t>
      </w:r>
      <w:r w:rsidR="0031342C" w:rsidRPr="00DF3EF6">
        <w:rPr>
          <w:noProof/>
        </w:rPr>
        <w:t xml:space="preserve"> w</w:t>
      </w:r>
      <w:r w:rsidR="0031342C">
        <w:rPr>
          <w:noProof/>
        </w:rPr>
        <w:t> </w:t>
      </w:r>
      <w:r w:rsidR="0031342C" w:rsidRPr="00DF3EF6">
        <w:rPr>
          <w:noProof/>
        </w:rPr>
        <w:t>prz</w:t>
      </w:r>
      <w:r w:rsidRPr="00DF3EF6">
        <w:rPr>
          <w:noProof/>
        </w:rPr>
        <w:t>ypadku środka wsparcia płynności</w:t>
      </w:r>
      <w:r w:rsidR="0031342C" w:rsidRPr="00DF3EF6">
        <w:rPr>
          <w:noProof/>
        </w:rPr>
        <w:t xml:space="preserve"> w</w:t>
      </w:r>
      <w:r w:rsidR="0031342C">
        <w:rPr>
          <w:noProof/>
        </w:rPr>
        <w:t> </w:t>
      </w:r>
      <w:r w:rsidR="0031342C" w:rsidRPr="00DF3EF6">
        <w:rPr>
          <w:noProof/>
        </w:rPr>
        <w:t>ośw</w:t>
      </w:r>
      <w:r w:rsidRPr="00DF3EF6">
        <w:rPr>
          <w:noProof/>
        </w:rPr>
        <w:t>iadczeniu,</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przedstawiono wyraźnie określony harmonogram spłaty przez instytucję kredytową wszelkich środków finansowych otrzymanych</w:t>
      </w:r>
      <w:r w:rsidR="0031342C" w:rsidRPr="00DF3EF6">
        <w:rPr>
          <w:noProof/>
        </w:rPr>
        <w:t xml:space="preserve"> w</w:t>
      </w:r>
      <w:r w:rsidR="0031342C">
        <w:rPr>
          <w:noProof/>
        </w:rPr>
        <w:t> </w:t>
      </w:r>
      <w:r w:rsidR="0031342C" w:rsidRPr="00DF3EF6">
        <w:rPr>
          <w:noProof/>
        </w:rPr>
        <w:t>ram</w:t>
      </w:r>
      <w:r w:rsidRPr="00DF3EF6">
        <w:rPr>
          <w:noProof/>
        </w:rPr>
        <w:t>ach środków zapobiegawczych.</w:t>
      </w:r>
    </w:p>
    <w:p w14:paraId="7EA3018D" w14:textId="7DA9A220" w:rsidR="0035057D" w:rsidRPr="00DF3EF6" w:rsidRDefault="00045E49" w:rsidP="005640F3">
      <w:pPr>
        <w:pStyle w:val="Text1"/>
        <w:rPr>
          <w:noProof/>
        </w:rPr>
      </w:pPr>
      <w:r w:rsidRPr="00DF3EF6">
        <w:rPr>
          <w:noProof/>
        </w:rPr>
        <w:lastRenderedPageBreak/>
        <w:t>5</w:t>
      </w:r>
      <w:r w:rsidR="0031342C" w:rsidRPr="00DF3EF6">
        <w:rPr>
          <w:noProof/>
        </w:rPr>
        <w:t>. W</w:t>
      </w:r>
      <w:r w:rsidR="0031342C">
        <w:rPr>
          <w:noProof/>
        </w:rPr>
        <w:t> </w:t>
      </w:r>
      <w:r w:rsidR="0031342C" w:rsidRPr="00DF3EF6">
        <w:rPr>
          <w:noProof/>
        </w:rPr>
        <w:t>sto</w:t>
      </w:r>
      <w:r w:rsidRPr="00DF3EF6">
        <w:rPr>
          <w:noProof/>
        </w:rPr>
        <w:t>sownych przypadkach państwa członkowskie zapewniają, aby środki przewidziane</w:t>
      </w:r>
      <w:r w:rsidR="0031342C" w:rsidRPr="00DF3EF6">
        <w:rPr>
          <w:noProof/>
        </w:rPr>
        <w:t xml:space="preserve"> w</w:t>
      </w:r>
      <w:r w:rsidR="0031342C">
        <w:rPr>
          <w:noProof/>
        </w:rPr>
        <w:t> </w:t>
      </w:r>
      <w:r w:rsidR="0031342C" w:rsidRPr="00DF3EF6">
        <w:rPr>
          <w:noProof/>
        </w:rPr>
        <w:t>ośw</w:t>
      </w:r>
      <w:r w:rsidRPr="00DF3EF6">
        <w:rPr>
          <w:noProof/>
        </w:rPr>
        <w:t>iadczeniu,</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były zgodne</w:t>
      </w:r>
      <w:r w:rsidR="0031342C" w:rsidRPr="00DF3EF6">
        <w:rPr>
          <w:noProof/>
        </w:rPr>
        <w:t xml:space="preserve"> z</w:t>
      </w:r>
      <w:r w:rsidR="0031342C">
        <w:rPr>
          <w:noProof/>
        </w:rPr>
        <w:t> </w:t>
      </w:r>
      <w:r w:rsidR="0031342C" w:rsidRPr="00DF3EF6">
        <w:rPr>
          <w:noProof/>
        </w:rPr>
        <w:t>pla</w:t>
      </w:r>
      <w:r w:rsidRPr="00DF3EF6">
        <w:rPr>
          <w:noProof/>
        </w:rPr>
        <w:t>nem ochrony kapitału,</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42 dyrektywy 2013/36/UE.</w:t>
      </w:r>
    </w:p>
    <w:p w14:paraId="4E7F6938" w14:textId="3DA3C003" w:rsidR="00F15BAB" w:rsidRPr="00DF3EF6" w:rsidRDefault="00045E49" w:rsidP="005640F3">
      <w:pPr>
        <w:pStyle w:val="Text1"/>
        <w:rPr>
          <w:noProof/>
        </w:rPr>
      </w:pPr>
      <w:r w:rsidRPr="00DF3EF6">
        <w:rPr>
          <w:noProof/>
        </w:rPr>
        <w:t>6</w:t>
      </w:r>
      <w:r w:rsidR="0031342C" w:rsidRPr="00DF3EF6">
        <w:rPr>
          <w:noProof/>
        </w:rPr>
        <w:t>. W</w:t>
      </w:r>
      <w:r w:rsidR="0031342C">
        <w:rPr>
          <w:noProof/>
        </w:rPr>
        <w:t> </w:t>
      </w:r>
      <w:r w:rsidR="0031342C" w:rsidRPr="00DF3EF6">
        <w:rPr>
          <w:noProof/>
        </w:rPr>
        <w:t>prz</w:t>
      </w:r>
      <w:r w:rsidRPr="00DF3EF6">
        <w:rPr>
          <w:noProof/>
        </w:rPr>
        <w:t>ypadku gdy zastosowanie mają unijne ramy pomocy państwa, państwa członkowskie zapewniają, aby środki przewidziane</w:t>
      </w:r>
      <w:r w:rsidR="0031342C" w:rsidRPr="00DF3EF6">
        <w:rPr>
          <w:noProof/>
        </w:rPr>
        <w:t xml:space="preserve"> w</w:t>
      </w:r>
      <w:r w:rsidR="0031342C">
        <w:rPr>
          <w:noProof/>
        </w:rPr>
        <w:t> </w:t>
      </w:r>
      <w:r w:rsidR="0031342C" w:rsidRPr="00DF3EF6">
        <w:rPr>
          <w:noProof/>
        </w:rPr>
        <w:t>ośw</w:t>
      </w:r>
      <w:r w:rsidRPr="00DF3EF6">
        <w:rPr>
          <w:noProof/>
        </w:rPr>
        <w:t>iadczeniu,</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były zgodne</w:t>
      </w:r>
      <w:r w:rsidR="0031342C" w:rsidRPr="00DF3EF6">
        <w:rPr>
          <w:noProof/>
        </w:rPr>
        <w:t xml:space="preserve"> z</w:t>
      </w:r>
      <w:r w:rsidR="0031342C">
        <w:rPr>
          <w:noProof/>
        </w:rPr>
        <w:t> </w:t>
      </w:r>
      <w:r w:rsidR="0031342C" w:rsidRPr="00DF3EF6">
        <w:rPr>
          <w:noProof/>
        </w:rPr>
        <w:t>pla</w:t>
      </w:r>
      <w:r w:rsidRPr="00DF3EF6">
        <w:rPr>
          <w:noProof/>
        </w:rPr>
        <w:t>nem restrukturyzacji, który instytucja kredytowa musi przedłożyć Komisji zgodnie</w:t>
      </w:r>
      <w:r w:rsidR="0031342C" w:rsidRPr="00DF3EF6">
        <w:rPr>
          <w:noProof/>
        </w:rPr>
        <w:t xml:space="preserve"> z</w:t>
      </w:r>
      <w:r w:rsidR="0031342C">
        <w:rPr>
          <w:noProof/>
        </w:rPr>
        <w:t> </w:t>
      </w:r>
      <w:r w:rsidR="0031342C" w:rsidRPr="00DF3EF6">
        <w:rPr>
          <w:noProof/>
        </w:rPr>
        <w:t>tym</w:t>
      </w:r>
      <w:r w:rsidRPr="00DF3EF6">
        <w:rPr>
          <w:noProof/>
        </w:rPr>
        <w:t>i ramami.</w:t>
      </w:r>
    </w:p>
    <w:p w14:paraId="0ADDD2EA" w14:textId="77777777" w:rsidR="00F15BAB" w:rsidRPr="0031342C" w:rsidRDefault="00F15BAB">
      <w:pPr>
        <w:spacing w:before="0" w:after="200" w:line="276" w:lineRule="auto"/>
        <w:jc w:val="left"/>
        <w:rPr>
          <w:noProof/>
        </w:rPr>
      </w:pPr>
      <w:r w:rsidRPr="00DF3EF6">
        <w:rPr>
          <w:noProof/>
        </w:rPr>
        <w:br w:type="page"/>
      </w:r>
    </w:p>
    <w:p w14:paraId="24C13A66" w14:textId="319B5462" w:rsidR="00066954" w:rsidRPr="00DF3EF6" w:rsidRDefault="00506BA8" w:rsidP="00066954">
      <w:pPr>
        <w:pStyle w:val="Text1"/>
        <w:jc w:val="center"/>
        <w:rPr>
          <w:i/>
          <w:noProof/>
        </w:rPr>
      </w:pPr>
      <w:r w:rsidRPr="0031342C">
        <w:rPr>
          <w:i/>
          <w:noProof/>
        </w:rPr>
        <w:lastRenderedPageBreak/>
        <w:t>A</w:t>
      </w:r>
      <w:r w:rsidRPr="00DF3EF6">
        <w:rPr>
          <w:i/>
          <w:noProof/>
        </w:rPr>
        <w:t>rtykuł 11c</w:t>
      </w:r>
    </w:p>
    <w:p w14:paraId="23EA3259" w14:textId="77777777" w:rsidR="00066954" w:rsidRPr="00DF3EF6" w:rsidRDefault="00066954" w:rsidP="00066954">
      <w:pPr>
        <w:pStyle w:val="Text1"/>
        <w:jc w:val="center"/>
        <w:rPr>
          <w:b/>
          <w:noProof/>
        </w:rPr>
      </w:pPr>
      <w:r w:rsidRPr="00DF3EF6">
        <w:rPr>
          <w:b/>
          <w:noProof/>
        </w:rPr>
        <w:t>Plan działań naprawczych</w:t>
      </w:r>
    </w:p>
    <w:p w14:paraId="6A9A4B42" w14:textId="402FCB8C" w:rsidR="00412237" w:rsidRPr="00DF3EF6" w:rsidRDefault="0035057D" w:rsidP="005640F3">
      <w:pPr>
        <w:pStyle w:val="Text1"/>
        <w:rPr>
          <w:noProof/>
        </w:rPr>
      </w:pPr>
      <w:r w:rsidRPr="00DF3EF6">
        <w:rPr>
          <w:noProof/>
        </w:rPr>
        <w:t>1. Państwa członkowskie zapewniają, aby</w:t>
      </w:r>
      <w:r w:rsidR="0031342C" w:rsidRPr="00DF3EF6">
        <w:rPr>
          <w:noProof/>
        </w:rPr>
        <w:t xml:space="preserve"> w</w:t>
      </w:r>
      <w:r w:rsidR="0031342C">
        <w:rPr>
          <w:noProof/>
        </w:rPr>
        <w:t> </w:t>
      </w:r>
      <w:r w:rsidR="0031342C" w:rsidRPr="00DF3EF6">
        <w:rPr>
          <w:noProof/>
        </w:rPr>
        <w:t>syt</w:t>
      </w:r>
      <w:r w:rsidRPr="00DF3EF6">
        <w:rPr>
          <w:noProof/>
        </w:rPr>
        <w:t>uacji, gdy instytucja kredytowa nie wywiąże się</w:t>
      </w:r>
      <w:r w:rsidR="0031342C" w:rsidRPr="00DF3EF6">
        <w:rPr>
          <w:noProof/>
        </w:rPr>
        <w:t xml:space="preserve"> z</w:t>
      </w:r>
      <w:r w:rsidR="0031342C">
        <w:rPr>
          <w:noProof/>
        </w:rPr>
        <w:t> </w:t>
      </w:r>
      <w:r w:rsidR="0031342C" w:rsidRPr="00DF3EF6">
        <w:rPr>
          <w:noProof/>
        </w:rPr>
        <w:t>zob</w:t>
      </w:r>
      <w:r w:rsidRPr="00DF3EF6">
        <w:rPr>
          <w:noProof/>
        </w:rPr>
        <w:t>owiązań określonych</w:t>
      </w:r>
      <w:r w:rsidR="0031342C" w:rsidRPr="00DF3EF6">
        <w:rPr>
          <w:noProof/>
        </w:rPr>
        <w:t xml:space="preserve"> w</w:t>
      </w:r>
      <w:r w:rsidR="0031342C">
        <w:rPr>
          <w:noProof/>
        </w:rPr>
        <w:t> </w:t>
      </w:r>
      <w:r w:rsidR="0031342C" w:rsidRPr="00DF3EF6">
        <w:rPr>
          <w:noProof/>
        </w:rPr>
        <w:t>ośw</w:t>
      </w:r>
      <w:r w:rsidRPr="00DF3EF6">
        <w:rPr>
          <w:noProof/>
        </w:rPr>
        <w:t>iadczeniu,</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1b </w:t>
      </w:r>
      <w:r w:rsidRPr="0031342C">
        <w:rPr>
          <w:noProof/>
        </w:rPr>
        <w:t>ust.</w:t>
      </w:r>
      <w:r w:rsidR="0031342C" w:rsidRPr="0031342C">
        <w:rPr>
          <w:noProof/>
        </w:rPr>
        <w:t> </w:t>
      </w:r>
      <w:r w:rsidRPr="0031342C">
        <w:rPr>
          <w:noProof/>
        </w:rPr>
        <w:t>1</w:t>
      </w:r>
      <w:r w:rsidRPr="00DF3EF6">
        <w:rPr>
          <w:noProof/>
        </w:rPr>
        <w:t>, lub nie spłaci kwoty wniesionej</w:t>
      </w:r>
      <w:r w:rsidR="0031342C" w:rsidRPr="00DF3EF6">
        <w:rPr>
          <w:noProof/>
        </w:rPr>
        <w:t xml:space="preserve"> w</w:t>
      </w:r>
      <w:r w:rsidR="0031342C">
        <w:rPr>
          <w:noProof/>
        </w:rPr>
        <w:t> </w:t>
      </w:r>
      <w:r w:rsidR="0031342C" w:rsidRPr="00DF3EF6">
        <w:rPr>
          <w:noProof/>
        </w:rPr>
        <w:t>ram</w:t>
      </w:r>
      <w:r w:rsidRPr="00DF3EF6">
        <w:rPr>
          <w:noProof/>
        </w:rPr>
        <w:t>ach środków zapobiegawczych</w:t>
      </w:r>
      <w:r w:rsidR="0031342C" w:rsidRPr="00DF3EF6">
        <w:rPr>
          <w:noProof/>
        </w:rPr>
        <w:t xml:space="preserve"> w</w:t>
      </w:r>
      <w:r w:rsidR="0031342C">
        <w:rPr>
          <w:noProof/>
        </w:rPr>
        <w:t> </w:t>
      </w:r>
      <w:r w:rsidR="0031342C" w:rsidRPr="00DF3EF6">
        <w:rPr>
          <w:noProof/>
        </w:rPr>
        <w:t>ter</w:t>
      </w:r>
      <w:r w:rsidRPr="00DF3EF6">
        <w:rPr>
          <w:noProof/>
        </w:rPr>
        <w:t>minie wymagalności, system gwarancji depozytów niezwłocznie informował</w:t>
      </w:r>
      <w:r w:rsidR="0031342C" w:rsidRPr="00DF3EF6">
        <w:rPr>
          <w:noProof/>
        </w:rPr>
        <w:t xml:space="preserve"> o</w:t>
      </w:r>
      <w:r w:rsidR="0031342C">
        <w:rPr>
          <w:noProof/>
        </w:rPr>
        <w:t> </w:t>
      </w:r>
      <w:r w:rsidR="0031342C" w:rsidRPr="00DF3EF6">
        <w:rPr>
          <w:noProof/>
        </w:rPr>
        <w:t>tym</w:t>
      </w:r>
      <w:r w:rsidRPr="00DF3EF6">
        <w:rPr>
          <w:noProof/>
        </w:rPr>
        <w:t xml:space="preserve"> właściwy organ. </w:t>
      </w:r>
    </w:p>
    <w:p w14:paraId="3C461565" w14:textId="1583C392" w:rsidR="0035057D" w:rsidRPr="00DF3EF6" w:rsidRDefault="00412237" w:rsidP="005640F3">
      <w:pPr>
        <w:pStyle w:val="Text1"/>
        <w:rPr>
          <w:noProof/>
        </w:rPr>
      </w:pPr>
      <w:r w:rsidRPr="00DF3EF6">
        <w:rPr>
          <w:noProof/>
        </w:rPr>
        <w:t>2</w:t>
      </w:r>
      <w:r w:rsidR="0031342C" w:rsidRPr="00DF3EF6">
        <w:rPr>
          <w:noProof/>
        </w:rPr>
        <w:t>. W</w:t>
      </w:r>
      <w:r w:rsidR="0031342C">
        <w:rPr>
          <w:noProof/>
        </w:rPr>
        <w:t> </w:t>
      </w:r>
      <w:r w:rsidR="0031342C" w:rsidRPr="00DF3EF6">
        <w:rPr>
          <w:noProof/>
        </w:rPr>
        <w:t>syt</w:t>
      </w:r>
      <w:r w:rsidRPr="00DF3EF6">
        <w:rPr>
          <w:noProof/>
        </w:rPr>
        <w:t>uacji,</w:t>
      </w:r>
      <w:r w:rsidR="0031342C" w:rsidRPr="00DF3EF6">
        <w:rPr>
          <w:noProof/>
        </w:rPr>
        <w:t xml:space="preserve"> o</w:t>
      </w:r>
      <w:r w:rsidR="0031342C">
        <w:rPr>
          <w:noProof/>
        </w:rPr>
        <w:t> </w:t>
      </w:r>
      <w:r w:rsidR="0031342C" w:rsidRPr="00DF3EF6">
        <w:rPr>
          <w:noProof/>
        </w:rPr>
        <w:t>któ</w:t>
      </w:r>
      <w:r w:rsidRPr="00DF3EF6">
        <w:rPr>
          <w:noProof/>
        </w:rPr>
        <w:t>rej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państwa członkowskie zapewniają, aby właściwy organ zwracał się do instytucji kredytowej</w:t>
      </w:r>
      <w:r w:rsidR="0031342C" w:rsidRPr="00DF3EF6">
        <w:rPr>
          <w:noProof/>
        </w:rPr>
        <w:t xml:space="preserve"> o</w:t>
      </w:r>
      <w:r w:rsidR="0031342C">
        <w:rPr>
          <w:noProof/>
        </w:rPr>
        <w:t> </w:t>
      </w:r>
      <w:r w:rsidR="0031342C" w:rsidRPr="00DF3EF6">
        <w:rPr>
          <w:noProof/>
        </w:rPr>
        <w:t>prz</w:t>
      </w:r>
      <w:r w:rsidRPr="00DF3EF6">
        <w:rPr>
          <w:noProof/>
        </w:rPr>
        <w:t>edłożenie planu działań naprawczych opisującego kroki, jakie instytucja kredytowa podejmie</w:t>
      </w:r>
      <w:r w:rsidR="0031342C" w:rsidRPr="00DF3EF6">
        <w:rPr>
          <w:noProof/>
        </w:rPr>
        <w:t xml:space="preserve"> w</w:t>
      </w:r>
      <w:r w:rsidR="0031342C">
        <w:rPr>
          <w:noProof/>
        </w:rPr>
        <w:t> </w:t>
      </w:r>
      <w:r w:rsidR="0031342C" w:rsidRPr="00DF3EF6">
        <w:rPr>
          <w:noProof/>
        </w:rPr>
        <w:t>cel</w:t>
      </w:r>
      <w:r w:rsidRPr="00DF3EF6">
        <w:rPr>
          <w:noProof/>
        </w:rPr>
        <w:t>u zapewnienia lub przywrócenia zgodności</w:t>
      </w:r>
      <w:r w:rsidR="0031342C" w:rsidRPr="00DF3EF6">
        <w:rPr>
          <w:noProof/>
        </w:rPr>
        <w:t xml:space="preserve"> z</w:t>
      </w:r>
      <w:r w:rsidR="0031342C">
        <w:rPr>
          <w:noProof/>
        </w:rPr>
        <w:t> </w:t>
      </w:r>
      <w:r w:rsidR="0031342C" w:rsidRPr="00DF3EF6">
        <w:rPr>
          <w:noProof/>
        </w:rPr>
        <w:t>wym</w:t>
      </w:r>
      <w:r w:rsidRPr="00DF3EF6">
        <w:rPr>
          <w:noProof/>
        </w:rPr>
        <w:t xml:space="preserve">ogami nadzorczymi, zapewnienia swojej długoterminowej rentowności oraz </w:t>
      </w:r>
      <w:bookmarkStart w:id="16" w:name="_Hlk127374863"/>
      <w:r w:rsidRPr="00DF3EF6">
        <w:rPr>
          <w:noProof/>
        </w:rPr>
        <w:t>spłaty należnej kwoty wniesionej przez system gwarancji depozytów na rzecz środka zapobiegawczego,</w:t>
      </w:r>
      <w:r w:rsidR="0031342C" w:rsidRPr="00DF3EF6">
        <w:rPr>
          <w:noProof/>
        </w:rPr>
        <w:t xml:space="preserve"> a</w:t>
      </w:r>
      <w:r w:rsidR="0031342C">
        <w:rPr>
          <w:noProof/>
        </w:rPr>
        <w:t> </w:t>
      </w:r>
      <w:r w:rsidR="0031342C" w:rsidRPr="00DF3EF6">
        <w:rPr>
          <w:noProof/>
        </w:rPr>
        <w:t>tak</w:t>
      </w:r>
      <w:r w:rsidRPr="00DF3EF6">
        <w:rPr>
          <w:noProof/>
        </w:rPr>
        <w:t>że związane</w:t>
      </w:r>
      <w:r w:rsidR="0031342C" w:rsidRPr="00DF3EF6">
        <w:rPr>
          <w:noProof/>
        </w:rPr>
        <w:t xml:space="preserve"> z</w:t>
      </w:r>
      <w:r w:rsidR="0031342C">
        <w:rPr>
          <w:noProof/>
        </w:rPr>
        <w:t> </w:t>
      </w:r>
      <w:r w:rsidR="0031342C" w:rsidRPr="00DF3EF6">
        <w:rPr>
          <w:noProof/>
        </w:rPr>
        <w:t>tym</w:t>
      </w:r>
      <w:r w:rsidRPr="00DF3EF6">
        <w:rPr>
          <w:noProof/>
        </w:rPr>
        <w:t xml:space="preserve"> ramy czasowe.</w:t>
      </w:r>
      <w:bookmarkEnd w:id="16"/>
      <w:r w:rsidRPr="00DF3EF6">
        <w:rPr>
          <w:noProof/>
        </w:rPr>
        <w:t xml:space="preserve"> </w:t>
      </w:r>
    </w:p>
    <w:p w14:paraId="67AF852D" w14:textId="061E3595" w:rsidR="0035057D" w:rsidRPr="00DF3EF6" w:rsidRDefault="0035057D" w:rsidP="005640F3">
      <w:pPr>
        <w:pStyle w:val="Text1"/>
        <w:rPr>
          <w:noProof/>
        </w:rPr>
      </w:pPr>
      <w:r w:rsidRPr="00DF3EF6">
        <w:rPr>
          <w:noProof/>
        </w:rPr>
        <w:t>3. Jeżeli właściwy organ nie jest przekonany, że plan działań naprawczych jest wiarygodny lub wykonalny, system gwarancji depozytów nie stosuje wobec tej instytucji kredytowej żadnych dalszych środków zapobiegawczych.</w:t>
      </w:r>
      <w:bookmarkStart w:id="17" w:name="_Hlk125725169"/>
    </w:p>
    <w:p w14:paraId="5395061C" w14:textId="224ECFE2" w:rsidR="0035057D" w:rsidRPr="00DF3EF6" w:rsidRDefault="0035057D" w:rsidP="005640F3">
      <w:pPr>
        <w:pStyle w:val="Text1"/>
        <w:rPr>
          <w:noProof/>
        </w:rPr>
      </w:pPr>
      <w:r w:rsidRPr="00DF3EF6">
        <w:rPr>
          <w:noProof/>
        </w:rPr>
        <w:t>4. Do dnia ... [Urząd Publikacji – proszę wstawić datę = 42 miesiące po dacie wejścia</w:t>
      </w:r>
      <w:r w:rsidR="0031342C" w:rsidRPr="00DF3EF6">
        <w:rPr>
          <w:noProof/>
        </w:rPr>
        <w:t xml:space="preserve"> w</w:t>
      </w:r>
      <w:r w:rsidR="0031342C">
        <w:rPr>
          <w:noProof/>
        </w:rPr>
        <w:t> </w:t>
      </w:r>
      <w:r w:rsidR="0031342C" w:rsidRPr="00DF3EF6">
        <w:rPr>
          <w:noProof/>
        </w:rPr>
        <w:t>życ</w:t>
      </w:r>
      <w:r w:rsidRPr="00DF3EF6">
        <w:rPr>
          <w:noProof/>
        </w:rPr>
        <w:t>ie niniejszej dyrektywy] r. EUNB wyda wytyczne określające elementy oświadczenia towarzyszącego środkom zapobiegawczym,</w:t>
      </w:r>
      <w:r w:rsidR="0031342C" w:rsidRPr="00DF3EF6">
        <w:rPr>
          <w:noProof/>
        </w:rPr>
        <w:t xml:space="preserve"> o</w:t>
      </w:r>
      <w:r w:rsidR="0031342C">
        <w:rPr>
          <w:noProof/>
        </w:rPr>
        <w:t> </w:t>
      </w:r>
      <w:r w:rsidR="0031342C" w:rsidRPr="00DF3EF6">
        <w:rPr>
          <w:noProof/>
        </w:rPr>
        <w:t>któ</w:t>
      </w:r>
      <w:r w:rsidRPr="00DF3EF6">
        <w:rPr>
          <w:noProof/>
        </w:rPr>
        <w:t>rym to oświadczeniu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1b </w:t>
      </w:r>
      <w:r w:rsidRPr="0031342C">
        <w:rPr>
          <w:noProof/>
        </w:rPr>
        <w:t>ust.</w:t>
      </w:r>
      <w:r w:rsidR="0031342C" w:rsidRPr="0031342C">
        <w:rPr>
          <w:noProof/>
        </w:rPr>
        <w:t> </w:t>
      </w:r>
      <w:r w:rsidRPr="0031342C">
        <w:rPr>
          <w:noProof/>
        </w:rPr>
        <w:t>1</w:t>
      </w:r>
      <w:r w:rsidRPr="00DF3EF6">
        <w:rPr>
          <w:noProof/>
        </w:rPr>
        <w:t>, oraz elementy planu działań naprawczych,</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xml:space="preserve"> niniejszego artykułu. </w:t>
      </w:r>
    </w:p>
    <w:bookmarkEnd w:id="17"/>
    <w:p w14:paraId="17183631" w14:textId="77777777" w:rsidR="005640F3" w:rsidRPr="00DF3EF6" w:rsidRDefault="005640F3" w:rsidP="005640F3">
      <w:pPr>
        <w:pStyle w:val="Text1"/>
        <w:jc w:val="center"/>
        <w:rPr>
          <w:i/>
          <w:noProof/>
        </w:rPr>
      </w:pPr>
      <w:r w:rsidRPr="00DF3EF6">
        <w:rPr>
          <w:i/>
          <w:noProof/>
        </w:rPr>
        <w:t>Artykuł 11d</w:t>
      </w:r>
    </w:p>
    <w:p w14:paraId="16E3BD5C" w14:textId="6E9154C4" w:rsidR="005640F3" w:rsidRPr="00DF3EF6" w:rsidRDefault="005640F3" w:rsidP="005640F3">
      <w:pPr>
        <w:pStyle w:val="Text1"/>
        <w:jc w:val="center"/>
        <w:rPr>
          <w:b/>
          <w:noProof/>
        </w:rPr>
      </w:pPr>
      <w:r w:rsidRPr="00DF3EF6">
        <w:rPr>
          <w:b/>
          <w:noProof/>
        </w:rPr>
        <w:t>Przejrzystość procesu organizacji oferty sprzedaży</w:t>
      </w:r>
      <w:r w:rsidR="0031342C" w:rsidRPr="00DF3EF6">
        <w:rPr>
          <w:b/>
          <w:noProof/>
        </w:rPr>
        <w:t xml:space="preserve"> w</w:t>
      </w:r>
      <w:r w:rsidR="0031342C">
        <w:rPr>
          <w:b/>
          <w:noProof/>
        </w:rPr>
        <w:t> </w:t>
      </w:r>
      <w:r w:rsidR="0031342C" w:rsidRPr="00DF3EF6">
        <w:rPr>
          <w:b/>
          <w:noProof/>
        </w:rPr>
        <w:t>ram</w:t>
      </w:r>
      <w:r w:rsidRPr="00DF3EF6">
        <w:rPr>
          <w:b/>
          <w:noProof/>
        </w:rPr>
        <w:t xml:space="preserve">ach środków alternatywnych </w:t>
      </w:r>
    </w:p>
    <w:p w14:paraId="39E437CE" w14:textId="3B682552" w:rsidR="0035057D" w:rsidRPr="00DF3EF6" w:rsidRDefault="0035057D" w:rsidP="005640F3">
      <w:pPr>
        <w:pStyle w:val="Text1"/>
        <w:rPr>
          <w:noProof/>
        </w:rPr>
      </w:pPr>
      <w:r w:rsidRPr="00DF3EF6">
        <w:rPr>
          <w:noProof/>
        </w:rPr>
        <w:t>1. Jeżeli państwa członkowskie zezwalają na wykorzystanie środków systemu gwarancji depozytów na potrzeby środków alternatywnych,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5</w:t>
      </w:r>
      <w:r w:rsidRPr="00DF3EF6">
        <w:rPr>
          <w:noProof/>
        </w:rPr>
        <w:t>, zapewniają one, aby</w:t>
      </w:r>
      <w:r w:rsidR="0031342C" w:rsidRPr="00DF3EF6">
        <w:rPr>
          <w:noProof/>
        </w:rPr>
        <w:t xml:space="preserve"> w</w:t>
      </w:r>
      <w:r w:rsidR="0031342C">
        <w:rPr>
          <w:noProof/>
        </w:rPr>
        <w:t> </w:t>
      </w:r>
      <w:r w:rsidR="0031342C" w:rsidRPr="00DF3EF6">
        <w:rPr>
          <w:noProof/>
        </w:rPr>
        <w:t>prz</w:t>
      </w:r>
      <w:r w:rsidRPr="00DF3EF6">
        <w:rPr>
          <w:noProof/>
        </w:rPr>
        <w:t>ypadku finansowania takich środków przez systemy gwarancji depozytów instytucje kredytowe oferowały do sprzedaży aktywa, prawa</w:t>
      </w:r>
      <w:r w:rsidR="0031342C" w:rsidRPr="00DF3EF6">
        <w:rPr>
          <w:noProof/>
        </w:rPr>
        <w:t xml:space="preserve"> i</w:t>
      </w:r>
      <w:r w:rsidR="0031342C">
        <w:rPr>
          <w:noProof/>
        </w:rPr>
        <w:t> </w:t>
      </w:r>
      <w:r w:rsidR="0031342C" w:rsidRPr="00DF3EF6">
        <w:rPr>
          <w:noProof/>
        </w:rPr>
        <w:t>zob</w:t>
      </w:r>
      <w:r w:rsidRPr="00DF3EF6">
        <w:rPr>
          <w:noProof/>
        </w:rPr>
        <w:t>owiązania, które te instytucje kredytowe zamierzają przenieść, lub zlecały zorganizowanie oferty sprzedaży tych aktów, praw</w:t>
      </w:r>
      <w:r w:rsidR="0031342C" w:rsidRPr="00DF3EF6">
        <w:rPr>
          <w:noProof/>
        </w:rPr>
        <w:t xml:space="preserve"> i</w:t>
      </w:r>
      <w:r w:rsidR="0031342C">
        <w:rPr>
          <w:noProof/>
        </w:rPr>
        <w:t> </w:t>
      </w:r>
      <w:r w:rsidR="0031342C" w:rsidRPr="00DF3EF6">
        <w:rPr>
          <w:noProof/>
        </w:rPr>
        <w:t>zob</w:t>
      </w:r>
      <w:r w:rsidRPr="00DF3EF6">
        <w:rPr>
          <w:noProof/>
        </w:rPr>
        <w:t xml:space="preserve">owiązań. Bez uszczerbku dla unijnych ram pomocy państwa taka oferta musi spełniać wszystkie poniższe wymogi: </w:t>
      </w:r>
    </w:p>
    <w:p w14:paraId="033DBB52" w14:textId="1C1FAF02" w:rsidR="00577C19" w:rsidRPr="00DF3EF6" w:rsidRDefault="00DF3EF6" w:rsidP="00DF3EF6">
      <w:pPr>
        <w:pStyle w:val="Point1"/>
        <w:rPr>
          <w:noProof/>
        </w:rPr>
      </w:pPr>
      <w:r>
        <w:rPr>
          <w:noProof/>
        </w:rPr>
        <w:t>a)</w:t>
      </w:r>
      <w:r>
        <w:rPr>
          <w:noProof/>
        </w:rPr>
        <w:tab/>
      </w:r>
      <w:r w:rsidR="00577C19" w:rsidRPr="00DF3EF6">
        <w:rPr>
          <w:noProof/>
        </w:rPr>
        <w:t>oferta jest otwarta</w:t>
      </w:r>
      <w:r w:rsidR="0031342C" w:rsidRPr="00DF3EF6">
        <w:rPr>
          <w:noProof/>
        </w:rPr>
        <w:t xml:space="preserve"> i</w:t>
      </w:r>
      <w:r w:rsidR="0031342C">
        <w:rPr>
          <w:noProof/>
        </w:rPr>
        <w:t> </w:t>
      </w:r>
      <w:r w:rsidR="0031342C" w:rsidRPr="00DF3EF6">
        <w:rPr>
          <w:noProof/>
        </w:rPr>
        <w:t>prz</w:t>
      </w:r>
      <w:r w:rsidR="00577C19" w:rsidRPr="00DF3EF6">
        <w:rPr>
          <w:noProof/>
        </w:rPr>
        <w:t>ejrzysta oraz nie przedstawia</w:t>
      </w:r>
      <w:r w:rsidR="0031342C" w:rsidRPr="00DF3EF6">
        <w:rPr>
          <w:noProof/>
        </w:rPr>
        <w:t xml:space="preserve"> w</w:t>
      </w:r>
      <w:r w:rsidR="0031342C">
        <w:rPr>
          <w:noProof/>
        </w:rPr>
        <w:t> </w:t>
      </w:r>
      <w:r w:rsidR="0031342C" w:rsidRPr="00DF3EF6">
        <w:rPr>
          <w:noProof/>
        </w:rPr>
        <w:t>spo</w:t>
      </w:r>
      <w:r w:rsidR="00577C19" w:rsidRPr="00DF3EF6">
        <w:rPr>
          <w:noProof/>
        </w:rPr>
        <w:t>sób błędny aktywów, praw</w:t>
      </w:r>
      <w:r w:rsidR="0031342C" w:rsidRPr="00DF3EF6">
        <w:rPr>
          <w:noProof/>
        </w:rPr>
        <w:t xml:space="preserve"> i</w:t>
      </w:r>
      <w:r w:rsidR="0031342C">
        <w:rPr>
          <w:noProof/>
        </w:rPr>
        <w:t> </w:t>
      </w:r>
      <w:r w:rsidR="0031342C" w:rsidRPr="00DF3EF6">
        <w:rPr>
          <w:noProof/>
        </w:rPr>
        <w:t>zob</w:t>
      </w:r>
      <w:r w:rsidR="00577C19" w:rsidRPr="00DF3EF6">
        <w:rPr>
          <w:noProof/>
        </w:rPr>
        <w:t>owiązań, które mają zostać przeniesione;</w:t>
      </w:r>
    </w:p>
    <w:p w14:paraId="7247F853" w14:textId="5D6F3DBC" w:rsidR="00577C19" w:rsidRPr="00DF3EF6" w:rsidRDefault="00DF3EF6" w:rsidP="00DF3EF6">
      <w:pPr>
        <w:pStyle w:val="Point1"/>
        <w:rPr>
          <w:noProof/>
        </w:rPr>
      </w:pPr>
      <w:r>
        <w:rPr>
          <w:noProof/>
        </w:rPr>
        <w:t>b)</w:t>
      </w:r>
      <w:r>
        <w:rPr>
          <w:noProof/>
        </w:rPr>
        <w:tab/>
      </w:r>
      <w:r w:rsidR="00577C19" w:rsidRPr="00DF3EF6">
        <w:rPr>
          <w:noProof/>
        </w:rPr>
        <w:t>oferta nie faworyzuje ani nie dyskryminuje potencjalnych nabywców</w:t>
      </w:r>
      <w:r w:rsidR="0031342C" w:rsidRPr="00DF3EF6">
        <w:rPr>
          <w:noProof/>
        </w:rPr>
        <w:t xml:space="preserve"> i</w:t>
      </w:r>
      <w:r w:rsidR="0031342C">
        <w:rPr>
          <w:noProof/>
        </w:rPr>
        <w:t> </w:t>
      </w:r>
      <w:r w:rsidR="0031342C" w:rsidRPr="00DF3EF6">
        <w:rPr>
          <w:noProof/>
        </w:rPr>
        <w:t>nie</w:t>
      </w:r>
      <w:r w:rsidR="00577C19" w:rsidRPr="00DF3EF6">
        <w:rPr>
          <w:noProof/>
        </w:rPr>
        <w:t xml:space="preserve"> przyznaje żadnych korzyści potencjalnemu nabywcy;</w:t>
      </w:r>
    </w:p>
    <w:p w14:paraId="4E0E898E" w14:textId="46531D7C" w:rsidR="00577C19" w:rsidRPr="00DF3EF6" w:rsidRDefault="00DF3EF6" w:rsidP="00DF3EF6">
      <w:pPr>
        <w:pStyle w:val="Point1"/>
        <w:rPr>
          <w:noProof/>
        </w:rPr>
      </w:pPr>
      <w:r>
        <w:rPr>
          <w:noProof/>
        </w:rPr>
        <w:t>c)</w:t>
      </w:r>
      <w:r>
        <w:rPr>
          <w:noProof/>
        </w:rPr>
        <w:tab/>
      </w:r>
      <w:r w:rsidR="00577C19" w:rsidRPr="00DF3EF6">
        <w:rPr>
          <w:noProof/>
        </w:rPr>
        <w:t>oferta jest wolna od konfliktów interesów;</w:t>
      </w:r>
    </w:p>
    <w:p w14:paraId="1EBFF1AB" w14:textId="44459623" w:rsidR="00577C19" w:rsidRPr="00DF3EF6" w:rsidRDefault="00DF3EF6" w:rsidP="00DF3EF6">
      <w:pPr>
        <w:pStyle w:val="Point1"/>
        <w:rPr>
          <w:noProof/>
        </w:rPr>
      </w:pPr>
      <w:r>
        <w:rPr>
          <w:noProof/>
        </w:rPr>
        <w:t>d)</w:t>
      </w:r>
      <w:r>
        <w:rPr>
          <w:noProof/>
        </w:rPr>
        <w:tab/>
      </w:r>
      <w:r w:rsidR="00577C19" w:rsidRPr="00DF3EF6">
        <w:rPr>
          <w:noProof/>
        </w:rPr>
        <w:t>oferta uwzględnia potrzebę wdrożenia szybkiego rozwiązania, biorąc pod uwagę termin określony</w:t>
      </w:r>
      <w:r w:rsidR="0031342C" w:rsidRPr="00DF3EF6">
        <w:rPr>
          <w:noProof/>
        </w:rPr>
        <w:t xml:space="preserve"> w</w:t>
      </w:r>
      <w:r w:rsidR="0031342C">
        <w:rPr>
          <w:noProof/>
        </w:rPr>
        <w:t> </w:t>
      </w:r>
      <w:r w:rsidR="0031342C" w:rsidRPr="0031342C">
        <w:rPr>
          <w:noProof/>
        </w:rPr>
        <w:t>art</w:t>
      </w:r>
      <w:r w:rsidR="00577C19" w:rsidRPr="0031342C">
        <w:rPr>
          <w:noProof/>
        </w:rPr>
        <w:t>.</w:t>
      </w:r>
      <w:r w:rsidR="0031342C" w:rsidRPr="0031342C">
        <w:rPr>
          <w:noProof/>
        </w:rPr>
        <w:t> </w:t>
      </w:r>
      <w:r w:rsidR="00577C19" w:rsidRPr="0031342C">
        <w:rPr>
          <w:noProof/>
        </w:rPr>
        <w:t>3</w:t>
      </w:r>
      <w:r w:rsidR="00577C19" w:rsidRPr="00DF3EF6">
        <w:rPr>
          <w:noProof/>
        </w:rPr>
        <w:t xml:space="preserve"> </w:t>
      </w:r>
      <w:r w:rsidR="00577C19" w:rsidRPr="0031342C">
        <w:rPr>
          <w:noProof/>
        </w:rPr>
        <w:t>ust.</w:t>
      </w:r>
      <w:r w:rsidR="0031342C" w:rsidRPr="0031342C">
        <w:rPr>
          <w:noProof/>
        </w:rPr>
        <w:t> </w:t>
      </w:r>
      <w:r w:rsidR="00577C19" w:rsidRPr="0031342C">
        <w:rPr>
          <w:noProof/>
        </w:rPr>
        <w:t>2</w:t>
      </w:r>
      <w:r w:rsidR="00577C19" w:rsidRPr="00DF3EF6">
        <w:rPr>
          <w:noProof/>
        </w:rPr>
        <w:t xml:space="preserve"> akapit drugi</w:t>
      </w:r>
      <w:r w:rsidR="0031342C" w:rsidRPr="00DF3EF6">
        <w:rPr>
          <w:noProof/>
        </w:rPr>
        <w:t xml:space="preserve"> w</w:t>
      </w:r>
      <w:r w:rsidR="0031342C">
        <w:rPr>
          <w:noProof/>
        </w:rPr>
        <w:t> </w:t>
      </w:r>
      <w:r w:rsidR="0031342C" w:rsidRPr="00DF3EF6">
        <w:rPr>
          <w:noProof/>
        </w:rPr>
        <w:t>odn</w:t>
      </w:r>
      <w:r w:rsidR="00577C19" w:rsidRPr="00DF3EF6">
        <w:rPr>
          <w:noProof/>
        </w:rPr>
        <w:t>iesieniu do ustalenia,</w:t>
      </w:r>
      <w:r w:rsidR="0031342C" w:rsidRPr="00DF3EF6">
        <w:rPr>
          <w:noProof/>
        </w:rPr>
        <w:t xml:space="preserve"> o</w:t>
      </w:r>
      <w:r w:rsidR="0031342C">
        <w:rPr>
          <w:noProof/>
        </w:rPr>
        <w:t> </w:t>
      </w:r>
      <w:r w:rsidR="0031342C" w:rsidRPr="00DF3EF6">
        <w:rPr>
          <w:noProof/>
        </w:rPr>
        <w:t>któ</w:t>
      </w:r>
      <w:r w:rsidR="00577C19" w:rsidRPr="00DF3EF6">
        <w:rPr>
          <w:noProof/>
        </w:rPr>
        <w:t>rym mowa</w:t>
      </w:r>
      <w:r w:rsidR="0031342C" w:rsidRPr="00DF3EF6">
        <w:rPr>
          <w:noProof/>
        </w:rPr>
        <w:t xml:space="preserve"> w</w:t>
      </w:r>
      <w:r w:rsidR="0031342C">
        <w:rPr>
          <w:noProof/>
        </w:rPr>
        <w:t> </w:t>
      </w:r>
      <w:r w:rsidR="0031342C" w:rsidRPr="0031342C">
        <w:rPr>
          <w:noProof/>
        </w:rPr>
        <w:t>art</w:t>
      </w:r>
      <w:r w:rsidR="00577C19" w:rsidRPr="0031342C">
        <w:rPr>
          <w:noProof/>
        </w:rPr>
        <w:t>.</w:t>
      </w:r>
      <w:r w:rsidR="0031342C" w:rsidRPr="0031342C">
        <w:rPr>
          <w:noProof/>
        </w:rPr>
        <w:t> </w:t>
      </w:r>
      <w:r w:rsidR="00577C19" w:rsidRPr="0031342C">
        <w:rPr>
          <w:noProof/>
        </w:rPr>
        <w:t>2</w:t>
      </w:r>
      <w:r w:rsidR="00577C19" w:rsidRPr="00DF3EF6">
        <w:rPr>
          <w:noProof/>
        </w:rPr>
        <w:t xml:space="preserve"> </w:t>
      </w:r>
      <w:r w:rsidR="00577C19" w:rsidRPr="0031342C">
        <w:rPr>
          <w:noProof/>
        </w:rPr>
        <w:t>ust.</w:t>
      </w:r>
      <w:r w:rsidR="0031342C" w:rsidRPr="0031342C">
        <w:rPr>
          <w:noProof/>
        </w:rPr>
        <w:t> </w:t>
      </w:r>
      <w:r w:rsidR="00577C19" w:rsidRPr="0031342C">
        <w:rPr>
          <w:noProof/>
        </w:rPr>
        <w:t>1</w:t>
      </w:r>
      <w:r w:rsidR="00577C19" w:rsidRPr="00DF3EF6">
        <w:rPr>
          <w:noProof/>
        </w:rPr>
        <w:t xml:space="preserve"> </w:t>
      </w:r>
      <w:r w:rsidR="00577C19" w:rsidRPr="0031342C">
        <w:rPr>
          <w:noProof/>
        </w:rPr>
        <w:t>pkt</w:t>
      </w:r>
      <w:r w:rsidR="0031342C" w:rsidRPr="0031342C">
        <w:rPr>
          <w:noProof/>
        </w:rPr>
        <w:t> </w:t>
      </w:r>
      <w:r w:rsidR="00577C19" w:rsidRPr="0031342C">
        <w:rPr>
          <w:noProof/>
        </w:rPr>
        <w:t>8</w:t>
      </w:r>
      <w:r w:rsidR="00577C19" w:rsidRPr="00DF3EF6">
        <w:rPr>
          <w:noProof/>
        </w:rPr>
        <w:t xml:space="preserve"> </w:t>
      </w:r>
      <w:r w:rsidR="00577C19" w:rsidRPr="0031342C">
        <w:rPr>
          <w:noProof/>
        </w:rPr>
        <w:t>lit.</w:t>
      </w:r>
      <w:r w:rsidR="0031342C" w:rsidRPr="0031342C">
        <w:rPr>
          <w:noProof/>
        </w:rPr>
        <w:t> </w:t>
      </w:r>
      <w:r w:rsidR="00577C19" w:rsidRPr="0031342C">
        <w:rPr>
          <w:noProof/>
        </w:rPr>
        <w:t>a)</w:t>
      </w:r>
      <w:r w:rsidR="00577C19" w:rsidRPr="00DF3EF6">
        <w:rPr>
          <w:noProof/>
        </w:rPr>
        <w:t xml:space="preserve">; </w:t>
      </w:r>
    </w:p>
    <w:p w14:paraId="44A6E1DF" w14:textId="350126AC" w:rsidR="0035057D" w:rsidRPr="00DF3EF6" w:rsidRDefault="00DF3EF6" w:rsidP="00DF3EF6">
      <w:pPr>
        <w:pStyle w:val="Point1"/>
        <w:rPr>
          <w:noProof/>
        </w:rPr>
      </w:pPr>
      <w:r>
        <w:rPr>
          <w:noProof/>
        </w:rPr>
        <w:t>e)</w:t>
      </w:r>
      <w:r>
        <w:rPr>
          <w:noProof/>
        </w:rPr>
        <w:tab/>
      </w:r>
      <w:r w:rsidR="00577C19" w:rsidRPr="00DF3EF6">
        <w:rPr>
          <w:noProof/>
        </w:rPr>
        <w:t>oferta ma na celu osiągnięcie jak najwyższej,</w:t>
      </w:r>
      <w:r w:rsidR="0031342C" w:rsidRPr="00DF3EF6">
        <w:rPr>
          <w:noProof/>
        </w:rPr>
        <w:t xml:space="preserve"> w</w:t>
      </w:r>
      <w:r w:rsidR="0031342C">
        <w:rPr>
          <w:noProof/>
        </w:rPr>
        <w:t> </w:t>
      </w:r>
      <w:r w:rsidR="0031342C" w:rsidRPr="00DF3EF6">
        <w:rPr>
          <w:noProof/>
        </w:rPr>
        <w:t>mia</w:t>
      </w:r>
      <w:r w:rsidR="00577C19" w:rsidRPr="00DF3EF6">
        <w:rPr>
          <w:noProof/>
        </w:rPr>
        <w:t>rę możliwości, ceny sprzedaży danych aktywów, praw</w:t>
      </w:r>
      <w:r w:rsidR="0031342C" w:rsidRPr="00DF3EF6">
        <w:rPr>
          <w:noProof/>
        </w:rPr>
        <w:t xml:space="preserve"> i</w:t>
      </w:r>
      <w:r w:rsidR="0031342C">
        <w:rPr>
          <w:noProof/>
        </w:rPr>
        <w:t> </w:t>
      </w:r>
      <w:r w:rsidR="0031342C" w:rsidRPr="00DF3EF6">
        <w:rPr>
          <w:noProof/>
        </w:rPr>
        <w:t>zob</w:t>
      </w:r>
      <w:r w:rsidR="00577C19" w:rsidRPr="00DF3EF6">
        <w:rPr>
          <w:noProof/>
        </w:rPr>
        <w:t>owiązań.</w:t>
      </w:r>
    </w:p>
    <w:p w14:paraId="5133FD0E" w14:textId="77777777" w:rsidR="005640F3" w:rsidRPr="00DF3EF6" w:rsidRDefault="005640F3" w:rsidP="005640F3">
      <w:pPr>
        <w:pStyle w:val="Text1"/>
        <w:jc w:val="center"/>
        <w:rPr>
          <w:i/>
          <w:noProof/>
        </w:rPr>
      </w:pPr>
      <w:r w:rsidRPr="00DF3EF6">
        <w:rPr>
          <w:i/>
          <w:noProof/>
        </w:rPr>
        <w:t>Artykuł 11e</w:t>
      </w:r>
    </w:p>
    <w:p w14:paraId="527FE225" w14:textId="77777777" w:rsidR="005640F3" w:rsidRPr="00DF3EF6" w:rsidRDefault="005640F3" w:rsidP="005640F3">
      <w:pPr>
        <w:pStyle w:val="Text1"/>
        <w:jc w:val="center"/>
        <w:rPr>
          <w:b/>
          <w:noProof/>
        </w:rPr>
      </w:pPr>
      <w:r w:rsidRPr="00DF3EF6">
        <w:rPr>
          <w:b/>
          <w:noProof/>
        </w:rPr>
        <w:lastRenderedPageBreak/>
        <w:t>Test najniższego kosztu</w:t>
      </w:r>
    </w:p>
    <w:p w14:paraId="0F137A0A" w14:textId="4DB22A2D" w:rsidR="00DA5653" w:rsidRPr="00DF3EF6" w:rsidRDefault="00055B74" w:rsidP="005640F3">
      <w:pPr>
        <w:pStyle w:val="Text1"/>
        <w:rPr>
          <w:noProof/>
        </w:rPr>
      </w:pPr>
      <w:r w:rsidRPr="00DF3EF6">
        <w:rPr>
          <w:noProof/>
        </w:rPr>
        <w:t>1. Rozważając wykorzystanie środków systemu gwarancji depozytów na potrzeby środków,</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2</w:t>
      </w:r>
      <w:r w:rsidRPr="00DF3EF6">
        <w:rPr>
          <w:noProof/>
        </w:rPr>
        <w:t xml:space="preserve">, 3 </w:t>
      </w:r>
      <w:r w:rsidRPr="0031342C">
        <w:rPr>
          <w:noProof/>
        </w:rPr>
        <w:t>lub</w:t>
      </w:r>
      <w:r w:rsidR="0031342C" w:rsidRPr="0031342C">
        <w:rPr>
          <w:noProof/>
        </w:rPr>
        <w:t> </w:t>
      </w:r>
      <w:r w:rsidRPr="0031342C">
        <w:rPr>
          <w:noProof/>
        </w:rPr>
        <w:t>5</w:t>
      </w:r>
      <w:r w:rsidRPr="00DF3EF6">
        <w:rPr>
          <w:noProof/>
        </w:rPr>
        <w:t>, państwa członkowskie zapewniają, aby systemy gwarancji depozytów dokonywały porównania następujących elementów:</w:t>
      </w:r>
    </w:p>
    <w:p w14:paraId="793D87E1" w14:textId="3285D5BB" w:rsidR="00DA5653" w:rsidRPr="00DF3EF6" w:rsidRDefault="00DF3EF6" w:rsidP="00DF3EF6">
      <w:pPr>
        <w:pStyle w:val="Point1"/>
        <w:rPr>
          <w:noProof/>
        </w:rPr>
      </w:pPr>
      <w:r>
        <w:rPr>
          <w:noProof/>
        </w:rPr>
        <w:t>a)</w:t>
      </w:r>
      <w:r>
        <w:rPr>
          <w:noProof/>
        </w:rPr>
        <w:tab/>
      </w:r>
      <w:r w:rsidR="00DA5653" w:rsidRPr="00DF3EF6">
        <w:rPr>
          <w:noProof/>
        </w:rPr>
        <w:t>szacunkowego kosztu finansowania przez system gwarancji depozytów środków,</w:t>
      </w:r>
      <w:r w:rsidR="0031342C" w:rsidRPr="00DF3EF6">
        <w:rPr>
          <w:noProof/>
        </w:rPr>
        <w:t xml:space="preserve"> o</w:t>
      </w:r>
      <w:r w:rsidR="0031342C">
        <w:rPr>
          <w:noProof/>
        </w:rPr>
        <w:t> </w:t>
      </w:r>
      <w:r w:rsidR="0031342C" w:rsidRPr="00DF3EF6">
        <w:rPr>
          <w:noProof/>
        </w:rPr>
        <w:t>któ</w:t>
      </w:r>
      <w:r w:rsidR="00DA5653" w:rsidRPr="00DF3EF6">
        <w:rPr>
          <w:noProof/>
        </w:rPr>
        <w:t>rych mowa</w:t>
      </w:r>
      <w:r w:rsidR="0031342C" w:rsidRPr="00DF3EF6">
        <w:rPr>
          <w:noProof/>
        </w:rPr>
        <w:t xml:space="preserve"> w</w:t>
      </w:r>
      <w:r w:rsidR="0031342C">
        <w:rPr>
          <w:noProof/>
        </w:rPr>
        <w:t> </w:t>
      </w:r>
      <w:r w:rsidR="0031342C" w:rsidRPr="0031342C">
        <w:rPr>
          <w:noProof/>
        </w:rPr>
        <w:t>art</w:t>
      </w:r>
      <w:r w:rsidR="00DA5653" w:rsidRPr="0031342C">
        <w:rPr>
          <w:noProof/>
        </w:rPr>
        <w:t>.</w:t>
      </w:r>
      <w:r w:rsidR="0031342C" w:rsidRPr="0031342C">
        <w:rPr>
          <w:noProof/>
        </w:rPr>
        <w:t> </w:t>
      </w:r>
      <w:r w:rsidR="00DA5653" w:rsidRPr="0031342C">
        <w:rPr>
          <w:noProof/>
        </w:rPr>
        <w:t>1</w:t>
      </w:r>
      <w:r w:rsidR="00DA5653" w:rsidRPr="00DF3EF6">
        <w:rPr>
          <w:noProof/>
        </w:rPr>
        <w:t xml:space="preserve">1 </w:t>
      </w:r>
      <w:r w:rsidR="00DA5653" w:rsidRPr="0031342C">
        <w:rPr>
          <w:noProof/>
        </w:rPr>
        <w:t>ust.</w:t>
      </w:r>
      <w:r w:rsidR="0031342C" w:rsidRPr="0031342C">
        <w:rPr>
          <w:noProof/>
        </w:rPr>
        <w:t> </w:t>
      </w:r>
      <w:r w:rsidR="00DA5653" w:rsidRPr="0031342C">
        <w:rPr>
          <w:noProof/>
        </w:rPr>
        <w:t>2</w:t>
      </w:r>
      <w:r w:rsidR="00DA5653" w:rsidRPr="00DF3EF6">
        <w:rPr>
          <w:noProof/>
        </w:rPr>
        <w:t xml:space="preserve">, 3 </w:t>
      </w:r>
      <w:r w:rsidR="00DA5653" w:rsidRPr="0031342C">
        <w:rPr>
          <w:noProof/>
        </w:rPr>
        <w:t>lub</w:t>
      </w:r>
      <w:r w:rsidR="0031342C" w:rsidRPr="0031342C">
        <w:rPr>
          <w:noProof/>
        </w:rPr>
        <w:t> </w:t>
      </w:r>
      <w:r w:rsidR="00DA5653" w:rsidRPr="0031342C">
        <w:rPr>
          <w:noProof/>
        </w:rPr>
        <w:t>5</w:t>
      </w:r>
      <w:r w:rsidR="00DA5653" w:rsidRPr="00DF3EF6">
        <w:rPr>
          <w:noProof/>
        </w:rPr>
        <w:t>;</w:t>
      </w:r>
    </w:p>
    <w:p w14:paraId="4892B00F" w14:textId="78AB9065" w:rsidR="00DA5653" w:rsidRPr="00DF3EF6" w:rsidRDefault="00DF3EF6" w:rsidP="00DF3EF6">
      <w:pPr>
        <w:pStyle w:val="Point1"/>
        <w:rPr>
          <w:noProof/>
        </w:rPr>
      </w:pPr>
      <w:r>
        <w:rPr>
          <w:noProof/>
        </w:rPr>
        <w:t>b)</w:t>
      </w:r>
      <w:r>
        <w:rPr>
          <w:noProof/>
        </w:rPr>
        <w:tab/>
      </w:r>
      <w:r w:rsidR="00DA5653" w:rsidRPr="00DF3EF6">
        <w:rPr>
          <w:noProof/>
        </w:rPr>
        <w:t>szacunkowego kosztu wypłat na rzecz deponentów zgodnie</w:t>
      </w:r>
      <w:r w:rsidR="0031342C" w:rsidRPr="00DF3EF6">
        <w:rPr>
          <w:noProof/>
        </w:rPr>
        <w:t xml:space="preserve"> z</w:t>
      </w:r>
      <w:r w:rsidR="0031342C">
        <w:rPr>
          <w:noProof/>
        </w:rPr>
        <w:t> </w:t>
      </w:r>
      <w:r w:rsidR="0031342C" w:rsidRPr="0031342C">
        <w:rPr>
          <w:noProof/>
        </w:rPr>
        <w:t>art</w:t>
      </w:r>
      <w:r w:rsidR="00DA5653" w:rsidRPr="0031342C">
        <w:rPr>
          <w:noProof/>
        </w:rPr>
        <w:t>.</w:t>
      </w:r>
      <w:r w:rsidR="0031342C" w:rsidRPr="0031342C">
        <w:rPr>
          <w:noProof/>
        </w:rPr>
        <w:t> </w:t>
      </w:r>
      <w:r w:rsidR="00DA5653" w:rsidRPr="0031342C">
        <w:rPr>
          <w:noProof/>
        </w:rPr>
        <w:t>8</w:t>
      </w:r>
      <w:r w:rsidR="00DA5653" w:rsidRPr="00DF3EF6">
        <w:rPr>
          <w:noProof/>
        </w:rPr>
        <w:t xml:space="preserve"> </w:t>
      </w:r>
      <w:r w:rsidR="00DA5653" w:rsidRPr="0031342C">
        <w:rPr>
          <w:noProof/>
        </w:rPr>
        <w:t>ust.</w:t>
      </w:r>
      <w:r w:rsidR="0031342C" w:rsidRPr="0031342C">
        <w:rPr>
          <w:noProof/>
        </w:rPr>
        <w:t> </w:t>
      </w:r>
      <w:r w:rsidR="00DA5653" w:rsidRPr="0031342C">
        <w:rPr>
          <w:noProof/>
        </w:rPr>
        <w:t>1</w:t>
      </w:r>
      <w:r w:rsidR="00DA5653" w:rsidRPr="00DF3EF6">
        <w:rPr>
          <w:noProof/>
        </w:rPr>
        <w:t>.</w:t>
      </w:r>
    </w:p>
    <w:p w14:paraId="3E7909E3" w14:textId="1F2D3540" w:rsidR="00DA5653" w:rsidRPr="00DF3EF6" w:rsidRDefault="00DA5653" w:rsidP="00E8744B">
      <w:pPr>
        <w:pStyle w:val="Text1"/>
        <w:rPr>
          <w:noProof/>
        </w:rPr>
      </w:pPr>
      <w:r w:rsidRPr="00DF3EF6">
        <w:rPr>
          <w:noProof/>
        </w:rPr>
        <w:t>2. Do porównania,</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xml:space="preserve">, zastosowanie mają poniższe warunki: </w:t>
      </w:r>
    </w:p>
    <w:p w14:paraId="447D2C85" w14:textId="02112AF8" w:rsidR="00DA5653" w:rsidRPr="00DF3EF6" w:rsidRDefault="00DF3EF6" w:rsidP="00DF3EF6">
      <w:pPr>
        <w:pStyle w:val="Point1"/>
        <w:rPr>
          <w:noProof/>
        </w:rPr>
      </w:pPr>
      <w:r>
        <w:rPr>
          <w:noProof/>
        </w:rPr>
        <w:t>a)</w:t>
      </w:r>
      <w:r>
        <w:rPr>
          <w:noProof/>
        </w:rPr>
        <w:tab/>
      </w:r>
      <w:r w:rsidR="00577C19" w:rsidRPr="00DF3EF6">
        <w:rPr>
          <w:noProof/>
        </w:rPr>
        <w:t>w celu oszacowania kosztów,</w:t>
      </w:r>
      <w:r w:rsidR="0031342C" w:rsidRPr="00DF3EF6">
        <w:rPr>
          <w:noProof/>
        </w:rPr>
        <w:t xml:space="preserve"> o</w:t>
      </w:r>
      <w:r w:rsidR="0031342C">
        <w:rPr>
          <w:noProof/>
        </w:rPr>
        <w:t> </w:t>
      </w:r>
      <w:r w:rsidR="0031342C" w:rsidRPr="00DF3EF6">
        <w:rPr>
          <w:noProof/>
        </w:rPr>
        <w:t>któ</w:t>
      </w:r>
      <w:r w:rsidR="00577C19" w:rsidRPr="00DF3EF6">
        <w:rPr>
          <w:noProof/>
        </w:rPr>
        <w:t>rych mowa</w:t>
      </w:r>
      <w:r w:rsidR="0031342C" w:rsidRPr="00DF3EF6">
        <w:rPr>
          <w:noProof/>
        </w:rPr>
        <w:t xml:space="preserve"> w</w:t>
      </w:r>
      <w:r w:rsidR="0031342C">
        <w:rPr>
          <w:noProof/>
        </w:rPr>
        <w:t> </w:t>
      </w:r>
      <w:r w:rsidR="0031342C" w:rsidRPr="0031342C">
        <w:rPr>
          <w:noProof/>
        </w:rPr>
        <w:t>ust</w:t>
      </w:r>
      <w:r w:rsidR="00577C19" w:rsidRPr="0031342C">
        <w:rPr>
          <w:noProof/>
        </w:rPr>
        <w:t>.</w:t>
      </w:r>
      <w:r w:rsidR="0031342C" w:rsidRPr="0031342C">
        <w:rPr>
          <w:noProof/>
        </w:rPr>
        <w:t> </w:t>
      </w:r>
      <w:r w:rsidR="00577C19" w:rsidRPr="0031342C">
        <w:rPr>
          <w:noProof/>
        </w:rPr>
        <w:t>1</w:t>
      </w:r>
      <w:r w:rsidR="00577C19" w:rsidRPr="00DF3EF6">
        <w:rPr>
          <w:noProof/>
        </w:rPr>
        <w:t xml:space="preserve"> </w:t>
      </w:r>
      <w:r w:rsidR="00577C19" w:rsidRPr="0031342C">
        <w:rPr>
          <w:noProof/>
        </w:rPr>
        <w:t>lit.</w:t>
      </w:r>
      <w:r w:rsidR="0031342C" w:rsidRPr="0031342C">
        <w:rPr>
          <w:noProof/>
        </w:rPr>
        <w:t> </w:t>
      </w:r>
      <w:r w:rsidR="00577C19" w:rsidRPr="0031342C">
        <w:rPr>
          <w:noProof/>
        </w:rPr>
        <w:t>a)</w:t>
      </w:r>
      <w:r w:rsidR="00577C19" w:rsidRPr="00DF3EF6">
        <w:rPr>
          <w:noProof/>
        </w:rPr>
        <w:t>, system gwarancji depozytów uwzględnia oczekiwane zyski, wydatki operacyjne oraz potencjalne straty związane</w:t>
      </w:r>
      <w:r w:rsidR="0031342C" w:rsidRPr="00DF3EF6">
        <w:rPr>
          <w:noProof/>
        </w:rPr>
        <w:t xml:space="preserve"> z</w:t>
      </w:r>
      <w:r w:rsidR="0031342C">
        <w:rPr>
          <w:noProof/>
        </w:rPr>
        <w:t> </w:t>
      </w:r>
      <w:r w:rsidR="0031342C" w:rsidRPr="00DF3EF6">
        <w:rPr>
          <w:noProof/>
        </w:rPr>
        <w:t>dan</w:t>
      </w:r>
      <w:r w:rsidR="00577C19" w:rsidRPr="00DF3EF6">
        <w:rPr>
          <w:noProof/>
        </w:rPr>
        <w:t>ym środkiem;</w:t>
      </w:r>
    </w:p>
    <w:p w14:paraId="1121C91B" w14:textId="5D23FD88" w:rsidR="00DA5653" w:rsidRPr="00DF3EF6" w:rsidRDefault="00DF3EF6" w:rsidP="00DF3EF6">
      <w:pPr>
        <w:pStyle w:val="Point1"/>
        <w:rPr>
          <w:noProof/>
        </w:rPr>
      </w:pPr>
      <w:r>
        <w:rPr>
          <w:noProof/>
        </w:rPr>
        <w:t>b)</w:t>
      </w:r>
      <w:r>
        <w:rPr>
          <w:noProof/>
        </w:rPr>
        <w:tab/>
      </w:r>
      <w:r w:rsidR="001B3788" w:rsidRPr="00DF3EF6">
        <w:rPr>
          <w:noProof/>
        </w:rPr>
        <w:t>w przypadku środków,</w:t>
      </w:r>
      <w:r w:rsidR="0031342C" w:rsidRPr="00DF3EF6">
        <w:rPr>
          <w:noProof/>
        </w:rPr>
        <w:t xml:space="preserve"> o</w:t>
      </w:r>
      <w:r w:rsidR="0031342C">
        <w:rPr>
          <w:noProof/>
        </w:rPr>
        <w:t> </w:t>
      </w:r>
      <w:r w:rsidR="0031342C" w:rsidRPr="00DF3EF6">
        <w:rPr>
          <w:noProof/>
        </w:rPr>
        <w:t>któ</w:t>
      </w:r>
      <w:r w:rsidR="001B3788" w:rsidRPr="00DF3EF6">
        <w:rPr>
          <w:noProof/>
        </w:rPr>
        <w:t>rych mowa</w:t>
      </w:r>
      <w:r w:rsidR="0031342C" w:rsidRPr="00DF3EF6">
        <w:rPr>
          <w:noProof/>
        </w:rPr>
        <w:t xml:space="preserve"> w</w:t>
      </w:r>
      <w:r w:rsidR="0031342C">
        <w:rPr>
          <w:noProof/>
        </w:rPr>
        <w:t> </w:t>
      </w:r>
      <w:r w:rsidR="0031342C" w:rsidRPr="0031342C">
        <w:rPr>
          <w:noProof/>
        </w:rPr>
        <w:t>art</w:t>
      </w:r>
      <w:r w:rsidR="001B3788" w:rsidRPr="0031342C">
        <w:rPr>
          <w:noProof/>
        </w:rPr>
        <w:t>.</w:t>
      </w:r>
      <w:r w:rsidR="0031342C" w:rsidRPr="0031342C">
        <w:rPr>
          <w:noProof/>
        </w:rPr>
        <w:t> </w:t>
      </w:r>
      <w:r w:rsidR="001B3788" w:rsidRPr="0031342C">
        <w:rPr>
          <w:noProof/>
        </w:rPr>
        <w:t>1</w:t>
      </w:r>
      <w:r w:rsidR="001B3788" w:rsidRPr="00DF3EF6">
        <w:rPr>
          <w:noProof/>
        </w:rPr>
        <w:t xml:space="preserve">1 </w:t>
      </w:r>
      <w:r w:rsidR="001B3788" w:rsidRPr="0031342C">
        <w:rPr>
          <w:noProof/>
        </w:rPr>
        <w:t>ust.</w:t>
      </w:r>
      <w:r w:rsidR="0031342C" w:rsidRPr="0031342C">
        <w:rPr>
          <w:noProof/>
        </w:rPr>
        <w:t> </w:t>
      </w:r>
      <w:r w:rsidR="001B3788" w:rsidRPr="0031342C">
        <w:rPr>
          <w:noProof/>
        </w:rPr>
        <w:t>2</w:t>
      </w:r>
      <w:r w:rsidR="0031342C" w:rsidRPr="00DF3EF6">
        <w:rPr>
          <w:noProof/>
        </w:rPr>
        <w:t xml:space="preserve"> i</w:t>
      </w:r>
      <w:r w:rsidR="0031342C">
        <w:rPr>
          <w:noProof/>
        </w:rPr>
        <w:t> </w:t>
      </w:r>
      <w:r w:rsidR="0031342C" w:rsidRPr="00DF3EF6">
        <w:rPr>
          <w:noProof/>
        </w:rPr>
        <w:t>5</w:t>
      </w:r>
      <w:r w:rsidR="001B3788" w:rsidRPr="00DF3EF6">
        <w:rPr>
          <w:noProof/>
        </w:rPr>
        <w:t>, system gwarancji depozytów opiera swoje oszacowanie kosztów wypłat na rzecz deponentów,</w:t>
      </w:r>
      <w:r w:rsidR="0031342C" w:rsidRPr="00DF3EF6">
        <w:rPr>
          <w:noProof/>
        </w:rPr>
        <w:t xml:space="preserve"> o</w:t>
      </w:r>
      <w:r w:rsidR="0031342C">
        <w:rPr>
          <w:noProof/>
        </w:rPr>
        <w:t> </w:t>
      </w:r>
      <w:r w:rsidR="0031342C" w:rsidRPr="00DF3EF6">
        <w:rPr>
          <w:noProof/>
        </w:rPr>
        <w:t>któ</w:t>
      </w:r>
      <w:r w:rsidR="001B3788" w:rsidRPr="00DF3EF6">
        <w:rPr>
          <w:noProof/>
        </w:rPr>
        <w:t>rych mowa</w:t>
      </w:r>
      <w:r w:rsidR="0031342C" w:rsidRPr="00DF3EF6">
        <w:rPr>
          <w:noProof/>
        </w:rPr>
        <w:t xml:space="preserve"> w</w:t>
      </w:r>
      <w:r w:rsidR="0031342C">
        <w:rPr>
          <w:noProof/>
        </w:rPr>
        <w:t> </w:t>
      </w:r>
      <w:r w:rsidR="0031342C" w:rsidRPr="0031342C">
        <w:rPr>
          <w:noProof/>
        </w:rPr>
        <w:t>ust</w:t>
      </w:r>
      <w:r w:rsidR="001B3788" w:rsidRPr="0031342C">
        <w:rPr>
          <w:noProof/>
        </w:rPr>
        <w:t>.</w:t>
      </w:r>
      <w:r w:rsidR="0031342C" w:rsidRPr="0031342C">
        <w:rPr>
          <w:noProof/>
        </w:rPr>
        <w:t> </w:t>
      </w:r>
      <w:r w:rsidR="001B3788" w:rsidRPr="0031342C">
        <w:rPr>
          <w:noProof/>
        </w:rPr>
        <w:t>1</w:t>
      </w:r>
      <w:r w:rsidR="001B3788" w:rsidRPr="00DF3EF6">
        <w:rPr>
          <w:noProof/>
        </w:rPr>
        <w:t xml:space="preserve"> </w:t>
      </w:r>
      <w:r w:rsidR="001B3788" w:rsidRPr="0031342C">
        <w:rPr>
          <w:noProof/>
        </w:rPr>
        <w:t>lit.</w:t>
      </w:r>
      <w:r w:rsidR="0031342C" w:rsidRPr="0031342C">
        <w:rPr>
          <w:noProof/>
        </w:rPr>
        <w:t> </w:t>
      </w:r>
      <w:r w:rsidR="001B3788" w:rsidRPr="0031342C">
        <w:rPr>
          <w:noProof/>
        </w:rPr>
        <w:t>b)</w:t>
      </w:r>
      <w:r w:rsidR="001B3788" w:rsidRPr="00DF3EF6">
        <w:rPr>
          <w:noProof/>
        </w:rPr>
        <w:t>, na wycenie aktywów</w:t>
      </w:r>
      <w:r w:rsidR="0031342C" w:rsidRPr="00DF3EF6">
        <w:rPr>
          <w:noProof/>
        </w:rPr>
        <w:t xml:space="preserve"> i</w:t>
      </w:r>
      <w:r w:rsidR="0031342C">
        <w:rPr>
          <w:noProof/>
        </w:rPr>
        <w:t> </w:t>
      </w:r>
      <w:r w:rsidR="0031342C" w:rsidRPr="00DF3EF6">
        <w:rPr>
          <w:noProof/>
        </w:rPr>
        <w:t>zob</w:t>
      </w:r>
      <w:r w:rsidR="001B3788" w:rsidRPr="00DF3EF6">
        <w:rPr>
          <w:noProof/>
        </w:rPr>
        <w:t>owiązań instytucji kredytowej,</w:t>
      </w:r>
      <w:r w:rsidR="0031342C" w:rsidRPr="00DF3EF6">
        <w:rPr>
          <w:noProof/>
        </w:rPr>
        <w:t xml:space="preserve"> o</w:t>
      </w:r>
      <w:r w:rsidR="0031342C">
        <w:rPr>
          <w:noProof/>
        </w:rPr>
        <w:t> </w:t>
      </w:r>
      <w:r w:rsidR="0031342C" w:rsidRPr="00DF3EF6">
        <w:rPr>
          <w:noProof/>
        </w:rPr>
        <w:t>któ</w:t>
      </w:r>
      <w:r w:rsidR="001B3788" w:rsidRPr="00DF3EF6">
        <w:rPr>
          <w:noProof/>
        </w:rPr>
        <w:t>rej to wycenie mowa</w:t>
      </w:r>
      <w:r w:rsidR="0031342C" w:rsidRPr="00DF3EF6">
        <w:rPr>
          <w:noProof/>
        </w:rPr>
        <w:t xml:space="preserve"> w</w:t>
      </w:r>
      <w:r w:rsidR="0031342C">
        <w:rPr>
          <w:noProof/>
        </w:rPr>
        <w:t> </w:t>
      </w:r>
      <w:r w:rsidR="0031342C" w:rsidRPr="0031342C">
        <w:rPr>
          <w:noProof/>
        </w:rPr>
        <w:t>art</w:t>
      </w:r>
      <w:r w:rsidR="001B3788" w:rsidRPr="0031342C">
        <w:rPr>
          <w:noProof/>
        </w:rPr>
        <w:t>.</w:t>
      </w:r>
      <w:r w:rsidR="0031342C" w:rsidRPr="0031342C">
        <w:rPr>
          <w:noProof/>
        </w:rPr>
        <w:t> </w:t>
      </w:r>
      <w:r w:rsidR="001B3788" w:rsidRPr="0031342C">
        <w:rPr>
          <w:noProof/>
        </w:rPr>
        <w:t>3</w:t>
      </w:r>
      <w:r w:rsidR="001B3788" w:rsidRPr="00DF3EF6">
        <w:rPr>
          <w:noProof/>
        </w:rPr>
        <w:t xml:space="preserve">6 </w:t>
      </w:r>
      <w:r w:rsidR="001B3788" w:rsidRPr="0031342C">
        <w:rPr>
          <w:noProof/>
        </w:rPr>
        <w:t>ust.</w:t>
      </w:r>
      <w:r w:rsidR="0031342C" w:rsidRPr="0031342C">
        <w:rPr>
          <w:noProof/>
        </w:rPr>
        <w:t> </w:t>
      </w:r>
      <w:r w:rsidR="001B3788" w:rsidRPr="0031342C">
        <w:rPr>
          <w:noProof/>
        </w:rPr>
        <w:t>1</w:t>
      </w:r>
      <w:r w:rsidR="001B3788" w:rsidRPr="00DF3EF6">
        <w:rPr>
          <w:noProof/>
        </w:rPr>
        <w:t xml:space="preserve"> dyrektywy 2014/59/UE, oraz na oszacowaniu,</w:t>
      </w:r>
      <w:r w:rsidR="0031342C" w:rsidRPr="00DF3EF6">
        <w:rPr>
          <w:noProof/>
        </w:rPr>
        <w:t xml:space="preserve"> o</w:t>
      </w:r>
      <w:r w:rsidR="0031342C">
        <w:rPr>
          <w:noProof/>
        </w:rPr>
        <w:t> </w:t>
      </w:r>
      <w:r w:rsidR="0031342C" w:rsidRPr="00DF3EF6">
        <w:rPr>
          <w:noProof/>
        </w:rPr>
        <w:t>któ</w:t>
      </w:r>
      <w:r w:rsidR="001B3788" w:rsidRPr="00DF3EF6">
        <w:rPr>
          <w:noProof/>
        </w:rPr>
        <w:t>rym mowa</w:t>
      </w:r>
      <w:r w:rsidR="0031342C" w:rsidRPr="00DF3EF6">
        <w:rPr>
          <w:noProof/>
        </w:rPr>
        <w:t xml:space="preserve"> w</w:t>
      </w:r>
      <w:r w:rsidR="0031342C">
        <w:rPr>
          <w:noProof/>
        </w:rPr>
        <w:t> </w:t>
      </w:r>
      <w:r w:rsidR="0031342C" w:rsidRPr="0031342C">
        <w:rPr>
          <w:noProof/>
        </w:rPr>
        <w:t>art</w:t>
      </w:r>
      <w:r w:rsidR="001B3788" w:rsidRPr="0031342C">
        <w:rPr>
          <w:noProof/>
        </w:rPr>
        <w:t>.</w:t>
      </w:r>
      <w:r w:rsidR="0031342C" w:rsidRPr="0031342C">
        <w:rPr>
          <w:noProof/>
        </w:rPr>
        <w:t> </w:t>
      </w:r>
      <w:r w:rsidR="001B3788" w:rsidRPr="0031342C">
        <w:rPr>
          <w:noProof/>
        </w:rPr>
        <w:t>3</w:t>
      </w:r>
      <w:r w:rsidR="001B3788" w:rsidRPr="00DF3EF6">
        <w:rPr>
          <w:noProof/>
        </w:rPr>
        <w:t xml:space="preserve">6 </w:t>
      </w:r>
      <w:r w:rsidR="001B3788" w:rsidRPr="0031342C">
        <w:rPr>
          <w:noProof/>
        </w:rPr>
        <w:t>ust.</w:t>
      </w:r>
      <w:r w:rsidR="0031342C" w:rsidRPr="0031342C">
        <w:rPr>
          <w:noProof/>
        </w:rPr>
        <w:t> </w:t>
      </w:r>
      <w:r w:rsidR="001B3788" w:rsidRPr="0031342C">
        <w:rPr>
          <w:noProof/>
        </w:rPr>
        <w:t>8</w:t>
      </w:r>
      <w:r w:rsidR="001B3788" w:rsidRPr="00DF3EF6">
        <w:rPr>
          <w:noProof/>
        </w:rPr>
        <w:t xml:space="preserve"> tej dyrektywy; </w:t>
      </w:r>
    </w:p>
    <w:p w14:paraId="582CBBAB" w14:textId="655317C6" w:rsidR="00577C19" w:rsidRPr="00DF3EF6" w:rsidRDefault="00DF3EF6" w:rsidP="00DF3EF6">
      <w:pPr>
        <w:pStyle w:val="Point1"/>
        <w:rPr>
          <w:noProof/>
        </w:rPr>
      </w:pPr>
      <w:r>
        <w:rPr>
          <w:noProof/>
        </w:rPr>
        <w:t>c)</w:t>
      </w:r>
      <w:r>
        <w:rPr>
          <w:noProof/>
        </w:rPr>
        <w:tab/>
      </w:r>
      <w:r w:rsidR="00577C19" w:rsidRPr="00DF3EF6">
        <w:rPr>
          <w:noProof/>
        </w:rPr>
        <w:t>w przypadku środków,</w:t>
      </w:r>
      <w:r w:rsidR="0031342C" w:rsidRPr="00DF3EF6">
        <w:rPr>
          <w:noProof/>
        </w:rPr>
        <w:t xml:space="preserve"> o</w:t>
      </w:r>
      <w:r w:rsidR="0031342C">
        <w:rPr>
          <w:noProof/>
        </w:rPr>
        <w:t> </w:t>
      </w:r>
      <w:r w:rsidR="0031342C" w:rsidRPr="00DF3EF6">
        <w:rPr>
          <w:noProof/>
        </w:rPr>
        <w:t>któ</w:t>
      </w:r>
      <w:r w:rsidR="00577C19" w:rsidRPr="00DF3EF6">
        <w:rPr>
          <w:noProof/>
        </w:rPr>
        <w:t>rych mowa</w:t>
      </w:r>
      <w:r w:rsidR="0031342C" w:rsidRPr="00DF3EF6">
        <w:rPr>
          <w:noProof/>
        </w:rPr>
        <w:t xml:space="preserve"> w</w:t>
      </w:r>
      <w:r w:rsidR="0031342C">
        <w:rPr>
          <w:noProof/>
        </w:rPr>
        <w:t> </w:t>
      </w:r>
      <w:r w:rsidR="0031342C" w:rsidRPr="0031342C">
        <w:rPr>
          <w:noProof/>
        </w:rPr>
        <w:t>art</w:t>
      </w:r>
      <w:r w:rsidR="00577C19" w:rsidRPr="0031342C">
        <w:rPr>
          <w:noProof/>
        </w:rPr>
        <w:t>.</w:t>
      </w:r>
      <w:r w:rsidR="0031342C" w:rsidRPr="0031342C">
        <w:rPr>
          <w:noProof/>
        </w:rPr>
        <w:t> </w:t>
      </w:r>
      <w:r w:rsidR="00577C19" w:rsidRPr="0031342C">
        <w:rPr>
          <w:noProof/>
        </w:rPr>
        <w:t>1</w:t>
      </w:r>
      <w:r w:rsidR="00577C19" w:rsidRPr="00DF3EF6">
        <w:rPr>
          <w:noProof/>
        </w:rPr>
        <w:t xml:space="preserve">1 </w:t>
      </w:r>
      <w:r w:rsidR="00577C19" w:rsidRPr="0031342C">
        <w:rPr>
          <w:noProof/>
        </w:rPr>
        <w:t>ust.</w:t>
      </w:r>
      <w:r w:rsidR="0031342C" w:rsidRPr="0031342C">
        <w:rPr>
          <w:noProof/>
        </w:rPr>
        <w:t> </w:t>
      </w:r>
      <w:r w:rsidR="00577C19" w:rsidRPr="0031342C">
        <w:rPr>
          <w:noProof/>
        </w:rPr>
        <w:t>2</w:t>
      </w:r>
      <w:r w:rsidR="00577C19" w:rsidRPr="00DF3EF6">
        <w:rPr>
          <w:noProof/>
        </w:rPr>
        <w:t>, 3</w:t>
      </w:r>
      <w:r w:rsidR="0031342C" w:rsidRPr="00DF3EF6">
        <w:rPr>
          <w:noProof/>
        </w:rPr>
        <w:t xml:space="preserve"> i</w:t>
      </w:r>
      <w:r w:rsidR="0031342C">
        <w:rPr>
          <w:noProof/>
        </w:rPr>
        <w:t> </w:t>
      </w:r>
      <w:r w:rsidR="0031342C" w:rsidRPr="00DF3EF6">
        <w:rPr>
          <w:noProof/>
        </w:rPr>
        <w:t>5</w:t>
      </w:r>
      <w:r w:rsidR="00577C19" w:rsidRPr="00DF3EF6">
        <w:rPr>
          <w:noProof/>
        </w:rPr>
        <w:t>, przy szacowaniu kosztów wypłat na rzecz deponentów,</w:t>
      </w:r>
      <w:r w:rsidR="0031342C" w:rsidRPr="00DF3EF6">
        <w:rPr>
          <w:noProof/>
        </w:rPr>
        <w:t xml:space="preserve"> o</w:t>
      </w:r>
      <w:r w:rsidR="0031342C">
        <w:rPr>
          <w:noProof/>
        </w:rPr>
        <w:t> </w:t>
      </w:r>
      <w:r w:rsidR="0031342C" w:rsidRPr="00DF3EF6">
        <w:rPr>
          <w:noProof/>
        </w:rPr>
        <w:t>któ</w:t>
      </w:r>
      <w:r w:rsidR="00577C19" w:rsidRPr="00DF3EF6">
        <w:rPr>
          <w:noProof/>
        </w:rPr>
        <w:t>rych mowa</w:t>
      </w:r>
      <w:r w:rsidR="0031342C" w:rsidRPr="00DF3EF6">
        <w:rPr>
          <w:noProof/>
        </w:rPr>
        <w:t xml:space="preserve"> w</w:t>
      </w:r>
      <w:r w:rsidR="0031342C">
        <w:rPr>
          <w:noProof/>
        </w:rPr>
        <w:t> </w:t>
      </w:r>
      <w:r w:rsidR="0031342C" w:rsidRPr="0031342C">
        <w:rPr>
          <w:noProof/>
        </w:rPr>
        <w:t>ust</w:t>
      </w:r>
      <w:r w:rsidR="00577C19" w:rsidRPr="0031342C">
        <w:rPr>
          <w:noProof/>
        </w:rPr>
        <w:t>.</w:t>
      </w:r>
      <w:r w:rsidR="0031342C" w:rsidRPr="0031342C">
        <w:rPr>
          <w:noProof/>
        </w:rPr>
        <w:t> </w:t>
      </w:r>
      <w:r w:rsidR="00577C19" w:rsidRPr="0031342C">
        <w:rPr>
          <w:noProof/>
        </w:rPr>
        <w:t>1</w:t>
      </w:r>
      <w:r w:rsidR="00577C19" w:rsidRPr="00DF3EF6">
        <w:rPr>
          <w:noProof/>
        </w:rPr>
        <w:t xml:space="preserve"> </w:t>
      </w:r>
      <w:r w:rsidR="00577C19" w:rsidRPr="0031342C">
        <w:rPr>
          <w:noProof/>
        </w:rPr>
        <w:t>lit.</w:t>
      </w:r>
      <w:r w:rsidR="0031342C" w:rsidRPr="0031342C">
        <w:rPr>
          <w:noProof/>
        </w:rPr>
        <w:t> </w:t>
      </w:r>
      <w:r w:rsidR="00577C19" w:rsidRPr="0031342C">
        <w:rPr>
          <w:noProof/>
        </w:rPr>
        <w:t>b)</w:t>
      </w:r>
      <w:r w:rsidR="00577C19" w:rsidRPr="00DF3EF6">
        <w:rPr>
          <w:noProof/>
        </w:rPr>
        <w:t>, system gwarancji depozytów uwzględnia oczekiwany wskaźnik odzyskanych należności, koszt uzupełnienia środków systemu gwarancji depozytów, który ma zostać poniesiony przez instytucje kredytowe będące członkami systemu gwarancji depozytów, oraz potencjalny dodatkowy koszt finansowania systemu gwarancji depozytów;</w:t>
      </w:r>
      <w:bookmarkStart w:id="18" w:name="_Hlk130299997"/>
    </w:p>
    <w:bookmarkEnd w:id="18"/>
    <w:p w14:paraId="47286510" w14:textId="3F431389" w:rsidR="00DA5653" w:rsidRPr="00DF3EF6" w:rsidRDefault="00DF3EF6" w:rsidP="00DF3EF6">
      <w:pPr>
        <w:pStyle w:val="Point1"/>
        <w:rPr>
          <w:noProof/>
        </w:rPr>
      </w:pPr>
      <w:r>
        <w:rPr>
          <w:noProof/>
        </w:rPr>
        <w:t>d)</w:t>
      </w:r>
      <w:r>
        <w:rPr>
          <w:noProof/>
        </w:rPr>
        <w:tab/>
      </w:r>
      <w:r w:rsidR="2BBE91E7" w:rsidRPr="00DF3EF6">
        <w:rPr>
          <w:noProof/>
        </w:rPr>
        <w:t>w przypadku środków,</w:t>
      </w:r>
      <w:r w:rsidR="0031342C" w:rsidRPr="00DF3EF6">
        <w:rPr>
          <w:noProof/>
        </w:rPr>
        <w:t xml:space="preserve"> o</w:t>
      </w:r>
      <w:r w:rsidR="0031342C">
        <w:rPr>
          <w:noProof/>
        </w:rPr>
        <w:t> </w:t>
      </w:r>
      <w:r w:rsidR="0031342C" w:rsidRPr="00DF3EF6">
        <w:rPr>
          <w:noProof/>
        </w:rPr>
        <w:t>któ</w:t>
      </w:r>
      <w:r w:rsidR="2BBE91E7" w:rsidRPr="00DF3EF6">
        <w:rPr>
          <w:noProof/>
        </w:rPr>
        <w:t>rych mowa</w:t>
      </w:r>
      <w:r w:rsidR="0031342C" w:rsidRPr="00DF3EF6">
        <w:rPr>
          <w:noProof/>
        </w:rPr>
        <w:t xml:space="preserve"> w</w:t>
      </w:r>
      <w:r w:rsidR="0031342C">
        <w:rPr>
          <w:noProof/>
        </w:rPr>
        <w:t> </w:t>
      </w:r>
      <w:r w:rsidR="0031342C" w:rsidRPr="0031342C">
        <w:rPr>
          <w:noProof/>
        </w:rPr>
        <w:t>art</w:t>
      </w:r>
      <w:r w:rsidR="2BBE91E7" w:rsidRPr="0031342C">
        <w:rPr>
          <w:noProof/>
        </w:rPr>
        <w:t>.</w:t>
      </w:r>
      <w:r w:rsidR="0031342C" w:rsidRPr="0031342C">
        <w:rPr>
          <w:noProof/>
        </w:rPr>
        <w:t> </w:t>
      </w:r>
      <w:r w:rsidR="2BBE91E7" w:rsidRPr="0031342C">
        <w:rPr>
          <w:noProof/>
        </w:rPr>
        <w:t>1</w:t>
      </w:r>
      <w:r w:rsidR="2BBE91E7" w:rsidRPr="00DF3EF6">
        <w:rPr>
          <w:noProof/>
        </w:rPr>
        <w:t xml:space="preserve">1 </w:t>
      </w:r>
      <w:r w:rsidR="2BBE91E7" w:rsidRPr="0031342C">
        <w:rPr>
          <w:noProof/>
        </w:rPr>
        <w:t>ust.</w:t>
      </w:r>
      <w:r w:rsidR="0031342C" w:rsidRPr="0031342C">
        <w:rPr>
          <w:noProof/>
        </w:rPr>
        <w:t> </w:t>
      </w:r>
      <w:r w:rsidR="2BBE91E7" w:rsidRPr="0031342C">
        <w:rPr>
          <w:noProof/>
        </w:rPr>
        <w:t>3</w:t>
      </w:r>
      <w:r w:rsidR="2BBE91E7" w:rsidRPr="00DF3EF6">
        <w:rPr>
          <w:noProof/>
        </w:rPr>
        <w:t>, przy szacowaniu kosztów wypłat na rzecz deponentów system gwarancji depozytów mnoży szacowany wskaźnik odzyskanych należności obliczony zgodnie</w:t>
      </w:r>
      <w:r w:rsidR="0031342C" w:rsidRPr="00DF3EF6">
        <w:rPr>
          <w:noProof/>
        </w:rPr>
        <w:t xml:space="preserve"> z</w:t>
      </w:r>
      <w:r w:rsidR="0031342C">
        <w:rPr>
          <w:noProof/>
        </w:rPr>
        <w:t> </w:t>
      </w:r>
      <w:r w:rsidR="0031342C" w:rsidRPr="00DF3EF6">
        <w:rPr>
          <w:noProof/>
        </w:rPr>
        <w:t>met</w:t>
      </w:r>
      <w:r w:rsidR="2BBE91E7" w:rsidRPr="00DF3EF6">
        <w:rPr>
          <w:noProof/>
        </w:rPr>
        <w:t>odą,</w:t>
      </w:r>
      <w:r w:rsidR="0031342C" w:rsidRPr="00DF3EF6">
        <w:rPr>
          <w:noProof/>
        </w:rPr>
        <w:t xml:space="preserve"> o</w:t>
      </w:r>
      <w:r w:rsidR="0031342C">
        <w:rPr>
          <w:noProof/>
        </w:rPr>
        <w:t> </w:t>
      </w:r>
      <w:r w:rsidR="0031342C" w:rsidRPr="00DF3EF6">
        <w:rPr>
          <w:noProof/>
        </w:rPr>
        <w:t>któ</w:t>
      </w:r>
      <w:r w:rsidR="2BBE91E7" w:rsidRPr="00DF3EF6">
        <w:rPr>
          <w:noProof/>
        </w:rPr>
        <w:t>rej mowa</w:t>
      </w:r>
      <w:r w:rsidR="0031342C" w:rsidRPr="00DF3EF6">
        <w:rPr>
          <w:noProof/>
        </w:rPr>
        <w:t xml:space="preserve"> w</w:t>
      </w:r>
      <w:r w:rsidR="0031342C">
        <w:rPr>
          <w:noProof/>
        </w:rPr>
        <w:t> </w:t>
      </w:r>
      <w:r w:rsidR="0031342C" w:rsidRPr="0031342C">
        <w:rPr>
          <w:noProof/>
        </w:rPr>
        <w:t>ust</w:t>
      </w:r>
      <w:r w:rsidR="2BBE91E7" w:rsidRPr="0031342C">
        <w:rPr>
          <w:noProof/>
        </w:rPr>
        <w:t>.</w:t>
      </w:r>
      <w:r w:rsidR="0031342C" w:rsidRPr="0031342C">
        <w:rPr>
          <w:noProof/>
        </w:rPr>
        <w:t> </w:t>
      </w:r>
      <w:r w:rsidR="2BBE91E7" w:rsidRPr="0031342C">
        <w:rPr>
          <w:noProof/>
        </w:rPr>
        <w:t>5</w:t>
      </w:r>
      <w:r w:rsidR="2BBE91E7" w:rsidRPr="00DF3EF6">
        <w:rPr>
          <w:noProof/>
        </w:rPr>
        <w:t xml:space="preserve"> </w:t>
      </w:r>
      <w:r w:rsidR="2BBE91E7" w:rsidRPr="0031342C">
        <w:rPr>
          <w:noProof/>
        </w:rPr>
        <w:t>lit.</w:t>
      </w:r>
      <w:r w:rsidR="0031342C" w:rsidRPr="0031342C">
        <w:rPr>
          <w:noProof/>
        </w:rPr>
        <w:t> </w:t>
      </w:r>
      <w:r w:rsidR="2BBE91E7" w:rsidRPr="0031342C">
        <w:rPr>
          <w:noProof/>
        </w:rPr>
        <w:t>b)</w:t>
      </w:r>
      <w:r w:rsidR="2BBE91E7" w:rsidRPr="00DF3EF6">
        <w:rPr>
          <w:noProof/>
        </w:rPr>
        <w:t>, przez 8</w:t>
      </w:r>
      <w:r w:rsidR="2BBE91E7" w:rsidRPr="0031342C">
        <w:rPr>
          <w:noProof/>
        </w:rPr>
        <w:t>5</w:t>
      </w:r>
      <w:r w:rsidR="0031342C" w:rsidRPr="0031342C">
        <w:rPr>
          <w:noProof/>
        </w:rPr>
        <w:t> </w:t>
      </w:r>
      <w:r w:rsidR="2BBE91E7" w:rsidRPr="0031342C">
        <w:rPr>
          <w:noProof/>
        </w:rPr>
        <w:t>%</w:t>
      </w:r>
      <w:r w:rsidR="2BBE91E7" w:rsidRPr="00DF3EF6">
        <w:rPr>
          <w:noProof/>
        </w:rPr>
        <w:t>.</w:t>
      </w:r>
    </w:p>
    <w:p w14:paraId="73B9FDC3" w14:textId="59B1EB3A" w:rsidR="00DA5653" w:rsidRPr="00DF3EF6" w:rsidRDefault="00DA5653" w:rsidP="00066A5F">
      <w:pPr>
        <w:pStyle w:val="Text1"/>
        <w:rPr>
          <w:noProof/>
        </w:rPr>
      </w:pPr>
      <w:r w:rsidRPr="00DF3EF6">
        <w:rPr>
          <w:noProof/>
        </w:rPr>
        <w:t>3. Państwa członkowskie zapewniają, aby kwota wykorzystana na finansowanie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instytucji kredytowych,</w:t>
      </w:r>
      <w:r w:rsidR="0031342C" w:rsidRPr="00DF3EF6">
        <w:rPr>
          <w:noProof/>
        </w:rPr>
        <w:t xml:space="preserve"> o</w:t>
      </w:r>
      <w:r w:rsidR="0031342C">
        <w:rPr>
          <w:noProof/>
        </w:rPr>
        <w:t> </w:t>
      </w:r>
      <w:r w:rsidR="0031342C" w:rsidRPr="00DF3EF6">
        <w:rPr>
          <w:noProof/>
        </w:rPr>
        <w:t>któ</w:t>
      </w:r>
      <w:r w:rsidRPr="00DF3EF6">
        <w:rPr>
          <w:noProof/>
        </w:rPr>
        <w:t>rej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2</w:t>
      </w:r>
      <w:r w:rsidRPr="00DF3EF6">
        <w:rPr>
          <w:noProof/>
        </w:rPr>
        <w:t>, na potrzeby środków zapobiegawczych,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3</w:t>
      </w:r>
      <w:r w:rsidRPr="00DF3EF6">
        <w:rPr>
          <w:noProof/>
        </w:rPr>
        <w:t>, lub na potrzeby środków alternatywnych,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5</w:t>
      </w:r>
      <w:r w:rsidRPr="00DF3EF6">
        <w:rPr>
          <w:noProof/>
        </w:rPr>
        <w:t>, nie przekraczała kwoty depozytów gwarantowanych</w:t>
      </w:r>
      <w:r w:rsidR="0031342C" w:rsidRPr="00DF3EF6">
        <w:rPr>
          <w:noProof/>
        </w:rPr>
        <w:t xml:space="preserve"> w</w:t>
      </w:r>
      <w:r w:rsidR="0031342C">
        <w:rPr>
          <w:noProof/>
        </w:rPr>
        <w:t> </w:t>
      </w:r>
      <w:r w:rsidR="0031342C" w:rsidRPr="00DF3EF6">
        <w:rPr>
          <w:noProof/>
        </w:rPr>
        <w:t>ins</w:t>
      </w:r>
      <w:r w:rsidRPr="00DF3EF6">
        <w:rPr>
          <w:noProof/>
        </w:rPr>
        <w:t>tytucji kredytowej.</w:t>
      </w:r>
    </w:p>
    <w:p w14:paraId="414911B5" w14:textId="1D233E70" w:rsidR="00DA5653" w:rsidRPr="00DF3EF6" w:rsidRDefault="00DA5653" w:rsidP="00066A5F">
      <w:pPr>
        <w:pStyle w:val="Text1"/>
        <w:rPr>
          <w:noProof/>
        </w:rPr>
      </w:pPr>
      <w:r w:rsidRPr="00DF3EF6">
        <w:rPr>
          <w:noProof/>
        </w:rPr>
        <w:t>4. Państwa członkowskie zapewniają, aby właściwe organy</w:t>
      </w:r>
      <w:r w:rsidR="0031342C" w:rsidRPr="00DF3EF6">
        <w:rPr>
          <w:noProof/>
        </w:rPr>
        <w:t xml:space="preserve"> i</w:t>
      </w:r>
      <w:r w:rsidR="0031342C">
        <w:rPr>
          <w:noProof/>
        </w:rPr>
        <w:t> </w:t>
      </w:r>
      <w:r w:rsidR="0031342C" w:rsidRPr="00DF3EF6">
        <w:rPr>
          <w:noProof/>
        </w:rPr>
        <w:t>org</w:t>
      </w:r>
      <w:r w:rsidRPr="00DF3EF6">
        <w:rPr>
          <w:noProof/>
        </w:rPr>
        <w:t>any ds.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przekazywały systemowi gwarancji depozytów wszystkie informacje niezbędne do celów porównania,</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Państwa członkowskie zapewniają, aby organ ds.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przekazywał systemowi gwarancji depozytów szacunkowy koszt wkładu wnoszonego przez system gwarancji depozytów</w:t>
      </w:r>
      <w:r w:rsidR="0031342C" w:rsidRPr="00DF3EF6">
        <w:rPr>
          <w:noProof/>
        </w:rPr>
        <w:t xml:space="preserve"> w</w:t>
      </w:r>
      <w:r w:rsidR="0031342C">
        <w:rPr>
          <w:noProof/>
        </w:rPr>
        <w:t> </w:t>
      </w:r>
      <w:r w:rsidR="0031342C" w:rsidRPr="00DF3EF6">
        <w:rPr>
          <w:noProof/>
        </w:rPr>
        <w:t>res</w:t>
      </w:r>
      <w:r w:rsidRPr="00DF3EF6">
        <w:rPr>
          <w:noProof/>
        </w:rPr>
        <w:t>trukturyzację</w:t>
      </w:r>
      <w:r w:rsidR="0031342C" w:rsidRPr="00DF3EF6">
        <w:rPr>
          <w:noProof/>
        </w:rPr>
        <w:t xml:space="preserve"> i</w:t>
      </w:r>
      <w:r w:rsidR="0031342C">
        <w:rPr>
          <w:noProof/>
        </w:rPr>
        <w:t> </w:t>
      </w:r>
      <w:r w:rsidR="0031342C" w:rsidRPr="00DF3EF6">
        <w:rPr>
          <w:noProof/>
        </w:rPr>
        <w:t>upo</w:t>
      </w:r>
      <w:r w:rsidRPr="00DF3EF6">
        <w:rPr>
          <w:noProof/>
        </w:rPr>
        <w:t>rządkowaną likwidację instytucji kredytowej,</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2</w:t>
      </w:r>
      <w:r w:rsidRPr="00DF3EF6">
        <w:rPr>
          <w:noProof/>
        </w:rPr>
        <w:t>.</w:t>
      </w:r>
    </w:p>
    <w:p w14:paraId="2B392DF0" w14:textId="3A0C6EBA" w:rsidR="00DA5653" w:rsidRPr="00DF3EF6" w:rsidRDefault="00DA5653" w:rsidP="00066A5F">
      <w:pPr>
        <w:pStyle w:val="Text1"/>
        <w:rPr>
          <w:noProof/>
        </w:rPr>
      </w:pPr>
      <w:r w:rsidRPr="00DF3EF6">
        <w:rPr>
          <w:noProof/>
        </w:rPr>
        <w:t>5. EUNB opracowuje projekty regulacyjnych standardów technicznych</w:t>
      </w:r>
      <w:r w:rsidR="0031342C" w:rsidRPr="00DF3EF6">
        <w:rPr>
          <w:noProof/>
        </w:rPr>
        <w:t xml:space="preserve"> w</w:t>
      </w:r>
      <w:r w:rsidR="0031342C">
        <w:rPr>
          <w:noProof/>
        </w:rPr>
        <w:t> </w:t>
      </w:r>
      <w:r w:rsidR="0031342C" w:rsidRPr="00DF3EF6">
        <w:rPr>
          <w:noProof/>
        </w:rPr>
        <w:t>cel</w:t>
      </w:r>
      <w:r w:rsidRPr="00DF3EF6">
        <w:rPr>
          <w:noProof/>
        </w:rPr>
        <w:t xml:space="preserve">u określenia: </w:t>
      </w:r>
    </w:p>
    <w:p w14:paraId="4BA41A37" w14:textId="6D48253D" w:rsidR="00DA5653" w:rsidRPr="00DF3EF6" w:rsidRDefault="00DF3EF6" w:rsidP="00DF3EF6">
      <w:pPr>
        <w:pStyle w:val="Point1"/>
        <w:rPr>
          <w:noProof/>
        </w:rPr>
      </w:pPr>
      <w:r>
        <w:rPr>
          <w:noProof/>
        </w:rPr>
        <w:t>a)</w:t>
      </w:r>
      <w:r>
        <w:rPr>
          <w:noProof/>
        </w:rPr>
        <w:tab/>
      </w:r>
      <w:r w:rsidR="00DA5653" w:rsidRPr="00DF3EF6">
        <w:rPr>
          <w:noProof/>
        </w:rPr>
        <w:t>metodyki obliczania szacunkowego kosztu,</w:t>
      </w:r>
      <w:r w:rsidR="0031342C" w:rsidRPr="00DF3EF6">
        <w:rPr>
          <w:noProof/>
        </w:rPr>
        <w:t xml:space="preserve"> o</w:t>
      </w:r>
      <w:r w:rsidR="0031342C">
        <w:rPr>
          <w:noProof/>
        </w:rPr>
        <w:t> </w:t>
      </w:r>
      <w:r w:rsidR="0031342C" w:rsidRPr="00DF3EF6">
        <w:rPr>
          <w:noProof/>
        </w:rPr>
        <w:t>któ</w:t>
      </w:r>
      <w:r w:rsidR="00DA5653" w:rsidRPr="00DF3EF6">
        <w:rPr>
          <w:noProof/>
        </w:rPr>
        <w:t>rym mowa</w:t>
      </w:r>
      <w:r w:rsidR="0031342C" w:rsidRPr="00DF3EF6">
        <w:rPr>
          <w:noProof/>
        </w:rPr>
        <w:t xml:space="preserve"> w</w:t>
      </w:r>
      <w:r w:rsidR="0031342C">
        <w:rPr>
          <w:noProof/>
        </w:rPr>
        <w:t> </w:t>
      </w:r>
      <w:r w:rsidR="0031342C" w:rsidRPr="0031342C">
        <w:rPr>
          <w:noProof/>
        </w:rPr>
        <w:t>ust</w:t>
      </w:r>
      <w:r w:rsidR="00DA5653" w:rsidRPr="0031342C">
        <w:rPr>
          <w:noProof/>
        </w:rPr>
        <w:t>.</w:t>
      </w:r>
      <w:r w:rsidR="0031342C" w:rsidRPr="0031342C">
        <w:rPr>
          <w:noProof/>
        </w:rPr>
        <w:t> </w:t>
      </w:r>
      <w:r w:rsidR="00DA5653" w:rsidRPr="0031342C">
        <w:rPr>
          <w:noProof/>
        </w:rPr>
        <w:t>1</w:t>
      </w:r>
      <w:r w:rsidR="00DA5653" w:rsidRPr="00DF3EF6">
        <w:rPr>
          <w:noProof/>
        </w:rPr>
        <w:t xml:space="preserve"> </w:t>
      </w:r>
      <w:r w:rsidR="00DA5653" w:rsidRPr="0031342C">
        <w:rPr>
          <w:noProof/>
        </w:rPr>
        <w:t>lit.</w:t>
      </w:r>
      <w:r w:rsidR="0031342C" w:rsidRPr="0031342C">
        <w:rPr>
          <w:noProof/>
        </w:rPr>
        <w:t> </w:t>
      </w:r>
      <w:r w:rsidR="00DA5653" w:rsidRPr="0031342C">
        <w:rPr>
          <w:noProof/>
        </w:rPr>
        <w:t>a)</w:t>
      </w:r>
      <w:r w:rsidR="00DA5653" w:rsidRPr="00DF3EF6">
        <w:rPr>
          <w:noProof/>
        </w:rPr>
        <w:t>, która uwzględnia szczególne cechy danego środka;</w:t>
      </w:r>
    </w:p>
    <w:p w14:paraId="718E9B80" w14:textId="515033ED" w:rsidR="00DA5653" w:rsidRPr="00DF3EF6" w:rsidRDefault="00DF3EF6" w:rsidP="00DF3EF6">
      <w:pPr>
        <w:pStyle w:val="Point1"/>
        <w:rPr>
          <w:noProof/>
        </w:rPr>
      </w:pPr>
      <w:r>
        <w:rPr>
          <w:noProof/>
        </w:rPr>
        <w:lastRenderedPageBreak/>
        <w:t>b)</w:t>
      </w:r>
      <w:r>
        <w:rPr>
          <w:noProof/>
        </w:rPr>
        <w:tab/>
      </w:r>
      <w:r w:rsidR="00DA5653" w:rsidRPr="00DF3EF6">
        <w:rPr>
          <w:noProof/>
        </w:rPr>
        <w:t>metodyki obliczania szacunkowego kosztu wypłat na rzecz deponentów,</w:t>
      </w:r>
      <w:r w:rsidR="0031342C" w:rsidRPr="00DF3EF6">
        <w:rPr>
          <w:noProof/>
        </w:rPr>
        <w:t xml:space="preserve"> o</w:t>
      </w:r>
      <w:r w:rsidR="0031342C">
        <w:rPr>
          <w:noProof/>
        </w:rPr>
        <w:t> </w:t>
      </w:r>
      <w:r w:rsidR="0031342C" w:rsidRPr="00DF3EF6">
        <w:rPr>
          <w:noProof/>
        </w:rPr>
        <w:t>któ</w:t>
      </w:r>
      <w:r w:rsidR="00DA5653" w:rsidRPr="00DF3EF6">
        <w:rPr>
          <w:noProof/>
        </w:rPr>
        <w:t>rym mowa</w:t>
      </w:r>
      <w:r w:rsidR="0031342C" w:rsidRPr="00DF3EF6">
        <w:rPr>
          <w:noProof/>
        </w:rPr>
        <w:t xml:space="preserve"> w</w:t>
      </w:r>
      <w:r w:rsidR="0031342C">
        <w:rPr>
          <w:noProof/>
        </w:rPr>
        <w:t> </w:t>
      </w:r>
      <w:r w:rsidR="0031342C" w:rsidRPr="0031342C">
        <w:rPr>
          <w:noProof/>
        </w:rPr>
        <w:t>ust</w:t>
      </w:r>
      <w:r w:rsidR="00DA5653" w:rsidRPr="0031342C">
        <w:rPr>
          <w:noProof/>
        </w:rPr>
        <w:t>.</w:t>
      </w:r>
      <w:r w:rsidR="0031342C" w:rsidRPr="0031342C">
        <w:rPr>
          <w:noProof/>
        </w:rPr>
        <w:t> </w:t>
      </w:r>
      <w:r w:rsidR="00DA5653" w:rsidRPr="0031342C">
        <w:rPr>
          <w:noProof/>
        </w:rPr>
        <w:t>1</w:t>
      </w:r>
      <w:r w:rsidR="00DA5653" w:rsidRPr="00DF3EF6">
        <w:rPr>
          <w:noProof/>
        </w:rPr>
        <w:t xml:space="preserve"> </w:t>
      </w:r>
      <w:r w:rsidR="00DA5653" w:rsidRPr="0031342C">
        <w:rPr>
          <w:noProof/>
        </w:rPr>
        <w:t>lit.</w:t>
      </w:r>
      <w:r w:rsidR="0031342C" w:rsidRPr="0031342C">
        <w:rPr>
          <w:noProof/>
        </w:rPr>
        <w:t> </w:t>
      </w:r>
      <w:r w:rsidR="00DA5653" w:rsidRPr="0031342C">
        <w:rPr>
          <w:noProof/>
        </w:rPr>
        <w:t>b)</w:t>
      </w:r>
      <w:r w:rsidR="00DA5653" w:rsidRPr="00DF3EF6">
        <w:rPr>
          <w:noProof/>
        </w:rPr>
        <w:t>,</w:t>
      </w:r>
      <w:r w:rsidR="0031342C" w:rsidRPr="00DF3EF6">
        <w:rPr>
          <w:noProof/>
        </w:rPr>
        <w:t xml:space="preserve"> w</w:t>
      </w:r>
      <w:r w:rsidR="0031342C">
        <w:rPr>
          <w:noProof/>
        </w:rPr>
        <w:t> </w:t>
      </w:r>
      <w:r w:rsidR="0031342C" w:rsidRPr="00DF3EF6">
        <w:rPr>
          <w:noProof/>
        </w:rPr>
        <w:t>tym</w:t>
      </w:r>
      <w:r w:rsidR="00DA5653" w:rsidRPr="00DF3EF6">
        <w:rPr>
          <w:noProof/>
        </w:rPr>
        <w:t xml:space="preserve"> szacunkowego wskaźnika odzyskanych należności,</w:t>
      </w:r>
      <w:r w:rsidR="0031342C" w:rsidRPr="00DF3EF6">
        <w:rPr>
          <w:noProof/>
        </w:rPr>
        <w:t xml:space="preserve"> o</w:t>
      </w:r>
      <w:r w:rsidR="0031342C">
        <w:rPr>
          <w:noProof/>
        </w:rPr>
        <w:t> </w:t>
      </w:r>
      <w:r w:rsidR="0031342C" w:rsidRPr="00DF3EF6">
        <w:rPr>
          <w:noProof/>
        </w:rPr>
        <w:t>któ</w:t>
      </w:r>
      <w:r w:rsidR="00DA5653" w:rsidRPr="00DF3EF6">
        <w:rPr>
          <w:noProof/>
        </w:rPr>
        <w:t>rym mowa</w:t>
      </w:r>
      <w:r w:rsidR="0031342C" w:rsidRPr="00DF3EF6">
        <w:rPr>
          <w:noProof/>
        </w:rPr>
        <w:t xml:space="preserve"> w</w:t>
      </w:r>
      <w:r w:rsidR="0031342C">
        <w:rPr>
          <w:noProof/>
        </w:rPr>
        <w:t> </w:t>
      </w:r>
      <w:r w:rsidR="0031342C" w:rsidRPr="0031342C">
        <w:rPr>
          <w:noProof/>
        </w:rPr>
        <w:t>ust</w:t>
      </w:r>
      <w:r w:rsidR="00DA5653" w:rsidRPr="0031342C">
        <w:rPr>
          <w:noProof/>
        </w:rPr>
        <w:t>.</w:t>
      </w:r>
      <w:r w:rsidR="0031342C" w:rsidRPr="0031342C">
        <w:rPr>
          <w:noProof/>
        </w:rPr>
        <w:t> </w:t>
      </w:r>
      <w:r w:rsidR="00DA5653" w:rsidRPr="0031342C">
        <w:rPr>
          <w:noProof/>
        </w:rPr>
        <w:t>2</w:t>
      </w:r>
      <w:r w:rsidR="00DA5653" w:rsidRPr="00DF3EF6">
        <w:rPr>
          <w:noProof/>
        </w:rPr>
        <w:t xml:space="preserve"> </w:t>
      </w:r>
      <w:r w:rsidR="00DA5653" w:rsidRPr="0031342C">
        <w:rPr>
          <w:noProof/>
        </w:rPr>
        <w:t>lit.</w:t>
      </w:r>
      <w:r w:rsidR="0031342C" w:rsidRPr="0031342C">
        <w:rPr>
          <w:noProof/>
        </w:rPr>
        <w:t> </w:t>
      </w:r>
      <w:r w:rsidR="00DA5653" w:rsidRPr="0031342C">
        <w:rPr>
          <w:noProof/>
        </w:rPr>
        <w:t>c)</w:t>
      </w:r>
      <w:r w:rsidR="00DA5653" w:rsidRPr="00DF3EF6">
        <w:rPr>
          <w:noProof/>
        </w:rPr>
        <w:t xml:space="preserve">; </w:t>
      </w:r>
    </w:p>
    <w:p w14:paraId="06F07072" w14:textId="36858BB6" w:rsidR="003A3EA2" w:rsidRPr="00DF3EF6" w:rsidRDefault="00DF3EF6" w:rsidP="00DF3EF6">
      <w:pPr>
        <w:pStyle w:val="Point1"/>
        <w:rPr>
          <w:noProof/>
        </w:rPr>
      </w:pPr>
      <w:r>
        <w:rPr>
          <w:noProof/>
        </w:rPr>
        <w:t>c)</w:t>
      </w:r>
      <w:r>
        <w:rPr>
          <w:noProof/>
        </w:rPr>
        <w:tab/>
      </w:r>
      <w:r w:rsidR="000B42E2" w:rsidRPr="00DF3EF6">
        <w:rPr>
          <w:noProof/>
        </w:rPr>
        <w:t>sposobu uwzględnienia</w:t>
      </w:r>
      <w:r w:rsidR="0031342C" w:rsidRPr="00DF3EF6">
        <w:rPr>
          <w:noProof/>
        </w:rPr>
        <w:t xml:space="preserve"> w</w:t>
      </w:r>
      <w:r w:rsidR="0031342C">
        <w:rPr>
          <w:noProof/>
        </w:rPr>
        <w:t> </w:t>
      </w:r>
      <w:r w:rsidR="0031342C" w:rsidRPr="00DF3EF6">
        <w:rPr>
          <w:noProof/>
        </w:rPr>
        <w:t>met</w:t>
      </w:r>
      <w:r w:rsidR="000B42E2" w:rsidRPr="00DF3EF6">
        <w:rPr>
          <w:noProof/>
        </w:rPr>
        <w:t>odykach,</w:t>
      </w:r>
      <w:r w:rsidR="0031342C" w:rsidRPr="00DF3EF6">
        <w:rPr>
          <w:noProof/>
        </w:rPr>
        <w:t xml:space="preserve"> o</w:t>
      </w:r>
      <w:r w:rsidR="0031342C">
        <w:rPr>
          <w:noProof/>
        </w:rPr>
        <w:t> </w:t>
      </w:r>
      <w:r w:rsidR="0031342C" w:rsidRPr="00DF3EF6">
        <w:rPr>
          <w:noProof/>
        </w:rPr>
        <w:t>któ</w:t>
      </w:r>
      <w:r w:rsidR="000B42E2" w:rsidRPr="00DF3EF6">
        <w:rPr>
          <w:noProof/>
        </w:rPr>
        <w:t>rych mowa</w:t>
      </w:r>
      <w:r w:rsidR="0031342C" w:rsidRPr="00DF3EF6">
        <w:rPr>
          <w:noProof/>
        </w:rPr>
        <w:t xml:space="preserve"> w</w:t>
      </w:r>
      <w:r w:rsidR="0031342C">
        <w:rPr>
          <w:noProof/>
        </w:rPr>
        <w:t> </w:t>
      </w:r>
      <w:r w:rsidR="0031342C" w:rsidRPr="0031342C">
        <w:rPr>
          <w:noProof/>
        </w:rPr>
        <w:t>lit</w:t>
      </w:r>
      <w:r w:rsidR="000B42E2" w:rsidRPr="0031342C">
        <w:rPr>
          <w:noProof/>
        </w:rPr>
        <w:t>.</w:t>
      </w:r>
      <w:r w:rsidR="0031342C" w:rsidRPr="0031342C">
        <w:rPr>
          <w:noProof/>
        </w:rPr>
        <w:t> </w:t>
      </w:r>
      <w:r w:rsidR="000B42E2" w:rsidRPr="0031342C">
        <w:rPr>
          <w:noProof/>
        </w:rPr>
        <w:t>a)</w:t>
      </w:r>
      <w:r w:rsidR="000B42E2" w:rsidRPr="00DF3EF6">
        <w:rPr>
          <w:noProof/>
        </w:rPr>
        <w:t>, b) i c),</w:t>
      </w:r>
      <w:r w:rsidR="0031342C" w:rsidRPr="00DF3EF6">
        <w:rPr>
          <w:noProof/>
        </w:rPr>
        <w:t xml:space="preserve"> w</w:t>
      </w:r>
      <w:r w:rsidR="0031342C">
        <w:rPr>
          <w:noProof/>
        </w:rPr>
        <w:t> </w:t>
      </w:r>
      <w:r w:rsidR="0031342C" w:rsidRPr="00DF3EF6">
        <w:rPr>
          <w:noProof/>
        </w:rPr>
        <w:t>sto</w:t>
      </w:r>
      <w:r w:rsidR="000B42E2" w:rsidRPr="00DF3EF6">
        <w:rPr>
          <w:noProof/>
        </w:rPr>
        <w:t>sownych przypadkach, zmiany wartości pieniądza</w:t>
      </w:r>
      <w:r w:rsidR="0031342C" w:rsidRPr="00DF3EF6">
        <w:rPr>
          <w:noProof/>
        </w:rPr>
        <w:t xml:space="preserve"> w</w:t>
      </w:r>
      <w:r w:rsidR="0031342C">
        <w:rPr>
          <w:noProof/>
        </w:rPr>
        <w:t> </w:t>
      </w:r>
      <w:r w:rsidR="0031342C" w:rsidRPr="00DF3EF6">
        <w:rPr>
          <w:noProof/>
        </w:rPr>
        <w:t>zwi</w:t>
      </w:r>
      <w:r w:rsidR="000B42E2" w:rsidRPr="00DF3EF6">
        <w:rPr>
          <w:noProof/>
        </w:rPr>
        <w:t>ązku</w:t>
      </w:r>
      <w:r w:rsidR="0031342C" w:rsidRPr="00DF3EF6">
        <w:rPr>
          <w:noProof/>
        </w:rPr>
        <w:t xml:space="preserve"> z</w:t>
      </w:r>
      <w:r w:rsidR="0031342C">
        <w:rPr>
          <w:noProof/>
        </w:rPr>
        <w:t> </w:t>
      </w:r>
      <w:r w:rsidR="0031342C" w:rsidRPr="00DF3EF6">
        <w:rPr>
          <w:noProof/>
        </w:rPr>
        <w:t>pot</w:t>
      </w:r>
      <w:r w:rsidR="000B42E2" w:rsidRPr="00DF3EF6">
        <w:rPr>
          <w:noProof/>
        </w:rPr>
        <w:t>encjalnymi zyskami naliczonymi</w:t>
      </w:r>
      <w:r w:rsidR="0031342C" w:rsidRPr="00DF3EF6">
        <w:rPr>
          <w:noProof/>
        </w:rPr>
        <w:t xml:space="preserve"> w</w:t>
      </w:r>
      <w:r w:rsidR="0031342C">
        <w:rPr>
          <w:noProof/>
        </w:rPr>
        <w:t> </w:t>
      </w:r>
      <w:r w:rsidR="0031342C" w:rsidRPr="00DF3EF6">
        <w:rPr>
          <w:noProof/>
        </w:rPr>
        <w:t>cza</w:t>
      </w:r>
      <w:r w:rsidR="000B42E2" w:rsidRPr="00DF3EF6">
        <w:rPr>
          <w:noProof/>
        </w:rPr>
        <w:t>sie.</w:t>
      </w:r>
    </w:p>
    <w:p w14:paraId="51166B1A" w14:textId="5BF2B590" w:rsidR="003B3168" w:rsidRPr="00DF3EF6" w:rsidRDefault="003A3EA2" w:rsidP="00066A5F">
      <w:pPr>
        <w:pStyle w:val="Text1"/>
        <w:rPr>
          <w:noProof/>
        </w:rPr>
      </w:pPr>
      <w:r w:rsidRPr="00DF3EF6">
        <w:rPr>
          <w:noProof/>
        </w:rPr>
        <w:t>Przy obliczaniu szacunkowego kosztu wypłat na rzecz deponentów,</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xml:space="preserve"> </w:t>
      </w:r>
      <w:r w:rsidRPr="0031342C">
        <w:rPr>
          <w:noProof/>
        </w:rPr>
        <w:t>lit.</w:t>
      </w:r>
      <w:r w:rsidR="0031342C" w:rsidRPr="0031342C">
        <w:rPr>
          <w:noProof/>
        </w:rPr>
        <w:t> </w:t>
      </w:r>
      <w:r w:rsidRPr="0031342C">
        <w:rPr>
          <w:noProof/>
        </w:rPr>
        <w:t>b)</w:t>
      </w:r>
      <w:r w:rsidRPr="00DF3EF6">
        <w:rPr>
          <w:noProof/>
        </w:rPr>
        <w:t>,</w:t>
      </w:r>
      <w:r w:rsidR="0031342C" w:rsidRPr="00DF3EF6">
        <w:rPr>
          <w:noProof/>
        </w:rPr>
        <w:t xml:space="preserve"> w</w:t>
      </w:r>
      <w:r w:rsidR="0031342C">
        <w:rPr>
          <w:noProof/>
        </w:rPr>
        <w:t> </w:t>
      </w:r>
      <w:r w:rsidR="0031342C" w:rsidRPr="00DF3EF6">
        <w:rPr>
          <w:noProof/>
        </w:rPr>
        <w:t>prz</w:t>
      </w:r>
      <w:r w:rsidRPr="00DF3EF6">
        <w:rPr>
          <w:noProof/>
        </w:rPr>
        <w:t>ypadku środków zapobiegawczych,</w:t>
      </w:r>
      <w:r w:rsidR="0031342C" w:rsidRPr="00DF3EF6">
        <w:rPr>
          <w:noProof/>
        </w:rPr>
        <w:t xml:space="preserve"> w</w:t>
      </w:r>
      <w:r w:rsidR="0031342C">
        <w:rPr>
          <w:noProof/>
        </w:rPr>
        <w:t> </w:t>
      </w:r>
      <w:r w:rsidR="0031342C" w:rsidRPr="00DF3EF6">
        <w:rPr>
          <w:noProof/>
        </w:rPr>
        <w:t>met</w:t>
      </w:r>
      <w:r w:rsidRPr="00DF3EF6">
        <w:rPr>
          <w:noProof/>
        </w:rPr>
        <w:t>odyce,</w:t>
      </w:r>
      <w:r w:rsidR="0031342C" w:rsidRPr="00DF3EF6">
        <w:rPr>
          <w:noProof/>
        </w:rPr>
        <w:t xml:space="preserve"> o</w:t>
      </w:r>
      <w:r w:rsidR="0031342C">
        <w:rPr>
          <w:noProof/>
        </w:rPr>
        <w:t> </w:t>
      </w:r>
      <w:r w:rsidR="0031342C" w:rsidRPr="00DF3EF6">
        <w:rPr>
          <w:noProof/>
        </w:rPr>
        <w:t>któ</w:t>
      </w:r>
      <w:r w:rsidRPr="00DF3EF6">
        <w:rPr>
          <w:noProof/>
        </w:rPr>
        <w:t>rej mowa</w:t>
      </w:r>
      <w:r w:rsidR="0031342C" w:rsidRPr="00DF3EF6">
        <w:rPr>
          <w:noProof/>
        </w:rPr>
        <w:t xml:space="preserve"> w</w:t>
      </w:r>
      <w:r w:rsidR="0031342C">
        <w:rPr>
          <w:noProof/>
        </w:rPr>
        <w:t> </w:t>
      </w:r>
      <w:r w:rsidR="0031342C" w:rsidRPr="0031342C">
        <w:rPr>
          <w:noProof/>
        </w:rPr>
        <w:t>lit</w:t>
      </w:r>
      <w:r w:rsidRPr="0031342C">
        <w:rPr>
          <w:noProof/>
        </w:rPr>
        <w:t>.</w:t>
      </w:r>
      <w:r w:rsidR="0031342C" w:rsidRPr="0031342C">
        <w:rPr>
          <w:noProof/>
        </w:rPr>
        <w:t> </w:t>
      </w:r>
      <w:r w:rsidRPr="0031342C">
        <w:rPr>
          <w:noProof/>
        </w:rPr>
        <w:t>b)</w:t>
      </w:r>
      <w:r w:rsidRPr="00DF3EF6">
        <w:rPr>
          <w:noProof/>
        </w:rPr>
        <w:t>, uwzględnia się znaczenie środków zapobiegawczych dla ustawowego lub umownego mandatu systemu gwarancji depozytów,</w:t>
      </w:r>
      <w:r w:rsidR="0031342C" w:rsidRPr="00DF3EF6">
        <w:rPr>
          <w:noProof/>
        </w:rPr>
        <w:t xml:space="preserve"> w</w:t>
      </w:r>
      <w:r w:rsidR="0031342C">
        <w:rPr>
          <w:noProof/>
        </w:rPr>
        <w:t> </w:t>
      </w:r>
      <w:r w:rsidR="0031342C" w:rsidRPr="00DF3EF6">
        <w:rPr>
          <w:noProof/>
        </w:rPr>
        <w:t>tym</w:t>
      </w:r>
      <w:r w:rsidRPr="00DF3EF6">
        <w:rPr>
          <w:noProof/>
        </w:rPr>
        <w:t xml:space="preserve"> instytucjonalnego systemu ochrony,</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 </w:t>
      </w:r>
      <w:r w:rsidRPr="0031342C">
        <w:rPr>
          <w:noProof/>
        </w:rPr>
        <w:t>ust.</w:t>
      </w:r>
      <w:r w:rsidR="0031342C" w:rsidRPr="0031342C">
        <w:rPr>
          <w:noProof/>
        </w:rPr>
        <w:t> </w:t>
      </w:r>
      <w:r w:rsidRPr="0031342C">
        <w:rPr>
          <w:noProof/>
        </w:rPr>
        <w:t>2</w:t>
      </w:r>
      <w:r w:rsidRPr="00DF3EF6">
        <w:rPr>
          <w:noProof/>
        </w:rPr>
        <w:t xml:space="preserve"> </w:t>
      </w:r>
      <w:r w:rsidRPr="0031342C">
        <w:rPr>
          <w:noProof/>
        </w:rPr>
        <w:t>lit.</w:t>
      </w:r>
      <w:r w:rsidR="0031342C" w:rsidRPr="0031342C">
        <w:rPr>
          <w:noProof/>
        </w:rPr>
        <w:t> </w:t>
      </w:r>
      <w:r w:rsidRPr="0031342C">
        <w:rPr>
          <w:noProof/>
        </w:rPr>
        <w:t>c)</w:t>
      </w:r>
      <w:r w:rsidRPr="00DF3EF6">
        <w:rPr>
          <w:noProof/>
        </w:rPr>
        <w:t>.</w:t>
      </w:r>
    </w:p>
    <w:p w14:paraId="6417AC4B" w14:textId="4B73E000" w:rsidR="00DA5653" w:rsidRPr="00DF3EF6" w:rsidRDefault="00121564" w:rsidP="00066A5F">
      <w:pPr>
        <w:pStyle w:val="Text1"/>
        <w:rPr>
          <w:noProof/>
        </w:rPr>
      </w:pPr>
      <w:r w:rsidRPr="00DF3EF6">
        <w:rPr>
          <w:noProof/>
        </w:rPr>
        <w:t>EUNB przedstawia Komisji te projekty regulacyjnych standardów technicznych do dnia ... [Urząd Publikacji – proszę wstawić datę = 12 miesięcy od daty wejścia</w:t>
      </w:r>
      <w:r w:rsidR="0031342C" w:rsidRPr="00DF3EF6">
        <w:rPr>
          <w:noProof/>
        </w:rPr>
        <w:t xml:space="preserve"> w</w:t>
      </w:r>
      <w:r w:rsidR="0031342C">
        <w:rPr>
          <w:noProof/>
        </w:rPr>
        <w:t> </w:t>
      </w:r>
      <w:r w:rsidR="0031342C" w:rsidRPr="00DF3EF6">
        <w:rPr>
          <w:noProof/>
        </w:rPr>
        <w:t>życ</w:t>
      </w:r>
      <w:r w:rsidRPr="00DF3EF6">
        <w:rPr>
          <w:noProof/>
        </w:rPr>
        <w:t>ie niniejszej dyrektywy] r.</w:t>
      </w:r>
    </w:p>
    <w:p w14:paraId="7B39B001" w14:textId="31AECECF" w:rsidR="00DA5653" w:rsidRPr="00DF3EF6" w:rsidRDefault="000B42E2" w:rsidP="00066A5F">
      <w:pPr>
        <w:pStyle w:val="Text1"/>
        <w:rPr>
          <w:noProof/>
        </w:rPr>
      </w:pPr>
      <w:r w:rsidRPr="00DF3EF6">
        <w:rPr>
          <w:noProof/>
        </w:rPr>
        <w:t>Komisja jest uprawniona do uzupełnienia niniejszej dyrektywy poprzez przyjęcie regulacyjnych standardów technicznych,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DF3EF6">
        <w:rPr>
          <w:noProof/>
        </w:rPr>
        <w:t>aka</w:t>
      </w:r>
      <w:r w:rsidRPr="00DF3EF6">
        <w:rPr>
          <w:noProof/>
        </w:rPr>
        <w:t>picie pierwszym,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0–14 rozporządzenia (UE) </w:t>
      </w:r>
      <w:r w:rsidRPr="0031342C">
        <w:rPr>
          <w:noProof/>
        </w:rPr>
        <w:t>nr</w:t>
      </w:r>
      <w:r w:rsidR="0031342C" w:rsidRPr="0031342C">
        <w:rPr>
          <w:noProof/>
        </w:rPr>
        <w:t> </w:t>
      </w:r>
      <w:r w:rsidRPr="0031342C">
        <w:rPr>
          <w:noProof/>
        </w:rPr>
        <w:t>1</w:t>
      </w:r>
      <w:r w:rsidRPr="00DF3EF6">
        <w:rPr>
          <w:noProof/>
        </w:rPr>
        <w:t>093/2010.”;</w:t>
      </w:r>
    </w:p>
    <w:p w14:paraId="6F2212BE" w14:textId="7EFB50FE" w:rsidR="00DA5653" w:rsidRPr="00DF3EF6" w:rsidRDefault="00DF3EF6" w:rsidP="00DF3EF6">
      <w:pPr>
        <w:pStyle w:val="Point0"/>
        <w:rPr>
          <w:noProof/>
        </w:rPr>
      </w:pPr>
      <w:r>
        <w:rPr>
          <w:noProof/>
        </w:rPr>
        <w:t>14)</w:t>
      </w:r>
      <w:r>
        <w:rPr>
          <w:noProof/>
        </w:rPr>
        <w:tab/>
      </w:r>
      <w:r w:rsidR="00DA5653" w:rsidRPr="00DF3EF6">
        <w:rPr>
          <w:noProof/>
        </w:rPr>
        <w:t xml:space="preserve">w </w:t>
      </w:r>
      <w:r w:rsidR="00DA5653" w:rsidRPr="0031342C">
        <w:rPr>
          <w:noProof/>
        </w:rPr>
        <w:t>art.</w:t>
      </w:r>
      <w:r w:rsidR="0031342C" w:rsidRPr="0031342C">
        <w:rPr>
          <w:noProof/>
        </w:rPr>
        <w:t> </w:t>
      </w:r>
      <w:r w:rsidR="00DA5653" w:rsidRPr="0031342C">
        <w:rPr>
          <w:noProof/>
        </w:rPr>
        <w:t>1</w:t>
      </w:r>
      <w:r w:rsidR="00DA5653" w:rsidRPr="00DF3EF6">
        <w:rPr>
          <w:noProof/>
        </w:rPr>
        <w:t>4 wprowadza się następujące zmiany:</w:t>
      </w:r>
    </w:p>
    <w:p w14:paraId="0935F0F2" w14:textId="7EF4D40F" w:rsidR="00DA5653" w:rsidRPr="00DF3EF6" w:rsidRDefault="00DF3EF6" w:rsidP="00DF3EF6">
      <w:pPr>
        <w:pStyle w:val="Point1"/>
        <w:rPr>
          <w:noProof/>
        </w:rPr>
      </w:pPr>
      <w:r>
        <w:rPr>
          <w:noProof/>
        </w:rPr>
        <w:t>a)</w:t>
      </w:r>
      <w:r>
        <w:rPr>
          <w:noProof/>
        </w:rPr>
        <w:tab/>
      </w:r>
      <w:r w:rsidR="00DA5653" w:rsidRPr="0031342C">
        <w:rPr>
          <w:noProof/>
        </w:rPr>
        <w:t>ust.</w:t>
      </w:r>
      <w:r w:rsidR="0031342C" w:rsidRPr="0031342C">
        <w:rPr>
          <w:noProof/>
        </w:rPr>
        <w:t> </w:t>
      </w:r>
      <w:r w:rsidR="00DA5653" w:rsidRPr="0031342C">
        <w:rPr>
          <w:noProof/>
        </w:rPr>
        <w:t>1</w:t>
      </w:r>
      <w:r w:rsidR="00DA5653" w:rsidRPr="00DF3EF6">
        <w:rPr>
          <w:noProof/>
        </w:rPr>
        <w:t xml:space="preserve"> otrzymuje brzmienie:</w:t>
      </w:r>
    </w:p>
    <w:p w14:paraId="7569395F" w14:textId="5A356866" w:rsidR="00DA5653" w:rsidRPr="00DF3EF6" w:rsidRDefault="00DA5653" w:rsidP="000607DF">
      <w:pPr>
        <w:pStyle w:val="Text2"/>
        <w:rPr>
          <w:noProof/>
        </w:rPr>
      </w:pPr>
      <w:r w:rsidRPr="00DF3EF6">
        <w:rPr>
          <w:noProof/>
        </w:rPr>
        <w:t>„1. Państwa członkowskie zapewniają, aby systemy gwarancji depozytów obejmowały ochroną deponentów</w:t>
      </w:r>
      <w:r w:rsidR="0031342C" w:rsidRPr="00DF3EF6">
        <w:rPr>
          <w:noProof/>
        </w:rPr>
        <w:t xml:space="preserve"> w</w:t>
      </w:r>
      <w:r w:rsidR="0031342C">
        <w:rPr>
          <w:noProof/>
        </w:rPr>
        <w:t> </w:t>
      </w:r>
      <w:r w:rsidR="0031342C" w:rsidRPr="00DF3EF6">
        <w:rPr>
          <w:noProof/>
        </w:rPr>
        <w:t>odd</w:t>
      </w:r>
      <w:r w:rsidRPr="00DF3EF6">
        <w:rPr>
          <w:noProof/>
        </w:rPr>
        <w:t>ziałach, które instytucje kredytowe będące ich członkami utworzyły</w:t>
      </w:r>
      <w:r w:rsidR="0031342C" w:rsidRPr="00DF3EF6">
        <w:rPr>
          <w:noProof/>
        </w:rPr>
        <w:t xml:space="preserve"> w</w:t>
      </w:r>
      <w:r w:rsidR="0031342C">
        <w:rPr>
          <w:noProof/>
        </w:rPr>
        <w:t> </w:t>
      </w:r>
      <w:r w:rsidR="0031342C" w:rsidRPr="00DF3EF6">
        <w:rPr>
          <w:noProof/>
        </w:rPr>
        <w:t>inn</w:t>
      </w:r>
      <w:r w:rsidRPr="00DF3EF6">
        <w:rPr>
          <w:noProof/>
        </w:rPr>
        <w:t>ych państwach członkowskich, oraz deponentów znajdujących się</w:t>
      </w:r>
      <w:r w:rsidR="0031342C" w:rsidRPr="00DF3EF6">
        <w:rPr>
          <w:noProof/>
        </w:rPr>
        <w:t xml:space="preserve"> w</w:t>
      </w:r>
      <w:r w:rsidR="0031342C">
        <w:rPr>
          <w:noProof/>
        </w:rPr>
        <w:t> </w:t>
      </w:r>
      <w:r w:rsidR="0031342C" w:rsidRPr="00DF3EF6">
        <w:rPr>
          <w:noProof/>
        </w:rPr>
        <w:t>pań</w:t>
      </w:r>
      <w:r w:rsidRPr="00DF3EF6">
        <w:rPr>
          <w:noProof/>
        </w:rPr>
        <w:t>stwach członkowskich,</w:t>
      </w:r>
      <w:r w:rsidR="0031342C" w:rsidRPr="00DF3EF6">
        <w:rPr>
          <w:noProof/>
        </w:rPr>
        <w:t xml:space="preserve"> w</w:t>
      </w:r>
      <w:r w:rsidR="0031342C">
        <w:rPr>
          <w:noProof/>
        </w:rPr>
        <w:t> </w:t>
      </w:r>
      <w:r w:rsidR="0031342C" w:rsidRPr="00DF3EF6">
        <w:rPr>
          <w:noProof/>
        </w:rPr>
        <w:t>któ</w:t>
      </w:r>
      <w:r w:rsidRPr="00DF3EF6">
        <w:rPr>
          <w:noProof/>
        </w:rPr>
        <w:t>rych instytucje kredytowe będące ich członkami korzystają ze swobody świadczenia usług,</w:t>
      </w:r>
      <w:r w:rsidR="0031342C" w:rsidRPr="00DF3EF6">
        <w:rPr>
          <w:noProof/>
        </w:rPr>
        <w:t xml:space="preserve"> o</w:t>
      </w:r>
      <w:r w:rsidR="0031342C">
        <w:rPr>
          <w:noProof/>
        </w:rPr>
        <w:t> </w:t>
      </w:r>
      <w:r w:rsidR="0031342C" w:rsidRPr="00DF3EF6">
        <w:rPr>
          <w:noProof/>
        </w:rPr>
        <w:t>któ</w:t>
      </w:r>
      <w:r w:rsidRPr="00DF3EF6">
        <w:rPr>
          <w:noProof/>
        </w:rPr>
        <w:t>rej mowa</w:t>
      </w:r>
      <w:r w:rsidR="0031342C" w:rsidRPr="00DF3EF6">
        <w:rPr>
          <w:noProof/>
        </w:rPr>
        <w:t xml:space="preserve"> w</w:t>
      </w:r>
      <w:r w:rsidR="0031342C">
        <w:rPr>
          <w:noProof/>
        </w:rPr>
        <w:t> </w:t>
      </w:r>
      <w:r w:rsidR="0031342C" w:rsidRPr="00DF3EF6">
        <w:rPr>
          <w:noProof/>
        </w:rPr>
        <w:t>tyt</w:t>
      </w:r>
      <w:r w:rsidRPr="00DF3EF6">
        <w:rPr>
          <w:noProof/>
        </w:rPr>
        <w:t>ule V rozdział 3 dyrektywy 2013/36/UE.”;</w:t>
      </w:r>
    </w:p>
    <w:p w14:paraId="60CAD9F6" w14:textId="201B7476" w:rsidR="00DA5653" w:rsidRPr="00DF3EF6" w:rsidRDefault="00DF3EF6" w:rsidP="00DF3EF6">
      <w:pPr>
        <w:pStyle w:val="Point1"/>
        <w:rPr>
          <w:noProof/>
        </w:rPr>
      </w:pPr>
      <w:r>
        <w:rPr>
          <w:noProof/>
        </w:rPr>
        <w:t>b)</w:t>
      </w:r>
      <w:r>
        <w:rPr>
          <w:noProof/>
        </w:rPr>
        <w:tab/>
      </w:r>
      <w:r w:rsidR="00DA5653" w:rsidRPr="00DF3EF6">
        <w:rPr>
          <w:noProof/>
        </w:rPr>
        <w:t xml:space="preserve">w </w:t>
      </w:r>
      <w:r w:rsidR="00DA5653" w:rsidRPr="0031342C">
        <w:rPr>
          <w:noProof/>
        </w:rPr>
        <w:t>ust.</w:t>
      </w:r>
      <w:r w:rsidR="0031342C" w:rsidRPr="0031342C">
        <w:rPr>
          <w:noProof/>
        </w:rPr>
        <w:t> </w:t>
      </w:r>
      <w:r w:rsidR="00DA5653" w:rsidRPr="0031342C">
        <w:rPr>
          <w:noProof/>
        </w:rPr>
        <w:t>2</w:t>
      </w:r>
      <w:r w:rsidR="00DA5653" w:rsidRPr="00DF3EF6">
        <w:rPr>
          <w:noProof/>
        </w:rPr>
        <w:t xml:space="preserve"> dodaje się akapit</w:t>
      </w:r>
      <w:r w:rsidR="0031342C" w:rsidRPr="00DF3EF6">
        <w:rPr>
          <w:noProof/>
        </w:rPr>
        <w:t xml:space="preserve"> w</w:t>
      </w:r>
      <w:r w:rsidR="0031342C">
        <w:rPr>
          <w:noProof/>
        </w:rPr>
        <w:t> </w:t>
      </w:r>
      <w:r w:rsidR="0031342C" w:rsidRPr="00DF3EF6">
        <w:rPr>
          <w:noProof/>
        </w:rPr>
        <w:t>brz</w:t>
      </w:r>
      <w:r w:rsidR="00DA5653" w:rsidRPr="00DF3EF6">
        <w:rPr>
          <w:noProof/>
        </w:rPr>
        <w:t>mieniu:</w:t>
      </w:r>
    </w:p>
    <w:p w14:paraId="6118944C" w14:textId="54DAA465" w:rsidR="00EC16F0" w:rsidRPr="00DF3EF6" w:rsidRDefault="00DA5653" w:rsidP="000607DF">
      <w:pPr>
        <w:pStyle w:val="Text2"/>
        <w:rPr>
          <w:noProof/>
        </w:rPr>
      </w:pPr>
      <w:r w:rsidRPr="00DF3EF6">
        <w:rPr>
          <w:noProof/>
        </w:rPr>
        <w:t>„W drodze odstępstwa od akapitu pierwszego państwa członkowskie zapewniają, aby system gwarancji depozytów państwa członkowskiego pochodzenia mógł podjąć decyzję</w:t>
      </w:r>
      <w:r w:rsidR="0031342C" w:rsidRPr="00DF3EF6">
        <w:rPr>
          <w:noProof/>
        </w:rPr>
        <w:t xml:space="preserve"> o</w:t>
      </w:r>
      <w:r w:rsidR="0031342C">
        <w:rPr>
          <w:noProof/>
        </w:rPr>
        <w:t> </w:t>
      </w:r>
      <w:r w:rsidR="0031342C" w:rsidRPr="00DF3EF6">
        <w:rPr>
          <w:noProof/>
        </w:rPr>
        <w:t>dok</w:t>
      </w:r>
      <w:r w:rsidRPr="00DF3EF6">
        <w:rPr>
          <w:noProof/>
        </w:rPr>
        <w:t>onaniu wypłaty na rzecz deponentów bezpośrednio</w:t>
      </w:r>
      <w:r w:rsidR="0031342C" w:rsidRPr="00DF3EF6">
        <w:rPr>
          <w:noProof/>
        </w:rPr>
        <w:t xml:space="preserve"> w</w:t>
      </w:r>
      <w:r w:rsidR="0031342C">
        <w:rPr>
          <w:noProof/>
        </w:rPr>
        <w:t> </w:t>
      </w:r>
      <w:r w:rsidR="0031342C" w:rsidRPr="00DF3EF6">
        <w:rPr>
          <w:noProof/>
        </w:rPr>
        <w:t>odd</w:t>
      </w:r>
      <w:r w:rsidRPr="00DF3EF6">
        <w:rPr>
          <w:noProof/>
        </w:rPr>
        <w:t>ziałach,</w:t>
      </w:r>
      <w:r w:rsidR="0031342C" w:rsidRPr="00DF3EF6">
        <w:rPr>
          <w:noProof/>
        </w:rPr>
        <w:t xml:space="preserve"> w</w:t>
      </w:r>
      <w:r w:rsidR="0031342C">
        <w:rPr>
          <w:noProof/>
        </w:rPr>
        <w:t> </w:t>
      </w:r>
      <w:r w:rsidR="0031342C" w:rsidRPr="00DF3EF6">
        <w:rPr>
          <w:noProof/>
        </w:rPr>
        <w:t>prz</w:t>
      </w:r>
      <w:r w:rsidRPr="00DF3EF6">
        <w:rPr>
          <w:noProof/>
        </w:rPr>
        <w:t>ypadku gdy zachodzą wszystkie poniższe przesłanki:</w:t>
      </w:r>
    </w:p>
    <w:p w14:paraId="06FE10F6" w14:textId="0F4D7909" w:rsidR="00EC16F0" w:rsidRPr="00DF3EF6" w:rsidRDefault="00EC16F0" w:rsidP="00066A5F">
      <w:pPr>
        <w:pStyle w:val="Point2"/>
        <w:rPr>
          <w:noProof/>
        </w:rPr>
      </w:pPr>
      <w:r w:rsidRPr="00DF3EF6">
        <w:rPr>
          <w:noProof/>
        </w:rPr>
        <w:t>(i)</w:t>
      </w:r>
      <w:r w:rsidRPr="00DF3EF6">
        <w:rPr>
          <w:noProof/>
        </w:rPr>
        <w:tab/>
        <w:t>obciążenie administracyjne</w:t>
      </w:r>
      <w:r w:rsidR="0031342C" w:rsidRPr="00DF3EF6">
        <w:rPr>
          <w:noProof/>
        </w:rPr>
        <w:t xml:space="preserve"> i</w:t>
      </w:r>
      <w:r w:rsidR="0031342C">
        <w:rPr>
          <w:noProof/>
        </w:rPr>
        <w:t> </w:t>
      </w:r>
      <w:r w:rsidR="0031342C" w:rsidRPr="00DF3EF6">
        <w:rPr>
          <w:noProof/>
        </w:rPr>
        <w:t>kos</w:t>
      </w:r>
      <w:r w:rsidRPr="00DF3EF6">
        <w:rPr>
          <w:noProof/>
        </w:rPr>
        <w:t>zt takiej wypłaty są niższe niż</w:t>
      </w:r>
      <w:r w:rsidR="0031342C" w:rsidRPr="00DF3EF6">
        <w:rPr>
          <w:noProof/>
        </w:rPr>
        <w:t xml:space="preserve"> w</w:t>
      </w:r>
      <w:r w:rsidR="0031342C">
        <w:rPr>
          <w:noProof/>
        </w:rPr>
        <w:t> </w:t>
      </w:r>
      <w:r w:rsidR="0031342C" w:rsidRPr="00DF3EF6">
        <w:rPr>
          <w:noProof/>
        </w:rPr>
        <w:t>prz</w:t>
      </w:r>
      <w:r w:rsidRPr="00DF3EF6">
        <w:rPr>
          <w:noProof/>
        </w:rPr>
        <w:t>ypadku wypłaty przez system gwarancji depozytów przyjmującego państwa członkowskiego;</w:t>
      </w:r>
    </w:p>
    <w:p w14:paraId="5BDD6FAD" w14:textId="2B4D4C3E" w:rsidR="00DA5653" w:rsidRPr="00DF3EF6" w:rsidRDefault="00EC16F0" w:rsidP="00066A5F">
      <w:pPr>
        <w:pStyle w:val="Point2"/>
        <w:rPr>
          <w:noProof/>
        </w:rPr>
      </w:pPr>
      <w:r w:rsidRPr="00DF3EF6">
        <w:rPr>
          <w:noProof/>
        </w:rPr>
        <w:t>(ii)</w:t>
      </w:r>
      <w:r w:rsidRPr="00DF3EF6">
        <w:rPr>
          <w:noProof/>
        </w:rPr>
        <w:tab/>
        <w:t>system gwarancji depozytów państwa członkowskiego pochodzenia zapewnia, aby deponenci nie znaleźli się</w:t>
      </w:r>
      <w:r w:rsidR="0031342C" w:rsidRPr="00DF3EF6">
        <w:rPr>
          <w:noProof/>
        </w:rPr>
        <w:t xml:space="preserve"> w</w:t>
      </w:r>
      <w:r w:rsidR="0031342C">
        <w:rPr>
          <w:noProof/>
        </w:rPr>
        <w:t> </w:t>
      </w:r>
      <w:r w:rsidR="0031342C" w:rsidRPr="00DF3EF6">
        <w:rPr>
          <w:noProof/>
        </w:rPr>
        <w:t>gor</w:t>
      </w:r>
      <w:r w:rsidRPr="00DF3EF6">
        <w:rPr>
          <w:noProof/>
        </w:rPr>
        <w:t>szej sytuacji niż wówczas, gdyby wypłaty dokonano zgodnie</w:t>
      </w:r>
      <w:r w:rsidR="0031342C" w:rsidRPr="00DF3EF6">
        <w:rPr>
          <w:noProof/>
        </w:rPr>
        <w:t xml:space="preserve"> z</w:t>
      </w:r>
      <w:r w:rsidR="0031342C">
        <w:rPr>
          <w:noProof/>
        </w:rPr>
        <w:t> </w:t>
      </w:r>
      <w:r w:rsidR="0031342C" w:rsidRPr="00DF3EF6">
        <w:rPr>
          <w:noProof/>
        </w:rPr>
        <w:t>aka</w:t>
      </w:r>
      <w:r w:rsidRPr="00DF3EF6">
        <w:rPr>
          <w:noProof/>
        </w:rPr>
        <w:t>pitem pierwszym.”;</w:t>
      </w:r>
    </w:p>
    <w:p w14:paraId="59123688" w14:textId="70A88217" w:rsidR="00DA5653" w:rsidRPr="00DF3EF6" w:rsidRDefault="00DF3EF6" w:rsidP="00DF3EF6">
      <w:pPr>
        <w:pStyle w:val="Point1"/>
        <w:rPr>
          <w:noProof/>
        </w:rPr>
      </w:pPr>
      <w:r>
        <w:rPr>
          <w:noProof/>
        </w:rPr>
        <w:t>c)</w:t>
      </w:r>
      <w:r>
        <w:rPr>
          <w:noProof/>
        </w:rPr>
        <w:tab/>
      </w:r>
      <w:r w:rsidR="00DA5653" w:rsidRPr="00DF3EF6">
        <w:rPr>
          <w:noProof/>
        </w:rPr>
        <w:t xml:space="preserve">dodaje się </w:t>
      </w:r>
      <w:r w:rsidR="00DA5653" w:rsidRPr="0031342C">
        <w:rPr>
          <w:noProof/>
        </w:rPr>
        <w:t>ust.</w:t>
      </w:r>
      <w:r w:rsidR="0031342C" w:rsidRPr="0031342C">
        <w:rPr>
          <w:noProof/>
        </w:rPr>
        <w:t> </w:t>
      </w:r>
      <w:r w:rsidR="00DA5653" w:rsidRPr="0031342C">
        <w:rPr>
          <w:noProof/>
        </w:rPr>
        <w:t>2</w:t>
      </w:r>
      <w:r w:rsidR="00DA5653" w:rsidRPr="00DF3EF6">
        <w:rPr>
          <w:noProof/>
        </w:rPr>
        <w:t>a</w:t>
      </w:r>
      <w:r w:rsidR="0031342C" w:rsidRPr="00DF3EF6">
        <w:rPr>
          <w:noProof/>
        </w:rPr>
        <w:t xml:space="preserve"> i</w:t>
      </w:r>
      <w:r w:rsidR="0031342C">
        <w:rPr>
          <w:noProof/>
        </w:rPr>
        <w:t> </w:t>
      </w:r>
      <w:r w:rsidR="0031342C" w:rsidRPr="00DF3EF6">
        <w:rPr>
          <w:noProof/>
        </w:rPr>
        <w:t>2</w:t>
      </w:r>
      <w:r w:rsidR="00DA5653" w:rsidRPr="00DF3EF6">
        <w:rPr>
          <w:noProof/>
        </w:rPr>
        <w:t>b</w:t>
      </w:r>
      <w:r w:rsidR="0031342C" w:rsidRPr="00DF3EF6">
        <w:rPr>
          <w:noProof/>
        </w:rPr>
        <w:t xml:space="preserve"> w</w:t>
      </w:r>
      <w:r w:rsidR="0031342C">
        <w:rPr>
          <w:noProof/>
        </w:rPr>
        <w:t> </w:t>
      </w:r>
      <w:r w:rsidR="0031342C" w:rsidRPr="00DF3EF6">
        <w:rPr>
          <w:noProof/>
        </w:rPr>
        <w:t>brz</w:t>
      </w:r>
      <w:r w:rsidR="00DA5653" w:rsidRPr="00DF3EF6">
        <w:rPr>
          <w:noProof/>
        </w:rPr>
        <w:t>mieniu:</w:t>
      </w:r>
    </w:p>
    <w:p w14:paraId="2AC2F4D2" w14:textId="43370426" w:rsidR="00DA5653" w:rsidRPr="00DF3EF6" w:rsidRDefault="00DA5653" w:rsidP="000607DF">
      <w:pPr>
        <w:pStyle w:val="Text2"/>
        <w:rPr>
          <w:noProof/>
        </w:rPr>
      </w:pPr>
      <w:r w:rsidRPr="00DF3EF6">
        <w:rPr>
          <w:noProof/>
        </w:rPr>
        <w:t>„2a. Państwa członkowskie zapewniają, aby system gwarancji depozytów przyjmującego państwa członkowskiego mógł, na podstawie porozumienia</w:t>
      </w:r>
      <w:r w:rsidR="0031342C" w:rsidRPr="00DF3EF6">
        <w:rPr>
          <w:noProof/>
        </w:rPr>
        <w:t xml:space="preserve"> z</w:t>
      </w:r>
      <w:r w:rsidR="0031342C">
        <w:rPr>
          <w:noProof/>
        </w:rPr>
        <w:t> </w:t>
      </w:r>
      <w:r w:rsidR="0031342C" w:rsidRPr="00DF3EF6">
        <w:rPr>
          <w:noProof/>
        </w:rPr>
        <w:t>sys</w:t>
      </w:r>
      <w:r w:rsidRPr="00DF3EF6">
        <w:rPr>
          <w:noProof/>
        </w:rPr>
        <w:t>temem gwarancji depozytów państwa członkowskiego pochodzenia, działać jako punkt kontaktowy dla deponentów</w:t>
      </w:r>
      <w:r w:rsidR="0031342C" w:rsidRPr="00DF3EF6">
        <w:rPr>
          <w:noProof/>
        </w:rPr>
        <w:t xml:space="preserve"> w</w:t>
      </w:r>
      <w:r w:rsidR="0031342C">
        <w:rPr>
          <w:noProof/>
        </w:rPr>
        <w:t> </w:t>
      </w:r>
      <w:r w:rsidR="0031342C" w:rsidRPr="00DF3EF6">
        <w:rPr>
          <w:noProof/>
        </w:rPr>
        <w:t>ins</w:t>
      </w:r>
      <w:r w:rsidRPr="00DF3EF6">
        <w:rPr>
          <w:noProof/>
        </w:rPr>
        <w:t>tytucjach kredytowych korzystających ze swobody świadczenia usług,</w:t>
      </w:r>
      <w:r w:rsidR="0031342C" w:rsidRPr="00DF3EF6">
        <w:rPr>
          <w:noProof/>
        </w:rPr>
        <w:t xml:space="preserve"> o</w:t>
      </w:r>
      <w:r w:rsidR="0031342C">
        <w:rPr>
          <w:noProof/>
        </w:rPr>
        <w:t> </w:t>
      </w:r>
      <w:r w:rsidR="0031342C" w:rsidRPr="00DF3EF6">
        <w:rPr>
          <w:noProof/>
        </w:rPr>
        <w:t>któ</w:t>
      </w:r>
      <w:r w:rsidRPr="00DF3EF6">
        <w:rPr>
          <w:noProof/>
        </w:rPr>
        <w:t>rej mowa</w:t>
      </w:r>
      <w:r w:rsidR="0031342C" w:rsidRPr="00DF3EF6">
        <w:rPr>
          <w:noProof/>
        </w:rPr>
        <w:t xml:space="preserve"> w</w:t>
      </w:r>
      <w:r w:rsidR="0031342C">
        <w:rPr>
          <w:noProof/>
        </w:rPr>
        <w:t> </w:t>
      </w:r>
      <w:r w:rsidR="0031342C" w:rsidRPr="00DF3EF6">
        <w:rPr>
          <w:noProof/>
        </w:rPr>
        <w:t>tyt</w:t>
      </w:r>
      <w:r w:rsidRPr="00DF3EF6">
        <w:rPr>
          <w:noProof/>
        </w:rPr>
        <w:t xml:space="preserve">ule V rozdział 3 dyrektywy 2013/36/UE, oraz aby otrzymywał rekompensatę za poniesione koszty. </w:t>
      </w:r>
    </w:p>
    <w:p w14:paraId="1436E7F8" w14:textId="3B7E549A" w:rsidR="00DA5653" w:rsidRPr="00DF3EF6" w:rsidRDefault="00EB6080" w:rsidP="000607DF">
      <w:pPr>
        <w:pStyle w:val="Text2"/>
        <w:rPr>
          <w:noProof/>
        </w:rPr>
      </w:pPr>
      <w:r w:rsidRPr="00DF3EF6">
        <w:rPr>
          <w:noProof/>
        </w:rPr>
        <w:lastRenderedPageBreak/>
        <w:t>2b</w:t>
      </w:r>
      <w:r w:rsidR="0031342C" w:rsidRPr="00DF3EF6">
        <w:rPr>
          <w:noProof/>
        </w:rPr>
        <w:t>. W</w:t>
      </w:r>
      <w:r w:rsidR="0031342C">
        <w:rPr>
          <w:noProof/>
        </w:rPr>
        <w:t> </w:t>
      </w:r>
      <w:r w:rsidR="0031342C" w:rsidRPr="00DF3EF6">
        <w:rPr>
          <w:noProof/>
        </w:rPr>
        <w:t>prz</w:t>
      </w:r>
      <w:r w:rsidRPr="00DF3EF6">
        <w:rPr>
          <w:noProof/>
        </w:rPr>
        <w:t>ypadkach,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2</w:t>
      </w:r>
      <w:r w:rsidR="0031342C" w:rsidRPr="00DF3EF6">
        <w:rPr>
          <w:noProof/>
        </w:rPr>
        <w:t xml:space="preserve"> i</w:t>
      </w:r>
      <w:r w:rsidR="0031342C">
        <w:rPr>
          <w:noProof/>
        </w:rPr>
        <w:t> </w:t>
      </w:r>
      <w:r w:rsidR="0031342C" w:rsidRPr="00DF3EF6">
        <w:rPr>
          <w:noProof/>
        </w:rPr>
        <w:t>2</w:t>
      </w:r>
      <w:r w:rsidRPr="00DF3EF6">
        <w:rPr>
          <w:noProof/>
        </w:rPr>
        <w:t>a, państwa członkowskie zapewniają, aby system gwarancji depozytów danego państwa członkowskiego pochodzenia</w:t>
      </w:r>
      <w:r w:rsidR="0031342C" w:rsidRPr="00DF3EF6">
        <w:rPr>
          <w:noProof/>
        </w:rPr>
        <w:t xml:space="preserve"> i</w:t>
      </w:r>
      <w:r w:rsidR="0031342C">
        <w:rPr>
          <w:noProof/>
        </w:rPr>
        <w:t> </w:t>
      </w:r>
      <w:r w:rsidR="0031342C" w:rsidRPr="00DF3EF6">
        <w:rPr>
          <w:noProof/>
        </w:rPr>
        <w:t>sys</w:t>
      </w:r>
      <w:r w:rsidRPr="00DF3EF6">
        <w:rPr>
          <w:noProof/>
        </w:rPr>
        <w:t>tem gwarancji depozytów danego przyjmującego państwa członkowskiego zawarły porozumienie</w:t>
      </w:r>
      <w:r w:rsidR="0031342C" w:rsidRPr="00DF3EF6">
        <w:rPr>
          <w:noProof/>
        </w:rPr>
        <w:t xml:space="preserve"> w</w:t>
      </w:r>
      <w:r w:rsidR="0031342C">
        <w:rPr>
          <w:noProof/>
        </w:rPr>
        <w:t> </w:t>
      </w:r>
      <w:r w:rsidR="0031342C" w:rsidRPr="00DF3EF6">
        <w:rPr>
          <w:noProof/>
        </w:rPr>
        <w:t>spr</w:t>
      </w:r>
      <w:r w:rsidRPr="00DF3EF6">
        <w:rPr>
          <w:noProof/>
        </w:rPr>
        <w:t>awie warunków wypłaty,</w:t>
      </w:r>
      <w:r w:rsidR="0031342C" w:rsidRPr="00DF3EF6">
        <w:rPr>
          <w:noProof/>
        </w:rPr>
        <w:t xml:space="preserve"> w</w:t>
      </w:r>
      <w:r w:rsidR="0031342C">
        <w:rPr>
          <w:noProof/>
        </w:rPr>
        <w:t> </w:t>
      </w:r>
      <w:r w:rsidR="0031342C" w:rsidRPr="00DF3EF6">
        <w:rPr>
          <w:noProof/>
        </w:rPr>
        <w:t>tym w</w:t>
      </w:r>
      <w:r w:rsidR="0031342C">
        <w:rPr>
          <w:noProof/>
        </w:rPr>
        <w:t> </w:t>
      </w:r>
      <w:r w:rsidR="0031342C" w:rsidRPr="00DF3EF6">
        <w:rPr>
          <w:noProof/>
        </w:rPr>
        <w:t>spr</w:t>
      </w:r>
      <w:r w:rsidRPr="00DF3EF6">
        <w:rPr>
          <w:noProof/>
        </w:rPr>
        <w:t>awie rekompensaty za wszelkie poniesione koszty, punktu kontaktowego dla deponentów, harmonogramu</w:t>
      </w:r>
      <w:r w:rsidR="0031342C" w:rsidRPr="00DF3EF6">
        <w:rPr>
          <w:noProof/>
        </w:rPr>
        <w:t xml:space="preserve"> i</w:t>
      </w:r>
      <w:r w:rsidR="0031342C">
        <w:rPr>
          <w:noProof/>
        </w:rPr>
        <w:t> </w:t>
      </w:r>
      <w:r w:rsidR="0031342C" w:rsidRPr="00DF3EF6">
        <w:rPr>
          <w:noProof/>
        </w:rPr>
        <w:t>met</w:t>
      </w:r>
      <w:r w:rsidRPr="00DF3EF6">
        <w:rPr>
          <w:noProof/>
        </w:rPr>
        <w:t>ody płatności.”;</w:t>
      </w:r>
    </w:p>
    <w:p w14:paraId="196DDA1B" w14:textId="60D5767E" w:rsidR="00DA5653" w:rsidRPr="00DF3EF6" w:rsidRDefault="00DF3EF6" w:rsidP="00DF3EF6">
      <w:pPr>
        <w:pStyle w:val="Point1"/>
        <w:rPr>
          <w:noProof/>
        </w:rPr>
      </w:pPr>
      <w:r>
        <w:rPr>
          <w:noProof/>
        </w:rPr>
        <w:t>d)</w:t>
      </w:r>
      <w:r>
        <w:rPr>
          <w:noProof/>
        </w:rPr>
        <w:tab/>
      </w:r>
      <w:r w:rsidR="00380E6C" w:rsidRPr="0031342C">
        <w:rPr>
          <w:noProof/>
        </w:rPr>
        <w:t>ust.</w:t>
      </w:r>
      <w:r w:rsidR="0031342C" w:rsidRPr="0031342C">
        <w:rPr>
          <w:noProof/>
        </w:rPr>
        <w:t> </w:t>
      </w:r>
      <w:r w:rsidR="00380E6C" w:rsidRPr="0031342C">
        <w:rPr>
          <w:noProof/>
        </w:rPr>
        <w:t>3</w:t>
      </w:r>
      <w:r w:rsidR="00380E6C" w:rsidRPr="00DF3EF6">
        <w:rPr>
          <w:noProof/>
        </w:rPr>
        <w:t xml:space="preserve"> otrzymuje brzmienie:</w:t>
      </w:r>
    </w:p>
    <w:p w14:paraId="2654FC73" w14:textId="77D1D538" w:rsidR="00D20258" w:rsidRPr="00DF3EF6" w:rsidRDefault="00DA5653" w:rsidP="00380E6C">
      <w:pPr>
        <w:pStyle w:val="Text2"/>
        <w:rPr>
          <w:noProof/>
        </w:rPr>
      </w:pPr>
      <w:r w:rsidRPr="00DF3EF6">
        <w:rPr>
          <w:noProof/>
        </w:rPr>
        <w:t>„3. Państwa członkowskie zapewniają, by</w:t>
      </w:r>
      <w:r w:rsidR="0031342C" w:rsidRPr="00DF3EF6">
        <w:rPr>
          <w:noProof/>
        </w:rPr>
        <w:t xml:space="preserve"> w</w:t>
      </w:r>
      <w:r w:rsidR="0031342C">
        <w:rPr>
          <w:noProof/>
        </w:rPr>
        <w:t> </w:t>
      </w:r>
      <w:r w:rsidR="0031342C" w:rsidRPr="00DF3EF6">
        <w:rPr>
          <w:noProof/>
        </w:rPr>
        <w:t>prz</w:t>
      </w:r>
      <w:r w:rsidRPr="00DF3EF6">
        <w:rPr>
          <w:noProof/>
        </w:rPr>
        <w:t>ypadku gdy instytucja kredytowa przestaje być członkiem jednego systemu gwarancji depozytów</w:t>
      </w:r>
      <w:r w:rsidR="0031342C" w:rsidRPr="00DF3EF6">
        <w:rPr>
          <w:noProof/>
        </w:rPr>
        <w:t xml:space="preserve"> i</w:t>
      </w:r>
      <w:r w:rsidR="0031342C">
        <w:rPr>
          <w:noProof/>
        </w:rPr>
        <w:t> </w:t>
      </w:r>
      <w:r w:rsidR="0031342C" w:rsidRPr="00DF3EF6">
        <w:rPr>
          <w:noProof/>
        </w:rPr>
        <w:t>prz</w:t>
      </w:r>
      <w:r w:rsidRPr="00DF3EF6">
        <w:rPr>
          <w:noProof/>
        </w:rPr>
        <w:t>yłącza się do systemu gwarancji depozytów innego państwa członkowskiego lub gdy część działalności instytucji kredytowej zostaje przeniesiona do systemu gwarancji depozytów innego państwa członkowskiego, pierwotny system gwarancji depozytów przekazywał przyjmującemu systemowi gwarancji depozytów składki należne za okres ostatnich 12 miesięcy poprzedzających zmianę członkostwa</w:t>
      </w:r>
      <w:r w:rsidR="0031342C" w:rsidRPr="00DF3EF6">
        <w:rPr>
          <w:noProof/>
        </w:rPr>
        <w:t xml:space="preserve"> w</w:t>
      </w:r>
      <w:r w:rsidR="0031342C">
        <w:rPr>
          <w:noProof/>
        </w:rPr>
        <w:t> </w:t>
      </w:r>
      <w:r w:rsidR="0031342C" w:rsidRPr="00DF3EF6">
        <w:rPr>
          <w:noProof/>
        </w:rPr>
        <w:t>sys</w:t>
      </w:r>
      <w:r w:rsidRPr="00DF3EF6">
        <w:rPr>
          <w:noProof/>
        </w:rPr>
        <w:t>temie gwarancji depozytów,</w:t>
      </w:r>
      <w:r w:rsidR="0031342C" w:rsidRPr="00DF3EF6">
        <w:rPr>
          <w:noProof/>
        </w:rPr>
        <w:t xml:space="preserve"> z</w:t>
      </w:r>
      <w:r w:rsidR="0031342C">
        <w:rPr>
          <w:noProof/>
        </w:rPr>
        <w:t> </w:t>
      </w:r>
      <w:r w:rsidR="0031342C" w:rsidRPr="00DF3EF6">
        <w:rPr>
          <w:noProof/>
        </w:rPr>
        <w:t>wyj</w:t>
      </w:r>
      <w:r w:rsidRPr="00DF3EF6">
        <w:rPr>
          <w:noProof/>
        </w:rPr>
        <w:t>ątkiem składek nadzwyczajnych,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0 </w:t>
      </w:r>
      <w:r w:rsidRPr="0031342C">
        <w:rPr>
          <w:noProof/>
        </w:rPr>
        <w:t>ust.</w:t>
      </w:r>
      <w:r w:rsidR="0031342C" w:rsidRPr="0031342C">
        <w:rPr>
          <w:noProof/>
        </w:rPr>
        <w:t> </w:t>
      </w:r>
      <w:r w:rsidRPr="0031342C">
        <w:rPr>
          <w:noProof/>
        </w:rPr>
        <w:t>8</w:t>
      </w:r>
      <w:r w:rsidRPr="00DF3EF6">
        <w:rPr>
          <w:noProof/>
        </w:rPr>
        <w:t>.”;</w:t>
      </w:r>
    </w:p>
    <w:p w14:paraId="25659BEC" w14:textId="62376DE4" w:rsidR="00DA5653" w:rsidRPr="00DF3EF6" w:rsidRDefault="00DF3EF6" w:rsidP="00DF3EF6">
      <w:pPr>
        <w:pStyle w:val="Point1"/>
        <w:rPr>
          <w:noProof/>
        </w:rPr>
      </w:pPr>
      <w:r>
        <w:rPr>
          <w:noProof/>
        </w:rPr>
        <w:t>e)</w:t>
      </w:r>
      <w:r>
        <w:rPr>
          <w:noProof/>
        </w:rPr>
        <w:tab/>
      </w:r>
      <w:r w:rsidR="00380E6C" w:rsidRPr="00DF3EF6">
        <w:rPr>
          <w:noProof/>
        </w:rPr>
        <w:t xml:space="preserve">dodaje się </w:t>
      </w:r>
      <w:r w:rsidR="00380E6C" w:rsidRPr="0031342C">
        <w:rPr>
          <w:noProof/>
        </w:rPr>
        <w:t>ust.</w:t>
      </w:r>
      <w:r w:rsidR="0031342C" w:rsidRPr="0031342C">
        <w:rPr>
          <w:noProof/>
        </w:rPr>
        <w:t> </w:t>
      </w:r>
      <w:r w:rsidR="00380E6C" w:rsidRPr="0031342C">
        <w:rPr>
          <w:noProof/>
        </w:rPr>
        <w:t>3</w:t>
      </w:r>
      <w:r w:rsidR="00380E6C" w:rsidRPr="00DF3EF6">
        <w:rPr>
          <w:noProof/>
        </w:rPr>
        <w:t>a</w:t>
      </w:r>
      <w:r w:rsidR="0031342C" w:rsidRPr="00DF3EF6">
        <w:rPr>
          <w:noProof/>
        </w:rPr>
        <w:t xml:space="preserve"> w</w:t>
      </w:r>
      <w:r w:rsidR="0031342C">
        <w:rPr>
          <w:noProof/>
        </w:rPr>
        <w:t> </w:t>
      </w:r>
      <w:r w:rsidR="0031342C" w:rsidRPr="00DF3EF6">
        <w:rPr>
          <w:noProof/>
        </w:rPr>
        <w:t>brz</w:t>
      </w:r>
      <w:r w:rsidR="00380E6C" w:rsidRPr="00DF3EF6">
        <w:rPr>
          <w:noProof/>
        </w:rPr>
        <w:t>mieniu:</w:t>
      </w:r>
    </w:p>
    <w:p w14:paraId="461B85E6" w14:textId="2CF4D0D0" w:rsidR="00DA5653" w:rsidRPr="00DF3EF6" w:rsidRDefault="00DA5653" w:rsidP="000607DF">
      <w:pPr>
        <w:pStyle w:val="Text2"/>
        <w:rPr>
          <w:noProof/>
        </w:rPr>
      </w:pPr>
      <w:r w:rsidRPr="00DF3EF6">
        <w:rPr>
          <w:noProof/>
        </w:rPr>
        <w:t xml:space="preserve">„3a. Do celów </w:t>
      </w:r>
      <w:r w:rsidRPr="0031342C">
        <w:rPr>
          <w:noProof/>
        </w:rPr>
        <w:t>ust.</w:t>
      </w:r>
      <w:r w:rsidR="0031342C" w:rsidRPr="0031342C">
        <w:rPr>
          <w:noProof/>
        </w:rPr>
        <w:t> </w:t>
      </w:r>
      <w:r w:rsidRPr="0031342C">
        <w:rPr>
          <w:noProof/>
        </w:rPr>
        <w:t>3</w:t>
      </w:r>
      <w:r w:rsidRPr="00DF3EF6">
        <w:rPr>
          <w:noProof/>
        </w:rPr>
        <w:t xml:space="preserve"> państwa członkowskie zapewniają, aby pierwotny system gwarancji depozytów przekazał kwotę,</w:t>
      </w:r>
      <w:r w:rsidR="0031342C" w:rsidRPr="00DF3EF6">
        <w:rPr>
          <w:noProof/>
        </w:rPr>
        <w:t xml:space="preserve"> o</w:t>
      </w:r>
      <w:r w:rsidR="0031342C">
        <w:rPr>
          <w:noProof/>
        </w:rPr>
        <w:t> </w:t>
      </w:r>
      <w:r w:rsidR="0031342C" w:rsidRPr="00DF3EF6">
        <w:rPr>
          <w:noProof/>
        </w:rPr>
        <w:t>któ</w:t>
      </w:r>
      <w:r w:rsidRPr="00DF3EF6">
        <w:rPr>
          <w:noProof/>
        </w:rPr>
        <w:t>rej mowa</w:t>
      </w:r>
      <w:r w:rsidR="0031342C" w:rsidRPr="00DF3EF6">
        <w:rPr>
          <w:noProof/>
        </w:rPr>
        <w:t xml:space="preserve"> w</w:t>
      </w:r>
      <w:r w:rsidR="0031342C">
        <w:rPr>
          <w:noProof/>
        </w:rPr>
        <w:t> </w:t>
      </w:r>
      <w:r w:rsidR="0031342C" w:rsidRPr="00DF3EF6">
        <w:rPr>
          <w:noProof/>
        </w:rPr>
        <w:t>tym</w:t>
      </w:r>
      <w:r w:rsidRPr="00DF3EF6">
        <w:rPr>
          <w:noProof/>
        </w:rPr>
        <w:t xml:space="preserve"> ustępie,</w:t>
      </w:r>
      <w:r w:rsidR="0031342C" w:rsidRPr="00DF3EF6">
        <w:rPr>
          <w:noProof/>
        </w:rPr>
        <w:t xml:space="preserve"> w</w:t>
      </w:r>
      <w:r w:rsidR="0031342C">
        <w:rPr>
          <w:noProof/>
        </w:rPr>
        <w:t> </w:t>
      </w:r>
      <w:r w:rsidR="0031342C" w:rsidRPr="00DF3EF6">
        <w:rPr>
          <w:noProof/>
        </w:rPr>
        <w:t>ter</w:t>
      </w:r>
      <w:r w:rsidRPr="00DF3EF6">
        <w:rPr>
          <w:noProof/>
        </w:rPr>
        <w:t>minie 1 miesiąca od zmiany członkostwa</w:t>
      </w:r>
      <w:r w:rsidR="0031342C" w:rsidRPr="00DF3EF6">
        <w:rPr>
          <w:noProof/>
        </w:rPr>
        <w:t xml:space="preserve"> w</w:t>
      </w:r>
      <w:r w:rsidR="0031342C">
        <w:rPr>
          <w:noProof/>
        </w:rPr>
        <w:t> </w:t>
      </w:r>
      <w:r w:rsidR="0031342C" w:rsidRPr="00DF3EF6">
        <w:rPr>
          <w:noProof/>
        </w:rPr>
        <w:t>sys</w:t>
      </w:r>
      <w:r w:rsidRPr="00DF3EF6">
        <w:rPr>
          <w:noProof/>
        </w:rPr>
        <w:t>temie gwarancji depozytów.”;</w:t>
      </w:r>
    </w:p>
    <w:p w14:paraId="28ECA83D" w14:textId="4E910662" w:rsidR="00DA5653" w:rsidRPr="00DF3EF6" w:rsidRDefault="00DF3EF6" w:rsidP="00DF3EF6">
      <w:pPr>
        <w:pStyle w:val="Point1"/>
        <w:rPr>
          <w:noProof/>
        </w:rPr>
      </w:pPr>
      <w:r>
        <w:rPr>
          <w:noProof/>
        </w:rPr>
        <w:t>f)</w:t>
      </w:r>
      <w:r>
        <w:rPr>
          <w:noProof/>
        </w:rPr>
        <w:tab/>
      </w:r>
      <w:r w:rsidR="00380E6C" w:rsidRPr="00DF3EF6">
        <w:rPr>
          <w:noProof/>
        </w:rPr>
        <w:t xml:space="preserve">dodaje się </w:t>
      </w:r>
      <w:r w:rsidR="00380E6C" w:rsidRPr="0031342C">
        <w:rPr>
          <w:noProof/>
        </w:rPr>
        <w:t>ust.</w:t>
      </w:r>
      <w:r w:rsidR="0031342C" w:rsidRPr="0031342C">
        <w:rPr>
          <w:noProof/>
        </w:rPr>
        <w:t> </w:t>
      </w:r>
      <w:r w:rsidR="00380E6C" w:rsidRPr="0031342C">
        <w:rPr>
          <w:noProof/>
        </w:rPr>
        <w:t>9</w:t>
      </w:r>
      <w:r w:rsidR="0031342C" w:rsidRPr="00DF3EF6">
        <w:rPr>
          <w:noProof/>
        </w:rPr>
        <w:t xml:space="preserve"> w</w:t>
      </w:r>
      <w:r w:rsidR="0031342C">
        <w:rPr>
          <w:noProof/>
        </w:rPr>
        <w:t> </w:t>
      </w:r>
      <w:r w:rsidR="0031342C" w:rsidRPr="00DF3EF6">
        <w:rPr>
          <w:noProof/>
        </w:rPr>
        <w:t>brz</w:t>
      </w:r>
      <w:r w:rsidR="00380E6C" w:rsidRPr="00DF3EF6">
        <w:rPr>
          <w:noProof/>
        </w:rPr>
        <w:t>mieniu:</w:t>
      </w:r>
    </w:p>
    <w:p w14:paraId="19FF0447" w14:textId="2B8607A7" w:rsidR="00FF3138" w:rsidRPr="00DF3EF6" w:rsidRDefault="00DA5653" w:rsidP="000607DF">
      <w:pPr>
        <w:pStyle w:val="Text2"/>
        <w:rPr>
          <w:noProof/>
        </w:rPr>
      </w:pPr>
      <w:r w:rsidRPr="00DF3EF6">
        <w:rPr>
          <w:noProof/>
        </w:rPr>
        <w:t>„9. EUNB wydaje wytyczne przedstawiające sposób rozumienia przez EUNB odpowiednich ról systemów gwarancji depozytów</w:t>
      </w:r>
      <w:r w:rsidR="0031342C" w:rsidRPr="00DF3EF6">
        <w:rPr>
          <w:noProof/>
        </w:rPr>
        <w:t xml:space="preserve"> w</w:t>
      </w:r>
      <w:r w:rsidR="0031342C">
        <w:rPr>
          <w:noProof/>
        </w:rPr>
        <w:t> </w:t>
      </w:r>
      <w:r w:rsidR="0031342C" w:rsidRPr="00DF3EF6">
        <w:rPr>
          <w:noProof/>
        </w:rPr>
        <w:t>pań</w:t>
      </w:r>
      <w:r w:rsidRPr="00DF3EF6">
        <w:rPr>
          <w:noProof/>
        </w:rPr>
        <w:t>stwie pochodzenia</w:t>
      </w:r>
      <w:r w:rsidR="0031342C" w:rsidRPr="00DF3EF6">
        <w:rPr>
          <w:noProof/>
        </w:rPr>
        <w:t xml:space="preserve"> i</w:t>
      </w:r>
      <w:r w:rsidR="0031342C">
        <w:rPr>
          <w:noProof/>
        </w:rPr>
        <w:t> </w:t>
      </w:r>
      <w:r w:rsidR="0031342C" w:rsidRPr="00DF3EF6">
        <w:rPr>
          <w:noProof/>
        </w:rPr>
        <w:t>w</w:t>
      </w:r>
      <w:r w:rsidR="0031342C">
        <w:rPr>
          <w:noProof/>
        </w:rPr>
        <w:t> </w:t>
      </w:r>
      <w:r w:rsidR="0031342C" w:rsidRPr="00DF3EF6">
        <w:rPr>
          <w:noProof/>
        </w:rPr>
        <w:t>pań</w:t>
      </w:r>
      <w:r w:rsidRPr="00DF3EF6">
        <w:rPr>
          <w:noProof/>
        </w:rPr>
        <w:t>stwie przyjmującym,</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2</w:t>
      </w:r>
      <w:r w:rsidRPr="00DF3EF6">
        <w:rPr>
          <w:noProof/>
        </w:rPr>
        <w:t xml:space="preserve"> akapit pierwszy, oraz zawierające wykaz okoliczności,</w:t>
      </w:r>
      <w:r w:rsidR="0031342C" w:rsidRPr="00DF3EF6">
        <w:rPr>
          <w:noProof/>
        </w:rPr>
        <w:t xml:space="preserve"> w</w:t>
      </w:r>
      <w:r w:rsidR="0031342C">
        <w:rPr>
          <w:noProof/>
        </w:rPr>
        <w:t> </w:t>
      </w:r>
      <w:r w:rsidR="0031342C" w:rsidRPr="00DF3EF6">
        <w:rPr>
          <w:noProof/>
        </w:rPr>
        <w:t>jak</w:t>
      </w:r>
      <w:r w:rsidRPr="00DF3EF6">
        <w:rPr>
          <w:noProof/>
        </w:rPr>
        <w:t>ich system gwarancji depozytów państwa członkowskiego pochodzenia powinien mieć możliwość decydowania</w:t>
      </w:r>
      <w:r w:rsidR="0031342C" w:rsidRPr="00DF3EF6">
        <w:rPr>
          <w:noProof/>
        </w:rPr>
        <w:t xml:space="preserve"> o</w:t>
      </w:r>
      <w:r w:rsidR="0031342C">
        <w:rPr>
          <w:noProof/>
        </w:rPr>
        <w:t> </w:t>
      </w:r>
      <w:r w:rsidR="0031342C" w:rsidRPr="00DF3EF6">
        <w:rPr>
          <w:noProof/>
        </w:rPr>
        <w:t>dok</w:t>
      </w:r>
      <w:r w:rsidRPr="00DF3EF6">
        <w:rPr>
          <w:noProof/>
        </w:rPr>
        <w:t>onaniu zwrotu na rzecz deponentów</w:t>
      </w:r>
      <w:r w:rsidR="0031342C" w:rsidRPr="00DF3EF6">
        <w:rPr>
          <w:noProof/>
        </w:rPr>
        <w:t xml:space="preserve"> w</w:t>
      </w:r>
      <w:r w:rsidR="0031342C">
        <w:rPr>
          <w:noProof/>
        </w:rPr>
        <w:t> </w:t>
      </w:r>
      <w:r w:rsidR="0031342C" w:rsidRPr="00DF3EF6">
        <w:rPr>
          <w:noProof/>
        </w:rPr>
        <w:t>odd</w:t>
      </w:r>
      <w:r w:rsidRPr="00DF3EF6">
        <w:rPr>
          <w:noProof/>
        </w:rPr>
        <w:t>ziałach</w:t>
      </w:r>
      <w:r w:rsidR="0031342C" w:rsidRPr="00DF3EF6">
        <w:rPr>
          <w:noProof/>
        </w:rPr>
        <w:t xml:space="preserve"> w</w:t>
      </w:r>
      <w:r w:rsidR="0031342C">
        <w:rPr>
          <w:noProof/>
        </w:rPr>
        <w:t> </w:t>
      </w:r>
      <w:r w:rsidR="0031342C" w:rsidRPr="00DF3EF6">
        <w:rPr>
          <w:noProof/>
        </w:rPr>
        <w:t>inn</w:t>
      </w:r>
      <w:r w:rsidRPr="00DF3EF6">
        <w:rPr>
          <w:noProof/>
        </w:rPr>
        <w:t>ym państwie członkowskim zgodnie</w:t>
      </w:r>
      <w:r w:rsidR="0031342C" w:rsidRPr="00DF3EF6">
        <w:rPr>
          <w:noProof/>
        </w:rPr>
        <w:t xml:space="preserve"> z</w:t>
      </w:r>
      <w:r w:rsidR="0031342C">
        <w:rPr>
          <w:noProof/>
        </w:rPr>
        <w:t> </w:t>
      </w:r>
      <w:r w:rsidR="0031342C" w:rsidRPr="0031342C">
        <w:rPr>
          <w:noProof/>
        </w:rPr>
        <w:t>ust</w:t>
      </w:r>
      <w:r w:rsidRPr="0031342C">
        <w:rPr>
          <w:noProof/>
        </w:rPr>
        <w:t>.</w:t>
      </w:r>
      <w:r w:rsidR="0031342C" w:rsidRPr="0031342C">
        <w:rPr>
          <w:noProof/>
        </w:rPr>
        <w:t> </w:t>
      </w:r>
      <w:r w:rsidRPr="0031342C">
        <w:rPr>
          <w:noProof/>
        </w:rPr>
        <w:t>2</w:t>
      </w:r>
      <w:r w:rsidRPr="00DF3EF6">
        <w:rPr>
          <w:noProof/>
        </w:rPr>
        <w:t xml:space="preserve"> akapit trzeci, oraz warunków, na jakich może to nastąpić.”;</w:t>
      </w:r>
    </w:p>
    <w:p w14:paraId="6753E2A5" w14:textId="52A127BF" w:rsidR="00DA5653" w:rsidRPr="00DF3EF6" w:rsidRDefault="00DF3EF6" w:rsidP="00DF3EF6">
      <w:pPr>
        <w:pStyle w:val="Point0"/>
        <w:rPr>
          <w:noProof/>
        </w:rPr>
      </w:pPr>
      <w:r>
        <w:rPr>
          <w:noProof/>
        </w:rPr>
        <w:t>15)</w:t>
      </w:r>
      <w:r>
        <w:rPr>
          <w:noProof/>
        </w:rPr>
        <w:tab/>
      </w:r>
      <w:r w:rsidR="00DA5653" w:rsidRPr="0031342C">
        <w:rPr>
          <w:noProof/>
        </w:rPr>
        <w:t>art.</w:t>
      </w:r>
      <w:r w:rsidR="0031342C" w:rsidRPr="0031342C">
        <w:rPr>
          <w:noProof/>
        </w:rPr>
        <w:t> </w:t>
      </w:r>
      <w:r w:rsidR="00DA5653" w:rsidRPr="0031342C">
        <w:rPr>
          <w:noProof/>
        </w:rPr>
        <w:t>1</w:t>
      </w:r>
      <w:r w:rsidR="00DA5653" w:rsidRPr="00DF3EF6">
        <w:rPr>
          <w:noProof/>
        </w:rPr>
        <w:t>5 otrzymuje brzmienie:</w:t>
      </w:r>
    </w:p>
    <w:p w14:paraId="182ABF64" w14:textId="77777777" w:rsidR="001A2678" w:rsidRPr="00DF3EF6" w:rsidRDefault="00DA5653" w:rsidP="001A2678">
      <w:pPr>
        <w:pStyle w:val="Text1"/>
        <w:jc w:val="center"/>
        <w:rPr>
          <w:noProof/>
        </w:rPr>
      </w:pPr>
      <w:r w:rsidRPr="00DF3EF6">
        <w:rPr>
          <w:noProof/>
        </w:rPr>
        <w:t>„</w:t>
      </w:r>
      <w:r w:rsidRPr="00DF3EF6">
        <w:rPr>
          <w:i/>
          <w:noProof/>
        </w:rPr>
        <w:t>Artykuł 15</w:t>
      </w:r>
    </w:p>
    <w:p w14:paraId="3AFD24F0" w14:textId="2EAED492" w:rsidR="00882992" w:rsidRPr="00DF3EF6" w:rsidRDefault="00882992" w:rsidP="00882992">
      <w:pPr>
        <w:pStyle w:val="Text1"/>
        <w:jc w:val="center"/>
        <w:rPr>
          <w:b/>
          <w:noProof/>
        </w:rPr>
      </w:pPr>
      <w:r w:rsidRPr="00DF3EF6">
        <w:rPr>
          <w:b/>
          <w:noProof/>
        </w:rPr>
        <w:t>Oddziały instytucji kredytowych, które mają siedzibę</w:t>
      </w:r>
      <w:r w:rsidR="0031342C" w:rsidRPr="00DF3EF6">
        <w:rPr>
          <w:b/>
          <w:noProof/>
        </w:rPr>
        <w:t xml:space="preserve"> w</w:t>
      </w:r>
      <w:r w:rsidR="0031342C">
        <w:rPr>
          <w:b/>
          <w:noProof/>
        </w:rPr>
        <w:t> </w:t>
      </w:r>
      <w:r w:rsidR="0031342C" w:rsidRPr="00DF3EF6">
        <w:rPr>
          <w:b/>
          <w:noProof/>
        </w:rPr>
        <w:t>pań</w:t>
      </w:r>
      <w:r w:rsidRPr="00DF3EF6">
        <w:rPr>
          <w:b/>
          <w:noProof/>
        </w:rPr>
        <w:t>stwach trzecich</w:t>
      </w:r>
    </w:p>
    <w:p w14:paraId="1C7EDB37" w14:textId="30DCCCE2" w:rsidR="00DA5653" w:rsidRPr="00DF3EF6" w:rsidRDefault="00DA5653" w:rsidP="003C5791">
      <w:pPr>
        <w:pStyle w:val="Text1"/>
        <w:rPr>
          <w:noProof/>
        </w:rPr>
      </w:pPr>
      <w:r w:rsidRPr="00DF3EF6">
        <w:rPr>
          <w:noProof/>
        </w:rPr>
        <w:t>Państwa członkowskie wymagają, aby oddziały instytucji kredytowych, których siedziba znajduje się poza Unią, przyłączyły się do systemu gwarancji depozytów na ich terytorium, zanim zezwolą takim oddziałom na przyjmowanie kwalifikujących się depozytów</w:t>
      </w:r>
      <w:r w:rsidR="0031342C" w:rsidRPr="00DF3EF6">
        <w:rPr>
          <w:noProof/>
        </w:rPr>
        <w:t xml:space="preserve"> w</w:t>
      </w:r>
      <w:r w:rsidR="0031342C">
        <w:rPr>
          <w:noProof/>
        </w:rPr>
        <w:t> </w:t>
      </w:r>
      <w:r w:rsidR="0031342C" w:rsidRPr="00DF3EF6">
        <w:rPr>
          <w:noProof/>
        </w:rPr>
        <w:t>tyc</w:t>
      </w:r>
      <w:r w:rsidRPr="00DF3EF6">
        <w:rPr>
          <w:noProof/>
        </w:rPr>
        <w:t>h państwach członkowskich.”;</w:t>
      </w:r>
    </w:p>
    <w:p w14:paraId="49AC8028" w14:textId="0CCD1D39" w:rsidR="00DA5653" w:rsidRPr="00DF3EF6" w:rsidRDefault="00DF3EF6" w:rsidP="00DF3EF6">
      <w:pPr>
        <w:pStyle w:val="Point0"/>
        <w:rPr>
          <w:noProof/>
        </w:rPr>
      </w:pPr>
      <w:r>
        <w:rPr>
          <w:noProof/>
        </w:rPr>
        <w:t>16)</w:t>
      </w:r>
      <w:r>
        <w:rPr>
          <w:noProof/>
        </w:rPr>
        <w:tab/>
      </w:r>
      <w:r w:rsidR="001A2678" w:rsidRPr="00DF3EF6">
        <w:rPr>
          <w:noProof/>
        </w:rPr>
        <w:t xml:space="preserve">dodaje się </w:t>
      </w:r>
      <w:r w:rsidR="001A2678" w:rsidRPr="0031342C">
        <w:rPr>
          <w:noProof/>
        </w:rPr>
        <w:t>art.</w:t>
      </w:r>
      <w:r w:rsidR="0031342C" w:rsidRPr="0031342C">
        <w:rPr>
          <w:noProof/>
        </w:rPr>
        <w:t> </w:t>
      </w:r>
      <w:r w:rsidR="001A2678" w:rsidRPr="0031342C">
        <w:rPr>
          <w:noProof/>
        </w:rPr>
        <w:t>1</w:t>
      </w:r>
      <w:r w:rsidR="001A2678" w:rsidRPr="00DF3EF6">
        <w:rPr>
          <w:noProof/>
        </w:rPr>
        <w:t>5a</w:t>
      </w:r>
      <w:r w:rsidR="0031342C" w:rsidRPr="00DF3EF6">
        <w:rPr>
          <w:noProof/>
        </w:rPr>
        <w:t xml:space="preserve"> w</w:t>
      </w:r>
      <w:r w:rsidR="0031342C">
        <w:rPr>
          <w:noProof/>
        </w:rPr>
        <w:t> </w:t>
      </w:r>
      <w:r w:rsidR="0031342C" w:rsidRPr="00DF3EF6">
        <w:rPr>
          <w:noProof/>
        </w:rPr>
        <w:t>brz</w:t>
      </w:r>
      <w:r w:rsidR="001A2678" w:rsidRPr="00DF3EF6">
        <w:rPr>
          <w:noProof/>
        </w:rPr>
        <w:t>mieniu:</w:t>
      </w:r>
    </w:p>
    <w:p w14:paraId="79BD5AB1" w14:textId="77777777" w:rsidR="000607DF" w:rsidRPr="00DF3EF6" w:rsidRDefault="000607DF" w:rsidP="000607DF">
      <w:pPr>
        <w:pStyle w:val="Text1"/>
        <w:jc w:val="center"/>
        <w:rPr>
          <w:i/>
          <w:noProof/>
        </w:rPr>
      </w:pPr>
      <w:r w:rsidRPr="00DF3EF6">
        <w:rPr>
          <w:noProof/>
        </w:rPr>
        <w:t>„</w:t>
      </w:r>
      <w:r w:rsidRPr="00DF3EF6">
        <w:rPr>
          <w:i/>
          <w:noProof/>
        </w:rPr>
        <w:t>Artykuł 15a</w:t>
      </w:r>
    </w:p>
    <w:p w14:paraId="704D222C" w14:textId="04ED9174" w:rsidR="00882992" w:rsidRPr="00DF3EF6" w:rsidRDefault="00882992" w:rsidP="00882992">
      <w:pPr>
        <w:pStyle w:val="Text1"/>
        <w:jc w:val="center"/>
        <w:rPr>
          <w:b/>
          <w:noProof/>
        </w:rPr>
      </w:pPr>
      <w:r w:rsidRPr="00DF3EF6">
        <w:rPr>
          <w:b/>
          <w:noProof/>
        </w:rPr>
        <w:t>Instytucje kredytowe będące członkami, które mają oddziały</w:t>
      </w:r>
      <w:r w:rsidR="0031342C" w:rsidRPr="00DF3EF6">
        <w:rPr>
          <w:b/>
          <w:noProof/>
        </w:rPr>
        <w:t xml:space="preserve"> w</w:t>
      </w:r>
      <w:r w:rsidR="0031342C">
        <w:rPr>
          <w:b/>
          <w:noProof/>
        </w:rPr>
        <w:t> </w:t>
      </w:r>
      <w:r w:rsidR="0031342C" w:rsidRPr="00DF3EF6">
        <w:rPr>
          <w:b/>
          <w:noProof/>
        </w:rPr>
        <w:t>pań</w:t>
      </w:r>
      <w:r w:rsidRPr="00DF3EF6">
        <w:rPr>
          <w:b/>
          <w:noProof/>
        </w:rPr>
        <w:t>stwach trzecich</w:t>
      </w:r>
    </w:p>
    <w:p w14:paraId="5A24E526" w14:textId="25B4A118" w:rsidR="00DA5653" w:rsidRPr="00DF3EF6" w:rsidRDefault="00C8635C" w:rsidP="003C5791">
      <w:pPr>
        <w:pStyle w:val="Text1"/>
        <w:rPr>
          <w:noProof/>
        </w:rPr>
      </w:pPr>
      <w:r w:rsidRPr="00DF3EF6">
        <w:rPr>
          <w:noProof/>
        </w:rPr>
        <w:t>Państwa członkowskie zapewniają, aby systemy gwarancji depozytów nie obejmowały ochroną deponentów</w:t>
      </w:r>
      <w:r w:rsidR="0031342C" w:rsidRPr="00DF3EF6">
        <w:rPr>
          <w:noProof/>
        </w:rPr>
        <w:t xml:space="preserve"> w</w:t>
      </w:r>
      <w:r w:rsidR="0031342C">
        <w:rPr>
          <w:noProof/>
        </w:rPr>
        <w:t> </w:t>
      </w:r>
      <w:r w:rsidR="0031342C" w:rsidRPr="00DF3EF6">
        <w:rPr>
          <w:noProof/>
        </w:rPr>
        <w:t>odd</w:t>
      </w:r>
      <w:r w:rsidRPr="00DF3EF6">
        <w:rPr>
          <w:noProof/>
        </w:rPr>
        <w:t>ziałach utworzonych</w:t>
      </w:r>
      <w:r w:rsidR="0031342C" w:rsidRPr="00DF3EF6">
        <w:rPr>
          <w:noProof/>
        </w:rPr>
        <w:t xml:space="preserve"> w</w:t>
      </w:r>
      <w:r w:rsidR="0031342C">
        <w:rPr>
          <w:noProof/>
        </w:rPr>
        <w:t> </w:t>
      </w:r>
      <w:r w:rsidR="0031342C" w:rsidRPr="00DF3EF6">
        <w:rPr>
          <w:noProof/>
        </w:rPr>
        <w:t>pań</w:t>
      </w:r>
      <w:r w:rsidRPr="00DF3EF6">
        <w:rPr>
          <w:noProof/>
        </w:rPr>
        <w:t xml:space="preserve">stwach trzecich </w:t>
      </w:r>
      <w:r w:rsidRPr="00DF3EF6">
        <w:rPr>
          <w:noProof/>
        </w:rPr>
        <w:lastRenderedPageBreak/>
        <w:t>przez instytucje kredytowe będące ich członkami,</w:t>
      </w:r>
      <w:r w:rsidR="0031342C" w:rsidRPr="00DF3EF6">
        <w:rPr>
          <w:noProof/>
        </w:rPr>
        <w:t xml:space="preserve"> z</w:t>
      </w:r>
      <w:r w:rsidR="0031342C">
        <w:rPr>
          <w:noProof/>
        </w:rPr>
        <w:t> </w:t>
      </w:r>
      <w:r w:rsidR="0031342C" w:rsidRPr="00DF3EF6">
        <w:rPr>
          <w:noProof/>
        </w:rPr>
        <w:t>wyj</w:t>
      </w:r>
      <w:r w:rsidRPr="00DF3EF6">
        <w:rPr>
          <w:noProof/>
        </w:rPr>
        <w:t>ątkiem sytuacji, gdy – pod warunkiem zatwierdzenia przez wyznaczony organ – te systemy gwarancji depozytów pobierają odpowiednie składki od danych instytucji kredytowych.”;</w:t>
      </w:r>
    </w:p>
    <w:p w14:paraId="5477C3B0" w14:textId="3B55832B" w:rsidR="00DA5653" w:rsidRPr="00DF3EF6" w:rsidRDefault="00DF3EF6" w:rsidP="00DF3EF6">
      <w:pPr>
        <w:pStyle w:val="Point0"/>
        <w:rPr>
          <w:noProof/>
        </w:rPr>
      </w:pPr>
      <w:r>
        <w:rPr>
          <w:noProof/>
        </w:rPr>
        <w:t>17)</w:t>
      </w:r>
      <w:r>
        <w:rPr>
          <w:noProof/>
        </w:rPr>
        <w:tab/>
      </w:r>
      <w:r w:rsidR="00DA5653" w:rsidRPr="00DF3EF6">
        <w:rPr>
          <w:noProof/>
        </w:rPr>
        <w:t xml:space="preserve">w </w:t>
      </w:r>
      <w:r w:rsidR="00DA5653" w:rsidRPr="0031342C">
        <w:rPr>
          <w:noProof/>
        </w:rPr>
        <w:t>art.</w:t>
      </w:r>
      <w:r w:rsidR="0031342C" w:rsidRPr="0031342C">
        <w:rPr>
          <w:noProof/>
        </w:rPr>
        <w:t> </w:t>
      </w:r>
      <w:r w:rsidR="00DA5653" w:rsidRPr="0031342C">
        <w:rPr>
          <w:noProof/>
        </w:rPr>
        <w:t>1</w:t>
      </w:r>
      <w:r w:rsidR="00DA5653" w:rsidRPr="00DF3EF6">
        <w:rPr>
          <w:noProof/>
        </w:rPr>
        <w:t>6 wprowadza się następujące zmiany:</w:t>
      </w:r>
    </w:p>
    <w:p w14:paraId="119B0B76" w14:textId="406BB994" w:rsidR="00DA5653" w:rsidRPr="00DF3EF6" w:rsidRDefault="00DF3EF6" w:rsidP="00DF3EF6">
      <w:pPr>
        <w:pStyle w:val="Point1"/>
        <w:rPr>
          <w:noProof/>
        </w:rPr>
      </w:pPr>
      <w:r>
        <w:rPr>
          <w:noProof/>
        </w:rPr>
        <w:t>a)</w:t>
      </w:r>
      <w:r>
        <w:rPr>
          <w:noProof/>
        </w:rPr>
        <w:tab/>
      </w:r>
      <w:r w:rsidR="001A2678" w:rsidRPr="0031342C">
        <w:rPr>
          <w:noProof/>
        </w:rPr>
        <w:t>ust.</w:t>
      </w:r>
      <w:r w:rsidR="0031342C" w:rsidRPr="0031342C">
        <w:rPr>
          <w:noProof/>
        </w:rPr>
        <w:t> </w:t>
      </w:r>
      <w:r w:rsidR="001A2678" w:rsidRPr="0031342C">
        <w:rPr>
          <w:noProof/>
        </w:rPr>
        <w:t>1</w:t>
      </w:r>
      <w:r w:rsidR="001A2678" w:rsidRPr="00DF3EF6">
        <w:rPr>
          <w:noProof/>
        </w:rPr>
        <w:t xml:space="preserve"> otrzymuje brzmienie:</w:t>
      </w:r>
    </w:p>
    <w:p w14:paraId="04135D27" w14:textId="451DABC9" w:rsidR="00BB75BE" w:rsidRPr="00DF3EF6" w:rsidRDefault="00DA5653" w:rsidP="00227311">
      <w:pPr>
        <w:pStyle w:val="Text2"/>
        <w:rPr>
          <w:noProof/>
        </w:rPr>
      </w:pPr>
      <w:r w:rsidRPr="00DF3EF6">
        <w:rPr>
          <w:noProof/>
        </w:rPr>
        <w:t>„1. Państwa członkowskie zapewniają, aby instytucje kredytowe przekazywały obecnym</w:t>
      </w:r>
      <w:r w:rsidR="0031342C" w:rsidRPr="00DF3EF6">
        <w:rPr>
          <w:noProof/>
        </w:rPr>
        <w:t xml:space="preserve"> i</w:t>
      </w:r>
      <w:r w:rsidR="0031342C">
        <w:rPr>
          <w:noProof/>
        </w:rPr>
        <w:t> </w:t>
      </w:r>
      <w:r w:rsidR="0031342C" w:rsidRPr="00DF3EF6">
        <w:rPr>
          <w:noProof/>
        </w:rPr>
        <w:t>prz</w:t>
      </w:r>
      <w:r w:rsidRPr="00DF3EF6">
        <w:rPr>
          <w:noProof/>
        </w:rPr>
        <w:t>yszłym deponentom informacje, których deponenci ci potrzebują do zidentyfikowania systemów gwarancji depozytów</w:t>
      </w:r>
      <w:r w:rsidR="0031342C" w:rsidRPr="00DF3EF6">
        <w:rPr>
          <w:noProof/>
        </w:rPr>
        <w:t xml:space="preserve"> w</w:t>
      </w:r>
      <w:r w:rsidR="0031342C">
        <w:rPr>
          <w:noProof/>
        </w:rPr>
        <w:t> </w:t>
      </w:r>
      <w:r w:rsidR="0031342C" w:rsidRPr="00DF3EF6">
        <w:rPr>
          <w:noProof/>
        </w:rPr>
        <w:t>Uni</w:t>
      </w:r>
      <w:r w:rsidRPr="00DF3EF6">
        <w:rPr>
          <w:noProof/>
        </w:rPr>
        <w:t>i, do których należą dana instytucja kredytowa</w:t>
      </w:r>
      <w:r w:rsidR="0031342C" w:rsidRPr="00DF3EF6">
        <w:rPr>
          <w:noProof/>
        </w:rPr>
        <w:t xml:space="preserve"> i</w:t>
      </w:r>
      <w:r w:rsidR="0031342C">
        <w:rPr>
          <w:noProof/>
        </w:rPr>
        <w:t> </w:t>
      </w:r>
      <w:r w:rsidR="0031342C" w:rsidRPr="00DF3EF6">
        <w:rPr>
          <w:noProof/>
        </w:rPr>
        <w:t>jej</w:t>
      </w:r>
      <w:r w:rsidRPr="00DF3EF6">
        <w:rPr>
          <w:noProof/>
        </w:rPr>
        <w:t xml:space="preserve"> oddziały. Instytucje kredytowe przekazują te informacje</w:t>
      </w:r>
      <w:r w:rsidR="0031342C" w:rsidRPr="00DF3EF6">
        <w:rPr>
          <w:noProof/>
        </w:rPr>
        <w:t xml:space="preserve"> w</w:t>
      </w:r>
      <w:r w:rsidR="0031342C">
        <w:rPr>
          <w:noProof/>
        </w:rPr>
        <w:t> </w:t>
      </w:r>
      <w:r w:rsidR="0031342C" w:rsidRPr="00DF3EF6">
        <w:rPr>
          <w:noProof/>
        </w:rPr>
        <w:t>for</w:t>
      </w:r>
      <w:r w:rsidRPr="00DF3EF6">
        <w:rPr>
          <w:noProof/>
        </w:rPr>
        <w:t>mie arkusza informacyjnego przygotowanego</w:t>
      </w:r>
      <w:r w:rsidR="0031342C" w:rsidRPr="00DF3EF6">
        <w:rPr>
          <w:noProof/>
        </w:rPr>
        <w:t xml:space="preserve"> w</w:t>
      </w:r>
      <w:r w:rsidR="0031342C">
        <w:rPr>
          <w:noProof/>
        </w:rPr>
        <w:t> </w:t>
      </w:r>
      <w:r w:rsidR="0031342C" w:rsidRPr="00DF3EF6">
        <w:rPr>
          <w:noProof/>
        </w:rPr>
        <w:t>for</w:t>
      </w:r>
      <w:r w:rsidRPr="00DF3EF6">
        <w:rPr>
          <w:noProof/>
        </w:rPr>
        <w:t>macie umożliwiającym ekstrakcję danych</w:t>
      </w:r>
      <w:r w:rsidR="0031342C" w:rsidRPr="00DF3EF6">
        <w:rPr>
          <w:noProof/>
        </w:rPr>
        <w:t xml:space="preserve"> w</w:t>
      </w:r>
      <w:r w:rsidR="0031342C">
        <w:rPr>
          <w:noProof/>
        </w:rPr>
        <w:t> </w:t>
      </w:r>
      <w:r w:rsidR="0031342C" w:rsidRPr="00DF3EF6">
        <w:rPr>
          <w:noProof/>
        </w:rPr>
        <w:t>roz</w:t>
      </w:r>
      <w:r w:rsidRPr="00DF3EF6">
        <w:rPr>
          <w:noProof/>
        </w:rPr>
        <w:t xml:space="preserve">umieniu </w:t>
      </w:r>
      <w:r w:rsidRPr="0031342C">
        <w:rPr>
          <w:noProof/>
        </w:rPr>
        <w:t>art.</w:t>
      </w:r>
      <w:r w:rsidR="0031342C" w:rsidRPr="0031342C">
        <w:rPr>
          <w:noProof/>
        </w:rPr>
        <w:t> </w:t>
      </w:r>
      <w:r w:rsidRPr="0031342C">
        <w:rPr>
          <w:noProof/>
        </w:rPr>
        <w:t>2</w:t>
      </w:r>
      <w:r w:rsidRPr="00DF3EF6">
        <w:rPr>
          <w:noProof/>
        </w:rPr>
        <w:t xml:space="preserve"> </w:t>
      </w:r>
      <w:r w:rsidRPr="0031342C">
        <w:rPr>
          <w:noProof/>
        </w:rPr>
        <w:t>pkt</w:t>
      </w:r>
      <w:r w:rsidR="0031342C" w:rsidRPr="0031342C">
        <w:rPr>
          <w:noProof/>
        </w:rPr>
        <w:t> </w:t>
      </w:r>
      <w:r w:rsidRPr="0031342C">
        <w:rPr>
          <w:noProof/>
        </w:rPr>
        <w:t>3</w:t>
      </w:r>
      <w:r w:rsidRPr="00DF3EF6">
        <w:rPr>
          <w:noProof/>
        </w:rPr>
        <w:t xml:space="preserve"> rozporządzenia Parlamentu Europejskiego</w:t>
      </w:r>
      <w:r w:rsidR="0031342C" w:rsidRPr="00DF3EF6">
        <w:rPr>
          <w:noProof/>
        </w:rPr>
        <w:t xml:space="preserve"> i</w:t>
      </w:r>
      <w:r w:rsidR="0031342C">
        <w:rPr>
          <w:noProof/>
        </w:rPr>
        <w:t> </w:t>
      </w:r>
      <w:r w:rsidR="0031342C" w:rsidRPr="00DF3EF6">
        <w:rPr>
          <w:noProof/>
        </w:rPr>
        <w:t>Rad</w:t>
      </w:r>
      <w:r w:rsidRPr="00DF3EF6">
        <w:rPr>
          <w:noProof/>
        </w:rPr>
        <w:t>y (UE) XX/XXXX [rozporządzenie</w:t>
      </w:r>
      <w:r w:rsidR="0031342C" w:rsidRPr="00DF3EF6">
        <w:rPr>
          <w:noProof/>
        </w:rPr>
        <w:t xml:space="preserve"> w</w:t>
      </w:r>
      <w:r w:rsidR="0031342C">
        <w:rPr>
          <w:noProof/>
        </w:rPr>
        <w:t> </w:t>
      </w:r>
      <w:r w:rsidR="0031342C" w:rsidRPr="00DF3EF6">
        <w:rPr>
          <w:noProof/>
        </w:rPr>
        <w:t>spr</w:t>
      </w:r>
      <w:r w:rsidRPr="00DF3EF6">
        <w:rPr>
          <w:noProof/>
        </w:rPr>
        <w:t>awie ESAP]***.</w:t>
      </w:r>
    </w:p>
    <w:p w14:paraId="75E945E1" w14:textId="77777777" w:rsidR="00BB75BE" w:rsidRPr="00DF3EF6" w:rsidRDefault="00BB75BE" w:rsidP="00BB75BE">
      <w:pPr>
        <w:pStyle w:val="Text2"/>
        <w:rPr>
          <w:noProof/>
        </w:rPr>
      </w:pPr>
      <w:r w:rsidRPr="00DF3EF6">
        <w:rPr>
          <w:noProof/>
        </w:rPr>
        <w:t>_______________________________________________</w:t>
      </w:r>
    </w:p>
    <w:p w14:paraId="112AC918" w14:textId="2A267E08" w:rsidR="00DA5653" w:rsidRPr="00DF3EF6" w:rsidRDefault="00BB75BE" w:rsidP="00882992">
      <w:pPr>
        <w:pStyle w:val="Text2"/>
        <w:rPr>
          <w:noProof/>
        </w:rPr>
      </w:pPr>
      <w:r w:rsidRPr="00DF3EF6">
        <w:rPr>
          <w:noProof/>
        </w:rPr>
        <w:t>***</w:t>
      </w:r>
      <w:r w:rsidRPr="00DF3EF6">
        <w:rPr>
          <w:noProof/>
        </w:rPr>
        <w:tab/>
        <w:t>Rozporządzenie Parlamentu Europejskiego</w:t>
      </w:r>
      <w:r w:rsidR="0031342C" w:rsidRPr="00DF3EF6">
        <w:rPr>
          <w:noProof/>
        </w:rPr>
        <w:t xml:space="preserve"> i</w:t>
      </w:r>
      <w:r w:rsidR="0031342C">
        <w:rPr>
          <w:noProof/>
        </w:rPr>
        <w:t> </w:t>
      </w:r>
      <w:r w:rsidR="0031342C" w:rsidRPr="00DF3EF6">
        <w:rPr>
          <w:noProof/>
        </w:rPr>
        <w:t>Rad</w:t>
      </w:r>
      <w:r w:rsidRPr="00DF3EF6">
        <w:rPr>
          <w:noProof/>
        </w:rPr>
        <w:t>y (UE) XX/XXX</w:t>
      </w:r>
      <w:r w:rsidR="0031342C" w:rsidRPr="00DF3EF6">
        <w:rPr>
          <w:noProof/>
        </w:rPr>
        <w:t xml:space="preserve"> z</w:t>
      </w:r>
      <w:r w:rsidR="0031342C">
        <w:rPr>
          <w:noProof/>
        </w:rPr>
        <w:t> </w:t>
      </w:r>
      <w:r w:rsidR="0031342C" w:rsidRPr="00DF3EF6">
        <w:rPr>
          <w:noProof/>
        </w:rPr>
        <w:t>dni</w:t>
      </w:r>
      <w:r w:rsidRPr="00DF3EF6">
        <w:rPr>
          <w:noProof/>
        </w:rPr>
        <w:t>a [dd mm rrrr] r. ustanawiające europejski pojedynczy punkt dostępu zapewniający scentralizowany dostęp do publicznie dostępnych informacji mających znaczenie dla usług finansowych, rynków kapitałowych</w:t>
      </w:r>
      <w:r w:rsidR="0031342C" w:rsidRPr="00DF3EF6">
        <w:rPr>
          <w:noProof/>
        </w:rPr>
        <w:t xml:space="preserve"> i</w:t>
      </w:r>
      <w:r w:rsidR="0031342C">
        <w:rPr>
          <w:noProof/>
        </w:rPr>
        <w:t> </w:t>
      </w:r>
      <w:r w:rsidR="0031342C" w:rsidRPr="00DF3EF6">
        <w:rPr>
          <w:noProof/>
        </w:rPr>
        <w:t>zró</w:t>
      </w:r>
      <w:r w:rsidRPr="00DF3EF6">
        <w:rPr>
          <w:noProof/>
        </w:rPr>
        <w:t>wnoważonego rozwoju.”;</w:t>
      </w:r>
    </w:p>
    <w:p w14:paraId="3171570A" w14:textId="32CAE6FA" w:rsidR="00DA5653" w:rsidRPr="00DF3EF6" w:rsidRDefault="00DF3EF6" w:rsidP="00DF3EF6">
      <w:pPr>
        <w:pStyle w:val="Point1"/>
        <w:rPr>
          <w:noProof/>
        </w:rPr>
      </w:pPr>
      <w:r>
        <w:rPr>
          <w:noProof/>
        </w:rPr>
        <w:t>b)</w:t>
      </w:r>
      <w:r>
        <w:rPr>
          <w:noProof/>
        </w:rPr>
        <w:tab/>
      </w:r>
      <w:r w:rsidR="00BB75BE" w:rsidRPr="00DF3EF6">
        <w:rPr>
          <w:noProof/>
        </w:rPr>
        <w:t xml:space="preserve">dodaje się </w:t>
      </w:r>
      <w:r w:rsidR="00BB75BE" w:rsidRPr="0031342C">
        <w:rPr>
          <w:noProof/>
        </w:rPr>
        <w:t>ust.</w:t>
      </w:r>
      <w:r w:rsidR="0031342C" w:rsidRPr="0031342C">
        <w:rPr>
          <w:noProof/>
        </w:rPr>
        <w:t> </w:t>
      </w:r>
      <w:r w:rsidR="00BB75BE" w:rsidRPr="0031342C">
        <w:rPr>
          <w:noProof/>
        </w:rPr>
        <w:t>1</w:t>
      </w:r>
      <w:r w:rsidR="00BB75BE" w:rsidRPr="00DF3EF6">
        <w:rPr>
          <w:noProof/>
        </w:rPr>
        <w:t>a</w:t>
      </w:r>
      <w:r w:rsidR="0031342C" w:rsidRPr="00DF3EF6">
        <w:rPr>
          <w:noProof/>
        </w:rPr>
        <w:t xml:space="preserve"> w</w:t>
      </w:r>
      <w:r w:rsidR="0031342C">
        <w:rPr>
          <w:noProof/>
        </w:rPr>
        <w:t> </w:t>
      </w:r>
      <w:r w:rsidR="0031342C" w:rsidRPr="00DF3EF6">
        <w:rPr>
          <w:noProof/>
        </w:rPr>
        <w:t>brz</w:t>
      </w:r>
      <w:r w:rsidR="00BB75BE" w:rsidRPr="00DF3EF6">
        <w:rPr>
          <w:noProof/>
        </w:rPr>
        <w:t>mieniu:</w:t>
      </w:r>
    </w:p>
    <w:p w14:paraId="6424F2BF" w14:textId="68725A34" w:rsidR="00DA5653" w:rsidRPr="00DF3EF6" w:rsidRDefault="00DA5653" w:rsidP="00227311">
      <w:pPr>
        <w:pStyle w:val="Text2"/>
        <w:rPr>
          <w:noProof/>
        </w:rPr>
      </w:pPr>
      <w:r w:rsidRPr="00DF3EF6">
        <w:rPr>
          <w:noProof/>
        </w:rPr>
        <w:t>„1a. Państwa członkowskie zapewniają, aby arkusz informacyjny,</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xml:space="preserve">, zawierał wszystkie poniższe elementy: </w:t>
      </w:r>
    </w:p>
    <w:p w14:paraId="78817A9A" w14:textId="0F034D49" w:rsidR="00F031AD" w:rsidRPr="00DF3EF6" w:rsidRDefault="00F031AD" w:rsidP="00882992">
      <w:pPr>
        <w:pStyle w:val="Point2"/>
        <w:rPr>
          <w:noProof/>
        </w:rPr>
      </w:pPr>
      <w:r w:rsidRPr="00DF3EF6">
        <w:rPr>
          <w:noProof/>
        </w:rPr>
        <w:t>(i)</w:t>
      </w:r>
      <w:r w:rsidRPr="00DF3EF6">
        <w:rPr>
          <w:noProof/>
        </w:rPr>
        <w:tab/>
        <w:t>podstawowe informacje</w:t>
      </w:r>
      <w:r w:rsidR="0031342C" w:rsidRPr="00DF3EF6">
        <w:rPr>
          <w:noProof/>
        </w:rPr>
        <w:t xml:space="preserve"> o</w:t>
      </w:r>
      <w:r w:rsidR="0031342C">
        <w:rPr>
          <w:noProof/>
        </w:rPr>
        <w:t> </w:t>
      </w:r>
      <w:r w:rsidR="0031342C" w:rsidRPr="00DF3EF6">
        <w:rPr>
          <w:noProof/>
        </w:rPr>
        <w:t>och</w:t>
      </w:r>
      <w:r w:rsidRPr="00DF3EF6">
        <w:rPr>
          <w:noProof/>
        </w:rPr>
        <w:t>ronie depozytów;</w:t>
      </w:r>
    </w:p>
    <w:p w14:paraId="1A495165" w14:textId="01F97185" w:rsidR="00F031AD" w:rsidRPr="00DF3EF6" w:rsidRDefault="00F031AD" w:rsidP="00882992">
      <w:pPr>
        <w:pStyle w:val="Point2"/>
        <w:rPr>
          <w:noProof/>
        </w:rPr>
      </w:pPr>
      <w:r w:rsidRPr="00DF3EF6">
        <w:rPr>
          <w:noProof/>
        </w:rPr>
        <w:t>(ii)</w:t>
      </w:r>
      <w:r w:rsidRPr="00DF3EF6">
        <w:rPr>
          <w:noProof/>
        </w:rPr>
        <w:tab/>
        <w:t>dane kontaktowe instytucji kredytowej jako pierwszego punktu kontaktowego,</w:t>
      </w:r>
      <w:r w:rsidR="0031342C" w:rsidRPr="00DF3EF6">
        <w:rPr>
          <w:noProof/>
        </w:rPr>
        <w:t xml:space="preserve"> w</w:t>
      </w:r>
      <w:r w:rsidR="0031342C">
        <w:rPr>
          <w:noProof/>
        </w:rPr>
        <w:t> </w:t>
      </w:r>
      <w:r w:rsidR="0031342C" w:rsidRPr="00DF3EF6">
        <w:rPr>
          <w:noProof/>
        </w:rPr>
        <w:t>któ</w:t>
      </w:r>
      <w:r w:rsidRPr="00DF3EF6">
        <w:rPr>
          <w:noProof/>
        </w:rPr>
        <w:t xml:space="preserve">rym można uzyskać informacje na temat treści arkusza informacyjnego; </w:t>
      </w:r>
    </w:p>
    <w:p w14:paraId="09C45574" w14:textId="5986A917" w:rsidR="00F031AD" w:rsidRPr="00DF3EF6" w:rsidRDefault="00F031AD" w:rsidP="00882992">
      <w:pPr>
        <w:pStyle w:val="Point2"/>
        <w:rPr>
          <w:noProof/>
        </w:rPr>
      </w:pPr>
      <w:r w:rsidRPr="00DF3EF6">
        <w:rPr>
          <w:noProof/>
        </w:rPr>
        <w:t>(iii)</w:t>
      </w:r>
      <w:r w:rsidRPr="00DF3EF6">
        <w:rPr>
          <w:noProof/>
        </w:rPr>
        <w:tab/>
        <w:t>poziom gwarancji depozytów,</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6</w:t>
      </w:r>
      <w:r w:rsidRPr="00DF3EF6">
        <w:rPr>
          <w:noProof/>
        </w:rPr>
        <w:t xml:space="preserve"> </w:t>
      </w:r>
      <w:r w:rsidRPr="0031342C">
        <w:rPr>
          <w:noProof/>
        </w:rPr>
        <w:t>ust.</w:t>
      </w:r>
      <w:r w:rsidR="0031342C" w:rsidRPr="0031342C">
        <w:rPr>
          <w:noProof/>
        </w:rPr>
        <w:t> </w:t>
      </w:r>
      <w:r w:rsidRPr="0031342C">
        <w:rPr>
          <w:noProof/>
        </w:rPr>
        <w:t>1</w:t>
      </w:r>
      <w:r w:rsidR="0031342C" w:rsidRPr="00DF3EF6">
        <w:rPr>
          <w:noProof/>
        </w:rPr>
        <w:t xml:space="preserve"> i</w:t>
      </w:r>
      <w:r w:rsidR="0031342C">
        <w:rPr>
          <w:noProof/>
        </w:rPr>
        <w:t> </w:t>
      </w:r>
      <w:r w:rsidR="0031342C" w:rsidRPr="00DF3EF6">
        <w:rPr>
          <w:noProof/>
        </w:rPr>
        <w:t>2</w:t>
      </w:r>
      <w:r w:rsidRPr="00DF3EF6">
        <w:rPr>
          <w:noProof/>
        </w:rPr>
        <w:t>, w EUR lub,</w:t>
      </w:r>
      <w:r w:rsidR="0031342C" w:rsidRPr="00DF3EF6">
        <w:rPr>
          <w:noProof/>
        </w:rPr>
        <w:t xml:space="preserve"> w</w:t>
      </w:r>
      <w:r w:rsidR="0031342C">
        <w:rPr>
          <w:noProof/>
        </w:rPr>
        <w:t> </w:t>
      </w:r>
      <w:r w:rsidR="0031342C" w:rsidRPr="00DF3EF6">
        <w:rPr>
          <w:noProof/>
        </w:rPr>
        <w:t>sto</w:t>
      </w:r>
      <w:r w:rsidRPr="00DF3EF6">
        <w:rPr>
          <w:noProof/>
        </w:rPr>
        <w:t>sownych przypadkach,</w:t>
      </w:r>
      <w:r w:rsidR="0031342C" w:rsidRPr="00DF3EF6">
        <w:rPr>
          <w:noProof/>
        </w:rPr>
        <w:t xml:space="preserve"> w</w:t>
      </w:r>
      <w:r w:rsidR="0031342C">
        <w:rPr>
          <w:noProof/>
        </w:rPr>
        <w:t> </w:t>
      </w:r>
      <w:r w:rsidR="0031342C" w:rsidRPr="00DF3EF6">
        <w:rPr>
          <w:noProof/>
        </w:rPr>
        <w:t>inn</w:t>
      </w:r>
      <w:r w:rsidRPr="00DF3EF6">
        <w:rPr>
          <w:noProof/>
        </w:rPr>
        <w:t>ej walucie;</w:t>
      </w:r>
    </w:p>
    <w:p w14:paraId="4C0EFABD" w14:textId="77777777" w:rsidR="00F031AD" w:rsidRPr="00DF3EF6" w:rsidRDefault="00F031AD" w:rsidP="00882992">
      <w:pPr>
        <w:pStyle w:val="Point2"/>
        <w:rPr>
          <w:noProof/>
        </w:rPr>
      </w:pPr>
      <w:r w:rsidRPr="00DF3EF6">
        <w:rPr>
          <w:noProof/>
        </w:rPr>
        <w:t>(iv)</w:t>
      </w:r>
      <w:r w:rsidRPr="00DF3EF6">
        <w:rPr>
          <w:noProof/>
        </w:rPr>
        <w:tab/>
        <w:t>mające zastosowanie wyłączenia spod ochrony systemu gwarancji depozytów;</w:t>
      </w:r>
    </w:p>
    <w:p w14:paraId="75B5F5F4" w14:textId="1E870B32" w:rsidR="00F031AD" w:rsidRPr="00DF3EF6" w:rsidRDefault="00F031AD" w:rsidP="00882992">
      <w:pPr>
        <w:pStyle w:val="Point2"/>
        <w:rPr>
          <w:noProof/>
        </w:rPr>
      </w:pPr>
      <w:r w:rsidRPr="00DF3EF6">
        <w:rPr>
          <w:noProof/>
        </w:rPr>
        <w:t>(v)</w:t>
      </w:r>
      <w:r w:rsidRPr="00DF3EF6">
        <w:rPr>
          <w:noProof/>
        </w:rPr>
        <w:tab/>
        <w:t>limit ochrony</w:t>
      </w:r>
      <w:r w:rsidR="0031342C" w:rsidRPr="00DF3EF6">
        <w:rPr>
          <w:noProof/>
        </w:rPr>
        <w:t xml:space="preserve"> w</w:t>
      </w:r>
      <w:r w:rsidR="0031342C">
        <w:rPr>
          <w:noProof/>
        </w:rPr>
        <w:t> </w:t>
      </w:r>
      <w:r w:rsidR="0031342C" w:rsidRPr="00DF3EF6">
        <w:rPr>
          <w:noProof/>
        </w:rPr>
        <w:t>odn</w:t>
      </w:r>
      <w:r w:rsidRPr="00DF3EF6">
        <w:rPr>
          <w:noProof/>
        </w:rPr>
        <w:t>iesieniu do wspólnych rachunków;</w:t>
      </w:r>
    </w:p>
    <w:p w14:paraId="60A994EA" w14:textId="2072D263" w:rsidR="00F031AD" w:rsidRPr="00DF3EF6" w:rsidRDefault="00F031AD" w:rsidP="00882992">
      <w:pPr>
        <w:pStyle w:val="Point2"/>
        <w:rPr>
          <w:noProof/>
        </w:rPr>
      </w:pPr>
      <w:r w:rsidRPr="00DF3EF6">
        <w:rPr>
          <w:noProof/>
        </w:rPr>
        <w:t>(vi)</w:t>
      </w:r>
      <w:r w:rsidRPr="00DF3EF6">
        <w:rPr>
          <w:noProof/>
        </w:rPr>
        <w:tab/>
        <w:t>okres wypłaty</w:t>
      </w:r>
      <w:r w:rsidR="0031342C" w:rsidRPr="00DF3EF6">
        <w:rPr>
          <w:noProof/>
        </w:rPr>
        <w:t xml:space="preserve"> w</w:t>
      </w:r>
      <w:r w:rsidR="0031342C">
        <w:rPr>
          <w:noProof/>
        </w:rPr>
        <w:t> </w:t>
      </w:r>
      <w:r w:rsidR="0031342C" w:rsidRPr="00DF3EF6">
        <w:rPr>
          <w:noProof/>
        </w:rPr>
        <w:t>prz</w:t>
      </w:r>
      <w:r w:rsidRPr="00DF3EF6">
        <w:rPr>
          <w:noProof/>
        </w:rPr>
        <w:t xml:space="preserve">ypadku niewypłacalności instytucji kredytowej; </w:t>
      </w:r>
    </w:p>
    <w:p w14:paraId="64C2B7D6" w14:textId="77777777" w:rsidR="00F031AD" w:rsidRPr="00DF3EF6" w:rsidRDefault="00F031AD" w:rsidP="00882992">
      <w:pPr>
        <w:pStyle w:val="Point2"/>
        <w:rPr>
          <w:noProof/>
        </w:rPr>
      </w:pPr>
      <w:r w:rsidRPr="00DF3EF6">
        <w:rPr>
          <w:noProof/>
        </w:rPr>
        <w:t>(vii)</w:t>
      </w:r>
      <w:r w:rsidRPr="00DF3EF6">
        <w:rPr>
          <w:noProof/>
        </w:rPr>
        <w:tab/>
        <w:t>walutę wypłaty;</w:t>
      </w:r>
    </w:p>
    <w:p w14:paraId="1D137CFD" w14:textId="7B91D630" w:rsidR="00F031AD" w:rsidRPr="00DF3EF6" w:rsidRDefault="00F031AD" w:rsidP="00882992">
      <w:pPr>
        <w:pStyle w:val="Point2"/>
        <w:rPr>
          <w:noProof/>
        </w:rPr>
      </w:pPr>
      <w:r w:rsidRPr="00DF3EF6">
        <w:rPr>
          <w:noProof/>
        </w:rPr>
        <w:t>(viii)</w:t>
      </w:r>
      <w:r w:rsidRPr="00DF3EF6">
        <w:rPr>
          <w:noProof/>
        </w:rPr>
        <w:tab/>
        <w:t>dane identyfikacyjne systemu gwarancji depozytów odpowiedzialnego za ochronę depozytu,</w:t>
      </w:r>
      <w:r w:rsidR="0031342C" w:rsidRPr="00DF3EF6">
        <w:rPr>
          <w:noProof/>
        </w:rPr>
        <w:t xml:space="preserve"> w</w:t>
      </w:r>
      <w:r w:rsidR="0031342C">
        <w:rPr>
          <w:noProof/>
        </w:rPr>
        <w:t> </w:t>
      </w:r>
      <w:r w:rsidR="0031342C" w:rsidRPr="00DF3EF6">
        <w:rPr>
          <w:noProof/>
        </w:rPr>
        <w:t>tym</w:t>
      </w:r>
      <w:r w:rsidRPr="00DF3EF6">
        <w:rPr>
          <w:noProof/>
        </w:rPr>
        <w:t xml:space="preserve"> odniesienie do jego strony internetowej.”;</w:t>
      </w:r>
    </w:p>
    <w:p w14:paraId="0FAEAD23" w14:textId="3E4C4039" w:rsidR="00DA5653" w:rsidRPr="00DF3EF6" w:rsidRDefault="00DF3EF6" w:rsidP="00DF3EF6">
      <w:pPr>
        <w:pStyle w:val="Point1"/>
        <w:rPr>
          <w:noProof/>
        </w:rPr>
      </w:pPr>
      <w:r>
        <w:rPr>
          <w:noProof/>
        </w:rPr>
        <w:t>c)</w:t>
      </w:r>
      <w:r>
        <w:rPr>
          <w:noProof/>
        </w:rPr>
        <w:tab/>
      </w:r>
      <w:r w:rsidR="00DA5653" w:rsidRPr="0031342C">
        <w:rPr>
          <w:noProof/>
        </w:rPr>
        <w:t>ust.</w:t>
      </w:r>
      <w:r w:rsidR="0031342C" w:rsidRPr="0031342C">
        <w:rPr>
          <w:noProof/>
        </w:rPr>
        <w:t> </w:t>
      </w:r>
      <w:r w:rsidR="00DA5653" w:rsidRPr="0031342C">
        <w:rPr>
          <w:noProof/>
        </w:rPr>
        <w:t>2</w:t>
      </w:r>
      <w:r w:rsidR="00DA5653" w:rsidRPr="00DF3EF6">
        <w:rPr>
          <w:noProof/>
        </w:rPr>
        <w:t xml:space="preserve"> otrzymuje brzmienie:</w:t>
      </w:r>
    </w:p>
    <w:p w14:paraId="3B34C62C" w14:textId="6F8FFB01" w:rsidR="00DA5653" w:rsidRPr="00DF3EF6" w:rsidRDefault="00DA5653" w:rsidP="00C74BAB">
      <w:pPr>
        <w:pStyle w:val="Text2"/>
        <w:rPr>
          <w:noProof/>
        </w:rPr>
      </w:pPr>
      <w:r w:rsidRPr="00DF3EF6">
        <w:rPr>
          <w:noProof/>
        </w:rPr>
        <w:t>„2. Państwa członkowskie zapewniają, aby instytucje kredytowe przekazywały arkusz informacyjny,</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 przed zawarciem umowy</w:t>
      </w:r>
      <w:r w:rsidR="0031342C" w:rsidRPr="00DF3EF6">
        <w:rPr>
          <w:noProof/>
        </w:rPr>
        <w:t xml:space="preserve"> o</w:t>
      </w:r>
      <w:r w:rsidR="0031342C">
        <w:rPr>
          <w:noProof/>
        </w:rPr>
        <w:t> </w:t>
      </w:r>
      <w:r w:rsidR="0031342C" w:rsidRPr="00DF3EF6">
        <w:rPr>
          <w:noProof/>
        </w:rPr>
        <w:t>prz</w:t>
      </w:r>
      <w:r w:rsidRPr="00DF3EF6">
        <w:rPr>
          <w:noProof/>
        </w:rPr>
        <w:t>yjęcie depozytu,</w:t>
      </w:r>
      <w:r w:rsidR="0031342C" w:rsidRPr="00DF3EF6">
        <w:rPr>
          <w:noProof/>
        </w:rPr>
        <w:t xml:space="preserve"> a</w:t>
      </w:r>
      <w:r w:rsidR="0031342C">
        <w:rPr>
          <w:noProof/>
        </w:rPr>
        <w:t> </w:t>
      </w:r>
      <w:r w:rsidR="0031342C" w:rsidRPr="00DF3EF6">
        <w:rPr>
          <w:noProof/>
        </w:rPr>
        <w:t>nas</w:t>
      </w:r>
      <w:r w:rsidRPr="00DF3EF6">
        <w:rPr>
          <w:noProof/>
        </w:rPr>
        <w:t>tępnie co roku. Deponenci potwierdzają otrzymanie tego arkusza informacyjnego.”;</w:t>
      </w:r>
    </w:p>
    <w:p w14:paraId="72A35122" w14:textId="0F5CBB4E" w:rsidR="00DA5653" w:rsidRPr="00DF3EF6" w:rsidRDefault="00DF3EF6" w:rsidP="00DF3EF6">
      <w:pPr>
        <w:pStyle w:val="Point1"/>
        <w:rPr>
          <w:noProof/>
        </w:rPr>
      </w:pPr>
      <w:r>
        <w:rPr>
          <w:noProof/>
        </w:rPr>
        <w:t>d)</w:t>
      </w:r>
      <w:r>
        <w:rPr>
          <w:noProof/>
        </w:rPr>
        <w:tab/>
      </w:r>
      <w:r w:rsidR="00BB75BE" w:rsidRPr="0031342C">
        <w:rPr>
          <w:noProof/>
        </w:rPr>
        <w:t>ust.</w:t>
      </w:r>
      <w:r w:rsidR="0031342C" w:rsidRPr="0031342C">
        <w:rPr>
          <w:noProof/>
        </w:rPr>
        <w:t> </w:t>
      </w:r>
      <w:r w:rsidR="00BB75BE" w:rsidRPr="0031342C">
        <w:rPr>
          <w:noProof/>
        </w:rPr>
        <w:t>3</w:t>
      </w:r>
      <w:r w:rsidR="00BB75BE" w:rsidRPr="00DF3EF6">
        <w:rPr>
          <w:noProof/>
        </w:rPr>
        <w:t xml:space="preserve"> akapit pierwszy otrzymuje brzmienie:</w:t>
      </w:r>
    </w:p>
    <w:p w14:paraId="7E6C8CAB" w14:textId="08F19B0D" w:rsidR="00DA5653" w:rsidRPr="00DF3EF6" w:rsidRDefault="00DA5653" w:rsidP="00C74BAB">
      <w:pPr>
        <w:pStyle w:val="Text2"/>
        <w:rPr>
          <w:noProof/>
        </w:rPr>
      </w:pPr>
      <w:r w:rsidRPr="00DF3EF6">
        <w:rPr>
          <w:noProof/>
        </w:rPr>
        <w:lastRenderedPageBreak/>
        <w:t>„Państwa członkowskie zapewniają, aby instytucje kredytowe potwierdzały na wyciągach</w:t>
      </w:r>
      <w:r w:rsidR="0031342C" w:rsidRPr="00DF3EF6">
        <w:rPr>
          <w:noProof/>
        </w:rPr>
        <w:t xml:space="preserve"> z</w:t>
      </w:r>
      <w:r w:rsidR="0031342C">
        <w:rPr>
          <w:noProof/>
        </w:rPr>
        <w:t> </w:t>
      </w:r>
      <w:r w:rsidR="0031342C" w:rsidRPr="00DF3EF6">
        <w:rPr>
          <w:noProof/>
        </w:rPr>
        <w:t>rac</w:t>
      </w:r>
      <w:r w:rsidRPr="00DF3EF6">
        <w:rPr>
          <w:noProof/>
        </w:rPr>
        <w:t>hunków swoich deponentów, że depozyty są kwalifikującymi się depozytami,</w:t>
      </w:r>
      <w:r w:rsidR="0031342C" w:rsidRPr="00DF3EF6">
        <w:rPr>
          <w:noProof/>
        </w:rPr>
        <w:t xml:space="preserve"> w</w:t>
      </w:r>
      <w:r w:rsidR="0031342C">
        <w:rPr>
          <w:noProof/>
        </w:rPr>
        <w:t> </w:t>
      </w:r>
      <w:r w:rsidR="0031342C" w:rsidRPr="00DF3EF6">
        <w:rPr>
          <w:noProof/>
        </w:rPr>
        <w:t>tym</w:t>
      </w:r>
      <w:r w:rsidRPr="00DF3EF6">
        <w:rPr>
          <w:noProof/>
        </w:rPr>
        <w:t xml:space="preserve"> umieszczały odniesienie do arkusza informacyjnego,</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w:t>
      </w:r>
    </w:p>
    <w:p w14:paraId="255D7E20" w14:textId="16B15790" w:rsidR="00DA5653" w:rsidRPr="00DF3EF6" w:rsidRDefault="00DF3EF6" w:rsidP="00DF3EF6">
      <w:pPr>
        <w:pStyle w:val="Point1"/>
        <w:rPr>
          <w:noProof/>
        </w:rPr>
      </w:pPr>
      <w:r>
        <w:rPr>
          <w:noProof/>
        </w:rPr>
        <w:t>e)</w:t>
      </w:r>
      <w:r>
        <w:rPr>
          <w:noProof/>
        </w:rPr>
        <w:tab/>
      </w:r>
      <w:r w:rsidR="00DA5653" w:rsidRPr="0031342C">
        <w:rPr>
          <w:noProof/>
        </w:rPr>
        <w:t>ust.</w:t>
      </w:r>
      <w:r w:rsidR="0031342C" w:rsidRPr="0031342C">
        <w:rPr>
          <w:noProof/>
        </w:rPr>
        <w:t> </w:t>
      </w:r>
      <w:r w:rsidR="00DA5653" w:rsidRPr="0031342C">
        <w:rPr>
          <w:noProof/>
        </w:rPr>
        <w:t>4</w:t>
      </w:r>
      <w:r w:rsidR="00DA5653" w:rsidRPr="00DF3EF6">
        <w:rPr>
          <w:noProof/>
        </w:rPr>
        <w:t xml:space="preserve"> otrzymuje brzmienie: </w:t>
      </w:r>
    </w:p>
    <w:p w14:paraId="0EBC4ACC" w14:textId="723E29F5" w:rsidR="00DA5653" w:rsidRPr="00DF3EF6" w:rsidRDefault="00DA5653" w:rsidP="00C74BAB">
      <w:pPr>
        <w:pStyle w:val="Text2"/>
        <w:rPr>
          <w:noProof/>
        </w:rPr>
      </w:pPr>
      <w:r w:rsidRPr="00DF3EF6">
        <w:rPr>
          <w:noProof/>
        </w:rPr>
        <w:t>„4. Państwa członkowskie zapewniają, aby instytucje kredytowe udostępniały informacje,</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w:t>
      </w:r>
      <w:r w:rsidR="0031342C" w:rsidRPr="00DF3EF6">
        <w:rPr>
          <w:noProof/>
        </w:rPr>
        <w:t xml:space="preserve"> w</w:t>
      </w:r>
      <w:r w:rsidR="0031342C">
        <w:rPr>
          <w:noProof/>
        </w:rPr>
        <w:t> </w:t>
      </w:r>
      <w:r w:rsidR="0031342C" w:rsidRPr="00DF3EF6">
        <w:rPr>
          <w:noProof/>
        </w:rPr>
        <w:t>jęz</w:t>
      </w:r>
      <w:r w:rsidRPr="00DF3EF6">
        <w:rPr>
          <w:noProof/>
        </w:rPr>
        <w:t>yku uzgodnionym przez deponenta</w:t>
      </w:r>
      <w:r w:rsidR="0031342C" w:rsidRPr="00DF3EF6">
        <w:rPr>
          <w:noProof/>
        </w:rPr>
        <w:t xml:space="preserve"> i</w:t>
      </w:r>
      <w:r w:rsidR="0031342C">
        <w:rPr>
          <w:noProof/>
        </w:rPr>
        <w:t> </w:t>
      </w:r>
      <w:r w:rsidR="0031342C" w:rsidRPr="00DF3EF6">
        <w:rPr>
          <w:noProof/>
        </w:rPr>
        <w:t>ins</w:t>
      </w:r>
      <w:r w:rsidRPr="00DF3EF6">
        <w:rPr>
          <w:noProof/>
        </w:rPr>
        <w:t>tytucję kredytową</w:t>
      </w:r>
      <w:r w:rsidR="0031342C" w:rsidRPr="00DF3EF6">
        <w:rPr>
          <w:noProof/>
        </w:rPr>
        <w:t xml:space="preserve"> w</w:t>
      </w:r>
      <w:r w:rsidR="0031342C">
        <w:rPr>
          <w:noProof/>
        </w:rPr>
        <w:t> </w:t>
      </w:r>
      <w:r w:rsidR="0031342C" w:rsidRPr="00DF3EF6">
        <w:rPr>
          <w:noProof/>
        </w:rPr>
        <w:t>mom</w:t>
      </w:r>
      <w:r w:rsidRPr="00DF3EF6">
        <w:rPr>
          <w:noProof/>
        </w:rPr>
        <w:t>encie otwarcia rachunku lub</w:t>
      </w:r>
      <w:r w:rsidR="0031342C" w:rsidRPr="00DF3EF6">
        <w:rPr>
          <w:noProof/>
        </w:rPr>
        <w:t xml:space="preserve"> w</w:t>
      </w:r>
      <w:r w:rsidR="0031342C">
        <w:rPr>
          <w:noProof/>
        </w:rPr>
        <w:t> </w:t>
      </w:r>
      <w:r w:rsidR="0031342C" w:rsidRPr="00DF3EF6">
        <w:rPr>
          <w:noProof/>
        </w:rPr>
        <w:t>jęz</w:t>
      </w:r>
      <w:r w:rsidRPr="00DF3EF6">
        <w:rPr>
          <w:noProof/>
        </w:rPr>
        <w:t>yku urzędowym lub językach urzędowych państwa członkowskiego,</w:t>
      </w:r>
      <w:r w:rsidR="0031342C" w:rsidRPr="00DF3EF6">
        <w:rPr>
          <w:noProof/>
        </w:rPr>
        <w:t xml:space="preserve"> w</w:t>
      </w:r>
      <w:r w:rsidR="0031342C">
        <w:rPr>
          <w:noProof/>
        </w:rPr>
        <w:t> </w:t>
      </w:r>
      <w:r w:rsidR="0031342C" w:rsidRPr="00DF3EF6">
        <w:rPr>
          <w:noProof/>
        </w:rPr>
        <w:t>któ</w:t>
      </w:r>
      <w:r w:rsidRPr="00DF3EF6">
        <w:rPr>
          <w:noProof/>
        </w:rPr>
        <w:t>rym oddział ma siedzibę.”;</w:t>
      </w:r>
    </w:p>
    <w:p w14:paraId="688E3E49" w14:textId="6809E8B6" w:rsidR="00DA5653" w:rsidRPr="00DF3EF6" w:rsidRDefault="00DF3EF6" w:rsidP="00DF3EF6">
      <w:pPr>
        <w:pStyle w:val="Point1"/>
        <w:rPr>
          <w:noProof/>
        </w:rPr>
      </w:pPr>
      <w:r>
        <w:rPr>
          <w:noProof/>
        </w:rPr>
        <w:t>f)</w:t>
      </w:r>
      <w:r>
        <w:rPr>
          <w:noProof/>
        </w:rPr>
        <w:tab/>
      </w:r>
      <w:r w:rsidR="00DA5653" w:rsidRPr="0031342C">
        <w:rPr>
          <w:noProof/>
        </w:rPr>
        <w:t>ust.</w:t>
      </w:r>
      <w:r w:rsidR="0031342C" w:rsidRPr="0031342C">
        <w:rPr>
          <w:noProof/>
        </w:rPr>
        <w:t> </w:t>
      </w:r>
      <w:r w:rsidR="00DA5653" w:rsidRPr="0031342C">
        <w:rPr>
          <w:noProof/>
        </w:rPr>
        <w:t>6</w:t>
      </w:r>
      <w:r w:rsidR="0031342C" w:rsidRPr="00DF3EF6">
        <w:rPr>
          <w:noProof/>
        </w:rPr>
        <w:t xml:space="preserve"> i</w:t>
      </w:r>
      <w:r w:rsidR="0031342C">
        <w:rPr>
          <w:noProof/>
        </w:rPr>
        <w:t> </w:t>
      </w:r>
      <w:r w:rsidR="0031342C" w:rsidRPr="00DF3EF6">
        <w:rPr>
          <w:noProof/>
        </w:rPr>
        <w:t>7</w:t>
      </w:r>
      <w:r w:rsidR="00DA5653" w:rsidRPr="00DF3EF6">
        <w:rPr>
          <w:noProof/>
        </w:rPr>
        <w:t xml:space="preserve"> otrzymują brzmienie:</w:t>
      </w:r>
    </w:p>
    <w:p w14:paraId="33F86FFB" w14:textId="7AC13884" w:rsidR="00DA5653" w:rsidRPr="00DF3EF6" w:rsidRDefault="00DA5653" w:rsidP="00C74BAB">
      <w:pPr>
        <w:pStyle w:val="Text2"/>
        <w:rPr>
          <w:noProof/>
        </w:rPr>
      </w:pPr>
      <w:r w:rsidRPr="00DF3EF6">
        <w:rPr>
          <w:noProof/>
        </w:rPr>
        <w:t>„6. Państwa członkowskie zapewniają, aby</w:t>
      </w:r>
      <w:r w:rsidR="0031342C" w:rsidRPr="00DF3EF6">
        <w:rPr>
          <w:noProof/>
        </w:rPr>
        <w:t xml:space="preserve"> w</w:t>
      </w:r>
      <w:r w:rsidR="0031342C">
        <w:rPr>
          <w:noProof/>
        </w:rPr>
        <w:t> </w:t>
      </w:r>
      <w:r w:rsidR="0031342C" w:rsidRPr="00DF3EF6">
        <w:rPr>
          <w:noProof/>
        </w:rPr>
        <w:t>prz</w:t>
      </w:r>
      <w:r w:rsidRPr="00DF3EF6">
        <w:rPr>
          <w:noProof/>
        </w:rPr>
        <w:t>ypadku połączenia instytucji kredytowych, przekształcenia jednostek zależnych instytucji kredytowej</w:t>
      </w:r>
      <w:r w:rsidR="0031342C" w:rsidRPr="00DF3EF6">
        <w:rPr>
          <w:noProof/>
        </w:rPr>
        <w:t xml:space="preserve"> w</w:t>
      </w:r>
      <w:r w:rsidR="0031342C">
        <w:rPr>
          <w:noProof/>
        </w:rPr>
        <w:t> </w:t>
      </w:r>
      <w:r w:rsidR="0031342C" w:rsidRPr="00DF3EF6">
        <w:rPr>
          <w:noProof/>
        </w:rPr>
        <w:t>odd</w:t>
      </w:r>
      <w:r w:rsidRPr="00DF3EF6">
        <w:rPr>
          <w:noProof/>
        </w:rPr>
        <w:t>ziały lub podobnych operacji instytucje kredytowe informowały</w:t>
      </w:r>
      <w:r w:rsidR="0031342C" w:rsidRPr="00DF3EF6">
        <w:rPr>
          <w:noProof/>
        </w:rPr>
        <w:t xml:space="preserve"> o</w:t>
      </w:r>
      <w:r w:rsidR="0031342C">
        <w:rPr>
          <w:noProof/>
        </w:rPr>
        <w:t> </w:t>
      </w:r>
      <w:r w:rsidR="0031342C" w:rsidRPr="00DF3EF6">
        <w:rPr>
          <w:noProof/>
        </w:rPr>
        <w:t>tym</w:t>
      </w:r>
      <w:r w:rsidRPr="00DF3EF6">
        <w:rPr>
          <w:noProof/>
        </w:rPr>
        <w:t xml:space="preserve"> fakcie swoich deponentów przynajmniej na miesiąc przed dniem,</w:t>
      </w:r>
      <w:r w:rsidR="0031342C" w:rsidRPr="00DF3EF6">
        <w:rPr>
          <w:noProof/>
        </w:rPr>
        <w:t xml:space="preserve"> w</w:t>
      </w:r>
      <w:r w:rsidR="0031342C">
        <w:rPr>
          <w:noProof/>
        </w:rPr>
        <w:t> </w:t>
      </w:r>
      <w:r w:rsidR="0031342C" w:rsidRPr="00DF3EF6">
        <w:rPr>
          <w:noProof/>
        </w:rPr>
        <w:t>któ</w:t>
      </w:r>
      <w:r w:rsidRPr="00DF3EF6">
        <w:rPr>
          <w:noProof/>
        </w:rPr>
        <w:t>rym dana operacja wywołuje skutek prawny, chyba że właściwy organ dopuszcza krótszy termin</w:t>
      </w:r>
      <w:r w:rsidR="0031342C" w:rsidRPr="00DF3EF6">
        <w:rPr>
          <w:noProof/>
        </w:rPr>
        <w:t xml:space="preserve"> z</w:t>
      </w:r>
      <w:r w:rsidR="0031342C">
        <w:rPr>
          <w:noProof/>
        </w:rPr>
        <w:t> </w:t>
      </w:r>
      <w:r w:rsidR="0031342C" w:rsidRPr="00DF3EF6">
        <w:rPr>
          <w:noProof/>
        </w:rPr>
        <w:t>uwa</w:t>
      </w:r>
      <w:r w:rsidRPr="00DF3EF6">
        <w:rPr>
          <w:noProof/>
        </w:rPr>
        <w:t>gi na tajemnicę handlową lub stabilność finansową</w:t>
      </w:r>
      <w:r w:rsidR="0031342C" w:rsidRPr="00DF3EF6">
        <w:rPr>
          <w:noProof/>
        </w:rPr>
        <w:t>. W</w:t>
      </w:r>
      <w:r w:rsidR="0031342C">
        <w:rPr>
          <w:noProof/>
        </w:rPr>
        <w:t> </w:t>
      </w:r>
      <w:r w:rsidR="0031342C" w:rsidRPr="00DF3EF6">
        <w:rPr>
          <w:noProof/>
        </w:rPr>
        <w:t>pow</w:t>
      </w:r>
      <w:r w:rsidRPr="00DF3EF6">
        <w:rPr>
          <w:noProof/>
        </w:rPr>
        <w:t xml:space="preserve">iadomieniu tym wyjaśnia się wpływ operacji na ochronę deponentów. </w:t>
      </w:r>
    </w:p>
    <w:p w14:paraId="5CECB484" w14:textId="38207787" w:rsidR="00DA5653" w:rsidRPr="00DF3EF6" w:rsidRDefault="0082010D" w:rsidP="00C74BAB">
      <w:pPr>
        <w:pStyle w:val="Text2"/>
        <w:rPr>
          <w:noProof/>
        </w:rPr>
      </w:pPr>
      <w:r w:rsidRPr="00DF3EF6">
        <w:rPr>
          <w:noProof/>
        </w:rPr>
        <w:t>Państwa członkowskie zapewniają, aby</w:t>
      </w:r>
      <w:r w:rsidR="0031342C" w:rsidRPr="00DF3EF6">
        <w:rPr>
          <w:noProof/>
        </w:rPr>
        <w:t xml:space="preserve"> w</w:t>
      </w:r>
      <w:r w:rsidR="0031342C">
        <w:rPr>
          <w:noProof/>
        </w:rPr>
        <w:t> </w:t>
      </w:r>
      <w:r w:rsidR="0031342C" w:rsidRPr="00DF3EF6">
        <w:rPr>
          <w:noProof/>
        </w:rPr>
        <w:t>prz</w:t>
      </w:r>
      <w:r w:rsidRPr="00DF3EF6">
        <w:rPr>
          <w:noProof/>
        </w:rPr>
        <w:t>ypadku gdy operacje,</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DF3EF6">
        <w:rPr>
          <w:noProof/>
        </w:rPr>
        <w:t>aka</w:t>
      </w:r>
      <w:r w:rsidRPr="00DF3EF6">
        <w:rPr>
          <w:noProof/>
        </w:rPr>
        <w:t>picie pierwszym, będą miały wpływ na zmniejszenie ochrony depozytów deponentów posiadających depozyty</w:t>
      </w:r>
      <w:r w:rsidR="0031342C" w:rsidRPr="00DF3EF6">
        <w:rPr>
          <w:noProof/>
        </w:rPr>
        <w:t xml:space="preserve"> w</w:t>
      </w:r>
      <w:r w:rsidR="0031342C">
        <w:rPr>
          <w:noProof/>
        </w:rPr>
        <w:t> </w:t>
      </w:r>
      <w:r w:rsidR="0031342C" w:rsidRPr="00DF3EF6">
        <w:rPr>
          <w:noProof/>
        </w:rPr>
        <w:t>tyc</w:t>
      </w:r>
      <w:r w:rsidRPr="00DF3EF6">
        <w:rPr>
          <w:noProof/>
        </w:rPr>
        <w:t>h instytucjach kredytowych, dane instytucje kredytowe powiadamiały tych deponentów</w:t>
      </w:r>
      <w:r w:rsidR="0031342C" w:rsidRPr="00DF3EF6">
        <w:rPr>
          <w:noProof/>
        </w:rPr>
        <w:t xml:space="preserve"> o</w:t>
      </w:r>
      <w:r w:rsidR="0031342C">
        <w:rPr>
          <w:noProof/>
        </w:rPr>
        <w:t> </w:t>
      </w:r>
      <w:r w:rsidR="0031342C" w:rsidRPr="00DF3EF6">
        <w:rPr>
          <w:noProof/>
        </w:rPr>
        <w:t>moż</w:t>
      </w:r>
      <w:r w:rsidRPr="00DF3EF6">
        <w:rPr>
          <w:noProof/>
        </w:rPr>
        <w:t>liwości wycofania lub przeniesienia do innej instytucji kredytowej ich kwalifikujących się depozytów,</w:t>
      </w:r>
      <w:r w:rsidR="0031342C" w:rsidRPr="00DF3EF6">
        <w:rPr>
          <w:noProof/>
        </w:rPr>
        <w:t xml:space="preserve"> w</w:t>
      </w:r>
      <w:r w:rsidR="0031342C">
        <w:rPr>
          <w:noProof/>
        </w:rPr>
        <w:t> </w:t>
      </w:r>
      <w:r w:rsidR="0031342C" w:rsidRPr="00DF3EF6">
        <w:rPr>
          <w:noProof/>
        </w:rPr>
        <w:t>tym</w:t>
      </w:r>
      <w:r w:rsidRPr="00DF3EF6">
        <w:rPr>
          <w:noProof/>
        </w:rPr>
        <w:t xml:space="preserve"> wszystkich naliczonych odsetek</w:t>
      </w:r>
      <w:r w:rsidR="0031342C" w:rsidRPr="00DF3EF6">
        <w:rPr>
          <w:noProof/>
        </w:rPr>
        <w:t xml:space="preserve"> i</w:t>
      </w:r>
      <w:r w:rsidR="0031342C">
        <w:rPr>
          <w:noProof/>
        </w:rPr>
        <w:t> </w:t>
      </w:r>
      <w:r w:rsidR="0031342C" w:rsidRPr="00DF3EF6">
        <w:rPr>
          <w:noProof/>
        </w:rPr>
        <w:t>uzy</w:t>
      </w:r>
      <w:r w:rsidRPr="00DF3EF6">
        <w:rPr>
          <w:noProof/>
        </w:rPr>
        <w:t>skanych korzyści, bez ponoszenia żadnych kar, do wysokości kwoty równej uszczupleniu gwarancji depozytów</w:t>
      </w:r>
      <w:r w:rsidR="0031342C" w:rsidRPr="00DF3EF6">
        <w:rPr>
          <w:noProof/>
        </w:rPr>
        <w:t xml:space="preserve"> w</w:t>
      </w:r>
      <w:r w:rsidR="0031342C">
        <w:rPr>
          <w:noProof/>
        </w:rPr>
        <w:t> </w:t>
      </w:r>
      <w:r w:rsidR="0031342C" w:rsidRPr="00DF3EF6">
        <w:rPr>
          <w:noProof/>
        </w:rPr>
        <w:t>ter</w:t>
      </w:r>
      <w:r w:rsidRPr="00DF3EF6">
        <w:rPr>
          <w:noProof/>
        </w:rPr>
        <w:t>minie 3 miesięcy od powiadomienia,</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DF3EF6">
        <w:rPr>
          <w:noProof/>
        </w:rPr>
        <w:t>aka</w:t>
      </w:r>
      <w:r w:rsidRPr="00DF3EF6">
        <w:rPr>
          <w:noProof/>
        </w:rPr>
        <w:t>picie pierwszym.</w:t>
      </w:r>
    </w:p>
    <w:p w14:paraId="7FD61EF7" w14:textId="7C855D24" w:rsidR="00DA5653" w:rsidRPr="00DF3EF6" w:rsidRDefault="00DA5653" w:rsidP="00C74BAB">
      <w:pPr>
        <w:pStyle w:val="Text2"/>
        <w:rPr>
          <w:noProof/>
        </w:rPr>
      </w:pPr>
      <w:r w:rsidRPr="00DF3EF6">
        <w:rPr>
          <w:noProof/>
        </w:rPr>
        <w:t>7. Państwa członkowskie zapewniają, by instytucje kredytowe, które przestają być członkami systemu gwarancji depozytów, powiadamiały</w:t>
      </w:r>
      <w:r w:rsidR="0031342C" w:rsidRPr="00DF3EF6">
        <w:rPr>
          <w:noProof/>
        </w:rPr>
        <w:t xml:space="preserve"> o</w:t>
      </w:r>
      <w:r w:rsidR="0031342C">
        <w:rPr>
          <w:noProof/>
        </w:rPr>
        <w:t> </w:t>
      </w:r>
      <w:r w:rsidR="0031342C" w:rsidRPr="00DF3EF6">
        <w:rPr>
          <w:noProof/>
        </w:rPr>
        <w:t>tym</w:t>
      </w:r>
      <w:r w:rsidRPr="00DF3EF6">
        <w:rPr>
          <w:noProof/>
        </w:rPr>
        <w:t xml:space="preserve"> fakcie swoich deponentów co najmniej 1 miesiąc przed dniem,</w:t>
      </w:r>
      <w:r w:rsidR="0031342C" w:rsidRPr="00DF3EF6">
        <w:rPr>
          <w:noProof/>
        </w:rPr>
        <w:t xml:space="preserve"> w</w:t>
      </w:r>
      <w:r w:rsidR="0031342C">
        <w:rPr>
          <w:noProof/>
        </w:rPr>
        <w:t> </w:t>
      </w:r>
      <w:r w:rsidR="0031342C" w:rsidRPr="00DF3EF6">
        <w:rPr>
          <w:noProof/>
        </w:rPr>
        <w:t>któ</w:t>
      </w:r>
      <w:r w:rsidRPr="00DF3EF6">
        <w:rPr>
          <w:noProof/>
        </w:rPr>
        <w:t>rym przestaną być członkami.”;</w:t>
      </w:r>
    </w:p>
    <w:p w14:paraId="546EE2F7" w14:textId="6CC9FF7B" w:rsidR="00DA5653" w:rsidRPr="00DF3EF6" w:rsidRDefault="00DF3EF6" w:rsidP="00DF3EF6">
      <w:pPr>
        <w:pStyle w:val="Point1"/>
        <w:rPr>
          <w:noProof/>
        </w:rPr>
      </w:pPr>
      <w:r>
        <w:rPr>
          <w:noProof/>
        </w:rPr>
        <w:t>g)</w:t>
      </w:r>
      <w:r>
        <w:rPr>
          <w:noProof/>
        </w:rPr>
        <w:tab/>
      </w:r>
      <w:r w:rsidR="007578A8" w:rsidRPr="00DF3EF6">
        <w:rPr>
          <w:noProof/>
        </w:rPr>
        <w:t xml:space="preserve">dodaje się </w:t>
      </w:r>
      <w:r w:rsidR="007578A8" w:rsidRPr="0031342C">
        <w:rPr>
          <w:noProof/>
        </w:rPr>
        <w:t>ust.</w:t>
      </w:r>
      <w:r w:rsidR="0031342C" w:rsidRPr="0031342C">
        <w:rPr>
          <w:noProof/>
        </w:rPr>
        <w:t> </w:t>
      </w:r>
      <w:r w:rsidR="007578A8" w:rsidRPr="0031342C">
        <w:rPr>
          <w:noProof/>
        </w:rPr>
        <w:t>7</w:t>
      </w:r>
      <w:r w:rsidR="007578A8" w:rsidRPr="00DF3EF6">
        <w:rPr>
          <w:noProof/>
        </w:rPr>
        <w:t>a</w:t>
      </w:r>
      <w:r w:rsidR="0031342C" w:rsidRPr="00DF3EF6">
        <w:rPr>
          <w:noProof/>
        </w:rPr>
        <w:t xml:space="preserve"> w</w:t>
      </w:r>
      <w:r w:rsidR="0031342C">
        <w:rPr>
          <w:noProof/>
        </w:rPr>
        <w:t> </w:t>
      </w:r>
      <w:r w:rsidR="0031342C" w:rsidRPr="00DF3EF6">
        <w:rPr>
          <w:noProof/>
        </w:rPr>
        <w:t>brz</w:t>
      </w:r>
      <w:r w:rsidR="007578A8" w:rsidRPr="00DF3EF6">
        <w:rPr>
          <w:noProof/>
        </w:rPr>
        <w:t>mieniu:</w:t>
      </w:r>
    </w:p>
    <w:p w14:paraId="3D05F3AC" w14:textId="39A6D948" w:rsidR="00DA5653" w:rsidRPr="00DF3EF6" w:rsidRDefault="00DA5653" w:rsidP="00C74BAB">
      <w:pPr>
        <w:pStyle w:val="Text2"/>
        <w:rPr>
          <w:noProof/>
        </w:rPr>
      </w:pPr>
      <w:r w:rsidRPr="00DF3EF6">
        <w:rPr>
          <w:noProof/>
        </w:rPr>
        <w:t>„7a. Państwa członkowskie zapewniają, aby wyznaczone organy, systemy gwarancji depozytów</w:t>
      </w:r>
      <w:r w:rsidR="0031342C" w:rsidRPr="00DF3EF6">
        <w:rPr>
          <w:noProof/>
        </w:rPr>
        <w:t xml:space="preserve"> i</w:t>
      </w:r>
      <w:r w:rsidR="0031342C">
        <w:rPr>
          <w:noProof/>
        </w:rPr>
        <w:t> </w:t>
      </w:r>
      <w:r w:rsidR="0031342C" w:rsidRPr="00DF3EF6">
        <w:rPr>
          <w:noProof/>
        </w:rPr>
        <w:t>zai</w:t>
      </w:r>
      <w:r w:rsidRPr="00DF3EF6">
        <w:rPr>
          <w:noProof/>
        </w:rPr>
        <w:t>nteresowane instytucje kredytowe informowały deponentów,</w:t>
      </w:r>
      <w:r w:rsidR="0031342C" w:rsidRPr="00DF3EF6">
        <w:rPr>
          <w:noProof/>
        </w:rPr>
        <w:t xml:space="preserve"> w</w:t>
      </w:r>
      <w:r w:rsidR="0031342C">
        <w:rPr>
          <w:noProof/>
        </w:rPr>
        <w:t> </w:t>
      </w:r>
      <w:r w:rsidR="0031342C" w:rsidRPr="00DF3EF6">
        <w:rPr>
          <w:noProof/>
        </w:rPr>
        <w:t>tym</w:t>
      </w:r>
      <w:r w:rsidRPr="00DF3EF6">
        <w:rPr>
          <w:noProof/>
        </w:rPr>
        <w:t xml:space="preserve"> poprzez publikację na swoich stronach internetowych,</w:t>
      </w:r>
      <w:r w:rsidR="0031342C" w:rsidRPr="00DF3EF6">
        <w:rPr>
          <w:noProof/>
        </w:rPr>
        <w:t xml:space="preserve"> o</w:t>
      </w:r>
      <w:r w:rsidR="0031342C">
        <w:rPr>
          <w:noProof/>
        </w:rPr>
        <w:t> </w:t>
      </w:r>
      <w:r w:rsidR="0031342C" w:rsidRPr="00DF3EF6">
        <w:rPr>
          <w:noProof/>
        </w:rPr>
        <w:t>fak</w:t>
      </w:r>
      <w:r w:rsidRPr="00DF3EF6">
        <w:rPr>
          <w:noProof/>
        </w:rPr>
        <w:t>cie, że właściwy organ administracyjny dokonał ustalenia,</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2</w:t>
      </w:r>
      <w:r w:rsidRPr="00DF3EF6">
        <w:rPr>
          <w:noProof/>
        </w:rPr>
        <w:t xml:space="preserve"> </w:t>
      </w:r>
      <w:r w:rsidRPr="0031342C">
        <w:rPr>
          <w:noProof/>
        </w:rPr>
        <w:t>ust.</w:t>
      </w:r>
      <w:r w:rsidR="0031342C" w:rsidRPr="0031342C">
        <w:rPr>
          <w:noProof/>
        </w:rPr>
        <w:t> </w:t>
      </w:r>
      <w:r w:rsidRPr="0031342C">
        <w:rPr>
          <w:noProof/>
        </w:rPr>
        <w:t>1</w:t>
      </w:r>
      <w:r w:rsidRPr="00DF3EF6">
        <w:rPr>
          <w:noProof/>
        </w:rPr>
        <w:t xml:space="preserve"> </w:t>
      </w:r>
      <w:r w:rsidRPr="0031342C">
        <w:rPr>
          <w:noProof/>
        </w:rPr>
        <w:t>pkt</w:t>
      </w:r>
      <w:r w:rsidR="0031342C" w:rsidRPr="0031342C">
        <w:rPr>
          <w:noProof/>
        </w:rPr>
        <w:t> </w:t>
      </w:r>
      <w:r w:rsidRPr="0031342C">
        <w:rPr>
          <w:noProof/>
        </w:rPr>
        <w:t>8</w:t>
      </w:r>
      <w:r w:rsidRPr="00DF3EF6">
        <w:rPr>
          <w:noProof/>
        </w:rPr>
        <w:t xml:space="preserve"> </w:t>
      </w:r>
      <w:r w:rsidRPr="0031342C">
        <w:rPr>
          <w:noProof/>
        </w:rPr>
        <w:t>lit.</w:t>
      </w:r>
      <w:r w:rsidR="0031342C" w:rsidRPr="0031342C">
        <w:rPr>
          <w:noProof/>
        </w:rPr>
        <w:t> </w:t>
      </w:r>
      <w:r w:rsidRPr="0031342C">
        <w:rPr>
          <w:noProof/>
        </w:rPr>
        <w:t>a)</w:t>
      </w:r>
      <w:r w:rsidRPr="00DF3EF6">
        <w:rPr>
          <w:noProof/>
        </w:rPr>
        <w:t>, lub że organ sądowy wydał orzeczenie,</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2</w:t>
      </w:r>
      <w:r w:rsidRPr="00DF3EF6">
        <w:rPr>
          <w:noProof/>
        </w:rPr>
        <w:t xml:space="preserve"> </w:t>
      </w:r>
      <w:r w:rsidRPr="0031342C">
        <w:rPr>
          <w:noProof/>
        </w:rPr>
        <w:t>ust.</w:t>
      </w:r>
      <w:r w:rsidR="0031342C" w:rsidRPr="0031342C">
        <w:rPr>
          <w:noProof/>
        </w:rPr>
        <w:t> </w:t>
      </w:r>
      <w:r w:rsidRPr="0031342C">
        <w:rPr>
          <w:noProof/>
        </w:rPr>
        <w:t>1</w:t>
      </w:r>
      <w:r w:rsidRPr="00DF3EF6">
        <w:rPr>
          <w:noProof/>
        </w:rPr>
        <w:t xml:space="preserve"> </w:t>
      </w:r>
      <w:r w:rsidRPr="0031342C">
        <w:rPr>
          <w:noProof/>
        </w:rPr>
        <w:t>pkt</w:t>
      </w:r>
      <w:r w:rsidR="0031342C" w:rsidRPr="0031342C">
        <w:rPr>
          <w:noProof/>
        </w:rPr>
        <w:t> </w:t>
      </w:r>
      <w:r w:rsidRPr="0031342C">
        <w:rPr>
          <w:noProof/>
        </w:rPr>
        <w:t>8</w:t>
      </w:r>
      <w:r w:rsidRPr="00DF3EF6">
        <w:rPr>
          <w:noProof/>
        </w:rPr>
        <w:t xml:space="preserve"> </w:t>
      </w:r>
      <w:r w:rsidRPr="0031342C">
        <w:rPr>
          <w:noProof/>
        </w:rPr>
        <w:t>lit.</w:t>
      </w:r>
      <w:r w:rsidR="0031342C" w:rsidRPr="0031342C">
        <w:rPr>
          <w:noProof/>
        </w:rPr>
        <w:t> </w:t>
      </w:r>
      <w:r w:rsidRPr="0031342C">
        <w:rPr>
          <w:noProof/>
        </w:rPr>
        <w:t>b)</w:t>
      </w:r>
      <w:r w:rsidRPr="00DF3EF6">
        <w:rPr>
          <w:noProof/>
        </w:rPr>
        <w:t>.”;</w:t>
      </w:r>
    </w:p>
    <w:p w14:paraId="2861F470" w14:textId="31662442" w:rsidR="00DA5653" w:rsidRPr="00DF3EF6" w:rsidRDefault="00DF3EF6" w:rsidP="00DF3EF6">
      <w:pPr>
        <w:pStyle w:val="Point1"/>
        <w:rPr>
          <w:noProof/>
        </w:rPr>
      </w:pPr>
      <w:r>
        <w:rPr>
          <w:noProof/>
        </w:rPr>
        <w:t>h)</w:t>
      </w:r>
      <w:r>
        <w:rPr>
          <w:noProof/>
        </w:rPr>
        <w:tab/>
      </w:r>
      <w:r w:rsidR="007578A8" w:rsidRPr="0031342C">
        <w:rPr>
          <w:noProof/>
        </w:rPr>
        <w:t>ust.</w:t>
      </w:r>
      <w:r w:rsidR="0031342C" w:rsidRPr="0031342C">
        <w:rPr>
          <w:noProof/>
        </w:rPr>
        <w:t> </w:t>
      </w:r>
      <w:r w:rsidR="007578A8" w:rsidRPr="0031342C">
        <w:rPr>
          <w:noProof/>
        </w:rPr>
        <w:t>8</w:t>
      </w:r>
      <w:r w:rsidR="007578A8" w:rsidRPr="00DF3EF6">
        <w:rPr>
          <w:noProof/>
        </w:rPr>
        <w:t xml:space="preserve"> otrzymuje brzmienie:</w:t>
      </w:r>
    </w:p>
    <w:p w14:paraId="50EB3631" w14:textId="116A6362" w:rsidR="00DA5653" w:rsidRPr="00DF3EF6" w:rsidRDefault="00DA5653" w:rsidP="00C74BAB">
      <w:pPr>
        <w:pStyle w:val="Text2"/>
        <w:rPr>
          <w:noProof/>
        </w:rPr>
      </w:pPr>
      <w:r w:rsidRPr="00DF3EF6">
        <w:rPr>
          <w:noProof/>
        </w:rPr>
        <w:t>„8. Państwa członkowskie zapewniają, aby</w:t>
      </w:r>
      <w:r w:rsidR="0031342C" w:rsidRPr="00DF3EF6">
        <w:rPr>
          <w:noProof/>
        </w:rPr>
        <w:t xml:space="preserve"> w</w:t>
      </w:r>
      <w:r w:rsidR="0031342C">
        <w:rPr>
          <w:noProof/>
        </w:rPr>
        <w:t> </w:t>
      </w:r>
      <w:r w:rsidR="0031342C" w:rsidRPr="00DF3EF6">
        <w:rPr>
          <w:noProof/>
        </w:rPr>
        <w:t>prz</w:t>
      </w:r>
      <w:r w:rsidRPr="00DF3EF6">
        <w:rPr>
          <w:noProof/>
        </w:rPr>
        <w:t>ypadku gdy deponent korzysta</w:t>
      </w:r>
      <w:r w:rsidR="0031342C" w:rsidRPr="00DF3EF6">
        <w:rPr>
          <w:noProof/>
        </w:rPr>
        <w:t xml:space="preserve"> z</w:t>
      </w:r>
      <w:r w:rsidR="0031342C">
        <w:rPr>
          <w:noProof/>
        </w:rPr>
        <w:t> </w:t>
      </w:r>
      <w:r w:rsidR="0031342C" w:rsidRPr="00DF3EF6">
        <w:rPr>
          <w:noProof/>
        </w:rPr>
        <w:t>ban</w:t>
      </w:r>
      <w:r w:rsidRPr="00DF3EF6">
        <w:rPr>
          <w:noProof/>
        </w:rPr>
        <w:t>kowości internetowej, instytucje kredytowe przekazywały swoim deponentom informacje, które muszą im przekazać na mocy niniejszej dyrektywy, za pomocą środków łączności elektronicznej, chyba że deponent wystąpi</w:t>
      </w:r>
      <w:r w:rsidR="0031342C" w:rsidRPr="00DF3EF6">
        <w:rPr>
          <w:noProof/>
        </w:rPr>
        <w:t xml:space="preserve"> o</w:t>
      </w:r>
      <w:r w:rsidR="0031342C">
        <w:rPr>
          <w:noProof/>
        </w:rPr>
        <w:t> </w:t>
      </w:r>
      <w:r w:rsidR="0031342C" w:rsidRPr="00DF3EF6">
        <w:rPr>
          <w:noProof/>
        </w:rPr>
        <w:t>otr</w:t>
      </w:r>
      <w:r w:rsidRPr="00DF3EF6">
        <w:rPr>
          <w:noProof/>
        </w:rPr>
        <w:t>zymywanie tych informacji</w:t>
      </w:r>
      <w:r w:rsidR="0031342C" w:rsidRPr="00DF3EF6">
        <w:rPr>
          <w:noProof/>
        </w:rPr>
        <w:t xml:space="preserve"> w</w:t>
      </w:r>
      <w:r w:rsidR="0031342C">
        <w:rPr>
          <w:noProof/>
        </w:rPr>
        <w:t> </w:t>
      </w:r>
      <w:r w:rsidR="0031342C" w:rsidRPr="00DF3EF6">
        <w:rPr>
          <w:noProof/>
        </w:rPr>
        <w:t>for</w:t>
      </w:r>
      <w:r w:rsidRPr="00DF3EF6">
        <w:rPr>
          <w:noProof/>
        </w:rPr>
        <w:t>mie papierowej.”;</w:t>
      </w:r>
    </w:p>
    <w:p w14:paraId="6A8AD6E8" w14:textId="7483096B" w:rsidR="00DA5653" w:rsidRPr="00DF3EF6" w:rsidRDefault="00DF3EF6" w:rsidP="00DF3EF6">
      <w:pPr>
        <w:pStyle w:val="Point1"/>
        <w:rPr>
          <w:noProof/>
        </w:rPr>
      </w:pPr>
      <w:r>
        <w:rPr>
          <w:noProof/>
        </w:rPr>
        <w:t>i)</w:t>
      </w:r>
      <w:r>
        <w:rPr>
          <w:noProof/>
        </w:rPr>
        <w:tab/>
      </w:r>
      <w:r w:rsidR="007578A8" w:rsidRPr="00DF3EF6">
        <w:rPr>
          <w:noProof/>
        </w:rPr>
        <w:t xml:space="preserve">dodaje się </w:t>
      </w:r>
      <w:r w:rsidR="007578A8" w:rsidRPr="0031342C">
        <w:rPr>
          <w:noProof/>
        </w:rPr>
        <w:t>ust.</w:t>
      </w:r>
      <w:r w:rsidR="0031342C" w:rsidRPr="0031342C">
        <w:rPr>
          <w:noProof/>
        </w:rPr>
        <w:t> </w:t>
      </w:r>
      <w:r w:rsidR="007578A8" w:rsidRPr="0031342C">
        <w:rPr>
          <w:noProof/>
        </w:rPr>
        <w:t>9</w:t>
      </w:r>
      <w:r w:rsidR="0031342C" w:rsidRPr="00DF3EF6">
        <w:rPr>
          <w:noProof/>
        </w:rPr>
        <w:t xml:space="preserve"> w</w:t>
      </w:r>
      <w:r w:rsidR="0031342C">
        <w:rPr>
          <w:noProof/>
        </w:rPr>
        <w:t> </w:t>
      </w:r>
      <w:r w:rsidR="0031342C" w:rsidRPr="00DF3EF6">
        <w:rPr>
          <w:noProof/>
        </w:rPr>
        <w:t>brz</w:t>
      </w:r>
      <w:r w:rsidR="007578A8" w:rsidRPr="00DF3EF6">
        <w:rPr>
          <w:noProof/>
        </w:rPr>
        <w:t>mieniu:</w:t>
      </w:r>
    </w:p>
    <w:p w14:paraId="6B636BB4" w14:textId="15485A0C" w:rsidR="00DA5653" w:rsidRPr="00DF3EF6" w:rsidRDefault="00DA5653" w:rsidP="00C74BAB">
      <w:pPr>
        <w:pStyle w:val="Text2"/>
        <w:rPr>
          <w:noProof/>
        </w:rPr>
      </w:pPr>
      <w:r w:rsidRPr="00DF3EF6">
        <w:rPr>
          <w:noProof/>
        </w:rPr>
        <w:lastRenderedPageBreak/>
        <w:t>„9. EUNB opracowuje projekty wykonawczych standardów technicznych</w:t>
      </w:r>
      <w:r w:rsidR="0031342C" w:rsidRPr="00DF3EF6">
        <w:rPr>
          <w:noProof/>
        </w:rPr>
        <w:t xml:space="preserve"> w</w:t>
      </w:r>
      <w:r w:rsidR="0031342C">
        <w:rPr>
          <w:noProof/>
        </w:rPr>
        <w:t> </w:t>
      </w:r>
      <w:r w:rsidR="0031342C" w:rsidRPr="00DF3EF6">
        <w:rPr>
          <w:noProof/>
        </w:rPr>
        <w:t>cel</w:t>
      </w:r>
      <w:r w:rsidRPr="00DF3EF6">
        <w:rPr>
          <w:noProof/>
        </w:rPr>
        <w:t>u określenia:</w:t>
      </w:r>
    </w:p>
    <w:p w14:paraId="6027C808" w14:textId="2CF2B688" w:rsidR="00781B81" w:rsidRPr="00DF3EF6" w:rsidRDefault="00781B81" w:rsidP="00781B81">
      <w:pPr>
        <w:pStyle w:val="Point2"/>
        <w:rPr>
          <w:noProof/>
        </w:rPr>
      </w:pPr>
      <w:r w:rsidRPr="00DF3EF6">
        <w:rPr>
          <w:noProof/>
        </w:rPr>
        <w:t>a)</w:t>
      </w:r>
      <w:r w:rsidRPr="00DF3EF6">
        <w:rPr>
          <w:noProof/>
        </w:rPr>
        <w:tab/>
        <w:t>treści</w:t>
      </w:r>
      <w:r w:rsidR="0031342C" w:rsidRPr="00DF3EF6">
        <w:rPr>
          <w:noProof/>
        </w:rPr>
        <w:t xml:space="preserve"> i</w:t>
      </w:r>
      <w:r w:rsidR="0031342C">
        <w:rPr>
          <w:noProof/>
        </w:rPr>
        <w:t> </w:t>
      </w:r>
      <w:r w:rsidR="0031342C" w:rsidRPr="00DF3EF6">
        <w:rPr>
          <w:noProof/>
        </w:rPr>
        <w:t>for</w:t>
      </w:r>
      <w:r w:rsidRPr="00DF3EF6">
        <w:rPr>
          <w:noProof/>
        </w:rPr>
        <w:t>matu arkusza informacyjnego,</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a;</w:t>
      </w:r>
    </w:p>
    <w:p w14:paraId="7131CD9E" w14:textId="6239C27E" w:rsidR="00781B81" w:rsidRPr="00DF3EF6" w:rsidRDefault="00781B81" w:rsidP="00781B81">
      <w:pPr>
        <w:pStyle w:val="Point2"/>
        <w:rPr>
          <w:noProof/>
        </w:rPr>
      </w:pPr>
      <w:r w:rsidRPr="00DF3EF6">
        <w:rPr>
          <w:noProof/>
        </w:rPr>
        <w:t>b)</w:t>
      </w:r>
      <w:r w:rsidRPr="00DF3EF6">
        <w:rPr>
          <w:noProof/>
        </w:rPr>
        <w:tab/>
        <w:t>procedury, której należy przestrzegać przy przekazywaniu deponentom informacji przez wyznaczone organy, systemy gwarancji depozytów lub instytucje kredytowe</w:t>
      </w:r>
      <w:r w:rsidR="0031342C" w:rsidRPr="00DF3EF6">
        <w:rPr>
          <w:noProof/>
        </w:rPr>
        <w:t xml:space="preserve"> w</w:t>
      </w:r>
      <w:r w:rsidR="0031342C">
        <w:rPr>
          <w:noProof/>
        </w:rPr>
        <w:t> </w:t>
      </w:r>
      <w:r w:rsidR="0031342C" w:rsidRPr="00DF3EF6">
        <w:rPr>
          <w:noProof/>
        </w:rPr>
        <w:t>syt</w:t>
      </w:r>
      <w:r w:rsidRPr="00DF3EF6">
        <w:rPr>
          <w:noProof/>
        </w:rPr>
        <w:t>uacjach,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8</w:t>
      </w:r>
      <w:r w:rsidRPr="00DF3EF6">
        <w:rPr>
          <w:noProof/>
        </w:rPr>
        <w:t>b</w:t>
      </w:r>
      <w:r w:rsidR="0031342C" w:rsidRPr="00DF3EF6">
        <w:rPr>
          <w:noProof/>
        </w:rPr>
        <w:t xml:space="preserve"> i</w:t>
      </w:r>
      <w:r w:rsidR="0031342C">
        <w:rPr>
          <w:noProof/>
        </w:rPr>
        <w:t> </w:t>
      </w:r>
      <w:r w:rsidR="0031342C" w:rsidRPr="00DF3EF6">
        <w:rPr>
          <w:noProof/>
        </w:rPr>
        <w:t>8</w:t>
      </w:r>
      <w:r w:rsidRPr="00DF3EF6">
        <w:rPr>
          <w:noProof/>
        </w:rPr>
        <w:t>c oraz</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6</w:t>
      </w:r>
      <w:r w:rsidRPr="00DF3EF6">
        <w:rPr>
          <w:noProof/>
        </w:rPr>
        <w:t>, 7</w:t>
      </w:r>
      <w:r w:rsidR="0031342C" w:rsidRPr="00DF3EF6">
        <w:rPr>
          <w:noProof/>
        </w:rPr>
        <w:t xml:space="preserve"> i</w:t>
      </w:r>
      <w:r w:rsidR="0031342C">
        <w:rPr>
          <w:noProof/>
        </w:rPr>
        <w:t> </w:t>
      </w:r>
      <w:r w:rsidR="0031342C" w:rsidRPr="00DF3EF6">
        <w:rPr>
          <w:noProof/>
        </w:rPr>
        <w:t>7</w:t>
      </w:r>
      <w:r w:rsidRPr="00DF3EF6">
        <w:rPr>
          <w:noProof/>
        </w:rPr>
        <w:t>a niniejszego artykułu, oraz treści tych informacji.</w:t>
      </w:r>
    </w:p>
    <w:p w14:paraId="1EAA2A20" w14:textId="49A6703A" w:rsidR="00DA5653" w:rsidRPr="00DF3EF6" w:rsidRDefault="00D64EE6" w:rsidP="00C74BAB">
      <w:pPr>
        <w:pStyle w:val="Text2"/>
        <w:rPr>
          <w:noProof/>
        </w:rPr>
      </w:pPr>
      <w:r w:rsidRPr="00DF3EF6">
        <w:rPr>
          <w:noProof/>
        </w:rPr>
        <w:t>EUNB przedstawia Komisji te projekty wykonawczych standardów technicznych do dnia [Urząd Publikacji – proszę wstawić datę = 12 miesięcy od daty wejścia</w:t>
      </w:r>
      <w:r w:rsidR="0031342C" w:rsidRPr="00DF3EF6">
        <w:rPr>
          <w:noProof/>
        </w:rPr>
        <w:t xml:space="preserve"> w</w:t>
      </w:r>
      <w:r w:rsidR="0031342C">
        <w:rPr>
          <w:noProof/>
        </w:rPr>
        <w:t> </w:t>
      </w:r>
      <w:r w:rsidR="0031342C" w:rsidRPr="00DF3EF6">
        <w:rPr>
          <w:noProof/>
        </w:rPr>
        <w:t>życ</w:t>
      </w:r>
      <w:r w:rsidRPr="00DF3EF6">
        <w:rPr>
          <w:noProof/>
        </w:rPr>
        <w:t xml:space="preserve">ie niniejszej dyrektywy] r. </w:t>
      </w:r>
    </w:p>
    <w:p w14:paraId="011ECDB1" w14:textId="6DAF858B" w:rsidR="009477F0" w:rsidRPr="00DF3EF6" w:rsidRDefault="00DA5653" w:rsidP="00C74BAB">
      <w:pPr>
        <w:pStyle w:val="Text2"/>
        <w:rPr>
          <w:noProof/>
        </w:rPr>
      </w:pPr>
      <w:r w:rsidRPr="00DF3EF6">
        <w:rPr>
          <w:noProof/>
        </w:rPr>
        <w:t>Komisja jest uprawniona do przyjmowania wykonawczych standardów technicznych,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DF3EF6">
        <w:rPr>
          <w:noProof/>
        </w:rPr>
        <w:t>aka</w:t>
      </w:r>
      <w:r w:rsidRPr="00DF3EF6">
        <w:rPr>
          <w:noProof/>
        </w:rPr>
        <w:t>picie pierwszym,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5 rozporządzenia (UE) </w:t>
      </w:r>
      <w:r w:rsidRPr="0031342C">
        <w:rPr>
          <w:noProof/>
        </w:rPr>
        <w:t>nr</w:t>
      </w:r>
      <w:r w:rsidR="0031342C" w:rsidRPr="0031342C">
        <w:rPr>
          <w:noProof/>
        </w:rPr>
        <w:t> </w:t>
      </w:r>
      <w:r w:rsidRPr="0031342C">
        <w:rPr>
          <w:noProof/>
        </w:rPr>
        <w:t>1</w:t>
      </w:r>
      <w:r w:rsidRPr="00DF3EF6">
        <w:rPr>
          <w:noProof/>
        </w:rPr>
        <w:t>093/2010.”;</w:t>
      </w:r>
    </w:p>
    <w:p w14:paraId="15C5BE65" w14:textId="3CDDC7AC" w:rsidR="0006713A" w:rsidRPr="00DF3EF6" w:rsidRDefault="00DF3EF6" w:rsidP="00DF3EF6">
      <w:pPr>
        <w:pStyle w:val="Point0"/>
        <w:rPr>
          <w:noProof/>
        </w:rPr>
      </w:pPr>
      <w:r>
        <w:rPr>
          <w:noProof/>
        </w:rPr>
        <w:t>18)</w:t>
      </w:r>
      <w:r>
        <w:rPr>
          <w:noProof/>
        </w:rPr>
        <w:tab/>
      </w:r>
      <w:r w:rsidR="00D64EE6" w:rsidRPr="00DF3EF6">
        <w:rPr>
          <w:noProof/>
        </w:rPr>
        <w:t xml:space="preserve">dodaje się </w:t>
      </w:r>
      <w:r w:rsidR="00D64EE6" w:rsidRPr="0031342C">
        <w:rPr>
          <w:noProof/>
        </w:rPr>
        <w:t>art.</w:t>
      </w:r>
      <w:r w:rsidR="0031342C" w:rsidRPr="0031342C">
        <w:rPr>
          <w:noProof/>
        </w:rPr>
        <w:t> </w:t>
      </w:r>
      <w:r w:rsidR="00D64EE6" w:rsidRPr="0031342C">
        <w:rPr>
          <w:noProof/>
        </w:rPr>
        <w:t>1</w:t>
      </w:r>
      <w:r w:rsidR="00D64EE6" w:rsidRPr="00DF3EF6">
        <w:rPr>
          <w:noProof/>
        </w:rPr>
        <w:t>6a</w:t>
      </w:r>
      <w:r w:rsidR="0031342C" w:rsidRPr="00DF3EF6">
        <w:rPr>
          <w:noProof/>
        </w:rPr>
        <w:t xml:space="preserve"> w</w:t>
      </w:r>
      <w:r w:rsidR="0031342C">
        <w:rPr>
          <w:noProof/>
        </w:rPr>
        <w:t> </w:t>
      </w:r>
      <w:r w:rsidR="0031342C" w:rsidRPr="00DF3EF6">
        <w:rPr>
          <w:noProof/>
        </w:rPr>
        <w:t>brz</w:t>
      </w:r>
      <w:r w:rsidR="00D64EE6" w:rsidRPr="00DF3EF6">
        <w:rPr>
          <w:noProof/>
        </w:rPr>
        <w:t>mieniu:</w:t>
      </w:r>
    </w:p>
    <w:p w14:paraId="5E25D9EB" w14:textId="77777777" w:rsidR="006D4E5E" w:rsidRPr="00DF3EF6" w:rsidRDefault="006D4E5E" w:rsidP="006D4E5E">
      <w:pPr>
        <w:pStyle w:val="Text1"/>
        <w:jc w:val="center"/>
        <w:rPr>
          <w:i/>
          <w:noProof/>
        </w:rPr>
      </w:pPr>
      <w:r w:rsidRPr="00DF3EF6">
        <w:rPr>
          <w:noProof/>
        </w:rPr>
        <w:t>„</w:t>
      </w:r>
      <w:r w:rsidRPr="00DF3EF6">
        <w:rPr>
          <w:i/>
          <w:noProof/>
        </w:rPr>
        <w:t>Artykuł 16a</w:t>
      </w:r>
    </w:p>
    <w:p w14:paraId="6D25FEAC" w14:textId="50911CDA" w:rsidR="00317336" w:rsidRPr="00DF3EF6" w:rsidRDefault="00317336" w:rsidP="003C5791">
      <w:pPr>
        <w:pStyle w:val="Text1"/>
        <w:jc w:val="center"/>
        <w:rPr>
          <w:b/>
          <w:noProof/>
        </w:rPr>
      </w:pPr>
      <w:r w:rsidRPr="00DF3EF6">
        <w:rPr>
          <w:b/>
          <w:noProof/>
        </w:rPr>
        <w:t>Wymiana informacji między instytucjami kredytowymi</w:t>
      </w:r>
      <w:r w:rsidR="0031342C" w:rsidRPr="00DF3EF6">
        <w:rPr>
          <w:b/>
          <w:noProof/>
        </w:rPr>
        <w:t xml:space="preserve"> a</w:t>
      </w:r>
      <w:r w:rsidR="0031342C">
        <w:rPr>
          <w:b/>
          <w:noProof/>
        </w:rPr>
        <w:t> </w:t>
      </w:r>
      <w:r w:rsidR="0031342C" w:rsidRPr="00DF3EF6">
        <w:rPr>
          <w:b/>
          <w:noProof/>
        </w:rPr>
        <w:t>sys</w:t>
      </w:r>
      <w:r w:rsidRPr="00DF3EF6">
        <w:rPr>
          <w:b/>
          <w:noProof/>
        </w:rPr>
        <w:t>temami gwarancji depozytów oraz sprawozdawczość organów</w:t>
      </w:r>
    </w:p>
    <w:p w14:paraId="65A7FD06" w14:textId="370B5399" w:rsidR="0006713A" w:rsidRPr="00DF3EF6" w:rsidRDefault="0006713A" w:rsidP="006D4E5E">
      <w:pPr>
        <w:pStyle w:val="Text1"/>
        <w:rPr>
          <w:noProof/>
        </w:rPr>
      </w:pPr>
      <w:r w:rsidRPr="00DF3EF6">
        <w:rPr>
          <w:noProof/>
        </w:rPr>
        <w:t>1. Państwa członkowskie zapewniają systemom gwarancji depozytów prawo do uzyskania,</w:t>
      </w:r>
      <w:r w:rsidR="0031342C" w:rsidRPr="00DF3EF6">
        <w:rPr>
          <w:noProof/>
        </w:rPr>
        <w:t xml:space="preserve"> w</w:t>
      </w:r>
      <w:r w:rsidR="0031342C">
        <w:rPr>
          <w:noProof/>
        </w:rPr>
        <w:t> </w:t>
      </w:r>
      <w:r w:rsidR="0031342C" w:rsidRPr="00DF3EF6">
        <w:rPr>
          <w:noProof/>
        </w:rPr>
        <w:t>dow</w:t>
      </w:r>
      <w:r w:rsidRPr="00DF3EF6">
        <w:rPr>
          <w:noProof/>
        </w:rPr>
        <w:t>olnym momencie i na żądanie, od należących do nich instytucji kredytowych wszystkich informacji niezbędnych do przygotowania wypłaty na rzecz deponentów, zgodnie</w:t>
      </w:r>
      <w:r w:rsidR="0031342C" w:rsidRPr="00DF3EF6">
        <w:rPr>
          <w:noProof/>
        </w:rPr>
        <w:t xml:space="preserve"> z</w:t>
      </w:r>
      <w:r w:rsidR="0031342C">
        <w:rPr>
          <w:noProof/>
        </w:rPr>
        <w:t> </w:t>
      </w:r>
      <w:r w:rsidR="0031342C" w:rsidRPr="00DF3EF6">
        <w:rPr>
          <w:noProof/>
        </w:rPr>
        <w:t>wym</w:t>
      </w:r>
      <w:r w:rsidRPr="00DF3EF6">
        <w:rPr>
          <w:noProof/>
        </w:rPr>
        <w:t>ogiem identyfikacji określonym</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5</w:t>
      </w:r>
      <w:r w:rsidRPr="00DF3EF6">
        <w:rPr>
          <w:noProof/>
        </w:rPr>
        <w:t xml:space="preserve"> </w:t>
      </w:r>
      <w:r w:rsidRPr="0031342C">
        <w:rPr>
          <w:noProof/>
        </w:rPr>
        <w:t>ust.</w:t>
      </w:r>
      <w:r w:rsidR="0031342C" w:rsidRPr="0031342C">
        <w:rPr>
          <w:noProof/>
        </w:rPr>
        <w:t> </w:t>
      </w:r>
      <w:r w:rsidRPr="0031342C">
        <w:rPr>
          <w:noProof/>
        </w:rPr>
        <w:t>4</w:t>
      </w:r>
      <w:r w:rsidRPr="00DF3EF6">
        <w:rPr>
          <w:noProof/>
        </w:rPr>
        <w:t>,</w:t>
      </w:r>
      <w:r w:rsidR="0031342C" w:rsidRPr="00DF3EF6">
        <w:rPr>
          <w:noProof/>
        </w:rPr>
        <w:t xml:space="preserve"> w</w:t>
      </w:r>
      <w:r w:rsidR="0031342C">
        <w:rPr>
          <w:noProof/>
        </w:rPr>
        <w:t> </w:t>
      </w:r>
      <w:r w:rsidR="0031342C" w:rsidRPr="00DF3EF6">
        <w:rPr>
          <w:noProof/>
        </w:rPr>
        <w:t>tym</w:t>
      </w:r>
      <w:r w:rsidRPr="00DF3EF6">
        <w:rPr>
          <w:noProof/>
        </w:rPr>
        <w:t xml:space="preserve"> informacji do celów </w:t>
      </w:r>
      <w:r w:rsidRPr="0031342C">
        <w:rPr>
          <w:noProof/>
        </w:rPr>
        <w:t>art.</w:t>
      </w:r>
      <w:r w:rsidR="0031342C" w:rsidRPr="0031342C">
        <w:rPr>
          <w:noProof/>
        </w:rPr>
        <w:t> </w:t>
      </w:r>
      <w:r w:rsidRPr="0031342C">
        <w:rPr>
          <w:noProof/>
        </w:rPr>
        <w:t>8</w:t>
      </w:r>
      <w:r w:rsidRPr="00DF3EF6">
        <w:rPr>
          <w:noProof/>
        </w:rPr>
        <w:t xml:space="preserve"> </w:t>
      </w:r>
      <w:r w:rsidRPr="0031342C">
        <w:rPr>
          <w:noProof/>
        </w:rPr>
        <w:t>ust.</w:t>
      </w:r>
      <w:r w:rsidR="0031342C" w:rsidRPr="0031342C">
        <w:rPr>
          <w:noProof/>
        </w:rPr>
        <w:t> </w:t>
      </w:r>
      <w:r w:rsidRPr="0031342C">
        <w:rPr>
          <w:noProof/>
        </w:rPr>
        <w:t>5</w:t>
      </w:r>
      <w:r w:rsidRPr="00DF3EF6">
        <w:rPr>
          <w:noProof/>
        </w:rPr>
        <w:t xml:space="preserve"> oraz </w:t>
      </w:r>
      <w:r w:rsidRPr="0031342C">
        <w:rPr>
          <w:noProof/>
        </w:rPr>
        <w:t>art.</w:t>
      </w:r>
      <w:r w:rsidR="0031342C" w:rsidRPr="0031342C">
        <w:rPr>
          <w:noProof/>
        </w:rPr>
        <w:t> </w:t>
      </w:r>
      <w:r w:rsidRPr="0031342C">
        <w:rPr>
          <w:noProof/>
        </w:rPr>
        <w:t>8</w:t>
      </w:r>
      <w:r w:rsidRPr="00DF3EF6">
        <w:rPr>
          <w:noProof/>
        </w:rPr>
        <w:t>b</w:t>
      </w:r>
      <w:r w:rsidR="0031342C" w:rsidRPr="00DF3EF6">
        <w:rPr>
          <w:noProof/>
        </w:rPr>
        <w:t xml:space="preserve"> i</w:t>
      </w:r>
      <w:r w:rsidR="0031342C">
        <w:rPr>
          <w:noProof/>
        </w:rPr>
        <w:t> </w:t>
      </w:r>
      <w:r w:rsidR="0031342C" w:rsidRPr="00DF3EF6">
        <w:rPr>
          <w:noProof/>
        </w:rPr>
        <w:t>8</w:t>
      </w:r>
      <w:r w:rsidRPr="00DF3EF6">
        <w:rPr>
          <w:noProof/>
        </w:rPr>
        <w:t xml:space="preserve">c. </w:t>
      </w:r>
    </w:p>
    <w:p w14:paraId="78A2C8C9" w14:textId="77777777" w:rsidR="0006713A" w:rsidRPr="00DF3EF6" w:rsidRDefault="0006713A" w:rsidP="006D4E5E">
      <w:pPr>
        <w:pStyle w:val="Text1"/>
        <w:rPr>
          <w:noProof/>
        </w:rPr>
      </w:pPr>
      <w:r w:rsidRPr="00DF3EF6">
        <w:rPr>
          <w:noProof/>
        </w:rPr>
        <w:t>2. Państwa członkowskie zapewniają, by instytucje kredytowe, na wniosek systemu gwarancji depozytów, przekazywały systemowi gwarancji depozytów, którego są członkiem, informacje na temat:</w:t>
      </w:r>
    </w:p>
    <w:p w14:paraId="17FDBFA8" w14:textId="00613394" w:rsidR="0006713A" w:rsidRPr="00DF3EF6" w:rsidRDefault="00DF3EF6" w:rsidP="00DF3EF6">
      <w:pPr>
        <w:pStyle w:val="Point1"/>
        <w:rPr>
          <w:noProof/>
        </w:rPr>
      </w:pPr>
      <w:r>
        <w:rPr>
          <w:noProof/>
        </w:rPr>
        <w:t>a)</w:t>
      </w:r>
      <w:r>
        <w:rPr>
          <w:noProof/>
        </w:rPr>
        <w:tab/>
      </w:r>
      <w:r w:rsidR="00D64EE6" w:rsidRPr="00DF3EF6">
        <w:rPr>
          <w:noProof/>
        </w:rPr>
        <w:t>deponentów</w:t>
      </w:r>
      <w:r w:rsidR="0031342C" w:rsidRPr="00DF3EF6">
        <w:rPr>
          <w:noProof/>
        </w:rPr>
        <w:t xml:space="preserve"> w</w:t>
      </w:r>
      <w:r w:rsidR="0031342C">
        <w:rPr>
          <w:noProof/>
        </w:rPr>
        <w:t> </w:t>
      </w:r>
      <w:r w:rsidR="0031342C" w:rsidRPr="00DF3EF6">
        <w:rPr>
          <w:noProof/>
        </w:rPr>
        <w:t>odd</w:t>
      </w:r>
      <w:r w:rsidR="00D64EE6" w:rsidRPr="00DF3EF6">
        <w:rPr>
          <w:noProof/>
        </w:rPr>
        <w:t xml:space="preserve">ziałach tych instytucji kredytowych; </w:t>
      </w:r>
    </w:p>
    <w:p w14:paraId="7CAE5496" w14:textId="0FEC1FF7" w:rsidR="0006713A" w:rsidRPr="00DF3EF6" w:rsidRDefault="00DF3EF6" w:rsidP="00DF3EF6">
      <w:pPr>
        <w:pStyle w:val="Point1"/>
        <w:rPr>
          <w:noProof/>
        </w:rPr>
      </w:pPr>
      <w:r>
        <w:rPr>
          <w:noProof/>
        </w:rPr>
        <w:t>b)</w:t>
      </w:r>
      <w:r>
        <w:rPr>
          <w:noProof/>
        </w:rPr>
        <w:tab/>
      </w:r>
      <w:r w:rsidR="0074357E" w:rsidRPr="00DF3EF6">
        <w:rPr>
          <w:noProof/>
        </w:rPr>
        <w:t>deponentów będących odbiorcami usług świadczonych przez instytucje będące członami na podstawie swobody świadczenia usług.</w:t>
      </w:r>
    </w:p>
    <w:p w14:paraId="46F00669" w14:textId="59FE2150" w:rsidR="0006713A" w:rsidRPr="00DF3EF6" w:rsidRDefault="0006713A" w:rsidP="006D4E5E">
      <w:pPr>
        <w:pStyle w:val="Text1"/>
        <w:rPr>
          <w:noProof/>
        </w:rPr>
      </w:pPr>
      <w:r w:rsidRPr="00DF3EF6">
        <w:rPr>
          <w:noProof/>
        </w:rPr>
        <w:t>W informacjach,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lit</w:t>
      </w:r>
      <w:r w:rsidRPr="0031342C">
        <w:rPr>
          <w:noProof/>
        </w:rPr>
        <w:t>.</w:t>
      </w:r>
      <w:r w:rsidR="0031342C" w:rsidRPr="0031342C">
        <w:rPr>
          <w:noProof/>
        </w:rPr>
        <w:t> </w:t>
      </w:r>
      <w:r w:rsidRPr="0031342C">
        <w:rPr>
          <w:noProof/>
        </w:rPr>
        <w:t>a)</w:t>
      </w:r>
      <w:r w:rsidRPr="00DF3EF6">
        <w:rPr>
          <w:noProof/>
        </w:rPr>
        <w:t xml:space="preserve"> i b), wskazuje się państwa członkowskie,</w:t>
      </w:r>
      <w:r w:rsidR="0031342C" w:rsidRPr="00DF3EF6">
        <w:rPr>
          <w:noProof/>
        </w:rPr>
        <w:t xml:space="preserve"> w</w:t>
      </w:r>
      <w:r w:rsidR="0031342C">
        <w:rPr>
          <w:noProof/>
        </w:rPr>
        <w:t> </w:t>
      </w:r>
      <w:r w:rsidR="0031342C" w:rsidRPr="00DF3EF6">
        <w:rPr>
          <w:noProof/>
        </w:rPr>
        <w:t>któ</w:t>
      </w:r>
      <w:r w:rsidRPr="00DF3EF6">
        <w:rPr>
          <w:noProof/>
        </w:rPr>
        <w:t>rych znajdują się te oddziały lub ci deponenci.</w:t>
      </w:r>
    </w:p>
    <w:p w14:paraId="0132D72B" w14:textId="4B3DF9E4" w:rsidR="0006713A" w:rsidRPr="00DF3EF6" w:rsidRDefault="0006713A" w:rsidP="006D4E5E">
      <w:pPr>
        <w:pStyle w:val="Text1"/>
        <w:rPr>
          <w:noProof/>
        </w:rPr>
      </w:pPr>
      <w:r w:rsidRPr="00DF3EF6">
        <w:rPr>
          <w:noProof/>
        </w:rPr>
        <w:t>3. Państwa członkowskie zapewniają, aby do dnia 31 marca każdego roku systemy gwarancji depozytów informowały EUNB</w:t>
      </w:r>
      <w:r w:rsidR="0031342C" w:rsidRPr="00DF3EF6">
        <w:rPr>
          <w:noProof/>
        </w:rPr>
        <w:t xml:space="preserve"> o</w:t>
      </w:r>
      <w:r w:rsidR="0031342C">
        <w:rPr>
          <w:noProof/>
        </w:rPr>
        <w:t> </w:t>
      </w:r>
      <w:r w:rsidR="0031342C" w:rsidRPr="00DF3EF6">
        <w:rPr>
          <w:noProof/>
        </w:rPr>
        <w:t>kwo</w:t>
      </w:r>
      <w:r w:rsidRPr="00DF3EF6">
        <w:rPr>
          <w:noProof/>
        </w:rPr>
        <w:t>cie gwarantowanych depozytów</w:t>
      </w:r>
      <w:r w:rsidR="0031342C" w:rsidRPr="00DF3EF6">
        <w:rPr>
          <w:noProof/>
        </w:rPr>
        <w:t xml:space="preserve"> w</w:t>
      </w:r>
      <w:r w:rsidR="0031342C">
        <w:rPr>
          <w:noProof/>
        </w:rPr>
        <w:t> </w:t>
      </w:r>
      <w:r w:rsidR="0031342C" w:rsidRPr="00DF3EF6">
        <w:rPr>
          <w:noProof/>
        </w:rPr>
        <w:t>dan</w:t>
      </w:r>
      <w:r w:rsidRPr="00DF3EF6">
        <w:rPr>
          <w:noProof/>
        </w:rPr>
        <w:t>ym państwie członkowskim na dzień 31 grudnia roku poprzedniego</w:t>
      </w:r>
      <w:r w:rsidR="0031342C" w:rsidRPr="00DF3EF6">
        <w:rPr>
          <w:noProof/>
        </w:rPr>
        <w:t>. W</w:t>
      </w:r>
      <w:r w:rsidR="0031342C">
        <w:rPr>
          <w:noProof/>
        </w:rPr>
        <w:t> </w:t>
      </w:r>
      <w:r w:rsidR="0031342C" w:rsidRPr="00DF3EF6">
        <w:rPr>
          <w:noProof/>
        </w:rPr>
        <w:t>tym</w:t>
      </w:r>
      <w:r w:rsidRPr="00DF3EF6">
        <w:rPr>
          <w:noProof/>
        </w:rPr>
        <w:t xml:space="preserve"> samym terminie systemy gwarancji depozytów informują EUNB również</w:t>
      </w:r>
      <w:r w:rsidR="0031342C" w:rsidRPr="00DF3EF6">
        <w:rPr>
          <w:noProof/>
        </w:rPr>
        <w:t xml:space="preserve"> o</w:t>
      </w:r>
      <w:r w:rsidR="0031342C">
        <w:rPr>
          <w:noProof/>
        </w:rPr>
        <w:t> </w:t>
      </w:r>
      <w:r w:rsidR="0031342C" w:rsidRPr="00DF3EF6">
        <w:rPr>
          <w:noProof/>
        </w:rPr>
        <w:t>kwo</w:t>
      </w:r>
      <w:r w:rsidRPr="00DF3EF6">
        <w:rPr>
          <w:noProof/>
        </w:rPr>
        <w:t>cie swoich dostępnych środków finansowych,</w:t>
      </w:r>
      <w:r w:rsidR="0031342C" w:rsidRPr="00DF3EF6">
        <w:rPr>
          <w:noProof/>
        </w:rPr>
        <w:t xml:space="preserve"> w</w:t>
      </w:r>
      <w:r w:rsidR="0031342C">
        <w:rPr>
          <w:noProof/>
        </w:rPr>
        <w:t> </w:t>
      </w:r>
      <w:r w:rsidR="0031342C" w:rsidRPr="00DF3EF6">
        <w:rPr>
          <w:noProof/>
        </w:rPr>
        <w:t>tym o</w:t>
      </w:r>
      <w:r w:rsidR="0031342C">
        <w:rPr>
          <w:noProof/>
        </w:rPr>
        <w:t> </w:t>
      </w:r>
      <w:r w:rsidR="0031342C" w:rsidRPr="00DF3EF6">
        <w:rPr>
          <w:noProof/>
        </w:rPr>
        <w:t>udz</w:t>
      </w:r>
      <w:r w:rsidRPr="00DF3EF6">
        <w:rPr>
          <w:noProof/>
        </w:rPr>
        <w:t>iale pożyczonych środków, zobowiązaniach do zapłaty oraz harmonogramie osiągnięcia poziomu docelowego</w:t>
      </w:r>
      <w:r w:rsidR="0031342C" w:rsidRPr="00DF3EF6">
        <w:rPr>
          <w:noProof/>
        </w:rPr>
        <w:t xml:space="preserve"> w</w:t>
      </w:r>
      <w:r w:rsidR="0031342C">
        <w:rPr>
          <w:noProof/>
        </w:rPr>
        <w:t> </w:t>
      </w:r>
      <w:r w:rsidR="0031342C" w:rsidRPr="00DF3EF6">
        <w:rPr>
          <w:noProof/>
        </w:rPr>
        <w:t>prz</w:t>
      </w:r>
      <w:r w:rsidRPr="00DF3EF6">
        <w:rPr>
          <w:noProof/>
        </w:rPr>
        <w:t xml:space="preserve">ypadku wykorzystania środków systemu gwarancji depozytów. </w:t>
      </w:r>
    </w:p>
    <w:p w14:paraId="16754B1D" w14:textId="3E1FF676" w:rsidR="0006713A" w:rsidRPr="00DF3EF6" w:rsidRDefault="0006713A" w:rsidP="006D4E5E">
      <w:pPr>
        <w:pStyle w:val="Text1"/>
        <w:rPr>
          <w:noProof/>
        </w:rPr>
      </w:pPr>
      <w:r w:rsidRPr="00DF3EF6">
        <w:rPr>
          <w:noProof/>
        </w:rPr>
        <w:t>4. Państwa członkowskie zapewniają, by wyznaczone organy bez zbędnej zwłoki powiadamiały EUNB</w:t>
      </w:r>
      <w:r w:rsidR="0031342C" w:rsidRPr="00DF3EF6">
        <w:rPr>
          <w:noProof/>
        </w:rPr>
        <w:t xml:space="preserve"> o</w:t>
      </w:r>
      <w:r w:rsidR="0031342C">
        <w:rPr>
          <w:noProof/>
        </w:rPr>
        <w:t> </w:t>
      </w:r>
      <w:r w:rsidR="0031342C" w:rsidRPr="00DF3EF6">
        <w:rPr>
          <w:noProof/>
        </w:rPr>
        <w:t>wsz</w:t>
      </w:r>
      <w:r w:rsidRPr="00DF3EF6">
        <w:rPr>
          <w:noProof/>
        </w:rPr>
        <w:t>ystkich poniższych okolicznościach:</w:t>
      </w:r>
    </w:p>
    <w:p w14:paraId="2CCF5DBF" w14:textId="2A45E295" w:rsidR="0006713A" w:rsidRPr="00DF3EF6" w:rsidRDefault="00DF3EF6" w:rsidP="00DF3EF6">
      <w:pPr>
        <w:pStyle w:val="Point1"/>
        <w:rPr>
          <w:noProof/>
        </w:rPr>
      </w:pPr>
      <w:r>
        <w:rPr>
          <w:noProof/>
        </w:rPr>
        <w:t>a)</w:t>
      </w:r>
      <w:r>
        <w:rPr>
          <w:noProof/>
        </w:rPr>
        <w:tab/>
      </w:r>
      <w:r w:rsidR="0006713A" w:rsidRPr="00DF3EF6">
        <w:rPr>
          <w:noProof/>
        </w:rPr>
        <w:t>stwierdzenie istnienia depozytów niedostępnych na podstawie okoliczności,</w:t>
      </w:r>
      <w:r w:rsidR="0031342C" w:rsidRPr="00DF3EF6">
        <w:rPr>
          <w:noProof/>
        </w:rPr>
        <w:t xml:space="preserve"> o</w:t>
      </w:r>
      <w:r w:rsidR="0031342C">
        <w:rPr>
          <w:noProof/>
        </w:rPr>
        <w:t> </w:t>
      </w:r>
      <w:r w:rsidR="0031342C" w:rsidRPr="00DF3EF6">
        <w:rPr>
          <w:noProof/>
        </w:rPr>
        <w:t>któ</w:t>
      </w:r>
      <w:r w:rsidR="0006713A" w:rsidRPr="00DF3EF6">
        <w:rPr>
          <w:noProof/>
        </w:rPr>
        <w:t>rych mowa</w:t>
      </w:r>
      <w:r w:rsidR="0031342C" w:rsidRPr="00DF3EF6">
        <w:rPr>
          <w:noProof/>
        </w:rPr>
        <w:t xml:space="preserve"> w</w:t>
      </w:r>
      <w:r w:rsidR="0031342C">
        <w:rPr>
          <w:noProof/>
        </w:rPr>
        <w:t> </w:t>
      </w:r>
      <w:r w:rsidR="0031342C" w:rsidRPr="0031342C">
        <w:rPr>
          <w:noProof/>
        </w:rPr>
        <w:t>art</w:t>
      </w:r>
      <w:r w:rsidR="0006713A" w:rsidRPr="0031342C">
        <w:rPr>
          <w:noProof/>
        </w:rPr>
        <w:t>.</w:t>
      </w:r>
      <w:r w:rsidR="0031342C" w:rsidRPr="0031342C">
        <w:rPr>
          <w:noProof/>
        </w:rPr>
        <w:t> </w:t>
      </w:r>
      <w:r w:rsidR="0006713A" w:rsidRPr="0031342C">
        <w:rPr>
          <w:noProof/>
        </w:rPr>
        <w:t>2</w:t>
      </w:r>
      <w:r w:rsidR="0006713A" w:rsidRPr="00DF3EF6">
        <w:rPr>
          <w:noProof/>
        </w:rPr>
        <w:t xml:space="preserve"> </w:t>
      </w:r>
      <w:r w:rsidR="0006713A" w:rsidRPr="0031342C">
        <w:rPr>
          <w:noProof/>
        </w:rPr>
        <w:t>ust.</w:t>
      </w:r>
      <w:r w:rsidR="0031342C" w:rsidRPr="0031342C">
        <w:rPr>
          <w:noProof/>
        </w:rPr>
        <w:t> </w:t>
      </w:r>
      <w:r w:rsidR="0006713A" w:rsidRPr="0031342C">
        <w:rPr>
          <w:noProof/>
        </w:rPr>
        <w:t>1</w:t>
      </w:r>
      <w:r w:rsidR="0006713A" w:rsidRPr="00DF3EF6">
        <w:rPr>
          <w:noProof/>
        </w:rPr>
        <w:t xml:space="preserve"> </w:t>
      </w:r>
      <w:r w:rsidR="0006713A" w:rsidRPr="0031342C">
        <w:rPr>
          <w:noProof/>
        </w:rPr>
        <w:t>pkt</w:t>
      </w:r>
      <w:r w:rsidR="0031342C" w:rsidRPr="0031342C">
        <w:rPr>
          <w:noProof/>
        </w:rPr>
        <w:t> </w:t>
      </w:r>
      <w:r w:rsidR="0006713A" w:rsidRPr="0031342C">
        <w:rPr>
          <w:noProof/>
        </w:rPr>
        <w:t>8</w:t>
      </w:r>
      <w:r w:rsidR="0006713A" w:rsidRPr="00DF3EF6">
        <w:rPr>
          <w:noProof/>
        </w:rPr>
        <w:t>;</w:t>
      </w:r>
    </w:p>
    <w:p w14:paraId="2A4C2EEF" w14:textId="5105C9B5" w:rsidR="0006713A" w:rsidRPr="00DF3EF6" w:rsidRDefault="00DF3EF6" w:rsidP="00DF3EF6">
      <w:pPr>
        <w:pStyle w:val="Point1"/>
        <w:rPr>
          <w:noProof/>
        </w:rPr>
      </w:pPr>
      <w:r>
        <w:rPr>
          <w:noProof/>
        </w:rPr>
        <w:t>b)</w:t>
      </w:r>
      <w:r>
        <w:rPr>
          <w:noProof/>
        </w:rPr>
        <w:tab/>
      </w:r>
      <w:r w:rsidR="00D64EE6" w:rsidRPr="00DF3EF6">
        <w:rPr>
          <w:noProof/>
        </w:rPr>
        <w:t>wskazanie, czy zastosowano którykolwiek ze środków,</w:t>
      </w:r>
      <w:r w:rsidR="0031342C" w:rsidRPr="00DF3EF6">
        <w:rPr>
          <w:noProof/>
        </w:rPr>
        <w:t xml:space="preserve"> o</w:t>
      </w:r>
      <w:r w:rsidR="0031342C">
        <w:rPr>
          <w:noProof/>
        </w:rPr>
        <w:t> </w:t>
      </w:r>
      <w:r w:rsidR="0031342C" w:rsidRPr="00DF3EF6">
        <w:rPr>
          <w:noProof/>
        </w:rPr>
        <w:t>któ</w:t>
      </w:r>
      <w:r w:rsidR="00D64EE6" w:rsidRPr="00DF3EF6">
        <w:rPr>
          <w:noProof/>
        </w:rPr>
        <w:t>rych mowa</w:t>
      </w:r>
      <w:r w:rsidR="0031342C" w:rsidRPr="00DF3EF6">
        <w:rPr>
          <w:noProof/>
        </w:rPr>
        <w:t xml:space="preserve"> w</w:t>
      </w:r>
      <w:r w:rsidR="0031342C">
        <w:rPr>
          <w:noProof/>
        </w:rPr>
        <w:t> </w:t>
      </w:r>
      <w:r w:rsidR="0031342C" w:rsidRPr="0031342C">
        <w:rPr>
          <w:noProof/>
        </w:rPr>
        <w:t>art</w:t>
      </w:r>
      <w:r w:rsidR="00D64EE6" w:rsidRPr="0031342C">
        <w:rPr>
          <w:noProof/>
        </w:rPr>
        <w:t>.</w:t>
      </w:r>
      <w:r w:rsidR="0031342C" w:rsidRPr="0031342C">
        <w:rPr>
          <w:noProof/>
        </w:rPr>
        <w:t> </w:t>
      </w:r>
      <w:r w:rsidR="00D64EE6" w:rsidRPr="0031342C">
        <w:rPr>
          <w:noProof/>
        </w:rPr>
        <w:t>1</w:t>
      </w:r>
      <w:r w:rsidR="00D64EE6" w:rsidRPr="00DF3EF6">
        <w:rPr>
          <w:noProof/>
        </w:rPr>
        <w:t xml:space="preserve">1 </w:t>
      </w:r>
      <w:r w:rsidR="00D64EE6" w:rsidRPr="0031342C">
        <w:rPr>
          <w:noProof/>
        </w:rPr>
        <w:t>ust.</w:t>
      </w:r>
      <w:r w:rsidR="0031342C" w:rsidRPr="0031342C">
        <w:rPr>
          <w:noProof/>
        </w:rPr>
        <w:t> </w:t>
      </w:r>
      <w:r w:rsidR="00D64EE6" w:rsidRPr="0031342C">
        <w:rPr>
          <w:noProof/>
        </w:rPr>
        <w:t>2</w:t>
      </w:r>
      <w:r w:rsidR="00D64EE6" w:rsidRPr="00DF3EF6">
        <w:rPr>
          <w:noProof/>
        </w:rPr>
        <w:t>, 3</w:t>
      </w:r>
      <w:r w:rsidR="0031342C" w:rsidRPr="00DF3EF6">
        <w:rPr>
          <w:noProof/>
        </w:rPr>
        <w:t xml:space="preserve"> i</w:t>
      </w:r>
      <w:r w:rsidR="0031342C">
        <w:rPr>
          <w:noProof/>
        </w:rPr>
        <w:t> </w:t>
      </w:r>
      <w:r w:rsidR="0031342C" w:rsidRPr="00DF3EF6">
        <w:rPr>
          <w:noProof/>
        </w:rPr>
        <w:t>5</w:t>
      </w:r>
      <w:r w:rsidR="00D64EE6" w:rsidRPr="00DF3EF6">
        <w:rPr>
          <w:noProof/>
        </w:rPr>
        <w:t>, oraz kwota środków pieniężnych wykorzystanych zgodnie</w:t>
      </w:r>
      <w:r w:rsidR="0031342C" w:rsidRPr="00DF3EF6">
        <w:rPr>
          <w:noProof/>
        </w:rPr>
        <w:t xml:space="preserve"> z</w:t>
      </w:r>
      <w:r w:rsidR="0031342C">
        <w:rPr>
          <w:noProof/>
        </w:rPr>
        <w:t> </w:t>
      </w:r>
      <w:r w:rsidR="0031342C" w:rsidRPr="0031342C">
        <w:rPr>
          <w:noProof/>
        </w:rPr>
        <w:t>art</w:t>
      </w:r>
      <w:r w:rsidR="00D64EE6" w:rsidRPr="0031342C">
        <w:rPr>
          <w:noProof/>
        </w:rPr>
        <w:t>.</w:t>
      </w:r>
      <w:r w:rsidR="0031342C" w:rsidRPr="0031342C">
        <w:rPr>
          <w:noProof/>
        </w:rPr>
        <w:t> </w:t>
      </w:r>
      <w:r w:rsidR="00D64EE6" w:rsidRPr="0031342C">
        <w:rPr>
          <w:noProof/>
        </w:rPr>
        <w:t>8</w:t>
      </w:r>
      <w:r w:rsidR="00D64EE6" w:rsidRPr="00DF3EF6">
        <w:rPr>
          <w:noProof/>
        </w:rPr>
        <w:t xml:space="preserve"> </w:t>
      </w:r>
      <w:r w:rsidR="00D64EE6" w:rsidRPr="0031342C">
        <w:rPr>
          <w:noProof/>
        </w:rPr>
        <w:t>ust.</w:t>
      </w:r>
      <w:r w:rsidR="0031342C" w:rsidRPr="0031342C">
        <w:rPr>
          <w:noProof/>
        </w:rPr>
        <w:t> </w:t>
      </w:r>
      <w:r w:rsidR="00D64EE6" w:rsidRPr="0031342C">
        <w:rPr>
          <w:noProof/>
        </w:rPr>
        <w:t>1</w:t>
      </w:r>
      <w:r w:rsidR="0031342C" w:rsidRPr="00DF3EF6">
        <w:rPr>
          <w:noProof/>
        </w:rPr>
        <w:t xml:space="preserve"> i</w:t>
      </w:r>
      <w:r w:rsidR="0031342C">
        <w:rPr>
          <w:noProof/>
        </w:rPr>
        <w:t> </w:t>
      </w:r>
      <w:r w:rsidR="0031342C" w:rsidRPr="0031342C">
        <w:rPr>
          <w:noProof/>
        </w:rPr>
        <w:t>art</w:t>
      </w:r>
      <w:r w:rsidR="00D64EE6" w:rsidRPr="0031342C">
        <w:rPr>
          <w:noProof/>
        </w:rPr>
        <w:t>.</w:t>
      </w:r>
      <w:r w:rsidR="0031342C" w:rsidRPr="0031342C">
        <w:rPr>
          <w:noProof/>
        </w:rPr>
        <w:t> </w:t>
      </w:r>
      <w:r w:rsidR="00D64EE6" w:rsidRPr="0031342C">
        <w:rPr>
          <w:noProof/>
        </w:rPr>
        <w:t>1</w:t>
      </w:r>
      <w:r w:rsidR="00D64EE6" w:rsidRPr="00DF3EF6">
        <w:rPr>
          <w:noProof/>
        </w:rPr>
        <w:t xml:space="preserve">1 </w:t>
      </w:r>
      <w:r w:rsidR="00D64EE6" w:rsidRPr="0031342C">
        <w:rPr>
          <w:noProof/>
        </w:rPr>
        <w:t>ust.</w:t>
      </w:r>
      <w:r w:rsidR="0031342C" w:rsidRPr="0031342C">
        <w:rPr>
          <w:noProof/>
        </w:rPr>
        <w:t> </w:t>
      </w:r>
      <w:r w:rsidR="00D64EE6" w:rsidRPr="0031342C">
        <w:rPr>
          <w:noProof/>
        </w:rPr>
        <w:t>2</w:t>
      </w:r>
      <w:r w:rsidR="00D64EE6" w:rsidRPr="00DF3EF6">
        <w:rPr>
          <w:noProof/>
        </w:rPr>
        <w:t>, 3</w:t>
      </w:r>
      <w:r w:rsidR="0031342C" w:rsidRPr="00DF3EF6">
        <w:rPr>
          <w:noProof/>
        </w:rPr>
        <w:t xml:space="preserve"> i</w:t>
      </w:r>
      <w:r w:rsidR="0031342C">
        <w:rPr>
          <w:noProof/>
        </w:rPr>
        <w:t> </w:t>
      </w:r>
      <w:r w:rsidR="0031342C" w:rsidRPr="00DF3EF6">
        <w:rPr>
          <w:noProof/>
        </w:rPr>
        <w:t>5</w:t>
      </w:r>
      <w:r w:rsidR="00D64EE6" w:rsidRPr="00DF3EF6">
        <w:rPr>
          <w:noProof/>
        </w:rPr>
        <w:t>,</w:t>
      </w:r>
      <w:r w:rsidR="0031342C" w:rsidRPr="00DF3EF6">
        <w:rPr>
          <w:noProof/>
        </w:rPr>
        <w:t xml:space="preserve"> a</w:t>
      </w:r>
      <w:r w:rsidR="0031342C">
        <w:rPr>
          <w:noProof/>
        </w:rPr>
        <w:t> </w:t>
      </w:r>
      <w:r w:rsidR="0031342C" w:rsidRPr="00DF3EF6">
        <w:rPr>
          <w:noProof/>
        </w:rPr>
        <w:t>tak</w:t>
      </w:r>
      <w:r w:rsidR="00D64EE6" w:rsidRPr="00DF3EF6">
        <w:rPr>
          <w:noProof/>
        </w:rPr>
        <w:t>że,</w:t>
      </w:r>
      <w:r w:rsidR="0031342C" w:rsidRPr="00DF3EF6">
        <w:rPr>
          <w:noProof/>
        </w:rPr>
        <w:t xml:space="preserve"> w</w:t>
      </w:r>
      <w:r w:rsidR="0031342C">
        <w:rPr>
          <w:noProof/>
        </w:rPr>
        <w:t> </w:t>
      </w:r>
      <w:r w:rsidR="0031342C" w:rsidRPr="00DF3EF6">
        <w:rPr>
          <w:noProof/>
        </w:rPr>
        <w:t>sto</w:t>
      </w:r>
      <w:r w:rsidR="00D64EE6" w:rsidRPr="00DF3EF6">
        <w:rPr>
          <w:noProof/>
        </w:rPr>
        <w:t xml:space="preserve">sownych przypadkach, </w:t>
      </w:r>
      <w:r w:rsidR="00D64EE6" w:rsidRPr="00DF3EF6">
        <w:rPr>
          <w:noProof/>
        </w:rPr>
        <w:lastRenderedPageBreak/>
        <w:t>kwota odzyskanych środków pieniężnych, wynikający</w:t>
      </w:r>
      <w:r w:rsidR="0031342C" w:rsidRPr="00DF3EF6">
        <w:rPr>
          <w:noProof/>
        </w:rPr>
        <w:t xml:space="preserve"> z</w:t>
      </w:r>
      <w:r w:rsidR="0031342C">
        <w:rPr>
          <w:noProof/>
        </w:rPr>
        <w:t> </w:t>
      </w:r>
      <w:r w:rsidR="0031342C" w:rsidRPr="00DF3EF6">
        <w:rPr>
          <w:noProof/>
        </w:rPr>
        <w:t>teg</w:t>
      </w:r>
      <w:r w:rsidR="00D64EE6" w:rsidRPr="00DF3EF6">
        <w:rPr>
          <w:noProof/>
        </w:rPr>
        <w:t>o koszt dla systemu gwarancji depozytów oraz czas trwania procesu odzyskiwania, gdy informacje te staną się dostępne;</w:t>
      </w:r>
    </w:p>
    <w:p w14:paraId="47B14E0B" w14:textId="6097E481" w:rsidR="0006713A" w:rsidRPr="00DF3EF6" w:rsidRDefault="00DF3EF6" w:rsidP="00DF3EF6">
      <w:pPr>
        <w:pStyle w:val="Point1"/>
        <w:rPr>
          <w:noProof/>
        </w:rPr>
      </w:pPr>
      <w:r>
        <w:rPr>
          <w:noProof/>
        </w:rPr>
        <w:t>c)</w:t>
      </w:r>
      <w:r>
        <w:rPr>
          <w:noProof/>
        </w:rPr>
        <w:tab/>
      </w:r>
      <w:r w:rsidR="0006713A" w:rsidRPr="00DF3EF6">
        <w:rPr>
          <w:noProof/>
        </w:rPr>
        <w:t>dostępność</w:t>
      </w:r>
      <w:r w:rsidR="0031342C" w:rsidRPr="00DF3EF6">
        <w:rPr>
          <w:noProof/>
        </w:rPr>
        <w:t xml:space="preserve"> i</w:t>
      </w:r>
      <w:r w:rsidR="0031342C">
        <w:rPr>
          <w:noProof/>
        </w:rPr>
        <w:t> </w:t>
      </w:r>
      <w:r w:rsidR="0031342C" w:rsidRPr="00DF3EF6">
        <w:rPr>
          <w:noProof/>
        </w:rPr>
        <w:t>wyk</w:t>
      </w:r>
      <w:r w:rsidR="0006713A" w:rsidRPr="00DF3EF6">
        <w:rPr>
          <w:noProof/>
        </w:rPr>
        <w:t>orzystanie alternatywnych mechanizmów finansowania,</w:t>
      </w:r>
      <w:r w:rsidR="0031342C" w:rsidRPr="00DF3EF6">
        <w:rPr>
          <w:noProof/>
        </w:rPr>
        <w:t xml:space="preserve"> o</w:t>
      </w:r>
      <w:r w:rsidR="0031342C">
        <w:rPr>
          <w:noProof/>
        </w:rPr>
        <w:t> </w:t>
      </w:r>
      <w:r w:rsidR="0031342C" w:rsidRPr="00DF3EF6">
        <w:rPr>
          <w:noProof/>
        </w:rPr>
        <w:t>któ</w:t>
      </w:r>
      <w:r w:rsidR="0006713A" w:rsidRPr="00DF3EF6">
        <w:rPr>
          <w:noProof/>
        </w:rPr>
        <w:t>rych mowa</w:t>
      </w:r>
      <w:r w:rsidR="0031342C" w:rsidRPr="00DF3EF6">
        <w:rPr>
          <w:noProof/>
        </w:rPr>
        <w:t xml:space="preserve"> w</w:t>
      </w:r>
      <w:r w:rsidR="0031342C">
        <w:rPr>
          <w:noProof/>
        </w:rPr>
        <w:t> </w:t>
      </w:r>
      <w:r w:rsidR="0031342C" w:rsidRPr="0031342C">
        <w:rPr>
          <w:noProof/>
        </w:rPr>
        <w:t>art</w:t>
      </w:r>
      <w:r w:rsidR="0006713A" w:rsidRPr="0031342C">
        <w:rPr>
          <w:noProof/>
        </w:rPr>
        <w:t>.</w:t>
      </w:r>
      <w:r w:rsidR="0031342C" w:rsidRPr="0031342C">
        <w:rPr>
          <w:noProof/>
        </w:rPr>
        <w:t> </w:t>
      </w:r>
      <w:r w:rsidR="0006713A" w:rsidRPr="0031342C">
        <w:rPr>
          <w:noProof/>
        </w:rPr>
        <w:t>1</w:t>
      </w:r>
      <w:r w:rsidR="0006713A" w:rsidRPr="00DF3EF6">
        <w:rPr>
          <w:noProof/>
        </w:rPr>
        <w:t xml:space="preserve">0 </w:t>
      </w:r>
      <w:r w:rsidR="0006713A" w:rsidRPr="0031342C">
        <w:rPr>
          <w:noProof/>
        </w:rPr>
        <w:t>ust.</w:t>
      </w:r>
      <w:r w:rsidR="0031342C" w:rsidRPr="0031342C">
        <w:rPr>
          <w:noProof/>
        </w:rPr>
        <w:t> </w:t>
      </w:r>
      <w:r w:rsidR="0006713A" w:rsidRPr="0031342C">
        <w:rPr>
          <w:noProof/>
        </w:rPr>
        <w:t>3</w:t>
      </w:r>
      <w:r w:rsidR="0006713A" w:rsidRPr="00DF3EF6">
        <w:rPr>
          <w:noProof/>
        </w:rPr>
        <w:t>;</w:t>
      </w:r>
    </w:p>
    <w:p w14:paraId="780BDB90" w14:textId="4F5F0EF5" w:rsidR="0006713A" w:rsidRPr="00DF3EF6" w:rsidRDefault="00DF3EF6" w:rsidP="00DF3EF6">
      <w:pPr>
        <w:pStyle w:val="Point1"/>
        <w:rPr>
          <w:noProof/>
        </w:rPr>
      </w:pPr>
      <w:r>
        <w:rPr>
          <w:noProof/>
        </w:rPr>
        <w:t>d)</w:t>
      </w:r>
      <w:r>
        <w:rPr>
          <w:noProof/>
        </w:rPr>
        <w:tab/>
      </w:r>
      <w:r w:rsidR="00D64EE6" w:rsidRPr="00DF3EF6">
        <w:rPr>
          <w:noProof/>
        </w:rPr>
        <w:t>wszelkie systemy gwarancji depozytów, które przestały działać, lub utworzenie nowego systemu gwarancji depozytów,</w:t>
      </w:r>
      <w:r w:rsidR="0031342C" w:rsidRPr="00DF3EF6">
        <w:rPr>
          <w:noProof/>
        </w:rPr>
        <w:t xml:space="preserve"> w</w:t>
      </w:r>
      <w:r w:rsidR="0031342C">
        <w:rPr>
          <w:noProof/>
        </w:rPr>
        <w:t> </w:t>
      </w:r>
      <w:r w:rsidR="0031342C" w:rsidRPr="00DF3EF6">
        <w:rPr>
          <w:noProof/>
        </w:rPr>
        <w:t>tym w</w:t>
      </w:r>
      <w:r w:rsidR="0031342C">
        <w:rPr>
          <w:noProof/>
        </w:rPr>
        <w:t> </w:t>
      </w:r>
      <w:r w:rsidR="0031342C" w:rsidRPr="00DF3EF6">
        <w:rPr>
          <w:noProof/>
        </w:rPr>
        <w:t>wyn</w:t>
      </w:r>
      <w:r w:rsidR="00D64EE6" w:rsidRPr="00DF3EF6">
        <w:rPr>
          <w:noProof/>
        </w:rPr>
        <w:t>iku połączenia lub rozpoczęcia przez system gwarancji depozytów działalności transgranicznej.</w:t>
      </w:r>
    </w:p>
    <w:p w14:paraId="79F32A7B" w14:textId="36BB59A1" w:rsidR="007372C4" w:rsidRPr="00DF3EF6" w:rsidRDefault="0006713A" w:rsidP="006D4E5E">
      <w:pPr>
        <w:pStyle w:val="Text1"/>
        <w:rPr>
          <w:noProof/>
        </w:rPr>
      </w:pPr>
      <w:r w:rsidRPr="00DF3EF6">
        <w:rPr>
          <w:noProof/>
        </w:rPr>
        <w:t>Powiadomienie,</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DF3EF6">
        <w:rPr>
          <w:noProof/>
        </w:rPr>
        <w:t>aka</w:t>
      </w:r>
      <w:r w:rsidRPr="00DF3EF6">
        <w:rPr>
          <w:noProof/>
        </w:rPr>
        <w:t>picie pierwszym, zawiera podsumowanie opisujące wszystkie poniższe elementy:</w:t>
      </w:r>
    </w:p>
    <w:p w14:paraId="00B1A49A" w14:textId="3E53F3F6" w:rsidR="007372C4" w:rsidRPr="00DF3EF6" w:rsidRDefault="00DF3EF6" w:rsidP="00DF3EF6">
      <w:pPr>
        <w:pStyle w:val="Point1"/>
        <w:rPr>
          <w:noProof/>
        </w:rPr>
      </w:pPr>
      <w:r>
        <w:rPr>
          <w:noProof/>
        </w:rPr>
        <w:t>a)</w:t>
      </w:r>
      <w:r>
        <w:rPr>
          <w:noProof/>
        </w:rPr>
        <w:tab/>
      </w:r>
      <w:r w:rsidR="0006713A" w:rsidRPr="00DF3EF6">
        <w:rPr>
          <w:noProof/>
        </w:rPr>
        <w:t>początkową sytuację instytucji kredytowej;</w:t>
      </w:r>
    </w:p>
    <w:p w14:paraId="3A045B6C" w14:textId="1FE96841" w:rsidR="00FC037B" w:rsidRPr="00DF3EF6" w:rsidRDefault="00DF3EF6" w:rsidP="00DF3EF6">
      <w:pPr>
        <w:pStyle w:val="Point1"/>
        <w:rPr>
          <w:noProof/>
        </w:rPr>
      </w:pPr>
      <w:r>
        <w:rPr>
          <w:noProof/>
        </w:rPr>
        <w:t>b)</w:t>
      </w:r>
      <w:r>
        <w:rPr>
          <w:noProof/>
        </w:rPr>
        <w:tab/>
      </w:r>
      <w:r w:rsidR="0006713A" w:rsidRPr="00DF3EF6">
        <w:rPr>
          <w:noProof/>
        </w:rPr>
        <w:t>środki, na których potrzeby wykorzystano środki systemu gwarancji depozytów;</w:t>
      </w:r>
    </w:p>
    <w:p w14:paraId="54340FE8" w14:textId="77F83637" w:rsidR="0006713A" w:rsidRPr="00DF3EF6" w:rsidRDefault="00DF3EF6" w:rsidP="00DF3EF6">
      <w:pPr>
        <w:pStyle w:val="Point1"/>
        <w:rPr>
          <w:noProof/>
        </w:rPr>
      </w:pPr>
      <w:r>
        <w:rPr>
          <w:noProof/>
        </w:rPr>
        <w:t>c)</w:t>
      </w:r>
      <w:r>
        <w:rPr>
          <w:noProof/>
        </w:rPr>
        <w:tab/>
      </w:r>
      <w:r w:rsidR="0006713A" w:rsidRPr="00DF3EF6">
        <w:rPr>
          <w:noProof/>
        </w:rPr>
        <w:t>przewidywaną kwotę wykorzystanych dostępnych środków finansowych.</w:t>
      </w:r>
    </w:p>
    <w:p w14:paraId="6C531C22" w14:textId="4F6A6A44" w:rsidR="0006713A" w:rsidRPr="00DF3EF6" w:rsidRDefault="0006713A" w:rsidP="00C9502B">
      <w:pPr>
        <w:pStyle w:val="Text1"/>
        <w:rPr>
          <w:noProof/>
        </w:rPr>
      </w:pPr>
      <w:r w:rsidRPr="00DF3EF6">
        <w:rPr>
          <w:noProof/>
        </w:rPr>
        <w:t>5. EUNB bez zbędnej zwłoki publikuje informacje otrzymane zgodnie</w:t>
      </w:r>
      <w:r w:rsidR="0031342C" w:rsidRPr="00DF3EF6">
        <w:rPr>
          <w:noProof/>
        </w:rPr>
        <w:t xml:space="preserve"> z</w:t>
      </w:r>
      <w:r w:rsidR="0031342C">
        <w:rPr>
          <w:noProof/>
        </w:rPr>
        <w:t> </w:t>
      </w:r>
      <w:r w:rsidR="0031342C" w:rsidRPr="0031342C">
        <w:rPr>
          <w:noProof/>
        </w:rPr>
        <w:t>ust</w:t>
      </w:r>
      <w:r w:rsidRPr="0031342C">
        <w:rPr>
          <w:noProof/>
        </w:rPr>
        <w:t>.</w:t>
      </w:r>
      <w:r w:rsidR="0031342C" w:rsidRPr="0031342C">
        <w:rPr>
          <w:noProof/>
        </w:rPr>
        <w:t> </w:t>
      </w:r>
      <w:r w:rsidRPr="0031342C">
        <w:rPr>
          <w:noProof/>
        </w:rPr>
        <w:t>2</w:t>
      </w:r>
      <w:r w:rsidR="0031342C" w:rsidRPr="00DF3EF6">
        <w:rPr>
          <w:noProof/>
        </w:rPr>
        <w:t xml:space="preserve"> i</w:t>
      </w:r>
      <w:r w:rsidR="0031342C">
        <w:rPr>
          <w:noProof/>
        </w:rPr>
        <w:t> </w:t>
      </w:r>
      <w:r w:rsidR="0031342C" w:rsidRPr="00DF3EF6">
        <w:rPr>
          <w:noProof/>
        </w:rPr>
        <w:t>3</w:t>
      </w:r>
      <w:r w:rsidRPr="00DF3EF6">
        <w:rPr>
          <w:noProof/>
        </w:rPr>
        <w:t xml:space="preserve"> oraz podsumowanie,</w:t>
      </w:r>
      <w:r w:rsidR="0031342C" w:rsidRPr="00DF3EF6">
        <w:rPr>
          <w:noProof/>
        </w:rPr>
        <w:t xml:space="preserve"> o</w:t>
      </w:r>
      <w:r w:rsidR="0031342C">
        <w:rPr>
          <w:noProof/>
        </w:rPr>
        <w:t> </w:t>
      </w:r>
      <w:r w:rsidR="0031342C" w:rsidRPr="00DF3EF6">
        <w:rPr>
          <w:noProof/>
        </w:rPr>
        <w:t>któ</w:t>
      </w:r>
      <w:r w:rsidRPr="00DF3EF6">
        <w:rPr>
          <w:noProof/>
        </w:rPr>
        <w:t>rym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4</w:t>
      </w:r>
      <w:r w:rsidRPr="00DF3EF6">
        <w:rPr>
          <w:noProof/>
        </w:rPr>
        <w:t>.</w:t>
      </w:r>
    </w:p>
    <w:p w14:paraId="4B6B30EC" w14:textId="32B5997B" w:rsidR="0006713A" w:rsidRPr="00DF3EF6" w:rsidRDefault="0006713A" w:rsidP="00C9502B">
      <w:pPr>
        <w:pStyle w:val="Text1"/>
        <w:rPr>
          <w:noProof/>
        </w:rPr>
      </w:pPr>
      <w:r w:rsidRPr="00DF3EF6">
        <w:rPr>
          <w:noProof/>
        </w:rPr>
        <w:t>6. Państwa członkowskie zapewniają, by organy ds. restrukturyzacji</w:t>
      </w:r>
      <w:r w:rsidR="0031342C" w:rsidRPr="00DF3EF6">
        <w:rPr>
          <w:noProof/>
        </w:rPr>
        <w:t xml:space="preserve"> i</w:t>
      </w:r>
      <w:r w:rsidR="0031342C">
        <w:rPr>
          <w:noProof/>
        </w:rPr>
        <w:t> </w:t>
      </w:r>
      <w:r w:rsidR="0031342C" w:rsidRPr="00DF3EF6">
        <w:rPr>
          <w:noProof/>
        </w:rPr>
        <w:t>upo</w:t>
      </w:r>
      <w:r w:rsidRPr="00DF3EF6">
        <w:rPr>
          <w:noProof/>
        </w:rPr>
        <w:t>rządkowanej likwidacji instytucji kredytowych będących członkami systemów gwarancji depozytów przekazywały temu systemowi gwarancji depozytów, na jego wniosek, podsumowanie kluczowych elementów planów restrukturyzacji</w:t>
      </w:r>
      <w:r w:rsidR="0031342C" w:rsidRPr="00DF3EF6">
        <w:rPr>
          <w:noProof/>
        </w:rPr>
        <w:t xml:space="preserve"> i</w:t>
      </w:r>
      <w:r w:rsidR="0031342C">
        <w:rPr>
          <w:noProof/>
        </w:rPr>
        <w:t> </w:t>
      </w:r>
      <w:r w:rsidR="0031342C" w:rsidRPr="00DF3EF6">
        <w:rPr>
          <w:noProof/>
        </w:rPr>
        <w:t>upo</w:t>
      </w:r>
      <w:r w:rsidRPr="00DF3EF6">
        <w:rPr>
          <w:noProof/>
        </w:rPr>
        <w:t>rządkowanej likwidacji,</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0 </w:t>
      </w:r>
      <w:r w:rsidRPr="0031342C">
        <w:rPr>
          <w:noProof/>
        </w:rPr>
        <w:t>ust.</w:t>
      </w:r>
      <w:r w:rsidR="0031342C" w:rsidRPr="0031342C">
        <w:rPr>
          <w:noProof/>
        </w:rPr>
        <w:t> </w:t>
      </w:r>
      <w:r w:rsidRPr="0031342C">
        <w:rPr>
          <w:noProof/>
        </w:rPr>
        <w:t>7</w:t>
      </w:r>
      <w:r w:rsidRPr="00DF3EF6">
        <w:rPr>
          <w:noProof/>
        </w:rPr>
        <w:t xml:space="preserve"> </w:t>
      </w:r>
      <w:r w:rsidRPr="0031342C">
        <w:rPr>
          <w:noProof/>
        </w:rPr>
        <w:t>lit.</w:t>
      </w:r>
      <w:r w:rsidR="0031342C" w:rsidRPr="0031342C">
        <w:rPr>
          <w:noProof/>
        </w:rPr>
        <w:t> </w:t>
      </w:r>
      <w:r w:rsidRPr="0031342C">
        <w:rPr>
          <w:noProof/>
        </w:rPr>
        <w:t>a)</w:t>
      </w:r>
      <w:r w:rsidRPr="00DF3EF6">
        <w:rPr>
          <w:noProof/>
        </w:rPr>
        <w:t xml:space="preserve"> dyrektywy 2014/59/UE, pod warunkiem że takie informacje są niezbędne systemowi gwarancji depozytów</w:t>
      </w:r>
      <w:r w:rsidR="0031342C" w:rsidRPr="00DF3EF6">
        <w:rPr>
          <w:noProof/>
        </w:rPr>
        <w:t xml:space="preserve"> i</w:t>
      </w:r>
      <w:r w:rsidR="0031342C">
        <w:rPr>
          <w:noProof/>
        </w:rPr>
        <w:t> </w:t>
      </w:r>
      <w:r w:rsidR="0031342C" w:rsidRPr="00DF3EF6">
        <w:rPr>
          <w:noProof/>
        </w:rPr>
        <w:t>wyz</w:t>
      </w:r>
      <w:r w:rsidRPr="00DF3EF6">
        <w:rPr>
          <w:noProof/>
        </w:rPr>
        <w:t>naczonym organom do wykonywania obowiązków,</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2</w:t>
      </w:r>
      <w:r w:rsidRPr="00DF3EF6">
        <w:rPr>
          <w:noProof/>
        </w:rPr>
        <w:t>, 3</w:t>
      </w:r>
      <w:r w:rsidR="0031342C" w:rsidRPr="00DF3EF6">
        <w:rPr>
          <w:noProof/>
        </w:rPr>
        <w:t xml:space="preserve"> i</w:t>
      </w:r>
      <w:r w:rsidR="0031342C">
        <w:rPr>
          <w:noProof/>
        </w:rPr>
        <w:t> </w:t>
      </w:r>
      <w:r w:rsidR="0031342C" w:rsidRPr="00DF3EF6">
        <w:rPr>
          <w:noProof/>
        </w:rPr>
        <w:t>5</w:t>
      </w:r>
      <w:r w:rsidRPr="00DF3EF6">
        <w:rPr>
          <w:noProof/>
        </w:rPr>
        <w:t xml:space="preserve"> oraz</w:t>
      </w:r>
      <w:r w:rsidR="0031342C" w:rsidRPr="00DF3EF6">
        <w:rPr>
          <w:noProof/>
        </w:rPr>
        <w:t xml:space="preserve"> w</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1e.</w:t>
      </w:r>
    </w:p>
    <w:p w14:paraId="6A40AF37" w14:textId="14A57ABF" w:rsidR="0006713A" w:rsidRPr="00DF3EF6" w:rsidRDefault="0006713A" w:rsidP="00C9502B">
      <w:pPr>
        <w:pStyle w:val="Text1"/>
        <w:rPr>
          <w:noProof/>
        </w:rPr>
      </w:pPr>
      <w:r w:rsidRPr="00DF3EF6">
        <w:rPr>
          <w:noProof/>
        </w:rPr>
        <w:t>7. EUNB opracowuje projekty wykonawczych standardów technicznych</w:t>
      </w:r>
      <w:r w:rsidR="0031342C" w:rsidRPr="00DF3EF6">
        <w:rPr>
          <w:noProof/>
        </w:rPr>
        <w:t xml:space="preserve"> w</w:t>
      </w:r>
      <w:r w:rsidR="0031342C">
        <w:rPr>
          <w:noProof/>
        </w:rPr>
        <w:t> </w:t>
      </w:r>
      <w:r w:rsidR="0031342C" w:rsidRPr="00DF3EF6">
        <w:rPr>
          <w:noProof/>
        </w:rPr>
        <w:t>cel</w:t>
      </w:r>
      <w:r w:rsidRPr="00DF3EF6">
        <w:rPr>
          <w:noProof/>
        </w:rPr>
        <w:t>u określenia procedur, których należy przestrzegać przy przekazywaniu informacji,</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31342C">
        <w:rPr>
          <w:noProof/>
        </w:rPr>
        <w:t>ust</w:t>
      </w:r>
      <w:r w:rsidRPr="0031342C">
        <w:rPr>
          <w:noProof/>
        </w:rPr>
        <w:t>.</w:t>
      </w:r>
      <w:r w:rsidR="0031342C" w:rsidRPr="0031342C">
        <w:rPr>
          <w:noProof/>
        </w:rPr>
        <w:t> </w:t>
      </w:r>
      <w:r w:rsidRPr="0031342C">
        <w:rPr>
          <w:noProof/>
        </w:rPr>
        <w:t>1</w:t>
      </w:r>
      <w:r w:rsidRPr="00DF3EF6">
        <w:rPr>
          <w:noProof/>
        </w:rPr>
        <w:t>–4, szablonów służących do przekazywania tych informacji oraz</w:t>
      </w:r>
      <w:r w:rsidR="0031342C" w:rsidRPr="00DF3EF6">
        <w:rPr>
          <w:noProof/>
        </w:rPr>
        <w:t xml:space="preserve"> w</w:t>
      </w:r>
      <w:r w:rsidR="0031342C">
        <w:rPr>
          <w:noProof/>
        </w:rPr>
        <w:t> </w:t>
      </w:r>
      <w:r w:rsidR="0031342C" w:rsidRPr="00DF3EF6">
        <w:rPr>
          <w:noProof/>
        </w:rPr>
        <w:t>cel</w:t>
      </w:r>
      <w:r w:rsidRPr="00DF3EF6">
        <w:rPr>
          <w:noProof/>
        </w:rPr>
        <w:t>u doprecyzowania treści tych informacji,</w:t>
      </w:r>
      <w:r w:rsidR="0031342C" w:rsidRPr="00DF3EF6">
        <w:rPr>
          <w:noProof/>
        </w:rPr>
        <w:t xml:space="preserve"> z</w:t>
      </w:r>
      <w:r w:rsidR="0031342C">
        <w:rPr>
          <w:noProof/>
        </w:rPr>
        <w:t> </w:t>
      </w:r>
      <w:r w:rsidR="0031342C" w:rsidRPr="00DF3EF6">
        <w:rPr>
          <w:noProof/>
        </w:rPr>
        <w:t>uwz</w:t>
      </w:r>
      <w:r w:rsidRPr="00DF3EF6">
        <w:rPr>
          <w:noProof/>
        </w:rPr>
        <w:t xml:space="preserve">ględnieniem rodzajów deponentów. </w:t>
      </w:r>
    </w:p>
    <w:p w14:paraId="4E8EB6E2" w14:textId="40FA13E9" w:rsidR="0006713A" w:rsidRPr="00DF3EF6" w:rsidRDefault="00735A70" w:rsidP="00C9502B">
      <w:pPr>
        <w:pStyle w:val="Text1"/>
        <w:rPr>
          <w:noProof/>
        </w:rPr>
      </w:pPr>
      <w:r w:rsidRPr="00DF3EF6">
        <w:rPr>
          <w:noProof/>
        </w:rPr>
        <w:t>EUNB przedstawia Komisji te projekty wykonawczych standardów technicznych do dnia ... [Urząd Publikacji – proszę wstawić datę = 12 miesięcy od daty wejścia</w:t>
      </w:r>
      <w:r w:rsidR="0031342C" w:rsidRPr="00DF3EF6">
        <w:rPr>
          <w:noProof/>
        </w:rPr>
        <w:t xml:space="preserve"> w</w:t>
      </w:r>
      <w:r w:rsidR="0031342C">
        <w:rPr>
          <w:noProof/>
        </w:rPr>
        <w:t> </w:t>
      </w:r>
      <w:r w:rsidR="0031342C" w:rsidRPr="00DF3EF6">
        <w:rPr>
          <w:noProof/>
        </w:rPr>
        <w:t>życ</w:t>
      </w:r>
      <w:r w:rsidRPr="00DF3EF6">
        <w:rPr>
          <w:noProof/>
        </w:rPr>
        <w:t>ie niniejszej dyrektywy] r.</w:t>
      </w:r>
    </w:p>
    <w:p w14:paraId="540AD723" w14:textId="66FD35E4" w:rsidR="00F15BAB" w:rsidRPr="00DF3EF6" w:rsidRDefault="0006713A" w:rsidP="00C9502B">
      <w:pPr>
        <w:pStyle w:val="Text1"/>
        <w:rPr>
          <w:noProof/>
        </w:rPr>
      </w:pPr>
      <w:r w:rsidRPr="00DF3EF6">
        <w:rPr>
          <w:noProof/>
        </w:rPr>
        <w:t>Komisja jest uprawniona do przyjmowania wykonawczych standardów technicznych,</w:t>
      </w:r>
      <w:r w:rsidR="0031342C" w:rsidRPr="00DF3EF6">
        <w:rPr>
          <w:noProof/>
        </w:rPr>
        <w:t xml:space="preserve"> o</w:t>
      </w:r>
      <w:r w:rsidR="0031342C">
        <w:rPr>
          <w:noProof/>
        </w:rPr>
        <w:t> </w:t>
      </w:r>
      <w:r w:rsidR="0031342C" w:rsidRPr="00DF3EF6">
        <w:rPr>
          <w:noProof/>
        </w:rPr>
        <w:t>któ</w:t>
      </w:r>
      <w:r w:rsidRPr="00DF3EF6">
        <w:rPr>
          <w:noProof/>
        </w:rPr>
        <w:t>rych mowa</w:t>
      </w:r>
      <w:r w:rsidR="0031342C" w:rsidRPr="00DF3EF6">
        <w:rPr>
          <w:noProof/>
        </w:rPr>
        <w:t xml:space="preserve"> w</w:t>
      </w:r>
      <w:r w:rsidR="0031342C">
        <w:rPr>
          <w:noProof/>
        </w:rPr>
        <w:t> </w:t>
      </w:r>
      <w:r w:rsidR="0031342C" w:rsidRPr="00DF3EF6">
        <w:rPr>
          <w:noProof/>
        </w:rPr>
        <w:t>aka</w:t>
      </w:r>
      <w:r w:rsidRPr="00DF3EF6">
        <w:rPr>
          <w:noProof/>
        </w:rPr>
        <w:t>picie pierwszym, zgodnie</w:t>
      </w:r>
      <w:r w:rsidR="0031342C" w:rsidRPr="00DF3EF6">
        <w:rPr>
          <w:noProof/>
        </w:rPr>
        <w:t xml:space="preserve"> z</w:t>
      </w:r>
      <w:r w:rsidR="0031342C">
        <w:rPr>
          <w:noProof/>
        </w:rPr>
        <w:t> </w:t>
      </w:r>
      <w:r w:rsidR="0031342C" w:rsidRPr="0031342C">
        <w:rPr>
          <w:noProof/>
        </w:rPr>
        <w:t>art</w:t>
      </w:r>
      <w:r w:rsidRPr="0031342C">
        <w:rPr>
          <w:noProof/>
        </w:rPr>
        <w:t>.</w:t>
      </w:r>
      <w:r w:rsidR="0031342C" w:rsidRPr="0031342C">
        <w:rPr>
          <w:noProof/>
        </w:rPr>
        <w:t> </w:t>
      </w:r>
      <w:r w:rsidRPr="0031342C">
        <w:rPr>
          <w:noProof/>
        </w:rPr>
        <w:t>1</w:t>
      </w:r>
      <w:r w:rsidRPr="00DF3EF6">
        <w:rPr>
          <w:noProof/>
        </w:rPr>
        <w:t xml:space="preserve">5 rozporządzenia (UE) </w:t>
      </w:r>
      <w:r w:rsidRPr="0031342C">
        <w:rPr>
          <w:noProof/>
        </w:rPr>
        <w:t>nr</w:t>
      </w:r>
      <w:r w:rsidR="0031342C" w:rsidRPr="0031342C">
        <w:rPr>
          <w:noProof/>
        </w:rPr>
        <w:t> </w:t>
      </w:r>
      <w:r w:rsidRPr="0031342C">
        <w:rPr>
          <w:noProof/>
        </w:rPr>
        <w:t>1</w:t>
      </w:r>
      <w:r w:rsidRPr="00DF3EF6">
        <w:rPr>
          <w:noProof/>
        </w:rPr>
        <w:t>093/2010.”;</w:t>
      </w:r>
    </w:p>
    <w:p w14:paraId="1A131CB4" w14:textId="77777777" w:rsidR="00F15BAB" w:rsidRPr="00DF3EF6" w:rsidRDefault="00F15BAB">
      <w:pPr>
        <w:spacing w:before="0" w:after="200" w:line="276" w:lineRule="auto"/>
        <w:jc w:val="left"/>
        <w:rPr>
          <w:noProof/>
        </w:rPr>
      </w:pPr>
      <w:r w:rsidRPr="00DF3EF6">
        <w:rPr>
          <w:noProof/>
        </w:rPr>
        <w:br w:type="page"/>
      </w:r>
    </w:p>
    <w:p w14:paraId="3EEC4E27" w14:textId="5D6CF24D" w:rsidR="009065BF" w:rsidRPr="00DF3EF6" w:rsidRDefault="00DF3EF6" w:rsidP="00DF3EF6">
      <w:pPr>
        <w:pStyle w:val="Point0"/>
        <w:rPr>
          <w:noProof/>
        </w:rPr>
      </w:pPr>
      <w:r>
        <w:rPr>
          <w:noProof/>
        </w:rPr>
        <w:lastRenderedPageBreak/>
        <w:t>19)</w:t>
      </w:r>
      <w:r>
        <w:rPr>
          <w:noProof/>
        </w:rPr>
        <w:tab/>
      </w:r>
      <w:r w:rsidR="0006713A" w:rsidRPr="00DF3EF6">
        <w:rPr>
          <w:noProof/>
        </w:rPr>
        <w:t>uchyla się załącznik I.</w:t>
      </w:r>
    </w:p>
    <w:p w14:paraId="0A7F125A" w14:textId="36518AB1" w:rsidR="4AF4BE86" w:rsidRPr="00DF3EF6" w:rsidRDefault="4AF4BE86" w:rsidP="16A56A16">
      <w:pPr>
        <w:pStyle w:val="Titrearticle"/>
        <w:keepLines/>
        <w:rPr>
          <w:noProof/>
        </w:rPr>
      </w:pPr>
      <w:r w:rsidRPr="00DF3EF6">
        <w:rPr>
          <w:noProof/>
        </w:rPr>
        <w:t>Artykuł 2</w:t>
      </w:r>
    </w:p>
    <w:p w14:paraId="47EFB48D" w14:textId="77777777" w:rsidR="4AF4BE86" w:rsidRPr="00DF3EF6" w:rsidRDefault="4AF4BE86" w:rsidP="00D24FBA">
      <w:pPr>
        <w:keepLines/>
        <w:jc w:val="center"/>
        <w:rPr>
          <w:b/>
          <w:noProof/>
        </w:rPr>
      </w:pPr>
      <w:r w:rsidRPr="00DF3EF6">
        <w:rPr>
          <w:b/>
          <w:noProof/>
        </w:rPr>
        <w:t>Przepisy przejściowe</w:t>
      </w:r>
    </w:p>
    <w:p w14:paraId="51EE655B" w14:textId="6C85F874" w:rsidR="00C9502B" w:rsidRPr="00DF3EF6" w:rsidRDefault="00322779" w:rsidP="00322779">
      <w:pPr>
        <w:pStyle w:val="ManualNumPar1"/>
        <w:rPr>
          <w:noProof/>
        </w:rPr>
      </w:pPr>
      <w:r w:rsidRPr="00322779">
        <w:t>1.</w:t>
      </w:r>
      <w:r w:rsidRPr="00322779">
        <w:tab/>
      </w:r>
      <w:r w:rsidR="00AF3431" w:rsidRPr="00DF3EF6">
        <w:rPr>
          <w:noProof/>
        </w:rPr>
        <w:t>Państwa członkowskie zapewniają, by oddziały instytucji kredytowych mających siedzibę poza Unią, które to oddziały przyjmują kwalifikujące się depozyty</w:t>
      </w:r>
      <w:r w:rsidR="0031342C" w:rsidRPr="00DF3EF6">
        <w:rPr>
          <w:noProof/>
        </w:rPr>
        <w:t xml:space="preserve"> w</w:t>
      </w:r>
      <w:r w:rsidR="0031342C">
        <w:rPr>
          <w:noProof/>
        </w:rPr>
        <w:t> </w:t>
      </w:r>
      <w:r w:rsidR="0031342C" w:rsidRPr="00DF3EF6">
        <w:rPr>
          <w:noProof/>
        </w:rPr>
        <w:t>pań</w:t>
      </w:r>
      <w:r w:rsidR="00AF3431" w:rsidRPr="00DF3EF6">
        <w:rPr>
          <w:noProof/>
        </w:rPr>
        <w:t>stwie członkowskim</w:t>
      </w:r>
      <w:r w:rsidR="0031342C" w:rsidRPr="00DF3EF6">
        <w:rPr>
          <w:noProof/>
        </w:rPr>
        <w:t xml:space="preserve"> w</w:t>
      </w:r>
      <w:r w:rsidR="0031342C">
        <w:rPr>
          <w:noProof/>
        </w:rPr>
        <w:t> </w:t>
      </w:r>
      <w:r w:rsidR="0031342C" w:rsidRPr="00DF3EF6">
        <w:rPr>
          <w:noProof/>
        </w:rPr>
        <w:t>dni</w:t>
      </w:r>
      <w:r w:rsidR="00AF3431" w:rsidRPr="00DF3EF6">
        <w:rPr>
          <w:noProof/>
        </w:rPr>
        <w:t>u ... [Urząd Publikacji – proszę wstawić datę = data wejścia</w:t>
      </w:r>
      <w:r w:rsidR="0031342C" w:rsidRPr="00DF3EF6">
        <w:rPr>
          <w:noProof/>
        </w:rPr>
        <w:t xml:space="preserve"> w</w:t>
      </w:r>
      <w:r w:rsidR="0031342C">
        <w:rPr>
          <w:noProof/>
        </w:rPr>
        <w:t> </w:t>
      </w:r>
      <w:r w:rsidR="0031342C" w:rsidRPr="00DF3EF6">
        <w:rPr>
          <w:noProof/>
        </w:rPr>
        <w:t>życ</w:t>
      </w:r>
      <w:r w:rsidR="00AF3431" w:rsidRPr="00DF3EF6">
        <w:rPr>
          <w:noProof/>
        </w:rPr>
        <w:t>ie] r.</w:t>
      </w:r>
      <w:r w:rsidR="0031342C" w:rsidRPr="00DF3EF6">
        <w:rPr>
          <w:noProof/>
        </w:rPr>
        <w:t xml:space="preserve"> i</w:t>
      </w:r>
      <w:r w:rsidR="0031342C">
        <w:rPr>
          <w:noProof/>
        </w:rPr>
        <w:t> </w:t>
      </w:r>
      <w:r w:rsidR="0031342C" w:rsidRPr="00DF3EF6">
        <w:rPr>
          <w:noProof/>
        </w:rPr>
        <w:t>któ</w:t>
      </w:r>
      <w:r w:rsidR="00AF3431" w:rsidRPr="00DF3EF6">
        <w:rPr>
          <w:noProof/>
        </w:rPr>
        <w:t>re nie są członkami systemu gwarancji depozytów</w:t>
      </w:r>
      <w:r w:rsidR="0031342C" w:rsidRPr="00DF3EF6">
        <w:rPr>
          <w:noProof/>
        </w:rPr>
        <w:t xml:space="preserve"> w</w:t>
      </w:r>
      <w:r w:rsidR="0031342C">
        <w:rPr>
          <w:noProof/>
        </w:rPr>
        <w:t> </w:t>
      </w:r>
      <w:r w:rsidR="0031342C" w:rsidRPr="00DF3EF6">
        <w:rPr>
          <w:noProof/>
        </w:rPr>
        <w:t>tym</w:t>
      </w:r>
      <w:r w:rsidR="00AF3431" w:rsidRPr="00DF3EF6">
        <w:rPr>
          <w:noProof/>
        </w:rPr>
        <w:t xml:space="preserve"> dniu, przyłączyły się do systemu gwarancji depozytów funkcjonującego na ich terytorium do dnia [Urząd Publikacji – proszę wstawić datę = 3 miesiące od daty wejścia</w:t>
      </w:r>
      <w:r w:rsidR="0031342C" w:rsidRPr="00DF3EF6">
        <w:rPr>
          <w:noProof/>
        </w:rPr>
        <w:t xml:space="preserve"> w</w:t>
      </w:r>
      <w:r w:rsidR="0031342C">
        <w:rPr>
          <w:noProof/>
        </w:rPr>
        <w:t> </w:t>
      </w:r>
      <w:r w:rsidR="0031342C" w:rsidRPr="00DF3EF6">
        <w:rPr>
          <w:noProof/>
        </w:rPr>
        <w:t>życ</w:t>
      </w:r>
      <w:r w:rsidR="00AF3431" w:rsidRPr="00DF3EF6">
        <w:rPr>
          <w:noProof/>
        </w:rPr>
        <w:t xml:space="preserve">ie] r. Art. 1 </w:t>
      </w:r>
      <w:r w:rsidR="00AF3431" w:rsidRPr="0031342C">
        <w:rPr>
          <w:noProof/>
        </w:rPr>
        <w:t>pkt</w:t>
      </w:r>
      <w:r w:rsidR="0031342C" w:rsidRPr="0031342C">
        <w:rPr>
          <w:noProof/>
        </w:rPr>
        <w:t> </w:t>
      </w:r>
      <w:r w:rsidR="00AF3431" w:rsidRPr="0031342C">
        <w:rPr>
          <w:noProof/>
        </w:rPr>
        <w:t>1</w:t>
      </w:r>
      <w:r w:rsidR="00AF3431" w:rsidRPr="00DF3EF6">
        <w:rPr>
          <w:noProof/>
        </w:rPr>
        <w:t>5 nie ma zastosowania do tych oddziałów do dnia [Urząd Publikacji – proszę wstawić datę = 3 miesiące po wejściu</w:t>
      </w:r>
      <w:r w:rsidR="0031342C" w:rsidRPr="00DF3EF6">
        <w:rPr>
          <w:noProof/>
        </w:rPr>
        <w:t xml:space="preserve"> w</w:t>
      </w:r>
      <w:r w:rsidR="0031342C">
        <w:rPr>
          <w:noProof/>
        </w:rPr>
        <w:t> </w:t>
      </w:r>
      <w:r w:rsidR="0031342C" w:rsidRPr="00DF3EF6">
        <w:rPr>
          <w:noProof/>
        </w:rPr>
        <w:t>życ</w:t>
      </w:r>
      <w:r w:rsidR="00AF3431" w:rsidRPr="00DF3EF6">
        <w:rPr>
          <w:noProof/>
        </w:rPr>
        <w:t>ie] r.</w:t>
      </w:r>
    </w:p>
    <w:p w14:paraId="41B32F9F" w14:textId="2173A4CC" w:rsidR="00BB4A49" w:rsidRPr="00DF3EF6" w:rsidRDefault="00322779" w:rsidP="00322779">
      <w:pPr>
        <w:pStyle w:val="ManualNumPar1"/>
        <w:rPr>
          <w:noProof/>
        </w:rPr>
      </w:pPr>
      <w:r w:rsidRPr="00322779">
        <w:t>2.</w:t>
      </w:r>
      <w:r w:rsidRPr="00322779">
        <w:tab/>
      </w:r>
      <w:r w:rsidR="1B70FE6A" w:rsidRPr="00DF3EF6">
        <w:rPr>
          <w:noProof/>
        </w:rPr>
        <w:t xml:space="preserve">Na zasadzie odstępstwa od </w:t>
      </w:r>
      <w:r w:rsidR="1B70FE6A" w:rsidRPr="0031342C">
        <w:rPr>
          <w:noProof/>
        </w:rPr>
        <w:t>art.</w:t>
      </w:r>
      <w:r w:rsidR="0031342C" w:rsidRPr="0031342C">
        <w:rPr>
          <w:noProof/>
        </w:rPr>
        <w:t> </w:t>
      </w:r>
      <w:r w:rsidR="1B70FE6A" w:rsidRPr="0031342C">
        <w:rPr>
          <w:noProof/>
        </w:rPr>
        <w:t>1</w:t>
      </w:r>
      <w:r w:rsidR="1B70FE6A" w:rsidRPr="00DF3EF6">
        <w:rPr>
          <w:noProof/>
        </w:rPr>
        <w:t xml:space="preserve">1 </w:t>
      </w:r>
      <w:r w:rsidR="1B70FE6A" w:rsidRPr="0031342C">
        <w:rPr>
          <w:noProof/>
        </w:rPr>
        <w:t>ust.</w:t>
      </w:r>
      <w:r w:rsidR="0031342C" w:rsidRPr="0031342C">
        <w:rPr>
          <w:noProof/>
        </w:rPr>
        <w:t> </w:t>
      </w:r>
      <w:r w:rsidR="1B70FE6A" w:rsidRPr="0031342C">
        <w:rPr>
          <w:noProof/>
        </w:rPr>
        <w:t>3</w:t>
      </w:r>
      <w:r w:rsidR="1B70FE6A" w:rsidRPr="00DF3EF6">
        <w:rPr>
          <w:noProof/>
        </w:rPr>
        <w:t xml:space="preserve"> dyrektywy 2014/49/UE, zmienionego niniejszą dyrektywą, oraz </w:t>
      </w:r>
      <w:r w:rsidR="1B70FE6A" w:rsidRPr="0031342C">
        <w:rPr>
          <w:noProof/>
        </w:rPr>
        <w:t>art.</w:t>
      </w:r>
      <w:r w:rsidR="0031342C" w:rsidRPr="0031342C">
        <w:rPr>
          <w:noProof/>
        </w:rPr>
        <w:t> </w:t>
      </w:r>
      <w:r w:rsidR="1B70FE6A" w:rsidRPr="0031342C">
        <w:rPr>
          <w:noProof/>
        </w:rPr>
        <w:t>1</w:t>
      </w:r>
      <w:r w:rsidR="1B70FE6A" w:rsidRPr="00DF3EF6">
        <w:rPr>
          <w:noProof/>
        </w:rPr>
        <w:t>1a, 11b, 11c</w:t>
      </w:r>
      <w:r w:rsidR="0031342C" w:rsidRPr="00DF3EF6">
        <w:rPr>
          <w:noProof/>
        </w:rPr>
        <w:t xml:space="preserve"> i</w:t>
      </w:r>
      <w:r w:rsidR="0031342C">
        <w:rPr>
          <w:noProof/>
        </w:rPr>
        <w:t> </w:t>
      </w:r>
      <w:r w:rsidR="0031342C" w:rsidRPr="00DF3EF6">
        <w:rPr>
          <w:noProof/>
        </w:rPr>
        <w:t>1</w:t>
      </w:r>
      <w:r w:rsidR="1B70FE6A" w:rsidRPr="00DF3EF6">
        <w:rPr>
          <w:noProof/>
        </w:rPr>
        <w:t>1e</w:t>
      </w:r>
      <w:r w:rsidR="0031342C" w:rsidRPr="00DF3EF6">
        <w:rPr>
          <w:noProof/>
        </w:rPr>
        <w:t xml:space="preserve"> w</w:t>
      </w:r>
      <w:r w:rsidR="0031342C">
        <w:rPr>
          <w:noProof/>
        </w:rPr>
        <w:t> </w:t>
      </w:r>
      <w:r w:rsidR="0031342C" w:rsidRPr="00DF3EF6">
        <w:rPr>
          <w:noProof/>
        </w:rPr>
        <w:t>odn</w:t>
      </w:r>
      <w:r w:rsidR="1B70FE6A" w:rsidRPr="00DF3EF6">
        <w:rPr>
          <w:noProof/>
        </w:rPr>
        <w:t>iesieniu do środków zapobiegawczych do dnia [Urząd Publikacji – proszę wstawić datę = 72 miesiące od daty wejścia</w:t>
      </w:r>
      <w:r w:rsidR="0031342C" w:rsidRPr="00DF3EF6">
        <w:rPr>
          <w:noProof/>
        </w:rPr>
        <w:t xml:space="preserve"> w</w:t>
      </w:r>
      <w:r w:rsidR="0031342C">
        <w:rPr>
          <w:noProof/>
        </w:rPr>
        <w:t> </w:t>
      </w:r>
      <w:r w:rsidR="0031342C" w:rsidRPr="00DF3EF6">
        <w:rPr>
          <w:noProof/>
        </w:rPr>
        <w:t>życ</w:t>
      </w:r>
      <w:r w:rsidR="1B70FE6A" w:rsidRPr="00DF3EF6">
        <w:rPr>
          <w:noProof/>
        </w:rPr>
        <w:t>ie niniejszej dyrektywy] r. państwa członkowskie mogą zezwolić instytucjonalnemu systemowi ochrony,</w:t>
      </w:r>
      <w:r w:rsidR="0031342C" w:rsidRPr="00DF3EF6">
        <w:rPr>
          <w:noProof/>
        </w:rPr>
        <w:t xml:space="preserve"> o</w:t>
      </w:r>
      <w:r w:rsidR="0031342C">
        <w:rPr>
          <w:noProof/>
        </w:rPr>
        <w:t> </w:t>
      </w:r>
      <w:r w:rsidR="0031342C" w:rsidRPr="00DF3EF6">
        <w:rPr>
          <w:noProof/>
        </w:rPr>
        <w:t>któ</w:t>
      </w:r>
      <w:r w:rsidR="1B70FE6A" w:rsidRPr="00DF3EF6">
        <w:rPr>
          <w:noProof/>
        </w:rPr>
        <w:t>rych mowa</w:t>
      </w:r>
      <w:r w:rsidR="0031342C" w:rsidRPr="00DF3EF6">
        <w:rPr>
          <w:noProof/>
        </w:rPr>
        <w:t xml:space="preserve"> w</w:t>
      </w:r>
      <w:r w:rsidR="0031342C">
        <w:rPr>
          <w:noProof/>
        </w:rPr>
        <w:t> </w:t>
      </w:r>
      <w:r w:rsidR="0031342C" w:rsidRPr="0031342C">
        <w:rPr>
          <w:noProof/>
        </w:rPr>
        <w:t>art</w:t>
      </w:r>
      <w:r w:rsidR="1B70FE6A" w:rsidRPr="0031342C">
        <w:rPr>
          <w:noProof/>
        </w:rPr>
        <w:t>.</w:t>
      </w:r>
      <w:r w:rsidR="0031342C" w:rsidRPr="0031342C">
        <w:rPr>
          <w:noProof/>
        </w:rPr>
        <w:t> </w:t>
      </w:r>
      <w:r w:rsidR="1B70FE6A" w:rsidRPr="0031342C">
        <w:rPr>
          <w:noProof/>
        </w:rPr>
        <w:t>1</w:t>
      </w:r>
      <w:r w:rsidR="1B70FE6A" w:rsidRPr="00DF3EF6">
        <w:rPr>
          <w:noProof/>
        </w:rPr>
        <w:t xml:space="preserve"> </w:t>
      </w:r>
      <w:r w:rsidR="1B70FE6A" w:rsidRPr="0031342C">
        <w:rPr>
          <w:noProof/>
        </w:rPr>
        <w:t>ust.</w:t>
      </w:r>
      <w:r w:rsidR="0031342C" w:rsidRPr="0031342C">
        <w:rPr>
          <w:noProof/>
        </w:rPr>
        <w:t> </w:t>
      </w:r>
      <w:r w:rsidR="1B70FE6A" w:rsidRPr="0031342C">
        <w:rPr>
          <w:noProof/>
        </w:rPr>
        <w:t>1</w:t>
      </w:r>
      <w:r w:rsidR="1B70FE6A" w:rsidRPr="00DF3EF6">
        <w:rPr>
          <w:noProof/>
        </w:rPr>
        <w:t xml:space="preserve"> </w:t>
      </w:r>
      <w:r w:rsidR="1B70FE6A" w:rsidRPr="0031342C">
        <w:rPr>
          <w:noProof/>
        </w:rPr>
        <w:t>lit.</w:t>
      </w:r>
      <w:r w:rsidR="0031342C" w:rsidRPr="0031342C">
        <w:rPr>
          <w:noProof/>
        </w:rPr>
        <w:t> </w:t>
      </w:r>
      <w:r w:rsidR="1B70FE6A" w:rsidRPr="0031342C">
        <w:rPr>
          <w:noProof/>
        </w:rPr>
        <w:t>c)</w:t>
      </w:r>
      <w:r w:rsidR="1B70FE6A" w:rsidRPr="00DF3EF6">
        <w:rPr>
          <w:noProof/>
        </w:rPr>
        <w:t xml:space="preserve">, na przestrzeganie przepisów krajowych wdrażających </w:t>
      </w:r>
      <w:r w:rsidR="1B70FE6A" w:rsidRPr="0031342C">
        <w:rPr>
          <w:noProof/>
        </w:rPr>
        <w:t>art.</w:t>
      </w:r>
      <w:r w:rsidR="0031342C" w:rsidRPr="0031342C">
        <w:rPr>
          <w:noProof/>
        </w:rPr>
        <w:t> </w:t>
      </w:r>
      <w:r w:rsidR="1B70FE6A" w:rsidRPr="0031342C">
        <w:rPr>
          <w:noProof/>
        </w:rPr>
        <w:t>1</w:t>
      </w:r>
      <w:r w:rsidR="1B70FE6A" w:rsidRPr="00DF3EF6">
        <w:rPr>
          <w:noProof/>
        </w:rPr>
        <w:t xml:space="preserve">1 </w:t>
      </w:r>
      <w:r w:rsidR="1B70FE6A" w:rsidRPr="0031342C">
        <w:rPr>
          <w:noProof/>
        </w:rPr>
        <w:t>ust.</w:t>
      </w:r>
      <w:r w:rsidR="0031342C" w:rsidRPr="0031342C">
        <w:rPr>
          <w:noProof/>
        </w:rPr>
        <w:t> </w:t>
      </w:r>
      <w:r w:rsidR="1B70FE6A" w:rsidRPr="0031342C">
        <w:rPr>
          <w:noProof/>
        </w:rPr>
        <w:t>3</w:t>
      </w:r>
      <w:r w:rsidR="1B70FE6A" w:rsidRPr="00DF3EF6">
        <w:rPr>
          <w:noProof/>
        </w:rPr>
        <w:t xml:space="preserve"> dyrektywy 2014/49/UE</w:t>
      </w:r>
      <w:r w:rsidR="0031342C" w:rsidRPr="00DF3EF6">
        <w:rPr>
          <w:noProof/>
        </w:rPr>
        <w:t xml:space="preserve"> w</w:t>
      </w:r>
      <w:r w:rsidR="0031342C">
        <w:rPr>
          <w:noProof/>
        </w:rPr>
        <w:t> </w:t>
      </w:r>
      <w:r w:rsidR="0031342C" w:rsidRPr="00DF3EF6">
        <w:rPr>
          <w:noProof/>
        </w:rPr>
        <w:t>brz</w:t>
      </w:r>
      <w:r w:rsidR="1B70FE6A" w:rsidRPr="00DF3EF6">
        <w:rPr>
          <w:noProof/>
        </w:rPr>
        <w:t>mieniu obowiązującym</w:t>
      </w:r>
      <w:r w:rsidR="0031342C" w:rsidRPr="00DF3EF6">
        <w:rPr>
          <w:noProof/>
        </w:rPr>
        <w:t xml:space="preserve"> w</w:t>
      </w:r>
      <w:r w:rsidR="0031342C">
        <w:rPr>
          <w:noProof/>
        </w:rPr>
        <w:t> </w:t>
      </w:r>
      <w:r w:rsidR="0031342C" w:rsidRPr="00DF3EF6">
        <w:rPr>
          <w:noProof/>
        </w:rPr>
        <w:t>dni</w:t>
      </w:r>
      <w:r w:rsidR="1B70FE6A" w:rsidRPr="00DF3EF6">
        <w:rPr>
          <w:noProof/>
        </w:rPr>
        <w:t>u [Urząd Publikacji – proszę wstawić datę wejścia</w:t>
      </w:r>
      <w:r w:rsidR="0031342C" w:rsidRPr="00DF3EF6">
        <w:rPr>
          <w:noProof/>
        </w:rPr>
        <w:t xml:space="preserve"> w</w:t>
      </w:r>
      <w:r w:rsidR="0031342C">
        <w:rPr>
          <w:noProof/>
        </w:rPr>
        <w:t> </w:t>
      </w:r>
      <w:r w:rsidR="0031342C" w:rsidRPr="00DF3EF6">
        <w:rPr>
          <w:noProof/>
        </w:rPr>
        <w:t>życ</w:t>
      </w:r>
      <w:r w:rsidR="1B70FE6A" w:rsidRPr="00DF3EF6">
        <w:rPr>
          <w:noProof/>
        </w:rPr>
        <w:t>ie niniejszej dyrektywy] r.</w:t>
      </w:r>
    </w:p>
    <w:p w14:paraId="1236BF41" w14:textId="77777777" w:rsidR="009065BF" w:rsidRPr="00DF3EF6" w:rsidRDefault="009065BF" w:rsidP="007D1582">
      <w:pPr>
        <w:pStyle w:val="Titrearticle"/>
        <w:keepLines/>
        <w:rPr>
          <w:noProof/>
        </w:rPr>
      </w:pPr>
      <w:bookmarkStart w:id="19" w:name="_Hlk125725253"/>
      <w:r w:rsidRPr="00DF3EF6">
        <w:rPr>
          <w:noProof/>
        </w:rPr>
        <w:t>Artykuł 3</w:t>
      </w:r>
    </w:p>
    <w:p w14:paraId="5953E7F2" w14:textId="77777777" w:rsidR="009B5E09" w:rsidRPr="00DF3EF6" w:rsidRDefault="009B5E09" w:rsidP="009B5E09">
      <w:pPr>
        <w:pStyle w:val="Titrearticle"/>
        <w:rPr>
          <w:b/>
          <w:i w:val="0"/>
          <w:noProof/>
        </w:rPr>
      </w:pPr>
      <w:r w:rsidRPr="00DF3EF6">
        <w:rPr>
          <w:b/>
          <w:i w:val="0"/>
          <w:noProof/>
        </w:rPr>
        <w:t>Transpozycja</w:t>
      </w:r>
    </w:p>
    <w:p w14:paraId="02F605C3" w14:textId="6A6435DF" w:rsidR="009065BF" w:rsidRPr="00DF3EF6" w:rsidRDefault="00322779" w:rsidP="00322779">
      <w:pPr>
        <w:pStyle w:val="ManualNumPar1"/>
        <w:rPr>
          <w:noProof/>
        </w:rPr>
      </w:pPr>
      <w:r w:rsidRPr="00322779">
        <w:t>1.</w:t>
      </w:r>
      <w:r w:rsidRPr="00322779">
        <w:tab/>
      </w:r>
      <w:r w:rsidR="009065BF" w:rsidRPr="00DF3EF6">
        <w:rPr>
          <w:noProof/>
        </w:rPr>
        <w:t>Państwa członkowskie przyjmują</w:t>
      </w:r>
      <w:r w:rsidR="0031342C" w:rsidRPr="00DF3EF6">
        <w:rPr>
          <w:noProof/>
        </w:rPr>
        <w:t xml:space="preserve"> i</w:t>
      </w:r>
      <w:r w:rsidR="0031342C">
        <w:rPr>
          <w:noProof/>
        </w:rPr>
        <w:t> </w:t>
      </w:r>
      <w:r w:rsidR="0031342C" w:rsidRPr="00DF3EF6">
        <w:rPr>
          <w:noProof/>
        </w:rPr>
        <w:t>pub</w:t>
      </w:r>
      <w:r w:rsidR="009065BF" w:rsidRPr="00DF3EF6">
        <w:rPr>
          <w:noProof/>
        </w:rPr>
        <w:t>likują, najpóźniej do dnia ... [Urząd Publikacji – proszę wstawić datę = 24 miesiące po dacie wejścia</w:t>
      </w:r>
      <w:r w:rsidR="0031342C" w:rsidRPr="00DF3EF6">
        <w:rPr>
          <w:noProof/>
        </w:rPr>
        <w:t xml:space="preserve"> w</w:t>
      </w:r>
      <w:r w:rsidR="0031342C">
        <w:rPr>
          <w:noProof/>
        </w:rPr>
        <w:t> </w:t>
      </w:r>
      <w:r w:rsidR="0031342C" w:rsidRPr="00DF3EF6">
        <w:rPr>
          <w:noProof/>
        </w:rPr>
        <w:t>życ</w:t>
      </w:r>
      <w:r w:rsidR="009065BF" w:rsidRPr="00DF3EF6">
        <w:rPr>
          <w:noProof/>
        </w:rPr>
        <w:t>ie niniejszej dyrektywy] r., przepisy ustawowe, wykonawcze</w:t>
      </w:r>
      <w:r w:rsidR="0031342C" w:rsidRPr="00DF3EF6">
        <w:rPr>
          <w:noProof/>
        </w:rPr>
        <w:t xml:space="preserve"> i</w:t>
      </w:r>
      <w:r w:rsidR="0031342C">
        <w:rPr>
          <w:noProof/>
        </w:rPr>
        <w:t> </w:t>
      </w:r>
      <w:r w:rsidR="0031342C" w:rsidRPr="00DF3EF6">
        <w:rPr>
          <w:noProof/>
        </w:rPr>
        <w:t>adm</w:t>
      </w:r>
      <w:r w:rsidR="009065BF" w:rsidRPr="00DF3EF6">
        <w:rPr>
          <w:noProof/>
        </w:rPr>
        <w:t>inistracyjne niezbędne do wykonania niniejszej dyrektywy. Niezwłocznie przekazują Komisji tekst tych przepisów.</w:t>
      </w:r>
    </w:p>
    <w:p w14:paraId="3347AAF6" w14:textId="1949396A" w:rsidR="009065BF" w:rsidRPr="00DF3EF6" w:rsidRDefault="009065BF" w:rsidP="00C9502B">
      <w:pPr>
        <w:pStyle w:val="Text1"/>
        <w:rPr>
          <w:noProof/>
        </w:rPr>
      </w:pPr>
      <w:r w:rsidRPr="00DF3EF6">
        <w:rPr>
          <w:noProof/>
        </w:rPr>
        <w:t>Państwa członkowskie stosują te przepisy od dnia ... [Urząd Publikacji – proszę wstawić datę = 24 miesiące po dacie wejścia</w:t>
      </w:r>
      <w:r w:rsidR="0031342C" w:rsidRPr="00DF3EF6">
        <w:rPr>
          <w:noProof/>
        </w:rPr>
        <w:t xml:space="preserve"> w</w:t>
      </w:r>
      <w:r w:rsidR="0031342C">
        <w:rPr>
          <w:noProof/>
        </w:rPr>
        <w:t> </w:t>
      </w:r>
      <w:r w:rsidR="0031342C" w:rsidRPr="00DF3EF6">
        <w:rPr>
          <w:noProof/>
        </w:rPr>
        <w:t>życ</w:t>
      </w:r>
      <w:r w:rsidRPr="00DF3EF6">
        <w:rPr>
          <w:noProof/>
        </w:rPr>
        <w:t xml:space="preserve">ie niniejszej dyrektywy] r. Państwa członkowskie stosują jednak przepisy niezbędne do wykonania </w:t>
      </w:r>
      <w:r w:rsidRPr="0031342C">
        <w:rPr>
          <w:noProof/>
        </w:rPr>
        <w:t>art.</w:t>
      </w:r>
      <w:r w:rsidR="0031342C" w:rsidRPr="0031342C">
        <w:rPr>
          <w:noProof/>
        </w:rPr>
        <w:t> </w:t>
      </w:r>
      <w:r w:rsidRPr="0031342C">
        <w:rPr>
          <w:noProof/>
        </w:rPr>
        <w:t>1</w:t>
      </w:r>
      <w:r w:rsidRPr="00DF3EF6">
        <w:rPr>
          <w:noProof/>
        </w:rPr>
        <w:t xml:space="preserve">1 </w:t>
      </w:r>
      <w:r w:rsidRPr="0031342C">
        <w:rPr>
          <w:noProof/>
        </w:rPr>
        <w:t>ust.</w:t>
      </w:r>
      <w:r w:rsidR="0031342C" w:rsidRPr="0031342C">
        <w:rPr>
          <w:noProof/>
        </w:rPr>
        <w:t> </w:t>
      </w:r>
      <w:r w:rsidRPr="0031342C">
        <w:rPr>
          <w:noProof/>
        </w:rPr>
        <w:t>3</w:t>
      </w:r>
      <w:r w:rsidRPr="00DF3EF6">
        <w:rPr>
          <w:noProof/>
        </w:rPr>
        <w:t xml:space="preserve">, zmienionego niniejszą dyrektywą, oraz </w:t>
      </w:r>
      <w:r w:rsidRPr="0031342C">
        <w:rPr>
          <w:noProof/>
        </w:rPr>
        <w:t>art.</w:t>
      </w:r>
      <w:r w:rsidR="0031342C" w:rsidRPr="0031342C">
        <w:rPr>
          <w:noProof/>
        </w:rPr>
        <w:t> </w:t>
      </w:r>
      <w:r w:rsidRPr="0031342C">
        <w:rPr>
          <w:noProof/>
        </w:rPr>
        <w:t>1</w:t>
      </w:r>
      <w:r w:rsidRPr="00DF3EF6">
        <w:rPr>
          <w:noProof/>
        </w:rPr>
        <w:t>1a, 11b, 11c</w:t>
      </w:r>
      <w:r w:rsidR="0031342C" w:rsidRPr="00DF3EF6">
        <w:rPr>
          <w:noProof/>
        </w:rPr>
        <w:t xml:space="preserve"> i</w:t>
      </w:r>
      <w:r w:rsidR="0031342C">
        <w:rPr>
          <w:noProof/>
        </w:rPr>
        <w:t> </w:t>
      </w:r>
      <w:r w:rsidR="0031342C" w:rsidRPr="00DF3EF6">
        <w:rPr>
          <w:noProof/>
        </w:rPr>
        <w:t>1</w:t>
      </w:r>
      <w:r w:rsidRPr="00DF3EF6">
        <w:rPr>
          <w:noProof/>
        </w:rPr>
        <w:t>1e</w:t>
      </w:r>
      <w:r w:rsidR="0031342C" w:rsidRPr="00DF3EF6">
        <w:rPr>
          <w:noProof/>
        </w:rPr>
        <w:t xml:space="preserve"> w</w:t>
      </w:r>
      <w:r w:rsidR="0031342C">
        <w:rPr>
          <w:noProof/>
        </w:rPr>
        <w:t> </w:t>
      </w:r>
      <w:r w:rsidR="0031342C" w:rsidRPr="00DF3EF6">
        <w:rPr>
          <w:noProof/>
        </w:rPr>
        <w:t>odn</w:t>
      </w:r>
      <w:r w:rsidRPr="00DF3EF6">
        <w:rPr>
          <w:noProof/>
        </w:rPr>
        <w:t>iesieniu do środków zapobiegawczych od dnia … [Urząd Publikacji – proszę wstawić datę = 48 miesięcy od daty wejścia</w:t>
      </w:r>
      <w:r w:rsidR="0031342C" w:rsidRPr="00DF3EF6">
        <w:rPr>
          <w:noProof/>
        </w:rPr>
        <w:t xml:space="preserve"> w</w:t>
      </w:r>
      <w:r w:rsidR="0031342C">
        <w:rPr>
          <w:noProof/>
        </w:rPr>
        <w:t> </w:t>
      </w:r>
      <w:r w:rsidR="0031342C" w:rsidRPr="00DF3EF6">
        <w:rPr>
          <w:noProof/>
        </w:rPr>
        <w:t>życ</w:t>
      </w:r>
      <w:r w:rsidRPr="00DF3EF6">
        <w:rPr>
          <w:noProof/>
        </w:rPr>
        <w:t>ie niniejszej dyrektywy] r.</w:t>
      </w:r>
    </w:p>
    <w:p w14:paraId="5F765DC9" w14:textId="77777777" w:rsidR="009065BF" w:rsidRPr="00DF3EF6" w:rsidRDefault="009065BF" w:rsidP="00C9502B">
      <w:pPr>
        <w:pStyle w:val="Text1"/>
        <w:rPr>
          <w:noProof/>
        </w:rPr>
      </w:pPr>
      <w:r w:rsidRPr="00DF3EF6">
        <w:rPr>
          <w:noProof/>
        </w:rPr>
        <w:t>Przepisy przyjęte przez państwa członkowskie zawierają odniesienie do niniejszej dyrektywy lub odniesienie takie towarzyszy ich urzędowej publikacji. Metody dokonywania takiego odniesienia określane są przez państwa członkowskie.</w:t>
      </w:r>
    </w:p>
    <w:p w14:paraId="5AF8BE43" w14:textId="079B42F4" w:rsidR="009065BF" w:rsidRPr="00DF3EF6" w:rsidRDefault="00322779" w:rsidP="00322779">
      <w:pPr>
        <w:pStyle w:val="ManualNumPar1"/>
        <w:rPr>
          <w:noProof/>
        </w:rPr>
      </w:pPr>
      <w:r w:rsidRPr="00322779">
        <w:t>2.</w:t>
      </w:r>
      <w:r w:rsidRPr="00322779">
        <w:tab/>
      </w:r>
      <w:r w:rsidR="009065BF" w:rsidRPr="00DF3EF6">
        <w:rPr>
          <w:noProof/>
        </w:rPr>
        <w:t>Państwa członkowskie przekazują Komisji tekst podstawowych przepisów prawa krajowego przyjętych</w:t>
      </w:r>
      <w:r w:rsidR="0031342C" w:rsidRPr="00DF3EF6">
        <w:rPr>
          <w:noProof/>
        </w:rPr>
        <w:t xml:space="preserve"> w</w:t>
      </w:r>
      <w:r w:rsidR="0031342C">
        <w:rPr>
          <w:noProof/>
        </w:rPr>
        <w:t> </w:t>
      </w:r>
      <w:r w:rsidR="0031342C" w:rsidRPr="00DF3EF6">
        <w:rPr>
          <w:noProof/>
        </w:rPr>
        <w:t>dzi</w:t>
      </w:r>
      <w:r w:rsidR="009065BF" w:rsidRPr="00DF3EF6">
        <w:rPr>
          <w:noProof/>
        </w:rPr>
        <w:t>edzinie objętej niniejszą dyrektywą.</w:t>
      </w:r>
    </w:p>
    <w:bookmarkEnd w:id="19"/>
    <w:p w14:paraId="13A7ECCE" w14:textId="77777777" w:rsidR="009065BF" w:rsidRPr="00DF3EF6" w:rsidRDefault="009065BF" w:rsidP="007D1582">
      <w:pPr>
        <w:pStyle w:val="Titrearticle"/>
        <w:rPr>
          <w:noProof/>
        </w:rPr>
      </w:pPr>
      <w:r w:rsidRPr="00DF3EF6">
        <w:rPr>
          <w:noProof/>
        </w:rPr>
        <w:t>Artykuł 4</w:t>
      </w:r>
    </w:p>
    <w:p w14:paraId="2C3453DC" w14:textId="2F4457E4" w:rsidR="009B5E09" w:rsidRPr="00DF3EF6" w:rsidRDefault="009B5E09" w:rsidP="009B5E09">
      <w:pPr>
        <w:pStyle w:val="Titrearticle"/>
        <w:rPr>
          <w:b/>
          <w:i w:val="0"/>
          <w:noProof/>
        </w:rPr>
      </w:pPr>
      <w:r w:rsidRPr="00DF3EF6">
        <w:rPr>
          <w:b/>
          <w:i w:val="0"/>
          <w:noProof/>
        </w:rPr>
        <w:t>Wejście</w:t>
      </w:r>
      <w:r w:rsidR="0031342C" w:rsidRPr="00DF3EF6">
        <w:rPr>
          <w:b/>
          <w:i w:val="0"/>
          <w:noProof/>
        </w:rPr>
        <w:t xml:space="preserve"> w</w:t>
      </w:r>
      <w:r w:rsidR="0031342C">
        <w:rPr>
          <w:b/>
          <w:i w:val="0"/>
          <w:noProof/>
        </w:rPr>
        <w:t> </w:t>
      </w:r>
      <w:r w:rsidR="0031342C" w:rsidRPr="00DF3EF6">
        <w:rPr>
          <w:b/>
          <w:i w:val="0"/>
          <w:noProof/>
        </w:rPr>
        <w:t>życ</w:t>
      </w:r>
      <w:r w:rsidRPr="00DF3EF6">
        <w:rPr>
          <w:b/>
          <w:i w:val="0"/>
          <w:noProof/>
        </w:rPr>
        <w:t>ie</w:t>
      </w:r>
    </w:p>
    <w:p w14:paraId="6E81DB29" w14:textId="4AA30EC6" w:rsidR="00BD7C5F" w:rsidRPr="00DF3EF6" w:rsidRDefault="009065BF" w:rsidP="007D1582">
      <w:pPr>
        <w:rPr>
          <w:noProof/>
        </w:rPr>
      </w:pPr>
      <w:r w:rsidRPr="00DF3EF6">
        <w:rPr>
          <w:noProof/>
        </w:rPr>
        <w:t>Niniejsza dyrektywa wchodzi</w:t>
      </w:r>
      <w:r w:rsidR="0031342C" w:rsidRPr="00DF3EF6">
        <w:rPr>
          <w:noProof/>
        </w:rPr>
        <w:t xml:space="preserve"> w</w:t>
      </w:r>
      <w:r w:rsidR="0031342C">
        <w:rPr>
          <w:noProof/>
        </w:rPr>
        <w:t> </w:t>
      </w:r>
      <w:r w:rsidR="0031342C" w:rsidRPr="00DF3EF6">
        <w:rPr>
          <w:noProof/>
        </w:rPr>
        <w:t>życ</w:t>
      </w:r>
      <w:r w:rsidRPr="00DF3EF6">
        <w:rPr>
          <w:noProof/>
        </w:rPr>
        <w:t>ie dwudziestego dnia po jej opublikowaniu</w:t>
      </w:r>
      <w:r w:rsidR="0031342C" w:rsidRPr="00DF3EF6">
        <w:rPr>
          <w:noProof/>
        </w:rPr>
        <w:t xml:space="preserve"> w</w:t>
      </w:r>
      <w:r w:rsidR="0031342C">
        <w:rPr>
          <w:noProof/>
        </w:rPr>
        <w:t> </w:t>
      </w:r>
      <w:r w:rsidR="0031342C" w:rsidRPr="00DF3EF6">
        <w:rPr>
          <w:i/>
          <w:noProof/>
        </w:rPr>
        <w:t>Dzi</w:t>
      </w:r>
      <w:r w:rsidRPr="00DF3EF6">
        <w:rPr>
          <w:i/>
          <w:noProof/>
        </w:rPr>
        <w:t>enniku Urzędowym Unii Europejskiej</w:t>
      </w:r>
      <w:r w:rsidRPr="00DF3EF6">
        <w:rPr>
          <w:noProof/>
        </w:rPr>
        <w:t>.</w:t>
      </w:r>
    </w:p>
    <w:p w14:paraId="2A9F37FC" w14:textId="77777777" w:rsidR="00BD7C5F" w:rsidRPr="00DF3EF6" w:rsidRDefault="00BD7C5F">
      <w:pPr>
        <w:spacing w:before="0" w:after="200" w:line="276" w:lineRule="auto"/>
        <w:jc w:val="left"/>
        <w:rPr>
          <w:noProof/>
        </w:rPr>
      </w:pPr>
      <w:r w:rsidRPr="00DF3EF6">
        <w:rPr>
          <w:noProof/>
        </w:rPr>
        <w:lastRenderedPageBreak/>
        <w:br w:type="page"/>
      </w:r>
    </w:p>
    <w:p w14:paraId="06C1B599" w14:textId="77777777" w:rsidR="009065BF" w:rsidRPr="00DF3EF6" w:rsidRDefault="009065BF" w:rsidP="007D1582">
      <w:pPr>
        <w:pStyle w:val="Titrearticle"/>
        <w:rPr>
          <w:noProof/>
        </w:rPr>
      </w:pPr>
      <w:r w:rsidRPr="00DF3EF6">
        <w:rPr>
          <w:noProof/>
        </w:rPr>
        <w:lastRenderedPageBreak/>
        <w:t>Artykuł 5</w:t>
      </w:r>
    </w:p>
    <w:p w14:paraId="5060723E" w14:textId="77777777" w:rsidR="00C5767C" w:rsidRPr="00DF3EF6" w:rsidRDefault="00C5767C" w:rsidP="00C5767C">
      <w:pPr>
        <w:jc w:val="center"/>
        <w:rPr>
          <w:noProof/>
        </w:rPr>
      </w:pPr>
      <w:r w:rsidRPr="00DF3EF6">
        <w:rPr>
          <w:b/>
          <w:noProof/>
        </w:rPr>
        <w:t>Adresaci</w:t>
      </w:r>
    </w:p>
    <w:p w14:paraId="1F0B8F30" w14:textId="77777777" w:rsidR="009065BF" w:rsidRPr="00DF3EF6" w:rsidRDefault="009065BF" w:rsidP="007D1582">
      <w:pPr>
        <w:keepNext/>
        <w:keepLines/>
        <w:rPr>
          <w:noProof/>
        </w:rPr>
      </w:pPr>
      <w:r w:rsidRPr="00DF3EF6">
        <w:rPr>
          <w:noProof/>
        </w:rPr>
        <w:t>Niniejsza dyrektywa skierowana jest do państw członkowskich.</w:t>
      </w:r>
    </w:p>
    <w:p w14:paraId="1980F609" w14:textId="34886D07" w:rsidR="009065BF" w:rsidRPr="00DF3EF6" w:rsidRDefault="00731624" w:rsidP="00447A87">
      <w:pPr>
        <w:pStyle w:val="Fait"/>
        <w:rPr>
          <w:noProof/>
        </w:rPr>
      </w:pPr>
      <w:r w:rsidRPr="00731624">
        <w:t>Sporządzono w Strasburgu dnia  r.</w:t>
      </w:r>
    </w:p>
    <w:p w14:paraId="036B89B2" w14:textId="77777777" w:rsidR="009065BF" w:rsidRPr="00DF3EF6" w:rsidRDefault="009065BF" w:rsidP="00447A87">
      <w:pPr>
        <w:pStyle w:val="Institutionquisigne"/>
        <w:rPr>
          <w:noProof/>
        </w:rPr>
      </w:pPr>
      <w:r w:rsidRPr="00DF3EF6">
        <w:rPr>
          <w:noProof/>
        </w:rPr>
        <w:t>W imieniu Parlamentu Europejskiego</w:t>
      </w:r>
      <w:r w:rsidRPr="00DF3EF6">
        <w:rPr>
          <w:noProof/>
        </w:rPr>
        <w:tab/>
        <w:t>W imieniu Rady</w:t>
      </w:r>
    </w:p>
    <w:p w14:paraId="4F8E1DA5" w14:textId="77777777" w:rsidR="009065BF" w:rsidRPr="00DF3EF6" w:rsidRDefault="009065BF" w:rsidP="009065BF">
      <w:pPr>
        <w:pStyle w:val="Personnequisigne"/>
        <w:rPr>
          <w:noProof/>
        </w:rPr>
      </w:pPr>
      <w:r w:rsidRPr="00DF3EF6">
        <w:rPr>
          <w:noProof/>
        </w:rPr>
        <w:t>Przewodnicząca</w:t>
      </w:r>
      <w:r w:rsidRPr="00DF3EF6">
        <w:rPr>
          <w:noProof/>
        </w:rPr>
        <w:tab/>
        <w:t>Przewodniczący</w:t>
      </w:r>
    </w:p>
    <w:sectPr w:rsidR="009065BF" w:rsidRPr="00DF3EF6" w:rsidSect="008B3F9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318B" w14:textId="77777777" w:rsidR="00FB5C1F" w:rsidRDefault="00FB5C1F" w:rsidP="009065BF">
      <w:pPr>
        <w:spacing w:before="0" w:after="0"/>
      </w:pPr>
      <w:r>
        <w:separator/>
      </w:r>
    </w:p>
  </w:endnote>
  <w:endnote w:type="continuationSeparator" w:id="0">
    <w:p w14:paraId="56FBE680" w14:textId="77777777" w:rsidR="00FB5C1F" w:rsidRDefault="00FB5C1F" w:rsidP="009065BF">
      <w:pPr>
        <w:spacing w:before="0" w:after="0"/>
      </w:pPr>
      <w:r>
        <w:continuationSeparator/>
      </w:r>
    </w:p>
  </w:endnote>
  <w:endnote w:type="continuationNotice" w:id="1">
    <w:p w14:paraId="164B903A" w14:textId="77777777" w:rsidR="00FB5C1F" w:rsidRDefault="00FB5C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123B" w14:textId="1A662A50" w:rsidR="00DF3EF6" w:rsidRPr="008B3F9A" w:rsidRDefault="008B3F9A" w:rsidP="008B3F9A">
    <w:pPr>
      <w:pStyle w:val="Footer"/>
      <w:rPr>
        <w:rFonts w:ascii="Arial" w:hAnsi="Arial" w:cs="Arial"/>
        <w:b/>
        <w:sz w:val="48"/>
      </w:rPr>
    </w:pPr>
    <w:r w:rsidRPr="008B3F9A">
      <w:rPr>
        <w:rFonts w:ascii="Arial" w:hAnsi="Arial" w:cs="Arial"/>
        <w:b/>
        <w:sz w:val="48"/>
      </w:rPr>
      <w:t>PL</w:t>
    </w:r>
    <w:r w:rsidRPr="008B3F9A">
      <w:rPr>
        <w:rFonts w:ascii="Arial" w:hAnsi="Arial" w:cs="Arial"/>
        <w:b/>
        <w:sz w:val="48"/>
      </w:rPr>
      <w:tab/>
    </w:r>
    <w:r w:rsidRPr="008B3F9A">
      <w:rPr>
        <w:rFonts w:ascii="Arial" w:hAnsi="Arial" w:cs="Arial"/>
        <w:b/>
        <w:sz w:val="48"/>
      </w:rPr>
      <w:tab/>
    </w:r>
    <w:r w:rsidRPr="008B3F9A">
      <w:tab/>
    </w:r>
    <w:r w:rsidRPr="008B3F9A">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0456" w14:textId="425F7DD3" w:rsidR="008B3F9A" w:rsidRPr="008B3F9A" w:rsidRDefault="008B3F9A" w:rsidP="008B3F9A">
    <w:pPr>
      <w:pStyle w:val="Footer"/>
      <w:rPr>
        <w:rFonts w:ascii="Arial" w:hAnsi="Arial" w:cs="Arial"/>
        <w:b/>
        <w:sz w:val="48"/>
      </w:rPr>
    </w:pPr>
    <w:r w:rsidRPr="008B3F9A">
      <w:rPr>
        <w:rFonts w:ascii="Arial" w:hAnsi="Arial" w:cs="Arial"/>
        <w:b/>
        <w:sz w:val="48"/>
      </w:rPr>
      <w:t>PL</w:t>
    </w:r>
    <w:r w:rsidRPr="008B3F9A">
      <w:rPr>
        <w:rFonts w:ascii="Arial" w:hAnsi="Arial" w:cs="Arial"/>
        <w:b/>
        <w:sz w:val="48"/>
      </w:rPr>
      <w:tab/>
    </w:r>
    <w:r>
      <w:fldChar w:fldCharType="begin"/>
    </w:r>
    <w:r>
      <w:instrText xml:space="preserve"> PAGE  \* MERGEFORMAT </w:instrText>
    </w:r>
    <w:r>
      <w:fldChar w:fldCharType="separate"/>
    </w:r>
    <w:r w:rsidR="00447A87">
      <w:rPr>
        <w:noProof/>
      </w:rPr>
      <w:t>55</w:t>
    </w:r>
    <w:r>
      <w:fldChar w:fldCharType="end"/>
    </w:r>
    <w:r>
      <w:tab/>
    </w:r>
    <w:r w:rsidRPr="008B3F9A">
      <w:tab/>
    </w:r>
    <w:r w:rsidRPr="008B3F9A">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A14FE" w14:textId="77777777" w:rsidR="008B3F9A" w:rsidRPr="008B3F9A" w:rsidRDefault="008B3F9A" w:rsidP="008B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B122" w14:textId="77777777" w:rsidR="00FB5C1F" w:rsidRDefault="00FB5C1F" w:rsidP="009065BF">
      <w:pPr>
        <w:spacing w:before="0" w:after="0"/>
      </w:pPr>
      <w:r>
        <w:separator/>
      </w:r>
    </w:p>
  </w:footnote>
  <w:footnote w:type="continuationSeparator" w:id="0">
    <w:p w14:paraId="14805503" w14:textId="77777777" w:rsidR="00FB5C1F" w:rsidRDefault="00FB5C1F" w:rsidP="009065BF">
      <w:pPr>
        <w:spacing w:before="0" w:after="0"/>
      </w:pPr>
      <w:r>
        <w:continuationSeparator/>
      </w:r>
    </w:p>
  </w:footnote>
  <w:footnote w:type="continuationNotice" w:id="1">
    <w:p w14:paraId="2584122D" w14:textId="77777777" w:rsidR="00FB5C1F" w:rsidRDefault="00FB5C1F">
      <w:pPr>
        <w:spacing w:before="0" w:after="0"/>
      </w:pPr>
    </w:p>
  </w:footnote>
  <w:footnote w:id="2">
    <w:p w14:paraId="3A737954" w14:textId="434F6C1C" w:rsidR="00FB5C1F" w:rsidRPr="00E940C0" w:rsidRDefault="00FB5C1F" w:rsidP="00E25235">
      <w:pPr>
        <w:pStyle w:val="FootnoteText"/>
      </w:pPr>
      <w:r>
        <w:rPr>
          <w:rStyle w:val="FootnoteReference"/>
        </w:rPr>
        <w:footnoteRef/>
      </w:r>
      <w:r>
        <w:tab/>
        <w:t>Dyrektywa Parlamentu Europejskiego</w:t>
      </w:r>
      <w:r w:rsidR="0031342C">
        <w:t xml:space="preserve"> i Rad</w:t>
      </w:r>
      <w:r>
        <w:t>y 2014/49/UE</w:t>
      </w:r>
      <w:r w:rsidR="0031342C">
        <w:t xml:space="preserve"> z dni</w:t>
      </w:r>
      <w:r>
        <w:t>a 16 kwietnia 20</w:t>
      </w:r>
      <w:r w:rsidRPr="0031342C">
        <w:t>14</w:t>
      </w:r>
      <w:r w:rsidR="0031342C" w:rsidRPr="0031342C">
        <w:t> </w:t>
      </w:r>
      <w:r w:rsidRPr="0031342C">
        <w:t>r.</w:t>
      </w:r>
      <w:r w:rsidR="0031342C">
        <w:t xml:space="preserve"> w spr</w:t>
      </w:r>
      <w:r>
        <w:t>awie systemów gwarancji depozytów (Dz.U. L 173</w:t>
      </w:r>
      <w:r w:rsidR="0031342C">
        <w:t xml:space="preserve"> z 1</w:t>
      </w:r>
      <w:r>
        <w:t>2.6.2014, s. 149).</w:t>
      </w:r>
    </w:p>
  </w:footnote>
  <w:footnote w:id="3">
    <w:p w14:paraId="7B0264AD" w14:textId="63B22D2E" w:rsidR="00FB5C1F" w:rsidRPr="00E940C0" w:rsidRDefault="00FB5C1F" w:rsidP="00E25235">
      <w:pPr>
        <w:pStyle w:val="FootnoteText"/>
      </w:pPr>
      <w:r>
        <w:rPr>
          <w:rStyle w:val="FootnoteReference"/>
        </w:rPr>
        <w:footnoteRef/>
      </w:r>
      <w:r>
        <w:tab/>
        <w:t>Dyrektywa Parlamentu Europejskiego</w:t>
      </w:r>
      <w:r w:rsidR="0031342C">
        <w:t xml:space="preserve"> i Rad</w:t>
      </w:r>
      <w:r>
        <w:t>y 2014/59/UE</w:t>
      </w:r>
      <w:r w:rsidR="0031342C">
        <w:t xml:space="preserve"> z dni</w:t>
      </w:r>
      <w:r>
        <w:t>a 15 maja 20</w:t>
      </w:r>
      <w:r w:rsidRPr="0031342C">
        <w:t>14</w:t>
      </w:r>
      <w:r w:rsidR="0031342C" w:rsidRPr="0031342C">
        <w:t> </w:t>
      </w:r>
      <w:r w:rsidRPr="0031342C">
        <w:t>r.</w:t>
      </w:r>
      <w:r>
        <w:t xml:space="preserve"> ustanawiająca ramy na potrzeby prowadzenia działań naprawczych oraz restrukturyzacji</w:t>
      </w:r>
      <w:r w:rsidR="0031342C">
        <w:t xml:space="preserve"> i upo</w:t>
      </w:r>
      <w:r>
        <w:t>rządkowanej likwidacji</w:t>
      </w:r>
      <w:r w:rsidR="0031342C">
        <w:t xml:space="preserve"> w odn</w:t>
      </w:r>
      <w:r>
        <w:t>iesieniu do instytucji kredytowych</w:t>
      </w:r>
      <w:r w:rsidR="0031342C">
        <w:t xml:space="preserve"> i fir</w:t>
      </w:r>
      <w:r>
        <w:t>m inwestycyjnych oraz zmieniająca dyrektywę Rady 82/891/EWG</w:t>
      </w:r>
      <w:r w:rsidR="0031342C">
        <w:t xml:space="preserve"> i dyr</w:t>
      </w:r>
      <w:r>
        <w:t>ektywy Parlamentu Europejskiego</w:t>
      </w:r>
      <w:r w:rsidR="0031342C">
        <w:t xml:space="preserve"> i Rad</w:t>
      </w:r>
      <w:r>
        <w:t>y 2001/24/WE, 2002/47/WE, 2004/25/WE, 2005/56/WE, 2007/36/WE, 2011/35/UE, 2012/30/UE</w:t>
      </w:r>
      <w:r w:rsidR="0031342C">
        <w:t xml:space="preserve"> i 2</w:t>
      </w:r>
      <w:r>
        <w:t>013/36/UE oraz rozporządzenia Parlamentu Europejskiego</w:t>
      </w:r>
      <w:r w:rsidR="0031342C">
        <w:t xml:space="preserve"> i Rad</w:t>
      </w:r>
      <w:r>
        <w:t xml:space="preserve">y (UE) </w:t>
      </w:r>
      <w:r w:rsidRPr="0031342C">
        <w:t>nr</w:t>
      </w:r>
      <w:r w:rsidR="0031342C" w:rsidRPr="0031342C">
        <w:t> </w:t>
      </w:r>
      <w:r w:rsidRPr="0031342C">
        <w:t>1</w:t>
      </w:r>
      <w:r>
        <w:t xml:space="preserve">093/2010 i (UE) </w:t>
      </w:r>
      <w:r w:rsidRPr="0031342C">
        <w:t>nr</w:t>
      </w:r>
      <w:r w:rsidR="0031342C" w:rsidRPr="0031342C">
        <w:t> </w:t>
      </w:r>
      <w:r w:rsidRPr="0031342C">
        <w:t>6</w:t>
      </w:r>
      <w:r>
        <w:t>48/2012 (Dz.U. L 173</w:t>
      </w:r>
      <w:r w:rsidR="0031342C">
        <w:t xml:space="preserve"> z 1</w:t>
      </w:r>
      <w:r>
        <w:t>2.6.2014, s. 190).</w:t>
      </w:r>
    </w:p>
  </w:footnote>
  <w:footnote w:id="4">
    <w:p w14:paraId="25DD46E5" w14:textId="5EEED99D" w:rsidR="00FB5C1F" w:rsidRPr="00E940C0" w:rsidRDefault="00FB5C1F" w:rsidP="00E25235">
      <w:pPr>
        <w:pStyle w:val="FootnoteText"/>
      </w:pPr>
      <w:r>
        <w:rPr>
          <w:rStyle w:val="FootnoteReference"/>
        </w:rPr>
        <w:footnoteRef/>
      </w:r>
      <w:r>
        <w:tab/>
        <w:t>Rozporządzenie Parlamentu Europejskiego</w:t>
      </w:r>
      <w:r w:rsidR="0031342C">
        <w:t xml:space="preserve"> i Rad</w:t>
      </w:r>
      <w:r>
        <w:t xml:space="preserve">y (UE) </w:t>
      </w:r>
      <w:r w:rsidRPr="0031342C">
        <w:t>nr</w:t>
      </w:r>
      <w:r w:rsidR="0031342C" w:rsidRPr="0031342C">
        <w:t> </w:t>
      </w:r>
      <w:r w:rsidRPr="0031342C">
        <w:t>8</w:t>
      </w:r>
      <w:r>
        <w:t>06/2014</w:t>
      </w:r>
      <w:r w:rsidR="0031342C">
        <w:t xml:space="preserve"> z dni</w:t>
      </w:r>
      <w:r>
        <w:t>a 15 lipca 20</w:t>
      </w:r>
      <w:r w:rsidRPr="0031342C">
        <w:t>14</w:t>
      </w:r>
      <w:r w:rsidR="0031342C" w:rsidRPr="0031342C">
        <w:t> </w:t>
      </w:r>
      <w:r w:rsidRPr="0031342C">
        <w:t>r.</w:t>
      </w:r>
      <w:r>
        <w:t xml:space="preserve"> ustanawiające jednolite zasady</w:t>
      </w:r>
      <w:r w:rsidR="0031342C">
        <w:t xml:space="preserve"> i jed</w:t>
      </w:r>
      <w:r>
        <w:t>nolitą procedurę restrukturyzacji</w:t>
      </w:r>
      <w:r w:rsidR="0031342C">
        <w:t xml:space="preserve"> i upo</w:t>
      </w:r>
      <w:r>
        <w:t>rządkowanej likwidacji instytucji kredytowych</w:t>
      </w:r>
      <w:r w:rsidR="0031342C">
        <w:t xml:space="preserve"> i nie</w:t>
      </w:r>
      <w:r>
        <w:t>których firm inwestycyjnych</w:t>
      </w:r>
      <w:r w:rsidR="0031342C">
        <w:t xml:space="preserve"> w ram</w:t>
      </w:r>
      <w:r>
        <w:t>ach jednolitego mechanizmu restrukturyzacji</w:t>
      </w:r>
      <w:r w:rsidR="0031342C">
        <w:t xml:space="preserve"> i upo</w:t>
      </w:r>
      <w:r>
        <w:t>rządkowanej likwidacji oraz jednolitego funduszu restrukturyzacji</w:t>
      </w:r>
      <w:r w:rsidR="0031342C">
        <w:t xml:space="preserve"> i upo</w:t>
      </w:r>
      <w:r>
        <w:t xml:space="preserve">rządkowanej likwidacji oraz zmieniające rozporządzenie (UE) </w:t>
      </w:r>
      <w:r w:rsidRPr="0031342C">
        <w:t>nr</w:t>
      </w:r>
      <w:r w:rsidR="0031342C" w:rsidRPr="0031342C">
        <w:t> </w:t>
      </w:r>
      <w:r w:rsidRPr="0031342C">
        <w:t>1</w:t>
      </w:r>
      <w:r>
        <w:t>093/2010 (Dz.U. L 225</w:t>
      </w:r>
      <w:r w:rsidR="0031342C">
        <w:t xml:space="preserve"> z 3</w:t>
      </w:r>
      <w:r>
        <w:t>0.7.2014, s. 1).</w:t>
      </w:r>
    </w:p>
  </w:footnote>
  <w:footnote w:id="5">
    <w:p w14:paraId="34F59762" w14:textId="08611D5F" w:rsidR="00FB5C1F" w:rsidRPr="00E940C0" w:rsidRDefault="00FB5C1F" w:rsidP="00E25235">
      <w:pPr>
        <w:pStyle w:val="FootnoteText"/>
      </w:pPr>
      <w:r>
        <w:rPr>
          <w:rStyle w:val="FootnoteReference"/>
        </w:rPr>
        <w:footnoteRef/>
      </w:r>
      <w:r>
        <w:tab/>
        <w:t>Ponadto nadal nie zawarto porozumienia</w:t>
      </w:r>
      <w:r w:rsidR="0031342C">
        <w:t xml:space="preserve"> w spr</w:t>
      </w:r>
      <w:r>
        <w:t>awie wiarygodnego</w:t>
      </w:r>
      <w:r w:rsidR="0031342C">
        <w:t xml:space="preserve"> i sol</w:t>
      </w:r>
      <w:r>
        <w:t>idnego mechanizmu zapewniania płynności</w:t>
      </w:r>
      <w:r w:rsidR="0031342C">
        <w:t xml:space="preserve"> w ram</w:t>
      </w:r>
      <w:r>
        <w:t>ach restrukturyzacji</w:t>
      </w:r>
      <w:r w:rsidR="0031342C">
        <w:t xml:space="preserve"> i upo</w:t>
      </w:r>
      <w:r>
        <w:t>rządkowanej likwidacji</w:t>
      </w:r>
      <w:r w:rsidR="0031342C">
        <w:t xml:space="preserve"> w uni</w:t>
      </w:r>
      <w:r>
        <w:t>i bankowej zgodnie</w:t>
      </w:r>
      <w:r w:rsidR="0031342C">
        <w:t xml:space="preserve"> z nor</w:t>
      </w:r>
      <w:r>
        <w:t>mami ustanowionymi przez partnerów międzynarodowych.</w:t>
      </w:r>
    </w:p>
  </w:footnote>
  <w:footnote w:id="6">
    <w:p w14:paraId="4CBD5C6C" w14:textId="77777777" w:rsidR="00FB5C1F" w:rsidRPr="00E940C0" w:rsidRDefault="00FB5C1F" w:rsidP="00E25235">
      <w:pPr>
        <w:pStyle w:val="FootnoteText"/>
      </w:pPr>
      <w:r>
        <w:rPr>
          <w:rStyle w:val="FootnoteReference"/>
        </w:rPr>
        <w:footnoteRef/>
      </w:r>
      <w:r>
        <w:tab/>
        <w:t>COM(2015) 586 final.</w:t>
      </w:r>
    </w:p>
  </w:footnote>
  <w:footnote w:id="7">
    <w:p w14:paraId="178F8290" w14:textId="7D8AB17B" w:rsidR="00FB5C1F" w:rsidRPr="00E940C0" w:rsidRDefault="00FB5C1F" w:rsidP="00E25235">
      <w:pPr>
        <w:pStyle w:val="FootnoteText"/>
      </w:pPr>
      <w:r>
        <w:rPr>
          <w:rStyle w:val="FootnoteReference"/>
        </w:rPr>
        <w:footnoteRef/>
      </w:r>
      <w:r>
        <w:tab/>
        <w:t>Rozporządzenie Parlamentu Europejskiego</w:t>
      </w:r>
      <w:r w:rsidR="0031342C">
        <w:t xml:space="preserve"> i Rad</w:t>
      </w:r>
      <w:r>
        <w:t xml:space="preserve">y (UE) </w:t>
      </w:r>
      <w:r w:rsidRPr="0031342C">
        <w:t>nr</w:t>
      </w:r>
      <w:r w:rsidR="0031342C" w:rsidRPr="0031342C">
        <w:t> </w:t>
      </w:r>
      <w:r w:rsidRPr="0031342C">
        <w:t>5</w:t>
      </w:r>
      <w:r>
        <w:t>75/2013</w:t>
      </w:r>
      <w:r w:rsidR="0031342C">
        <w:t xml:space="preserve"> z dni</w:t>
      </w:r>
      <w:r>
        <w:t>a 26 czerwca 20</w:t>
      </w:r>
      <w:r w:rsidRPr="0031342C">
        <w:t>13</w:t>
      </w:r>
      <w:r w:rsidR="0031342C" w:rsidRPr="0031342C">
        <w:t> </w:t>
      </w:r>
      <w:r w:rsidRPr="0031342C">
        <w:t>r.</w:t>
      </w:r>
      <w:r w:rsidR="0031342C">
        <w:t xml:space="preserve"> w spr</w:t>
      </w:r>
      <w:r>
        <w:t xml:space="preserve">awie wymogów ostrożnościowych dla instytucji kredytowych oraz zmieniające rozporządzenie (UE) </w:t>
      </w:r>
      <w:r w:rsidRPr="0031342C">
        <w:t>nr</w:t>
      </w:r>
      <w:r w:rsidR="0031342C" w:rsidRPr="0031342C">
        <w:t> </w:t>
      </w:r>
      <w:r w:rsidRPr="0031342C">
        <w:t>6</w:t>
      </w:r>
      <w:r>
        <w:t>48/2012 (Dz.U. L 176</w:t>
      </w:r>
      <w:r w:rsidR="0031342C">
        <w:t xml:space="preserve"> z 2</w:t>
      </w:r>
      <w:r>
        <w:t>7.6.2013, s. 1).</w:t>
      </w:r>
    </w:p>
  </w:footnote>
  <w:footnote w:id="8">
    <w:p w14:paraId="7790944B" w14:textId="5544F6DF" w:rsidR="00FB5C1F" w:rsidRPr="00E940C0" w:rsidRDefault="00FB5C1F" w:rsidP="00E25235">
      <w:pPr>
        <w:pStyle w:val="FootnoteText"/>
      </w:pPr>
      <w:r>
        <w:rPr>
          <w:rStyle w:val="FootnoteReference"/>
        </w:rPr>
        <w:footnoteRef/>
      </w:r>
      <w:r>
        <w:tab/>
        <w:t>Dyrektywa Parlamentu Europejskiego</w:t>
      </w:r>
      <w:r w:rsidR="0031342C">
        <w:t xml:space="preserve"> i Rad</w:t>
      </w:r>
      <w:r>
        <w:t>y 2013/36/UE</w:t>
      </w:r>
      <w:r w:rsidR="0031342C">
        <w:t xml:space="preserve"> z dni</w:t>
      </w:r>
      <w:r>
        <w:t>a 26 czerwca 20</w:t>
      </w:r>
      <w:r w:rsidRPr="0031342C">
        <w:t>13</w:t>
      </w:r>
      <w:r w:rsidR="0031342C" w:rsidRPr="0031342C">
        <w:t> </w:t>
      </w:r>
      <w:r w:rsidRPr="0031342C">
        <w:t>r.</w:t>
      </w:r>
      <w:r w:rsidR="0031342C">
        <w:t xml:space="preserve"> w spr</w:t>
      </w:r>
      <w:r>
        <w:t>awie warunków dopuszczenia instytucji kredytowych do działalności oraz nadzoru ostrożnościowego nad instytucjami kredytowymi, zmieniająca dyrektywę 2002/87/WE</w:t>
      </w:r>
      <w:r w:rsidR="0031342C">
        <w:t xml:space="preserve"> i uch</w:t>
      </w:r>
      <w:r>
        <w:t>ylająca dyrektywy 2006/48/WE oraz 2006/49/WE (Dz.U. L 176</w:t>
      </w:r>
      <w:r w:rsidR="0031342C">
        <w:t xml:space="preserve"> z 2</w:t>
      </w:r>
      <w:r>
        <w:t>7.6.2013, s. 338).</w:t>
      </w:r>
    </w:p>
  </w:footnote>
  <w:footnote w:id="9">
    <w:p w14:paraId="0095F41E" w14:textId="34C5BF19" w:rsidR="00FB5C1F" w:rsidRPr="00E940C0" w:rsidRDefault="00FB5C1F" w:rsidP="00E25235">
      <w:pPr>
        <w:pStyle w:val="FootnoteText"/>
      </w:pPr>
      <w:r>
        <w:rPr>
          <w:rStyle w:val="FootnoteReference"/>
        </w:rPr>
        <w:footnoteRef/>
      </w:r>
      <w:r>
        <w:tab/>
        <w:t>Bazylejski Komitet Nadzoru Bankowego</w:t>
      </w:r>
      <w:r w:rsidR="0031342C">
        <w:t xml:space="preserve"> i Rad</w:t>
      </w:r>
      <w:r>
        <w:t>a Stabilności Finansowej. Rada Stabilności Finansowej (wersja zaktualizowana</w:t>
      </w:r>
      <w:r w:rsidR="0031342C">
        <w:t xml:space="preserve"> z 2</w:t>
      </w:r>
      <w:r>
        <w:t>0</w:t>
      </w:r>
      <w:r w:rsidRPr="0031342C">
        <w:t>14</w:t>
      </w:r>
      <w:r w:rsidR="0031342C" w:rsidRPr="0031342C">
        <w:t> </w:t>
      </w:r>
      <w:r w:rsidRPr="0031342C">
        <w:t>r.</w:t>
      </w:r>
      <w:r>
        <w:t xml:space="preserve">), </w:t>
      </w:r>
      <w:hyperlink r:id="rId1" w:history="1">
        <w:r>
          <w:rPr>
            <w:rStyle w:val="Hyperlink"/>
            <w:i/>
          </w:rPr>
          <w:t>„Key Attributes of effective resolution regimes for financial institutions”</w:t>
        </w:r>
      </w:hyperlink>
      <w:r>
        <w:t xml:space="preserve"> [„Kluczowe atrybuty skutecznych systemów restrukturyzacji</w:t>
      </w:r>
      <w:r w:rsidR="0031342C">
        <w:t xml:space="preserve"> i upo</w:t>
      </w:r>
      <w:r>
        <w:t xml:space="preserve">rządkowanej likwidacji instytucji finansowych”] i (2015), </w:t>
      </w:r>
      <w:hyperlink r:id="rId2" w:history="1">
        <w:r>
          <w:rPr>
            <w:rStyle w:val="Hyperlink"/>
            <w:i/>
          </w:rPr>
          <w:t xml:space="preserve">„Principles on Loss-absorbing and Recapitalisation Capacity of Globally Systemically Important Banks (G-SIBs) in Resolution, Total Loss-absorbing Capacity (TLAC) Term Sheet” </w:t>
        </w:r>
      </w:hyperlink>
      <w:r>
        <w:t>[„Zasady</w:t>
      </w:r>
      <w:r w:rsidR="0031342C">
        <w:t xml:space="preserve"> w zak</w:t>
      </w:r>
      <w:r>
        <w:t>resie zdolności do pokrycia strat</w:t>
      </w:r>
      <w:r w:rsidR="0031342C">
        <w:t xml:space="preserve"> i dok</w:t>
      </w:r>
      <w:r>
        <w:t>apitalizowania globalnych banków</w:t>
      </w:r>
      <w:r w:rsidR="0031342C">
        <w:t xml:space="preserve"> o zna</w:t>
      </w:r>
      <w:r>
        <w:t>czeniu systemowym objętych procedurą restrukturyzacji</w:t>
      </w:r>
      <w:r w:rsidR="0031342C">
        <w:t xml:space="preserve"> i upo</w:t>
      </w:r>
      <w:r>
        <w:t>rządkowanej likwidacji. Dokument określający podstawowe warunki dotyczący całkowitej zdolności do pokrycia strat”]</w:t>
      </w:r>
      <w:r>
        <w:rPr>
          <w:i/>
        </w:rPr>
        <w:t>.</w:t>
      </w:r>
    </w:p>
  </w:footnote>
  <w:footnote w:id="10">
    <w:p w14:paraId="13C2C18C" w14:textId="0C7A81BE" w:rsidR="00FB5C1F" w:rsidRPr="00E940C0" w:rsidRDefault="00FB5C1F" w:rsidP="00E25235">
      <w:pPr>
        <w:pStyle w:val="FootnoteText"/>
      </w:pPr>
      <w:r>
        <w:rPr>
          <w:rStyle w:val="FootnoteReference"/>
        </w:rPr>
        <w:footnoteRef/>
      </w:r>
      <w:r>
        <w:tab/>
        <w:t>Eurogrupa (30 listopada 20</w:t>
      </w:r>
      <w:r w:rsidRPr="0031342C">
        <w:t>20</w:t>
      </w:r>
      <w:r w:rsidR="0031342C" w:rsidRPr="0031342C">
        <w:t> </w:t>
      </w:r>
      <w:r w:rsidRPr="0031342C">
        <w:t>r.</w:t>
      </w:r>
      <w:r>
        <w:t xml:space="preserve">), </w:t>
      </w:r>
      <w:hyperlink r:id="rId3" w:history="1">
        <w:r>
          <w:rPr>
            <w:rStyle w:val="Hyperlink"/>
            <w:i/>
          </w:rPr>
          <w:t xml:space="preserve">„Statement of the Eurogroup in inclusive format on the ESM reform and the early introduction of the backstop to the Single Resolution Fund” </w:t>
        </w:r>
      </w:hyperlink>
      <w:r>
        <w:t>[„Oświadczenie Eurogrupy</w:t>
      </w:r>
      <w:r w:rsidR="0031342C">
        <w:t xml:space="preserve"> w roz</w:t>
      </w:r>
      <w:r>
        <w:t>szerzonym składzie</w:t>
      </w:r>
      <w:r w:rsidR="0031342C">
        <w:t xml:space="preserve"> w spr</w:t>
      </w:r>
      <w:r>
        <w:t>awie reformy EMS</w:t>
      </w:r>
      <w:r w:rsidR="0031342C">
        <w:t xml:space="preserve"> i wcz</w:t>
      </w:r>
      <w:r>
        <w:t>esnego wprowadzenia wspólnego mechanizmu ochronnego dla jednolitego funduszu restrukturyzacji</w:t>
      </w:r>
      <w:r w:rsidR="0031342C">
        <w:t xml:space="preserve"> i upo</w:t>
      </w:r>
      <w:r>
        <w:t>rządkowanej likwidacji”]</w:t>
      </w:r>
      <w:r>
        <w:rPr>
          <w:i/>
        </w:rPr>
        <w:t xml:space="preserve">. </w:t>
      </w:r>
      <w:r>
        <w:t>Wdrożenie nastąpi</w:t>
      </w:r>
      <w:r w:rsidR="0031342C">
        <w:t xml:space="preserve"> w lat</w:t>
      </w:r>
      <w:r>
        <w:t xml:space="preserve">ach 2022–2024. </w:t>
      </w:r>
      <w:bookmarkStart w:id="2" w:name="_Hlk130543193"/>
      <w:r w:rsidR="00DF3EF6">
        <w:fldChar w:fldCharType="begin"/>
      </w:r>
      <w:r w:rsidR="00DF3EF6">
        <w:instrText xml:space="preserve"> HYPERLINK "https://www.consilium.europa.eu/pl/documents-publications/treaties-agreements/agreement/?id=2019035&amp;DocLanguage=en" </w:instrText>
      </w:r>
      <w:r w:rsidR="00DF3EF6">
        <w:fldChar w:fldCharType="separate"/>
      </w:r>
      <w:r>
        <w:rPr>
          <w:rStyle w:val="Hyperlink"/>
        </w:rPr>
        <w:t>Porozumienie zmieniające Porozumienie ustanawiające Europejski Mechanizm Stabilności</w:t>
      </w:r>
      <w:r w:rsidR="00DF3EF6">
        <w:rPr>
          <w:rStyle w:val="Hyperlink"/>
        </w:rPr>
        <w:fldChar w:fldCharType="end"/>
      </w:r>
      <w:r>
        <w:t xml:space="preserve"> wciąż jednak oczekuje na ratyfikację.</w:t>
      </w:r>
      <w:bookmarkEnd w:id="2"/>
    </w:p>
  </w:footnote>
  <w:footnote w:id="11">
    <w:p w14:paraId="3187D680" w14:textId="50E94C2C" w:rsidR="00FB5C1F" w:rsidRPr="00E940C0" w:rsidRDefault="00FB5C1F" w:rsidP="00E25235">
      <w:pPr>
        <w:pStyle w:val="FootnoteText"/>
      </w:pPr>
      <w:r>
        <w:rPr>
          <w:rStyle w:val="FootnoteReference"/>
        </w:rPr>
        <w:footnoteRef/>
      </w:r>
      <w:r>
        <w:tab/>
        <w:t xml:space="preserve">Komisja Europejska (2020), </w:t>
      </w:r>
      <w:hyperlink r:id="rId4" w:history="1">
        <w:r>
          <w:rPr>
            <w:rStyle w:val="Hyperlink"/>
            <w:i/>
          </w:rPr>
          <w:t xml:space="preserve">Program prac Komisji </w:t>
        </w:r>
        <w:r w:rsidRPr="0031342C">
          <w:rPr>
            <w:rStyle w:val="Hyperlink"/>
            <w:i/>
          </w:rPr>
          <w:t>na</w:t>
        </w:r>
        <w:r w:rsidR="0031342C" w:rsidRPr="0031342C">
          <w:rPr>
            <w:rStyle w:val="Hyperlink"/>
            <w:i/>
          </w:rPr>
          <w:t> </w:t>
        </w:r>
        <w:r w:rsidRPr="0031342C">
          <w:rPr>
            <w:rStyle w:val="Hyperlink"/>
            <w:i/>
          </w:rPr>
          <w:t>2</w:t>
        </w:r>
        <w:r>
          <w:rPr>
            <w:rStyle w:val="Hyperlink"/>
            <w:i/>
          </w:rPr>
          <w:t>0</w:t>
        </w:r>
        <w:r w:rsidRPr="0031342C">
          <w:rPr>
            <w:rStyle w:val="Hyperlink"/>
            <w:i/>
          </w:rPr>
          <w:t>21</w:t>
        </w:r>
        <w:r w:rsidR="0031342C" w:rsidRPr="0031342C">
          <w:rPr>
            <w:rStyle w:val="Hyperlink"/>
            <w:i/>
          </w:rPr>
          <w:t> </w:t>
        </w:r>
        <w:r w:rsidRPr="0031342C">
          <w:rPr>
            <w:rStyle w:val="Hyperlink"/>
            <w:i/>
          </w:rPr>
          <w:t>r.</w:t>
        </w:r>
      </w:hyperlink>
      <w:r>
        <w:t xml:space="preserve">, </w:t>
      </w:r>
      <w:r w:rsidRPr="0031342C">
        <w:t>pkt</w:t>
      </w:r>
      <w:r w:rsidR="0031342C" w:rsidRPr="0031342C">
        <w:t> </w:t>
      </w:r>
      <w:r w:rsidRPr="0031342C">
        <w:t>2</w:t>
      </w:r>
      <w:r>
        <w:t xml:space="preserve">.3, s. 5. </w:t>
      </w:r>
    </w:p>
  </w:footnote>
  <w:footnote w:id="12">
    <w:p w14:paraId="433CCC25" w14:textId="1A6507B1" w:rsidR="00FB5C1F" w:rsidRPr="00E940C0" w:rsidRDefault="00FB5C1F" w:rsidP="00E25235">
      <w:pPr>
        <w:pStyle w:val="FootnoteText"/>
      </w:pPr>
      <w:r>
        <w:rPr>
          <w:rStyle w:val="FootnoteReference"/>
        </w:rPr>
        <w:footnoteRef/>
      </w:r>
      <w:r>
        <w:tab/>
        <w:t xml:space="preserve">Komisja Europejska (2023), </w:t>
      </w:r>
      <w:hyperlink r:id="rId5" w:history="1">
        <w:r>
          <w:rPr>
            <w:rStyle w:val="Hyperlink"/>
            <w:i/>
          </w:rPr>
          <w:t>Długoterminowa konkurencyjność UE:</w:t>
        </w:r>
      </w:hyperlink>
      <w:hyperlink r:id="rId6" w:history="1">
        <w:r>
          <w:rPr>
            <w:rStyle w:val="Hyperlink"/>
            <w:i/>
          </w:rPr>
          <w:t xml:space="preserve"> perspektywa na przyszłość </w:t>
        </w:r>
        <w:r w:rsidRPr="0031342C">
          <w:rPr>
            <w:rStyle w:val="Hyperlink"/>
            <w:i/>
          </w:rPr>
          <w:t>po</w:t>
        </w:r>
        <w:r w:rsidR="0031342C" w:rsidRPr="0031342C">
          <w:rPr>
            <w:rStyle w:val="Hyperlink"/>
            <w:i/>
          </w:rPr>
          <w:t> </w:t>
        </w:r>
        <w:r w:rsidRPr="0031342C">
          <w:rPr>
            <w:rStyle w:val="Hyperlink"/>
            <w:i/>
          </w:rPr>
          <w:t>2</w:t>
        </w:r>
        <w:r>
          <w:rPr>
            <w:rStyle w:val="Hyperlink"/>
            <w:i/>
          </w:rPr>
          <w:t>0</w:t>
        </w:r>
        <w:r w:rsidRPr="0031342C">
          <w:rPr>
            <w:rStyle w:val="Hyperlink"/>
            <w:i/>
          </w:rPr>
          <w:t>30</w:t>
        </w:r>
        <w:r w:rsidR="0031342C" w:rsidRPr="0031342C">
          <w:rPr>
            <w:rStyle w:val="Hyperlink"/>
            <w:i/>
          </w:rPr>
          <w:t> </w:t>
        </w:r>
        <w:r w:rsidRPr="0031342C">
          <w:rPr>
            <w:rStyle w:val="Hyperlink"/>
            <w:i/>
          </w:rPr>
          <w:t>r.</w:t>
        </w:r>
      </w:hyperlink>
    </w:p>
  </w:footnote>
  <w:footnote w:id="13">
    <w:p w14:paraId="0E708F42" w14:textId="5DF67AA6" w:rsidR="00FB5C1F" w:rsidRPr="00E940C0" w:rsidRDefault="00FB5C1F" w:rsidP="00E25235">
      <w:pPr>
        <w:pStyle w:val="FootnoteText"/>
      </w:pPr>
      <w:r>
        <w:rPr>
          <w:rStyle w:val="FootnoteReference"/>
        </w:rPr>
        <w:footnoteRef/>
      </w:r>
      <w:r>
        <w:tab/>
        <w:t>Eurogrupa (16 czerwca 20</w:t>
      </w:r>
      <w:r w:rsidRPr="0031342C">
        <w:t>22</w:t>
      </w:r>
      <w:r w:rsidR="0031342C" w:rsidRPr="0031342C">
        <w:t> </w:t>
      </w:r>
      <w:r w:rsidRPr="0031342C">
        <w:t>r.</w:t>
      </w:r>
      <w:r>
        <w:t xml:space="preserve">), </w:t>
      </w:r>
      <w:r>
        <w:rPr>
          <w:i/>
          <w:color w:val="0000FF"/>
          <w:u w:val="single"/>
        </w:rPr>
        <w:t>Oświadczenie Eurogrupy</w:t>
      </w:r>
      <w:r w:rsidR="0031342C">
        <w:rPr>
          <w:i/>
          <w:color w:val="0000FF"/>
          <w:u w:val="single"/>
        </w:rPr>
        <w:t xml:space="preserve"> w spr</w:t>
      </w:r>
      <w:r>
        <w:rPr>
          <w:i/>
          <w:color w:val="0000FF"/>
          <w:u w:val="single"/>
        </w:rPr>
        <w:t>awie przyszłości unii bankowej.</w:t>
      </w:r>
    </w:p>
  </w:footnote>
  <w:footnote w:id="14">
    <w:p w14:paraId="0F3490AD" w14:textId="22172276" w:rsidR="00FB5C1F" w:rsidRPr="00E940C0" w:rsidRDefault="00FB5C1F" w:rsidP="00E25235">
      <w:pPr>
        <w:pStyle w:val="FootnoteText"/>
      </w:pPr>
      <w:r>
        <w:rPr>
          <w:rStyle w:val="FootnoteReference"/>
        </w:rPr>
        <w:footnoteRef/>
      </w:r>
      <w:r>
        <w:tab/>
        <w:t xml:space="preserve">Parlament Europejski (2022), </w:t>
      </w:r>
      <w:hyperlink r:id="rId7" w:history="1">
        <w:r>
          <w:rPr>
            <w:rStyle w:val="Hyperlink"/>
            <w:i/>
          </w:rPr>
          <w:t>Sprawozdanie</w:t>
        </w:r>
        <w:r w:rsidR="0031342C">
          <w:rPr>
            <w:rStyle w:val="Hyperlink"/>
            <w:i/>
          </w:rPr>
          <w:t xml:space="preserve"> w spr</w:t>
        </w:r>
        <w:r>
          <w:rPr>
            <w:rStyle w:val="Hyperlink"/>
            <w:i/>
          </w:rPr>
          <w:t xml:space="preserve">awie unii bankowej – sprawozdanie za </w:t>
        </w:r>
        <w:r w:rsidRPr="0031342C">
          <w:rPr>
            <w:rStyle w:val="Hyperlink"/>
            <w:i/>
          </w:rPr>
          <w:t>rok</w:t>
        </w:r>
        <w:r w:rsidR="0031342C" w:rsidRPr="0031342C">
          <w:rPr>
            <w:rStyle w:val="Hyperlink"/>
            <w:i/>
          </w:rPr>
          <w:t> </w:t>
        </w:r>
        <w:r w:rsidRPr="0031342C">
          <w:rPr>
            <w:rStyle w:val="Hyperlink"/>
            <w:i/>
          </w:rPr>
          <w:t>2</w:t>
        </w:r>
        <w:r>
          <w:rPr>
            <w:rStyle w:val="Hyperlink"/>
            <w:i/>
          </w:rPr>
          <w:t>021</w:t>
        </w:r>
      </w:hyperlink>
      <w:r>
        <w:rPr>
          <w:rStyle w:val="Hyperlink"/>
          <w:i/>
        </w:rPr>
        <w:t xml:space="preserve">; </w:t>
      </w:r>
      <w:r>
        <w:t xml:space="preserve">począwszy </w:t>
      </w:r>
      <w:r w:rsidRPr="0031342C">
        <w:t>od</w:t>
      </w:r>
      <w:r w:rsidR="0031342C" w:rsidRPr="0031342C">
        <w:t> </w:t>
      </w:r>
      <w:r w:rsidRPr="0031342C">
        <w:t>2</w:t>
      </w:r>
      <w:r>
        <w:t>0</w:t>
      </w:r>
      <w:r w:rsidRPr="0031342C">
        <w:t>15</w:t>
      </w:r>
      <w:r w:rsidR="0031342C" w:rsidRPr="0031342C">
        <w:t> </w:t>
      </w:r>
      <w:r w:rsidRPr="0031342C">
        <w:t>r.</w:t>
      </w:r>
      <w:r>
        <w:t xml:space="preserve"> Parlament Europejski co roku publikuje sprawozdanie</w:t>
      </w:r>
      <w:r w:rsidR="0031342C">
        <w:t xml:space="preserve"> w spr</w:t>
      </w:r>
      <w:r>
        <w:t>awie unii bankowej.</w:t>
      </w:r>
    </w:p>
  </w:footnote>
  <w:footnote w:id="15">
    <w:p w14:paraId="6E9EEB13" w14:textId="39776069" w:rsidR="00FB5C1F" w:rsidRPr="00E940C0" w:rsidRDefault="00FB5C1F" w:rsidP="00E25235">
      <w:pPr>
        <w:pStyle w:val="FootnoteText"/>
      </w:pPr>
      <w:r>
        <w:rPr>
          <w:rStyle w:val="FootnoteReference"/>
        </w:rPr>
        <w:footnoteRef/>
      </w:r>
      <w:r>
        <w:tab/>
        <w:t>Posiedzenie szczytu strefy euro (24 marca 20</w:t>
      </w:r>
      <w:r w:rsidRPr="0031342C">
        <w:t>23</w:t>
      </w:r>
      <w:r w:rsidR="0031342C" w:rsidRPr="0031342C">
        <w:t> </w:t>
      </w:r>
      <w:r w:rsidRPr="0031342C">
        <w:t>r.</w:t>
      </w:r>
      <w:r>
        <w:t xml:space="preserve">), </w:t>
      </w:r>
      <w:hyperlink r:id="rId8" w:history="1">
        <w:r>
          <w:rPr>
            <w:rStyle w:val="Hyperlink"/>
            <w:i/>
          </w:rPr>
          <w:t>„Statement of the Euro Summit, meeting in inclusive format”</w:t>
        </w:r>
      </w:hyperlink>
      <w:r>
        <w:t xml:space="preserve"> [„Oświadczenie ze szczytu strefy euro, posiedzenie</w:t>
      </w:r>
      <w:r w:rsidR="0031342C">
        <w:t xml:space="preserve"> w for</w:t>
      </w:r>
      <w:r>
        <w:t xml:space="preserve">macie integracyjnym”]. </w:t>
      </w:r>
    </w:p>
  </w:footnote>
  <w:footnote w:id="16">
    <w:p w14:paraId="61AD3AE0" w14:textId="7D514813" w:rsidR="00FB5C1F" w:rsidRPr="00E940C0" w:rsidRDefault="00FB5C1F" w:rsidP="00E25235">
      <w:pPr>
        <w:pStyle w:val="FootnoteText"/>
      </w:pPr>
      <w:r>
        <w:rPr>
          <w:rStyle w:val="FootnoteReference"/>
        </w:rPr>
        <w:footnoteRef/>
      </w:r>
      <w:r>
        <w:tab/>
        <w:t xml:space="preserve">Zob. </w:t>
      </w:r>
      <w:r w:rsidRPr="0031342C">
        <w:t>pkt</w:t>
      </w:r>
      <w:r w:rsidR="0031342C" w:rsidRPr="0031342C">
        <w:t> </w:t>
      </w:r>
      <w:r w:rsidRPr="0031342C">
        <w:t>3</w:t>
      </w:r>
      <w:r>
        <w:t xml:space="preserve"> dotyczący gromadzenia</w:t>
      </w:r>
      <w:r w:rsidR="0031342C">
        <w:t xml:space="preserve"> i wyk</w:t>
      </w:r>
      <w:r>
        <w:t>orzystywania wiedzy fachowej.</w:t>
      </w:r>
    </w:p>
  </w:footnote>
  <w:footnote w:id="17">
    <w:p w14:paraId="4DB890B2" w14:textId="561550AF" w:rsidR="00FB5C1F" w:rsidRPr="00E940C0" w:rsidRDefault="00FB5C1F" w:rsidP="00E25235">
      <w:pPr>
        <w:pStyle w:val="FootnoteText"/>
      </w:pPr>
      <w:r>
        <w:rPr>
          <w:rStyle w:val="FootnoteReference"/>
        </w:rPr>
        <w:footnoteRef/>
      </w:r>
      <w:r>
        <w:tab/>
        <w:t>Komunikat Komisji</w:t>
      </w:r>
      <w:r w:rsidR="0031342C">
        <w:t xml:space="preserve"> w spr</w:t>
      </w:r>
      <w:r>
        <w:t>awie stosowania od dnia 1 sierpnia 20</w:t>
      </w:r>
      <w:r w:rsidRPr="0031342C">
        <w:t>13</w:t>
      </w:r>
      <w:r w:rsidR="0031342C" w:rsidRPr="0031342C">
        <w:t> </w:t>
      </w:r>
      <w:r w:rsidRPr="0031342C">
        <w:t>r.</w:t>
      </w:r>
      <w:r>
        <w:t xml:space="preserve"> reguł pomocy państwa</w:t>
      </w:r>
      <w:r w:rsidR="0031342C">
        <w:t xml:space="preserve"> w odn</w:t>
      </w:r>
      <w:r>
        <w:t>iesieniu do środków wsparcia na rzecz banków</w:t>
      </w:r>
      <w:r w:rsidR="0031342C">
        <w:t xml:space="preserve"> w kon</w:t>
      </w:r>
      <w:r>
        <w:t>tekście kryzysu finansowego („komunikat bankowy”). Tekst mający znaczenie dla EOG; Dz.U. C 216</w:t>
      </w:r>
      <w:r w:rsidR="0031342C">
        <w:t xml:space="preserve"> z 3</w:t>
      </w:r>
      <w:r>
        <w:t>0.7.2013, s. 1.</w:t>
      </w:r>
    </w:p>
  </w:footnote>
  <w:footnote w:id="18">
    <w:p w14:paraId="3C93D707" w14:textId="30940FA0" w:rsidR="00FB5C1F" w:rsidRPr="00E940C0" w:rsidRDefault="00FB5C1F" w:rsidP="00E25235">
      <w:pPr>
        <w:pStyle w:val="FootnoteText"/>
      </w:pPr>
      <w:r>
        <w:rPr>
          <w:rStyle w:val="FootnoteReference"/>
        </w:rPr>
        <w:footnoteRef/>
      </w:r>
      <w:r>
        <w:tab/>
        <w:t>Dyrektywa Parlamentu Europejskiego</w:t>
      </w:r>
      <w:r w:rsidR="0031342C">
        <w:t xml:space="preserve"> i Rad</w:t>
      </w:r>
      <w:r>
        <w:t>y (UE) 2015/2366</w:t>
      </w:r>
      <w:r w:rsidR="0031342C">
        <w:t xml:space="preserve"> z dni</w:t>
      </w:r>
      <w:r>
        <w:t>a 25 listopada 20</w:t>
      </w:r>
      <w:r w:rsidRPr="0031342C">
        <w:t>15</w:t>
      </w:r>
      <w:r w:rsidR="0031342C" w:rsidRPr="0031342C">
        <w:t> </w:t>
      </w:r>
      <w:r w:rsidRPr="0031342C">
        <w:t>r.</w:t>
      </w:r>
      <w:r w:rsidR="0031342C">
        <w:t xml:space="preserve"> w spr</w:t>
      </w:r>
      <w:r>
        <w:t>awie usług płatniczych</w:t>
      </w:r>
      <w:r w:rsidR="0031342C">
        <w:t xml:space="preserve"> w ram</w:t>
      </w:r>
      <w:r>
        <w:t>ach rynku wewnętrznego, zmieniająca dyrektywy 2002/65/WE, 2009/110/WE, 2013/36/UE</w:t>
      </w:r>
      <w:r w:rsidR="0031342C">
        <w:t xml:space="preserve"> i roz</w:t>
      </w:r>
      <w:r>
        <w:t xml:space="preserve">porządzenie (UE) </w:t>
      </w:r>
      <w:r w:rsidRPr="0031342C">
        <w:t>nr</w:t>
      </w:r>
      <w:r w:rsidR="0031342C" w:rsidRPr="0031342C">
        <w:t> </w:t>
      </w:r>
      <w:r w:rsidRPr="0031342C">
        <w:t>1</w:t>
      </w:r>
      <w:r>
        <w:t>093/2010 oraz uchylająca dyrektywę 2007/64/WE (Tekst mający znaczenie dla EOG); Dz.U. L 337</w:t>
      </w:r>
      <w:r w:rsidR="0031342C">
        <w:t xml:space="preserve"> z 2</w:t>
      </w:r>
      <w:r>
        <w:t>3.12.2015, s. 35.</w:t>
      </w:r>
    </w:p>
  </w:footnote>
  <w:footnote w:id="19">
    <w:p w14:paraId="0EAD03A2" w14:textId="43D9E8CC" w:rsidR="00FB5C1F" w:rsidRPr="00E940C0" w:rsidRDefault="00FB5C1F" w:rsidP="00E25235">
      <w:pPr>
        <w:pStyle w:val="FootnoteText"/>
      </w:pPr>
      <w:r>
        <w:rPr>
          <w:rStyle w:val="FootnoteReference"/>
        </w:rPr>
        <w:footnoteRef/>
      </w:r>
      <w:r>
        <w:tab/>
        <w:t>Dyrektywa delegowana Komisji (UE) 2017/593</w:t>
      </w:r>
      <w:r w:rsidR="0031342C">
        <w:t xml:space="preserve"> z dni</w:t>
      </w:r>
      <w:r>
        <w:t>a 7 kwietnia 20</w:t>
      </w:r>
      <w:r w:rsidRPr="0031342C">
        <w:t>16</w:t>
      </w:r>
      <w:r w:rsidR="0031342C" w:rsidRPr="0031342C">
        <w:t> </w:t>
      </w:r>
      <w:r w:rsidRPr="0031342C">
        <w:t>r.</w:t>
      </w:r>
      <w:r>
        <w:t xml:space="preserve"> uzupełniająca dyrektywę Parlamentu Europejskiego</w:t>
      </w:r>
      <w:r w:rsidR="0031342C">
        <w:t xml:space="preserve"> i Rad</w:t>
      </w:r>
      <w:r>
        <w:t>y 2014/65/UE</w:t>
      </w:r>
      <w:r w:rsidR="0031342C">
        <w:t xml:space="preserve"> w odn</w:t>
      </w:r>
      <w:r>
        <w:t>iesieniu do zabezpieczenia instrumentów finansowych</w:t>
      </w:r>
      <w:r w:rsidR="0031342C">
        <w:t xml:space="preserve"> i śro</w:t>
      </w:r>
      <w:r>
        <w:t>dków pieniężnych należących do klientów, zobowiązań</w:t>
      </w:r>
      <w:r w:rsidR="0031342C">
        <w:t xml:space="preserve"> w zak</w:t>
      </w:r>
      <w:r>
        <w:t>resie zarządzania produktami oraz zasad mających zastosowanie do oferowania lub przyjmowania wynagrodzeń, prowizji bądź innych korzyści pieniężnych lub niepieniężnych (Tekst mający znaczenie dla EOG); Dz.U. L 87</w:t>
      </w:r>
      <w:r w:rsidR="0031342C">
        <w:t xml:space="preserve"> z 3</w:t>
      </w:r>
      <w:r>
        <w:t>1.3.2017, s. 500.</w:t>
      </w:r>
    </w:p>
  </w:footnote>
  <w:footnote w:id="20">
    <w:p w14:paraId="1E711A65" w14:textId="51B6999B" w:rsidR="00FB5C1F" w:rsidRPr="00E940C0" w:rsidRDefault="00FB5C1F" w:rsidP="00E25235">
      <w:pPr>
        <w:pStyle w:val="FootnoteText"/>
      </w:pPr>
      <w:r>
        <w:rPr>
          <w:rStyle w:val="FootnoteReference"/>
        </w:rPr>
        <w:footnoteRef/>
      </w:r>
      <w:r>
        <w:tab/>
        <w:t>Zob. wyrok</w:t>
      </w:r>
      <w:r w:rsidR="0031342C">
        <w:t xml:space="preserve"> z dni</w:t>
      </w:r>
      <w:r>
        <w:t>a 21 czerwca 20</w:t>
      </w:r>
      <w:r w:rsidRPr="0031342C">
        <w:t>18</w:t>
      </w:r>
      <w:r w:rsidR="0031342C" w:rsidRPr="0031342C">
        <w:t> </w:t>
      </w:r>
      <w:r w:rsidRPr="0031342C">
        <w:t>r.</w:t>
      </w:r>
      <w:r>
        <w:t>, Polska/Parlament</w:t>
      </w:r>
      <w:r w:rsidR="0031342C">
        <w:t xml:space="preserve"> i Rad</w:t>
      </w:r>
      <w:r>
        <w:t>a, C-5/16, EU:C:2018:483, s. 49, s. 69</w:t>
      </w:r>
      <w:r w:rsidR="0031342C">
        <w:t xml:space="preserve"> i prz</w:t>
      </w:r>
      <w:r>
        <w:t>ytoczone tam orzecznictwo.</w:t>
      </w:r>
    </w:p>
  </w:footnote>
  <w:footnote w:id="21">
    <w:p w14:paraId="740E6589" w14:textId="690F0F23" w:rsidR="00FB5C1F" w:rsidRPr="00E940C0" w:rsidRDefault="00FB5C1F" w:rsidP="00E25235">
      <w:pPr>
        <w:pStyle w:val="FootnoteText"/>
        <w:rPr>
          <w:i/>
        </w:rPr>
      </w:pPr>
      <w:r>
        <w:rPr>
          <w:rStyle w:val="FootnoteReference"/>
        </w:rPr>
        <w:footnoteRef/>
      </w:r>
      <w:r>
        <w:tab/>
        <w:t xml:space="preserve">Komisja Europejska (2021), </w:t>
      </w:r>
      <w:hyperlink r:id="rId9" w:history="1">
        <w:r>
          <w:rPr>
            <w:rStyle w:val="Hyperlink"/>
            <w:i/>
          </w:rPr>
          <w:t xml:space="preserve"> Konsultacje: unia bankowa – przeglądu ram zarządzania kryzysowego</w:t>
        </w:r>
        <w:r w:rsidR="0031342C">
          <w:rPr>
            <w:rStyle w:val="Hyperlink"/>
            <w:i/>
          </w:rPr>
          <w:t xml:space="preserve"> i gwa</w:t>
        </w:r>
        <w:r>
          <w:rPr>
            <w:rStyle w:val="Hyperlink"/>
            <w:i/>
          </w:rPr>
          <w:t>rantowania depozytów</w:t>
        </w:r>
      </w:hyperlink>
      <w:r>
        <w:rPr>
          <w:i/>
        </w:rPr>
        <w:t xml:space="preserve">. </w:t>
      </w:r>
    </w:p>
  </w:footnote>
  <w:footnote w:id="22">
    <w:p w14:paraId="675A3898" w14:textId="20A18D5A" w:rsidR="00FB5C1F" w:rsidRPr="00E940C0" w:rsidRDefault="00FB5C1F" w:rsidP="00E25235">
      <w:pPr>
        <w:pStyle w:val="FootnoteText"/>
      </w:pPr>
      <w:r>
        <w:rPr>
          <w:rStyle w:val="FootnoteReference"/>
        </w:rPr>
        <w:footnoteRef/>
      </w:r>
      <w:r>
        <w:tab/>
        <w:t>EUNB (październik 20</w:t>
      </w:r>
      <w:r w:rsidRPr="0031342C">
        <w:t>21</w:t>
      </w:r>
      <w:r w:rsidR="0031342C" w:rsidRPr="0031342C">
        <w:t> </w:t>
      </w:r>
      <w:r w:rsidRPr="0031342C">
        <w:t>r.</w:t>
      </w:r>
      <w:r>
        <w:t xml:space="preserve">), </w:t>
      </w:r>
      <w:hyperlink r:id="rId10" w:history="1">
        <w:r>
          <w:rPr>
            <w:rStyle w:val="Hyperlink"/>
            <w:i/>
          </w:rPr>
          <w:t xml:space="preserve">„Call for advice regarding funding in resolution and insolvency” </w:t>
        </w:r>
      </w:hyperlink>
      <w:r>
        <w:t>[„Wniosek</w:t>
      </w:r>
      <w:r w:rsidR="0031342C">
        <w:t xml:space="preserve"> o wyd</w:t>
      </w:r>
      <w:r>
        <w:t>anie opinii</w:t>
      </w:r>
      <w:r w:rsidR="0031342C">
        <w:t xml:space="preserve"> w spr</w:t>
      </w:r>
      <w:r>
        <w:t>awie finansowania</w:t>
      </w:r>
      <w:r w:rsidR="0031342C">
        <w:t xml:space="preserve"> w prz</w:t>
      </w:r>
      <w:r>
        <w:t>ypadku restrukturyzacji</w:t>
      </w:r>
      <w:r w:rsidR="0031342C">
        <w:t xml:space="preserve"> i upo</w:t>
      </w:r>
      <w:r>
        <w:t>rządkowanej likwidacji oraz upadłości”].</w:t>
      </w:r>
    </w:p>
  </w:footnote>
  <w:footnote w:id="23">
    <w:p w14:paraId="0B3A1AEE" w14:textId="0721089C" w:rsidR="00FB5C1F" w:rsidRPr="00E940C0" w:rsidRDefault="00FB5C1F" w:rsidP="00E25235">
      <w:pPr>
        <w:pStyle w:val="FootnoteText"/>
      </w:pPr>
      <w:r>
        <w:rPr>
          <w:rStyle w:val="FootnoteReference"/>
        </w:rPr>
        <w:footnoteRef/>
      </w:r>
      <w:r>
        <w:tab/>
        <w:t>EUNB (sierpień 20</w:t>
      </w:r>
      <w:r w:rsidRPr="0031342C">
        <w:t>19</w:t>
      </w:r>
      <w:r w:rsidR="0031342C" w:rsidRPr="0031342C">
        <w:t> </w:t>
      </w:r>
      <w:r w:rsidRPr="0031342C">
        <w:t>r.</w:t>
      </w:r>
      <w:r>
        <w:t xml:space="preserve">), </w:t>
      </w:r>
      <w:hyperlink r:id="rId11" w:history="1">
        <w:r>
          <w:rPr>
            <w:rStyle w:val="Hyperlink"/>
            <w:i/>
          </w:rPr>
          <w:t>„Opinion of the EBA on the eligibility of deposits, coverage level and cooperation between deposit guarantee schemes”</w:t>
        </w:r>
      </w:hyperlink>
      <w:r>
        <w:t xml:space="preserve"> [„Opinia EUNB</w:t>
      </w:r>
      <w:r w:rsidR="0031342C">
        <w:t xml:space="preserve"> w spr</w:t>
      </w:r>
      <w:r>
        <w:t>awie kwalifikowalności depozytów, poziomu gwarancji</w:t>
      </w:r>
      <w:r w:rsidR="0031342C">
        <w:t xml:space="preserve"> i wsp</w:t>
      </w:r>
      <w:r>
        <w:t>ółpracy między systemami gwarancji depozytów”].</w:t>
      </w:r>
    </w:p>
  </w:footnote>
  <w:footnote w:id="24">
    <w:p w14:paraId="4F27CBAA" w14:textId="6072AED8" w:rsidR="00FB5C1F" w:rsidRPr="00E940C0" w:rsidRDefault="00FB5C1F" w:rsidP="00E25235">
      <w:pPr>
        <w:pStyle w:val="FootnoteText"/>
        <w:jc w:val="left"/>
      </w:pPr>
      <w:r>
        <w:rPr>
          <w:rStyle w:val="FootnoteReference"/>
        </w:rPr>
        <w:footnoteRef/>
      </w:r>
      <w:r>
        <w:tab/>
        <w:t>EUNB (październik 20</w:t>
      </w:r>
      <w:r w:rsidRPr="0031342C">
        <w:t>19</w:t>
      </w:r>
      <w:r w:rsidR="0031342C" w:rsidRPr="0031342C">
        <w:t> </w:t>
      </w:r>
      <w:r w:rsidRPr="0031342C">
        <w:t>r.</w:t>
      </w:r>
      <w:r>
        <w:t xml:space="preserve">) </w:t>
      </w:r>
      <w:hyperlink r:id="rId12" w:history="1">
        <w:r>
          <w:rPr>
            <w:rStyle w:val="Hyperlink"/>
            <w:i/>
          </w:rPr>
          <w:t>„Opinion of the EBA on deposit guarantee scheme payouts”</w:t>
        </w:r>
      </w:hyperlink>
      <w:r>
        <w:t xml:space="preserve"> [„Opinia EUNB</w:t>
      </w:r>
      <w:r w:rsidR="0031342C">
        <w:t xml:space="preserve"> w spr</w:t>
      </w:r>
      <w:r>
        <w:t>awie wypłat</w:t>
      </w:r>
      <w:r w:rsidR="0031342C">
        <w:t xml:space="preserve"> z sys</w:t>
      </w:r>
      <w:r>
        <w:t>temu gwarancji depozytów”].</w:t>
      </w:r>
    </w:p>
  </w:footnote>
  <w:footnote w:id="25">
    <w:p w14:paraId="44BD233B" w14:textId="6888AF6C" w:rsidR="00FB5C1F" w:rsidRPr="00E940C0" w:rsidRDefault="00FB5C1F" w:rsidP="00E25235">
      <w:pPr>
        <w:pStyle w:val="FootnoteText"/>
      </w:pPr>
      <w:r>
        <w:rPr>
          <w:rStyle w:val="FootnoteReference"/>
        </w:rPr>
        <w:footnoteRef/>
      </w:r>
      <w:r>
        <w:tab/>
        <w:t>EUNB (styczeń 20</w:t>
      </w:r>
      <w:r w:rsidRPr="0031342C">
        <w:t>20</w:t>
      </w:r>
      <w:r w:rsidR="0031342C" w:rsidRPr="0031342C">
        <w:t> </w:t>
      </w:r>
      <w:r w:rsidRPr="0031342C">
        <w:t>r.</w:t>
      </w:r>
      <w:r>
        <w:t xml:space="preserve">) </w:t>
      </w:r>
      <w:hyperlink r:id="rId13" w:history="1">
        <w:r>
          <w:rPr>
            <w:rStyle w:val="Hyperlink"/>
            <w:i/>
          </w:rPr>
          <w:t>„Opinion of the EBA on deposit guarantee scheme funding and uses of deposit guarantee funds”</w:t>
        </w:r>
      </w:hyperlink>
      <w:r>
        <w:t xml:space="preserve"> [„Opinia EUNB</w:t>
      </w:r>
      <w:r w:rsidR="0031342C">
        <w:t xml:space="preserve"> w spr</w:t>
      </w:r>
      <w:r>
        <w:t>awie finansowania systemów gwarancji depozytów</w:t>
      </w:r>
      <w:r w:rsidR="0031342C">
        <w:t xml:space="preserve"> i wyk</w:t>
      </w:r>
      <w:r>
        <w:t>orzystania środków systemów gwarancji depozytów”].</w:t>
      </w:r>
    </w:p>
  </w:footnote>
  <w:footnote w:id="26">
    <w:p w14:paraId="26FD6C8C" w14:textId="5B9A18B4" w:rsidR="00FB5C1F" w:rsidRPr="00E940C0" w:rsidRDefault="00FB5C1F" w:rsidP="00E25235">
      <w:pPr>
        <w:pStyle w:val="FootnoteText"/>
      </w:pPr>
      <w:r>
        <w:rPr>
          <w:rStyle w:val="FootnoteReference"/>
        </w:rPr>
        <w:footnoteRef/>
      </w:r>
      <w:r>
        <w:tab/>
        <w:t>EUNB (październik 20</w:t>
      </w:r>
      <w:r w:rsidRPr="0031342C">
        <w:t>21</w:t>
      </w:r>
      <w:r w:rsidR="0031342C" w:rsidRPr="0031342C">
        <w:t> </w:t>
      </w:r>
      <w:r w:rsidRPr="0031342C">
        <w:t>r.</w:t>
      </w:r>
      <w:r>
        <w:t xml:space="preserve">), </w:t>
      </w:r>
      <w:hyperlink r:id="rId14" w:history="1">
        <w:r>
          <w:rPr>
            <w:rStyle w:val="Hyperlink"/>
            <w:i/>
          </w:rPr>
          <w:t>„Opinion of the EBA on the treatment of client funds under the DGSD”</w:t>
        </w:r>
      </w:hyperlink>
      <w:r>
        <w:t xml:space="preserve"> [„Opinia EUNB</w:t>
      </w:r>
      <w:r w:rsidR="0031342C">
        <w:t xml:space="preserve"> w spr</w:t>
      </w:r>
      <w:r>
        <w:t>awie traktowania środków finansowych należących do klientów</w:t>
      </w:r>
      <w:r w:rsidR="0031342C">
        <w:t xml:space="preserve"> w ram</w:t>
      </w:r>
      <w:r>
        <w:t>ach dyrektywy</w:t>
      </w:r>
      <w:r w:rsidR="0031342C">
        <w:t xml:space="preserve"> w spr</w:t>
      </w:r>
      <w:r>
        <w:t>awie systemów gwarancji depozytów”].</w:t>
      </w:r>
    </w:p>
  </w:footnote>
  <w:footnote w:id="27">
    <w:p w14:paraId="6339EFBA" w14:textId="284982E5" w:rsidR="00FB5C1F" w:rsidRPr="00E940C0" w:rsidRDefault="00FB5C1F" w:rsidP="00E25235">
      <w:pPr>
        <w:pStyle w:val="FootnoteText"/>
      </w:pPr>
      <w:r>
        <w:rPr>
          <w:rStyle w:val="FootnoteReference"/>
        </w:rPr>
        <w:footnoteRef/>
      </w:r>
      <w:r>
        <w:tab/>
        <w:t xml:space="preserve">EUNB (grudzień 2021), </w:t>
      </w:r>
      <w:hyperlink r:id="rId15" w:history="1">
        <w:r>
          <w:rPr>
            <w:rStyle w:val="Hyperlink"/>
            <w:i/>
          </w:rPr>
          <w:t>„Opinion of the EBA on the interplay between the EU Anti-Money Laundering Directive and the EU Deposit Guarantee Scheme Directive”</w:t>
        </w:r>
      </w:hyperlink>
      <w:r>
        <w:t xml:space="preserve"> [„Opinia EUNB</w:t>
      </w:r>
      <w:r w:rsidR="0031342C">
        <w:t xml:space="preserve"> w spr</w:t>
      </w:r>
      <w:r>
        <w:t>awie wzajemnej zależności między dyrektywą UE</w:t>
      </w:r>
      <w:r w:rsidR="0031342C">
        <w:t xml:space="preserve"> w spr</w:t>
      </w:r>
      <w:r>
        <w:t>awie przeciwdziałania praniu pieniędzy</w:t>
      </w:r>
      <w:r w:rsidR="0031342C">
        <w:t xml:space="preserve"> a dyr</w:t>
      </w:r>
      <w:r>
        <w:t>ektywą UE</w:t>
      </w:r>
      <w:r w:rsidR="0031342C">
        <w:t xml:space="preserve"> w spr</w:t>
      </w:r>
      <w:r>
        <w:t xml:space="preserve">awie systemów gwarancji depozytów”]. </w:t>
      </w:r>
    </w:p>
  </w:footnote>
  <w:footnote w:id="28">
    <w:p w14:paraId="40AEAD9A" w14:textId="4CD98096" w:rsidR="00FB5C1F" w:rsidRPr="00E940C0" w:rsidRDefault="00FB5C1F" w:rsidP="00E25235">
      <w:pPr>
        <w:pStyle w:val="FootnoteText"/>
        <w:jc w:val="left"/>
      </w:pPr>
      <w:r>
        <w:rPr>
          <w:rStyle w:val="FootnoteReference"/>
        </w:rPr>
        <w:footnoteRef/>
      </w:r>
      <w:r>
        <w:tab/>
        <w:t>EUNB (marzec 20</w:t>
      </w:r>
      <w:r w:rsidRPr="0031342C">
        <w:t>21</w:t>
      </w:r>
      <w:r w:rsidR="0031342C" w:rsidRPr="0031342C">
        <w:t> </w:t>
      </w:r>
      <w:r w:rsidRPr="0031342C">
        <w:t>r.</w:t>
      </w:r>
      <w:r>
        <w:t xml:space="preserve">), </w:t>
      </w:r>
      <w:hyperlink r:id="rId16" w:history="1">
        <w:r>
          <w:rPr>
            <w:rStyle w:val="Hyperlink"/>
            <w:i/>
          </w:rPr>
          <w:t>„Opinion of the EBA on the risks of money laundering and terrorist financing affecting the EU’s financial sector”</w:t>
        </w:r>
      </w:hyperlink>
      <w:r>
        <w:t xml:space="preserve"> [„Opinia EUNB</w:t>
      </w:r>
      <w:r w:rsidR="0031342C">
        <w:t xml:space="preserve"> w spr</w:t>
      </w:r>
      <w:r>
        <w:t>awie ryzyka związanego</w:t>
      </w:r>
      <w:r w:rsidR="0031342C">
        <w:t xml:space="preserve"> z pra</w:t>
      </w:r>
      <w:r>
        <w:t>niem pieniędzy</w:t>
      </w:r>
      <w:r w:rsidR="0031342C">
        <w:t xml:space="preserve"> i fin</w:t>
      </w:r>
      <w:r>
        <w:t>ansowaniem terroryzmu mającego wpływ na sektor finansowy UE”].</w:t>
      </w:r>
    </w:p>
  </w:footnote>
  <w:footnote w:id="29">
    <w:p w14:paraId="0846D087" w14:textId="2A37D0D2" w:rsidR="00FB5C1F" w:rsidRPr="00E940C0" w:rsidRDefault="00FB5C1F" w:rsidP="00E25235">
      <w:pPr>
        <w:pStyle w:val="FootnoteText"/>
      </w:pPr>
      <w:r>
        <w:rPr>
          <w:rStyle w:val="FootnoteReference"/>
        </w:rPr>
        <w:footnoteRef/>
      </w:r>
      <w:r>
        <w:tab/>
        <w:t>Centrum Studiów nad Polityką Europejską (grudzień 20</w:t>
      </w:r>
      <w:r w:rsidRPr="0031342C">
        <w:t>16</w:t>
      </w:r>
      <w:r w:rsidR="0031342C" w:rsidRPr="0031342C">
        <w:t> </w:t>
      </w:r>
      <w:r w:rsidRPr="0031342C">
        <w:t>r.</w:t>
      </w:r>
      <w:r>
        <w:t xml:space="preserve">), </w:t>
      </w:r>
      <w:hyperlink r:id="rId17" w:history="1">
        <w:r>
          <w:rPr>
            <w:rStyle w:val="Hyperlink"/>
            <w:i/>
          </w:rPr>
          <w:t>„Harmonising insolvency laws in the Euro area”</w:t>
        </w:r>
      </w:hyperlink>
      <w:r>
        <w:t xml:space="preserve"> [„Harmonizacja prawa dotyczącego niewypłacalności</w:t>
      </w:r>
      <w:r w:rsidR="0031342C">
        <w:t xml:space="preserve"> w str</w:t>
      </w:r>
      <w:r>
        <w:t xml:space="preserve">efie euro”]. </w:t>
      </w:r>
      <w:hyperlink r:id="rId18" w:history="1">
        <w:r>
          <w:rPr>
            <w:rStyle w:val="Hyperlink"/>
          </w:rPr>
          <w:t>https://www.ceps.eu/ceps-publications/harmonising-insolvency-laws-euro-area-rationale-stocktaking-and-challenges/</w:t>
        </w:r>
      </w:hyperlink>
    </w:p>
  </w:footnote>
  <w:footnote w:id="30">
    <w:p w14:paraId="1FBA8DE2" w14:textId="06015944" w:rsidR="00FB5C1F" w:rsidRPr="00E940C0" w:rsidRDefault="00FB5C1F" w:rsidP="00E25235">
      <w:pPr>
        <w:pStyle w:val="FootnoteText"/>
      </w:pPr>
      <w:r>
        <w:rPr>
          <w:rStyle w:val="FootnoteReference"/>
        </w:rPr>
        <w:footnoteRef/>
      </w:r>
      <w:r>
        <w:tab/>
        <w:t>Centrum Studiów nad Polityką Europejską (listopad 20</w:t>
      </w:r>
      <w:r w:rsidRPr="0031342C">
        <w:t>19</w:t>
      </w:r>
      <w:r w:rsidR="0031342C" w:rsidRPr="0031342C">
        <w:t> </w:t>
      </w:r>
      <w:r w:rsidRPr="0031342C">
        <w:t>r.</w:t>
      </w:r>
      <w:r>
        <w:t xml:space="preserve">), </w:t>
      </w:r>
      <w:hyperlink r:id="rId19" w:history="1">
        <w:r>
          <w:rPr>
            <w:rStyle w:val="Hyperlink"/>
            <w:i/>
          </w:rPr>
          <w:t>Options and national discretions under the DGSD and their treatment in the context of</w:t>
        </w:r>
        <w:r w:rsidR="0031342C">
          <w:rPr>
            <w:rStyle w:val="Hyperlink"/>
            <w:i/>
          </w:rPr>
          <w:t xml:space="preserve"> a Eur</w:t>
        </w:r>
        <w:r>
          <w:rPr>
            <w:rStyle w:val="Hyperlink"/>
            <w:i/>
          </w:rPr>
          <w:t>opean Deposit Insurance Scheme</w:t>
        </w:r>
      </w:hyperlink>
      <w:r>
        <w:t xml:space="preserve"> [„Opcje</w:t>
      </w:r>
      <w:r w:rsidR="0031342C">
        <w:t xml:space="preserve"> i swo</w:t>
      </w:r>
      <w:r>
        <w:t>body uznania</w:t>
      </w:r>
      <w:r w:rsidR="0031342C">
        <w:t xml:space="preserve"> w sys</w:t>
      </w:r>
      <w:r>
        <w:t>temach krajowych</w:t>
      </w:r>
      <w:r w:rsidR="0031342C">
        <w:t xml:space="preserve"> w ram</w:t>
      </w:r>
      <w:r>
        <w:t>ach dyrektywa</w:t>
      </w:r>
      <w:r w:rsidR="0031342C">
        <w:t xml:space="preserve"> w spr</w:t>
      </w:r>
      <w:r>
        <w:t>awie systemów gwarancji depozytów oraz ich traktowanie</w:t>
      </w:r>
      <w:r w:rsidR="0031342C">
        <w:t xml:space="preserve"> w kon</w:t>
      </w:r>
      <w:r>
        <w:t xml:space="preserve">tekście europejskiego systemu gwarantowania depozytów”]. </w:t>
      </w:r>
    </w:p>
  </w:footnote>
  <w:footnote w:id="31">
    <w:p w14:paraId="2C516ED3" w14:textId="01671B68" w:rsidR="00FB5C1F" w:rsidRDefault="00FB5C1F">
      <w:pPr>
        <w:pStyle w:val="FootnoteText"/>
      </w:pPr>
      <w:r w:rsidRPr="00524283">
        <w:rPr>
          <w:rStyle w:val="FootnoteReference"/>
        </w:rPr>
        <w:footnoteRef/>
      </w:r>
      <w:r w:rsidR="00524283">
        <w:tab/>
      </w:r>
      <w:r>
        <w:t>Zob. odniesienia do SWD(2023) 226 (zestawienie informacji dotyczące oceny skutków) i SEC(2023) 230 (pozytywna opinia Rady ds. Kontroli Regulacyjnej).</w:t>
      </w:r>
    </w:p>
  </w:footnote>
  <w:footnote w:id="32">
    <w:p w14:paraId="52E1CB7A" w14:textId="7582DAF7" w:rsidR="00FB5C1F" w:rsidRPr="00E940C0" w:rsidRDefault="00FB5C1F" w:rsidP="00E25235">
      <w:pPr>
        <w:pStyle w:val="FootnoteText"/>
      </w:pPr>
      <w:r>
        <w:rPr>
          <w:rStyle w:val="FootnoteReference"/>
        </w:rPr>
        <w:footnoteRef/>
      </w:r>
      <w:r>
        <w:tab/>
        <w:t>We wniosku zobowiązuje się państwa członkowskie do transponowania niniejszej dyrektywy do prawa krajowego</w:t>
      </w:r>
      <w:r w:rsidR="0031342C">
        <w:t xml:space="preserve"> w ter</w:t>
      </w:r>
      <w:r>
        <w:t>minie 18 miesięcy od wejścia</w:t>
      </w:r>
      <w:r w:rsidR="0031342C">
        <w:t xml:space="preserve"> w życ</w:t>
      </w:r>
      <w:r>
        <w:t>ie niniejszego wniosku.</w:t>
      </w:r>
    </w:p>
  </w:footnote>
  <w:footnote w:id="33">
    <w:p w14:paraId="3B47DFE3" w14:textId="3EFA351A" w:rsidR="00FB5C1F" w:rsidRDefault="00FB5C1F" w:rsidP="00A601F7">
      <w:pPr>
        <w:pStyle w:val="FootnoteText"/>
      </w:pPr>
      <w:r>
        <w:rPr>
          <w:rStyle w:val="FootnoteReference"/>
        </w:rPr>
        <w:footnoteRef/>
      </w:r>
      <w:r>
        <w:tab/>
        <w:t>Komisja Europejska (lipiec 20</w:t>
      </w:r>
      <w:r w:rsidRPr="0031342C">
        <w:t>21</w:t>
      </w:r>
      <w:r w:rsidR="0031342C" w:rsidRPr="0031342C">
        <w:t> </w:t>
      </w:r>
      <w:r w:rsidRPr="0031342C">
        <w:t>r.</w:t>
      </w:r>
      <w:r>
        <w:t xml:space="preserve">), </w:t>
      </w:r>
      <w:hyperlink r:id="rId20" w:history="1">
        <w:r>
          <w:rPr>
            <w:rStyle w:val="Hyperlink"/>
            <w:i/>
          </w:rPr>
          <w:t>wniosek dotyczący rozporządzenia Parlamentu Europejskiego</w:t>
        </w:r>
        <w:r w:rsidR="0031342C">
          <w:rPr>
            <w:rStyle w:val="Hyperlink"/>
            <w:i/>
          </w:rPr>
          <w:t xml:space="preserve"> i Rad</w:t>
        </w:r>
        <w:r>
          <w:rPr>
            <w:rStyle w:val="Hyperlink"/>
            <w:i/>
          </w:rPr>
          <w:t>y</w:t>
        </w:r>
        <w:r w:rsidR="0031342C">
          <w:rPr>
            <w:rStyle w:val="Hyperlink"/>
            <w:i/>
          </w:rPr>
          <w:t xml:space="preserve"> w spr</w:t>
        </w:r>
        <w:r>
          <w:rPr>
            <w:rStyle w:val="Hyperlink"/>
            <w:i/>
          </w:rPr>
          <w:t>awie przeciwdziałania korzystaniu</w:t>
        </w:r>
        <w:r w:rsidR="0031342C">
          <w:rPr>
            <w:rStyle w:val="Hyperlink"/>
            <w:i/>
          </w:rPr>
          <w:t xml:space="preserve"> z sys</w:t>
        </w:r>
        <w:r>
          <w:rPr>
            <w:rStyle w:val="Hyperlink"/>
            <w:i/>
          </w:rPr>
          <w:t>temu finansowego</w:t>
        </w:r>
        <w:r w:rsidR="0031342C">
          <w:rPr>
            <w:rStyle w:val="Hyperlink"/>
            <w:i/>
          </w:rPr>
          <w:t xml:space="preserve"> w cel</w:t>
        </w:r>
        <w:r>
          <w:rPr>
            <w:rStyle w:val="Hyperlink"/>
            <w:i/>
          </w:rPr>
          <w:t>u prania pieniędzy lub finansowania terroryzmu, COM(2021) 420 final</w:t>
        </w:r>
      </w:hyperlink>
      <w:r>
        <w:t>.</w:t>
      </w:r>
    </w:p>
  </w:footnote>
  <w:footnote w:id="34">
    <w:p w14:paraId="4F64D5C4" w14:textId="77777777" w:rsidR="00FB5C1F" w:rsidRPr="00BB2C10" w:rsidRDefault="00FB5C1F" w:rsidP="007D1582">
      <w:pPr>
        <w:pStyle w:val="FootnoteText"/>
      </w:pPr>
      <w:r>
        <w:rPr>
          <w:rStyle w:val="FootnoteReference"/>
        </w:rPr>
        <w:footnoteRef/>
      </w:r>
      <w:r>
        <w:tab/>
        <w:t>Dz.U. C […] z […], s. […].</w:t>
      </w:r>
    </w:p>
  </w:footnote>
  <w:footnote w:id="35">
    <w:p w14:paraId="6A6992EC" w14:textId="77777777" w:rsidR="00FB5C1F" w:rsidRPr="00BB2C10" w:rsidRDefault="00FB5C1F" w:rsidP="007D1582">
      <w:pPr>
        <w:pStyle w:val="FootnoteText"/>
      </w:pPr>
      <w:r>
        <w:rPr>
          <w:rStyle w:val="FootnoteReference"/>
        </w:rPr>
        <w:footnoteRef/>
      </w:r>
      <w:r>
        <w:tab/>
        <w:t>Dz.U. C […] z […], s. […].</w:t>
      </w:r>
    </w:p>
  </w:footnote>
  <w:footnote w:id="36">
    <w:p w14:paraId="6F3655F4" w14:textId="77777777" w:rsidR="00FB5C1F" w:rsidRPr="00BB2C10" w:rsidRDefault="00FB5C1F" w:rsidP="000A3395">
      <w:pPr>
        <w:pStyle w:val="FootnoteText"/>
      </w:pPr>
      <w:r>
        <w:rPr>
          <w:rStyle w:val="FootnoteReference"/>
        </w:rPr>
        <w:footnoteRef/>
      </w:r>
      <w:r>
        <w:tab/>
        <w:t>Dz.U. C […] z […], s. […].</w:t>
      </w:r>
    </w:p>
  </w:footnote>
  <w:footnote w:id="37">
    <w:p w14:paraId="128C52E7" w14:textId="6C7D2A3E" w:rsidR="00FB5C1F" w:rsidRPr="00E940C0" w:rsidRDefault="00FB5C1F">
      <w:pPr>
        <w:pStyle w:val="FootnoteText"/>
      </w:pPr>
      <w:r>
        <w:rPr>
          <w:rStyle w:val="FootnoteReference"/>
        </w:rPr>
        <w:footnoteRef/>
      </w:r>
      <w:r>
        <w:tab/>
      </w:r>
      <w:r>
        <w:rPr>
          <w:color w:val="333333"/>
        </w:rPr>
        <w:t>Dyrektywa Parlamentu Europejskiego</w:t>
      </w:r>
      <w:r w:rsidR="0031342C">
        <w:rPr>
          <w:color w:val="333333"/>
        </w:rPr>
        <w:t xml:space="preserve"> i Rad</w:t>
      </w:r>
      <w:r>
        <w:rPr>
          <w:color w:val="333333"/>
        </w:rPr>
        <w:t>y 2014/49/UE</w:t>
      </w:r>
      <w:r w:rsidR="0031342C">
        <w:rPr>
          <w:color w:val="333333"/>
        </w:rPr>
        <w:t xml:space="preserve"> z dni</w:t>
      </w:r>
      <w:r>
        <w:rPr>
          <w:color w:val="333333"/>
        </w:rPr>
        <w:t>a 16 kwietnia 20</w:t>
      </w:r>
      <w:r w:rsidRPr="0031342C">
        <w:rPr>
          <w:color w:val="333333"/>
        </w:rPr>
        <w:t>14</w:t>
      </w:r>
      <w:r w:rsidR="0031342C" w:rsidRPr="0031342C">
        <w:rPr>
          <w:color w:val="333333"/>
        </w:rPr>
        <w:t> </w:t>
      </w:r>
      <w:r w:rsidRPr="0031342C">
        <w:rPr>
          <w:color w:val="333333"/>
        </w:rPr>
        <w:t>r.</w:t>
      </w:r>
      <w:r w:rsidR="0031342C">
        <w:rPr>
          <w:color w:val="333333"/>
        </w:rPr>
        <w:t xml:space="preserve"> w spr</w:t>
      </w:r>
      <w:r>
        <w:rPr>
          <w:color w:val="333333"/>
        </w:rPr>
        <w:t>awie systemów gwarancji depozytów (wersja przekształcona) (</w:t>
      </w:r>
      <w:r>
        <w:rPr>
          <w:rStyle w:val="Emphasis"/>
          <w:i w:val="0"/>
          <w:color w:val="333333"/>
        </w:rPr>
        <w:t>Dz.U. L 173</w:t>
      </w:r>
      <w:r w:rsidR="0031342C">
        <w:rPr>
          <w:rStyle w:val="Emphasis"/>
          <w:i w:val="0"/>
          <w:color w:val="333333"/>
        </w:rPr>
        <w:t xml:space="preserve"> z 1</w:t>
      </w:r>
      <w:r>
        <w:rPr>
          <w:rStyle w:val="Emphasis"/>
          <w:i w:val="0"/>
          <w:color w:val="333333"/>
        </w:rPr>
        <w:t>2.6.2014, s. 149).</w:t>
      </w:r>
    </w:p>
  </w:footnote>
  <w:footnote w:id="38">
    <w:p w14:paraId="2C5512B4" w14:textId="4453766E" w:rsidR="00FB5C1F" w:rsidRPr="00E940C0" w:rsidRDefault="00FB5C1F" w:rsidP="00F103DE">
      <w:pPr>
        <w:pStyle w:val="FootnoteText"/>
      </w:pPr>
      <w:r>
        <w:rPr>
          <w:rStyle w:val="FootnoteReference"/>
        </w:rPr>
        <w:footnoteRef/>
      </w:r>
      <w:r>
        <w:tab/>
        <w:t>Dyrektywa Parlamentu Europejskiego</w:t>
      </w:r>
      <w:r w:rsidR="0031342C">
        <w:t xml:space="preserve"> i Rad</w:t>
      </w:r>
      <w:r>
        <w:t>y 2013/36/UE</w:t>
      </w:r>
      <w:r w:rsidR="0031342C">
        <w:t xml:space="preserve"> z dni</w:t>
      </w:r>
      <w:r>
        <w:t>a 26 czerwca 20</w:t>
      </w:r>
      <w:r w:rsidRPr="0031342C">
        <w:t>13</w:t>
      </w:r>
      <w:r w:rsidR="0031342C" w:rsidRPr="0031342C">
        <w:t> </w:t>
      </w:r>
      <w:r w:rsidRPr="0031342C">
        <w:t>r.</w:t>
      </w:r>
      <w:r w:rsidR="0031342C">
        <w:t xml:space="preserve"> w spr</w:t>
      </w:r>
      <w:r>
        <w:t>awie warunków dopuszczenia instytucji kredytowych do działalności oraz nadzoru ostrożnościowego nad instytucjami kredytowymi</w:t>
      </w:r>
      <w:r w:rsidR="0031342C">
        <w:t xml:space="preserve"> i fir</w:t>
      </w:r>
      <w:r>
        <w:t>mami inwestycyjnymi, zmieniająca dyrektywę 2002/87/WE</w:t>
      </w:r>
      <w:r w:rsidR="0031342C">
        <w:t xml:space="preserve"> i uch</w:t>
      </w:r>
      <w:r>
        <w:t>ylająca dyrektywy 2006/48/WE oraz 2006/49/WE (Dz.U. L 176</w:t>
      </w:r>
      <w:r w:rsidR="0031342C">
        <w:t xml:space="preserve"> z 2</w:t>
      </w:r>
      <w:r>
        <w:t>7.6.2013, s. 338).</w:t>
      </w:r>
    </w:p>
  </w:footnote>
  <w:footnote w:id="39">
    <w:p w14:paraId="56BB525D" w14:textId="19B32F1F" w:rsidR="00FB5C1F" w:rsidRPr="00E940C0" w:rsidRDefault="00FB5C1F">
      <w:pPr>
        <w:pStyle w:val="FootnoteText"/>
      </w:pPr>
      <w:r>
        <w:rPr>
          <w:rStyle w:val="FootnoteReference"/>
        </w:rPr>
        <w:footnoteRef/>
      </w:r>
      <w:r>
        <w:tab/>
        <w:t>Dyrektywa Parlamentu Europejskiego</w:t>
      </w:r>
      <w:r w:rsidR="0031342C">
        <w:t xml:space="preserve"> i Rad</w:t>
      </w:r>
      <w:r>
        <w:t>y 2009/110/WE</w:t>
      </w:r>
      <w:r w:rsidR="0031342C">
        <w:t xml:space="preserve"> z dni</w:t>
      </w:r>
      <w:r>
        <w:t>a 16 września 20</w:t>
      </w:r>
      <w:r w:rsidRPr="0031342C">
        <w:t>09</w:t>
      </w:r>
      <w:r w:rsidR="0031342C" w:rsidRPr="0031342C">
        <w:t> </w:t>
      </w:r>
      <w:r w:rsidRPr="0031342C">
        <w:t>r.</w:t>
      </w:r>
      <w:r w:rsidR="0031342C">
        <w:t xml:space="preserve"> w spr</w:t>
      </w:r>
      <w:r>
        <w:t>awie podejmowania</w:t>
      </w:r>
      <w:r w:rsidR="0031342C">
        <w:t xml:space="preserve"> i pro</w:t>
      </w:r>
      <w:r>
        <w:t>wadzenia działalności przez instytucje pieniądza elektronicznego oraz nadzoru ostrożnościowego nad ich działalnością, zmieniająca dyrektywy 2005/60/WE</w:t>
      </w:r>
      <w:r w:rsidR="0031342C">
        <w:t xml:space="preserve"> i 2</w:t>
      </w:r>
      <w:r>
        <w:t>006/48/WE oraz uchylająca dyrektywę 2000/46/WE (Dz.U. L 267</w:t>
      </w:r>
      <w:r w:rsidR="0031342C">
        <w:t xml:space="preserve"> z 1</w:t>
      </w:r>
      <w:r>
        <w:t>0.10.2009, s. 7).</w:t>
      </w:r>
    </w:p>
  </w:footnote>
  <w:footnote w:id="40">
    <w:p w14:paraId="6B53A4DB" w14:textId="1D106D44" w:rsidR="00FB5C1F" w:rsidRPr="00E940C0" w:rsidRDefault="00FB5C1F">
      <w:pPr>
        <w:pStyle w:val="FootnoteText"/>
      </w:pPr>
      <w:r>
        <w:rPr>
          <w:rStyle w:val="FootnoteReference"/>
        </w:rPr>
        <w:footnoteRef/>
      </w:r>
      <w:r>
        <w:tab/>
        <w:t>Dyrektywa Parlamentu Europejskiego</w:t>
      </w:r>
      <w:r w:rsidR="0031342C">
        <w:t xml:space="preserve"> i Rad</w:t>
      </w:r>
      <w:r>
        <w:t>y (UE) 2015/2366</w:t>
      </w:r>
      <w:r w:rsidR="0031342C">
        <w:t xml:space="preserve"> z dni</w:t>
      </w:r>
      <w:r>
        <w:t>a 25 listopada 20</w:t>
      </w:r>
      <w:r w:rsidRPr="0031342C">
        <w:t>15</w:t>
      </w:r>
      <w:r w:rsidR="0031342C" w:rsidRPr="0031342C">
        <w:t> </w:t>
      </w:r>
      <w:r w:rsidRPr="0031342C">
        <w:t>r.</w:t>
      </w:r>
      <w:r w:rsidR="0031342C">
        <w:t xml:space="preserve"> w spr</w:t>
      </w:r>
      <w:r>
        <w:t>awie usług płatniczych</w:t>
      </w:r>
      <w:r w:rsidR="0031342C">
        <w:t xml:space="preserve"> w ram</w:t>
      </w:r>
      <w:r>
        <w:t>ach rynku wewnętrznego, zmieniająca dyrektywy 2002/65/WE, 2009/110/WE, 2013/36/UE</w:t>
      </w:r>
      <w:r w:rsidR="0031342C">
        <w:t xml:space="preserve"> i roz</w:t>
      </w:r>
      <w:r>
        <w:t xml:space="preserve">porządzenie (UE) </w:t>
      </w:r>
      <w:r w:rsidRPr="0031342C">
        <w:t>nr</w:t>
      </w:r>
      <w:r w:rsidR="0031342C" w:rsidRPr="0031342C">
        <w:t> </w:t>
      </w:r>
      <w:r w:rsidRPr="0031342C">
        <w:t>1</w:t>
      </w:r>
      <w:r>
        <w:t>093/2010 oraz uchylająca dyrektywę 2007/64/WE (Dz.U. L 337</w:t>
      </w:r>
      <w:r w:rsidR="0031342C">
        <w:t xml:space="preserve"> z 2</w:t>
      </w:r>
      <w:r>
        <w:t>3.12.2015, s. 35).</w:t>
      </w:r>
    </w:p>
  </w:footnote>
  <w:footnote w:id="41">
    <w:p w14:paraId="02E8550E" w14:textId="10D4E573" w:rsidR="00FB5C1F" w:rsidRPr="00E940C0" w:rsidRDefault="00FB5C1F">
      <w:pPr>
        <w:pStyle w:val="FootnoteText"/>
      </w:pPr>
      <w:r>
        <w:rPr>
          <w:rStyle w:val="FootnoteReference"/>
        </w:rPr>
        <w:footnoteRef/>
      </w:r>
      <w:r>
        <w:tab/>
        <w:t>Dyrektywa Parlamentu Europejskiego</w:t>
      </w:r>
      <w:r w:rsidR="0031342C">
        <w:t xml:space="preserve"> i Rad</w:t>
      </w:r>
      <w:r>
        <w:t>y 2014/65/UE</w:t>
      </w:r>
      <w:r w:rsidR="0031342C">
        <w:t xml:space="preserve"> z dni</w:t>
      </w:r>
      <w:r>
        <w:t>a 15 maja 2014 r.</w:t>
      </w:r>
      <w:r w:rsidR="0031342C">
        <w:t xml:space="preserve"> w spr</w:t>
      </w:r>
      <w:r>
        <w:t>awie rynków instrumentów finansowych oraz zmieniająca dyrektywę 2002/92/WE</w:t>
      </w:r>
      <w:r w:rsidR="0031342C">
        <w:t xml:space="preserve"> i dyr</w:t>
      </w:r>
      <w:r>
        <w:t>ektywę 2011/61/UE (wersja przekształcona) (Dz.U. L 173</w:t>
      </w:r>
      <w:r w:rsidR="0031342C">
        <w:t xml:space="preserve"> z 1</w:t>
      </w:r>
      <w:r>
        <w:t>2.6.2014, s. 349).</w:t>
      </w:r>
    </w:p>
  </w:footnote>
  <w:footnote w:id="42">
    <w:p w14:paraId="5A990153" w14:textId="720A8CFA" w:rsidR="00FB5C1F" w:rsidRPr="00CF0513" w:rsidRDefault="00FB5C1F">
      <w:pPr>
        <w:pStyle w:val="FootnoteText"/>
      </w:pPr>
      <w:r>
        <w:rPr>
          <w:rStyle w:val="FootnoteReference"/>
        </w:rPr>
        <w:footnoteRef/>
      </w:r>
      <w:r>
        <w:tab/>
        <w:t>Rozporządzenie Parlamentu Europejskiego</w:t>
      </w:r>
      <w:r w:rsidR="0031342C">
        <w:t xml:space="preserve"> i Rad</w:t>
      </w:r>
      <w:r>
        <w:t xml:space="preserve">y (UE) </w:t>
      </w:r>
      <w:r w:rsidRPr="0031342C">
        <w:t>nr</w:t>
      </w:r>
      <w:r w:rsidR="0031342C" w:rsidRPr="0031342C">
        <w:t> </w:t>
      </w:r>
      <w:r w:rsidRPr="0031342C">
        <w:t>5</w:t>
      </w:r>
      <w:r>
        <w:t>75/2013</w:t>
      </w:r>
      <w:r w:rsidR="0031342C">
        <w:t xml:space="preserve"> z dni</w:t>
      </w:r>
      <w:r>
        <w:t>a 26 czerwca 20</w:t>
      </w:r>
      <w:r w:rsidRPr="0031342C">
        <w:t>13</w:t>
      </w:r>
      <w:r w:rsidR="0031342C" w:rsidRPr="0031342C">
        <w:t> </w:t>
      </w:r>
      <w:r w:rsidRPr="0031342C">
        <w:t>r.</w:t>
      </w:r>
      <w:r w:rsidR="0031342C">
        <w:t xml:space="preserve"> w spr</w:t>
      </w:r>
      <w:r>
        <w:t>awie wymogów ostrożnościowych dla instytucji kredytowych</w:t>
      </w:r>
      <w:r w:rsidR="0031342C">
        <w:t xml:space="preserve"> i fir</w:t>
      </w:r>
      <w:r>
        <w:t xml:space="preserve">m inwestycyjnych, zmieniające rozporządzenie (UE) </w:t>
      </w:r>
      <w:r w:rsidRPr="0031342C">
        <w:t>nr</w:t>
      </w:r>
      <w:r w:rsidR="0031342C" w:rsidRPr="0031342C">
        <w:t> </w:t>
      </w:r>
      <w:r w:rsidRPr="0031342C">
        <w:t>6</w:t>
      </w:r>
      <w:r>
        <w:t>48/2012 (Dz.U. L 176</w:t>
      </w:r>
      <w:r w:rsidR="0031342C">
        <w:t xml:space="preserve"> z 2</w:t>
      </w:r>
      <w:r>
        <w:t>7.6.2013, s. 1).</w:t>
      </w:r>
    </w:p>
  </w:footnote>
  <w:footnote w:id="43">
    <w:p w14:paraId="2613B85A" w14:textId="493379CB" w:rsidR="00FB5C1F" w:rsidRPr="00920F2F" w:rsidRDefault="00FB5C1F" w:rsidP="00920F2F">
      <w:pPr>
        <w:pStyle w:val="FootnoteText"/>
      </w:pPr>
      <w:r>
        <w:rPr>
          <w:rStyle w:val="FootnoteReference"/>
        </w:rPr>
        <w:footnoteRef/>
      </w:r>
      <w:r>
        <w:tab/>
        <w:t>Rozporządzenie Parlamentu Europejskiego</w:t>
      </w:r>
      <w:r w:rsidR="0031342C">
        <w:t xml:space="preserve"> i Rad</w:t>
      </w:r>
      <w:r>
        <w:t xml:space="preserve">y (UE) </w:t>
      </w:r>
      <w:r w:rsidRPr="0031342C">
        <w:t>nr</w:t>
      </w:r>
      <w:r w:rsidR="0031342C" w:rsidRPr="0031342C">
        <w:t> </w:t>
      </w:r>
      <w:r w:rsidRPr="0031342C">
        <w:t>1</w:t>
      </w:r>
      <w:r>
        <w:t>093/2010</w:t>
      </w:r>
      <w:r w:rsidR="0031342C">
        <w:t xml:space="preserve"> z dni</w:t>
      </w:r>
      <w:r>
        <w:t>a 24 listopada 20</w:t>
      </w:r>
      <w:r w:rsidRPr="0031342C">
        <w:t>10</w:t>
      </w:r>
      <w:r w:rsidR="0031342C" w:rsidRPr="0031342C">
        <w:t> </w:t>
      </w:r>
      <w:r w:rsidRPr="0031342C">
        <w:t>r.</w:t>
      </w:r>
      <w:r w:rsidR="0031342C">
        <w:t xml:space="preserve"> w spr</w:t>
      </w:r>
      <w:r>
        <w:t xml:space="preserve">awie ustanowienia Europejskiego Urzędu Nadzoru (Europejskiego Urzędu Nadzoru Bankowego), zmiany decyzji </w:t>
      </w:r>
      <w:r w:rsidRPr="0031342C">
        <w:t>nr</w:t>
      </w:r>
      <w:r w:rsidR="0031342C" w:rsidRPr="0031342C">
        <w:t> </w:t>
      </w:r>
      <w:r w:rsidRPr="0031342C">
        <w:t>7</w:t>
      </w:r>
      <w:r>
        <w:t>16/2009/WE oraz uchylenia decyzji Komisji 2009/78/WE (Dz.U. L 331</w:t>
      </w:r>
      <w:r w:rsidR="0031342C">
        <w:t xml:space="preserve"> z 1</w:t>
      </w:r>
      <w:r>
        <w:t>5.12.2010, 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3A4489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8B44D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E6E5E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FCA42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B8E3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580C73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3E39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294D6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34CD6"/>
    <w:multiLevelType w:val="multilevel"/>
    <w:tmpl w:val="5F281CC6"/>
    <w:styleLink w:val="Style1"/>
    <w:lvl w:ilvl="0">
      <w:start w:val="1"/>
      <w:numFmt w:val="decimal"/>
      <w:lvlText w:val="%1."/>
      <w:lvlJc w:val="left"/>
      <w:pPr>
        <w:tabs>
          <w:tab w:val="num" w:pos="720"/>
        </w:tabs>
        <w:ind w:left="720" w:hanging="720"/>
      </w:pPr>
      <w:rPr>
        <w:rFonts w:ascii="(1)" w:hAnsi="(1)"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23"/>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es-ES" w:vendorID="64" w:dllVersion="6" w:nlCheck="1" w:checkStyle="0"/>
  <w:activeWritingStyle w:appName="MSWord" w:lang="es-ES" w:vendorID="64" w:dllVersion="0" w:nlCheck="1" w:checkStyle="0"/>
  <w:attachedTemplate r:id="rId1"/>
  <w:revisionView w:markup="0"/>
  <w:defaultTabStop w:val="720"/>
  <w:hyphenationZone w:val="425"/>
  <w:characterSpacingControl w:val="doNotCompress"/>
  <w:hdrShapeDefaults>
    <o:shapedefaults v:ext="edit" spidmax="2478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5 17:43: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0BB0EE9-1AB5-4C66-B4E1-2C8434C47BBB"/>
    <w:docVar w:name="LW_COVERPAGE_TYPE" w:val="1"/>
    <w:docVar w:name="LW_CROSSREFERENCE" w:val="{SEC(2023) 230 final} - {SWD(2023) 225 final} - {SWD(2023) 226 final}"/>
    <w:docVar w:name="LW_DocType" w:val="COM"/>
    <w:docVar w:name="LW_EMISSION" w:val="18.4.2023"/>
    <w:docVar w:name="LW_EMISSION_ISODATE" w:val="2023-04-18"/>
    <w:docVar w:name="LW_EMISSION_LOCATION" w:val="STR"/>
    <w:docVar w:name="LW_EMISSION_PREFIX" w:val="Strasburg, dnia "/>
    <w:docVar w:name="LW_EMISSION_SUFFIX" w:val=" r."/>
    <w:docVar w:name="LW_ID_DOCMODEL" w:val="SJ-024"/>
    <w:docVar w:name="LW_ID_DOCSIGNATURE" w:val="SJ-024"/>
    <w:docVar w:name="LW_ID_DOCSTRUCTURE" w:val="COM/PL/ORG"/>
    <w:docVar w:name="LW_ID_DOCTYPE" w:val="SJ-024"/>
    <w:docVar w:name="LW_ID_STATUT" w:val="SJ-024"/>
    <w:docVar w:name="LW_INSERT_EXP.MOTIFS.NEW" w:val="1"/>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115"/>
    <w:docVar w:name="LW_REF.II.NEW.CP_YEAR" w:val="2023"/>
    <w:docVar w:name="LW_REF.INST.NEW" w:val="COM"/>
    <w:docVar w:name="LW_REF.INST.NEW_ADOPTED" w:val="final"/>
    <w:docVar w:name="LW_REF.INST.NEW_TEXT" w:val="(2023)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ąca dyrektywę 2014/49/UE w odniesieniu do zakresu ochrony depozytów, wykorzystywania środków z systemów gwarancji depozytów, współpracy transgranicznej i przejrzystości"/>
    <w:docVar w:name="LW_TYPE.DOC.CP" w:val="DYREKTYWA PARLAMENTU EUROPEJSKIEGO I RADY"/>
    <w:docVar w:name="LwApiVersions" w:val="LW4CoDe 1.23.2.0; LW 8.0, Build 20211117"/>
  </w:docVars>
  <w:rsids>
    <w:rsidRoot w:val="009065BF"/>
    <w:rsid w:val="000039C7"/>
    <w:rsid w:val="00004A59"/>
    <w:rsid w:val="000106BF"/>
    <w:rsid w:val="00010E70"/>
    <w:rsid w:val="000142CE"/>
    <w:rsid w:val="0001608D"/>
    <w:rsid w:val="0001663D"/>
    <w:rsid w:val="00023ED0"/>
    <w:rsid w:val="00025452"/>
    <w:rsid w:val="0002603E"/>
    <w:rsid w:val="000311C1"/>
    <w:rsid w:val="00034810"/>
    <w:rsid w:val="000358FF"/>
    <w:rsid w:val="000378DD"/>
    <w:rsid w:val="00037F26"/>
    <w:rsid w:val="000402EC"/>
    <w:rsid w:val="00044A31"/>
    <w:rsid w:val="00045E49"/>
    <w:rsid w:val="00047872"/>
    <w:rsid w:val="000501B6"/>
    <w:rsid w:val="00050439"/>
    <w:rsid w:val="0005414F"/>
    <w:rsid w:val="00055B74"/>
    <w:rsid w:val="00060207"/>
    <w:rsid w:val="000607DF"/>
    <w:rsid w:val="00064705"/>
    <w:rsid w:val="00064A65"/>
    <w:rsid w:val="0006523C"/>
    <w:rsid w:val="0006583F"/>
    <w:rsid w:val="00066954"/>
    <w:rsid w:val="00066A5F"/>
    <w:rsid w:val="0006713A"/>
    <w:rsid w:val="000677FF"/>
    <w:rsid w:val="00071314"/>
    <w:rsid w:val="00071768"/>
    <w:rsid w:val="00072096"/>
    <w:rsid w:val="0007314F"/>
    <w:rsid w:val="000742FD"/>
    <w:rsid w:val="00077CEB"/>
    <w:rsid w:val="00080197"/>
    <w:rsid w:val="00081C02"/>
    <w:rsid w:val="00083D1C"/>
    <w:rsid w:val="0008417D"/>
    <w:rsid w:val="00087A36"/>
    <w:rsid w:val="000909A4"/>
    <w:rsid w:val="00091635"/>
    <w:rsid w:val="000916B1"/>
    <w:rsid w:val="00092245"/>
    <w:rsid w:val="00092C5E"/>
    <w:rsid w:val="000950B5"/>
    <w:rsid w:val="00096C89"/>
    <w:rsid w:val="00097366"/>
    <w:rsid w:val="000A1F9F"/>
    <w:rsid w:val="000A288D"/>
    <w:rsid w:val="000A3395"/>
    <w:rsid w:val="000A46DD"/>
    <w:rsid w:val="000A7872"/>
    <w:rsid w:val="000B2E14"/>
    <w:rsid w:val="000B42E2"/>
    <w:rsid w:val="000B5FCD"/>
    <w:rsid w:val="000B7507"/>
    <w:rsid w:val="000C0102"/>
    <w:rsid w:val="000C03D6"/>
    <w:rsid w:val="000C1F13"/>
    <w:rsid w:val="000C4D27"/>
    <w:rsid w:val="000C4E40"/>
    <w:rsid w:val="000D128F"/>
    <w:rsid w:val="000D216D"/>
    <w:rsid w:val="000D22D6"/>
    <w:rsid w:val="000D3F2C"/>
    <w:rsid w:val="000D4804"/>
    <w:rsid w:val="000D6DBA"/>
    <w:rsid w:val="000D7CD8"/>
    <w:rsid w:val="000E29CA"/>
    <w:rsid w:val="000E3924"/>
    <w:rsid w:val="000E3BF9"/>
    <w:rsid w:val="000E72B8"/>
    <w:rsid w:val="000E762A"/>
    <w:rsid w:val="000E7D5C"/>
    <w:rsid w:val="000F1325"/>
    <w:rsid w:val="000F2F5A"/>
    <w:rsid w:val="000F3CA2"/>
    <w:rsid w:val="000F4436"/>
    <w:rsid w:val="001014F1"/>
    <w:rsid w:val="001023D5"/>
    <w:rsid w:val="00104AF5"/>
    <w:rsid w:val="00104F3F"/>
    <w:rsid w:val="001065F5"/>
    <w:rsid w:val="00107742"/>
    <w:rsid w:val="00110B81"/>
    <w:rsid w:val="00111C67"/>
    <w:rsid w:val="00115DFA"/>
    <w:rsid w:val="001206B2"/>
    <w:rsid w:val="00121564"/>
    <w:rsid w:val="00122E31"/>
    <w:rsid w:val="00122FF7"/>
    <w:rsid w:val="001238EF"/>
    <w:rsid w:val="00123C1F"/>
    <w:rsid w:val="00125D07"/>
    <w:rsid w:val="00126BE1"/>
    <w:rsid w:val="00126EFC"/>
    <w:rsid w:val="00127654"/>
    <w:rsid w:val="00131781"/>
    <w:rsid w:val="0013193E"/>
    <w:rsid w:val="0013235F"/>
    <w:rsid w:val="00132691"/>
    <w:rsid w:val="00132753"/>
    <w:rsid w:val="0013609A"/>
    <w:rsid w:val="00136324"/>
    <w:rsid w:val="00136790"/>
    <w:rsid w:val="00140713"/>
    <w:rsid w:val="00140C6B"/>
    <w:rsid w:val="00141566"/>
    <w:rsid w:val="0014377C"/>
    <w:rsid w:val="00150283"/>
    <w:rsid w:val="00155DF3"/>
    <w:rsid w:val="00156C27"/>
    <w:rsid w:val="00161D47"/>
    <w:rsid w:val="001625DE"/>
    <w:rsid w:val="00164228"/>
    <w:rsid w:val="0016504E"/>
    <w:rsid w:val="00165474"/>
    <w:rsid w:val="00166A54"/>
    <w:rsid w:val="00175C0E"/>
    <w:rsid w:val="00177E4F"/>
    <w:rsid w:val="001805CD"/>
    <w:rsid w:val="00181259"/>
    <w:rsid w:val="0018188C"/>
    <w:rsid w:val="00185685"/>
    <w:rsid w:val="00185716"/>
    <w:rsid w:val="001868C4"/>
    <w:rsid w:val="00187A0E"/>
    <w:rsid w:val="00187D6E"/>
    <w:rsid w:val="0019085A"/>
    <w:rsid w:val="0019357B"/>
    <w:rsid w:val="00197613"/>
    <w:rsid w:val="001A0DB1"/>
    <w:rsid w:val="001A2678"/>
    <w:rsid w:val="001A5C6B"/>
    <w:rsid w:val="001B1A3E"/>
    <w:rsid w:val="001B29A5"/>
    <w:rsid w:val="001B3788"/>
    <w:rsid w:val="001B6842"/>
    <w:rsid w:val="001C1563"/>
    <w:rsid w:val="001C51C5"/>
    <w:rsid w:val="001C6F4D"/>
    <w:rsid w:val="001C6F56"/>
    <w:rsid w:val="001C78F3"/>
    <w:rsid w:val="001D149E"/>
    <w:rsid w:val="001D34AD"/>
    <w:rsid w:val="001D67B3"/>
    <w:rsid w:val="001D76CD"/>
    <w:rsid w:val="001D7E78"/>
    <w:rsid w:val="001E0863"/>
    <w:rsid w:val="001E1052"/>
    <w:rsid w:val="001E3C8E"/>
    <w:rsid w:val="001F0142"/>
    <w:rsid w:val="001F1222"/>
    <w:rsid w:val="001F135B"/>
    <w:rsid w:val="001F463A"/>
    <w:rsid w:val="001F5576"/>
    <w:rsid w:val="001F562B"/>
    <w:rsid w:val="002029C7"/>
    <w:rsid w:val="00203E31"/>
    <w:rsid w:val="002066F3"/>
    <w:rsid w:val="00207859"/>
    <w:rsid w:val="0021449D"/>
    <w:rsid w:val="00220583"/>
    <w:rsid w:val="00220FFB"/>
    <w:rsid w:val="002230DF"/>
    <w:rsid w:val="00223353"/>
    <w:rsid w:val="002236C6"/>
    <w:rsid w:val="00223759"/>
    <w:rsid w:val="002243C5"/>
    <w:rsid w:val="002245EE"/>
    <w:rsid w:val="00225C3D"/>
    <w:rsid w:val="002263E7"/>
    <w:rsid w:val="00227311"/>
    <w:rsid w:val="00230ADB"/>
    <w:rsid w:val="00230D2E"/>
    <w:rsid w:val="00230F51"/>
    <w:rsid w:val="00233DC7"/>
    <w:rsid w:val="00234AA1"/>
    <w:rsid w:val="00236159"/>
    <w:rsid w:val="0024043E"/>
    <w:rsid w:val="00240752"/>
    <w:rsid w:val="00242BC0"/>
    <w:rsid w:val="00245898"/>
    <w:rsid w:val="00247779"/>
    <w:rsid w:val="00252121"/>
    <w:rsid w:val="002539CF"/>
    <w:rsid w:val="00255120"/>
    <w:rsid w:val="00257260"/>
    <w:rsid w:val="00274473"/>
    <w:rsid w:val="00275760"/>
    <w:rsid w:val="00276A5E"/>
    <w:rsid w:val="002770EE"/>
    <w:rsid w:val="00281360"/>
    <w:rsid w:val="002820B6"/>
    <w:rsid w:val="00285269"/>
    <w:rsid w:val="002853EA"/>
    <w:rsid w:val="00285BEE"/>
    <w:rsid w:val="00292953"/>
    <w:rsid w:val="00293E97"/>
    <w:rsid w:val="0029497C"/>
    <w:rsid w:val="0029533F"/>
    <w:rsid w:val="00295349"/>
    <w:rsid w:val="00295E58"/>
    <w:rsid w:val="002969DD"/>
    <w:rsid w:val="002972D7"/>
    <w:rsid w:val="0029775C"/>
    <w:rsid w:val="002979D5"/>
    <w:rsid w:val="002A29E0"/>
    <w:rsid w:val="002A5475"/>
    <w:rsid w:val="002A5AE9"/>
    <w:rsid w:val="002A659B"/>
    <w:rsid w:val="002B1303"/>
    <w:rsid w:val="002B1CBF"/>
    <w:rsid w:val="002B30AF"/>
    <w:rsid w:val="002B4EB7"/>
    <w:rsid w:val="002C18AA"/>
    <w:rsid w:val="002C18FC"/>
    <w:rsid w:val="002C3010"/>
    <w:rsid w:val="002C3C4E"/>
    <w:rsid w:val="002C6E06"/>
    <w:rsid w:val="002D00EE"/>
    <w:rsid w:val="002D1825"/>
    <w:rsid w:val="002D253E"/>
    <w:rsid w:val="002D40CE"/>
    <w:rsid w:val="002D56FD"/>
    <w:rsid w:val="002D6207"/>
    <w:rsid w:val="002E3BA0"/>
    <w:rsid w:val="002F1DE8"/>
    <w:rsid w:val="002F2DA7"/>
    <w:rsid w:val="002F46A9"/>
    <w:rsid w:val="002F499E"/>
    <w:rsid w:val="002F5643"/>
    <w:rsid w:val="002F75A2"/>
    <w:rsid w:val="00300566"/>
    <w:rsid w:val="0030103D"/>
    <w:rsid w:val="00301BFE"/>
    <w:rsid w:val="00306F3A"/>
    <w:rsid w:val="00312475"/>
    <w:rsid w:val="0031342C"/>
    <w:rsid w:val="00313BD0"/>
    <w:rsid w:val="00313C6F"/>
    <w:rsid w:val="00314B2A"/>
    <w:rsid w:val="003170E0"/>
    <w:rsid w:val="0031726D"/>
    <w:rsid w:val="00317336"/>
    <w:rsid w:val="00317631"/>
    <w:rsid w:val="00322779"/>
    <w:rsid w:val="00323CB9"/>
    <w:rsid w:val="00324029"/>
    <w:rsid w:val="00325F52"/>
    <w:rsid w:val="00326C6D"/>
    <w:rsid w:val="00327EE7"/>
    <w:rsid w:val="003304EF"/>
    <w:rsid w:val="00330F25"/>
    <w:rsid w:val="00331B06"/>
    <w:rsid w:val="0033344A"/>
    <w:rsid w:val="00334087"/>
    <w:rsid w:val="003340FF"/>
    <w:rsid w:val="00334F3F"/>
    <w:rsid w:val="00335633"/>
    <w:rsid w:val="00336C7D"/>
    <w:rsid w:val="00340A8B"/>
    <w:rsid w:val="003423D4"/>
    <w:rsid w:val="00342A4B"/>
    <w:rsid w:val="00345436"/>
    <w:rsid w:val="00346041"/>
    <w:rsid w:val="0035057D"/>
    <w:rsid w:val="003513CB"/>
    <w:rsid w:val="00354377"/>
    <w:rsid w:val="0035724F"/>
    <w:rsid w:val="003609BC"/>
    <w:rsid w:val="00362131"/>
    <w:rsid w:val="00362735"/>
    <w:rsid w:val="00362842"/>
    <w:rsid w:val="00362897"/>
    <w:rsid w:val="00362954"/>
    <w:rsid w:val="00362F73"/>
    <w:rsid w:val="00363524"/>
    <w:rsid w:val="00365432"/>
    <w:rsid w:val="00370464"/>
    <w:rsid w:val="0037492E"/>
    <w:rsid w:val="00374FB3"/>
    <w:rsid w:val="00380E6C"/>
    <w:rsid w:val="003813AE"/>
    <w:rsid w:val="00385FA0"/>
    <w:rsid w:val="003901DC"/>
    <w:rsid w:val="0039339C"/>
    <w:rsid w:val="003938EF"/>
    <w:rsid w:val="00394D23"/>
    <w:rsid w:val="00394DB6"/>
    <w:rsid w:val="003A06B1"/>
    <w:rsid w:val="003A2910"/>
    <w:rsid w:val="003A3EA2"/>
    <w:rsid w:val="003A47FB"/>
    <w:rsid w:val="003A492A"/>
    <w:rsid w:val="003A53BD"/>
    <w:rsid w:val="003A7E09"/>
    <w:rsid w:val="003B147C"/>
    <w:rsid w:val="003B2D19"/>
    <w:rsid w:val="003B3168"/>
    <w:rsid w:val="003B3B21"/>
    <w:rsid w:val="003B5C17"/>
    <w:rsid w:val="003B6976"/>
    <w:rsid w:val="003B6C3F"/>
    <w:rsid w:val="003B7187"/>
    <w:rsid w:val="003C1855"/>
    <w:rsid w:val="003C1CF6"/>
    <w:rsid w:val="003C29D7"/>
    <w:rsid w:val="003C3BD5"/>
    <w:rsid w:val="003C44BB"/>
    <w:rsid w:val="003C527F"/>
    <w:rsid w:val="003C5315"/>
    <w:rsid w:val="003C5791"/>
    <w:rsid w:val="003C6175"/>
    <w:rsid w:val="003D4397"/>
    <w:rsid w:val="003D51E4"/>
    <w:rsid w:val="003D54C8"/>
    <w:rsid w:val="003D6DAB"/>
    <w:rsid w:val="003E07D8"/>
    <w:rsid w:val="003E1F1E"/>
    <w:rsid w:val="003E5C97"/>
    <w:rsid w:val="003E78EB"/>
    <w:rsid w:val="003F0101"/>
    <w:rsid w:val="003F04E3"/>
    <w:rsid w:val="003F0DE7"/>
    <w:rsid w:val="003F113E"/>
    <w:rsid w:val="004023C2"/>
    <w:rsid w:val="00402F53"/>
    <w:rsid w:val="00403B47"/>
    <w:rsid w:val="00403B9E"/>
    <w:rsid w:val="00405204"/>
    <w:rsid w:val="0041037A"/>
    <w:rsid w:val="00412237"/>
    <w:rsid w:val="00420AE2"/>
    <w:rsid w:val="00420E3D"/>
    <w:rsid w:val="00421B12"/>
    <w:rsid w:val="0042648E"/>
    <w:rsid w:val="00430A6D"/>
    <w:rsid w:val="004324AA"/>
    <w:rsid w:val="00433869"/>
    <w:rsid w:val="00436FD8"/>
    <w:rsid w:val="00437746"/>
    <w:rsid w:val="004411BB"/>
    <w:rsid w:val="00443E78"/>
    <w:rsid w:val="004440F9"/>
    <w:rsid w:val="00444575"/>
    <w:rsid w:val="0044575F"/>
    <w:rsid w:val="00447A87"/>
    <w:rsid w:val="00451FD0"/>
    <w:rsid w:val="00452591"/>
    <w:rsid w:val="00452F57"/>
    <w:rsid w:val="00456BC2"/>
    <w:rsid w:val="00465814"/>
    <w:rsid w:val="00465B56"/>
    <w:rsid w:val="0046680E"/>
    <w:rsid w:val="004674D1"/>
    <w:rsid w:val="004758DB"/>
    <w:rsid w:val="00483A8A"/>
    <w:rsid w:val="004842BF"/>
    <w:rsid w:val="0048578F"/>
    <w:rsid w:val="00487728"/>
    <w:rsid w:val="00492B59"/>
    <w:rsid w:val="004936D2"/>
    <w:rsid w:val="00493BCF"/>
    <w:rsid w:val="00496D81"/>
    <w:rsid w:val="004972FB"/>
    <w:rsid w:val="004A1097"/>
    <w:rsid w:val="004A1344"/>
    <w:rsid w:val="004A1C82"/>
    <w:rsid w:val="004A2331"/>
    <w:rsid w:val="004A2B52"/>
    <w:rsid w:val="004A304C"/>
    <w:rsid w:val="004A5840"/>
    <w:rsid w:val="004A6B4A"/>
    <w:rsid w:val="004B0341"/>
    <w:rsid w:val="004B0E64"/>
    <w:rsid w:val="004B1043"/>
    <w:rsid w:val="004B55EF"/>
    <w:rsid w:val="004C0CF1"/>
    <w:rsid w:val="004C1AF5"/>
    <w:rsid w:val="004C2836"/>
    <w:rsid w:val="004C3A75"/>
    <w:rsid w:val="004C4A9B"/>
    <w:rsid w:val="004C550C"/>
    <w:rsid w:val="004C741C"/>
    <w:rsid w:val="004D2061"/>
    <w:rsid w:val="004D6761"/>
    <w:rsid w:val="004E25D9"/>
    <w:rsid w:val="004E35BF"/>
    <w:rsid w:val="004E7F95"/>
    <w:rsid w:val="004F08DC"/>
    <w:rsid w:val="004F0FD2"/>
    <w:rsid w:val="004F1643"/>
    <w:rsid w:val="004F2076"/>
    <w:rsid w:val="004F27B2"/>
    <w:rsid w:val="004F3F8E"/>
    <w:rsid w:val="004F5419"/>
    <w:rsid w:val="004F6011"/>
    <w:rsid w:val="00503328"/>
    <w:rsid w:val="0050366A"/>
    <w:rsid w:val="00503FD6"/>
    <w:rsid w:val="00506BA8"/>
    <w:rsid w:val="00507410"/>
    <w:rsid w:val="005112DD"/>
    <w:rsid w:val="00516DEC"/>
    <w:rsid w:val="005177CB"/>
    <w:rsid w:val="00517D61"/>
    <w:rsid w:val="005203AE"/>
    <w:rsid w:val="005225FE"/>
    <w:rsid w:val="00523738"/>
    <w:rsid w:val="00524283"/>
    <w:rsid w:val="00527C83"/>
    <w:rsid w:val="00534011"/>
    <w:rsid w:val="005355A9"/>
    <w:rsid w:val="00537C03"/>
    <w:rsid w:val="0054194D"/>
    <w:rsid w:val="00542BAC"/>
    <w:rsid w:val="00544DF7"/>
    <w:rsid w:val="00545DEC"/>
    <w:rsid w:val="0055024D"/>
    <w:rsid w:val="00551B44"/>
    <w:rsid w:val="00552A82"/>
    <w:rsid w:val="00556657"/>
    <w:rsid w:val="00560066"/>
    <w:rsid w:val="00560552"/>
    <w:rsid w:val="00562913"/>
    <w:rsid w:val="005640F3"/>
    <w:rsid w:val="00564AC4"/>
    <w:rsid w:val="00565215"/>
    <w:rsid w:val="00566A67"/>
    <w:rsid w:val="005710D4"/>
    <w:rsid w:val="005716DE"/>
    <w:rsid w:val="0057322A"/>
    <w:rsid w:val="0057456D"/>
    <w:rsid w:val="005757D2"/>
    <w:rsid w:val="005777E1"/>
    <w:rsid w:val="00577C19"/>
    <w:rsid w:val="005819AB"/>
    <w:rsid w:val="00584948"/>
    <w:rsid w:val="00587C48"/>
    <w:rsid w:val="00590EB8"/>
    <w:rsid w:val="005927C7"/>
    <w:rsid w:val="00596103"/>
    <w:rsid w:val="005A07F1"/>
    <w:rsid w:val="005A171B"/>
    <w:rsid w:val="005A240C"/>
    <w:rsid w:val="005A3EB3"/>
    <w:rsid w:val="005A542C"/>
    <w:rsid w:val="005A61D2"/>
    <w:rsid w:val="005B089F"/>
    <w:rsid w:val="005B0DDE"/>
    <w:rsid w:val="005B110C"/>
    <w:rsid w:val="005B1EB6"/>
    <w:rsid w:val="005B3023"/>
    <w:rsid w:val="005C0FFB"/>
    <w:rsid w:val="005C1A26"/>
    <w:rsid w:val="005C2E05"/>
    <w:rsid w:val="005C50FF"/>
    <w:rsid w:val="005C544B"/>
    <w:rsid w:val="005C56CA"/>
    <w:rsid w:val="005D076E"/>
    <w:rsid w:val="005D3BCE"/>
    <w:rsid w:val="005D4E92"/>
    <w:rsid w:val="005D6E14"/>
    <w:rsid w:val="005D7A14"/>
    <w:rsid w:val="005E062B"/>
    <w:rsid w:val="005E0EB7"/>
    <w:rsid w:val="005E2144"/>
    <w:rsid w:val="005E2C7E"/>
    <w:rsid w:val="005E3B02"/>
    <w:rsid w:val="005E4126"/>
    <w:rsid w:val="005E4787"/>
    <w:rsid w:val="005E48D6"/>
    <w:rsid w:val="005E491B"/>
    <w:rsid w:val="005E4DFC"/>
    <w:rsid w:val="005E5524"/>
    <w:rsid w:val="005E5A96"/>
    <w:rsid w:val="005E6175"/>
    <w:rsid w:val="005E628C"/>
    <w:rsid w:val="005E706C"/>
    <w:rsid w:val="005F2988"/>
    <w:rsid w:val="005F4A83"/>
    <w:rsid w:val="005F56B9"/>
    <w:rsid w:val="005F5E6A"/>
    <w:rsid w:val="005F6212"/>
    <w:rsid w:val="005F6660"/>
    <w:rsid w:val="00600816"/>
    <w:rsid w:val="00601992"/>
    <w:rsid w:val="006053B3"/>
    <w:rsid w:val="006130F1"/>
    <w:rsid w:val="006167FA"/>
    <w:rsid w:val="0062118E"/>
    <w:rsid w:val="0062187D"/>
    <w:rsid w:val="006246CE"/>
    <w:rsid w:val="00626946"/>
    <w:rsid w:val="00630F91"/>
    <w:rsid w:val="0063307F"/>
    <w:rsid w:val="00633F74"/>
    <w:rsid w:val="00634899"/>
    <w:rsid w:val="00635900"/>
    <w:rsid w:val="006359D9"/>
    <w:rsid w:val="00635BCF"/>
    <w:rsid w:val="00640B41"/>
    <w:rsid w:val="006411E0"/>
    <w:rsid w:val="00641498"/>
    <w:rsid w:val="006414C1"/>
    <w:rsid w:val="00642D0F"/>
    <w:rsid w:val="00645111"/>
    <w:rsid w:val="00651E34"/>
    <w:rsid w:val="00652A66"/>
    <w:rsid w:val="006532D1"/>
    <w:rsid w:val="006551B3"/>
    <w:rsid w:val="00663BFD"/>
    <w:rsid w:val="006643DD"/>
    <w:rsid w:val="006671B1"/>
    <w:rsid w:val="00667B48"/>
    <w:rsid w:val="006736F8"/>
    <w:rsid w:val="006750C6"/>
    <w:rsid w:val="006751BA"/>
    <w:rsid w:val="00675526"/>
    <w:rsid w:val="00680487"/>
    <w:rsid w:val="006818B0"/>
    <w:rsid w:val="00683A2C"/>
    <w:rsid w:val="00684BEB"/>
    <w:rsid w:val="00687503"/>
    <w:rsid w:val="00687D7F"/>
    <w:rsid w:val="00690A72"/>
    <w:rsid w:val="00691662"/>
    <w:rsid w:val="00691B00"/>
    <w:rsid w:val="006A0AEB"/>
    <w:rsid w:val="006B114D"/>
    <w:rsid w:val="006B15B4"/>
    <w:rsid w:val="006B2037"/>
    <w:rsid w:val="006C0CBE"/>
    <w:rsid w:val="006C2DB8"/>
    <w:rsid w:val="006D0715"/>
    <w:rsid w:val="006D10D6"/>
    <w:rsid w:val="006D1FCC"/>
    <w:rsid w:val="006D3D80"/>
    <w:rsid w:val="006D4E5E"/>
    <w:rsid w:val="006D74C0"/>
    <w:rsid w:val="006E2400"/>
    <w:rsid w:val="006E2871"/>
    <w:rsid w:val="006E6398"/>
    <w:rsid w:val="006E64EA"/>
    <w:rsid w:val="006E683F"/>
    <w:rsid w:val="006F4738"/>
    <w:rsid w:val="006F4916"/>
    <w:rsid w:val="006F7105"/>
    <w:rsid w:val="007007A8"/>
    <w:rsid w:val="00700C7C"/>
    <w:rsid w:val="00701490"/>
    <w:rsid w:val="00702818"/>
    <w:rsid w:val="007067A4"/>
    <w:rsid w:val="00712195"/>
    <w:rsid w:val="007127C1"/>
    <w:rsid w:val="007137AA"/>
    <w:rsid w:val="00717F02"/>
    <w:rsid w:val="00723CEE"/>
    <w:rsid w:val="00725AB9"/>
    <w:rsid w:val="00726288"/>
    <w:rsid w:val="00726673"/>
    <w:rsid w:val="00727393"/>
    <w:rsid w:val="00731624"/>
    <w:rsid w:val="00732473"/>
    <w:rsid w:val="00732497"/>
    <w:rsid w:val="007336E4"/>
    <w:rsid w:val="00733ABE"/>
    <w:rsid w:val="00735A70"/>
    <w:rsid w:val="007361FD"/>
    <w:rsid w:val="007372C4"/>
    <w:rsid w:val="007376CC"/>
    <w:rsid w:val="007403FD"/>
    <w:rsid w:val="007431BA"/>
    <w:rsid w:val="0074357E"/>
    <w:rsid w:val="00744125"/>
    <w:rsid w:val="00746ABD"/>
    <w:rsid w:val="00746FAD"/>
    <w:rsid w:val="0075085A"/>
    <w:rsid w:val="007526B5"/>
    <w:rsid w:val="00752DB3"/>
    <w:rsid w:val="00753B4B"/>
    <w:rsid w:val="00753F78"/>
    <w:rsid w:val="007562F5"/>
    <w:rsid w:val="00756DBE"/>
    <w:rsid w:val="007578A8"/>
    <w:rsid w:val="00760ACA"/>
    <w:rsid w:val="007611CD"/>
    <w:rsid w:val="00765AA7"/>
    <w:rsid w:val="00765BA4"/>
    <w:rsid w:val="007706BB"/>
    <w:rsid w:val="00771221"/>
    <w:rsid w:val="007712E7"/>
    <w:rsid w:val="00773331"/>
    <w:rsid w:val="007772E0"/>
    <w:rsid w:val="00781B81"/>
    <w:rsid w:val="00786761"/>
    <w:rsid w:val="00786AA2"/>
    <w:rsid w:val="007875D7"/>
    <w:rsid w:val="007914CF"/>
    <w:rsid w:val="007932EF"/>
    <w:rsid w:val="00793B58"/>
    <w:rsid w:val="007940CD"/>
    <w:rsid w:val="00794EC8"/>
    <w:rsid w:val="00795F52"/>
    <w:rsid w:val="007A11D2"/>
    <w:rsid w:val="007A1287"/>
    <w:rsid w:val="007A12D0"/>
    <w:rsid w:val="007A2824"/>
    <w:rsid w:val="007A2D66"/>
    <w:rsid w:val="007A68B3"/>
    <w:rsid w:val="007A7445"/>
    <w:rsid w:val="007B0D19"/>
    <w:rsid w:val="007B5D76"/>
    <w:rsid w:val="007B647F"/>
    <w:rsid w:val="007C27BB"/>
    <w:rsid w:val="007C570B"/>
    <w:rsid w:val="007C7347"/>
    <w:rsid w:val="007D0318"/>
    <w:rsid w:val="007D1582"/>
    <w:rsid w:val="007D1880"/>
    <w:rsid w:val="007D43B0"/>
    <w:rsid w:val="007D4BA2"/>
    <w:rsid w:val="007E05B0"/>
    <w:rsid w:val="007E2992"/>
    <w:rsid w:val="007E3219"/>
    <w:rsid w:val="007E43DA"/>
    <w:rsid w:val="007E7C94"/>
    <w:rsid w:val="007F1127"/>
    <w:rsid w:val="007F36D3"/>
    <w:rsid w:val="007F4E5A"/>
    <w:rsid w:val="007F59BD"/>
    <w:rsid w:val="007F76BE"/>
    <w:rsid w:val="007F7905"/>
    <w:rsid w:val="008010F8"/>
    <w:rsid w:val="00804E9B"/>
    <w:rsid w:val="00806E67"/>
    <w:rsid w:val="008135DE"/>
    <w:rsid w:val="0081784C"/>
    <w:rsid w:val="0082010D"/>
    <w:rsid w:val="00822EA0"/>
    <w:rsid w:val="00823C24"/>
    <w:rsid w:val="00825D19"/>
    <w:rsid w:val="008275CC"/>
    <w:rsid w:val="00830B4F"/>
    <w:rsid w:val="0083176F"/>
    <w:rsid w:val="00831A73"/>
    <w:rsid w:val="00833B80"/>
    <w:rsid w:val="0083440E"/>
    <w:rsid w:val="00834565"/>
    <w:rsid w:val="00834CAF"/>
    <w:rsid w:val="0083570A"/>
    <w:rsid w:val="0083749F"/>
    <w:rsid w:val="00843497"/>
    <w:rsid w:val="00844C86"/>
    <w:rsid w:val="008455D0"/>
    <w:rsid w:val="00851357"/>
    <w:rsid w:val="00861350"/>
    <w:rsid w:val="00862EC1"/>
    <w:rsid w:val="00863391"/>
    <w:rsid w:val="0086487D"/>
    <w:rsid w:val="0086741D"/>
    <w:rsid w:val="0086779D"/>
    <w:rsid w:val="00870FCE"/>
    <w:rsid w:val="00872234"/>
    <w:rsid w:val="00873E70"/>
    <w:rsid w:val="00874D22"/>
    <w:rsid w:val="00875E08"/>
    <w:rsid w:val="008770CF"/>
    <w:rsid w:val="008773E0"/>
    <w:rsid w:val="008777F9"/>
    <w:rsid w:val="008807FD"/>
    <w:rsid w:val="00882992"/>
    <w:rsid w:val="00882F8D"/>
    <w:rsid w:val="0088615F"/>
    <w:rsid w:val="008873C7"/>
    <w:rsid w:val="00887F00"/>
    <w:rsid w:val="00891438"/>
    <w:rsid w:val="00891832"/>
    <w:rsid w:val="008A0F88"/>
    <w:rsid w:val="008A2914"/>
    <w:rsid w:val="008B2584"/>
    <w:rsid w:val="008B3018"/>
    <w:rsid w:val="008B3F9A"/>
    <w:rsid w:val="008B755F"/>
    <w:rsid w:val="008B77E4"/>
    <w:rsid w:val="008C02C8"/>
    <w:rsid w:val="008C1D37"/>
    <w:rsid w:val="008C2BF2"/>
    <w:rsid w:val="008C333D"/>
    <w:rsid w:val="008C6A82"/>
    <w:rsid w:val="008D29CF"/>
    <w:rsid w:val="008D77EA"/>
    <w:rsid w:val="008E4D8E"/>
    <w:rsid w:val="008EBCB2"/>
    <w:rsid w:val="008F1770"/>
    <w:rsid w:val="008F1B49"/>
    <w:rsid w:val="008F467B"/>
    <w:rsid w:val="008F661D"/>
    <w:rsid w:val="008F72AF"/>
    <w:rsid w:val="00900D1D"/>
    <w:rsid w:val="00903B81"/>
    <w:rsid w:val="00904FAC"/>
    <w:rsid w:val="009065BF"/>
    <w:rsid w:val="00907ED0"/>
    <w:rsid w:val="009122F1"/>
    <w:rsid w:val="00914002"/>
    <w:rsid w:val="00916AD2"/>
    <w:rsid w:val="00920F2F"/>
    <w:rsid w:val="009243DD"/>
    <w:rsid w:val="00924AEB"/>
    <w:rsid w:val="0092632F"/>
    <w:rsid w:val="0092790D"/>
    <w:rsid w:val="0093037C"/>
    <w:rsid w:val="00930698"/>
    <w:rsid w:val="00930A78"/>
    <w:rsid w:val="00930DB9"/>
    <w:rsid w:val="009314C2"/>
    <w:rsid w:val="00931AC9"/>
    <w:rsid w:val="00932D6D"/>
    <w:rsid w:val="00935DBD"/>
    <w:rsid w:val="00941833"/>
    <w:rsid w:val="009461B1"/>
    <w:rsid w:val="009477F0"/>
    <w:rsid w:val="009502E9"/>
    <w:rsid w:val="00955325"/>
    <w:rsid w:val="00956956"/>
    <w:rsid w:val="00961B24"/>
    <w:rsid w:val="00962D2F"/>
    <w:rsid w:val="00963B8C"/>
    <w:rsid w:val="009644C2"/>
    <w:rsid w:val="009649C1"/>
    <w:rsid w:val="00981BBC"/>
    <w:rsid w:val="00982A0C"/>
    <w:rsid w:val="00985102"/>
    <w:rsid w:val="009877C7"/>
    <w:rsid w:val="0099388A"/>
    <w:rsid w:val="00994CA0"/>
    <w:rsid w:val="00995F86"/>
    <w:rsid w:val="009A01C2"/>
    <w:rsid w:val="009A04B3"/>
    <w:rsid w:val="009A1CA4"/>
    <w:rsid w:val="009A2C6F"/>
    <w:rsid w:val="009A38D9"/>
    <w:rsid w:val="009A532A"/>
    <w:rsid w:val="009B06A1"/>
    <w:rsid w:val="009B1F1F"/>
    <w:rsid w:val="009B5DC2"/>
    <w:rsid w:val="009B5E09"/>
    <w:rsid w:val="009B6110"/>
    <w:rsid w:val="009C27FA"/>
    <w:rsid w:val="009C2931"/>
    <w:rsid w:val="009D1B5B"/>
    <w:rsid w:val="009D6EDB"/>
    <w:rsid w:val="009D70F7"/>
    <w:rsid w:val="009E2472"/>
    <w:rsid w:val="009E6359"/>
    <w:rsid w:val="009F364F"/>
    <w:rsid w:val="009F4A40"/>
    <w:rsid w:val="009F6DB9"/>
    <w:rsid w:val="00A003EA"/>
    <w:rsid w:val="00A00561"/>
    <w:rsid w:val="00A00657"/>
    <w:rsid w:val="00A011BC"/>
    <w:rsid w:val="00A0165D"/>
    <w:rsid w:val="00A02123"/>
    <w:rsid w:val="00A038D3"/>
    <w:rsid w:val="00A040F7"/>
    <w:rsid w:val="00A048A0"/>
    <w:rsid w:val="00A07DF6"/>
    <w:rsid w:val="00A1090F"/>
    <w:rsid w:val="00A12993"/>
    <w:rsid w:val="00A1387C"/>
    <w:rsid w:val="00A157D1"/>
    <w:rsid w:val="00A23062"/>
    <w:rsid w:val="00A30E64"/>
    <w:rsid w:val="00A32348"/>
    <w:rsid w:val="00A3465C"/>
    <w:rsid w:val="00A35067"/>
    <w:rsid w:val="00A35B9B"/>
    <w:rsid w:val="00A363C7"/>
    <w:rsid w:val="00A37655"/>
    <w:rsid w:val="00A43C7F"/>
    <w:rsid w:val="00A440AD"/>
    <w:rsid w:val="00A448EF"/>
    <w:rsid w:val="00A45982"/>
    <w:rsid w:val="00A45F0A"/>
    <w:rsid w:val="00A46C55"/>
    <w:rsid w:val="00A47150"/>
    <w:rsid w:val="00A52C4F"/>
    <w:rsid w:val="00A52EBE"/>
    <w:rsid w:val="00A6018B"/>
    <w:rsid w:val="00A601F7"/>
    <w:rsid w:val="00A635D7"/>
    <w:rsid w:val="00A63DD2"/>
    <w:rsid w:val="00A64B66"/>
    <w:rsid w:val="00A6629B"/>
    <w:rsid w:val="00A662A1"/>
    <w:rsid w:val="00A676A4"/>
    <w:rsid w:val="00A67C4B"/>
    <w:rsid w:val="00A70A26"/>
    <w:rsid w:val="00A730E7"/>
    <w:rsid w:val="00A7346F"/>
    <w:rsid w:val="00A7349A"/>
    <w:rsid w:val="00A73F61"/>
    <w:rsid w:val="00A75B02"/>
    <w:rsid w:val="00A75BDA"/>
    <w:rsid w:val="00A76589"/>
    <w:rsid w:val="00A90483"/>
    <w:rsid w:val="00A90488"/>
    <w:rsid w:val="00A9053B"/>
    <w:rsid w:val="00A933CE"/>
    <w:rsid w:val="00A93D9F"/>
    <w:rsid w:val="00A94ABE"/>
    <w:rsid w:val="00A95031"/>
    <w:rsid w:val="00AA1CFF"/>
    <w:rsid w:val="00AA6235"/>
    <w:rsid w:val="00AA7197"/>
    <w:rsid w:val="00AB07B8"/>
    <w:rsid w:val="00AB0F6E"/>
    <w:rsid w:val="00AB25EA"/>
    <w:rsid w:val="00AB3E88"/>
    <w:rsid w:val="00AB4A68"/>
    <w:rsid w:val="00AB6A54"/>
    <w:rsid w:val="00AB7FB1"/>
    <w:rsid w:val="00AC14D4"/>
    <w:rsid w:val="00AC3AFA"/>
    <w:rsid w:val="00AC3B85"/>
    <w:rsid w:val="00AC796C"/>
    <w:rsid w:val="00AD0EBC"/>
    <w:rsid w:val="00AD10FD"/>
    <w:rsid w:val="00AD2949"/>
    <w:rsid w:val="00AD3BC2"/>
    <w:rsid w:val="00AD4A50"/>
    <w:rsid w:val="00AE0CE2"/>
    <w:rsid w:val="00AE124C"/>
    <w:rsid w:val="00AE1C99"/>
    <w:rsid w:val="00AE2A61"/>
    <w:rsid w:val="00AE2DE6"/>
    <w:rsid w:val="00AE3B2E"/>
    <w:rsid w:val="00AE3CE8"/>
    <w:rsid w:val="00AE442B"/>
    <w:rsid w:val="00AF03DE"/>
    <w:rsid w:val="00AF08DC"/>
    <w:rsid w:val="00AF133E"/>
    <w:rsid w:val="00AF1FFC"/>
    <w:rsid w:val="00AF2060"/>
    <w:rsid w:val="00AF3431"/>
    <w:rsid w:val="00AF43A1"/>
    <w:rsid w:val="00AF5370"/>
    <w:rsid w:val="00B013E6"/>
    <w:rsid w:val="00B0160C"/>
    <w:rsid w:val="00B047D9"/>
    <w:rsid w:val="00B11600"/>
    <w:rsid w:val="00B118FD"/>
    <w:rsid w:val="00B11C7D"/>
    <w:rsid w:val="00B17589"/>
    <w:rsid w:val="00B2038F"/>
    <w:rsid w:val="00B21A29"/>
    <w:rsid w:val="00B30DA3"/>
    <w:rsid w:val="00B30FD6"/>
    <w:rsid w:val="00B356AD"/>
    <w:rsid w:val="00B35C79"/>
    <w:rsid w:val="00B363D2"/>
    <w:rsid w:val="00B370D1"/>
    <w:rsid w:val="00B43EC1"/>
    <w:rsid w:val="00B45EAD"/>
    <w:rsid w:val="00B46D3E"/>
    <w:rsid w:val="00B47214"/>
    <w:rsid w:val="00B478A6"/>
    <w:rsid w:val="00B517CB"/>
    <w:rsid w:val="00B56B3F"/>
    <w:rsid w:val="00B56DE6"/>
    <w:rsid w:val="00B56F95"/>
    <w:rsid w:val="00B577B3"/>
    <w:rsid w:val="00B6008E"/>
    <w:rsid w:val="00B6064F"/>
    <w:rsid w:val="00B625F0"/>
    <w:rsid w:val="00B67090"/>
    <w:rsid w:val="00B67DE6"/>
    <w:rsid w:val="00B72CA0"/>
    <w:rsid w:val="00B74FD5"/>
    <w:rsid w:val="00B8014D"/>
    <w:rsid w:val="00B8276D"/>
    <w:rsid w:val="00B843C6"/>
    <w:rsid w:val="00B84410"/>
    <w:rsid w:val="00B84DEE"/>
    <w:rsid w:val="00B944DC"/>
    <w:rsid w:val="00B97675"/>
    <w:rsid w:val="00BA1E31"/>
    <w:rsid w:val="00BA23B8"/>
    <w:rsid w:val="00BA2497"/>
    <w:rsid w:val="00BA44DE"/>
    <w:rsid w:val="00BA6413"/>
    <w:rsid w:val="00BA7CB6"/>
    <w:rsid w:val="00BB2773"/>
    <w:rsid w:val="00BB2C10"/>
    <w:rsid w:val="00BB344C"/>
    <w:rsid w:val="00BB4A49"/>
    <w:rsid w:val="00BB737A"/>
    <w:rsid w:val="00BB75BE"/>
    <w:rsid w:val="00BC2AEE"/>
    <w:rsid w:val="00BC4230"/>
    <w:rsid w:val="00BC4822"/>
    <w:rsid w:val="00BD0461"/>
    <w:rsid w:val="00BD20D7"/>
    <w:rsid w:val="00BD41E3"/>
    <w:rsid w:val="00BD4A99"/>
    <w:rsid w:val="00BD62CF"/>
    <w:rsid w:val="00BD7C5F"/>
    <w:rsid w:val="00BE0AA7"/>
    <w:rsid w:val="00BF359E"/>
    <w:rsid w:val="00C02DEA"/>
    <w:rsid w:val="00C0517F"/>
    <w:rsid w:val="00C1030A"/>
    <w:rsid w:val="00C12301"/>
    <w:rsid w:val="00C136C6"/>
    <w:rsid w:val="00C1573D"/>
    <w:rsid w:val="00C16953"/>
    <w:rsid w:val="00C20D08"/>
    <w:rsid w:val="00C22C1A"/>
    <w:rsid w:val="00C2334C"/>
    <w:rsid w:val="00C24BE0"/>
    <w:rsid w:val="00C276CF"/>
    <w:rsid w:val="00C27AF2"/>
    <w:rsid w:val="00C30F0B"/>
    <w:rsid w:val="00C31AF2"/>
    <w:rsid w:val="00C35AB5"/>
    <w:rsid w:val="00C37473"/>
    <w:rsid w:val="00C40465"/>
    <w:rsid w:val="00C40C9D"/>
    <w:rsid w:val="00C429DC"/>
    <w:rsid w:val="00C42CAB"/>
    <w:rsid w:val="00C43EC9"/>
    <w:rsid w:val="00C44D75"/>
    <w:rsid w:val="00C45A86"/>
    <w:rsid w:val="00C47435"/>
    <w:rsid w:val="00C475C4"/>
    <w:rsid w:val="00C51B6F"/>
    <w:rsid w:val="00C522FE"/>
    <w:rsid w:val="00C52E2B"/>
    <w:rsid w:val="00C52E66"/>
    <w:rsid w:val="00C56741"/>
    <w:rsid w:val="00C5767C"/>
    <w:rsid w:val="00C576DB"/>
    <w:rsid w:val="00C57AFA"/>
    <w:rsid w:val="00C6037F"/>
    <w:rsid w:val="00C62804"/>
    <w:rsid w:val="00C634C5"/>
    <w:rsid w:val="00C637C0"/>
    <w:rsid w:val="00C6503F"/>
    <w:rsid w:val="00C652C0"/>
    <w:rsid w:val="00C656B4"/>
    <w:rsid w:val="00C71414"/>
    <w:rsid w:val="00C74BAB"/>
    <w:rsid w:val="00C77D19"/>
    <w:rsid w:val="00C80A02"/>
    <w:rsid w:val="00C857D1"/>
    <w:rsid w:val="00C8635C"/>
    <w:rsid w:val="00C87402"/>
    <w:rsid w:val="00C92602"/>
    <w:rsid w:val="00C947D0"/>
    <w:rsid w:val="00C94893"/>
    <w:rsid w:val="00C9502B"/>
    <w:rsid w:val="00C9582B"/>
    <w:rsid w:val="00C95CAA"/>
    <w:rsid w:val="00CA68FD"/>
    <w:rsid w:val="00CB0ADF"/>
    <w:rsid w:val="00CB298C"/>
    <w:rsid w:val="00CB3287"/>
    <w:rsid w:val="00CC0B86"/>
    <w:rsid w:val="00CC1DF2"/>
    <w:rsid w:val="00CC2372"/>
    <w:rsid w:val="00CC583C"/>
    <w:rsid w:val="00CD58AB"/>
    <w:rsid w:val="00CE51FD"/>
    <w:rsid w:val="00CE6A53"/>
    <w:rsid w:val="00CE76A6"/>
    <w:rsid w:val="00CF0513"/>
    <w:rsid w:val="00CF6708"/>
    <w:rsid w:val="00CF6795"/>
    <w:rsid w:val="00D00909"/>
    <w:rsid w:val="00D036EF"/>
    <w:rsid w:val="00D03969"/>
    <w:rsid w:val="00D042BA"/>
    <w:rsid w:val="00D0443E"/>
    <w:rsid w:val="00D05837"/>
    <w:rsid w:val="00D06A55"/>
    <w:rsid w:val="00D06C5A"/>
    <w:rsid w:val="00D11FF5"/>
    <w:rsid w:val="00D139B0"/>
    <w:rsid w:val="00D17947"/>
    <w:rsid w:val="00D20258"/>
    <w:rsid w:val="00D20381"/>
    <w:rsid w:val="00D22736"/>
    <w:rsid w:val="00D24C0C"/>
    <w:rsid w:val="00D24FBA"/>
    <w:rsid w:val="00D33D59"/>
    <w:rsid w:val="00D35104"/>
    <w:rsid w:val="00D35F51"/>
    <w:rsid w:val="00D36562"/>
    <w:rsid w:val="00D37076"/>
    <w:rsid w:val="00D37960"/>
    <w:rsid w:val="00D402D2"/>
    <w:rsid w:val="00D43977"/>
    <w:rsid w:val="00D45D55"/>
    <w:rsid w:val="00D46958"/>
    <w:rsid w:val="00D470F4"/>
    <w:rsid w:val="00D50B5A"/>
    <w:rsid w:val="00D5194D"/>
    <w:rsid w:val="00D52F44"/>
    <w:rsid w:val="00D571FB"/>
    <w:rsid w:val="00D61488"/>
    <w:rsid w:val="00D615BD"/>
    <w:rsid w:val="00D647AA"/>
    <w:rsid w:val="00D64EE6"/>
    <w:rsid w:val="00D650FD"/>
    <w:rsid w:val="00D66C6D"/>
    <w:rsid w:val="00D66CBA"/>
    <w:rsid w:val="00D67F29"/>
    <w:rsid w:val="00D70838"/>
    <w:rsid w:val="00D71404"/>
    <w:rsid w:val="00D80793"/>
    <w:rsid w:val="00D83463"/>
    <w:rsid w:val="00D90956"/>
    <w:rsid w:val="00D90C65"/>
    <w:rsid w:val="00DA0F9D"/>
    <w:rsid w:val="00DA2A32"/>
    <w:rsid w:val="00DA420B"/>
    <w:rsid w:val="00DA4FBB"/>
    <w:rsid w:val="00DA5653"/>
    <w:rsid w:val="00DA6A3F"/>
    <w:rsid w:val="00DA7152"/>
    <w:rsid w:val="00DA7A39"/>
    <w:rsid w:val="00DA7B0A"/>
    <w:rsid w:val="00DB0C49"/>
    <w:rsid w:val="00DB0EEE"/>
    <w:rsid w:val="00DB1064"/>
    <w:rsid w:val="00DB10D4"/>
    <w:rsid w:val="00DB5482"/>
    <w:rsid w:val="00DB6561"/>
    <w:rsid w:val="00DB6D2F"/>
    <w:rsid w:val="00DC0412"/>
    <w:rsid w:val="00DC22FD"/>
    <w:rsid w:val="00DC263C"/>
    <w:rsid w:val="00DC2C7D"/>
    <w:rsid w:val="00DC4279"/>
    <w:rsid w:val="00DC478C"/>
    <w:rsid w:val="00DC6910"/>
    <w:rsid w:val="00DC69F5"/>
    <w:rsid w:val="00DD2685"/>
    <w:rsid w:val="00DD462C"/>
    <w:rsid w:val="00DD63A5"/>
    <w:rsid w:val="00DE0938"/>
    <w:rsid w:val="00DE1C85"/>
    <w:rsid w:val="00DE2D91"/>
    <w:rsid w:val="00DE2DDB"/>
    <w:rsid w:val="00DE3654"/>
    <w:rsid w:val="00DE5748"/>
    <w:rsid w:val="00DE5859"/>
    <w:rsid w:val="00DF0045"/>
    <w:rsid w:val="00DF0C9C"/>
    <w:rsid w:val="00DF106A"/>
    <w:rsid w:val="00DF3EF6"/>
    <w:rsid w:val="00DF5335"/>
    <w:rsid w:val="00DF5E00"/>
    <w:rsid w:val="00E00A58"/>
    <w:rsid w:val="00E00CE4"/>
    <w:rsid w:val="00E0141B"/>
    <w:rsid w:val="00E0295B"/>
    <w:rsid w:val="00E10188"/>
    <w:rsid w:val="00E10B03"/>
    <w:rsid w:val="00E1670F"/>
    <w:rsid w:val="00E213DD"/>
    <w:rsid w:val="00E22F5D"/>
    <w:rsid w:val="00E244F3"/>
    <w:rsid w:val="00E24893"/>
    <w:rsid w:val="00E2498C"/>
    <w:rsid w:val="00E25235"/>
    <w:rsid w:val="00E26690"/>
    <w:rsid w:val="00E27A48"/>
    <w:rsid w:val="00E27D0A"/>
    <w:rsid w:val="00E3000D"/>
    <w:rsid w:val="00E30435"/>
    <w:rsid w:val="00E3109E"/>
    <w:rsid w:val="00E310C3"/>
    <w:rsid w:val="00E32A94"/>
    <w:rsid w:val="00E3397B"/>
    <w:rsid w:val="00E45801"/>
    <w:rsid w:val="00E46794"/>
    <w:rsid w:val="00E52EB6"/>
    <w:rsid w:val="00E557DB"/>
    <w:rsid w:val="00E55D03"/>
    <w:rsid w:val="00E5730B"/>
    <w:rsid w:val="00E6153A"/>
    <w:rsid w:val="00E61DF7"/>
    <w:rsid w:val="00E63038"/>
    <w:rsid w:val="00E64604"/>
    <w:rsid w:val="00E656B8"/>
    <w:rsid w:val="00E67A3D"/>
    <w:rsid w:val="00E71ADE"/>
    <w:rsid w:val="00E7209D"/>
    <w:rsid w:val="00E729D6"/>
    <w:rsid w:val="00E74113"/>
    <w:rsid w:val="00E75975"/>
    <w:rsid w:val="00E80D1A"/>
    <w:rsid w:val="00E81040"/>
    <w:rsid w:val="00E85EB0"/>
    <w:rsid w:val="00E8744B"/>
    <w:rsid w:val="00E87A1A"/>
    <w:rsid w:val="00E936BA"/>
    <w:rsid w:val="00E940C0"/>
    <w:rsid w:val="00EA250F"/>
    <w:rsid w:val="00EA256E"/>
    <w:rsid w:val="00EA6CD2"/>
    <w:rsid w:val="00EB233B"/>
    <w:rsid w:val="00EB551D"/>
    <w:rsid w:val="00EB6080"/>
    <w:rsid w:val="00EC049D"/>
    <w:rsid w:val="00EC16F0"/>
    <w:rsid w:val="00EC7720"/>
    <w:rsid w:val="00ED21B8"/>
    <w:rsid w:val="00ED3BAA"/>
    <w:rsid w:val="00ED3EFA"/>
    <w:rsid w:val="00ED7B3C"/>
    <w:rsid w:val="00EE0B24"/>
    <w:rsid w:val="00EE1526"/>
    <w:rsid w:val="00EE2584"/>
    <w:rsid w:val="00EE3E47"/>
    <w:rsid w:val="00EE4E94"/>
    <w:rsid w:val="00EE5A87"/>
    <w:rsid w:val="00EE6696"/>
    <w:rsid w:val="00EE71F0"/>
    <w:rsid w:val="00EF2C85"/>
    <w:rsid w:val="00EF5648"/>
    <w:rsid w:val="00EF7E2F"/>
    <w:rsid w:val="00F014A4"/>
    <w:rsid w:val="00F015F8"/>
    <w:rsid w:val="00F020F5"/>
    <w:rsid w:val="00F031AD"/>
    <w:rsid w:val="00F0464A"/>
    <w:rsid w:val="00F103DE"/>
    <w:rsid w:val="00F1085D"/>
    <w:rsid w:val="00F15B15"/>
    <w:rsid w:val="00F15BAB"/>
    <w:rsid w:val="00F200C6"/>
    <w:rsid w:val="00F205D5"/>
    <w:rsid w:val="00F22CB7"/>
    <w:rsid w:val="00F23C43"/>
    <w:rsid w:val="00F23D16"/>
    <w:rsid w:val="00F30BD4"/>
    <w:rsid w:val="00F32038"/>
    <w:rsid w:val="00F33526"/>
    <w:rsid w:val="00F33BF5"/>
    <w:rsid w:val="00F34FE5"/>
    <w:rsid w:val="00F3509F"/>
    <w:rsid w:val="00F35C8D"/>
    <w:rsid w:val="00F35E90"/>
    <w:rsid w:val="00F37E1F"/>
    <w:rsid w:val="00F40D8E"/>
    <w:rsid w:val="00F42D5A"/>
    <w:rsid w:val="00F44876"/>
    <w:rsid w:val="00F44FD3"/>
    <w:rsid w:val="00F450CE"/>
    <w:rsid w:val="00F45131"/>
    <w:rsid w:val="00F4628B"/>
    <w:rsid w:val="00F46E62"/>
    <w:rsid w:val="00F53324"/>
    <w:rsid w:val="00F5600D"/>
    <w:rsid w:val="00F5684F"/>
    <w:rsid w:val="00F56F21"/>
    <w:rsid w:val="00F57121"/>
    <w:rsid w:val="00F60657"/>
    <w:rsid w:val="00F62094"/>
    <w:rsid w:val="00F66B04"/>
    <w:rsid w:val="00F66D45"/>
    <w:rsid w:val="00F71E07"/>
    <w:rsid w:val="00F74CA7"/>
    <w:rsid w:val="00F77462"/>
    <w:rsid w:val="00F775F6"/>
    <w:rsid w:val="00F8172E"/>
    <w:rsid w:val="00F864F2"/>
    <w:rsid w:val="00F87212"/>
    <w:rsid w:val="00F90EDF"/>
    <w:rsid w:val="00F94033"/>
    <w:rsid w:val="00F94A2C"/>
    <w:rsid w:val="00F94D5C"/>
    <w:rsid w:val="00F973A0"/>
    <w:rsid w:val="00F977A1"/>
    <w:rsid w:val="00FA00B9"/>
    <w:rsid w:val="00FA30C2"/>
    <w:rsid w:val="00FA336B"/>
    <w:rsid w:val="00FB0BCA"/>
    <w:rsid w:val="00FB0F9A"/>
    <w:rsid w:val="00FB4190"/>
    <w:rsid w:val="00FB55D3"/>
    <w:rsid w:val="00FB5C1F"/>
    <w:rsid w:val="00FC037B"/>
    <w:rsid w:val="00FC38F8"/>
    <w:rsid w:val="00FC5A48"/>
    <w:rsid w:val="00FC67E8"/>
    <w:rsid w:val="00FD0275"/>
    <w:rsid w:val="00FD2EED"/>
    <w:rsid w:val="00FD46AB"/>
    <w:rsid w:val="00FD5997"/>
    <w:rsid w:val="00FD66D8"/>
    <w:rsid w:val="00FD717B"/>
    <w:rsid w:val="00FE0BEA"/>
    <w:rsid w:val="00FE141F"/>
    <w:rsid w:val="00FE2C69"/>
    <w:rsid w:val="00FF0BEB"/>
    <w:rsid w:val="00FF0E7D"/>
    <w:rsid w:val="00FF0EC7"/>
    <w:rsid w:val="00FF0F27"/>
    <w:rsid w:val="00FF1D9D"/>
    <w:rsid w:val="00FF3138"/>
    <w:rsid w:val="00FF396F"/>
    <w:rsid w:val="00FF4C68"/>
    <w:rsid w:val="00FF5316"/>
    <w:rsid w:val="016AA724"/>
    <w:rsid w:val="019DEC5A"/>
    <w:rsid w:val="01CA56C0"/>
    <w:rsid w:val="0209D24A"/>
    <w:rsid w:val="025274FD"/>
    <w:rsid w:val="02A0F810"/>
    <w:rsid w:val="037DB78A"/>
    <w:rsid w:val="049AD8CC"/>
    <w:rsid w:val="04E98E97"/>
    <w:rsid w:val="051FBAB6"/>
    <w:rsid w:val="05220DCA"/>
    <w:rsid w:val="0583558B"/>
    <w:rsid w:val="06069D89"/>
    <w:rsid w:val="065709D4"/>
    <w:rsid w:val="07B5D4DD"/>
    <w:rsid w:val="07D4CBE2"/>
    <w:rsid w:val="07FB20CA"/>
    <w:rsid w:val="080B75DE"/>
    <w:rsid w:val="0824F0D4"/>
    <w:rsid w:val="08638894"/>
    <w:rsid w:val="08A5E2B5"/>
    <w:rsid w:val="08BDC5F7"/>
    <w:rsid w:val="090C53E1"/>
    <w:rsid w:val="09E20613"/>
    <w:rsid w:val="09EEFB14"/>
    <w:rsid w:val="0B21ED83"/>
    <w:rsid w:val="0B33E0E0"/>
    <w:rsid w:val="0BEE59A7"/>
    <w:rsid w:val="0C11D82C"/>
    <w:rsid w:val="0C4A6920"/>
    <w:rsid w:val="0C8F9678"/>
    <w:rsid w:val="0CBA589F"/>
    <w:rsid w:val="0D29F88C"/>
    <w:rsid w:val="0D5065F1"/>
    <w:rsid w:val="0E109FD6"/>
    <w:rsid w:val="0E395FE3"/>
    <w:rsid w:val="0E774880"/>
    <w:rsid w:val="0F25FA69"/>
    <w:rsid w:val="10539198"/>
    <w:rsid w:val="10FB235B"/>
    <w:rsid w:val="10FF4BE3"/>
    <w:rsid w:val="11219242"/>
    <w:rsid w:val="11288ABF"/>
    <w:rsid w:val="114F0BBA"/>
    <w:rsid w:val="117C269D"/>
    <w:rsid w:val="1182AA76"/>
    <w:rsid w:val="12A21748"/>
    <w:rsid w:val="12FE6444"/>
    <w:rsid w:val="1310486B"/>
    <w:rsid w:val="135CB29A"/>
    <w:rsid w:val="13848154"/>
    <w:rsid w:val="13FDC6A8"/>
    <w:rsid w:val="144CF771"/>
    <w:rsid w:val="14954BF2"/>
    <w:rsid w:val="14DA874F"/>
    <w:rsid w:val="14F0599D"/>
    <w:rsid w:val="14F9DE27"/>
    <w:rsid w:val="1550B53C"/>
    <w:rsid w:val="1570E255"/>
    <w:rsid w:val="15FBFBE2"/>
    <w:rsid w:val="16A56A16"/>
    <w:rsid w:val="16C44776"/>
    <w:rsid w:val="16EEA196"/>
    <w:rsid w:val="173C52D8"/>
    <w:rsid w:val="183F8B35"/>
    <w:rsid w:val="18576178"/>
    <w:rsid w:val="18725374"/>
    <w:rsid w:val="19E6A8FB"/>
    <w:rsid w:val="1A734201"/>
    <w:rsid w:val="1B256991"/>
    <w:rsid w:val="1B47850E"/>
    <w:rsid w:val="1B70FE6A"/>
    <w:rsid w:val="1B80FE70"/>
    <w:rsid w:val="1D067225"/>
    <w:rsid w:val="1D2F68B2"/>
    <w:rsid w:val="1D7C5833"/>
    <w:rsid w:val="1DC68FBD"/>
    <w:rsid w:val="1DD3736D"/>
    <w:rsid w:val="1F5DB2EB"/>
    <w:rsid w:val="1FA5752B"/>
    <w:rsid w:val="1FF75FB1"/>
    <w:rsid w:val="203A40F7"/>
    <w:rsid w:val="2113B147"/>
    <w:rsid w:val="2139E05F"/>
    <w:rsid w:val="216B43DE"/>
    <w:rsid w:val="21838E07"/>
    <w:rsid w:val="227BAC7B"/>
    <w:rsid w:val="230C994D"/>
    <w:rsid w:val="23EFA904"/>
    <w:rsid w:val="2450A451"/>
    <w:rsid w:val="2485D9E5"/>
    <w:rsid w:val="25769D44"/>
    <w:rsid w:val="25CD4376"/>
    <w:rsid w:val="25D74864"/>
    <w:rsid w:val="26D61478"/>
    <w:rsid w:val="273A32A9"/>
    <w:rsid w:val="27B57980"/>
    <w:rsid w:val="282694F6"/>
    <w:rsid w:val="28CD94EF"/>
    <w:rsid w:val="28D6030A"/>
    <w:rsid w:val="29003E05"/>
    <w:rsid w:val="291989D9"/>
    <w:rsid w:val="29216681"/>
    <w:rsid w:val="2940557C"/>
    <w:rsid w:val="299280F4"/>
    <w:rsid w:val="29C9A93B"/>
    <w:rsid w:val="2A0AEDE3"/>
    <w:rsid w:val="2A66E554"/>
    <w:rsid w:val="2A7FA06E"/>
    <w:rsid w:val="2A9EB6D2"/>
    <w:rsid w:val="2ACEC3C7"/>
    <w:rsid w:val="2AD9560B"/>
    <w:rsid w:val="2B000CDE"/>
    <w:rsid w:val="2B47556B"/>
    <w:rsid w:val="2B78FB29"/>
    <w:rsid w:val="2BBE91E7"/>
    <w:rsid w:val="2BE7D41F"/>
    <w:rsid w:val="2D622C7F"/>
    <w:rsid w:val="2DA7A2EB"/>
    <w:rsid w:val="2E128756"/>
    <w:rsid w:val="2EA14408"/>
    <w:rsid w:val="2ED4A7BE"/>
    <w:rsid w:val="2F71F9AB"/>
    <w:rsid w:val="300E948B"/>
    <w:rsid w:val="305FC414"/>
    <w:rsid w:val="31143015"/>
    <w:rsid w:val="316C8BD9"/>
    <w:rsid w:val="3196CBDB"/>
    <w:rsid w:val="322264F0"/>
    <w:rsid w:val="32319542"/>
    <w:rsid w:val="32C06DE4"/>
    <w:rsid w:val="3359C3AB"/>
    <w:rsid w:val="337A05B9"/>
    <w:rsid w:val="33B98FAE"/>
    <w:rsid w:val="3455E068"/>
    <w:rsid w:val="34C661D4"/>
    <w:rsid w:val="357CB486"/>
    <w:rsid w:val="36646683"/>
    <w:rsid w:val="3665E8C4"/>
    <w:rsid w:val="3704CC9C"/>
    <w:rsid w:val="37BC85B2"/>
    <w:rsid w:val="381B8DB9"/>
    <w:rsid w:val="38222CD9"/>
    <w:rsid w:val="385AE4DE"/>
    <w:rsid w:val="397404AB"/>
    <w:rsid w:val="39C21E71"/>
    <w:rsid w:val="39E3A04E"/>
    <w:rsid w:val="3BD30F97"/>
    <w:rsid w:val="3C3EBCB5"/>
    <w:rsid w:val="3C64C3C2"/>
    <w:rsid w:val="3CFE622C"/>
    <w:rsid w:val="3D247941"/>
    <w:rsid w:val="400EED7B"/>
    <w:rsid w:val="402DDB9C"/>
    <w:rsid w:val="40532BD7"/>
    <w:rsid w:val="4170EB51"/>
    <w:rsid w:val="42A537A1"/>
    <w:rsid w:val="42F1F3E2"/>
    <w:rsid w:val="44230611"/>
    <w:rsid w:val="4429F8EF"/>
    <w:rsid w:val="44356540"/>
    <w:rsid w:val="44419D04"/>
    <w:rsid w:val="444A3293"/>
    <w:rsid w:val="44A9C647"/>
    <w:rsid w:val="45125A44"/>
    <w:rsid w:val="454FCE0F"/>
    <w:rsid w:val="4592D895"/>
    <w:rsid w:val="45E06BDF"/>
    <w:rsid w:val="4649ED22"/>
    <w:rsid w:val="467336C6"/>
    <w:rsid w:val="471A24CF"/>
    <w:rsid w:val="47EB9A04"/>
    <w:rsid w:val="487A5884"/>
    <w:rsid w:val="488DBE88"/>
    <w:rsid w:val="49C582A4"/>
    <w:rsid w:val="49EF9A82"/>
    <w:rsid w:val="4A0FE1AF"/>
    <w:rsid w:val="4A18996A"/>
    <w:rsid w:val="4AF4BE86"/>
    <w:rsid w:val="4AF564B2"/>
    <w:rsid w:val="4B70081F"/>
    <w:rsid w:val="4C95A6F1"/>
    <w:rsid w:val="4CE16156"/>
    <w:rsid w:val="4CE9C1B1"/>
    <w:rsid w:val="4D54C4AB"/>
    <w:rsid w:val="4DD3C5AC"/>
    <w:rsid w:val="4E7D31B7"/>
    <w:rsid w:val="4EBB5432"/>
    <w:rsid w:val="4EDD7E75"/>
    <w:rsid w:val="4F2A4733"/>
    <w:rsid w:val="4F7DDD4E"/>
    <w:rsid w:val="4FAA22A6"/>
    <w:rsid w:val="4FFC1C10"/>
    <w:rsid w:val="503D2FA6"/>
    <w:rsid w:val="508FEEB7"/>
    <w:rsid w:val="515A957D"/>
    <w:rsid w:val="51CCD3F9"/>
    <w:rsid w:val="5295BC66"/>
    <w:rsid w:val="5297BE1C"/>
    <w:rsid w:val="5307286A"/>
    <w:rsid w:val="544F6D18"/>
    <w:rsid w:val="5482C26F"/>
    <w:rsid w:val="54DA6771"/>
    <w:rsid w:val="55AC156F"/>
    <w:rsid w:val="5705E752"/>
    <w:rsid w:val="570C55E3"/>
    <w:rsid w:val="5745EB38"/>
    <w:rsid w:val="57B9DB26"/>
    <w:rsid w:val="57C7A204"/>
    <w:rsid w:val="57F823CB"/>
    <w:rsid w:val="585F2623"/>
    <w:rsid w:val="58DF95A1"/>
    <w:rsid w:val="59060488"/>
    <w:rsid w:val="594AFB90"/>
    <w:rsid w:val="5959DCC1"/>
    <w:rsid w:val="59D7F25C"/>
    <w:rsid w:val="59E19D51"/>
    <w:rsid w:val="5AA07A80"/>
    <w:rsid w:val="5B87F7A9"/>
    <w:rsid w:val="5BA411FD"/>
    <w:rsid w:val="5BADBCF2"/>
    <w:rsid w:val="5BFDB12F"/>
    <w:rsid w:val="5CC3E6E8"/>
    <w:rsid w:val="5CD1EACF"/>
    <w:rsid w:val="5CE08E14"/>
    <w:rsid w:val="5D9393E4"/>
    <w:rsid w:val="5E41CCA2"/>
    <w:rsid w:val="5F56A311"/>
    <w:rsid w:val="5F9FB7DF"/>
    <w:rsid w:val="5FA0DCD9"/>
    <w:rsid w:val="6005CA60"/>
    <w:rsid w:val="6099D638"/>
    <w:rsid w:val="612AF2E3"/>
    <w:rsid w:val="61C68AC6"/>
    <w:rsid w:val="62321464"/>
    <w:rsid w:val="64857345"/>
    <w:rsid w:val="64891C15"/>
    <w:rsid w:val="64D70867"/>
    <w:rsid w:val="64E9F79C"/>
    <w:rsid w:val="66863074"/>
    <w:rsid w:val="66CF8928"/>
    <w:rsid w:val="66EFE370"/>
    <w:rsid w:val="67204F3E"/>
    <w:rsid w:val="6744B7BC"/>
    <w:rsid w:val="67EAAFDC"/>
    <w:rsid w:val="680F895B"/>
    <w:rsid w:val="685AC01B"/>
    <w:rsid w:val="689A0291"/>
    <w:rsid w:val="69E88E66"/>
    <w:rsid w:val="6BA73919"/>
    <w:rsid w:val="6C40012B"/>
    <w:rsid w:val="6C7E6717"/>
    <w:rsid w:val="6CDACD23"/>
    <w:rsid w:val="6D2AF0A4"/>
    <w:rsid w:val="6D63BC6C"/>
    <w:rsid w:val="6D735AB2"/>
    <w:rsid w:val="6D7D4B0E"/>
    <w:rsid w:val="6E0E6712"/>
    <w:rsid w:val="6E6107A2"/>
    <w:rsid w:val="6EAC2136"/>
    <w:rsid w:val="6F69A890"/>
    <w:rsid w:val="703692D4"/>
    <w:rsid w:val="70A5AECB"/>
    <w:rsid w:val="70EDBE50"/>
    <w:rsid w:val="719A6775"/>
    <w:rsid w:val="71C55B2F"/>
    <w:rsid w:val="7373F130"/>
    <w:rsid w:val="73794689"/>
    <w:rsid w:val="73A5DD59"/>
    <w:rsid w:val="74451EC3"/>
    <w:rsid w:val="745DA60C"/>
    <w:rsid w:val="74B96C58"/>
    <w:rsid w:val="75278C7D"/>
    <w:rsid w:val="75AA8CC3"/>
    <w:rsid w:val="768C1E7A"/>
    <w:rsid w:val="769D878F"/>
    <w:rsid w:val="769FFC80"/>
    <w:rsid w:val="7761DC53"/>
    <w:rsid w:val="77A02B69"/>
    <w:rsid w:val="77EC67B1"/>
    <w:rsid w:val="78631AF3"/>
    <w:rsid w:val="7A22AA91"/>
    <w:rsid w:val="7BB59B30"/>
    <w:rsid w:val="7BBE7AF2"/>
    <w:rsid w:val="7BD5129E"/>
    <w:rsid w:val="7BF7BE6B"/>
    <w:rsid w:val="7CDDE7C4"/>
    <w:rsid w:val="7D50A911"/>
    <w:rsid w:val="7D553CDC"/>
    <w:rsid w:val="7DFEEEF1"/>
    <w:rsid w:val="7E1A6E73"/>
    <w:rsid w:val="7E2D4DDD"/>
    <w:rsid w:val="7E33E05E"/>
    <w:rsid w:val="7E6065F5"/>
    <w:rsid w:val="7E9BFBFD"/>
    <w:rsid w:val="7F5A07DF"/>
    <w:rsid w:val="7F90E4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5888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5BF"/>
    <w:rPr>
      <w:color w:val="0000FF"/>
      <w:u w:val="single"/>
      <w:shd w:val="clear" w:color="auto" w:fill="auto"/>
    </w:rPr>
  </w:style>
  <w:style w:type="character" w:customStyle="1" w:styleId="normaltextrun">
    <w:name w:val="normaltextrun"/>
    <w:basedOn w:val="DefaultParagraphFont"/>
    <w:rsid w:val="00FE2C69"/>
  </w:style>
  <w:style w:type="paragraph" w:customStyle="1" w:styleId="Normal3">
    <w:name w:val="Normal3"/>
    <w:basedOn w:val="Normal"/>
    <w:rsid w:val="00FE2C69"/>
    <w:pPr>
      <w:spacing w:before="100" w:beforeAutospacing="1" w:after="100" w:afterAutospacing="1"/>
      <w:jc w:val="left"/>
    </w:pPr>
  </w:style>
  <w:style w:type="character" w:styleId="CommentReference">
    <w:name w:val="annotation reference"/>
    <w:basedOn w:val="DefaultParagraphFont"/>
    <w:uiPriority w:val="99"/>
    <w:unhideWhenUsed/>
    <w:rsid w:val="000C03D6"/>
    <w:rPr>
      <w:sz w:val="16"/>
    </w:rPr>
  </w:style>
  <w:style w:type="character" w:customStyle="1" w:styleId="Bodytext1">
    <w:name w:val="Body text|1_"/>
    <w:basedOn w:val="DefaultParagraphFont"/>
    <w:link w:val="Bodytext10"/>
    <w:rsid w:val="000C03D6"/>
  </w:style>
  <w:style w:type="paragraph" w:customStyle="1" w:styleId="Bodytext10">
    <w:name w:val="Body text|1"/>
    <w:basedOn w:val="Normal"/>
    <w:link w:val="Bodytext1"/>
    <w:rsid w:val="000C03D6"/>
    <w:pPr>
      <w:widowControl w:val="0"/>
      <w:spacing w:before="0" w:after="100"/>
      <w:jc w:val="left"/>
    </w:pPr>
    <w:rPr>
      <w:rFonts w:asciiTheme="minorHAnsi" w:hAnsiTheme="minorHAnsi" w:cstheme="minorBidi"/>
      <w:sz w:val="22"/>
    </w:rPr>
  </w:style>
  <w:style w:type="paragraph" w:customStyle="1" w:styleId="Normal1">
    <w:name w:val="Normal1"/>
    <w:basedOn w:val="Normal"/>
    <w:rsid w:val="000C03D6"/>
    <w:pPr>
      <w:spacing w:before="100" w:beforeAutospacing="1" w:after="100" w:afterAutospacing="1"/>
      <w:jc w:val="left"/>
    </w:pPr>
  </w:style>
  <w:style w:type="character" w:customStyle="1" w:styleId="eop">
    <w:name w:val="eop"/>
    <w:basedOn w:val="DefaultParagraphFont"/>
    <w:rsid w:val="00663BFD"/>
  </w:style>
  <w:style w:type="paragraph" w:styleId="ListParagraph">
    <w:name w:val="List Paragraph"/>
    <w:basedOn w:val="Normal"/>
    <w:link w:val="ListParagraphChar"/>
    <w:uiPriority w:val="34"/>
    <w:qFormat/>
    <w:rsid w:val="008C02C8"/>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basedOn w:val="DefaultParagraphFont"/>
    <w:link w:val="ListParagraph"/>
    <w:uiPriority w:val="34"/>
    <w:qFormat/>
    <w:locked/>
    <w:rsid w:val="008C02C8"/>
  </w:style>
  <w:style w:type="paragraph" w:styleId="ListNumber2">
    <w:name w:val="List Number 2"/>
    <w:basedOn w:val="Normal"/>
    <w:uiPriority w:val="99"/>
    <w:unhideWhenUsed/>
    <w:rsid w:val="003B6C3F"/>
    <w:pPr>
      <w:numPr>
        <w:numId w:val="1"/>
      </w:numPr>
      <w:contextualSpacing/>
    </w:pPr>
  </w:style>
  <w:style w:type="paragraph" w:styleId="Caption">
    <w:name w:val="caption"/>
    <w:basedOn w:val="Normal"/>
    <w:next w:val="Normal"/>
    <w:uiPriority w:val="35"/>
    <w:semiHidden/>
    <w:unhideWhenUsed/>
    <w:qFormat/>
    <w:rsid w:val="003B6C3F"/>
    <w:pPr>
      <w:spacing w:before="0" w:after="200"/>
    </w:pPr>
    <w:rPr>
      <w:i/>
      <w:color w:val="1F497D" w:themeColor="text2"/>
      <w:sz w:val="18"/>
    </w:rPr>
  </w:style>
  <w:style w:type="numbering" w:customStyle="1" w:styleId="Style1">
    <w:name w:val="Style1"/>
    <w:uiPriority w:val="99"/>
    <w:rsid w:val="000A46DD"/>
    <w:pPr>
      <w:numPr>
        <w:numId w:val="2"/>
      </w:numPr>
    </w:pPr>
  </w:style>
  <w:style w:type="paragraph" w:styleId="ListBullet">
    <w:name w:val="List Bullet"/>
    <w:basedOn w:val="Normal"/>
    <w:uiPriority w:val="99"/>
    <w:semiHidden/>
    <w:unhideWhenUsed/>
    <w:rsid w:val="00F94D5C"/>
    <w:pPr>
      <w:numPr>
        <w:numId w:val="3"/>
      </w:numPr>
      <w:contextualSpacing/>
    </w:pPr>
  </w:style>
  <w:style w:type="paragraph" w:styleId="ListBullet2">
    <w:name w:val="List Bullet 2"/>
    <w:basedOn w:val="Normal"/>
    <w:uiPriority w:val="99"/>
    <w:semiHidden/>
    <w:unhideWhenUsed/>
    <w:rsid w:val="00F94D5C"/>
    <w:pPr>
      <w:numPr>
        <w:numId w:val="4"/>
      </w:numPr>
      <w:contextualSpacing/>
    </w:pPr>
  </w:style>
  <w:style w:type="paragraph" w:styleId="ListBullet3">
    <w:name w:val="List Bullet 3"/>
    <w:basedOn w:val="Normal"/>
    <w:uiPriority w:val="99"/>
    <w:semiHidden/>
    <w:unhideWhenUsed/>
    <w:rsid w:val="00F94D5C"/>
    <w:pPr>
      <w:numPr>
        <w:numId w:val="5"/>
      </w:numPr>
      <w:contextualSpacing/>
    </w:pPr>
  </w:style>
  <w:style w:type="paragraph" w:styleId="ListBullet4">
    <w:name w:val="List Bullet 4"/>
    <w:basedOn w:val="Normal"/>
    <w:uiPriority w:val="99"/>
    <w:semiHidden/>
    <w:unhideWhenUsed/>
    <w:rsid w:val="00F94D5C"/>
    <w:pPr>
      <w:numPr>
        <w:numId w:val="6"/>
      </w:numPr>
      <w:contextualSpacing/>
    </w:pPr>
  </w:style>
  <w:style w:type="paragraph" w:styleId="TableofFigures">
    <w:name w:val="table of figures"/>
    <w:basedOn w:val="Normal"/>
    <w:next w:val="Normal"/>
    <w:uiPriority w:val="99"/>
    <w:semiHidden/>
    <w:unhideWhenUsed/>
    <w:rsid w:val="00DF5335"/>
    <w:pPr>
      <w:spacing w:after="0"/>
    </w:pPr>
  </w:style>
  <w:style w:type="paragraph" w:styleId="ListNumber">
    <w:name w:val="List Number"/>
    <w:basedOn w:val="Normal"/>
    <w:uiPriority w:val="99"/>
    <w:semiHidden/>
    <w:unhideWhenUsed/>
    <w:rsid w:val="00DF5335"/>
    <w:pPr>
      <w:numPr>
        <w:numId w:val="7"/>
      </w:numPr>
      <w:contextualSpacing/>
    </w:pPr>
  </w:style>
  <w:style w:type="paragraph" w:styleId="ListNumber3">
    <w:name w:val="List Number 3"/>
    <w:basedOn w:val="Normal"/>
    <w:uiPriority w:val="99"/>
    <w:semiHidden/>
    <w:unhideWhenUsed/>
    <w:rsid w:val="00DF5335"/>
    <w:pPr>
      <w:numPr>
        <w:numId w:val="8"/>
      </w:numPr>
      <w:contextualSpacing/>
    </w:pPr>
  </w:style>
  <w:style w:type="paragraph" w:styleId="ListNumber4">
    <w:name w:val="List Number 4"/>
    <w:basedOn w:val="Normal"/>
    <w:uiPriority w:val="99"/>
    <w:semiHidden/>
    <w:unhideWhenUsed/>
    <w:rsid w:val="00DF5335"/>
    <w:pPr>
      <w:numPr>
        <w:numId w:val="9"/>
      </w:numPr>
      <w:contextualSpacing/>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hAnsi="Times New Roman" w:cs="Times New Roman"/>
      <w:sz w:val="20"/>
    </w:rPr>
  </w:style>
  <w:style w:type="paragraph" w:styleId="BalloonText">
    <w:name w:val="Balloon Text"/>
    <w:basedOn w:val="Normal"/>
    <w:link w:val="BalloonTextChar"/>
    <w:uiPriority w:val="99"/>
    <w:semiHidden/>
    <w:unhideWhenUsed/>
    <w:rsid w:val="00D17947"/>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17947"/>
    <w:rPr>
      <w:rFonts w:ascii="Segoe UI" w:hAnsi="Segoe UI" w:cs="Segoe UI"/>
      <w:sz w:val="18"/>
    </w:rPr>
  </w:style>
  <w:style w:type="paragraph" w:styleId="CommentSubject">
    <w:name w:val="annotation subject"/>
    <w:basedOn w:val="CommentText"/>
    <w:next w:val="CommentText"/>
    <w:link w:val="CommentSubjectChar"/>
    <w:uiPriority w:val="99"/>
    <w:semiHidden/>
    <w:unhideWhenUsed/>
    <w:rsid w:val="00753B4B"/>
    <w:rPr>
      <w:b/>
    </w:rPr>
  </w:style>
  <w:style w:type="character" w:customStyle="1" w:styleId="CommentSubjectChar">
    <w:name w:val="Comment Subject Char"/>
    <w:basedOn w:val="CommentTextChar"/>
    <w:link w:val="CommentSubject"/>
    <w:uiPriority w:val="99"/>
    <w:semiHidden/>
    <w:rsid w:val="00753B4B"/>
    <w:rPr>
      <w:rFonts w:ascii="Times New Roman" w:hAnsi="Times New Roman" w:cs="Times New Roman"/>
      <w:b/>
      <w:sz w:val="20"/>
    </w:rPr>
  </w:style>
  <w:style w:type="character" w:styleId="Emphasis">
    <w:name w:val="Emphasis"/>
    <w:basedOn w:val="DefaultParagraphFont"/>
    <w:uiPriority w:val="20"/>
    <w:qFormat/>
    <w:rsid w:val="003C5315"/>
    <w:rPr>
      <w:i/>
    </w:rPr>
  </w:style>
  <w:style w:type="paragraph" w:styleId="Revision">
    <w:name w:val="Revision"/>
    <w:hidden/>
    <w:uiPriority w:val="99"/>
    <w:semiHidden/>
    <w:rsid w:val="007127C1"/>
    <w:pPr>
      <w:spacing w:after="0" w:line="240" w:lineRule="auto"/>
    </w:pPr>
    <w:rPr>
      <w:rFonts w:ascii="Times New Roman" w:hAnsi="Times New Roman" w:cs="Times New Roman"/>
      <w:sz w:val="24"/>
    </w:rPr>
  </w:style>
  <w:style w:type="character" w:customStyle="1" w:styleId="ui-provider">
    <w:name w:val="ui-provider"/>
    <w:basedOn w:val="DefaultParagraphFont"/>
    <w:rsid w:val="00A040F7"/>
  </w:style>
  <w:style w:type="paragraph" w:styleId="PlainText">
    <w:name w:val="Plain Text"/>
    <w:basedOn w:val="Normal"/>
    <w:link w:val="PlainTextChar"/>
    <w:uiPriority w:val="99"/>
    <w:semiHidden/>
    <w:unhideWhenUsed/>
    <w:rsid w:val="005E3B02"/>
    <w:pPr>
      <w:spacing w:before="0" w:after="0"/>
      <w:jc w:val="left"/>
    </w:pPr>
    <w:rPr>
      <w:rFonts w:ascii="Calibri" w:eastAsia="Times New Roman" w:hAnsi="Calibri"/>
      <w:sz w:val="22"/>
    </w:rPr>
  </w:style>
  <w:style w:type="character" w:customStyle="1" w:styleId="PlainTextChar">
    <w:name w:val="Plain Text Char"/>
    <w:basedOn w:val="DefaultParagraphFont"/>
    <w:link w:val="PlainText"/>
    <w:uiPriority w:val="99"/>
    <w:semiHidden/>
    <w:rsid w:val="005E3B02"/>
    <w:rPr>
      <w:rFonts w:ascii="Calibri" w:eastAsia="Times New Roman" w:hAnsi="Calibri" w:cs="Times New Roman"/>
    </w:rPr>
  </w:style>
  <w:style w:type="character" w:styleId="FollowedHyperlink">
    <w:name w:val="FollowedHyperlink"/>
    <w:basedOn w:val="DefaultParagraphFont"/>
    <w:uiPriority w:val="99"/>
    <w:semiHidden/>
    <w:unhideWhenUsed/>
    <w:rsid w:val="00B6064F"/>
    <w:rPr>
      <w:color w:val="800080" w:themeColor="followedHyperlink"/>
      <w:u w:val="single"/>
    </w:rPr>
  </w:style>
  <w:style w:type="character" w:customStyle="1" w:styleId="UnresolvedMention1">
    <w:name w:val="Unresolved Mention1"/>
    <w:basedOn w:val="DefaultParagraphFont"/>
    <w:uiPriority w:val="99"/>
    <w:semiHidden/>
    <w:unhideWhenUsed/>
    <w:rsid w:val="00B6064F"/>
    <w:rPr>
      <w:color w:val="605E5C"/>
      <w:shd w:val="clear" w:color="auto" w:fill="E1DFDD"/>
    </w:rPr>
  </w:style>
  <w:style w:type="character" w:customStyle="1" w:styleId="UnresolvedMention">
    <w:name w:val="Unresolved Mention"/>
    <w:basedOn w:val="DefaultParagraphFont"/>
    <w:uiPriority w:val="99"/>
    <w:semiHidden/>
    <w:unhideWhenUsed/>
    <w:rsid w:val="00524283"/>
    <w:rPr>
      <w:color w:val="605E5C"/>
      <w:shd w:val="clear" w:color="auto" w:fill="E1DFDD"/>
    </w:rPr>
  </w:style>
  <w:style w:type="paragraph" w:styleId="Header">
    <w:name w:val="header"/>
    <w:basedOn w:val="Normal"/>
    <w:link w:val="HeaderChar"/>
    <w:uiPriority w:val="99"/>
    <w:unhideWhenUsed/>
    <w:rsid w:val="008B3F9A"/>
    <w:pPr>
      <w:tabs>
        <w:tab w:val="center" w:pos="4535"/>
        <w:tab w:val="right" w:pos="9071"/>
      </w:tabs>
      <w:spacing w:before="0"/>
    </w:pPr>
  </w:style>
  <w:style w:type="character" w:customStyle="1" w:styleId="HeaderChar">
    <w:name w:val="Header Char"/>
    <w:basedOn w:val="DefaultParagraphFont"/>
    <w:link w:val="Header"/>
    <w:uiPriority w:val="99"/>
    <w:rsid w:val="008B3F9A"/>
    <w:rPr>
      <w:rFonts w:ascii="Times New Roman" w:hAnsi="Times New Roman" w:cs="Times New Roman"/>
      <w:sz w:val="24"/>
      <w:lang w:val="pl-PL"/>
    </w:rPr>
  </w:style>
  <w:style w:type="paragraph" w:styleId="Footer">
    <w:name w:val="footer"/>
    <w:basedOn w:val="Normal"/>
    <w:link w:val="FooterChar"/>
    <w:uiPriority w:val="99"/>
    <w:unhideWhenUsed/>
    <w:rsid w:val="008B3F9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B3F9A"/>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B3F9A"/>
    <w:pPr>
      <w:tabs>
        <w:tab w:val="center" w:pos="7285"/>
        <w:tab w:val="right" w:pos="14003"/>
      </w:tabs>
      <w:spacing w:before="0"/>
    </w:pPr>
  </w:style>
  <w:style w:type="paragraph" w:customStyle="1" w:styleId="FooterLandscape">
    <w:name w:val="FooterLandscape"/>
    <w:basedOn w:val="Normal"/>
    <w:rsid w:val="008B3F9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B3F9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B3F9A"/>
    <w:pPr>
      <w:spacing w:before="0"/>
      <w:jc w:val="right"/>
    </w:pPr>
    <w:rPr>
      <w:sz w:val="28"/>
    </w:rPr>
  </w:style>
  <w:style w:type="paragraph" w:customStyle="1" w:styleId="FooterSensitivity">
    <w:name w:val="Footer Sensitivity"/>
    <w:basedOn w:val="Normal"/>
    <w:rsid w:val="008B3F9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0106BF"/>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2738">
      <w:bodyDiv w:val="1"/>
      <w:marLeft w:val="0"/>
      <w:marRight w:val="0"/>
      <w:marTop w:val="0"/>
      <w:marBottom w:val="0"/>
      <w:divBdr>
        <w:top w:val="none" w:sz="0" w:space="0" w:color="auto"/>
        <w:left w:val="none" w:sz="0" w:space="0" w:color="auto"/>
        <w:bottom w:val="none" w:sz="0" w:space="0" w:color="auto"/>
        <w:right w:val="none" w:sz="0" w:space="0" w:color="auto"/>
      </w:divBdr>
    </w:div>
    <w:div w:id="84226510">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419527563">
      <w:bodyDiv w:val="1"/>
      <w:marLeft w:val="0"/>
      <w:marRight w:val="0"/>
      <w:marTop w:val="0"/>
      <w:marBottom w:val="0"/>
      <w:divBdr>
        <w:top w:val="none" w:sz="0" w:space="0" w:color="auto"/>
        <w:left w:val="none" w:sz="0" w:space="0" w:color="auto"/>
        <w:bottom w:val="none" w:sz="0" w:space="0" w:color="auto"/>
        <w:right w:val="none" w:sz="0" w:space="0" w:color="auto"/>
      </w:divBdr>
    </w:div>
    <w:div w:id="477193166">
      <w:bodyDiv w:val="1"/>
      <w:marLeft w:val="0"/>
      <w:marRight w:val="0"/>
      <w:marTop w:val="0"/>
      <w:marBottom w:val="0"/>
      <w:divBdr>
        <w:top w:val="none" w:sz="0" w:space="0" w:color="auto"/>
        <w:left w:val="none" w:sz="0" w:space="0" w:color="auto"/>
        <w:bottom w:val="none" w:sz="0" w:space="0" w:color="auto"/>
        <w:right w:val="none" w:sz="0" w:space="0" w:color="auto"/>
      </w:divBdr>
    </w:div>
    <w:div w:id="604507127">
      <w:bodyDiv w:val="1"/>
      <w:marLeft w:val="0"/>
      <w:marRight w:val="0"/>
      <w:marTop w:val="0"/>
      <w:marBottom w:val="0"/>
      <w:divBdr>
        <w:top w:val="none" w:sz="0" w:space="0" w:color="auto"/>
        <w:left w:val="none" w:sz="0" w:space="0" w:color="auto"/>
        <w:bottom w:val="none" w:sz="0" w:space="0" w:color="auto"/>
        <w:right w:val="none" w:sz="0" w:space="0" w:color="auto"/>
      </w:divBdr>
    </w:div>
    <w:div w:id="822547357">
      <w:bodyDiv w:val="1"/>
      <w:marLeft w:val="0"/>
      <w:marRight w:val="0"/>
      <w:marTop w:val="0"/>
      <w:marBottom w:val="0"/>
      <w:divBdr>
        <w:top w:val="none" w:sz="0" w:space="0" w:color="auto"/>
        <w:left w:val="none" w:sz="0" w:space="0" w:color="auto"/>
        <w:bottom w:val="none" w:sz="0" w:space="0" w:color="auto"/>
        <w:right w:val="none" w:sz="0" w:space="0" w:color="auto"/>
      </w:divBdr>
    </w:div>
    <w:div w:id="878708086">
      <w:bodyDiv w:val="1"/>
      <w:marLeft w:val="0"/>
      <w:marRight w:val="0"/>
      <w:marTop w:val="0"/>
      <w:marBottom w:val="0"/>
      <w:divBdr>
        <w:top w:val="none" w:sz="0" w:space="0" w:color="auto"/>
        <w:left w:val="none" w:sz="0" w:space="0" w:color="auto"/>
        <w:bottom w:val="none" w:sz="0" w:space="0" w:color="auto"/>
        <w:right w:val="none" w:sz="0" w:space="0" w:color="auto"/>
      </w:divBdr>
    </w:div>
    <w:div w:id="928078184">
      <w:bodyDiv w:val="1"/>
      <w:marLeft w:val="0"/>
      <w:marRight w:val="0"/>
      <w:marTop w:val="0"/>
      <w:marBottom w:val="0"/>
      <w:divBdr>
        <w:top w:val="none" w:sz="0" w:space="0" w:color="auto"/>
        <w:left w:val="none" w:sz="0" w:space="0" w:color="auto"/>
        <w:bottom w:val="none" w:sz="0" w:space="0" w:color="auto"/>
        <w:right w:val="none" w:sz="0" w:space="0" w:color="auto"/>
      </w:divBdr>
    </w:div>
    <w:div w:id="989288081">
      <w:bodyDiv w:val="1"/>
      <w:marLeft w:val="0"/>
      <w:marRight w:val="0"/>
      <w:marTop w:val="0"/>
      <w:marBottom w:val="0"/>
      <w:divBdr>
        <w:top w:val="none" w:sz="0" w:space="0" w:color="auto"/>
        <w:left w:val="none" w:sz="0" w:space="0" w:color="auto"/>
        <w:bottom w:val="none" w:sz="0" w:space="0" w:color="auto"/>
        <w:right w:val="none" w:sz="0" w:space="0" w:color="auto"/>
      </w:divBdr>
    </w:div>
    <w:div w:id="1397582139">
      <w:bodyDiv w:val="1"/>
      <w:marLeft w:val="0"/>
      <w:marRight w:val="0"/>
      <w:marTop w:val="0"/>
      <w:marBottom w:val="0"/>
      <w:divBdr>
        <w:top w:val="none" w:sz="0" w:space="0" w:color="auto"/>
        <w:left w:val="none" w:sz="0" w:space="0" w:color="auto"/>
        <w:bottom w:val="none" w:sz="0" w:space="0" w:color="auto"/>
        <w:right w:val="none" w:sz="0" w:space="0" w:color="auto"/>
      </w:divBdr>
    </w:div>
    <w:div w:id="1449622754">
      <w:bodyDiv w:val="1"/>
      <w:marLeft w:val="0"/>
      <w:marRight w:val="0"/>
      <w:marTop w:val="0"/>
      <w:marBottom w:val="0"/>
      <w:divBdr>
        <w:top w:val="none" w:sz="0" w:space="0" w:color="auto"/>
        <w:left w:val="none" w:sz="0" w:space="0" w:color="auto"/>
        <w:bottom w:val="none" w:sz="0" w:space="0" w:color="auto"/>
        <w:right w:val="none" w:sz="0" w:space="0" w:color="auto"/>
      </w:divBdr>
    </w:div>
    <w:div w:id="1870332021">
      <w:bodyDiv w:val="1"/>
      <w:marLeft w:val="0"/>
      <w:marRight w:val="0"/>
      <w:marTop w:val="0"/>
      <w:marBottom w:val="0"/>
      <w:divBdr>
        <w:top w:val="none" w:sz="0" w:space="0" w:color="auto"/>
        <w:left w:val="none" w:sz="0" w:space="0" w:color="auto"/>
        <w:bottom w:val="none" w:sz="0" w:space="0" w:color="auto"/>
        <w:right w:val="none" w:sz="0" w:space="0" w:color="auto"/>
      </w:divBdr>
    </w:div>
    <w:div w:id="1948585767">
      <w:bodyDiv w:val="1"/>
      <w:marLeft w:val="0"/>
      <w:marRight w:val="0"/>
      <w:marTop w:val="0"/>
      <w:marBottom w:val="0"/>
      <w:divBdr>
        <w:top w:val="none" w:sz="0" w:space="0" w:color="auto"/>
        <w:left w:val="none" w:sz="0" w:space="0" w:color="auto"/>
        <w:bottom w:val="none" w:sz="0" w:space="0" w:color="auto"/>
        <w:right w:val="none" w:sz="0" w:space="0" w:color="auto"/>
      </w:divBdr>
    </w:div>
    <w:div w:id="20077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PL/TXT/?uri=CELEX:32009L01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lex.europa.eu/legal-content/PL/TXT/PDF/?uri=CELEX:32015L2366&amp;from=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63306/2023-03-24-eurosummit-statement-en.pdf" TargetMode="External"/><Relationship Id="rId13" Type="http://schemas.openxmlformats.org/officeDocument/2006/relationships/hyperlink" Target="https://www.eba.europa.eu/sites/default/documents/files/document_library/Publications/Opinions/2020/EBA%20Opinion%20on%20DGS%20funding%20and%20uses%20of%20DGS%20funds.pdf" TargetMode="External"/><Relationship Id="rId18" Type="http://schemas.openxmlformats.org/officeDocument/2006/relationships/hyperlink" Target="https://www.ceps.eu/ceps-publications/harmonising-insolvency-laws-euro-area-rationale-stocktaking-and-challenges/" TargetMode="External"/><Relationship Id="rId3" Type="http://schemas.openxmlformats.org/officeDocument/2006/relationships/hyperlink" Target="https://www.consilium.europa.eu/pl/press/press-releases/2020/11/30/statement-of-the-eurogroup-in-inclusive-format-on-the-esm-reform-and-the-early-introduction-of-the-backstop-to-the-single-resolution-fund/" TargetMode="External"/><Relationship Id="rId7" Type="http://schemas.openxmlformats.org/officeDocument/2006/relationships/hyperlink" Target="https://www.europarl.europa.eu/doceo/document/A-9-2022-0186_PL.html" TargetMode="External"/><Relationship Id="rId12" Type="http://schemas.openxmlformats.org/officeDocument/2006/relationships/hyperlink" Target="https://www.eba.europa.eu/sites/default/documents/files/document_library/EBA%20Opinion%20on%20DGS%20Payouts.pdf?retry=1" TargetMode="External"/><Relationship Id="rId17" Type="http://schemas.openxmlformats.org/officeDocument/2006/relationships/hyperlink" Target="https://www.ceps.eu/ceps-publications/harmonising-insolvency-laws-euro-area-rationale-stocktaking-and-challenges/" TargetMode="External"/><Relationship Id="rId2" Type="http://schemas.openxmlformats.org/officeDocument/2006/relationships/hyperlink" Target="https://www.fsb.org/wp-content/uploads/TLAC-Principles-and-Term-Sheet-for-publication-final.pdf" TargetMode="External"/><Relationship Id="rId16" Type="http://schemas.openxmlformats.org/officeDocument/2006/relationships/hyperlink" Target="https://www.eba.europa.eu/sites/default/documents/files/document_library/Publications/Opinions/2021/963685/Opinion%20on%20MLTF%20risks.pdf" TargetMode="External"/><Relationship Id="rId20" Type="http://schemas.openxmlformats.org/officeDocument/2006/relationships/hyperlink" Target="https://eur-lex.europa.eu/legal-content/PL/TXT/?from=EN&amp;uri=CELEX%3A52021PC0420&amp;qid=1686858697796" TargetMode="External"/><Relationship Id="rId1" Type="http://schemas.openxmlformats.org/officeDocument/2006/relationships/hyperlink" Target="https://www.fsb.org/wp-content/uploads/r_141015.pdf" TargetMode="External"/><Relationship Id="rId6" Type="http://schemas.openxmlformats.org/officeDocument/2006/relationships/hyperlink" Target="https://eur-lex.europa.eu/legal-content/PL/TXT/PDF/?uri=CELEX:52023DC0168&amp;from=EN" TargetMode="External"/><Relationship Id="rId11" Type="http://schemas.openxmlformats.org/officeDocument/2006/relationships/hyperlink" Target="https://www.eba.europa.eu/sites/default/documents/files/documents/10180/2622242/324e89ec-3523-4c5b-bd4f-e415367212bb/EBA%20Opinion%20on%20the%20eligibility%20of%20deposits%20coverage%20level%20and%20cooperation%20between%20DGSs.pdf" TargetMode="External"/><Relationship Id="rId5" Type="http://schemas.openxmlformats.org/officeDocument/2006/relationships/hyperlink" Target="https://eur-lex.europa.eu/legal-content/PL/TXT/PDF/?uri=CELEX:52023DC0168&amp;from=EN" TargetMode="External"/><Relationship Id="rId15" Type="http://schemas.openxmlformats.org/officeDocument/2006/relationships/hyperlink" Target="https://www.eba.europa.eu/sites/default/documents/files/document_library/Publications/Opinions/2020/961347/EBA%20Opinion%20on%20the%20interplay%20between%20the%20AMLD%20and%20the%20DGSD.pdf" TargetMode="External"/><Relationship Id="rId10" Type="http://schemas.openxmlformats.org/officeDocument/2006/relationships/hyperlink" Target="https://www.eba.europa.eu/sites/default/documents/files/document_library/About%20Us/Missions%20and%20tasks/Call%20for%20Advice/2021/CfA%20on%20funding%20in%20resolution%20and%20insolvency/1022381/Response%20to%20CMDI%20CfA.pdf" TargetMode="External"/><Relationship Id="rId19" Type="http://schemas.openxmlformats.org/officeDocument/2006/relationships/hyperlink" Target="https://finance.ec.europa.eu/system/files/2019-11/191106-study-edis_en.pdf" TargetMode="External"/><Relationship Id="rId4" Type="http://schemas.openxmlformats.org/officeDocument/2006/relationships/hyperlink" Target="https://eur-lex.europa.eu/resource.html?uri=cellar:91ce5c0f-12b6-11eb-9a54-01aa75ed71a1.0001.02/DOC_1&amp;format=PDF" TargetMode="External"/><Relationship Id="rId9" Type="http://schemas.openxmlformats.org/officeDocument/2006/relationships/hyperlink" Target="https://ec.europa.eu/info/law/better-regulation/have-your-say/initiatives/12737-Banking-Union-Review-of-the-crisis-management-and-deposit-insurance-framework-BRRD-review-/F_pl" TargetMode="External"/><Relationship Id="rId14" Type="http://schemas.openxmlformats.org/officeDocument/2006/relationships/hyperlink" Target="https://www.eba.europa.eu/sites/default/documents/files/document_library/Publications/Opinions/2021/1022906/EBA%20Opinion%20on%20the%20treatment%20of%20client%20funds%20under%20DGS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6" ma:contentTypeDescription="Create a new document." ma:contentTypeScope="" ma:versionID="34ace8d7fc9d1862ea40a3e3216b7f1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a77f5ea27546acc0975f98c20bf96b09"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C230-FE18-47A5-B3C9-971C5B6771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c6cd38-953d-409e-8266-a7703513a0a4"/>
    <ds:schemaRef ds:uri="http://purl.org/dc/elements/1.1/"/>
    <ds:schemaRef ds:uri="http://schemas.microsoft.com/office/2006/metadata/properties"/>
    <ds:schemaRef ds:uri="64638040-35f6-4905-b21f-4e31af5e1fb5"/>
    <ds:schemaRef ds:uri="http://www.w3.org/XML/1998/namespace"/>
    <ds:schemaRef ds:uri="http://purl.org/dc/dcmitype/"/>
  </ds:schemaRefs>
</ds:datastoreItem>
</file>

<file path=customXml/itemProps2.xml><?xml version="1.0" encoding="utf-8"?>
<ds:datastoreItem xmlns:ds="http://schemas.openxmlformats.org/officeDocument/2006/customXml" ds:itemID="{5EC23AA2-29DC-4A16-BB21-1407711E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C4ECB-9193-4145-B532-FEF35727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56</Pages>
  <Words>19995</Words>
  <Characters>134572</Characters>
  <Application>Microsoft Office Word</Application>
  <DocSecurity>0</DocSecurity>
  <Lines>2242</Lines>
  <Paragraphs>554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2023-04-17T13:10:00Z</dcterms:created>
  <dcterms:modified xsi:type="dcterms:W3CDTF">2023-07-05T15:43:00Z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2023-04-16T08:25:36Z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80f4225b-6499-4851-a145-e3a368625044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