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43594" w14:textId="39353816" w:rsidR="000076A5" w:rsidRPr="005F0761" w:rsidRDefault="00F84F8C" w:rsidP="00F84F8C">
      <w:pPr>
        <w:pStyle w:val="Pagedecouverture"/>
        <w:rPr>
          <w:noProof/>
        </w:rPr>
      </w:pPr>
      <w:r>
        <w:rPr>
          <w:noProof/>
        </w:rPr>
        <w:pict w14:anchorId="7AED2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1178599-20F3-425A-9054-A100020B5E63" style="width:455.25pt;height:369.75pt">
            <v:imagedata r:id="rId11" o:title=""/>
          </v:shape>
        </w:pict>
      </w:r>
    </w:p>
    <w:p w14:paraId="7DE856B0" w14:textId="77777777" w:rsidR="000076A5" w:rsidRPr="005F0761" w:rsidRDefault="000076A5" w:rsidP="000076A5">
      <w:pPr>
        <w:rPr>
          <w:noProof/>
        </w:rPr>
        <w:sectPr w:rsidR="000076A5" w:rsidRPr="005F0761" w:rsidSect="00F84F8C">
          <w:footerReference w:type="default" r:id="rId12"/>
          <w:pgSz w:w="11907" w:h="16839"/>
          <w:pgMar w:top="1134" w:right="1417" w:bottom="1134" w:left="1417" w:header="709" w:footer="709" w:gutter="0"/>
          <w:pgNumType w:start="0"/>
          <w:cols w:space="720"/>
          <w:docGrid w:linePitch="360"/>
        </w:sectPr>
      </w:pPr>
    </w:p>
    <w:p w14:paraId="0539643B" w14:textId="1705E202" w:rsidR="00EE2E5C" w:rsidRPr="005F0761" w:rsidRDefault="00EE2E5C" w:rsidP="00EE2E5C">
      <w:pPr>
        <w:pStyle w:val="Exposdesmotifstitre"/>
        <w:rPr>
          <w:noProof/>
        </w:rPr>
      </w:pPr>
      <w:bookmarkStart w:id="0" w:name="_GoBack"/>
      <w:bookmarkEnd w:id="0"/>
      <w:r w:rsidRPr="005F0761">
        <w:rPr>
          <w:noProof/>
        </w:rPr>
        <w:lastRenderedPageBreak/>
        <w:t>BEGRÜNDUNG</w:t>
      </w:r>
    </w:p>
    <w:p w14:paraId="7A04FA6F" w14:textId="77777777" w:rsidR="00262DD8" w:rsidRPr="005F0761" w:rsidRDefault="00262DD8" w:rsidP="002D2E1A">
      <w:pPr>
        <w:rPr>
          <w:noProof/>
        </w:rPr>
      </w:pPr>
    </w:p>
    <w:p w14:paraId="5D2DA0F6" w14:textId="77777777" w:rsidR="000076A5" w:rsidRPr="005F0761" w:rsidRDefault="000076A5">
      <w:pPr>
        <w:pStyle w:val="ManualHeading1"/>
        <w:rPr>
          <w:noProof/>
        </w:rPr>
      </w:pPr>
      <w:r w:rsidRPr="00CC1BEF">
        <w:rPr>
          <w:noProof/>
        </w:rPr>
        <w:t>1</w:t>
      </w:r>
      <w:r w:rsidRPr="005F0761">
        <w:rPr>
          <w:noProof/>
        </w:rPr>
        <w:t>.</w:t>
      </w:r>
      <w:r w:rsidRPr="005F0761">
        <w:rPr>
          <w:noProof/>
        </w:rPr>
        <w:tab/>
        <w:t>KONTEXT DES VORSCHLAGS</w:t>
      </w:r>
    </w:p>
    <w:p w14:paraId="0CA1EF34" w14:textId="1E2A7F65" w:rsidR="0071577F" w:rsidRPr="005F0761" w:rsidRDefault="0071577F" w:rsidP="007549B0">
      <w:pPr>
        <w:pStyle w:val="ManualHeading2"/>
        <w:rPr>
          <w:noProof/>
        </w:rPr>
      </w:pPr>
      <w:r w:rsidRPr="00CC1BEF">
        <w:rPr>
          <w:noProof/>
        </w:rPr>
        <w:t>1</w:t>
      </w:r>
      <w:r w:rsidRPr="005F0761">
        <w:rPr>
          <w:noProof/>
        </w:rPr>
        <w:t>.</w:t>
      </w:r>
      <w:r w:rsidRPr="00CC1BEF">
        <w:rPr>
          <w:noProof/>
        </w:rPr>
        <w:t>1</w:t>
      </w:r>
      <w:r w:rsidRPr="005F0761">
        <w:rPr>
          <w:noProof/>
        </w:rPr>
        <w:tab/>
        <w:t>Halbzeitüberprüfung und Revision des Mehrjährigen Finanzrahmens</w:t>
      </w:r>
    </w:p>
    <w:p w14:paraId="221484B5" w14:textId="46471EB9" w:rsidR="004C3602" w:rsidRPr="005F0761" w:rsidRDefault="00BA274B" w:rsidP="004C3602">
      <w:pPr>
        <w:rPr>
          <w:noProof/>
          <w:szCs w:val="24"/>
        </w:rPr>
      </w:pPr>
      <w:r w:rsidRPr="005F0761">
        <w:rPr>
          <w:noProof/>
        </w:rPr>
        <w:t xml:space="preserve">Die Kommission hat im Dezember </w:t>
      </w:r>
      <w:r w:rsidRPr="00CC1BEF">
        <w:rPr>
          <w:noProof/>
        </w:rPr>
        <w:t>2020</w:t>
      </w:r>
      <w:r w:rsidRPr="005F0761">
        <w:rPr>
          <w:noProof/>
        </w:rPr>
        <w:t xml:space="preserve"> im Rahmen der allgemeinen politischen Einigung über den Mehrjährigen Finanzrahmen </w:t>
      </w:r>
      <w:r w:rsidRPr="00CC1BEF">
        <w:rPr>
          <w:noProof/>
        </w:rPr>
        <w:t>2021</w:t>
      </w:r>
      <w:r w:rsidRPr="005F0761">
        <w:rPr>
          <w:noProof/>
        </w:rPr>
        <w:t>–</w:t>
      </w:r>
      <w:r w:rsidRPr="00CC1BEF">
        <w:rPr>
          <w:noProof/>
        </w:rPr>
        <w:t>2027</w:t>
      </w:r>
      <w:r w:rsidRPr="005F0761">
        <w:rPr>
          <w:noProof/>
        </w:rPr>
        <w:t xml:space="preserve"> eine Erklärung abgegeben, in der sie sich verpflichtet hat, bis zum </w:t>
      </w:r>
      <w:r w:rsidRPr="00CC1BEF">
        <w:rPr>
          <w:noProof/>
        </w:rPr>
        <w:t>1</w:t>
      </w:r>
      <w:r w:rsidRPr="005F0761">
        <w:rPr>
          <w:noProof/>
        </w:rPr>
        <w:t xml:space="preserve">. Januar </w:t>
      </w:r>
      <w:r w:rsidRPr="00CC1BEF">
        <w:rPr>
          <w:noProof/>
        </w:rPr>
        <w:t>2024</w:t>
      </w:r>
      <w:r w:rsidRPr="005F0761">
        <w:rPr>
          <w:noProof/>
        </w:rPr>
        <w:t xml:space="preserve"> eine Überprüfung der Funktionsweise des Mehrjährigen Finanzrahmens vorzulegen, der gegebenenfalls entsprechende Vorschläge für die Revision der Verordnung (EU, Euratom) </w:t>
      </w:r>
      <w:r w:rsidRPr="00CC1BEF">
        <w:rPr>
          <w:noProof/>
        </w:rPr>
        <w:t>2020</w:t>
      </w:r>
      <w:r w:rsidRPr="005F0761">
        <w:rPr>
          <w:noProof/>
        </w:rPr>
        <w:t>/</w:t>
      </w:r>
      <w:r w:rsidRPr="00CC1BEF">
        <w:rPr>
          <w:noProof/>
        </w:rPr>
        <w:t>2093</w:t>
      </w:r>
      <w:r w:rsidRPr="005F0761">
        <w:rPr>
          <w:noProof/>
        </w:rPr>
        <w:t xml:space="preserve"> des Rates</w:t>
      </w:r>
      <w:r w:rsidRPr="005F0761">
        <w:rPr>
          <w:rStyle w:val="FootnoteReference"/>
          <w:noProof/>
        </w:rPr>
        <w:footnoteReference w:id="2"/>
      </w:r>
      <w:r w:rsidRPr="005F0761">
        <w:rPr>
          <w:noProof/>
        </w:rPr>
        <w:t xml:space="preserve"> (MFR-Verordnung) gemäß den im AEUV festgelegten Verfahren beigefügt werden können.</w:t>
      </w:r>
      <w:r w:rsidRPr="005F0761">
        <w:rPr>
          <w:rStyle w:val="FootnoteReference"/>
          <w:noProof/>
          <w:szCs w:val="24"/>
        </w:rPr>
        <w:footnoteReference w:id="3"/>
      </w:r>
    </w:p>
    <w:p w14:paraId="40AAB445" w14:textId="051F1E07" w:rsidR="00467B97" w:rsidRPr="005F0761" w:rsidRDefault="00C86918" w:rsidP="007549B0">
      <w:pPr>
        <w:rPr>
          <w:rFonts w:eastAsia="Arial Unicode MS"/>
          <w:noProof/>
        </w:rPr>
      </w:pPr>
      <w:r w:rsidRPr="005F0761">
        <w:rPr>
          <w:noProof/>
        </w:rPr>
        <w:t xml:space="preserve">Im Einklang mit dieser Verpflichtung und der zusammen mit dem Jahreshaushalt </w:t>
      </w:r>
      <w:r w:rsidRPr="00CC1BEF">
        <w:rPr>
          <w:noProof/>
        </w:rPr>
        <w:t>2023</w:t>
      </w:r>
      <w:r w:rsidRPr="005F0761">
        <w:rPr>
          <w:noProof/>
        </w:rPr>
        <w:t xml:space="preserve"> angenommenen Erklärung</w:t>
      </w:r>
      <w:r w:rsidRPr="005F0761">
        <w:rPr>
          <w:rStyle w:val="FootnoteReference"/>
          <w:noProof/>
          <w:szCs w:val="24"/>
        </w:rPr>
        <w:footnoteReference w:id="4"/>
      </w:r>
      <w:r w:rsidRPr="005F0761">
        <w:rPr>
          <w:noProof/>
        </w:rPr>
        <w:t xml:space="preserve"> hat die Kommission eine Mitteilung über die „Halbzeitrevision des Mehrjährigen Finanzrahmens </w:t>
      </w:r>
      <w:r w:rsidRPr="00CC1BEF">
        <w:rPr>
          <w:noProof/>
        </w:rPr>
        <w:t>2021</w:t>
      </w:r>
      <w:r w:rsidRPr="005F0761">
        <w:rPr>
          <w:noProof/>
        </w:rPr>
        <w:t>–</w:t>
      </w:r>
      <w:r w:rsidRPr="00CC1BEF">
        <w:rPr>
          <w:noProof/>
        </w:rPr>
        <w:t>2027</w:t>
      </w:r>
      <w:r w:rsidRPr="005F0761">
        <w:rPr>
          <w:noProof/>
        </w:rPr>
        <w:t>“</w:t>
      </w:r>
      <w:r w:rsidRPr="005F0761">
        <w:rPr>
          <w:rStyle w:val="FootnoteReference"/>
          <w:noProof/>
          <w:szCs w:val="24"/>
        </w:rPr>
        <w:footnoteReference w:id="5"/>
      </w:r>
      <w:r w:rsidRPr="005F0761">
        <w:rPr>
          <w:noProof/>
        </w:rPr>
        <w:t xml:space="preserve"> angenommen, in der die bisherige Funktionsweise des mehrjährigen Finanzrahmens bewertet wird, einschließlich einer Bewertung darüber, ob der EU-Haushalt weiterhin gemeinsame Mittel zur Bewältigung gemeinsamer Herausforderungen bereitstellen kann. Die Bewertung hat ergeben, dass eine gezielte Revision des Mehrjährigen Finanzrahmens (MFR) </w:t>
      </w:r>
      <w:r w:rsidRPr="00CC1BEF">
        <w:rPr>
          <w:noProof/>
        </w:rPr>
        <w:t>2021</w:t>
      </w:r>
      <w:r w:rsidRPr="005F0761">
        <w:rPr>
          <w:noProof/>
        </w:rPr>
        <w:t>–</w:t>
      </w:r>
      <w:r w:rsidRPr="00CC1BEF">
        <w:rPr>
          <w:noProof/>
        </w:rPr>
        <w:t>2027</w:t>
      </w:r>
      <w:r w:rsidRPr="005F0761">
        <w:rPr>
          <w:noProof/>
        </w:rPr>
        <w:t xml:space="preserve"> erforderlich ist, damit die Union bis Ende </w:t>
      </w:r>
      <w:r w:rsidRPr="00CC1BEF">
        <w:rPr>
          <w:noProof/>
        </w:rPr>
        <w:t>2027</w:t>
      </w:r>
      <w:r w:rsidRPr="005F0761">
        <w:rPr>
          <w:noProof/>
        </w:rPr>
        <w:t xml:space="preserve"> allen ihren Zielen – einschließlich der dringlichsten – gewachsen ist.</w:t>
      </w:r>
    </w:p>
    <w:p w14:paraId="2AF49B4D" w14:textId="7C139100" w:rsidR="00B83ABF" w:rsidRPr="005F0761" w:rsidRDefault="00B83ABF" w:rsidP="007549B0">
      <w:pPr>
        <w:rPr>
          <w:rFonts w:eastAsia="Arial Unicode MS"/>
          <w:noProof/>
        </w:rPr>
      </w:pPr>
      <w:bookmarkStart w:id="1" w:name="_Hlk136511039"/>
      <w:r w:rsidRPr="005F0761">
        <w:rPr>
          <w:noProof/>
        </w:rPr>
        <w:t xml:space="preserve">Zugleich ist der im Dezember </w:t>
      </w:r>
      <w:r w:rsidRPr="00CC1BEF">
        <w:rPr>
          <w:noProof/>
        </w:rPr>
        <w:t>2021</w:t>
      </w:r>
      <w:r w:rsidRPr="005F0761">
        <w:rPr>
          <w:noProof/>
        </w:rPr>
        <w:t xml:space="preserve"> vorgelegte Vorschlag für eine Änderung der Verordnung (EU, Euratom) </w:t>
      </w:r>
      <w:r w:rsidRPr="00CC1BEF">
        <w:rPr>
          <w:noProof/>
        </w:rPr>
        <w:t>2020</w:t>
      </w:r>
      <w:r w:rsidRPr="005F0761">
        <w:rPr>
          <w:noProof/>
        </w:rPr>
        <w:t>/</w:t>
      </w:r>
      <w:r w:rsidRPr="00CC1BEF">
        <w:rPr>
          <w:noProof/>
        </w:rPr>
        <w:t>2093</w:t>
      </w:r>
      <w:r w:rsidRPr="005F0761">
        <w:rPr>
          <w:rStyle w:val="FootnoteReference"/>
          <w:rFonts w:eastAsia="Arial Unicode MS"/>
          <w:noProof/>
        </w:rPr>
        <w:footnoteReference w:id="6"/>
      </w:r>
      <w:r w:rsidRPr="005F0761">
        <w:rPr>
          <w:noProof/>
        </w:rPr>
        <w:t xml:space="preserve"> aufgrund des Ergebnisses der Legislativverhandlungen zum Klima-Sozialfonds</w:t>
      </w:r>
      <w:r w:rsidRPr="005F0761">
        <w:rPr>
          <w:rStyle w:val="FootnoteReference"/>
          <w:rFonts w:eastAsia="Arial Unicode MS"/>
          <w:noProof/>
        </w:rPr>
        <w:footnoteReference w:id="7"/>
      </w:r>
      <w:r w:rsidRPr="005F0761">
        <w:rPr>
          <w:noProof/>
        </w:rPr>
        <w:t xml:space="preserve"> und angesichts der beispiellosen und unerwarteten Herausforderungen des Jahres </w:t>
      </w:r>
      <w:r w:rsidRPr="00CC1BEF">
        <w:rPr>
          <w:noProof/>
        </w:rPr>
        <w:t>2022</w:t>
      </w:r>
      <w:r w:rsidRPr="005F0761">
        <w:rPr>
          <w:noProof/>
        </w:rPr>
        <w:t xml:space="preserve"> – insbesondere der Auswirkungen des brutalen russischen Überfalls auf die Ukraine und der makroökonomischen Entwicklungen – hinfällig geworden. Aus diesen Gründen legt die Kommission dem Europäischen Parlament und dem Rat nun einen neuen Vorschlag vor, der den früheren Vorschlag ersetzt, welcher zu gegebener Zeit förmlich zurückgezogen wird.</w:t>
      </w:r>
    </w:p>
    <w:bookmarkEnd w:id="1"/>
    <w:p w14:paraId="214B46B3" w14:textId="77777777" w:rsidR="000076A5" w:rsidRPr="005F0761" w:rsidRDefault="00995C11" w:rsidP="00EF067B">
      <w:pPr>
        <w:pStyle w:val="ManualHeading2"/>
        <w:rPr>
          <w:noProof/>
        </w:rPr>
      </w:pPr>
      <w:r w:rsidRPr="00CC1BEF">
        <w:rPr>
          <w:noProof/>
        </w:rPr>
        <w:t>1</w:t>
      </w:r>
      <w:r w:rsidRPr="005F0761">
        <w:rPr>
          <w:noProof/>
        </w:rPr>
        <w:t>.</w:t>
      </w:r>
      <w:r w:rsidRPr="00CC1BEF">
        <w:rPr>
          <w:noProof/>
        </w:rPr>
        <w:t>2</w:t>
      </w:r>
      <w:r w:rsidRPr="005F0761">
        <w:rPr>
          <w:noProof/>
        </w:rPr>
        <w:tab/>
        <w:t>Gründe und Ziele des Vorschlags</w:t>
      </w:r>
    </w:p>
    <w:p w14:paraId="57196EB6" w14:textId="760777F7" w:rsidR="00D77C91" w:rsidRPr="005F0761" w:rsidRDefault="00D77C91" w:rsidP="7284C04A">
      <w:pPr>
        <w:pBdr>
          <w:top w:val="nil"/>
          <w:left w:val="nil"/>
          <w:bottom w:val="nil"/>
          <w:right w:val="nil"/>
          <w:between w:val="nil"/>
          <w:bar w:val="nil"/>
        </w:pBdr>
        <w:spacing w:before="0" w:after="240"/>
        <w:rPr>
          <w:iCs/>
          <w:noProof/>
          <w:szCs w:val="24"/>
        </w:rPr>
      </w:pPr>
      <w:r w:rsidRPr="005F0761">
        <w:rPr>
          <w:noProof/>
        </w:rPr>
        <w:t xml:space="preserve">Die Union steht seit </w:t>
      </w:r>
      <w:r w:rsidRPr="00CC1BEF">
        <w:rPr>
          <w:noProof/>
        </w:rPr>
        <w:t>2020</w:t>
      </w:r>
      <w:r w:rsidRPr="005F0761">
        <w:rPr>
          <w:noProof/>
        </w:rPr>
        <w:t xml:space="preserve"> einer ganzen Reihe beispielloser und unerwarteter Herausforderungen gegenüber. Die COVID-</w:t>
      </w:r>
      <w:r w:rsidRPr="00CC1BEF">
        <w:rPr>
          <w:noProof/>
        </w:rPr>
        <w:t>19</w:t>
      </w:r>
      <w:r w:rsidRPr="005F0761">
        <w:rPr>
          <w:noProof/>
        </w:rPr>
        <w:t>-Pandemie war kaum vorüber, da sah sich die Union mit dem brutalen russischen Überfall auf die Ukraine, der daraus resultierenden Energiekrise und dem damit verbundenen Inflations- und Zinsanstieg konfrontiert. Diese Herausforderungen waren zum Zeitpunkt der Einigung über den MFR noch nicht absehbar. Die Kommission hat rasch gehandelt und zusätzlich zur bestehenden Haushaltsflexibilität alle ihr zu Gebote stehenden Mittel genutzt, einschließlich Umschichtungen und Neuprogrammierungen. Gleichwohl ist die im MFR enthaltene Haushaltsflexibilität nahezu ausgeschöpft, und die Möglichkeiten für Umschichtungen stoßen an ihre Grenzen, sodass sogar die drängendsten Herausforderungen mit dem EU-Haushalt nicht mehr angegangen werden können.</w:t>
      </w:r>
    </w:p>
    <w:p w14:paraId="316FC064" w14:textId="73966A74" w:rsidR="00A37F63" w:rsidRPr="005F0761" w:rsidRDefault="00DB7BA5" w:rsidP="7284C04A">
      <w:pPr>
        <w:pBdr>
          <w:top w:val="nil"/>
          <w:left w:val="nil"/>
          <w:bottom w:val="nil"/>
          <w:right w:val="nil"/>
          <w:between w:val="nil"/>
          <w:bar w:val="nil"/>
        </w:pBdr>
        <w:spacing w:before="0" w:after="240"/>
        <w:rPr>
          <w:iCs/>
          <w:noProof/>
          <w:szCs w:val="24"/>
        </w:rPr>
      </w:pPr>
      <w:r w:rsidRPr="005F0761">
        <w:rPr>
          <w:noProof/>
        </w:rPr>
        <w:t xml:space="preserve">Die durch die geopolitische und wirtschaftliche Entwicklung bedingten neuen Herausforderungen erfordern ein verstärktes Handeln der EU. Die Europäische Union muss ihre Unterstützung der Ukraine auf mehrjähriger Basis bekräftigen. Vor dem Hintergrund der aktuellen strategischen Abhängigkeiten sollte die Union durch Beschleunigung des ökologischen und des digitalen Wandels in Europa ihre Resilienz stärken und ihre Führungsrolle in Schlüsselbereichen durch intelligente öffentliche und private Investitionen in strategischen Sektoren wiedererlangen. Wenn der langfristige EU-Haushalt den gemeinsamen Prioritäten und Bedürfnissen der Union gerecht werden soll, muss er für den Zeitraum </w:t>
      </w:r>
      <w:r w:rsidRPr="00CC1BEF">
        <w:rPr>
          <w:noProof/>
        </w:rPr>
        <w:t>2024</w:t>
      </w:r>
      <w:r w:rsidRPr="005F0761">
        <w:rPr>
          <w:noProof/>
        </w:rPr>
        <w:t>–</w:t>
      </w:r>
      <w:r w:rsidRPr="00CC1BEF">
        <w:rPr>
          <w:noProof/>
        </w:rPr>
        <w:t>2027</w:t>
      </w:r>
      <w:r w:rsidRPr="005F0761">
        <w:rPr>
          <w:noProof/>
        </w:rPr>
        <w:t xml:space="preserve"> aufgestockt werden, um die grundlegendsten Mittel zur Bewältigung dieser Herausforderungen bereitzustellen.</w:t>
      </w:r>
    </w:p>
    <w:p w14:paraId="3EFFC0D2" w14:textId="443D4336" w:rsidR="00DC67FE" w:rsidRPr="005F0761" w:rsidRDefault="00DC67FE" w:rsidP="00810559">
      <w:pPr>
        <w:pStyle w:val="ManualHeading3"/>
        <w:rPr>
          <w:noProof/>
        </w:rPr>
      </w:pPr>
      <w:r w:rsidRPr="00CC1BEF">
        <w:rPr>
          <w:noProof/>
        </w:rPr>
        <w:t>1</w:t>
      </w:r>
      <w:r w:rsidRPr="005F0761">
        <w:rPr>
          <w:noProof/>
        </w:rPr>
        <w:t>.</w:t>
      </w:r>
      <w:r w:rsidRPr="00CC1BEF">
        <w:rPr>
          <w:noProof/>
        </w:rPr>
        <w:t>2</w:t>
      </w:r>
      <w:r w:rsidRPr="005F0761">
        <w:rPr>
          <w:noProof/>
        </w:rPr>
        <w:t>.</w:t>
      </w:r>
      <w:r w:rsidRPr="00CC1BEF">
        <w:rPr>
          <w:noProof/>
        </w:rPr>
        <w:t>1</w:t>
      </w:r>
      <w:r w:rsidRPr="005F0761">
        <w:rPr>
          <w:noProof/>
        </w:rPr>
        <w:tab/>
        <w:t xml:space="preserve">Unerschütterliche und langfristige Unterstützung der Ukraine: die Fazilität für die Ukraine </w:t>
      </w:r>
    </w:p>
    <w:p w14:paraId="3B5774F2" w14:textId="0084EE7F" w:rsidR="0041179B" w:rsidRPr="005F0761" w:rsidRDefault="0057084E" w:rsidP="00EF067B">
      <w:pPr>
        <w:pBdr>
          <w:top w:val="nil"/>
          <w:left w:val="nil"/>
          <w:bottom w:val="nil"/>
          <w:right w:val="nil"/>
          <w:between w:val="nil"/>
          <w:bar w:val="nil"/>
        </w:pBdr>
        <w:spacing w:before="0" w:after="240"/>
        <w:rPr>
          <w:noProof/>
        </w:rPr>
      </w:pPr>
      <w:r w:rsidRPr="005F0761">
        <w:rPr>
          <w:noProof/>
        </w:rPr>
        <w:t xml:space="preserve">Der EU-Haushalt konnte durch Flexibilität und die Neugewichtung von Prioritäten zwar enorme Hilfe leisten, aber der MFR </w:t>
      </w:r>
      <w:r w:rsidRPr="00CC1BEF">
        <w:rPr>
          <w:noProof/>
        </w:rPr>
        <w:t>2021</w:t>
      </w:r>
      <w:r w:rsidRPr="005F0761">
        <w:rPr>
          <w:noProof/>
        </w:rPr>
        <w:t>–</w:t>
      </w:r>
      <w:r w:rsidRPr="00CC1BEF">
        <w:rPr>
          <w:noProof/>
        </w:rPr>
        <w:t>2027</w:t>
      </w:r>
      <w:r w:rsidRPr="005F0761">
        <w:rPr>
          <w:noProof/>
        </w:rPr>
        <w:t xml:space="preserve"> war nicht darauf ausgelegt, die Folgen eines Krieges in Europa zu bewältigen.</w:t>
      </w:r>
      <w:r w:rsidRPr="005F0761">
        <w:rPr>
          <w:rStyle w:val="normaltextrun"/>
          <w:noProof/>
        </w:rPr>
        <w:t xml:space="preserve"> </w:t>
      </w:r>
      <w:r w:rsidRPr="005F0761">
        <w:rPr>
          <w:noProof/>
        </w:rPr>
        <w:t>Der Liquiditätsbedarf für die makrofinanzielle Stabilität der Ukraine ist weiterhin groß, und die Investitionen in die schnelle Erholung und den raschen Wiederaufbau des Landes sollten je nach Entwicklung der Lage progressiv zunehmen. Die Aufrechterhaltung der Wirtschaftstätigkeit und der Wiederaufbau der grundlegenden Infrastruktur würden Arbeitsplätze schaffen und Einnahmen generieren, den Geflüchteten eine Rückkehrperspektive eröffnen und den Umfang der benötigten internationalen Hilfe verringern.</w:t>
      </w:r>
    </w:p>
    <w:p w14:paraId="6068BB6C" w14:textId="7FFAF50E" w:rsidR="00C87E0D" w:rsidRPr="005F0761" w:rsidRDefault="00CF0242" w:rsidP="00EF067B">
      <w:pPr>
        <w:pBdr>
          <w:top w:val="nil"/>
          <w:left w:val="nil"/>
          <w:bottom w:val="nil"/>
          <w:right w:val="nil"/>
          <w:between w:val="nil"/>
          <w:bar w:val="nil"/>
        </w:pBdr>
        <w:spacing w:before="0" w:after="240"/>
        <w:rPr>
          <w:noProof/>
        </w:rPr>
      </w:pPr>
      <w:r w:rsidRPr="005F0761">
        <w:rPr>
          <w:noProof/>
        </w:rPr>
        <w:t>Um dem unmittelbaren Bedarf der Ukraine und ihrer kurzfristigen Erholung sowie ihrem langfristigen Wiederaufbau Rechnung zu tragen, schlägt die Kommission eine Verordnung zur Einrichtung einer Fazilität für die Ukraine vor</w:t>
      </w:r>
      <w:r w:rsidRPr="005F0761">
        <w:rPr>
          <w:rStyle w:val="FootnoteReference"/>
          <w:noProof/>
        </w:rPr>
        <w:footnoteReference w:id="8"/>
      </w:r>
      <w:r w:rsidRPr="005F0761">
        <w:rPr>
          <w:noProof/>
        </w:rPr>
        <w:t xml:space="preserve">, eines integrierten und flexiblen Instruments mit einer maximalen Gesamtausstattung von bis zu </w:t>
      </w:r>
      <w:r w:rsidRPr="00CC1BEF">
        <w:rPr>
          <w:noProof/>
        </w:rPr>
        <w:t>50</w:t>
      </w:r>
      <w:r w:rsidRPr="005F0761">
        <w:rPr>
          <w:noProof/>
        </w:rPr>
        <w:t> Mrd. EUR zu jeweiligen Preisen.</w:t>
      </w:r>
    </w:p>
    <w:p w14:paraId="5B60BF06" w14:textId="504CD4A1" w:rsidR="00B33992" w:rsidRPr="005F0761" w:rsidRDefault="0041179B" w:rsidP="00EF067B">
      <w:pPr>
        <w:pBdr>
          <w:top w:val="nil"/>
          <w:left w:val="nil"/>
          <w:bottom w:val="nil"/>
          <w:right w:val="nil"/>
          <w:between w:val="nil"/>
          <w:bar w:val="nil"/>
        </w:pBdr>
        <w:spacing w:before="0" w:after="240"/>
        <w:rPr>
          <w:noProof/>
        </w:rPr>
      </w:pPr>
      <w:r w:rsidRPr="005F0761">
        <w:rPr>
          <w:noProof/>
        </w:rPr>
        <w:t xml:space="preserve">Die Unterstützung wird in Form rückzahlbarer Darlehen sowie nicht rückzahlbarer Unterstützung und der Dotierung von Haushaltsgarantien gewährt. Dadurch wird eine stabile und berechenbare Finanzierung sichergestellt und gleichzeitig ein geeigneter Rahmen vorgegeben, der die Priorisierung von Reformen und Investitionen durch einen Ukraine-Plan, die Tragfähigkeit der ukrainischen Finanzen und den Schutz des EU-Haushalts gewährleistet. Die Darlehen an die Ukraine werden durch Anleihen auf den Finanzmärkten finanziert und durch den Handlungsspielraum („Headroom“) des EU-Haushalts abgesichert, d. h. über die MFR-Obergrenzen hinaus und bis zur Eigenmittelobergrenze. Die nicht rückzahlbare Unterstützung und die Dotierung der Haushaltsgarantien werden im Rahmen eines neuen thematischen besonderen Instruments – der Ukrainereserve – finanziert, das die erforderlichen Mittel für die Fazilität für die Ukraine über die MFR-Obergrenzen hinaus bereitstellt. Dieser flexible Ansatz ist nötig, um dem jeweiligen Bedarf des Landes bis </w:t>
      </w:r>
      <w:r w:rsidRPr="00CC1BEF">
        <w:rPr>
          <w:noProof/>
        </w:rPr>
        <w:t>2027</w:t>
      </w:r>
      <w:r w:rsidRPr="005F0761">
        <w:rPr>
          <w:noProof/>
        </w:rPr>
        <w:t xml:space="preserve"> gerecht zu werden.</w:t>
      </w:r>
    </w:p>
    <w:p w14:paraId="295F8EBC" w14:textId="0718EF9C" w:rsidR="00CF0242" w:rsidRPr="005F0761" w:rsidRDefault="00CF0242" w:rsidP="008E505F">
      <w:pPr>
        <w:pStyle w:val="ManualHeading3"/>
        <w:rPr>
          <w:noProof/>
        </w:rPr>
      </w:pPr>
      <w:r w:rsidRPr="00CC1BEF">
        <w:rPr>
          <w:noProof/>
        </w:rPr>
        <w:t>1</w:t>
      </w:r>
      <w:r w:rsidRPr="005F0761">
        <w:rPr>
          <w:noProof/>
        </w:rPr>
        <w:t>.</w:t>
      </w:r>
      <w:r w:rsidRPr="00CC1BEF">
        <w:rPr>
          <w:noProof/>
        </w:rPr>
        <w:t>2</w:t>
      </w:r>
      <w:r w:rsidRPr="005F0761">
        <w:rPr>
          <w:noProof/>
        </w:rPr>
        <w:t>.</w:t>
      </w:r>
      <w:r w:rsidRPr="00CC1BEF">
        <w:rPr>
          <w:noProof/>
        </w:rPr>
        <w:t>2</w:t>
      </w:r>
      <w:r w:rsidRPr="005F0761">
        <w:rPr>
          <w:noProof/>
        </w:rPr>
        <w:tab/>
        <w:t>Migrationsmanagement, Stärkung von Partnerschaften mit wichtigen Drittländern und Bewältigung von Notlagen</w:t>
      </w:r>
    </w:p>
    <w:p w14:paraId="69A197A9" w14:textId="33376225" w:rsidR="00106CB0" w:rsidRPr="005F0761" w:rsidRDefault="00986B62" w:rsidP="00106CB0">
      <w:pPr>
        <w:spacing w:after="240"/>
        <w:rPr>
          <w:noProof/>
          <w:szCs w:val="24"/>
        </w:rPr>
      </w:pPr>
      <w:r w:rsidRPr="005F0761">
        <w:rPr>
          <w:noProof/>
        </w:rPr>
        <w:t>Der rechtswidrige Angriffskrieg Russlands gegen die Ukraine hatte zwar in erster Linie verheerende Folgen für die Ukraine und ihre Bevölkerung, er hatte aber auch global erhebliche Auswirkungen, die den sicheren und erschwinglichen Zugang unserer Partner zu Nahrungsmitteln und Energie beeinträchtigt haben. Zudem kam es vermehrt zu geopolitischen Krisen und Naturkatastrophen, wodurch die im Rahmen der Rubrik </w:t>
      </w:r>
      <w:r w:rsidRPr="00CC1BEF">
        <w:rPr>
          <w:noProof/>
        </w:rPr>
        <w:t>6</w:t>
      </w:r>
      <w:r w:rsidRPr="005F0761">
        <w:rPr>
          <w:noProof/>
        </w:rPr>
        <w:t xml:space="preserve"> „Nachbarschaft und die Welt“ verfügbaren Mittel erheblich belastet wurden. Die Fähigkeit der Union, auf drängende globale Herausforderungen und humanitäre Krisen in Drittländern zu reagieren, muss gestärkt werden.</w:t>
      </w:r>
    </w:p>
    <w:p w14:paraId="15AA752A" w14:textId="377D045E" w:rsidR="00B91D71" w:rsidRPr="005F0761" w:rsidRDefault="0094331B" w:rsidP="00D24131">
      <w:pPr>
        <w:rPr>
          <w:noProof/>
        </w:rPr>
      </w:pPr>
      <w:r w:rsidRPr="005F0761">
        <w:rPr>
          <w:noProof/>
        </w:rPr>
        <w:t>Vor dem Hintergrund einer wachsenden globalen wirtschaftlichen und politischen Instabilität nehmen die weltweiten Migrationsbewegungen zu, und der Migrationsdruck an den Unionsgrenzen steigt weiter. Daher ist es erforderlich, dass der EU-Haushalt weiterhin dauerhaft finanzielle Unterstützung zur Bekämpfung der Ursachen der Migration, zur Verbesserung des Grenzmanagements und zur Aufrechterhaltung wirksamer Migrationspartnerschaften mit Drittländern – Herkunfts- und Transitländern oder Ländern, die eine große Zahl Geflüchteter aufnehmen – leisten kann.</w:t>
      </w:r>
    </w:p>
    <w:p w14:paraId="6413C92F" w14:textId="29B74C72" w:rsidR="004574A9" w:rsidRPr="005F0761" w:rsidRDefault="00106CB0" w:rsidP="00D24131">
      <w:pPr>
        <w:rPr>
          <w:noProof/>
        </w:rPr>
      </w:pPr>
      <w:r w:rsidRPr="005F0761">
        <w:rPr>
          <w:noProof/>
        </w:rPr>
        <w:t>Was die interne Dimension der Migration und das Grenzmanagement angeht, so wird das neue Migrations- und Asylpaket</w:t>
      </w:r>
      <w:r w:rsidRPr="005F0761">
        <w:rPr>
          <w:rStyle w:val="FootnoteReference"/>
          <w:bCs/>
          <w:noProof/>
          <w:szCs w:val="24"/>
        </w:rPr>
        <w:footnoteReference w:id="9"/>
      </w:r>
      <w:r w:rsidRPr="005F0761">
        <w:rPr>
          <w:noProof/>
        </w:rPr>
        <w:t xml:space="preserve">, das derzeit die interinstitutionelle Phase durchläuft, einen neuen, dauerhaften EU-Rahmen für das Asyl- und Migrationsmanagement bieten. Nach dem derzeitigen Stand der Gespräche und im Einklang mit dem Ziel der Legislativorgane, gemeinsam auf die Annahme der Reform der EU-Migrations- und -Asylvorschriften vor dem Ende der Legislaturperiode </w:t>
      </w:r>
      <w:r w:rsidRPr="00CC1BEF">
        <w:rPr>
          <w:noProof/>
        </w:rPr>
        <w:t>2019</w:t>
      </w:r>
      <w:r w:rsidRPr="005F0761">
        <w:rPr>
          <w:noProof/>
        </w:rPr>
        <w:t>–</w:t>
      </w:r>
      <w:r w:rsidRPr="00CC1BEF">
        <w:rPr>
          <w:noProof/>
        </w:rPr>
        <w:t>2024</w:t>
      </w:r>
      <w:r w:rsidRPr="005F0761">
        <w:rPr>
          <w:noProof/>
        </w:rPr>
        <w:t xml:space="preserve"> hinzuarbeiten</w:t>
      </w:r>
      <w:r w:rsidRPr="005F0761">
        <w:rPr>
          <w:rStyle w:val="FootnoteReference"/>
          <w:noProof/>
        </w:rPr>
        <w:footnoteReference w:id="10"/>
      </w:r>
      <w:r w:rsidRPr="005F0761">
        <w:rPr>
          <w:noProof/>
        </w:rPr>
        <w:t>, wird die Umsetzung des neuen Migrations- und Asylpakets zusätzliche Finanzmittel erfordern, insbesondere für das Screening- und Grenzverfahren, die Aufnahmekapazität sowie Umsiedlungen und Rückführungen.</w:t>
      </w:r>
    </w:p>
    <w:p w14:paraId="5397B27E" w14:textId="5371AC47" w:rsidR="00406FD7" w:rsidRPr="005F0761" w:rsidRDefault="00406FD7" w:rsidP="005903A2">
      <w:pPr>
        <w:spacing w:after="240"/>
        <w:rPr>
          <w:bCs/>
          <w:noProof/>
          <w:szCs w:val="24"/>
        </w:rPr>
      </w:pPr>
      <w:r w:rsidRPr="005F0761">
        <w:rPr>
          <w:noProof/>
        </w:rPr>
        <w:t>Die Kommission schlägt daher vor, die Ausgabenobergrenzen der Rubrik </w:t>
      </w:r>
      <w:r w:rsidRPr="00CC1BEF">
        <w:rPr>
          <w:noProof/>
        </w:rPr>
        <w:t>4</w:t>
      </w:r>
      <w:r w:rsidRPr="005F0761">
        <w:rPr>
          <w:noProof/>
        </w:rPr>
        <w:t xml:space="preserve"> „Migration und Grenzmanagement“ sowie Rubrik </w:t>
      </w:r>
      <w:r w:rsidRPr="00CC1BEF">
        <w:rPr>
          <w:noProof/>
        </w:rPr>
        <w:t>6</w:t>
      </w:r>
      <w:r w:rsidRPr="005F0761">
        <w:rPr>
          <w:noProof/>
        </w:rPr>
        <w:t xml:space="preserve"> „Nachbarschaft und die Welt“ für den Zeitraum </w:t>
      </w:r>
      <w:r w:rsidRPr="00CC1BEF">
        <w:rPr>
          <w:noProof/>
        </w:rPr>
        <w:t>2024</w:t>
      </w:r>
      <w:r w:rsidRPr="005F0761">
        <w:rPr>
          <w:noProof/>
        </w:rPr>
        <w:t xml:space="preserve"> bis </w:t>
      </w:r>
      <w:r w:rsidRPr="00CC1BEF">
        <w:rPr>
          <w:noProof/>
        </w:rPr>
        <w:t>2027</w:t>
      </w:r>
      <w:r w:rsidRPr="005F0761">
        <w:rPr>
          <w:noProof/>
        </w:rPr>
        <w:t xml:space="preserve"> um weitere </w:t>
      </w:r>
      <w:r w:rsidRPr="00CC1BEF">
        <w:rPr>
          <w:noProof/>
        </w:rPr>
        <w:t>1693</w:t>
      </w:r>
      <w:r w:rsidRPr="005F0761">
        <w:rPr>
          <w:noProof/>
        </w:rPr>
        <w:t xml:space="preserve"> Mio. EUR bzw. </w:t>
      </w:r>
      <w:r w:rsidRPr="00CC1BEF">
        <w:rPr>
          <w:noProof/>
        </w:rPr>
        <w:t>9056</w:t>
      </w:r>
      <w:r w:rsidRPr="005F0761">
        <w:rPr>
          <w:noProof/>
        </w:rPr>
        <w:t> Mio. EUR anzuheben.</w:t>
      </w:r>
    </w:p>
    <w:p w14:paraId="788F7219" w14:textId="6C7EDC19" w:rsidR="005D6610" w:rsidRPr="005F0761" w:rsidRDefault="005D6610" w:rsidP="00A17755">
      <w:pPr>
        <w:pStyle w:val="ManualHeading3"/>
        <w:rPr>
          <w:noProof/>
        </w:rPr>
      </w:pPr>
      <w:r w:rsidRPr="00CC1BEF">
        <w:rPr>
          <w:noProof/>
        </w:rPr>
        <w:t>1</w:t>
      </w:r>
      <w:r w:rsidRPr="005F0761">
        <w:rPr>
          <w:noProof/>
        </w:rPr>
        <w:t>.</w:t>
      </w:r>
      <w:r w:rsidRPr="00CC1BEF">
        <w:rPr>
          <w:noProof/>
        </w:rPr>
        <w:t>2</w:t>
      </w:r>
      <w:r w:rsidRPr="005F0761">
        <w:rPr>
          <w:noProof/>
        </w:rPr>
        <w:t>.</w:t>
      </w:r>
      <w:r w:rsidRPr="00CC1BEF">
        <w:rPr>
          <w:noProof/>
        </w:rPr>
        <w:t>3</w:t>
      </w:r>
      <w:r w:rsidRPr="005F0761">
        <w:rPr>
          <w:noProof/>
        </w:rPr>
        <w:tab/>
        <w:t>Förderung der langfristigen Wettbewerbsfähigkeit bei strategischen Technologien: die Plattform für strategische Technologien für Europa (STEP)</w:t>
      </w:r>
    </w:p>
    <w:p w14:paraId="116ADF4A" w14:textId="4AEAF762" w:rsidR="00377A8C" w:rsidRPr="005F0761" w:rsidRDefault="009A1D6E" w:rsidP="009A1D6E">
      <w:pPr>
        <w:rPr>
          <w:noProof/>
        </w:rPr>
      </w:pPr>
      <w:r w:rsidRPr="005F0761">
        <w:rPr>
          <w:noProof/>
        </w:rPr>
        <w:t>Die Entwicklung und Fertigung strategischer digitaler Spitzentechnologien, sauberer Technologien und Biotechnologien ist für das Erreichen der Ziele des ökologischen und des digitalen Wandels entscheidend. Angesichts des internationalen Wettbewerbs beim Aufbau strategischer Wertschöpfungsketten benötigt die Union eine stärker strukturell ausgerichtete Antwort auf den Investitionsbedarf ihrer Industrie durch eine neue Plattform für Strategische Technologien für Europa (STEP)</w:t>
      </w:r>
      <w:r w:rsidRPr="005F0761">
        <w:rPr>
          <w:rStyle w:val="FootnoteReference"/>
          <w:noProof/>
        </w:rPr>
        <w:footnoteReference w:id="11"/>
      </w:r>
      <w:r w:rsidRPr="005F0761">
        <w:rPr>
          <w:noProof/>
        </w:rPr>
        <w:t>, die zur Bewahrung des europäischen Vorsprungs bei kritischen und neuen, für den ökologischen und den digitalen Wandel relevanten Technologien beiträgt – von Computertechnologien einschließlich Mikroelektronik, Quanteninformatik und künstlicher Intelligenz bis hin zu Biotechnologie und -produktion und klimafreundlichen Technologien.</w:t>
      </w:r>
    </w:p>
    <w:p w14:paraId="21B239F7" w14:textId="33215167" w:rsidR="00723B16" w:rsidRPr="005F0761" w:rsidRDefault="1318E3D5" w:rsidP="00377A8C">
      <w:pPr>
        <w:rPr>
          <w:rFonts w:eastAsia="Times New Roman"/>
          <w:noProof/>
        </w:rPr>
      </w:pPr>
      <w:r w:rsidRPr="005F0761">
        <w:rPr>
          <w:noProof/>
        </w:rPr>
        <w:t>Durch die STEP-Plattform werden die notwendigen Voraussetzungen für eine wirksamere, effizientere und gezieltere Verwendung bestehender EU-Mittel geschaffen. Sie wird auch dazu beitragen, vorhandene Finanzmittel in die entsprechenden Projekte zu lenken und die Umsetzung in einer Reihe von Bereichen zu beschleunigen, die entscheidend für die führende Rolle Europas sind, wobei gleiche Wettbewerbsbedingungen im Binnenmarkt und damit der Zusammenhalt gewahrt bleiben. Um die finanzielle Unterstützung rasch bereitzustellen, wird die STEP-Plattform</w:t>
      </w:r>
      <w:bookmarkStart w:id="3" w:name="_Hlk136597400"/>
      <w:bookmarkStart w:id="4" w:name="_Hlk137542952"/>
      <w:r w:rsidRPr="005F0761">
        <w:rPr>
          <w:noProof/>
        </w:rPr>
        <w:t xml:space="preserve"> </w:t>
      </w:r>
      <w:bookmarkEnd w:id="3"/>
      <w:bookmarkEnd w:id="4"/>
      <w:r w:rsidRPr="005F0761">
        <w:rPr>
          <w:noProof/>
        </w:rPr>
        <w:t>bestehende EU-Instrumente stärken und mobilisieren und dadurch die Umsetzung der kohäsionspolitischen Fonds beschleunigen und die Nutzung von InvestEU, des Innovationsfonds und des Europäischen Innovationsrats im Hinblick auf europäische strategische Technologien maximieren.</w:t>
      </w:r>
    </w:p>
    <w:p w14:paraId="7B2007B9" w14:textId="5A63A62D" w:rsidR="009B13B2" w:rsidRPr="005F0761" w:rsidRDefault="009B13B2" w:rsidP="00377A8C">
      <w:pPr>
        <w:rPr>
          <w:rFonts w:eastAsia="Times New Roman"/>
          <w:noProof/>
        </w:rPr>
      </w:pPr>
      <w:r w:rsidRPr="005F0761">
        <w:rPr>
          <w:noProof/>
        </w:rPr>
        <w:t>Die Welt hat sich verändert. Russland ist für Europa ein Sicherheitsrisiko und wird dies auch in den kommenden Jahren bleiben. Daher wird die STEP die Forschungskomponente des Europäischen Verteidigungsfonds stärken, was die Innovationsfähigkeit der technologischen und industriellen Basis der europäischen Verteidigung steigern und somit zur strategischen Autonomie der Union beitragen wird.</w:t>
      </w:r>
    </w:p>
    <w:p w14:paraId="51A3BFEA" w14:textId="27C2CCBC" w:rsidR="00E50E1D" w:rsidRPr="005F0761" w:rsidRDefault="00A63688" w:rsidP="00377A8C">
      <w:pPr>
        <w:rPr>
          <w:noProof/>
        </w:rPr>
      </w:pPr>
      <w:r w:rsidRPr="005F0761">
        <w:rPr>
          <w:noProof/>
        </w:rPr>
        <w:t xml:space="preserve">Zur Steigerung der eigens für die Priorität der strategischen Technologien vorgesehenen Investitionskapazität sollte die STEP-Plattform zwischen </w:t>
      </w:r>
      <w:r w:rsidRPr="00CC1BEF">
        <w:rPr>
          <w:noProof/>
        </w:rPr>
        <w:t>2024</w:t>
      </w:r>
      <w:r w:rsidRPr="005F0761">
        <w:rPr>
          <w:noProof/>
        </w:rPr>
        <w:t xml:space="preserve"> und </w:t>
      </w:r>
      <w:r w:rsidRPr="00CC1BEF">
        <w:rPr>
          <w:noProof/>
        </w:rPr>
        <w:t>2027</w:t>
      </w:r>
      <w:r w:rsidRPr="005F0761">
        <w:rPr>
          <w:noProof/>
        </w:rPr>
        <w:t xml:space="preserve"> durch Mittelaufstockungen für InvestEU, den Innovationsfonds, den Europäischen Innovationsrat im Rahmen von Horizont Europa und den Europäischen Verteidigungsfonds unterstützt werden. Die entsprechenden MFR-Ausgabenobergrenzen (Rubrik </w:t>
      </w:r>
      <w:r w:rsidRPr="00CC1BEF">
        <w:rPr>
          <w:noProof/>
        </w:rPr>
        <w:t>1</w:t>
      </w:r>
      <w:r w:rsidRPr="005F0761">
        <w:rPr>
          <w:noProof/>
        </w:rPr>
        <w:t xml:space="preserve"> „Binnenmarkt, Innovation und Digitales“, Rubrik </w:t>
      </w:r>
      <w:r w:rsidRPr="00CC1BEF">
        <w:rPr>
          <w:noProof/>
        </w:rPr>
        <w:t>3</w:t>
      </w:r>
      <w:r w:rsidRPr="005F0761">
        <w:rPr>
          <w:noProof/>
        </w:rPr>
        <w:t xml:space="preserve"> „Natürliche Ressourcen und Umwelt“ und Rubrik </w:t>
      </w:r>
      <w:r w:rsidRPr="00CC1BEF">
        <w:rPr>
          <w:noProof/>
        </w:rPr>
        <w:t>5</w:t>
      </w:r>
      <w:r w:rsidRPr="005F0761">
        <w:rPr>
          <w:noProof/>
        </w:rPr>
        <w:t xml:space="preserve"> „Sicherheit und Verteidigung“) sollten daher gegebenenfalls angehoben werden.</w:t>
      </w:r>
    </w:p>
    <w:p w14:paraId="5D1C1660" w14:textId="20FC68EB" w:rsidR="00EF067B" w:rsidRPr="005F0761" w:rsidRDefault="00EF067B" w:rsidP="00EF067B">
      <w:pPr>
        <w:pStyle w:val="ManualHeading3"/>
        <w:rPr>
          <w:noProof/>
        </w:rPr>
      </w:pPr>
      <w:r w:rsidRPr="00CC1BEF">
        <w:rPr>
          <w:noProof/>
        </w:rPr>
        <w:t>1</w:t>
      </w:r>
      <w:r w:rsidRPr="005F0761">
        <w:rPr>
          <w:noProof/>
        </w:rPr>
        <w:t>.</w:t>
      </w:r>
      <w:r w:rsidRPr="00CC1BEF">
        <w:rPr>
          <w:noProof/>
        </w:rPr>
        <w:t>2</w:t>
      </w:r>
      <w:r w:rsidRPr="005F0761">
        <w:rPr>
          <w:noProof/>
        </w:rPr>
        <w:t>.</w:t>
      </w:r>
      <w:r w:rsidRPr="00CC1BEF">
        <w:rPr>
          <w:noProof/>
        </w:rPr>
        <w:t>4</w:t>
      </w:r>
      <w:r w:rsidRPr="005F0761">
        <w:rPr>
          <w:noProof/>
        </w:rPr>
        <w:tab/>
        <w:t>Eine tragfähige Lösung für die Finanzierungskosten von NextGenerationEU</w:t>
      </w:r>
    </w:p>
    <w:p w14:paraId="67F61CB3" w14:textId="16364200" w:rsidR="008B1B27" w:rsidRPr="005F0761" w:rsidRDefault="00ED5D5D" w:rsidP="008B1B27">
      <w:pPr>
        <w:rPr>
          <w:noProof/>
          <w:szCs w:val="24"/>
        </w:rPr>
      </w:pPr>
      <w:r w:rsidRPr="005F0761">
        <w:rPr>
          <w:noProof/>
        </w:rPr>
        <w:t xml:space="preserve">Der unerwartet steile Anstieg der Zinsen und Terminkurse seit </w:t>
      </w:r>
      <w:r w:rsidRPr="00CC1BEF">
        <w:rPr>
          <w:noProof/>
        </w:rPr>
        <w:t>2022</w:t>
      </w:r>
      <w:r w:rsidRPr="005F0761">
        <w:rPr>
          <w:noProof/>
        </w:rPr>
        <w:t xml:space="preserve"> aufgrund der strikteren Geldpolitik zur Eindämmung der Inflation trifft alle Anleiheemittenten einschließlich der EU. Dadurch dürften die vom EU-Haushalt infolge der Mittelaufnahme für NextGenerationEU zu tragenden Finanzierungskosten über den Schätzungen der ursprünglichen Planung zum Zeitpunkt der Annahme des Mehrjährigen Finanzrahmens liegen.</w:t>
      </w:r>
      <w:r w:rsidRPr="005F0761">
        <w:rPr>
          <w:rStyle w:val="FootnoteReference"/>
          <w:noProof/>
        </w:rPr>
        <w:footnoteReference w:id="12"/>
      </w:r>
    </w:p>
    <w:p w14:paraId="3630A84D" w14:textId="3878261C" w:rsidR="00017D60" w:rsidRPr="005F0761" w:rsidRDefault="00017D60" w:rsidP="007507D4">
      <w:pPr>
        <w:rPr>
          <w:noProof/>
          <w:szCs w:val="24"/>
        </w:rPr>
      </w:pPr>
      <w:r w:rsidRPr="005F0761">
        <w:rPr>
          <w:noProof/>
        </w:rPr>
        <w:t xml:space="preserve">Die Finanzierungskosten für NextGenerationEU unterscheiden sich naturgemäß von denen „traditioneller“ EU-Ausgabenprogramme. Sie hängen in hohem Maß von Zinsschwankungen ab. Darüber hinaus gibt es bis </w:t>
      </w:r>
      <w:r w:rsidRPr="00CC1BEF">
        <w:rPr>
          <w:noProof/>
        </w:rPr>
        <w:t>2026</w:t>
      </w:r>
      <w:r w:rsidRPr="005F0761">
        <w:rPr>
          <w:noProof/>
        </w:rPr>
        <w:t xml:space="preserve"> zusätzliche Volatilität aufgrund der Unsicherheiten in Bezug auf den Zeitpunkt der Mittelaufnahmen, die vor allem von den Auszahlungen für die Aufbau- und Resilienzfazilität abhängen. </w:t>
      </w:r>
    </w:p>
    <w:p w14:paraId="68E91B38" w14:textId="505BD5F6" w:rsidR="00017D60" w:rsidRPr="005F0761" w:rsidRDefault="00017D60" w:rsidP="007507D4">
      <w:pPr>
        <w:rPr>
          <w:noProof/>
          <w:szCs w:val="24"/>
        </w:rPr>
      </w:pPr>
      <w:r w:rsidRPr="005F0761">
        <w:rPr>
          <w:noProof/>
        </w:rPr>
        <w:t>Zugleich können die Zinsausgaben nach der Emission der Anleihen nicht mehr aufgeschoben, umgeplant oder annulliert werden. Während der bestehende Rechtsrahmen die nötigen Mechanismen vorsieht, die gewährleisten, dass die Union ihren Verpflichtungen gegenüber Anleihegläubigern unter allen Umständen nachkommt, sollte der EU-Haushaltsplan mit Mitteln und Instrumenten für die möglichst effiziente Zahlung dieser Kosten versehen werden.</w:t>
      </w:r>
    </w:p>
    <w:p w14:paraId="6E2C1941" w14:textId="203CBE5A" w:rsidR="00017D60" w:rsidRPr="005F0761" w:rsidRDefault="00017D60" w:rsidP="007507D4">
      <w:pPr>
        <w:rPr>
          <w:noProof/>
          <w:szCs w:val="24"/>
        </w:rPr>
      </w:pPr>
      <w:r w:rsidRPr="005F0761">
        <w:rPr>
          <w:noProof/>
        </w:rPr>
        <w:t xml:space="preserve">Daher ist ein spezifischer Flexibilitätsmechanismus nötig, um dieser Volatilität entgegenzuwirken. Es sollte ein neues thematisches besonderes Instrument („Instrument für das Aufbauinstrument der Europäischen Union“ – „EURI-Instrument“) eingerichtet werden, das über die MFR-Obergrenzen hinausgeht und bis zum Auslaufen des MFR ausschließlich dazu dient, Finanzierungskosten von NextGenerationEU zu decken, die die im Jahr </w:t>
      </w:r>
      <w:r w:rsidRPr="00CC1BEF">
        <w:rPr>
          <w:noProof/>
        </w:rPr>
        <w:t>2020</w:t>
      </w:r>
      <w:r w:rsidRPr="005F0761">
        <w:rPr>
          <w:noProof/>
        </w:rPr>
        <w:t xml:space="preserve"> im Rahmen der Ausgabenobergrenze der Teilrubrik </w:t>
      </w:r>
      <w:r w:rsidRPr="00CC1BEF">
        <w:rPr>
          <w:noProof/>
        </w:rPr>
        <w:t>2</w:t>
      </w:r>
      <w:r w:rsidRPr="005F0761">
        <w:rPr>
          <w:noProof/>
        </w:rPr>
        <w:t>b ursprünglich vorgesehenen Beträge übersteigen.</w:t>
      </w:r>
    </w:p>
    <w:p w14:paraId="088018F9" w14:textId="170F2112" w:rsidR="00976C4B" w:rsidRPr="005F0761" w:rsidRDefault="00976C4B" w:rsidP="00976C4B">
      <w:pPr>
        <w:pStyle w:val="ManualHeading3"/>
        <w:rPr>
          <w:noProof/>
        </w:rPr>
      </w:pPr>
      <w:r w:rsidRPr="00CC1BEF">
        <w:rPr>
          <w:noProof/>
        </w:rPr>
        <w:t>1</w:t>
      </w:r>
      <w:r w:rsidRPr="005F0761">
        <w:rPr>
          <w:noProof/>
        </w:rPr>
        <w:t>.</w:t>
      </w:r>
      <w:r w:rsidRPr="00CC1BEF">
        <w:rPr>
          <w:noProof/>
        </w:rPr>
        <w:t>2</w:t>
      </w:r>
      <w:r w:rsidRPr="005F0761">
        <w:rPr>
          <w:noProof/>
        </w:rPr>
        <w:t>.</w:t>
      </w:r>
      <w:r w:rsidRPr="00CC1BEF">
        <w:rPr>
          <w:noProof/>
        </w:rPr>
        <w:t>5</w:t>
      </w:r>
      <w:r w:rsidRPr="005F0761">
        <w:rPr>
          <w:noProof/>
        </w:rPr>
        <w:tab/>
        <w:t>Aufrechterhaltung einer funktionierenden Verwaltung zur Umsetzung der politischen Prioritäten der EU</w:t>
      </w:r>
    </w:p>
    <w:p w14:paraId="6888C61F" w14:textId="7BA1B78B" w:rsidR="00C2086C" w:rsidRPr="005F0761" w:rsidRDefault="00C2086C" w:rsidP="00D61471">
      <w:pPr>
        <w:rPr>
          <w:noProof/>
          <w:szCs w:val="24"/>
        </w:rPr>
      </w:pPr>
      <w:r w:rsidRPr="005F0761">
        <w:rPr>
          <w:noProof/>
        </w:rPr>
        <w:t>Die Ressourcen der europäischen Verwaltung (Rubrik </w:t>
      </w:r>
      <w:r w:rsidRPr="00CC1BEF">
        <w:rPr>
          <w:noProof/>
        </w:rPr>
        <w:t>7</w:t>
      </w:r>
      <w:r w:rsidRPr="005F0761">
        <w:rPr>
          <w:noProof/>
        </w:rPr>
        <w:t>) stehen aufgrund der zusätzlichen Aufgaben, die der Union übertragen wurden, sowie steigender Energiepreise und der hohen Inflation unter starkem Druck.</w:t>
      </w:r>
    </w:p>
    <w:p w14:paraId="5A8B6AA5" w14:textId="7263A9DE" w:rsidR="00C2086C" w:rsidRPr="005F0761" w:rsidRDefault="00C2086C" w:rsidP="00C2086C">
      <w:pPr>
        <w:pStyle w:val="paragraph"/>
        <w:spacing w:before="0" w:after="120"/>
        <w:jc w:val="both"/>
        <w:rPr>
          <w:rFonts w:eastAsia="Calibri"/>
          <w:noProof/>
        </w:rPr>
      </w:pPr>
      <w:r w:rsidRPr="005F0761">
        <w:rPr>
          <w:noProof/>
        </w:rPr>
        <w:t>Wegen der zahlreichen neuen Initiativen, die in den letzten zwei Jahren eingeleitet wurden, kamen seit dem Beginn des aktuellen mehrjährigen Finanzrahmens erhebliche zusätzliche Aufgaben für die Union hinzu, ohne dass ihr Personal entsprechend aufgestockt wurde. Mit ihren derzeitigen Ressourcen wird sie nicht länger in der Lage sein, die ständig wachsende Zahl der ihr übertragenen Aufgaben zu erfüllen.</w:t>
      </w:r>
    </w:p>
    <w:p w14:paraId="4A3CDD80" w14:textId="1AA5C7DA" w:rsidR="00C2086C" w:rsidRPr="005F0761" w:rsidRDefault="00C2086C" w:rsidP="00FB65F5">
      <w:pPr>
        <w:pStyle w:val="paragraph"/>
        <w:spacing w:before="0" w:after="120"/>
        <w:jc w:val="both"/>
        <w:rPr>
          <w:noProof/>
        </w:rPr>
      </w:pPr>
      <w:r w:rsidRPr="005F0761">
        <w:rPr>
          <w:rStyle w:val="normaltextrun"/>
          <w:noProof/>
        </w:rPr>
        <w:t>Die hohe Inflation hat schwerwiegende Auswirkungen auf die Verwaltungsausgaben. Trotz</w:t>
      </w:r>
      <w:r w:rsidRPr="005F0761">
        <w:rPr>
          <w:noProof/>
        </w:rPr>
        <w:t xml:space="preserve"> außergewöhnlicher Anstrengungen, die Kosten neu zu gewichten und zu senken, </w:t>
      </w:r>
      <w:r w:rsidRPr="005F0761">
        <w:rPr>
          <w:rStyle w:val="normaltextrun"/>
          <w:noProof/>
        </w:rPr>
        <w:t>um die Verwaltungsausgaben zu begrenzen, werden die derzeitigen Obergrenzen der Rubrik </w:t>
      </w:r>
      <w:r w:rsidRPr="00CC1BEF">
        <w:rPr>
          <w:rStyle w:val="normaltextrun"/>
          <w:noProof/>
        </w:rPr>
        <w:t>7</w:t>
      </w:r>
      <w:r w:rsidRPr="005F0761">
        <w:rPr>
          <w:rStyle w:val="normaltextrun"/>
          <w:noProof/>
        </w:rPr>
        <w:t xml:space="preserve"> „</w:t>
      </w:r>
      <w:r w:rsidRPr="005F0761">
        <w:rPr>
          <w:noProof/>
        </w:rPr>
        <w:t xml:space="preserve">Europäische öffentliche Verwaltung“ </w:t>
      </w:r>
      <w:r w:rsidRPr="005F0761">
        <w:rPr>
          <w:rStyle w:val="normaltextrun"/>
          <w:noProof/>
        </w:rPr>
        <w:t>den Bedarf aufgrund des Inflationsdrucks nicht decken können.</w:t>
      </w:r>
    </w:p>
    <w:p w14:paraId="3DA01896" w14:textId="1026E5F9" w:rsidR="00C2086C" w:rsidRPr="005F0761" w:rsidRDefault="00C2086C" w:rsidP="00E16E00">
      <w:pPr>
        <w:spacing w:after="240"/>
        <w:rPr>
          <w:noProof/>
        </w:rPr>
      </w:pPr>
      <w:r w:rsidRPr="005F0761">
        <w:rPr>
          <w:noProof/>
        </w:rPr>
        <w:t>Damit die Organe ihren rechtlichen Pflichten nachkommen können und die Kommission die zusätzlichen Zuständigkeiten, die ihr von den Legislativorganen übertragen wurden, bewältigen kann, muss die Obergrenze der Rubrik </w:t>
      </w:r>
      <w:r w:rsidRPr="00CC1BEF">
        <w:rPr>
          <w:noProof/>
        </w:rPr>
        <w:t>7</w:t>
      </w:r>
      <w:r w:rsidRPr="005F0761">
        <w:rPr>
          <w:noProof/>
        </w:rPr>
        <w:t xml:space="preserve"> „Europäische öffentliche Verwaltung“ daher um </w:t>
      </w:r>
      <w:r w:rsidRPr="00CC1BEF">
        <w:rPr>
          <w:noProof/>
        </w:rPr>
        <w:t>1621</w:t>
      </w:r>
      <w:r w:rsidRPr="005F0761">
        <w:rPr>
          <w:noProof/>
        </w:rPr>
        <w:t xml:space="preserve"> Mio. EUR angehoben werden, einschließlich einer Anhebung der Teilobergrenze „Verwaltungsausgaben der Organe“ um </w:t>
      </w:r>
      <w:r w:rsidRPr="00CC1BEF">
        <w:rPr>
          <w:noProof/>
        </w:rPr>
        <w:t>1331</w:t>
      </w:r>
      <w:r w:rsidRPr="005F0761">
        <w:rPr>
          <w:noProof/>
        </w:rPr>
        <w:t> Mio. EUR.</w:t>
      </w:r>
    </w:p>
    <w:p w14:paraId="7FC84243" w14:textId="561BF08A" w:rsidR="003D78DC" w:rsidRPr="005F0761" w:rsidRDefault="003D78DC" w:rsidP="003D78DC">
      <w:pPr>
        <w:pStyle w:val="ManualHeading3"/>
        <w:rPr>
          <w:noProof/>
        </w:rPr>
      </w:pPr>
      <w:r w:rsidRPr="00CC1BEF">
        <w:rPr>
          <w:noProof/>
        </w:rPr>
        <w:t>1</w:t>
      </w:r>
      <w:r w:rsidRPr="005F0761">
        <w:rPr>
          <w:noProof/>
        </w:rPr>
        <w:t>.</w:t>
      </w:r>
      <w:r w:rsidRPr="00CC1BEF">
        <w:rPr>
          <w:noProof/>
        </w:rPr>
        <w:t>2</w:t>
      </w:r>
      <w:r w:rsidRPr="005F0761">
        <w:rPr>
          <w:noProof/>
        </w:rPr>
        <w:t>.</w:t>
      </w:r>
      <w:r w:rsidRPr="00CC1BEF">
        <w:rPr>
          <w:noProof/>
        </w:rPr>
        <w:t>6</w:t>
      </w:r>
      <w:r w:rsidRPr="005F0761">
        <w:rPr>
          <w:noProof/>
        </w:rPr>
        <w:tab/>
        <w:t>Verbesserung der Fähigkeit des Unionshaushalts, auf Krisen und unvorhergesehene Entwicklungen zu reagieren</w:t>
      </w:r>
    </w:p>
    <w:p w14:paraId="0BB92442" w14:textId="0F35922A" w:rsidR="003170B5" w:rsidRPr="005F0761" w:rsidRDefault="003170B5" w:rsidP="003170B5">
      <w:pPr>
        <w:spacing w:after="200"/>
        <w:rPr>
          <w:noProof/>
        </w:rPr>
      </w:pPr>
      <w:r w:rsidRPr="005F0761">
        <w:rPr>
          <w:noProof/>
        </w:rPr>
        <w:t xml:space="preserve">Die „Solidaritäts- und Soforthilfereserve“ (SEAR), ein thematisches besonderes Instrument zur Bewältigung von Notfallsituationen in den Mitgliedstaaten und Drittländern, steht seit </w:t>
      </w:r>
      <w:r w:rsidRPr="00CC1BEF">
        <w:rPr>
          <w:noProof/>
        </w:rPr>
        <w:t>2021</w:t>
      </w:r>
      <w:r w:rsidRPr="005F0761">
        <w:rPr>
          <w:noProof/>
        </w:rPr>
        <w:t xml:space="preserve"> unter hohem Druck. Angesichts immer häufigerer und schwerwiegenderer Naturkatastrophen größeren Ausmaßes – insbesondere aufgrund des Klimawandels – sowie humanitärer Krisen sollte der Jahresbetrag für die Solidaritäts- und Soforthilfereserve erhöht werden.</w:t>
      </w:r>
    </w:p>
    <w:p w14:paraId="40E3F263" w14:textId="6F038759" w:rsidR="00D0733C" w:rsidRPr="005F0761" w:rsidRDefault="004D5C5A" w:rsidP="00E960B9">
      <w:pPr>
        <w:rPr>
          <w:noProof/>
        </w:rPr>
      </w:pPr>
      <w:r w:rsidRPr="005F0761">
        <w:rPr>
          <w:rStyle w:val="normaltextrun"/>
          <w:noProof/>
          <w:color w:val="000000"/>
          <w:shd w:val="clear" w:color="auto" w:fill="FFFFFF"/>
        </w:rPr>
        <w:t>Da die Haushaltsspielräume in den ersten Jahren des MFR weitgehend ausgeschöpft wurden, musste das Flexibilitätsinstrument</w:t>
      </w:r>
      <w:r w:rsidRPr="005F0761">
        <w:rPr>
          <w:noProof/>
        </w:rPr>
        <w:t xml:space="preserve"> fast gänzlich in Anspruch genommen werden.</w:t>
      </w:r>
      <w:r w:rsidRPr="005F0761">
        <w:rPr>
          <w:rStyle w:val="normaltextrun"/>
          <w:noProof/>
          <w:color w:val="000000"/>
          <w:shd w:val="clear" w:color="auto" w:fill="FFFFFF"/>
        </w:rPr>
        <w:t xml:space="preserve"> Der hohe Druck, der bis zum Ablauf des MRF-Zeitraums auf allen Ausgabenrubriken lastet</w:t>
      </w:r>
      <w:r w:rsidRPr="005F0761">
        <w:rPr>
          <w:noProof/>
        </w:rPr>
        <w:t>, erfordert eine Aufstockung des Flexibilitätsinstruments, damit gewährleistet ist, dass der EU-Haushalt auf möglicherweise aufkommenden unvorhergesehenen Bedarf reagieren kann.</w:t>
      </w:r>
    </w:p>
    <w:p w14:paraId="4E8F2DA5" w14:textId="1DF18DE5" w:rsidR="000076A5" w:rsidRPr="005F0761" w:rsidRDefault="000076A5">
      <w:pPr>
        <w:pStyle w:val="ManualHeading1"/>
        <w:rPr>
          <w:noProof/>
        </w:rPr>
      </w:pPr>
      <w:r w:rsidRPr="00CC1BEF">
        <w:rPr>
          <w:noProof/>
        </w:rPr>
        <w:t>2</w:t>
      </w:r>
      <w:r w:rsidRPr="005F0761">
        <w:rPr>
          <w:noProof/>
        </w:rPr>
        <w:t>.</w:t>
      </w:r>
      <w:r w:rsidRPr="005F0761">
        <w:rPr>
          <w:noProof/>
        </w:rPr>
        <w:tab/>
        <w:t>RECHTLICHE ASPEKTE</w:t>
      </w:r>
    </w:p>
    <w:p w14:paraId="65D6F09A" w14:textId="10BBCC47" w:rsidR="00A57027" w:rsidRPr="005F0761" w:rsidRDefault="000503E8" w:rsidP="00D0276E">
      <w:pPr>
        <w:pStyle w:val="ManualHeading2"/>
        <w:ind w:left="0" w:firstLine="0"/>
        <w:rPr>
          <w:noProof/>
        </w:rPr>
      </w:pPr>
      <w:r w:rsidRPr="005F0761">
        <w:rPr>
          <w:noProof/>
          <w:u w:color="000000"/>
          <w:bdr w:val="nil"/>
        </w:rPr>
        <w:t>•</w:t>
      </w:r>
      <w:r w:rsidRPr="005F0761">
        <w:rPr>
          <w:noProof/>
        </w:rPr>
        <w:tab/>
        <w:t>Rechtsgrundlage</w:t>
      </w:r>
    </w:p>
    <w:p w14:paraId="01D91FBD" w14:textId="7FEF4C07" w:rsidR="00A57027" w:rsidRPr="005F0761" w:rsidRDefault="00A57027" w:rsidP="00A57027">
      <w:pPr>
        <w:rPr>
          <w:noProof/>
        </w:rPr>
      </w:pPr>
      <w:r w:rsidRPr="005F0761">
        <w:rPr>
          <w:noProof/>
        </w:rPr>
        <w:t>Artikel </w:t>
      </w:r>
      <w:r w:rsidRPr="00CC1BEF">
        <w:rPr>
          <w:noProof/>
        </w:rPr>
        <w:t>312</w:t>
      </w:r>
      <w:r w:rsidRPr="005F0761">
        <w:rPr>
          <w:noProof/>
        </w:rPr>
        <w:t xml:space="preserve"> AEUV bildet die Rechtsgrundlage für die Annahme des mehrjährigen Finanzrahmens.</w:t>
      </w:r>
    </w:p>
    <w:p w14:paraId="01A33655" w14:textId="667C9BE2" w:rsidR="00A57027" w:rsidRPr="005F0761" w:rsidRDefault="000503E8" w:rsidP="00A57027">
      <w:pPr>
        <w:pStyle w:val="ManualHeading2"/>
        <w:rPr>
          <w:noProof/>
        </w:rPr>
      </w:pPr>
      <w:r w:rsidRPr="005F0761">
        <w:rPr>
          <w:noProof/>
          <w:u w:color="000000"/>
          <w:bdr w:val="nil"/>
        </w:rPr>
        <w:t>•</w:t>
      </w:r>
      <w:r w:rsidRPr="005F0761">
        <w:rPr>
          <w:noProof/>
        </w:rPr>
        <w:tab/>
        <w:t>Subsidiarität</w:t>
      </w:r>
    </w:p>
    <w:p w14:paraId="224DB8CB" w14:textId="256D6BEE" w:rsidR="005D1B87" w:rsidRPr="005F0761" w:rsidRDefault="00A57027" w:rsidP="00166B70">
      <w:pPr>
        <w:rPr>
          <w:noProof/>
        </w:rPr>
      </w:pPr>
      <w:r w:rsidRPr="005F0761">
        <w:rPr>
          <w:noProof/>
        </w:rPr>
        <w:t>Die Initiative betrifft einen Politikbereich, für den die EU nach Artikel </w:t>
      </w:r>
      <w:r w:rsidRPr="00CC1BEF">
        <w:rPr>
          <w:noProof/>
        </w:rPr>
        <w:t>312</w:t>
      </w:r>
      <w:r w:rsidRPr="005F0761">
        <w:rPr>
          <w:noProof/>
        </w:rPr>
        <w:t xml:space="preserve"> AEUV ausschließliche Befugnisse hat. Das Subsidiaritätsprinzip findet daher keine Anwendung.</w:t>
      </w:r>
    </w:p>
    <w:p w14:paraId="71D25270" w14:textId="11DEC64F" w:rsidR="009946C8" w:rsidRPr="005F0761" w:rsidRDefault="00CC774A" w:rsidP="00CC774A">
      <w:pPr>
        <w:pStyle w:val="ManualHeading2"/>
        <w:rPr>
          <w:noProof/>
        </w:rPr>
      </w:pPr>
      <w:r w:rsidRPr="005F0761">
        <w:rPr>
          <w:noProof/>
          <w:u w:color="000000"/>
          <w:bdr w:val="nil"/>
        </w:rPr>
        <w:t>•</w:t>
      </w:r>
      <w:r w:rsidRPr="005F0761">
        <w:rPr>
          <w:noProof/>
        </w:rPr>
        <w:tab/>
        <w:t>Verhältnismäßigkeit</w:t>
      </w:r>
    </w:p>
    <w:p w14:paraId="2FFF7C4A" w14:textId="40D1B389" w:rsidR="00DE346E" w:rsidRPr="005F0761" w:rsidRDefault="008D7C02" w:rsidP="00C42BB9">
      <w:pPr>
        <w:pStyle w:val="Text1"/>
        <w:ind w:left="0"/>
        <w:rPr>
          <w:noProof/>
        </w:rPr>
      </w:pPr>
      <w:r w:rsidRPr="005F0761">
        <w:rPr>
          <w:noProof/>
        </w:rPr>
        <w:t xml:space="preserve">Der Vorschlag wahrt den Grundsatz der Verhältnismäßigkeit, da er nicht über das hinausgeht, was erforderlich ist, um die erklärten Ziele auf europäischer Ebene zu erreichen. Die Änderungen stehen in einem angemessenen Verhältnis zu den zahlreichen unerwarteten Ereignissen und neuen Herausforderungen, die sich seit der Annahme der Verordnung (EU, Euratom) </w:t>
      </w:r>
      <w:r w:rsidRPr="00CC1BEF">
        <w:rPr>
          <w:noProof/>
        </w:rPr>
        <w:t>2020</w:t>
      </w:r>
      <w:r w:rsidRPr="005F0761">
        <w:rPr>
          <w:noProof/>
        </w:rPr>
        <w:t>/</w:t>
      </w:r>
      <w:r w:rsidRPr="00CC1BEF">
        <w:rPr>
          <w:noProof/>
        </w:rPr>
        <w:t>2093</w:t>
      </w:r>
      <w:r w:rsidRPr="005F0761">
        <w:rPr>
          <w:noProof/>
        </w:rPr>
        <w:t xml:space="preserve"> im Dezember </w:t>
      </w:r>
      <w:r w:rsidRPr="00CC1BEF">
        <w:rPr>
          <w:noProof/>
        </w:rPr>
        <w:t>2020</w:t>
      </w:r>
      <w:r w:rsidRPr="005F0761">
        <w:rPr>
          <w:noProof/>
        </w:rPr>
        <w:t xml:space="preserve"> ergeben haben.</w:t>
      </w:r>
    </w:p>
    <w:p w14:paraId="46A59BF7" w14:textId="2E6F0D88" w:rsidR="000503E8" w:rsidRPr="005F0761" w:rsidRDefault="000503E8" w:rsidP="000503E8">
      <w:pPr>
        <w:pStyle w:val="ManualHeading2"/>
        <w:rPr>
          <w:rFonts w:eastAsia="Arial Unicode MS"/>
          <w:noProof/>
          <w:u w:color="000000"/>
          <w:bdr w:val="nil"/>
        </w:rPr>
      </w:pPr>
      <w:r w:rsidRPr="005F0761">
        <w:rPr>
          <w:noProof/>
          <w:u w:color="000000"/>
          <w:bdr w:val="nil"/>
        </w:rPr>
        <w:t>•</w:t>
      </w:r>
      <w:r w:rsidRPr="005F0761">
        <w:rPr>
          <w:noProof/>
        </w:rPr>
        <w:tab/>
        <w:t>Beziehung zum anhängigen Vorschlag</w:t>
      </w:r>
    </w:p>
    <w:p w14:paraId="7F686CDE" w14:textId="47149536" w:rsidR="009946C8" w:rsidRPr="005F0761" w:rsidRDefault="00677859" w:rsidP="00A57027">
      <w:pPr>
        <w:rPr>
          <w:noProof/>
        </w:rPr>
      </w:pPr>
      <w:r w:rsidRPr="005F0761">
        <w:rPr>
          <w:noProof/>
        </w:rPr>
        <w:t xml:space="preserve">Der vorliegende Vorschlag zur Änderung der Verordnung (EU, Euratom) </w:t>
      </w:r>
      <w:r w:rsidRPr="00CC1BEF">
        <w:rPr>
          <w:noProof/>
        </w:rPr>
        <w:t>2020</w:t>
      </w:r>
      <w:r w:rsidRPr="005F0761">
        <w:rPr>
          <w:noProof/>
        </w:rPr>
        <w:t>/</w:t>
      </w:r>
      <w:r w:rsidRPr="00CC1BEF">
        <w:rPr>
          <w:noProof/>
        </w:rPr>
        <w:t>2093</w:t>
      </w:r>
      <w:r w:rsidRPr="005F0761">
        <w:rPr>
          <w:noProof/>
        </w:rPr>
        <w:t xml:space="preserve"> ersetzt den Vorschlag vom </w:t>
      </w:r>
      <w:r w:rsidRPr="00CC1BEF">
        <w:rPr>
          <w:noProof/>
        </w:rPr>
        <w:t>22</w:t>
      </w:r>
      <w:r w:rsidRPr="005F0761">
        <w:rPr>
          <w:noProof/>
        </w:rPr>
        <w:t xml:space="preserve">. Dezember </w:t>
      </w:r>
      <w:r w:rsidRPr="00CC1BEF">
        <w:rPr>
          <w:noProof/>
        </w:rPr>
        <w:t>2021</w:t>
      </w:r>
      <w:r w:rsidRPr="005F0761">
        <w:rPr>
          <w:noProof/>
        </w:rPr>
        <w:t xml:space="preserve"> (COM(</w:t>
      </w:r>
      <w:r w:rsidRPr="00CC1BEF">
        <w:rPr>
          <w:noProof/>
        </w:rPr>
        <w:t>2021</w:t>
      </w:r>
      <w:r w:rsidRPr="005F0761">
        <w:rPr>
          <w:noProof/>
        </w:rPr>
        <w:t>) </w:t>
      </w:r>
      <w:r w:rsidRPr="00CC1BEF">
        <w:rPr>
          <w:noProof/>
        </w:rPr>
        <w:t>569</w:t>
      </w:r>
      <w:r w:rsidRPr="005F0761">
        <w:rPr>
          <w:noProof/>
        </w:rPr>
        <w:t>), der zurückgezogen wird.</w:t>
      </w:r>
    </w:p>
    <w:p w14:paraId="0AA718B6" w14:textId="67FF0E00" w:rsidR="00E8044B" w:rsidRPr="005F0761" w:rsidRDefault="007F5056" w:rsidP="007F5056">
      <w:pPr>
        <w:pStyle w:val="ManualHeading2"/>
        <w:rPr>
          <w:noProof/>
        </w:rPr>
      </w:pPr>
      <w:r w:rsidRPr="00CC1BEF">
        <w:rPr>
          <w:noProof/>
          <w:color w:val="000000"/>
          <w:bdr w:val="nil"/>
        </w:rPr>
        <w:t>3</w:t>
      </w:r>
      <w:r w:rsidRPr="005F0761">
        <w:rPr>
          <w:noProof/>
          <w:color w:val="000000"/>
          <w:bdr w:val="nil"/>
        </w:rPr>
        <w:t>.</w:t>
      </w:r>
      <w:r w:rsidRPr="005F0761">
        <w:rPr>
          <w:noProof/>
        </w:rPr>
        <w:tab/>
      </w:r>
      <w:r w:rsidRPr="005F0761">
        <w:rPr>
          <w:noProof/>
          <w:color w:val="000000"/>
          <w:bdr w:val="nil"/>
        </w:rPr>
        <w:t>AUSFÜHRLICHE ERLÄUTERUNG EINZELNER BESTIMMUNGEN DES VORSCHLAGS</w:t>
      </w:r>
    </w:p>
    <w:p w14:paraId="01882F9D" w14:textId="77777777" w:rsidR="00413864" w:rsidRPr="005F0761" w:rsidRDefault="00413864" w:rsidP="00413864">
      <w:pPr>
        <w:pStyle w:val="Header"/>
        <w:rPr>
          <w:b/>
          <w:noProof/>
        </w:rPr>
      </w:pPr>
      <w:r w:rsidRPr="005F0761">
        <w:rPr>
          <w:b/>
          <w:noProof/>
        </w:rPr>
        <w:t>Kapitel </w:t>
      </w:r>
      <w:r w:rsidRPr="00CC1BEF">
        <w:rPr>
          <w:b/>
          <w:noProof/>
        </w:rPr>
        <w:t>1</w:t>
      </w:r>
      <w:r w:rsidRPr="005F0761">
        <w:rPr>
          <w:b/>
          <w:noProof/>
        </w:rPr>
        <w:t xml:space="preserve"> – Allgemeine Bestimmungen</w:t>
      </w:r>
    </w:p>
    <w:p w14:paraId="21431C15" w14:textId="27D08632" w:rsidR="00413864" w:rsidRPr="005F0761" w:rsidRDefault="00413864" w:rsidP="00413864">
      <w:pPr>
        <w:pStyle w:val="Header"/>
        <w:rPr>
          <w:i/>
          <w:noProof/>
        </w:rPr>
      </w:pPr>
      <w:r w:rsidRPr="005F0761">
        <w:rPr>
          <w:i/>
          <w:noProof/>
        </w:rPr>
        <w:t>Artikel </w:t>
      </w:r>
      <w:r w:rsidRPr="00CC1BEF">
        <w:rPr>
          <w:i/>
          <w:noProof/>
        </w:rPr>
        <w:t>2</w:t>
      </w:r>
      <w:r w:rsidRPr="005F0761">
        <w:rPr>
          <w:i/>
          <w:noProof/>
        </w:rPr>
        <w:t xml:space="preserve"> – Einhaltung der Obergrenzen des MFR</w:t>
      </w:r>
    </w:p>
    <w:p w14:paraId="24C36396" w14:textId="66539023" w:rsidR="009046B7" w:rsidRPr="005F0761" w:rsidRDefault="00413864" w:rsidP="00413864">
      <w:pPr>
        <w:rPr>
          <w:noProof/>
        </w:rPr>
      </w:pPr>
      <w:r w:rsidRPr="005F0761">
        <w:rPr>
          <w:noProof/>
        </w:rPr>
        <w:t>In Artikel </w:t>
      </w:r>
      <w:r w:rsidRPr="00CC1BEF">
        <w:rPr>
          <w:noProof/>
        </w:rPr>
        <w:t>2</w:t>
      </w:r>
      <w:r w:rsidRPr="005F0761">
        <w:rPr>
          <w:noProof/>
        </w:rPr>
        <w:t xml:space="preserve"> Absatz </w:t>
      </w:r>
      <w:r w:rsidRPr="00CC1BEF">
        <w:rPr>
          <w:noProof/>
        </w:rPr>
        <w:t>1</w:t>
      </w:r>
      <w:r w:rsidRPr="005F0761">
        <w:rPr>
          <w:noProof/>
        </w:rPr>
        <w:t xml:space="preserve"> wird auf Anhang I verwiesen, der die Tabelle der Obergrenzen des Mehrjährigen Finanzrahmens enthält. Anhang I der Verordnung wird durch den Anhang des vorliegenden Vorschlags ersetzt.</w:t>
      </w:r>
    </w:p>
    <w:p w14:paraId="7FD66332" w14:textId="3F513023" w:rsidR="00413864" w:rsidRPr="005F0761" w:rsidRDefault="00413864" w:rsidP="00413864">
      <w:pPr>
        <w:rPr>
          <w:noProof/>
        </w:rPr>
      </w:pPr>
      <w:r w:rsidRPr="005F0761">
        <w:rPr>
          <w:noProof/>
        </w:rPr>
        <w:t>Absatz </w:t>
      </w:r>
      <w:r w:rsidRPr="00CC1BEF">
        <w:rPr>
          <w:noProof/>
        </w:rPr>
        <w:t>2</w:t>
      </w:r>
      <w:r w:rsidRPr="005F0761">
        <w:rPr>
          <w:noProof/>
        </w:rPr>
        <w:t xml:space="preserve"> Unterabsatz </w:t>
      </w:r>
      <w:r w:rsidRPr="00CC1BEF">
        <w:rPr>
          <w:noProof/>
        </w:rPr>
        <w:t>1</w:t>
      </w:r>
      <w:r w:rsidRPr="005F0761">
        <w:rPr>
          <w:noProof/>
        </w:rPr>
        <w:t xml:space="preserve"> wird geändert, um den Verweis auf das „EURI-Instrument“ (neuer Artikel </w:t>
      </w:r>
      <w:r w:rsidRPr="00CC1BEF">
        <w:rPr>
          <w:noProof/>
        </w:rPr>
        <w:t>10</w:t>
      </w:r>
      <w:r w:rsidRPr="005F0761">
        <w:rPr>
          <w:noProof/>
        </w:rPr>
        <w:t>a) und die „Ukrainereserve“ (neuer Artikel </w:t>
      </w:r>
      <w:r w:rsidRPr="00CC1BEF">
        <w:rPr>
          <w:noProof/>
        </w:rPr>
        <w:t>10</w:t>
      </w:r>
      <w:r w:rsidRPr="005F0761">
        <w:rPr>
          <w:noProof/>
        </w:rPr>
        <w:t>b) aufzunehmen, sowie den Grundsatz, dass diese Instrumente nicht in den Mehrjährigen Finanzrahmen aufgenommen werden und dass ihre Finanzierung sowohl bei den Mitteln für Verpflichtungen als auch bei den entsprechenden Mitteln für Zahlungen über die Obergrenzen des Mehrjährigen Finanzrahmens hinausgeht.</w:t>
      </w:r>
    </w:p>
    <w:p w14:paraId="62A4D5F6" w14:textId="450F7ED3" w:rsidR="009046B7" w:rsidRPr="005F0761" w:rsidRDefault="009046B7" w:rsidP="00F12FF3">
      <w:pPr>
        <w:rPr>
          <w:noProof/>
        </w:rPr>
      </w:pPr>
      <w:r w:rsidRPr="005F0761">
        <w:rPr>
          <w:noProof/>
        </w:rPr>
        <w:t>Artikel </w:t>
      </w:r>
      <w:r w:rsidRPr="00CC1BEF">
        <w:rPr>
          <w:noProof/>
        </w:rPr>
        <w:t>2</w:t>
      </w:r>
      <w:r w:rsidRPr="005F0761">
        <w:rPr>
          <w:noProof/>
        </w:rPr>
        <w:t xml:space="preserve"> Absatz </w:t>
      </w:r>
      <w:r w:rsidRPr="00CC1BEF">
        <w:rPr>
          <w:noProof/>
        </w:rPr>
        <w:t>3</w:t>
      </w:r>
      <w:r w:rsidRPr="005F0761">
        <w:rPr>
          <w:noProof/>
        </w:rPr>
        <w:t xml:space="preserve"> wurde im Dezember </w:t>
      </w:r>
      <w:r w:rsidRPr="00CC1BEF">
        <w:rPr>
          <w:noProof/>
        </w:rPr>
        <w:t>2022</w:t>
      </w:r>
      <w:r w:rsidRPr="005F0761">
        <w:rPr>
          <w:rStyle w:val="FootnoteReference"/>
          <w:noProof/>
          <w:szCs w:val="24"/>
        </w:rPr>
        <w:footnoteReference w:id="13"/>
      </w:r>
      <w:r w:rsidRPr="005F0761">
        <w:rPr>
          <w:noProof/>
        </w:rPr>
        <w:t xml:space="preserve"> als Teil eines außerordentlichen Unterstützungspakets für die Ukraine geändert, um die Inanspruchnahme von Garantien für finanziellen Beistand für die Ukraine für die Jahre </w:t>
      </w:r>
      <w:r w:rsidRPr="00CC1BEF">
        <w:rPr>
          <w:noProof/>
        </w:rPr>
        <w:t>2023</w:t>
      </w:r>
      <w:r w:rsidRPr="005F0761">
        <w:rPr>
          <w:noProof/>
        </w:rPr>
        <w:t xml:space="preserve"> und </w:t>
      </w:r>
      <w:r w:rsidRPr="00CC1BEF">
        <w:rPr>
          <w:noProof/>
        </w:rPr>
        <w:t>2024</w:t>
      </w:r>
      <w:r w:rsidRPr="005F0761">
        <w:rPr>
          <w:noProof/>
        </w:rPr>
        <w:t xml:space="preserve"> über die Obergrenzen des MFR hinaus zu ermöglichen. Dieser Absatz wird weiter geändert, um die Abdeckung mit Haushaltsmitteln aus dem Handlungsspielraum auf die Garantie für finanziellen Beistand für die Ukraine in Form von Darlehen auszuweiten, die bis </w:t>
      </w:r>
      <w:r w:rsidRPr="00CC1BEF">
        <w:rPr>
          <w:noProof/>
        </w:rPr>
        <w:t>2027</w:t>
      </w:r>
      <w:r w:rsidRPr="005F0761">
        <w:rPr>
          <w:noProof/>
        </w:rPr>
        <w:t xml:space="preserve"> im Rahmen der vorgeschlagenen Fazilität für die Ukraine zur Verfügung stehen. Muss die Union Rückzahlungsverpflichtungen aus Haushaltsmitteln nachkommen, weil die Ukraine die fällige Zahlung nicht fristgerecht leistet, werden die erforderlichen Beträge über die Obergrenzen des Mehrjährigen Finanzrahmens hinaus bis zur Eigenmittelobergrenze in Anspruch genommen.</w:t>
      </w:r>
    </w:p>
    <w:p w14:paraId="52FBF162" w14:textId="4581C623" w:rsidR="00413864" w:rsidRPr="005F0761" w:rsidRDefault="00413864" w:rsidP="00413864">
      <w:pPr>
        <w:pStyle w:val="Header"/>
        <w:rPr>
          <w:b/>
          <w:noProof/>
        </w:rPr>
      </w:pPr>
      <w:r w:rsidRPr="005F0761">
        <w:rPr>
          <w:b/>
          <w:noProof/>
        </w:rPr>
        <w:t>Kapitel </w:t>
      </w:r>
      <w:r w:rsidRPr="00CC1BEF">
        <w:rPr>
          <w:b/>
          <w:noProof/>
        </w:rPr>
        <w:t>3</w:t>
      </w:r>
      <w:r w:rsidRPr="005F0761">
        <w:rPr>
          <w:b/>
          <w:noProof/>
        </w:rPr>
        <w:t xml:space="preserve"> – Besondere Instrumente</w:t>
      </w:r>
    </w:p>
    <w:p w14:paraId="1E9B0FFF" w14:textId="756FF6ED" w:rsidR="0015379F" w:rsidRPr="005F0761" w:rsidRDefault="0015379F" w:rsidP="0015379F">
      <w:pPr>
        <w:pStyle w:val="Header"/>
        <w:rPr>
          <w:b/>
          <w:noProof/>
        </w:rPr>
      </w:pPr>
      <w:r w:rsidRPr="005F0761">
        <w:rPr>
          <w:b/>
          <w:noProof/>
        </w:rPr>
        <w:t>Abschnitt </w:t>
      </w:r>
      <w:r w:rsidRPr="00CC1BEF">
        <w:rPr>
          <w:b/>
          <w:noProof/>
        </w:rPr>
        <w:t>1</w:t>
      </w:r>
      <w:r w:rsidRPr="005F0761">
        <w:rPr>
          <w:b/>
          <w:noProof/>
        </w:rPr>
        <w:t xml:space="preserve"> – Thematische besondere Instrumente</w:t>
      </w:r>
    </w:p>
    <w:p w14:paraId="0C626888" w14:textId="39E66ECE" w:rsidR="00413864" w:rsidRPr="005F0761" w:rsidRDefault="00413864" w:rsidP="00413864">
      <w:pPr>
        <w:pStyle w:val="Header"/>
        <w:rPr>
          <w:i/>
          <w:noProof/>
        </w:rPr>
      </w:pPr>
      <w:r w:rsidRPr="005F0761">
        <w:rPr>
          <w:i/>
          <w:noProof/>
        </w:rPr>
        <w:t>Artikel </w:t>
      </w:r>
      <w:r w:rsidRPr="00CC1BEF">
        <w:rPr>
          <w:i/>
          <w:noProof/>
        </w:rPr>
        <w:t>9</w:t>
      </w:r>
      <w:r w:rsidRPr="005F0761">
        <w:rPr>
          <w:i/>
          <w:noProof/>
        </w:rPr>
        <w:t xml:space="preserve"> – Solidaritäts- und Soforthilfereserve</w:t>
      </w:r>
    </w:p>
    <w:p w14:paraId="695CFE11" w14:textId="0606EF4B" w:rsidR="00E71D39" w:rsidRPr="005F0761" w:rsidRDefault="009946C8" w:rsidP="004E2C71">
      <w:pPr>
        <w:rPr>
          <w:noProof/>
        </w:rPr>
      </w:pPr>
      <w:r w:rsidRPr="005F0761">
        <w:rPr>
          <w:noProof/>
        </w:rPr>
        <w:t>Absatz </w:t>
      </w:r>
      <w:r w:rsidRPr="00CC1BEF">
        <w:rPr>
          <w:noProof/>
        </w:rPr>
        <w:t>2</w:t>
      </w:r>
      <w:r w:rsidRPr="005F0761">
        <w:rPr>
          <w:noProof/>
        </w:rPr>
        <w:t xml:space="preserve"> wird geändert, um den höheren neuen jährlichen Höchstbetrag der Solidaritäts- und Soforthilfereserve festzulegen, der sich auf </w:t>
      </w:r>
      <w:r w:rsidRPr="00CC1BEF">
        <w:rPr>
          <w:noProof/>
        </w:rPr>
        <w:t>1739</w:t>
      </w:r>
      <w:r w:rsidRPr="005F0761">
        <w:rPr>
          <w:noProof/>
        </w:rPr>
        <w:t xml:space="preserve"> Mio. EUR (zu Preisen von </w:t>
      </w:r>
      <w:r w:rsidRPr="00CC1BEF">
        <w:rPr>
          <w:noProof/>
        </w:rPr>
        <w:t>2018</w:t>
      </w:r>
      <w:r w:rsidRPr="005F0761">
        <w:rPr>
          <w:noProof/>
        </w:rPr>
        <w:t>) beläuft.</w:t>
      </w:r>
    </w:p>
    <w:p w14:paraId="55DDAB4B" w14:textId="5316D734" w:rsidR="00413864" w:rsidRPr="005F0761" w:rsidRDefault="00413864" w:rsidP="00413864">
      <w:pPr>
        <w:pStyle w:val="Header"/>
        <w:rPr>
          <w:i/>
          <w:noProof/>
        </w:rPr>
      </w:pPr>
      <w:r w:rsidRPr="005F0761">
        <w:rPr>
          <w:i/>
          <w:noProof/>
        </w:rPr>
        <w:t>Artikel </w:t>
      </w:r>
      <w:r w:rsidRPr="00CC1BEF">
        <w:rPr>
          <w:i/>
          <w:noProof/>
        </w:rPr>
        <w:t>10</w:t>
      </w:r>
      <w:r w:rsidRPr="005F0761">
        <w:rPr>
          <w:i/>
          <w:noProof/>
        </w:rPr>
        <w:t>a – Instrument für das Aufbauinstrument der Europäischen Union (EURI-Instrument)</w:t>
      </w:r>
    </w:p>
    <w:p w14:paraId="3E59615E" w14:textId="2E4AC041" w:rsidR="00533BAA" w:rsidRPr="005F0761" w:rsidRDefault="00413864" w:rsidP="005C0945">
      <w:pPr>
        <w:rPr>
          <w:noProof/>
        </w:rPr>
      </w:pPr>
      <w:r w:rsidRPr="005F0761">
        <w:rPr>
          <w:noProof/>
        </w:rPr>
        <w:t>Dieser neue Artikel wird eingefügt, um das „EURI-Instrument“, ein neues thematisches besonderes Instrument, vorzusehen.</w:t>
      </w:r>
    </w:p>
    <w:p w14:paraId="4DB72E80" w14:textId="04BE59B4" w:rsidR="00CF77B8" w:rsidRPr="005F0761" w:rsidRDefault="001E54D4" w:rsidP="005C0945">
      <w:pPr>
        <w:rPr>
          <w:noProof/>
        </w:rPr>
      </w:pPr>
      <w:r w:rsidRPr="005F0761">
        <w:rPr>
          <w:noProof/>
        </w:rPr>
        <w:t>Die konkreten Ausgaben, für die das EURI-Instrument verwendet werden kann, sind die Zins- und Kuponzahlungen, die gemäß Artikel </w:t>
      </w:r>
      <w:r w:rsidRPr="00CC1BEF">
        <w:rPr>
          <w:noProof/>
        </w:rPr>
        <w:t>5</w:t>
      </w:r>
      <w:r w:rsidRPr="005F0761">
        <w:rPr>
          <w:noProof/>
        </w:rPr>
        <w:t xml:space="preserve"> Absatz </w:t>
      </w:r>
      <w:r w:rsidRPr="00CC1BEF">
        <w:rPr>
          <w:noProof/>
        </w:rPr>
        <w:t>2</w:t>
      </w:r>
      <w:r w:rsidRPr="005F0761">
        <w:rPr>
          <w:noProof/>
        </w:rPr>
        <w:t xml:space="preserve"> des Eigenmittelbeschlusses (EU, Euratom) </w:t>
      </w:r>
      <w:r w:rsidRPr="00CC1BEF">
        <w:rPr>
          <w:noProof/>
        </w:rPr>
        <w:t>2020</w:t>
      </w:r>
      <w:r w:rsidRPr="005F0761">
        <w:rPr>
          <w:noProof/>
        </w:rPr>
        <w:t>/</w:t>
      </w:r>
      <w:r w:rsidRPr="00CC1BEF">
        <w:rPr>
          <w:noProof/>
        </w:rPr>
        <w:t>2053</w:t>
      </w:r>
      <w:r w:rsidRPr="005F0761">
        <w:rPr>
          <w:rStyle w:val="FootnoteReference"/>
          <w:noProof/>
        </w:rPr>
        <w:footnoteReference w:id="14"/>
      </w:r>
      <w:r w:rsidRPr="005F0761">
        <w:rPr>
          <w:noProof/>
        </w:rPr>
        <w:t xml:space="preserve"> im Zusammenhang mit den an den Kapitalmärkten aufgenommenen Mitteln fällig sind, und entsprechen den Finanzierungskosten für Mittel, die im Rahmen von NextGenerationEU für nicht rückzahlbare und rückzahlbare Unterstützung im Wege von Finanzierungsinstrumenten aufgenommen wurden.</w:t>
      </w:r>
    </w:p>
    <w:p w14:paraId="5A78547A" w14:textId="05A443AD" w:rsidR="008064B6" w:rsidRPr="005F0761" w:rsidRDefault="00685099" w:rsidP="005C0945">
      <w:pPr>
        <w:rPr>
          <w:noProof/>
        </w:rPr>
      </w:pPr>
      <w:r w:rsidRPr="005F0761">
        <w:rPr>
          <w:noProof/>
        </w:rPr>
        <w:t xml:space="preserve">Das EURI-Instrument sollte in Anspruch genommen werden, wenn die Kosten im Zusammenhang mit den im Rahmen von NextGenerationEU aufgenommenen Mitteln in einem bestimmten Jahr die im Dezember </w:t>
      </w:r>
      <w:r w:rsidRPr="00CC1BEF">
        <w:rPr>
          <w:noProof/>
        </w:rPr>
        <w:t>2020</w:t>
      </w:r>
      <w:r w:rsidRPr="005F0761">
        <w:rPr>
          <w:noProof/>
        </w:rPr>
        <w:t xml:space="preserve"> vorgesehenen Beträge übersteigen.</w:t>
      </w:r>
    </w:p>
    <w:p w14:paraId="79070395" w14:textId="64429D78" w:rsidR="00685099" w:rsidRPr="005F0761" w:rsidRDefault="00685099" w:rsidP="005C0945">
      <w:pPr>
        <w:rPr>
          <w:noProof/>
        </w:rPr>
      </w:pPr>
      <w:r w:rsidRPr="005F0761">
        <w:rPr>
          <w:noProof/>
        </w:rPr>
        <w:t xml:space="preserve">Im Interesse der Rechtssicherheit sollten die konkreten Beträge, die als Schwellenwerte für die Inanspruchnahme des EURI-Instruments für die Jahre </w:t>
      </w:r>
      <w:r w:rsidRPr="00CC1BEF">
        <w:rPr>
          <w:noProof/>
        </w:rPr>
        <w:t>2024</w:t>
      </w:r>
      <w:r w:rsidRPr="005F0761">
        <w:rPr>
          <w:noProof/>
        </w:rPr>
        <w:t xml:space="preserve">, </w:t>
      </w:r>
      <w:r w:rsidRPr="00CC1BEF">
        <w:rPr>
          <w:noProof/>
        </w:rPr>
        <w:t>2025</w:t>
      </w:r>
      <w:r w:rsidRPr="005F0761">
        <w:rPr>
          <w:noProof/>
        </w:rPr>
        <w:t xml:space="preserve">, </w:t>
      </w:r>
      <w:r w:rsidRPr="00CC1BEF">
        <w:rPr>
          <w:noProof/>
        </w:rPr>
        <w:t>2026</w:t>
      </w:r>
      <w:r w:rsidRPr="005F0761">
        <w:rPr>
          <w:noProof/>
        </w:rPr>
        <w:t xml:space="preserve"> und </w:t>
      </w:r>
      <w:r w:rsidRPr="00CC1BEF">
        <w:rPr>
          <w:noProof/>
        </w:rPr>
        <w:t>2027</w:t>
      </w:r>
      <w:r w:rsidRPr="005F0761">
        <w:rPr>
          <w:noProof/>
        </w:rPr>
        <w:t xml:space="preserve"> festgesetzt werden, in der Verordnung (EU, Euratom) </w:t>
      </w:r>
      <w:r w:rsidRPr="00CC1BEF">
        <w:rPr>
          <w:noProof/>
        </w:rPr>
        <w:t>2020</w:t>
      </w:r>
      <w:r w:rsidRPr="005F0761">
        <w:rPr>
          <w:noProof/>
        </w:rPr>
        <w:t>/</w:t>
      </w:r>
      <w:r w:rsidRPr="00CC1BEF">
        <w:rPr>
          <w:noProof/>
        </w:rPr>
        <w:t>2093</w:t>
      </w:r>
      <w:r w:rsidRPr="005F0761">
        <w:rPr>
          <w:noProof/>
        </w:rPr>
        <w:t xml:space="preserve"> ausdrücklich als absolute Beträge festgelegt werden.</w:t>
      </w:r>
    </w:p>
    <w:tbl>
      <w:tblPr>
        <w:tblStyle w:val="TableGrid"/>
        <w:tblW w:w="0" w:type="auto"/>
        <w:tblLook w:val="04A0" w:firstRow="1" w:lastRow="0" w:firstColumn="1" w:lastColumn="0" w:noHBand="0" w:noVBand="1"/>
      </w:tblPr>
      <w:tblGrid>
        <w:gridCol w:w="4174"/>
        <w:gridCol w:w="1278"/>
        <w:gridCol w:w="1279"/>
        <w:gridCol w:w="1279"/>
        <w:gridCol w:w="1279"/>
      </w:tblGrid>
      <w:tr w:rsidR="00323416" w:rsidRPr="005F0761" w14:paraId="4FA1C45B" w14:textId="77777777" w:rsidTr="00323416">
        <w:tc>
          <w:tcPr>
            <w:tcW w:w="4174" w:type="dxa"/>
          </w:tcPr>
          <w:p w14:paraId="4733C423" w14:textId="77777777" w:rsidR="00323416" w:rsidRPr="005F0761" w:rsidRDefault="00323416" w:rsidP="00E12030">
            <w:pPr>
              <w:rPr>
                <w:noProof/>
              </w:rPr>
            </w:pPr>
          </w:p>
        </w:tc>
        <w:tc>
          <w:tcPr>
            <w:tcW w:w="1278" w:type="dxa"/>
          </w:tcPr>
          <w:p w14:paraId="27F86090" w14:textId="24C6D02B" w:rsidR="00323416" w:rsidRPr="005F0761" w:rsidRDefault="00323416" w:rsidP="00E12030">
            <w:pPr>
              <w:rPr>
                <w:noProof/>
              </w:rPr>
            </w:pPr>
            <w:r w:rsidRPr="00CC1BEF">
              <w:rPr>
                <w:noProof/>
              </w:rPr>
              <w:t>2024</w:t>
            </w:r>
            <w:r w:rsidRPr="005F0761">
              <w:rPr>
                <w:rStyle w:val="FootnoteReference"/>
                <w:noProof/>
              </w:rPr>
              <w:footnoteReference w:id="15"/>
            </w:r>
          </w:p>
        </w:tc>
        <w:tc>
          <w:tcPr>
            <w:tcW w:w="1279" w:type="dxa"/>
          </w:tcPr>
          <w:p w14:paraId="7E9D32B9" w14:textId="334C2E75" w:rsidR="00323416" w:rsidRPr="005F0761" w:rsidRDefault="00323416" w:rsidP="00E12030">
            <w:pPr>
              <w:rPr>
                <w:noProof/>
              </w:rPr>
            </w:pPr>
            <w:r w:rsidRPr="00CC1BEF">
              <w:rPr>
                <w:noProof/>
              </w:rPr>
              <w:t>2025</w:t>
            </w:r>
            <w:r w:rsidRPr="005F0761">
              <w:rPr>
                <w:rStyle w:val="FootnoteReference"/>
                <w:noProof/>
              </w:rPr>
              <w:footnoteReference w:id="16"/>
            </w:r>
          </w:p>
        </w:tc>
        <w:tc>
          <w:tcPr>
            <w:tcW w:w="1279" w:type="dxa"/>
          </w:tcPr>
          <w:p w14:paraId="6FAFEF2C" w14:textId="1BE3E570" w:rsidR="00323416" w:rsidRPr="005F0761" w:rsidRDefault="00323416" w:rsidP="00E12030">
            <w:pPr>
              <w:rPr>
                <w:noProof/>
              </w:rPr>
            </w:pPr>
            <w:r w:rsidRPr="00CC1BEF">
              <w:rPr>
                <w:noProof/>
              </w:rPr>
              <w:t>2026</w:t>
            </w:r>
            <w:r w:rsidRPr="005F0761">
              <w:rPr>
                <w:rStyle w:val="FootnoteReference"/>
                <w:noProof/>
              </w:rPr>
              <w:footnoteReference w:id="17"/>
            </w:r>
          </w:p>
        </w:tc>
        <w:tc>
          <w:tcPr>
            <w:tcW w:w="1279" w:type="dxa"/>
          </w:tcPr>
          <w:p w14:paraId="4B775083" w14:textId="31D3240F" w:rsidR="00323416" w:rsidRPr="005F0761" w:rsidRDefault="00323416" w:rsidP="00E12030">
            <w:pPr>
              <w:rPr>
                <w:noProof/>
              </w:rPr>
            </w:pPr>
            <w:r w:rsidRPr="00CC1BEF">
              <w:rPr>
                <w:noProof/>
              </w:rPr>
              <w:t>2027</w:t>
            </w:r>
            <w:r w:rsidRPr="005F0761">
              <w:rPr>
                <w:rStyle w:val="FootnoteReference"/>
                <w:noProof/>
              </w:rPr>
              <w:footnoteReference w:id="18"/>
            </w:r>
          </w:p>
        </w:tc>
      </w:tr>
      <w:tr w:rsidR="009B6EFB" w:rsidRPr="005F0761" w14:paraId="58D6B7AA" w14:textId="77777777">
        <w:tc>
          <w:tcPr>
            <w:tcW w:w="4174" w:type="dxa"/>
          </w:tcPr>
          <w:p w14:paraId="0BF6B53F" w14:textId="3C78ED1D" w:rsidR="009B6EFB" w:rsidRPr="005F0761" w:rsidRDefault="009B6EFB" w:rsidP="009B6EFB">
            <w:pPr>
              <w:rPr>
                <w:noProof/>
              </w:rPr>
            </w:pPr>
            <w:r w:rsidRPr="005F0761">
              <w:rPr>
                <w:noProof/>
              </w:rPr>
              <w:t>Jährlicher Schwellenwert zu jeweiligen Preisen (in Mio. EUR)</w:t>
            </w:r>
          </w:p>
        </w:tc>
        <w:tc>
          <w:tcPr>
            <w:tcW w:w="1278" w:type="dxa"/>
            <w:vAlign w:val="center"/>
          </w:tcPr>
          <w:p w14:paraId="1293F1BB" w14:textId="7272ED39" w:rsidR="009B6EFB" w:rsidRPr="005F0761" w:rsidRDefault="009B6EFB" w:rsidP="009B6EFB">
            <w:pPr>
              <w:rPr>
                <w:noProof/>
              </w:rPr>
            </w:pPr>
            <w:r w:rsidRPr="00CC1BEF">
              <w:rPr>
                <w:noProof/>
              </w:rPr>
              <w:t>2</w:t>
            </w:r>
            <w:r w:rsidRPr="005F0761">
              <w:rPr>
                <w:noProof/>
              </w:rPr>
              <w:t> </w:t>
            </w:r>
            <w:r w:rsidRPr="00CC1BEF">
              <w:rPr>
                <w:noProof/>
              </w:rPr>
              <w:t>071</w:t>
            </w:r>
            <w:r w:rsidRPr="005F0761">
              <w:rPr>
                <w:noProof/>
              </w:rPr>
              <w:t>,</w:t>
            </w:r>
            <w:r w:rsidRPr="00CC1BEF">
              <w:rPr>
                <w:noProof/>
              </w:rPr>
              <w:t>4</w:t>
            </w:r>
          </w:p>
        </w:tc>
        <w:tc>
          <w:tcPr>
            <w:tcW w:w="1279" w:type="dxa"/>
            <w:vAlign w:val="center"/>
          </w:tcPr>
          <w:p w14:paraId="50AD3D1E" w14:textId="2DC8EE0D" w:rsidR="009B6EFB" w:rsidRPr="005F0761" w:rsidRDefault="009B6EFB" w:rsidP="009B6EFB">
            <w:pPr>
              <w:rPr>
                <w:noProof/>
              </w:rPr>
            </w:pPr>
            <w:r w:rsidRPr="00CC1BEF">
              <w:rPr>
                <w:noProof/>
              </w:rPr>
              <w:t>2</w:t>
            </w:r>
            <w:r w:rsidRPr="005F0761">
              <w:rPr>
                <w:noProof/>
              </w:rPr>
              <w:t> </w:t>
            </w:r>
            <w:r w:rsidRPr="00CC1BEF">
              <w:rPr>
                <w:noProof/>
              </w:rPr>
              <w:t>677</w:t>
            </w:r>
            <w:r w:rsidRPr="005F0761">
              <w:rPr>
                <w:noProof/>
              </w:rPr>
              <w:t>,</w:t>
            </w:r>
            <w:r w:rsidRPr="00CC1BEF">
              <w:rPr>
                <w:noProof/>
              </w:rPr>
              <w:t>8</w:t>
            </w:r>
          </w:p>
        </w:tc>
        <w:tc>
          <w:tcPr>
            <w:tcW w:w="1279" w:type="dxa"/>
            <w:vAlign w:val="center"/>
          </w:tcPr>
          <w:p w14:paraId="210E8BDB" w14:textId="44A1B157" w:rsidR="009B6EFB" w:rsidRPr="005F0761" w:rsidRDefault="009B6EFB" w:rsidP="009B6EFB">
            <w:pPr>
              <w:rPr>
                <w:noProof/>
              </w:rPr>
            </w:pPr>
            <w:r w:rsidRPr="00CC1BEF">
              <w:rPr>
                <w:noProof/>
              </w:rPr>
              <w:t>3</w:t>
            </w:r>
            <w:r w:rsidRPr="005F0761">
              <w:rPr>
                <w:noProof/>
              </w:rPr>
              <w:t> </w:t>
            </w:r>
            <w:r w:rsidRPr="00CC1BEF">
              <w:rPr>
                <w:noProof/>
              </w:rPr>
              <w:t>744</w:t>
            </w:r>
            <w:r w:rsidRPr="005F0761">
              <w:rPr>
                <w:noProof/>
              </w:rPr>
              <w:t>,</w:t>
            </w:r>
            <w:r w:rsidRPr="00CC1BEF">
              <w:rPr>
                <w:noProof/>
              </w:rPr>
              <w:t>6</w:t>
            </w:r>
          </w:p>
        </w:tc>
        <w:tc>
          <w:tcPr>
            <w:tcW w:w="1279" w:type="dxa"/>
            <w:vAlign w:val="center"/>
          </w:tcPr>
          <w:p w14:paraId="46180FDF" w14:textId="276762E9" w:rsidR="009B6EFB" w:rsidRPr="005F0761" w:rsidRDefault="009B6EFB" w:rsidP="009B6EFB">
            <w:pPr>
              <w:rPr>
                <w:noProof/>
              </w:rPr>
            </w:pPr>
            <w:r w:rsidRPr="00CC1BEF">
              <w:rPr>
                <w:noProof/>
              </w:rPr>
              <w:t>4</w:t>
            </w:r>
            <w:r w:rsidRPr="005F0761">
              <w:rPr>
                <w:noProof/>
              </w:rPr>
              <w:t> </w:t>
            </w:r>
            <w:r w:rsidRPr="00CC1BEF">
              <w:rPr>
                <w:noProof/>
              </w:rPr>
              <w:t>980</w:t>
            </w:r>
            <w:r w:rsidRPr="005F0761">
              <w:rPr>
                <w:noProof/>
              </w:rPr>
              <w:t>,</w:t>
            </w:r>
            <w:r w:rsidRPr="00CC1BEF">
              <w:rPr>
                <w:noProof/>
              </w:rPr>
              <w:t>3</w:t>
            </w:r>
          </w:p>
        </w:tc>
      </w:tr>
      <w:tr w:rsidR="0043328A" w:rsidRPr="005F0761" w14:paraId="0008D830" w14:textId="77777777">
        <w:tc>
          <w:tcPr>
            <w:tcW w:w="4174" w:type="dxa"/>
          </w:tcPr>
          <w:p w14:paraId="6162525C" w14:textId="13FE719C" w:rsidR="00BB5570" w:rsidRPr="005F0761" w:rsidRDefault="0043328A" w:rsidP="0043328A">
            <w:pPr>
              <w:rPr>
                <w:noProof/>
              </w:rPr>
            </w:pPr>
            <w:r w:rsidRPr="005F0761">
              <w:rPr>
                <w:noProof/>
              </w:rPr>
              <w:t xml:space="preserve">Jährlicher Schwellenwert zu Preisen von </w:t>
            </w:r>
            <w:r w:rsidRPr="00CC1BEF">
              <w:rPr>
                <w:noProof/>
              </w:rPr>
              <w:t>2018</w:t>
            </w:r>
            <w:r w:rsidRPr="005F0761">
              <w:rPr>
                <w:noProof/>
              </w:rPr>
              <w:t xml:space="preserve"> (in Mio. EUR)</w:t>
            </w:r>
          </w:p>
          <w:p w14:paraId="4050D7D0" w14:textId="52F23092" w:rsidR="0043328A" w:rsidRPr="005F0761" w:rsidRDefault="00BB5570" w:rsidP="0043328A">
            <w:pPr>
              <w:rPr>
                <w:i/>
                <w:iCs/>
                <w:noProof/>
              </w:rPr>
            </w:pPr>
            <w:r w:rsidRPr="005F0761">
              <w:rPr>
                <w:i/>
                <w:noProof/>
              </w:rPr>
              <w:t xml:space="preserve">Auf der Grundlage des festen jährlichen Deflators von </w:t>
            </w:r>
            <w:r w:rsidRPr="00CC1BEF">
              <w:rPr>
                <w:i/>
                <w:noProof/>
              </w:rPr>
              <w:t>2</w:t>
            </w:r>
            <w:r w:rsidRPr="005F0761">
              <w:rPr>
                <w:i/>
                <w:noProof/>
              </w:rPr>
              <w:t> % gemäß Artikel </w:t>
            </w:r>
            <w:r w:rsidRPr="00CC1BEF">
              <w:rPr>
                <w:i/>
                <w:noProof/>
              </w:rPr>
              <w:t>4</w:t>
            </w:r>
            <w:r w:rsidRPr="005F0761">
              <w:rPr>
                <w:i/>
                <w:noProof/>
              </w:rPr>
              <w:t xml:space="preserve"> Absatz </w:t>
            </w:r>
            <w:r w:rsidRPr="00CC1BEF">
              <w:rPr>
                <w:i/>
                <w:noProof/>
              </w:rPr>
              <w:t>2</w:t>
            </w:r>
            <w:r w:rsidRPr="005F0761">
              <w:rPr>
                <w:i/>
                <w:noProof/>
              </w:rPr>
              <w:t xml:space="preserve"> der MFR-Verordnung umgerechnet.</w:t>
            </w:r>
          </w:p>
        </w:tc>
        <w:tc>
          <w:tcPr>
            <w:tcW w:w="1278" w:type="dxa"/>
            <w:vAlign w:val="center"/>
          </w:tcPr>
          <w:p w14:paraId="78742558" w14:textId="65AF32AC" w:rsidR="0043328A" w:rsidRPr="005F0761" w:rsidRDefault="0043328A" w:rsidP="0043328A">
            <w:pPr>
              <w:rPr>
                <w:noProof/>
                <w:szCs w:val="24"/>
              </w:rPr>
            </w:pPr>
            <w:r w:rsidRPr="00CC1BEF">
              <w:rPr>
                <w:noProof/>
                <w:color w:val="000000" w:themeColor="text1"/>
              </w:rPr>
              <w:t>1</w:t>
            </w:r>
            <w:r w:rsidRPr="005F0761">
              <w:rPr>
                <w:noProof/>
                <w:color w:val="000000" w:themeColor="text1"/>
              </w:rPr>
              <w:t> </w:t>
            </w:r>
            <w:r w:rsidRPr="00CC1BEF">
              <w:rPr>
                <w:noProof/>
                <w:color w:val="000000" w:themeColor="text1"/>
              </w:rPr>
              <w:t>840</w:t>
            </w:r>
            <w:r w:rsidRPr="005F0761">
              <w:rPr>
                <w:noProof/>
                <w:color w:val="000000" w:themeColor="text1"/>
              </w:rPr>
              <w:t>,</w:t>
            </w:r>
            <w:r w:rsidRPr="00CC1BEF">
              <w:rPr>
                <w:noProof/>
                <w:color w:val="000000" w:themeColor="text1"/>
              </w:rPr>
              <w:t>0</w:t>
            </w:r>
          </w:p>
        </w:tc>
        <w:tc>
          <w:tcPr>
            <w:tcW w:w="1279" w:type="dxa"/>
            <w:vAlign w:val="center"/>
          </w:tcPr>
          <w:p w14:paraId="1AC9988F" w14:textId="24C27475" w:rsidR="0043328A" w:rsidRPr="005F0761" w:rsidRDefault="0043328A" w:rsidP="0043328A">
            <w:pPr>
              <w:rPr>
                <w:noProof/>
                <w:szCs w:val="24"/>
              </w:rPr>
            </w:pPr>
            <w:r w:rsidRPr="00CC1BEF">
              <w:rPr>
                <w:noProof/>
                <w:color w:val="000000" w:themeColor="text1"/>
              </w:rPr>
              <w:t>2</w:t>
            </w:r>
            <w:r w:rsidRPr="005F0761">
              <w:rPr>
                <w:noProof/>
                <w:color w:val="000000" w:themeColor="text1"/>
              </w:rPr>
              <w:t> </w:t>
            </w:r>
            <w:r w:rsidRPr="00CC1BEF">
              <w:rPr>
                <w:noProof/>
                <w:color w:val="000000" w:themeColor="text1"/>
              </w:rPr>
              <w:t>332</w:t>
            </w:r>
            <w:r w:rsidRPr="005F0761">
              <w:rPr>
                <w:noProof/>
                <w:color w:val="000000" w:themeColor="text1"/>
              </w:rPr>
              <w:t>,</w:t>
            </w:r>
            <w:r w:rsidRPr="00CC1BEF">
              <w:rPr>
                <w:noProof/>
                <w:color w:val="000000" w:themeColor="text1"/>
              </w:rPr>
              <w:t>0</w:t>
            </w:r>
          </w:p>
        </w:tc>
        <w:tc>
          <w:tcPr>
            <w:tcW w:w="1279" w:type="dxa"/>
            <w:vAlign w:val="center"/>
          </w:tcPr>
          <w:p w14:paraId="42EE5587" w14:textId="3C9070F5" w:rsidR="0043328A" w:rsidRPr="005F0761" w:rsidRDefault="0043328A" w:rsidP="0043328A">
            <w:pPr>
              <w:rPr>
                <w:noProof/>
                <w:szCs w:val="24"/>
              </w:rPr>
            </w:pPr>
            <w:r w:rsidRPr="00CC1BEF">
              <w:rPr>
                <w:noProof/>
                <w:color w:val="000000" w:themeColor="text1"/>
              </w:rPr>
              <w:t>3</w:t>
            </w:r>
            <w:r w:rsidRPr="005F0761">
              <w:rPr>
                <w:noProof/>
                <w:color w:val="000000" w:themeColor="text1"/>
              </w:rPr>
              <w:t> </w:t>
            </w:r>
            <w:r w:rsidRPr="00CC1BEF">
              <w:rPr>
                <w:noProof/>
                <w:color w:val="000000" w:themeColor="text1"/>
              </w:rPr>
              <w:t>196</w:t>
            </w:r>
            <w:r w:rsidRPr="005F0761">
              <w:rPr>
                <w:noProof/>
                <w:color w:val="000000" w:themeColor="text1"/>
              </w:rPr>
              <w:t>,</w:t>
            </w:r>
            <w:r w:rsidRPr="00CC1BEF">
              <w:rPr>
                <w:noProof/>
                <w:color w:val="000000" w:themeColor="text1"/>
              </w:rPr>
              <w:t>0</w:t>
            </w:r>
          </w:p>
        </w:tc>
        <w:tc>
          <w:tcPr>
            <w:tcW w:w="1279" w:type="dxa"/>
            <w:vAlign w:val="center"/>
          </w:tcPr>
          <w:p w14:paraId="4C5402FE" w14:textId="12C60FBE" w:rsidR="0043328A" w:rsidRPr="005F0761" w:rsidRDefault="0043328A" w:rsidP="0043328A">
            <w:pPr>
              <w:rPr>
                <w:noProof/>
                <w:szCs w:val="24"/>
              </w:rPr>
            </w:pPr>
            <w:r w:rsidRPr="00CC1BEF">
              <w:rPr>
                <w:noProof/>
                <w:color w:val="000000"/>
              </w:rPr>
              <w:t>4</w:t>
            </w:r>
            <w:r w:rsidRPr="005F0761">
              <w:rPr>
                <w:noProof/>
                <w:color w:val="000000"/>
              </w:rPr>
              <w:t> </w:t>
            </w:r>
            <w:r w:rsidRPr="00CC1BEF">
              <w:rPr>
                <w:noProof/>
                <w:color w:val="000000"/>
              </w:rPr>
              <w:t>168</w:t>
            </w:r>
            <w:r w:rsidRPr="005F0761">
              <w:rPr>
                <w:noProof/>
                <w:color w:val="000000"/>
              </w:rPr>
              <w:t>,</w:t>
            </w:r>
            <w:r w:rsidRPr="00CC1BEF">
              <w:rPr>
                <w:noProof/>
                <w:color w:val="000000"/>
              </w:rPr>
              <w:t>0</w:t>
            </w:r>
          </w:p>
        </w:tc>
      </w:tr>
    </w:tbl>
    <w:p w14:paraId="49CD4D53" w14:textId="6A9FF296" w:rsidR="00EA336C" w:rsidRPr="005F0761" w:rsidRDefault="003B2449" w:rsidP="009B1A96">
      <w:pPr>
        <w:rPr>
          <w:noProof/>
        </w:rPr>
      </w:pPr>
      <w:r w:rsidRPr="005F0761">
        <w:rPr>
          <w:noProof/>
        </w:rPr>
        <w:t>Das EURI-Instrument wird jegliche Beträge der Finanzierungskosten für NextGenerationEU abdecken, die diese Schwellenwerte übersteigen.</w:t>
      </w:r>
    </w:p>
    <w:p w14:paraId="5754B46D" w14:textId="152A5736" w:rsidR="005C0E12" w:rsidRPr="005F0761" w:rsidRDefault="003B2449" w:rsidP="009B1A96">
      <w:pPr>
        <w:rPr>
          <w:noProof/>
        </w:rPr>
      </w:pPr>
      <w:r w:rsidRPr="005F0761">
        <w:rPr>
          <w:noProof/>
        </w:rPr>
        <w:t>Angesichts der ungewissen Entwicklung der Parameter, die für die Finanzierungskosten für NextGenerationEU maßgeblich sind (Zeitpunkt der tatsächlichen Auszahlungen nicht rückzahlbarer Unterstützung und Entwicklung der Zinssätze), kann kein fester Höchstbetrag für das EURI-Instrument festgelegt werden.</w:t>
      </w:r>
    </w:p>
    <w:p w14:paraId="11902381" w14:textId="1460699E" w:rsidR="003B2449" w:rsidRPr="005F0761" w:rsidRDefault="003B2449" w:rsidP="009B1A96">
      <w:pPr>
        <w:rPr>
          <w:noProof/>
        </w:rPr>
      </w:pPr>
      <w:r w:rsidRPr="005F0761">
        <w:rPr>
          <w:noProof/>
        </w:rPr>
        <w:t>Das EURI-Instrument wird im Rahmen des jährlichen Haushaltsverfahrens (Haushaltsplan und/oder Berichtigungshaushaltsplan) in Anspruch genommen, und sowohl die Mittel für Verpflichtungen als auch die entsprechenden Mittel für Zahlungen werden über die Obergrenzen des MFR hinaus eingestellt.</w:t>
      </w:r>
    </w:p>
    <w:p w14:paraId="2CD283AF" w14:textId="4A10BFD9" w:rsidR="00413864" w:rsidRPr="005F0761" w:rsidRDefault="00413864" w:rsidP="00413864">
      <w:pPr>
        <w:pStyle w:val="Header"/>
        <w:rPr>
          <w:i/>
          <w:noProof/>
        </w:rPr>
      </w:pPr>
      <w:r w:rsidRPr="005F0761">
        <w:rPr>
          <w:i/>
          <w:noProof/>
        </w:rPr>
        <w:t>Artikel </w:t>
      </w:r>
      <w:r w:rsidRPr="00CC1BEF">
        <w:rPr>
          <w:i/>
          <w:noProof/>
        </w:rPr>
        <w:t>10</w:t>
      </w:r>
      <w:r w:rsidRPr="005F0761">
        <w:rPr>
          <w:i/>
          <w:noProof/>
        </w:rPr>
        <w:t>b – Ukrainereserve</w:t>
      </w:r>
    </w:p>
    <w:p w14:paraId="43CA1FB4" w14:textId="57C0999D" w:rsidR="00CC56EC" w:rsidRPr="005F0761" w:rsidRDefault="00B02C84" w:rsidP="00002B6F">
      <w:pPr>
        <w:rPr>
          <w:noProof/>
        </w:rPr>
      </w:pPr>
      <w:r w:rsidRPr="005F0761">
        <w:rPr>
          <w:noProof/>
        </w:rPr>
        <w:t>Dieser neue Artikel wird eingefügt, um ein neues thematisches besonderes Instrument vorzusehen: die „Ukrainereserve“.</w:t>
      </w:r>
    </w:p>
    <w:p w14:paraId="3C233705" w14:textId="289B32A8" w:rsidR="00002B6F" w:rsidRPr="005F0761" w:rsidRDefault="00002B6F" w:rsidP="00002B6F">
      <w:pPr>
        <w:rPr>
          <w:noProof/>
        </w:rPr>
      </w:pPr>
      <w:r w:rsidRPr="005F0761">
        <w:rPr>
          <w:noProof/>
        </w:rPr>
        <w:t>Die Ukrainereserve ermöglicht Ausgaben für nicht rückzahlbare Unterstützung und die Dotierung von Haushaltsgarantien für die Ukraine im Rahmen der vorgeschlagenen „Fazilität für die Ukraine“ und bietet die Flexibilität, die zur Anpassung an den sich verändernden Bedarf der Ukraine erforderlich ist.</w:t>
      </w:r>
    </w:p>
    <w:p w14:paraId="74E177C2" w14:textId="2C89856E" w:rsidR="00002B6F" w:rsidRPr="005F0761" w:rsidRDefault="00002B6F" w:rsidP="00002B6F">
      <w:pPr>
        <w:rPr>
          <w:noProof/>
        </w:rPr>
      </w:pPr>
      <w:r w:rsidRPr="005F0761">
        <w:rPr>
          <w:noProof/>
        </w:rPr>
        <w:t>Die Ukrainereserve sollte jährlich im Rahmen des jährlichen Haushaltsverfahrens (Haushaltsplan und/oder Berichtigungshaushaltsplan) in Anspruch genommen werden, wobei die besten Bedarfsschätzungen angesichts der Entwicklung des Kriegs, der makrofinanziellen Leistung der Ukraine, der Absorptionskapazität und der Schuldentragfähigkeit berücksichtigt werden sollten. Sowohl die Mittel für Verpflichtungen als auch die entsprechenden Mittel für Zahlungen werden über die Obergrenzen des MFR hinaus eingestellt.</w:t>
      </w:r>
    </w:p>
    <w:p w14:paraId="3B903D5C" w14:textId="4D410581" w:rsidR="00483F40" w:rsidRPr="005F0761" w:rsidRDefault="005C17A0" w:rsidP="00B02C84">
      <w:pPr>
        <w:rPr>
          <w:noProof/>
        </w:rPr>
      </w:pPr>
      <w:r w:rsidRPr="005F0761">
        <w:rPr>
          <w:noProof/>
        </w:rPr>
        <w:t xml:space="preserve">Um für ausreichende Planbarkeit für die Durchführung der Fazilität für die Ukraine für die Union und die Ukraine zu sorgen, sollten im Rahmen der Ukrainereserve ein Höchstbetrag für den Zeitraum </w:t>
      </w:r>
      <w:r w:rsidRPr="00CC1BEF">
        <w:rPr>
          <w:noProof/>
        </w:rPr>
        <w:t>2024</w:t>
      </w:r>
      <w:r w:rsidRPr="005F0761">
        <w:rPr>
          <w:noProof/>
        </w:rPr>
        <w:t xml:space="preserve"> bis </w:t>
      </w:r>
      <w:r w:rsidRPr="00CC1BEF">
        <w:rPr>
          <w:noProof/>
        </w:rPr>
        <w:t>2027</w:t>
      </w:r>
      <w:r w:rsidRPr="005F0761">
        <w:rPr>
          <w:noProof/>
        </w:rPr>
        <w:t xml:space="preserve"> sowie jährliche Mindestrichtbeträge vorgesehen sein. Zudem müssen Höchstbeträge festgelegt werden, die im Zeitraum </w:t>
      </w:r>
      <w:r w:rsidRPr="00CC1BEF">
        <w:rPr>
          <w:noProof/>
        </w:rPr>
        <w:t>2024</w:t>
      </w:r>
      <w:r w:rsidRPr="005F0761">
        <w:rPr>
          <w:noProof/>
        </w:rPr>
        <w:t xml:space="preserve"> bis </w:t>
      </w:r>
      <w:r w:rsidRPr="00CC1BEF">
        <w:rPr>
          <w:noProof/>
        </w:rPr>
        <w:t>2027</w:t>
      </w:r>
      <w:r w:rsidRPr="005F0761">
        <w:rPr>
          <w:noProof/>
        </w:rPr>
        <w:t xml:space="preserve"> jährlich für die Ukrainereserve bereitgestellt werden dürfen, damit die Eigenmittelobergrenze gemäß Artikel </w:t>
      </w:r>
      <w:r w:rsidRPr="00CC1BEF">
        <w:rPr>
          <w:noProof/>
        </w:rPr>
        <w:t>3</w:t>
      </w:r>
      <w:r w:rsidRPr="005F0761">
        <w:rPr>
          <w:noProof/>
        </w:rPr>
        <w:t xml:space="preserve"> Absatz </w:t>
      </w:r>
      <w:r w:rsidRPr="00CC1BEF">
        <w:rPr>
          <w:noProof/>
        </w:rPr>
        <w:t>1</w:t>
      </w:r>
      <w:r w:rsidRPr="005F0761">
        <w:rPr>
          <w:noProof/>
        </w:rPr>
        <w:t xml:space="preserve"> des Beschlusses (EU, Euratom) </w:t>
      </w:r>
      <w:r w:rsidRPr="00CC1BEF">
        <w:rPr>
          <w:noProof/>
        </w:rPr>
        <w:t>2020</w:t>
      </w:r>
      <w:r w:rsidRPr="005F0761">
        <w:rPr>
          <w:noProof/>
        </w:rPr>
        <w:t>/</w:t>
      </w:r>
      <w:r w:rsidRPr="00CC1BEF">
        <w:rPr>
          <w:noProof/>
        </w:rPr>
        <w:t>2053</w:t>
      </w:r>
      <w:r w:rsidRPr="005F0761">
        <w:rPr>
          <w:noProof/>
        </w:rPr>
        <w:t xml:space="preserve"> des Rates eingehalten wird.</w:t>
      </w:r>
    </w:p>
    <w:p w14:paraId="32424C6E" w14:textId="683E3E97" w:rsidR="001C3B5D" w:rsidRPr="005F0761" w:rsidRDefault="00A631F9" w:rsidP="00B02C84">
      <w:pPr>
        <w:rPr>
          <w:noProof/>
        </w:rPr>
      </w:pPr>
      <w:r w:rsidRPr="005F0761">
        <w:rPr>
          <w:noProof/>
        </w:rPr>
        <w:t xml:space="preserve">Im Interesse der Kohärenz mit der Durchführung der Fazilität für die Ukraine sollten die Beträge in jeweiligen Preisen ausgedrückt werden, obwohl der MFR für die Jahre </w:t>
      </w:r>
      <w:r w:rsidRPr="00CC1BEF">
        <w:rPr>
          <w:noProof/>
        </w:rPr>
        <w:t>2021</w:t>
      </w:r>
      <w:r w:rsidRPr="005F0761">
        <w:rPr>
          <w:noProof/>
        </w:rPr>
        <w:t xml:space="preserve"> bis </w:t>
      </w:r>
      <w:r w:rsidRPr="00CC1BEF">
        <w:rPr>
          <w:noProof/>
        </w:rPr>
        <w:t>2027</w:t>
      </w:r>
      <w:r w:rsidRPr="005F0761">
        <w:rPr>
          <w:noProof/>
        </w:rPr>
        <w:t xml:space="preserve"> zu Preisen von </w:t>
      </w:r>
      <w:r w:rsidRPr="00CC1BEF">
        <w:rPr>
          <w:noProof/>
        </w:rPr>
        <w:t>2018</w:t>
      </w:r>
      <w:r w:rsidRPr="005F0761">
        <w:rPr>
          <w:noProof/>
        </w:rPr>
        <w:t xml:space="preserve"> festgelegt ist.</w:t>
      </w:r>
    </w:p>
    <w:p w14:paraId="71AA66D9" w14:textId="3997C52D" w:rsidR="00B02C84" w:rsidRPr="005F0761" w:rsidRDefault="00B02C84" w:rsidP="00B02C84">
      <w:pPr>
        <w:pStyle w:val="Header"/>
        <w:rPr>
          <w:b/>
          <w:noProof/>
        </w:rPr>
      </w:pPr>
      <w:r w:rsidRPr="005F0761">
        <w:rPr>
          <w:b/>
          <w:noProof/>
        </w:rPr>
        <w:t>Abschnitt </w:t>
      </w:r>
      <w:r w:rsidRPr="00CC1BEF">
        <w:rPr>
          <w:b/>
          <w:noProof/>
        </w:rPr>
        <w:t>2</w:t>
      </w:r>
      <w:r w:rsidRPr="005F0761">
        <w:rPr>
          <w:b/>
          <w:noProof/>
        </w:rPr>
        <w:t xml:space="preserve"> – Nicht-thematische besondere Instrumente</w:t>
      </w:r>
    </w:p>
    <w:p w14:paraId="1C1B0D76" w14:textId="76A19D69" w:rsidR="00413864" w:rsidRPr="005F0761" w:rsidRDefault="00413864" w:rsidP="00413864">
      <w:pPr>
        <w:pStyle w:val="Header"/>
        <w:rPr>
          <w:i/>
          <w:noProof/>
        </w:rPr>
      </w:pPr>
      <w:r w:rsidRPr="005F0761">
        <w:rPr>
          <w:i/>
          <w:noProof/>
        </w:rPr>
        <w:t>Artikel </w:t>
      </w:r>
      <w:r w:rsidRPr="00CC1BEF">
        <w:rPr>
          <w:i/>
          <w:noProof/>
        </w:rPr>
        <w:t>12</w:t>
      </w:r>
      <w:r w:rsidRPr="005F0761">
        <w:rPr>
          <w:i/>
          <w:noProof/>
        </w:rPr>
        <w:t xml:space="preserve"> – Flexibilitätsinstrument</w:t>
      </w:r>
    </w:p>
    <w:p w14:paraId="1EF7C384" w14:textId="6C9CB399" w:rsidR="00B02C84" w:rsidRPr="005F0761" w:rsidRDefault="002A15BC" w:rsidP="00B02C84">
      <w:pPr>
        <w:rPr>
          <w:noProof/>
        </w:rPr>
      </w:pPr>
      <w:r w:rsidRPr="005F0761">
        <w:rPr>
          <w:noProof/>
        </w:rPr>
        <w:t>Absatz </w:t>
      </w:r>
      <w:r w:rsidRPr="00CC1BEF">
        <w:rPr>
          <w:noProof/>
        </w:rPr>
        <w:t>1</w:t>
      </w:r>
      <w:r w:rsidRPr="005F0761">
        <w:rPr>
          <w:noProof/>
        </w:rPr>
        <w:t xml:space="preserve"> wird geändert, um den höheren neuen jährlichen Höchstbetrag des Flexibilitätsinstruments festzulegen, der sich auf </w:t>
      </w:r>
      <w:r w:rsidRPr="00CC1BEF">
        <w:rPr>
          <w:noProof/>
        </w:rPr>
        <w:t>1562</w:t>
      </w:r>
      <w:r w:rsidRPr="005F0761">
        <w:rPr>
          <w:noProof/>
        </w:rPr>
        <w:t xml:space="preserve"> Mio. EUR (zu Preisen von </w:t>
      </w:r>
      <w:r w:rsidRPr="00CC1BEF">
        <w:rPr>
          <w:noProof/>
        </w:rPr>
        <w:t>2018</w:t>
      </w:r>
      <w:r w:rsidRPr="005F0761">
        <w:rPr>
          <w:noProof/>
        </w:rPr>
        <w:t>) beläuft.</w:t>
      </w:r>
    </w:p>
    <w:p w14:paraId="774FB0FF" w14:textId="6ED2AFAC" w:rsidR="000076A5" w:rsidRPr="005F0761" w:rsidRDefault="007F5056">
      <w:pPr>
        <w:pStyle w:val="ManualHeading1"/>
        <w:rPr>
          <w:noProof/>
        </w:rPr>
      </w:pPr>
      <w:r w:rsidRPr="00CC1BEF">
        <w:rPr>
          <w:noProof/>
        </w:rPr>
        <w:t>4</w:t>
      </w:r>
      <w:r w:rsidRPr="005F0761">
        <w:rPr>
          <w:noProof/>
        </w:rPr>
        <w:t>.</w:t>
      </w:r>
      <w:r w:rsidRPr="005F0761">
        <w:rPr>
          <w:noProof/>
        </w:rPr>
        <w:tab/>
        <w:t>AUSWIRKUNGEN AUF DEN HAUSHALT</w:t>
      </w:r>
    </w:p>
    <w:p w14:paraId="09A34179" w14:textId="64A6057C" w:rsidR="0053695A" w:rsidRPr="005F0761" w:rsidRDefault="007F5056" w:rsidP="0053695A">
      <w:pPr>
        <w:pStyle w:val="ManualHeading2"/>
        <w:rPr>
          <w:rFonts w:eastAsia="Arial Unicode MS"/>
          <w:noProof/>
          <w:u w:color="000000"/>
          <w:bdr w:val="nil"/>
        </w:rPr>
      </w:pPr>
      <w:r w:rsidRPr="00CC1BEF">
        <w:rPr>
          <w:noProof/>
          <w:u w:color="000000"/>
          <w:bdr w:val="nil"/>
        </w:rPr>
        <w:t>4</w:t>
      </w:r>
      <w:r w:rsidRPr="005F0761">
        <w:rPr>
          <w:noProof/>
          <w:u w:color="000000"/>
          <w:bdr w:val="nil"/>
        </w:rPr>
        <w:t>.</w:t>
      </w:r>
      <w:r w:rsidRPr="00CC1BEF">
        <w:rPr>
          <w:noProof/>
          <w:u w:color="000000"/>
          <w:bdr w:val="nil"/>
        </w:rPr>
        <w:t>1</w:t>
      </w:r>
      <w:r w:rsidRPr="005F0761">
        <w:rPr>
          <w:noProof/>
          <w:u w:color="000000"/>
          <w:bdr w:val="nil"/>
        </w:rPr>
        <w:t>.</w:t>
      </w:r>
      <w:r w:rsidRPr="005F0761">
        <w:rPr>
          <w:noProof/>
        </w:rPr>
        <w:tab/>
      </w:r>
      <w:r w:rsidRPr="005F0761">
        <w:rPr>
          <w:noProof/>
          <w:u w:color="000000"/>
          <w:bdr w:val="nil"/>
        </w:rPr>
        <w:t xml:space="preserve">Anhebung der Ausgabenobergrenzen für die Jahre </w:t>
      </w:r>
      <w:r w:rsidRPr="00CC1BEF">
        <w:rPr>
          <w:noProof/>
          <w:u w:color="000000"/>
          <w:bdr w:val="nil"/>
        </w:rPr>
        <w:t>2024</w:t>
      </w:r>
      <w:r w:rsidRPr="005F0761">
        <w:rPr>
          <w:noProof/>
          <w:u w:color="000000"/>
          <w:bdr w:val="nil"/>
        </w:rPr>
        <w:t xml:space="preserve"> bis </w:t>
      </w:r>
      <w:r w:rsidRPr="00CC1BEF">
        <w:rPr>
          <w:noProof/>
          <w:u w:color="000000"/>
          <w:bdr w:val="nil"/>
        </w:rPr>
        <w:t>2027</w:t>
      </w:r>
    </w:p>
    <w:p w14:paraId="6AC566FC" w14:textId="52A2DAA2" w:rsidR="000076A5" w:rsidRPr="005F0761" w:rsidRDefault="0053695A" w:rsidP="000D507A">
      <w:pPr>
        <w:rPr>
          <w:noProof/>
        </w:rPr>
      </w:pPr>
      <w:r w:rsidRPr="005F0761">
        <w:rPr>
          <w:noProof/>
        </w:rPr>
        <w:t>Der Vorschlag wirkt sich folgendermaßen auf die Höhe der jährlichen Obergrenzen der Mittel für Verpflichtungen der Rubriken </w:t>
      </w:r>
      <w:r w:rsidRPr="00CC1BEF">
        <w:rPr>
          <w:noProof/>
        </w:rPr>
        <w:t>1</w:t>
      </w:r>
      <w:r w:rsidRPr="005F0761">
        <w:rPr>
          <w:noProof/>
        </w:rPr>
        <w:t xml:space="preserve">, </w:t>
      </w:r>
      <w:r w:rsidRPr="00CC1BEF">
        <w:rPr>
          <w:noProof/>
        </w:rPr>
        <w:t>3</w:t>
      </w:r>
      <w:r w:rsidRPr="005F0761">
        <w:rPr>
          <w:noProof/>
        </w:rPr>
        <w:t xml:space="preserve">, </w:t>
      </w:r>
      <w:r w:rsidRPr="00CC1BEF">
        <w:rPr>
          <w:noProof/>
        </w:rPr>
        <w:t>4</w:t>
      </w:r>
      <w:r w:rsidRPr="005F0761">
        <w:rPr>
          <w:noProof/>
        </w:rPr>
        <w:t xml:space="preserve">, </w:t>
      </w:r>
      <w:r w:rsidRPr="00CC1BEF">
        <w:rPr>
          <w:noProof/>
        </w:rPr>
        <w:t>5</w:t>
      </w:r>
      <w:r w:rsidRPr="005F0761">
        <w:rPr>
          <w:noProof/>
        </w:rPr>
        <w:t xml:space="preserve">, </w:t>
      </w:r>
      <w:r w:rsidRPr="00CC1BEF">
        <w:rPr>
          <w:noProof/>
        </w:rPr>
        <w:t>6</w:t>
      </w:r>
      <w:r w:rsidRPr="005F0761">
        <w:rPr>
          <w:noProof/>
        </w:rPr>
        <w:t xml:space="preserve"> und </w:t>
      </w:r>
      <w:r w:rsidRPr="00CC1BEF">
        <w:rPr>
          <w:noProof/>
        </w:rPr>
        <w:t>7</w:t>
      </w:r>
      <w:r w:rsidRPr="005F0761">
        <w:rPr>
          <w:noProof/>
        </w:rPr>
        <w:t xml:space="preserve">, einschließlich der Teilobergrenze für die Verwaltungsausgaben der Organe, aus, die um die folgenden Beträge (zu Preisen von </w:t>
      </w:r>
      <w:r w:rsidRPr="00CC1BEF">
        <w:rPr>
          <w:noProof/>
        </w:rPr>
        <w:t>2018</w:t>
      </w:r>
      <w:r w:rsidRPr="005F0761">
        <w:rPr>
          <w:noProof/>
        </w:rPr>
        <w:t>) angehoben werden.</w:t>
      </w:r>
    </w:p>
    <w:tbl>
      <w:tblPr>
        <w:tblStyle w:val="TableGrid"/>
        <w:tblW w:w="0" w:type="auto"/>
        <w:tblLook w:val="04A0" w:firstRow="1" w:lastRow="0" w:firstColumn="1" w:lastColumn="0" w:noHBand="0" w:noVBand="1"/>
      </w:tblPr>
      <w:tblGrid>
        <w:gridCol w:w="2988"/>
        <w:gridCol w:w="1560"/>
        <w:gridCol w:w="1680"/>
        <w:gridCol w:w="1560"/>
        <w:gridCol w:w="1440"/>
      </w:tblGrid>
      <w:tr w:rsidR="002C1B09" w:rsidRPr="005F0761" w14:paraId="107A6FB6" w14:textId="77777777" w:rsidTr="00504EE8">
        <w:tc>
          <w:tcPr>
            <w:tcW w:w="9228" w:type="dxa"/>
            <w:gridSpan w:val="5"/>
          </w:tcPr>
          <w:p w14:paraId="19092FC6" w14:textId="11AA6594" w:rsidR="002C1B09" w:rsidRPr="005F0761" w:rsidRDefault="002C1B09" w:rsidP="002042AE">
            <w:pPr>
              <w:spacing w:before="20" w:after="20"/>
              <w:jc w:val="right"/>
              <w:rPr>
                <w:noProof/>
              </w:rPr>
            </w:pPr>
            <w:r w:rsidRPr="005F0761">
              <w:rPr>
                <w:i/>
                <w:noProof/>
              </w:rPr>
              <w:t>in Mio. EUR</w:t>
            </w:r>
          </w:p>
        </w:tc>
      </w:tr>
      <w:tr w:rsidR="003D5E3F" w:rsidRPr="005F0761" w14:paraId="3B2295EE" w14:textId="77777777" w:rsidTr="002C1B09">
        <w:tc>
          <w:tcPr>
            <w:tcW w:w="2988" w:type="dxa"/>
          </w:tcPr>
          <w:p w14:paraId="66ABF3C8" w14:textId="27A6F327" w:rsidR="003D5E3F" w:rsidRPr="005F0761" w:rsidRDefault="00187098" w:rsidP="002042AE">
            <w:pPr>
              <w:spacing w:before="60" w:after="60"/>
              <w:jc w:val="left"/>
              <w:rPr>
                <w:noProof/>
              </w:rPr>
            </w:pPr>
            <w:r w:rsidRPr="005F0761">
              <w:rPr>
                <w:noProof/>
              </w:rPr>
              <w:t>Anhebung der Obergrenzen der Mittel für Verpflichtungen</w:t>
            </w:r>
          </w:p>
        </w:tc>
        <w:tc>
          <w:tcPr>
            <w:tcW w:w="1560" w:type="dxa"/>
          </w:tcPr>
          <w:p w14:paraId="6DB434C4" w14:textId="629D2B01" w:rsidR="003D5E3F" w:rsidRPr="005F0761" w:rsidRDefault="003D5E3F" w:rsidP="006009DF">
            <w:pPr>
              <w:jc w:val="center"/>
              <w:rPr>
                <w:noProof/>
              </w:rPr>
            </w:pPr>
            <w:r w:rsidRPr="00CC1BEF">
              <w:rPr>
                <w:noProof/>
              </w:rPr>
              <w:t>2024</w:t>
            </w:r>
          </w:p>
        </w:tc>
        <w:tc>
          <w:tcPr>
            <w:tcW w:w="1680" w:type="dxa"/>
          </w:tcPr>
          <w:p w14:paraId="35593FBC" w14:textId="16108CB5" w:rsidR="003D5E3F" w:rsidRPr="005F0761" w:rsidRDefault="003D5E3F" w:rsidP="006009DF">
            <w:pPr>
              <w:jc w:val="center"/>
              <w:rPr>
                <w:noProof/>
              </w:rPr>
            </w:pPr>
            <w:r w:rsidRPr="00CC1BEF">
              <w:rPr>
                <w:noProof/>
              </w:rPr>
              <w:t>2025</w:t>
            </w:r>
          </w:p>
        </w:tc>
        <w:tc>
          <w:tcPr>
            <w:tcW w:w="1560" w:type="dxa"/>
          </w:tcPr>
          <w:p w14:paraId="3BEEE4F1" w14:textId="158F88AD" w:rsidR="003D5E3F" w:rsidRPr="005F0761" w:rsidRDefault="003D5E3F" w:rsidP="006009DF">
            <w:pPr>
              <w:jc w:val="center"/>
              <w:rPr>
                <w:noProof/>
              </w:rPr>
            </w:pPr>
            <w:r w:rsidRPr="00CC1BEF">
              <w:rPr>
                <w:noProof/>
              </w:rPr>
              <w:t>2026</w:t>
            </w:r>
          </w:p>
        </w:tc>
        <w:tc>
          <w:tcPr>
            <w:tcW w:w="1440" w:type="dxa"/>
          </w:tcPr>
          <w:p w14:paraId="56D1BCA1" w14:textId="168E774C" w:rsidR="003D5E3F" w:rsidRPr="005F0761" w:rsidRDefault="003D5E3F" w:rsidP="006009DF">
            <w:pPr>
              <w:jc w:val="center"/>
              <w:rPr>
                <w:noProof/>
              </w:rPr>
            </w:pPr>
            <w:r w:rsidRPr="00CC1BEF">
              <w:rPr>
                <w:noProof/>
              </w:rPr>
              <w:t>2027</w:t>
            </w:r>
          </w:p>
        </w:tc>
      </w:tr>
      <w:tr w:rsidR="003D5E3F" w:rsidRPr="005F0761" w14:paraId="388DC57E" w14:textId="77777777" w:rsidTr="002C1B09">
        <w:tc>
          <w:tcPr>
            <w:tcW w:w="2988" w:type="dxa"/>
          </w:tcPr>
          <w:p w14:paraId="5538A107" w14:textId="3F7D8797" w:rsidR="002C1B09" w:rsidRPr="005F0761" w:rsidRDefault="00DE2552" w:rsidP="00DE2552">
            <w:pPr>
              <w:spacing w:before="60" w:after="60"/>
              <w:jc w:val="left"/>
              <w:rPr>
                <w:noProof/>
              </w:rPr>
            </w:pPr>
            <w:r w:rsidRPr="005F0761">
              <w:rPr>
                <w:noProof/>
              </w:rPr>
              <w:t>Rubrik </w:t>
            </w:r>
            <w:r w:rsidRPr="00CC1BEF">
              <w:rPr>
                <w:noProof/>
              </w:rPr>
              <w:t>1</w:t>
            </w:r>
          </w:p>
          <w:p w14:paraId="7FAE434D" w14:textId="01DB462D" w:rsidR="00635CB2" w:rsidRPr="005F0761" w:rsidRDefault="00635CB2" w:rsidP="00DE2552">
            <w:pPr>
              <w:spacing w:before="60" w:after="60"/>
              <w:jc w:val="left"/>
              <w:rPr>
                <w:noProof/>
              </w:rPr>
            </w:pPr>
            <w:r w:rsidRPr="005F0761">
              <w:rPr>
                <w:noProof/>
              </w:rPr>
              <w:t>Binnenmarkt, Innovation und Digitales</w:t>
            </w:r>
          </w:p>
        </w:tc>
        <w:tc>
          <w:tcPr>
            <w:tcW w:w="1560" w:type="dxa"/>
          </w:tcPr>
          <w:p w14:paraId="5B58E8E4" w14:textId="53902CE7" w:rsidR="003D5E3F" w:rsidRPr="005F0761" w:rsidRDefault="00AB0A2A" w:rsidP="00451379">
            <w:pPr>
              <w:spacing w:before="60" w:after="60"/>
              <w:jc w:val="right"/>
              <w:rPr>
                <w:noProof/>
              </w:rPr>
            </w:pPr>
            <w:r w:rsidRPr="00CC1BEF">
              <w:rPr>
                <w:noProof/>
              </w:rPr>
              <w:t>777</w:t>
            </w:r>
          </w:p>
        </w:tc>
        <w:tc>
          <w:tcPr>
            <w:tcW w:w="1680" w:type="dxa"/>
          </w:tcPr>
          <w:p w14:paraId="7CEB5FD8" w14:textId="76A101BB" w:rsidR="003D5E3F" w:rsidRPr="005F0761" w:rsidRDefault="00AB0A2A" w:rsidP="00451379">
            <w:pPr>
              <w:spacing w:before="60" w:after="60"/>
              <w:jc w:val="right"/>
              <w:rPr>
                <w:noProof/>
              </w:rPr>
            </w:pPr>
            <w:r w:rsidRPr="00CC1BEF">
              <w:rPr>
                <w:noProof/>
              </w:rPr>
              <w:t>762</w:t>
            </w:r>
          </w:p>
        </w:tc>
        <w:tc>
          <w:tcPr>
            <w:tcW w:w="1560" w:type="dxa"/>
          </w:tcPr>
          <w:p w14:paraId="6CC8ECAF" w14:textId="3060816B" w:rsidR="003D5E3F" w:rsidRPr="005F0761" w:rsidRDefault="00AB0A2A" w:rsidP="00451379">
            <w:pPr>
              <w:spacing w:before="60" w:after="60"/>
              <w:jc w:val="right"/>
              <w:rPr>
                <w:noProof/>
              </w:rPr>
            </w:pPr>
            <w:r w:rsidRPr="00CC1BEF">
              <w:rPr>
                <w:noProof/>
              </w:rPr>
              <w:t>748</w:t>
            </w:r>
          </w:p>
        </w:tc>
        <w:tc>
          <w:tcPr>
            <w:tcW w:w="1440" w:type="dxa"/>
          </w:tcPr>
          <w:p w14:paraId="732CE24B" w14:textId="5D402E5E" w:rsidR="003D5E3F" w:rsidRPr="005F0761" w:rsidRDefault="000179ED" w:rsidP="00451379">
            <w:pPr>
              <w:spacing w:before="60" w:after="60"/>
              <w:jc w:val="right"/>
              <w:rPr>
                <w:noProof/>
              </w:rPr>
            </w:pPr>
            <w:r w:rsidRPr="00CC1BEF">
              <w:rPr>
                <w:noProof/>
              </w:rPr>
              <w:t>733</w:t>
            </w:r>
          </w:p>
        </w:tc>
      </w:tr>
      <w:tr w:rsidR="006F5226" w:rsidRPr="005F0761" w14:paraId="1F2C4581" w14:textId="77777777" w:rsidTr="002C1B09">
        <w:tc>
          <w:tcPr>
            <w:tcW w:w="2988" w:type="dxa"/>
          </w:tcPr>
          <w:p w14:paraId="02109789" w14:textId="7ACE0A6B" w:rsidR="002C2B64" w:rsidRPr="005F0761" w:rsidRDefault="00DE2552" w:rsidP="00DE2552">
            <w:pPr>
              <w:spacing w:before="60" w:after="60"/>
              <w:jc w:val="left"/>
              <w:rPr>
                <w:noProof/>
              </w:rPr>
            </w:pPr>
            <w:r w:rsidRPr="005F0761">
              <w:rPr>
                <w:noProof/>
              </w:rPr>
              <w:t>Rubrik </w:t>
            </w:r>
            <w:r w:rsidRPr="00CC1BEF">
              <w:rPr>
                <w:noProof/>
              </w:rPr>
              <w:t>3</w:t>
            </w:r>
          </w:p>
          <w:p w14:paraId="2A2BEDB6" w14:textId="66C0DDAD" w:rsidR="00635CB2" w:rsidRPr="005F0761" w:rsidRDefault="00023BBC" w:rsidP="00DE2552">
            <w:pPr>
              <w:spacing w:before="60" w:after="60"/>
              <w:jc w:val="left"/>
              <w:rPr>
                <w:noProof/>
              </w:rPr>
            </w:pPr>
            <w:r w:rsidRPr="005F0761">
              <w:rPr>
                <w:noProof/>
              </w:rPr>
              <w:t>Natürliche Ressourcen und Umwelt</w:t>
            </w:r>
          </w:p>
        </w:tc>
        <w:tc>
          <w:tcPr>
            <w:tcW w:w="1560" w:type="dxa"/>
          </w:tcPr>
          <w:p w14:paraId="724B38BB" w14:textId="3C2735D4" w:rsidR="006F5226" w:rsidRPr="005F0761" w:rsidRDefault="009608A8" w:rsidP="00451379">
            <w:pPr>
              <w:spacing w:before="60" w:after="60"/>
              <w:jc w:val="right"/>
              <w:rPr>
                <w:noProof/>
              </w:rPr>
            </w:pPr>
            <w:r w:rsidRPr="00CC1BEF">
              <w:rPr>
                <w:noProof/>
              </w:rPr>
              <w:t>1</w:t>
            </w:r>
            <w:r w:rsidRPr="005F0761">
              <w:rPr>
                <w:noProof/>
              </w:rPr>
              <w:t> </w:t>
            </w:r>
            <w:r w:rsidRPr="00CC1BEF">
              <w:rPr>
                <w:noProof/>
              </w:rPr>
              <w:t>110</w:t>
            </w:r>
          </w:p>
        </w:tc>
        <w:tc>
          <w:tcPr>
            <w:tcW w:w="1680" w:type="dxa"/>
          </w:tcPr>
          <w:p w14:paraId="4ACC4110" w14:textId="5349F598" w:rsidR="006F5226" w:rsidRPr="005F0761" w:rsidRDefault="00A630A8" w:rsidP="00451379">
            <w:pPr>
              <w:spacing w:before="60" w:after="60"/>
              <w:jc w:val="right"/>
              <w:rPr>
                <w:noProof/>
              </w:rPr>
            </w:pPr>
            <w:r w:rsidRPr="00CC1BEF">
              <w:rPr>
                <w:noProof/>
              </w:rPr>
              <w:t>1</w:t>
            </w:r>
            <w:r w:rsidRPr="005F0761">
              <w:rPr>
                <w:noProof/>
              </w:rPr>
              <w:t> </w:t>
            </w:r>
            <w:r w:rsidRPr="00CC1BEF">
              <w:rPr>
                <w:noProof/>
              </w:rPr>
              <w:t>088</w:t>
            </w:r>
          </w:p>
        </w:tc>
        <w:tc>
          <w:tcPr>
            <w:tcW w:w="1560" w:type="dxa"/>
          </w:tcPr>
          <w:p w14:paraId="18E8E8A5" w14:textId="3F41A097" w:rsidR="006F5226" w:rsidRPr="005F0761" w:rsidRDefault="00D94D5E" w:rsidP="00451379">
            <w:pPr>
              <w:spacing w:before="60" w:after="60"/>
              <w:jc w:val="right"/>
              <w:rPr>
                <w:noProof/>
              </w:rPr>
            </w:pPr>
            <w:r w:rsidRPr="00CC1BEF">
              <w:rPr>
                <w:noProof/>
              </w:rPr>
              <w:t>1</w:t>
            </w:r>
            <w:r w:rsidRPr="005F0761">
              <w:rPr>
                <w:noProof/>
              </w:rPr>
              <w:t> </w:t>
            </w:r>
            <w:r w:rsidRPr="00CC1BEF">
              <w:rPr>
                <w:noProof/>
              </w:rPr>
              <w:t>067</w:t>
            </w:r>
          </w:p>
        </w:tc>
        <w:tc>
          <w:tcPr>
            <w:tcW w:w="1440" w:type="dxa"/>
          </w:tcPr>
          <w:p w14:paraId="3A31AFA6" w14:textId="164C3F7B" w:rsidR="006F5226" w:rsidRPr="005F0761" w:rsidRDefault="00D94D5E" w:rsidP="00451379">
            <w:pPr>
              <w:spacing w:before="60" w:after="60"/>
              <w:jc w:val="right"/>
              <w:rPr>
                <w:noProof/>
              </w:rPr>
            </w:pPr>
            <w:r w:rsidRPr="00CC1BEF">
              <w:rPr>
                <w:noProof/>
              </w:rPr>
              <w:t>1</w:t>
            </w:r>
            <w:r w:rsidRPr="005F0761">
              <w:rPr>
                <w:noProof/>
              </w:rPr>
              <w:t> </w:t>
            </w:r>
            <w:r w:rsidRPr="00CC1BEF">
              <w:rPr>
                <w:noProof/>
              </w:rPr>
              <w:t>046</w:t>
            </w:r>
          </w:p>
        </w:tc>
      </w:tr>
      <w:tr w:rsidR="00884B4C" w:rsidRPr="005F0761" w14:paraId="53DF1E76" w14:textId="77777777" w:rsidTr="002C1B09">
        <w:tc>
          <w:tcPr>
            <w:tcW w:w="2988" w:type="dxa"/>
          </w:tcPr>
          <w:p w14:paraId="466713BD" w14:textId="428FCFDB" w:rsidR="0005787F" w:rsidRPr="005F0761" w:rsidRDefault="00884B4C" w:rsidP="00DE2552">
            <w:pPr>
              <w:spacing w:before="60" w:after="60"/>
              <w:jc w:val="left"/>
              <w:rPr>
                <w:noProof/>
              </w:rPr>
            </w:pPr>
            <w:r w:rsidRPr="005F0761">
              <w:rPr>
                <w:noProof/>
              </w:rPr>
              <w:t>Rubrik </w:t>
            </w:r>
            <w:r w:rsidRPr="00CC1BEF">
              <w:rPr>
                <w:noProof/>
              </w:rPr>
              <w:t>4</w:t>
            </w:r>
          </w:p>
          <w:p w14:paraId="18EBEE21" w14:textId="6C20BDD5" w:rsidR="00023BBC" w:rsidRPr="005F0761" w:rsidRDefault="00384053" w:rsidP="00DE2552">
            <w:pPr>
              <w:spacing w:before="60" w:after="60"/>
              <w:jc w:val="left"/>
              <w:rPr>
                <w:noProof/>
              </w:rPr>
            </w:pPr>
            <w:r w:rsidRPr="005F0761">
              <w:rPr>
                <w:noProof/>
              </w:rPr>
              <w:t>Migration und Grenzmanagement</w:t>
            </w:r>
          </w:p>
        </w:tc>
        <w:tc>
          <w:tcPr>
            <w:tcW w:w="1560" w:type="dxa"/>
          </w:tcPr>
          <w:p w14:paraId="2E1B268E" w14:textId="77777777" w:rsidR="00884B4C" w:rsidRPr="005F0761" w:rsidRDefault="00884B4C" w:rsidP="00451379">
            <w:pPr>
              <w:spacing w:before="60" w:after="60"/>
              <w:jc w:val="right"/>
              <w:rPr>
                <w:noProof/>
              </w:rPr>
            </w:pPr>
          </w:p>
        </w:tc>
        <w:tc>
          <w:tcPr>
            <w:tcW w:w="1680" w:type="dxa"/>
          </w:tcPr>
          <w:p w14:paraId="62A2E2C3" w14:textId="75DC8ED1" w:rsidR="00884B4C" w:rsidRPr="005F0761" w:rsidRDefault="00396156" w:rsidP="00451379">
            <w:pPr>
              <w:spacing w:before="60" w:after="60"/>
              <w:jc w:val="right"/>
              <w:rPr>
                <w:noProof/>
              </w:rPr>
            </w:pPr>
            <w:r w:rsidRPr="00CC1BEF">
              <w:rPr>
                <w:noProof/>
              </w:rPr>
              <w:t>264</w:t>
            </w:r>
          </w:p>
        </w:tc>
        <w:tc>
          <w:tcPr>
            <w:tcW w:w="1560" w:type="dxa"/>
          </w:tcPr>
          <w:p w14:paraId="1DE23021" w14:textId="1D357924" w:rsidR="00884B4C" w:rsidRPr="005F0761" w:rsidRDefault="00396156" w:rsidP="00451379">
            <w:pPr>
              <w:spacing w:before="60" w:after="60"/>
              <w:jc w:val="right"/>
              <w:rPr>
                <w:noProof/>
              </w:rPr>
            </w:pPr>
            <w:r w:rsidRPr="00CC1BEF">
              <w:rPr>
                <w:noProof/>
              </w:rPr>
              <w:t>464</w:t>
            </w:r>
          </w:p>
        </w:tc>
        <w:tc>
          <w:tcPr>
            <w:tcW w:w="1440" w:type="dxa"/>
          </w:tcPr>
          <w:p w14:paraId="095D1AF0" w14:textId="30CF406B" w:rsidR="00884B4C" w:rsidRPr="005F0761" w:rsidRDefault="002E134B" w:rsidP="00451379">
            <w:pPr>
              <w:spacing w:before="60" w:after="60"/>
              <w:jc w:val="right"/>
              <w:rPr>
                <w:noProof/>
              </w:rPr>
            </w:pPr>
            <w:r w:rsidRPr="00CC1BEF">
              <w:rPr>
                <w:noProof/>
              </w:rPr>
              <w:t>965</w:t>
            </w:r>
          </w:p>
        </w:tc>
      </w:tr>
      <w:tr w:rsidR="00884B4C" w:rsidRPr="005F0761" w14:paraId="373294F2" w14:textId="77777777" w:rsidTr="002C1B09">
        <w:tc>
          <w:tcPr>
            <w:tcW w:w="2988" w:type="dxa"/>
          </w:tcPr>
          <w:p w14:paraId="1D6B036B" w14:textId="23B1CB22" w:rsidR="0076491C" w:rsidRPr="005F0761" w:rsidRDefault="00884B4C" w:rsidP="00DE2552">
            <w:pPr>
              <w:spacing w:before="60" w:after="60"/>
              <w:jc w:val="left"/>
              <w:rPr>
                <w:noProof/>
              </w:rPr>
            </w:pPr>
            <w:r w:rsidRPr="005F0761">
              <w:rPr>
                <w:noProof/>
              </w:rPr>
              <w:t>Rubrik </w:t>
            </w:r>
            <w:r w:rsidRPr="00CC1BEF">
              <w:rPr>
                <w:noProof/>
              </w:rPr>
              <w:t>5</w:t>
            </w:r>
          </w:p>
          <w:p w14:paraId="1F0FC025" w14:textId="53ED03F8" w:rsidR="00384053" w:rsidRPr="005F0761" w:rsidRDefault="00BC713F" w:rsidP="00DE2552">
            <w:pPr>
              <w:spacing w:before="60" w:after="60"/>
              <w:jc w:val="left"/>
              <w:rPr>
                <w:noProof/>
              </w:rPr>
            </w:pPr>
            <w:r w:rsidRPr="005F0761">
              <w:rPr>
                <w:noProof/>
              </w:rPr>
              <w:t>Sicherheit und Verteidigung</w:t>
            </w:r>
          </w:p>
        </w:tc>
        <w:tc>
          <w:tcPr>
            <w:tcW w:w="1560" w:type="dxa"/>
          </w:tcPr>
          <w:p w14:paraId="3A4B08F5" w14:textId="05EEBE6B" w:rsidR="00884B4C" w:rsidRPr="005F0761" w:rsidRDefault="000A62C0" w:rsidP="00451379">
            <w:pPr>
              <w:spacing w:before="60" w:after="60"/>
              <w:jc w:val="right"/>
              <w:rPr>
                <w:noProof/>
              </w:rPr>
            </w:pPr>
            <w:r w:rsidRPr="00CC1BEF">
              <w:rPr>
                <w:noProof/>
              </w:rPr>
              <w:t>333</w:t>
            </w:r>
          </w:p>
        </w:tc>
        <w:tc>
          <w:tcPr>
            <w:tcW w:w="1680" w:type="dxa"/>
          </w:tcPr>
          <w:p w14:paraId="6BA37DB6" w14:textId="152D9162" w:rsidR="00884B4C" w:rsidRPr="005F0761" w:rsidRDefault="00AF6537" w:rsidP="00451379">
            <w:pPr>
              <w:spacing w:before="60" w:after="60"/>
              <w:jc w:val="right"/>
              <w:rPr>
                <w:noProof/>
              </w:rPr>
            </w:pPr>
            <w:r w:rsidRPr="00CC1BEF">
              <w:rPr>
                <w:noProof/>
              </w:rPr>
              <w:t>327</w:t>
            </w:r>
          </w:p>
        </w:tc>
        <w:tc>
          <w:tcPr>
            <w:tcW w:w="1560" w:type="dxa"/>
          </w:tcPr>
          <w:p w14:paraId="7A1A9FBB" w14:textId="52F67AD2" w:rsidR="00884B4C" w:rsidRPr="005F0761" w:rsidRDefault="0052781B" w:rsidP="00451379">
            <w:pPr>
              <w:spacing w:before="60" w:after="60"/>
              <w:jc w:val="right"/>
              <w:rPr>
                <w:noProof/>
              </w:rPr>
            </w:pPr>
            <w:r w:rsidRPr="00CC1BEF">
              <w:rPr>
                <w:noProof/>
              </w:rPr>
              <w:t>320</w:t>
            </w:r>
          </w:p>
        </w:tc>
        <w:tc>
          <w:tcPr>
            <w:tcW w:w="1440" w:type="dxa"/>
          </w:tcPr>
          <w:p w14:paraId="6A6EC96F" w14:textId="65569ACB" w:rsidR="00884B4C" w:rsidRPr="005F0761" w:rsidRDefault="0052781B" w:rsidP="00451379">
            <w:pPr>
              <w:spacing w:before="60" w:after="60"/>
              <w:jc w:val="right"/>
              <w:rPr>
                <w:noProof/>
              </w:rPr>
            </w:pPr>
            <w:r w:rsidRPr="00CC1BEF">
              <w:rPr>
                <w:noProof/>
              </w:rPr>
              <w:t>313</w:t>
            </w:r>
          </w:p>
        </w:tc>
      </w:tr>
      <w:tr w:rsidR="00884B4C" w:rsidRPr="005F0761" w14:paraId="56B071CB" w14:textId="77777777" w:rsidTr="00040647">
        <w:tc>
          <w:tcPr>
            <w:tcW w:w="2988" w:type="dxa"/>
            <w:tcBorders>
              <w:bottom w:val="single" w:sz="4" w:space="0" w:color="auto"/>
            </w:tcBorders>
          </w:tcPr>
          <w:p w14:paraId="3BEC455B" w14:textId="53849574" w:rsidR="000F5150" w:rsidRPr="005F0761" w:rsidRDefault="00884B4C" w:rsidP="00DE2552">
            <w:pPr>
              <w:spacing w:before="60" w:after="60"/>
              <w:jc w:val="left"/>
              <w:rPr>
                <w:noProof/>
              </w:rPr>
            </w:pPr>
            <w:r w:rsidRPr="005F0761">
              <w:rPr>
                <w:noProof/>
              </w:rPr>
              <w:t>Rubrik </w:t>
            </w:r>
            <w:r w:rsidRPr="00CC1BEF">
              <w:rPr>
                <w:noProof/>
              </w:rPr>
              <w:t>6</w:t>
            </w:r>
          </w:p>
          <w:p w14:paraId="6EB767D8" w14:textId="4AE5702E" w:rsidR="00BC713F" w:rsidRPr="005F0761" w:rsidRDefault="008C1989" w:rsidP="00DE2552">
            <w:pPr>
              <w:spacing w:before="60" w:after="60"/>
              <w:jc w:val="left"/>
              <w:rPr>
                <w:noProof/>
              </w:rPr>
            </w:pPr>
            <w:r w:rsidRPr="005F0761">
              <w:rPr>
                <w:noProof/>
              </w:rPr>
              <w:t>Nachbarschaft und die Welt</w:t>
            </w:r>
          </w:p>
        </w:tc>
        <w:tc>
          <w:tcPr>
            <w:tcW w:w="1560" w:type="dxa"/>
            <w:tcBorders>
              <w:bottom w:val="single" w:sz="4" w:space="0" w:color="auto"/>
            </w:tcBorders>
          </w:tcPr>
          <w:p w14:paraId="0D17AEED" w14:textId="66B1C427" w:rsidR="00884B4C" w:rsidRPr="005F0761" w:rsidRDefault="00CB73BB" w:rsidP="00451379">
            <w:pPr>
              <w:spacing w:before="60" w:after="60"/>
              <w:jc w:val="right"/>
              <w:rPr>
                <w:noProof/>
              </w:rPr>
            </w:pPr>
            <w:r w:rsidRPr="00CC1BEF">
              <w:rPr>
                <w:noProof/>
              </w:rPr>
              <w:t>2</w:t>
            </w:r>
            <w:r w:rsidRPr="005F0761">
              <w:rPr>
                <w:noProof/>
              </w:rPr>
              <w:t> </w:t>
            </w:r>
            <w:r w:rsidRPr="00CC1BEF">
              <w:rPr>
                <w:noProof/>
              </w:rPr>
              <w:t>331</w:t>
            </w:r>
          </w:p>
        </w:tc>
        <w:tc>
          <w:tcPr>
            <w:tcW w:w="1680" w:type="dxa"/>
            <w:tcBorders>
              <w:bottom w:val="single" w:sz="4" w:space="0" w:color="auto"/>
            </w:tcBorders>
          </w:tcPr>
          <w:p w14:paraId="609E6B79" w14:textId="45EFB299" w:rsidR="00884B4C" w:rsidRPr="005F0761" w:rsidRDefault="00CB73BB" w:rsidP="00451379">
            <w:pPr>
              <w:spacing w:before="60" w:after="60"/>
              <w:jc w:val="right"/>
              <w:rPr>
                <w:noProof/>
              </w:rPr>
            </w:pPr>
            <w:r w:rsidRPr="00CC1BEF">
              <w:rPr>
                <w:noProof/>
              </w:rPr>
              <w:t>2</w:t>
            </w:r>
            <w:r w:rsidRPr="005F0761">
              <w:rPr>
                <w:noProof/>
              </w:rPr>
              <w:t> </w:t>
            </w:r>
            <w:r w:rsidRPr="00CC1BEF">
              <w:rPr>
                <w:noProof/>
              </w:rPr>
              <w:t>286</w:t>
            </w:r>
          </w:p>
        </w:tc>
        <w:tc>
          <w:tcPr>
            <w:tcW w:w="1560" w:type="dxa"/>
            <w:tcBorders>
              <w:bottom w:val="single" w:sz="4" w:space="0" w:color="auto"/>
            </w:tcBorders>
          </w:tcPr>
          <w:p w14:paraId="388DF5B2" w14:textId="08C39BDC" w:rsidR="00884B4C" w:rsidRPr="005F0761" w:rsidRDefault="00CF1EB2" w:rsidP="00451379">
            <w:pPr>
              <w:spacing w:before="60" w:after="60"/>
              <w:jc w:val="right"/>
              <w:rPr>
                <w:noProof/>
              </w:rPr>
            </w:pPr>
            <w:r w:rsidRPr="00CC1BEF">
              <w:rPr>
                <w:noProof/>
              </w:rPr>
              <w:t>2</w:t>
            </w:r>
            <w:r w:rsidRPr="005F0761">
              <w:rPr>
                <w:noProof/>
              </w:rPr>
              <w:t> </w:t>
            </w:r>
            <w:r w:rsidRPr="00CC1BEF">
              <w:rPr>
                <w:noProof/>
              </w:rPr>
              <w:t>241</w:t>
            </w:r>
          </w:p>
        </w:tc>
        <w:tc>
          <w:tcPr>
            <w:tcW w:w="1440" w:type="dxa"/>
            <w:tcBorders>
              <w:bottom w:val="single" w:sz="4" w:space="0" w:color="auto"/>
            </w:tcBorders>
          </w:tcPr>
          <w:p w14:paraId="3917875B" w14:textId="41D647FD" w:rsidR="00884B4C" w:rsidRPr="005F0761" w:rsidRDefault="00CF1EB2" w:rsidP="00451379">
            <w:pPr>
              <w:spacing w:before="60" w:after="60"/>
              <w:jc w:val="right"/>
              <w:rPr>
                <w:noProof/>
              </w:rPr>
            </w:pPr>
            <w:r w:rsidRPr="00CC1BEF">
              <w:rPr>
                <w:noProof/>
              </w:rPr>
              <w:t>2</w:t>
            </w:r>
            <w:r w:rsidRPr="005F0761">
              <w:rPr>
                <w:noProof/>
              </w:rPr>
              <w:t> </w:t>
            </w:r>
            <w:r w:rsidRPr="00CC1BEF">
              <w:rPr>
                <w:noProof/>
              </w:rPr>
              <w:t>198</w:t>
            </w:r>
          </w:p>
        </w:tc>
      </w:tr>
      <w:tr w:rsidR="00D278F5" w:rsidRPr="005F0761" w14:paraId="6282501F" w14:textId="77777777" w:rsidTr="00040647">
        <w:tc>
          <w:tcPr>
            <w:tcW w:w="2988" w:type="dxa"/>
            <w:tcBorders>
              <w:bottom w:val="dotted" w:sz="4" w:space="0" w:color="auto"/>
            </w:tcBorders>
          </w:tcPr>
          <w:p w14:paraId="49DABEB1" w14:textId="206668AC" w:rsidR="00D278F5" w:rsidRPr="005F0761" w:rsidRDefault="000C2087" w:rsidP="00DE2552">
            <w:pPr>
              <w:spacing w:before="60" w:after="60"/>
              <w:jc w:val="left"/>
              <w:rPr>
                <w:noProof/>
              </w:rPr>
            </w:pPr>
            <w:r w:rsidRPr="005F0761">
              <w:rPr>
                <w:noProof/>
              </w:rPr>
              <w:t>Rubrik </w:t>
            </w:r>
            <w:r w:rsidRPr="00CC1BEF">
              <w:rPr>
                <w:noProof/>
              </w:rPr>
              <w:t>7</w:t>
            </w:r>
          </w:p>
          <w:p w14:paraId="7CC343A3" w14:textId="0128BC13" w:rsidR="008C1989" w:rsidRPr="005F0761" w:rsidRDefault="00CB406F" w:rsidP="00DE2552">
            <w:pPr>
              <w:spacing w:before="60" w:after="60"/>
              <w:jc w:val="left"/>
              <w:rPr>
                <w:noProof/>
              </w:rPr>
            </w:pPr>
            <w:r w:rsidRPr="005F0761">
              <w:rPr>
                <w:noProof/>
              </w:rPr>
              <w:t>Europäische öffentliche Verwaltung</w:t>
            </w:r>
          </w:p>
        </w:tc>
        <w:tc>
          <w:tcPr>
            <w:tcW w:w="1560" w:type="dxa"/>
            <w:tcBorders>
              <w:bottom w:val="dotted" w:sz="4" w:space="0" w:color="auto"/>
            </w:tcBorders>
          </w:tcPr>
          <w:p w14:paraId="6A06BDAC" w14:textId="0B37BBF2" w:rsidR="00D278F5" w:rsidRPr="005F0761" w:rsidRDefault="003A69C5" w:rsidP="00451379">
            <w:pPr>
              <w:spacing w:before="60" w:after="60"/>
              <w:jc w:val="right"/>
              <w:rPr>
                <w:noProof/>
              </w:rPr>
            </w:pPr>
            <w:r w:rsidRPr="00CC1BEF">
              <w:rPr>
                <w:noProof/>
              </w:rPr>
              <w:t>132</w:t>
            </w:r>
          </w:p>
        </w:tc>
        <w:tc>
          <w:tcPr>
            <w:tcW w:w="1680" w:type="dxa"/>
            <w:tcBorders>
              <w:bottom w:val="dotted" w:sz="4" w:space="0" w:color="auto"/>
            </w:tcBorders>
          </w:tcPr>
          <w:p w14:paraId="1FA75A42" w14:textId="71C0ED39" w:rsidR="00D278F5" w:rsidRPr="005F0761" w:rsidRDefault="003A69C5" w:rsidP="00451379">
            <w:pPr>
              <w:spacing w:before="60" w:after="60"/>
              <w:jc w:val="right"/>
              <w:rPr>
                <w:noProof/>
              </w:rPr>
            </w:pPr>
            <w:r w:rsidRPr="00CC1BEF">
              <w:rPr>
                <w:noProof/>
              </w:rPr>
              <w:t>333</w:t>
            </w:r>
          </w:p>
        </w:tc>
        <w:tc>
          <w:tcPr>
            <w:tcW w:w="1560" w:type="dxa"/>
            <w:tcBorders>
              <w:bottom w:val="dotted" w:sz="4" w:space="0" w:color="auto"/>
            </w:tcBorders>
          </w:tcPr>
          <w:p w14:paraId="723E6998" w14:textId="7BFF3F1B" w:rsidR="00D278F5" w:rsidRPr="005F0761" w:rsidRDefault="003A69C5" w:rsidP="00451379">
            <w:pPr>
              <w:spacing w:before="60" w:after="60"/>
              <w:jc w:val="right"/>
              <w:rPr>
                <w:noProof/>
              </w:rPr>
            </w:pPr>
            <w:r w:rsidRPr="00CC1BEF">
              <w:rPr>
                <w:noProof/>
              </w:rPr>
              <w:t>556</w:t>
            </w:r>
          </w:p>
        </w:tc>
        <w:tc>
          <w:tcPr>
            <w:tcW w:w="1440" w:type="dxa"/>
            <w:tcBorders>
              <w:bottom w:val="dotted" w:sz="4" w:space="0" w:color="auto"/>
            </w:tcBorders>
          </w:tcPr>
          <w:p w14:paraId="5F65E155" w14:textId="2F193D00" w:rsidR="00D278F5" w:rsidRPr="005F0761" w:rsidRDefault="003A69C5" w:rsidP="00451379">
            <w:pPr>
              <w:spacing w:before="60" w:after="60"/>
              <w:jc w:val="right"/>
              <w:rPr>
                <w:noProof/>
              </w:rPr>
            </w:pPr>
            <w:r w:rsidRPr="00CC1BEF">
              <w:rPr>
                <w:noProof/>
              </w:rPr>
              <w:t>600</w:t>
            </w:r>
          </w:p>
        </w:tc>
      </w:tr>
      <w:tr w:rsidR="00374229" w:rsidRPr="005F0761" w14:paraId="2951EC8B" w14:textId="77777777" w:rsidTr="00040647">
        <w:tc>
          <w:tcPr>
            <w:tcW w:w="2988" w:type="dxa"/>
            <w:tcBorders>
              <w:top w:val="dotted" w:sz="4" w:space="0" w:color="auto"/>
            </w:tcBorders>
          </w:tcPr>
          <w:p w14:paraId="7F55C9B3" w14:textId="5A330422" w:rsidR="00374229" w:rsidRPr="005F0761" w:rsidRDefault="00657142" w:rsidP="00DE2552">
            <w:pPr>
              <w:spacing w:before="60" w:after="60"/>
              <w:jc w:val="left"/>
              <w:rPr>
                <w:noProof/>
              </w:rPr>
            </w:pPr>
            <w:r w:rsidRPr="005F0761">
              <w:rPr>
                <w:i/>
                <w:noProof/>
              </w:rPr>
              <w:t>Teilobergrenze</w:t>
            </w:r>
            <w:r w:rsidRPr="005F0761">
              <w:rPr>
                <w:noProof/>
              </w:rPr>
              <w:t xml:space="preserve"> </w:t>
            </w:r>
            <w:r w:rsidRPr="005F0761">
              <w:rPr>
                <w:noProof/>
              </w:rPr>
              <w:br/>
            </w:r>
            <w:r w:rsidRPr="005F0761">
              <w:rPr>
                <w:i/>
                <w:noProof/>
              </w:rPr>
              <w:t xml:space="preserve"> Verwaltungsausgaben der Organe</w:t>
            </w:r>
          </w:p>
        </w:tc>
        <w:tc>
          <w:tcPr>
            <w:tcW w:w="1560" w:type="dxa"/>
            <w:tcBorders>
              <w:top w:val="dotted" w:sz="4" w:space="0" w:color="auto"/>
            </w:tcBorders>
          </w:tcPr>
          <w:p w14:paraId="1927DED3" w14:textId="753EE312" w:rsidR="00374229" w:rsidRPr="005F0761" w:rsidRDefault="00BE49C7" w:rsidP="00451379">
            <w:pPr>
              <w:spacing w:before="60" w:after="60"/>
              <w:jc w:val="right"/>
              <w:rPr>
                <w:noProof/>
              </w:rPr>
            </w:pPr>
            <w:r w:rsidRPr="00CC1BEF">
              <w:rPr>
                <w:noProof/>
              </w:rPr>
              <w:t>110</w:t>
            </w:r>
          </w:p>
        </w:tc>
        <w:tc>
          <w:tcPr>
            <w:tcW w:w="1680" w:type="dxa"/>
            <w:tcBorders>
              <w:top w:val="dotted" w:sz="4" w:space="0" w:color="auto"/>
            </w:tcBorders>
          </w:tcPr>
          <w:p w14:paraId="299C15CD" w14:textId="0AEFDB90" w:rsidR="00374229" w:rsidRPr="005F0761" w:rsidRDefault="00BE49C7" w:rsidP="00451379">
            <w:pPr>
              <w:spacing w:before="60" w:after="60"/>
              <w:jc w:val="right"/>
              <w:rPr>
                <w:noProof/>
              </w:rPr>
            </w:pPr>
            <w:r w:rsidRPr="00CC1BEF">
              <w:rPr>
                <w:noProof/>
              </w:rPr>
              <w:t>285</w:t>
            </w:r>
          </w:p>
        </w:tc>
        <w:tc>
          <w:tcPr>
            <w:tcW w:w="1560" w:type="dxa"/>
            <w:tcBorders>
              <w:top w:val="dotted" w:sz="4" w:space="0" w:color="auto"/>
            </w:tcBorders>
          </w:tcPr>
          <w:p w14:paraId="63FD2872" w14:textId="1E3262FD" w:rsidR="00374229" w:rsidRPr="005F0761" w:rsidRDefault="00BE49C7" w:rsidP="00451379">
            <w:pPr>
              <w:spacing w:before="60" w:after="60"/>
              <w:jc w:val="right"/>
              <w:rPr>
                <w:noProof/>
              </w:rPr>
            </w:pPr>
            <w:r w:rsidRPr="00CC1BEF">
              <w:rPr>
                <w:noProof/>
              </w:rPr>
              <w:t>464</w:t>
            </w:r>
          </w:p>
        </w:tc>
        <w:tc>
          <w:tcPr>
            <w:tcW w:w="1440" w:type="dxa"/>
            <w:tcBorders>
              <w:top w:val="dotted" w:sz="4" w:space="0" w:color="auto"/>
            </w:tcBorders>
          </w:tcPr>
          <w:p w14:paraId="0205887E" w14:textId="6A12675A" w:rsidR="00374229" w:rsidRPr="005F0761" w:rsidRDefault="00BE49C7" w:rsidP="00451379">
            <w:pPr>
              <w:spacing w:before="60" w:after="60"/>
              <w:jc w:val="right"/>
              <w:rPr>
                <w:noProof/>
              </w:rPr>
            </w:pPr>
            <w:r w:rsidRPr="00CC1BEF">
              <w:rPr>
                <w:noProof/>
              </w:rPr>
              <w:t>472</w:t>
            </w:r>
          </w:p>
        </w:tc>
      </w:tr>
      <w:tr w:rsidR="006F5226" w:rsidRPr="005F0761" w14:paraId="23DE5A74" w14:textId="77777777" w:rsidTr="002C1B09">
        <w:tc>
          <w:tcPr>
            <w:tcW w:w="2988" w:type="dxa"/>
          </w:tcPr>
          <w:p w14:paraId="0073234F" w14:textId="3E6CD977" w:rsidR="006F5226" w:rsidRPr="005F0761" w:rsidRDefault="00320E5E" w:rsidP="002042AE">
            <w:pPr>
              <w:spacing w:before="60" w:after="60"/>
              <w:jc w:val="left"/>
              <w:rPr>
                <w:noProof/>
              </w:rPr>
            </w:pPr>
            <w:r w:rsidRPr="005F0761">
              <w:rPr>
                <w:noProof/>
              </w:rPr>
              <w:t>Aufstockung der Mittel für Verpflichtungen insgesamt</w:t>
            </w:r>
          </w:p>
        </w:tc>
        <w:tc>
          <w:tcPr>
            <w:tcW w:w="1560" w:type="dxa"/>
          </w:tcPr>
          <w:p w14:paraId="5C1E3F13" w14:textId="4C106B13" w:rsidR="006F5226" w:rsidRPr="005F0761" w:rsidRDefault="00123561" w:rsidP="00451379">
            <w:pPr>
              <w:spacing w:before="60" w:after="60"/>
              <w:jc w:val="right"/>
              <w:rPr>
                <w:noProof/>
              </w:rPr>
            </w:pPr>
            <w:r w:rsidRPr="00CC1BEF">
              <w:rPr>
                <w:noProof/>
              </w:rPr>
              <w:t>4</w:t>
            </w:r>
            <w:r w:rsidRPr="005F0761">
              <w:rPr>
                <w:noProof/>
              </w:rPr>
              <w:t> </w:t>
            </w:r>
            <w:r w:rsidRPr="00CC1BEF">
              <w:rPr>
                <w:noProof/>
              </w:rPr>
              <w:t>683</w:t>
            </w:r>
          </w:p>
        </w:tc>
        <w:tc>
          <w:tcPr>
            <w:tcW w:w="1680" w:type="dxa"/>
          </w:tcPr>
          <w:p w14:paraId="0F66B0A5" w14:textId="3E71BAF0" w:rsidR="006F5226" w:rsidRPr="005F0761" w:rsidRDefault="00123561" w:rsidP="00451379">
            <w:pPr>
              <w:spacing w:before="60" w:after="60"/>
              <w:jc w:val="right"/>
              <w:rPr>
                <w:noProof/>
              </w:rPr>
            </w:pPr>
            <w:r w:rsidRPr="00CC1BEF">
              <w:rPr>
                <w:noProof/>
              </w:rPr>
              <w:t>5</w:t>
            </w:r>
            <w:r w:rsidRPr="005F0761">
              <w:rPr>
                <w:noProof/>
              </w:rPr>
              <w:t> </w:t>
            </w:r>
            <w:r w:rsidRPr="00CC1BEF">
              <w:rPr>
                <w:noProof/>
              </w:rPr>
              <w:t>060</w:t>
            </w:r>
          </w:p>
        </w:tc>
        <w:tc>
          <w:tcPr>
            <w:tcW w:w="1560" w:type="dxa"/>
          </w:tcPr>
          <w:p w14:paraId="719368BB" w14:textId="50A5344E" w:rsidR="006F5226" w:rsidRPr="005F0761" w:rsidRDefault="00190487" w:rsidP="00451379">
            <w:pPr>
              <w:spacing w:before="60" w:after="60"/>
              <w:jc w:val="right"/>
              <w:rPr>
                <w:noProof/>
              </w:rPr>
            </w:pPr>
            <w:r w:rsidRPr="00CC1BEF">
              <w:rPr>
                <w:noProof/>
              </w:rPr>
              <w:t>5</w:t>
            </w:r>
            <w:r w:rsidRPr="005F0761">
              <w:rPr>
                <w:noProof/>
              </w:rPr>
              <w:t> </w:t>
            </w:r>
            <w:r w:rsidRPr="00CC1BEF">
              <w:rPr>
                <w:noProof/>
              </w:rPr>
              <w:t>396</w:t>
            </w:r>
          </w:p>
        </w:tc>
        <w:tc>
          <w:tcPr>
            <w:tcW w:w="1440" w:type="dxa"/>
          </w:tcPr>
          <w:p w14:paraId="3F25B004" w14:textId="5A3C6CE8" w:rsidR="006F5226" w:rsidRPr="005F0761" w:rsidRDefault="00190487" w:rsidP="00451379">
            <w:pPr>
              <w:spacing w:before="60" w:after="60"/>
              <w:jc w:val="right"/>
              <w:rPr>
                <w:noProof/>
              </w:rPr>
            </w:pPr>
            <w:r w:rsidRPr="00CC1BEF">
              <w:rPr>
                <w:noProof/>
              </w:rPr>
              <w:t>5</w:t>
            </w:r>
            <w:r w:rsidRPr="005F0761">
              <w:rPr>
                <w:noProof/>
              </w:rPr>
              <w:t> </w:t>
            </w:r>
            <w:r w:rsidRPr="00CC1BEF">
              <w:rPr>
                <w:noProof/>
              </w:rPr>
              <w:t>855</w:t>
            </w:r>
          </w:p>
        </w:tc>
      </w:tr>
    </w:tbl>
    <w:p w14:paraId="4690EFE9" w14:textId="546A2500" w:rsidR="00AE1A6F" w:rsidRPr="005F0761" w:rsidRDefault="00B36C55" w:rsidP="00626DF0">
      <w:pPr>
        <w:rPr>
          <w:noProof/>
        </w:rPr>
      </w:pPr>
      <w:r w:rsidRPr="005F0761">
        <w:rPr>
          <w:noProof/>
        </w:rPr>
        <w:t>Unter Berücksichtigung des Mechanismus für die Anpassung der Obergrenzen der Mittel für Zahlungen, der im Rahmen des Instruments für einen einzigen Spielraum (Artikel </w:t>
      </w:r>
      <w:r w:rsidRPr="00CC1BEF">
        <w:rPr>
          <w:noProof/>
        </w:rPr>
        <w:t>11</w:t>
      </w:r>
      <w:r w:rsidRPr="005F0761">
        <w:rPr>
          <w:noProof/>
        </w:rPr>
        <w:t xml:space="preserve">) vorgesehen ist, muss die MFR-Obergrenze der Mittel für Zahlungen für </w:t>
      </w:r>
      <w:r w:rsidRPr="00CC1BEF">
        <w:rPr>
          <w:noProof/>
        </w:rPr>
        <w:t>2026</w:t>
      </w:r>
      <w:r w:rsidRPr="005F0761">
        <w:rPr>
          <w:noProof/>
        </w:rPr>
        <w:t xml:space="preserve"> und </w:t>
      </w:r>
      <w:r w:rsidRPr="00CC1BEF">
        <w:rPr>
          <w:noProof/>
        </w:rPr>
        <w:t>2027</w:t>
      </w:r>
      <w:r w:rsidRPr="005F0761">
        <w:rPr>
          <w:noProof/>
        </w:rPr>
        <w:t xml:space="preserve"> gemäß dem vorliegenden Vorschlag wie nachstehend angegeben (zu Preisen von </w:t>
      </w:r>
      <w:r w:rsidRPr="00CC1BEF">
        <w:rPr>
          <w:noProof/>
        </w:rPr>
        <w:t>2018</w:t>
      </w:r>
      <w:r w:rsidRPr="005F0761">
        <w:rPr>
          <w:noProof/>
        </w:rPr>
        <w:t>) angehoben werden.</w:t>
      </w:r>
    </w:p>
    <w:tbl>
      <w:tblPr>
        <w:tblStyle w:val="TableGrid"/>
        <w:tblW w:w="0" w:type="auto"/>
        <w:tblLook w:val="04A0" w:firstRow="1" w:lastRow="0" w:firstColumn="1" w:lastColumn="0" w:noHBand="0" w:noVBand="1"/>
      </w:tblPr>
      <w:tblGrid>
        <w:gridCol w:w="2988"/>
        <w:gridCol w:w="1560"/>
        <w:gridCol w:w="1680"/>
        <w:gridCol w:w="1560"/>
        <w:gridCol w:w="1440"/>
      </w:tblGrid>
      <w:tr w:rsidR="00747064" w:rsidRPr="005F0761" w14:paraId="6B999897" w14:textId="77777777" w:rsidTr="00504EE8">
        <w:tc>
          <w:tcPr>
            <w:tcW w:w="9228" w:type="dxa"/>
            <w:gridSpan w:val="5"/>
          </w:tcPr>
          <w:p w14:paraId="3FEC698A" w14:textId="77777777" w:rsidR="00747064" w:rsidRPr="005F0761" w:rsidRDefault="00747064" w:rsidP="00504EE8">
            <w:pPr>
              <w:spacing w:before="20" w:after="20"/>
              <w:jc w:val="right"/>
              <w:rPr>
                <w:noProof/>
              </w:rPr>
            </w:pPr>
            <w:r w:rsidRPr="005F0761">
              <w:rPr>
                <w:i/>
                <w:noProof/>
              </w:rPr>
              <w:t>in Mio. EUR</w:t>
            </w:r>
          </w:p>
        </w:tc>
      </w:tr>
      <w:tr w:rsidR="00747064" w:rsidRPr="005F0761" w14:paraId="1E3E117E" w14:textId="77777777" w:rsidTr="00504EE8">
        <w:tc>
          <w:tcPr>
            <w:tcW w:w="2988" w:type="dxa"/>
          </w:tcPr>
          <w:p w14:paraId="7E7FC14D" w14:textId="06A2FBBF" w:rsidR="00747064" w:rsidRPr="005F0761" w:rsidRDefault="00747064" w:rsidP="00504EE8">
            <w:pPr>
              <w:spacing w:before="60" w:after="60"/>
              <w:jc w:val="left"/>
              <w:rPr>
                <w:b/>
                <w:bCs/>
                <w:noProof/>
              </w:rPr>
            </w:pPr>
          </w:p>
        </w:tc>
        <w:tc>
          <w:tcPr>
            <w:tcW w:w="1560" w:type="dxa"/>
          </w:tcPr>
          <w:p w14:paraId="0627AF45" w14:textId="77777777" w:rsidR="00747064" w:rsidRPr="005F0761" w:rsidRDefault="00747064" w:rsidP="00504EE8">
            <w:pPr>
              <w:jc w:val="center"/>
              <w:rPr>
                <w:noProof/>
              </w:rPr>
            </w:pPr>
            <w:r w:rsidRPr="00CC1BEF">
              <w:rPr>
                <w:noProof/>
              </w:rPr>
              <w:t>2024</w:t>
            </w:r>
          </w:p>
        </w:tc>
        <w:tc>
          <w:tcPr>
            <w:tcW w:w="1680" w:type="dxa"/>
          </w:tcPr>
          <w:p w14:paraId="3B7BAD21" w14:textId="77777777" w:rsidR="00747064" w:rsidRPr="005F0761" w:rsidRDefault="00747064" w:rsidP="00504EE8">
            <w:pPr>
              <w:jc w:val="center"/>
              <w:rPr>
                <w:noProof/>
              </w:rPr>
            </w:pPr>
            <w:r w:rsidRPr="00CC1BEF">
              <w:rPr>
                <w:noProof/>
              </w:rPr>
              <w:t>2025</w:t>
            </w:r>
          </w:p>
        </w:tc>
        <w:tc>
          <w:tcPr>
            <w:tcW w:w="1560" w:type="dxa"/>
          </w:tcPr>
          <w:p w14:paraId="12AD9445" w14:textId="77777777" w:rsidR="00747064" w:rsidRPr="005F0761" w:rsidRDefault="00747064" w:rsidP="00504EE8">
            <w:pPr>
              <w:jc w:val="center"/>
              <w:rPr>
                <w:noProof/>
              </w:rPr>
            </w:pPr>
            <w:r w:rsidRPr="00CC1BEF">
              <w:rPr>
                <w:noProof/>
              </w:rPr>
              <w:t>2026</w:t>
            </w:r>
          </w:p>
        </w:tc>
        <w:tc>
          <w:tcPr>
            <w:tcW w:w="1440" w:type="dxa"/>
          </w:tcPr>
          <w:p w14:paraId="281DE745" w14:textId="77777777" w:rsidR="00747064" w:rsidRPr="005F0761" w:rsidRDefault="00747064" w:rsidP="00504EE8">
            <w:pPr>
              <w:jc w:val="center"/>
              <w:rPr>
                <w:noProof/>
              </w:rPr>
            </w:pPr>
            <w:r w:rsidRPr="00CC1BEF">
              <w:rPr>
                <w:noProof/>
              </w:rPr>
              <w:t>2027</w:t>
            </w:r>
          </w:p>
        </w:tc>
      </w:tr>
      <w:tr w:rsidR="00747064" w:rsidRPr="005F0761" w14:paraId="5A222B20" w14:textId="77777777" w:rsidTr="00504EE8">
        <w:tc>
          <w:tcPr>
            <w:tcW w:w="2988" w:type="dxa"/>
          </w:tcPr>
          <w:p w14:paraId="690F3F3A" w14:textId="1A4AE286" w:rsidR="00747064" w:rsidRPr="005F0761" w:rsidRDefault="008F0BB3" w:rsidP="00504EE8">
            <w:pPr>
              <w:spacing w:before="60" w:after="60"/>
              <w:jc w:val="left"/>
              <w:rPr>
                <w:noProof/>
              </w:rPr>
            </w:pPr>
            <w:r w:rsidRPr="005F0761">
              <w:rPr>
                <w:noProof/>
              </w:rPr>
              <w:t>Anhebung der Obergrenze der Mittel für Zahlungen</w:t>
            </w:r>
          </w:p>
        </w:tc>
        <w:tc>
          <w:tcPr>
            <w:tcW w:w="1560" w:type="dxa"/>
          </w:tcPr>
          <w:p w14:paraId="08F97AF3" w14:textId="77777777" w:rsidR="00747064" w:rsidRPr="005F0761" w:rsidRDefault="00747064" w:rsidP="00451379">
            <w:pPr>
              <w:spacing w:before="60" w:after="60"/>
              <w:jc w:val="right"/>
              <w:rPr>
                <w:noProof/>
              </w:rPr>
            </w:pPr>
          </w:p>
        </w:tc>
        <w:tc>
          <w:tcPr>
            <w:tcW w:w="1680" w:type="dxa"/>
          </w:tcPr>
          <w:p w14:paraId="65EE7ED0" w14:textId="77777777" w:rsidR="00747064" w:rsidRPr="005F0761" w:rsidRDefault="00747064" w:rsidP="00451379">
            <w:pPr>
              <w:spacing w:before="60" w:after="60"/>
              <w:jc w:val="right"/>
              <w:rPr>
                <w:noProof/>
              </w:rPr>
            </w:pPr>
          </w:p>
        </w:tc>
        <w:tc>
          <w:tcPr>
            <w:tcW w:w="1560" w:type="dxa"/>
          </w:tcPr>
          <w:p w14:paraId="0983D6CB" w14:textId="11A15EA2" w:rsidR="00747064" w:rsidRPr="005F0761" w:rsidRDefault="00E17739" w:rsidP="00451379">
            <w:pPr>
              <w:spacing w:before="60" w:after="60"/>
              <w:jc w:val="right"/>
              <w:rPr>
                <w:noProof/>
              </w:rPr>
            </w:pPr>
            <w:r w:rsidRPr="00CC1BEF">
              <w:rPr>
                <w:noProof/>
              </w:rPr>
              <w:t>7</w:t>
            </w:r>
            <w:r w:rsidRPr="005F0761">
              <w:rPr>
                <w:noProof/>
              </w:rPr>
              <w:t> </w:t>
            </w:r>
            <w:r w:rsidRPr="00CC1BEF">
              <w:rPr>
                <w:noProof/>
              </w:rPr>
              <w:t>725</w:t>
            </w:r>
          </w:p>
        </w:tc>
        <w:tc>
          <w:tcPr>
            <w:tcW w:w="1440" w:type="dxa"/>
          </w:tcPr>
          <w:p w14:paraId="21D3EC6F" w14:textId="74D8F3DF" w:rsidR="00747064" w:rsidRPr="005F0761" w:rsidRDefault="00E17739" w:rsidP="00451379">
            <w:pPr>
              <w:spacing w:before="60" w:after="60"/>
              <w:jc w:val="right"/>
              <w:rPr>
                <w:noProof/>
              </w:rPr>
            </w:pPr>
            <w:r w:rsidRPr="00CC1BEF">
              <w:rPr>
                <w:noProof/>
              </w:rPr>
              <w:t>2</w:t>
            </w:r>
            <w:r w:rsidRPr="005F0761">
              <w:rPr>
                <w:noProof/>
              </w:rPr>
              <w:t> </w:t>
            </w:r>
            <w:r w:rsidRPr="00CC1BEF">
              <w:rPr>
                <w:noProof/>
              </w:rPr>
              <w:t>772</w:t>
            </w:r>
          </w:p>
        </w:tc>
      </w:tr>
    </w:tbl>
    <w:p w14:paraId="41D573DC" w14:textId="3EBCBFB3" w:rsidR="007A12D0" w:rsidRPr="005F0761" w:rsidRDefault="00626DF0" w:rsidP="003E24DC">
      <w:pPr>
        <w:rPr>
          <w:noProof/>
        </w:rPr>
      </w:pPr>
      <w:r w:rsidRPr="005F0761">
        <w:rPr>
          <w:noProof/>
        </w:rPr>
        <w:t xml:space="preserve">Die jährlichen Ausgabenobergrenzen der Mittel für Verpflichtungen und der Mittel für Zahlungen im Rahmen des MFR für </w:t>
      </w:r>
      <w:r w:rsidRPr="00CC1BEF">
        <w:rPr>
          <w:noProof/>
        </w:rPr>
        <w:t>2021</w:t>
      </w:r>
      <w:r w:rsidRPr="005F0761">
        <w:rPr>
          <w:noProof/>
        </w:rPr>
        <w:t xml:space="preserve"> bis </w:t>
      </w:r>
      <w:r w:rsidRPr="00CC1BEF">
        <w:rPr>
          <w:noProof/>
        </w:rPr>
        <w:t>2027</w:t>
      </w:r>
      <w:r w:rsidRPr="005F0761">
        <w:rPr>
          <w:noProof/>
        </w:rPr>
        <w:t xml:space="preserve"> sollten daher für die Jahre </w:t>
      </w:r>
      <w:r w:rsidRPr="00CC1BEF">
        <w:rPr>
          <w:noProof/>
        </w:rPr>
        <w:t>2024</w:t>
      </w:r>
      <w:r w:rsidRPr="005F0761">
        <w:rPr>
          <w:noProof/>
        </w:rPr>
        <w:t xml:space="preserve"> bis </w:t>
      </w:r>
      <w:r w:rsidRPr="00CC1BEF">
        <w:rPr>
          <w:noProof/>
        </w:rPr>
        <w:t>2027</w:t>
      </w:r>
      <w:r w:rsidRPr="005F0761">
        <w:rPr>
          <w:noProof/>
        </w:rPr>
        <w:t xml:space="preserve"> geändert werden, und Anhang I der Verordnung (EU, Euratom) </w:t>
      </w:r>
      <w:r w:rsidRPr="00CC1BEF">
        <w:rPr>
          <w:noProof/>
        </w:rPr>
        <w:t>2020</w:t>
      </w:r>
      <w:r w:rsidRPr="005F0761">
        <w:rPr>
          <w:noProof/>
        </w:rPr>
        <w:t>/</w:t>
      </w:r>
      <w:r w:rsidRPr="00CC1BEF">
        <w:rPr>
          <w:noProof/>
        </w:rPr>
        <w:t>2093</w:t>
      </w:r>
      <w:r w:rsidRPr="005F0761">
        <w:rPr>
          <w:noProof/>
        </w:rPr>
        <w:t xml:space="preserve"> sollte entsprechend geändert werden.</w:t>
      </w:r>
    </w:p>
    <w:p w14:paraId="4BBC99FF" w14:textId="422952DA" w:rsidR="00582D4F" w:rsidRPr="005F0761" w:rsidRDefault="00582D4F" w:rsidP="00582D4F">
      <w:pPr>
        <w:pStyle w:val="ManualHeading2"/>
        <w:rPr>
          <w:rFonts w:eastAsia="Arial Unicode MS"/>
          <w:noProof/>
          <w:u w:color="000000"/>
          <w:bdr w:val="nil"/>
        </w:rPr>
      </w:pPr>
      <w:r w:rsidRPr="00CC1BEF">
        <w:rPr>
          <w:noProof/>
          <w:u w:color="000000"/>
          <w:bdr w:val="nil"/>
        </w:rPr>
        <w:t>4</w:t>
      </w:r>
      <w:r w:rsidRPr="005F0761">
        <w:rPr>
          <w:noProof/>
          <w:u w:color="000000"/>
          <w:bdr w:val="nil"/>
        </w:rPr>
        <w:t>.</w:t>
      </w:r>
      <w:r w:rsidRPr="00CC1BEF">
        <w:rPr>
          <w:noProof/>
          <w:u w:color="000000"/>
          <w:bdr w:val="nil"/>
        </w:rPr>
        <w:t>2</w:t>
      </w:r>
      <w:r w:rsidRPr="005F0761">
        <w:rPr>
          <w:noProof/>
          <w:u w:color="000000"/>
          <w:bdr w:val="nil"/>
        </w:rPr>
        <w:t>.</w:t>
      </w:r>
      <w:r w:rsidRPr="005F0761">
        <w:rPr>
          <w:noProof/>
        </w:rPr>
        <w:tab/>
      </w:r>
      <w:r w:rsidRPr="005F0761">
        <w:rPr>
          <w:noProof/>
          <w:u w:color="000000"/>
          <w:bdr w:val="nil"/>
        </w:rPr>
        <w:t>Besondere Instrumente</w:t>
      </w:r>
    </w:p>
    <w:p w14:paraId="6A601EA6" w14:textId="45E0FDCE" w:rsidR="00582D4F" w:rsidRPr="005F0761" w:rsidRDefault="00D9403D" w:rsidP="000D507A">
      <w:pPr>
        <w:rPr>
          <w:noProof/>
        </w:rPr>
      </w:pPr>
      <w:r w:rsidRPr="005F0761">
        <w:rPr>
          <w:noProof/>
        </w:rPr>
        <w:t xml:space="preserve">Besondere Instrumente – einschließlich der in diesem Vorschlag vorgesehenen neuen besonderen Instrumente „EURI-Instrument“ und „Ukrainereserve“ – werden im Einklang mit den Verfahren gemäß der Verordnung (EU, Euratom) </w:t>
      </w:r>
      <w:r w:rsidRPr="00CC1BEF">
        <w:rPr>
          <w:noProof/>
        </w:rPr>
        <w:t>2020</w:t>
      </w:r>
      <w:r w:rsidRPr="005F0761">
        <w:rPr>
          <w:noProof/>
        </w:rPr>
        <w:t>/</w:t>
      </w:r>
      <w:r w:rsidRPr="00CC1BEF">
        <w:rPr>
          <w:noProof/>
        </w:rPr>
        <w:t>2093</w:t>
      </w:r>
      <w:r w:rsidRPr="005F0761">
        <w:rPr>
          <w:noProof/>
        </w:rPr>
        <w:t xml:space="preserve"> und gegebenenfalls den einschlägigen Basisrechtsakten in Anspruch genommen.</w:t>
      </w:r>
    </w:p>
    <w:p w14:paraId="55490861" w14:textId="77165879" w:rsidR="00526750" w:rsidRPr="005F0761" w:rsidRDefault="00526750" w:rsidP="000D507A">
      <w:pPr>
        <w:rPr>
          <w:noProof/>
        </w:rPr>
      </w:pPr>
      <w:r w:rsidRPr="005F0761">
        <w:rPr>
          <w:noProof/>
        </w:rPr>
        <w:t>Da Ausgaben im Zusammenhang mit besonderen Instrumenten über die Ausgabenobergrenzen des Mehrjährigen Finanzrahmens hinaus eingestellt werden, wirkt sich der vorliegende Vorschlag in dieser Hinsicht nicht unmittelbar auf den Haushalt aus.</w:t>
      </w:r>
    </w:p>
    <w:p w14:paraId="2BB74517" w14:textId="77777777" w:rsidR="00A9152B" w:rsidRPr="005F0761" w:rsidRDefault="00A9152B" w:rsidP="000D507A">
      <w:pPr>
        <w:rPr>
          <w:noProof/>
        </w:rPr>
      </w:pPr>
    </w:p>
    <w:p w14:paraId="4E48E1D7" w14:textId="77777777" w:rsidR="000076A5" w:rsidRPr="005F0761" w:rsidRDefault="000076A5">
      <w:pPr>
        <w:rPr>
          <w:noProof/>
        </w:rPr>
        <w:sectPr w:rsidR="000076A5" w:rsidRPr="005F0761" w:rsidSect="00F84F8C">
          <w:footerReference w:type="default" r:id="rId13"/>
          <w:footerReference w:type="first" r:id="rId14"/>
          <w:pgSz w:w="11907" w:h="16839"/>
          <w:pgMar w:top="1134" w:right="1417" w:bottom="1134" w:left="1417" w:header="709" w:footer="709" w:gutter="0"/>
          <w:cols w:space="708"/>
          <w:docGrid w:linePitch="360"/>
        </w:sectPr>
      </w:pPr>
    </w:p>
    <w:p w14:paraId="59255EC7" w14:textId="64C66DD5" w:rsidR="00686E05" w:rsidRPr="005F0761" w:rsidRDefault="00C5489C" w:rsidP="00C5489C">
      <w:pPr>
        <w:pStyle w:val="Rfrenceinterinstitutionnelle"/>
        <w:rPr>
          <w:noProof/>
        </w:rPr>
      </w:pPr>
      <w:r w:rsidRPr="00C5489C">
        <w:t>2023/0201 (APP)</w:t>
      </w:r>
    </w:p>
    <w:p w14:paraId="5D0CCC9F" w14:textId="2B87C602" w:rsidR="000076A5" w:rsidRPr="005F0761" w:rsidRDefault="00BD54F4" w:rsidP="00BD54F4">
      <w:pPr>
        <w:pStyle w:val="Statut"/>
        <w:rPr>
          <w:noProof/>
        </w:rPr>
      </w:pPr>
      <w:r w:rsidRPr="00BD54F4">
        <w:rPr>
          <w:noProof/>
        </w:rPr>
        <w:t>Vorschlag für eine</w:t>
      </w:r>
    </w:p>
    <w:p w14:paraId="4F12CF98" w14:textId="1D95D18F" w:rsidR="000076A5" w:rsidRPr="005F0761" w:rsidRDefault="00BD54F4" w:rsidP="00BD54F4">
      <w:pPr>
        <w:pStyle w:val="Typedudocument"/>
        <w:rPr>
          <w:noProof/>
        </w:rPr>
      </w:pPr>
      <w:r w:rsidRPr="00BD54F4">
        <w:rPr>
          <w:noProof/>
        </w:rPr>
        <w:t>VERORDNUNG DES RATES</w:t>
      </w:r>
    </w:p>
    <w:p w14:paraId="1FB2E046" w14:textId="78EF5850" w:rsidR="000076A5" w:rsidRPr="005F0761" w:rsidRDefault="00BD54F4" w:rsidP="00BD54F4">
      <w:pPr>
        <w:pStyle w:val="Titreobjet"/>
        <w:rPr>
          <w:noProof/>
        </w:rPr>
      </w:pPr>
      <w:r w:rsidRPr="00BD54F4">
        <w:rPr>
          <w:noProof/>
        </w:rPr>
        <w:t>zur Änderung der Verordnung (EU, Euratom) 2020/2093 zur Festlegung des mehrjährigen Finanzrahmens für die Jahre 2021 bis 2027</w:t>
      </w:r>
      <w:r w:rsidRPr="00BD54F4">
        <w:rPr>
          <w:noProof/>
        </w:rPr>
        <w:br/>
      </w:r>
    </w:p>
    <w:p w14:paraId="2C52A00B" w14:textId="77777777" w:rsidR="000076A5" w:rsidRPr="005F0761" w:rsidRDefault="000076A5">
      <w:pPr>
        <w:pStyle w:val="Institutionquiagit"/>
        <w:rPr>
          <w:noProof/>
        </w:rPr>
      </w:pPr>
      <w:r w:rsidRPr="005F0761">
        <w:rPr>
          <w:noProof/>
        </w:rPr>
        <w:t>DER RAT DER EUROPÄISCHEN UNION —</w:t>
      </w:r>
    </w:p>
    <w:p w14:paraId="78D28BD3" w14:textId="77777777" w:rsidR="000076A5" w:rsidRPr="005F0761" w:rsidRDefault="000076A5">
      <w:pPr>
        <w:rPr>
          <w:noProof/>
        </w:rPr>
      </w:pPr>
      <w:r w:rsidRPr="005F0761">
        <w:rPr>
          <w:noProof/>
        </w:rPr>
        <w:t>gestützt auf den Vertrag über die Arbeitsweise der Europäischen Union, insbesondere auf Artikel </w:t>
      </w:r>
      <w:r w:rsidRPr="00CC1BEF">
        <w:rPr>
          <w:noProof/>
        </w:rPr>
        <w:t>312</w:t>
      </w:r>
      <w:r w:rsidRPr="005F0761">
        <w:rPr>
          <w:noProof/>
        </w:rPr>
        <w:t>,</w:t>
      </w:r>
    </w:p>
    <w:p w14:paraId="404B28F2" w14:textId="77777777" w:rsidR="007B0BA7" w:rsidRPr="005F0761" w:rsidRDefault="007B0BA7">
      <w:pPr>
        <w:rPr>
          <w:noProof/>
        </w:rPr>
      </w:pPr>
      <w:r w:rsidRPr="005F0761">
        <w:rPr>
          <w:noProof/>
        </w:rPr>
        <w:t>gestützt auf den Vertrag zur Gründung der Europäischen Atomgemeinschaft, insbesondere auf Artikel </w:t>
      </w:r>
      <w:r w:rsidRPr="00CC1BEF">
        <w:rPr>
          <w:noProof/>
        </w:rPr>
        <w:t>106</w:t>
      </w:r>
      <w:r w:rsidRPr="005F0761">
        <w:rPr>
          <w:noProof/>
        </w:rPr>
        <w:t>a,</w:t>
      </w:r>
    </w:p>
    <w:p w14:paraId="1E6E992B" w14:textId="77777777" w:rsidR="000076A5" w:rsidRPr="005F0761" w:rsidRDefault="000076A5">
      <w:pPr>
        <w:rPr>
          <w:noProof/>
        </w:rPr>
      </w:pPr>
      <w:r w:rsidRPr="005F0761">
        <w:rPr>
          <w:noProof/>
        </w:rPr>
        <w:t>auf Vorschlag der Europäischen Kommission,</w:t>
      </w:r>
    </w:p>
    <w:p w14:paraId="13F6C484" w14:textId="77777777" w:rsidR="007B0BA7" w:rsidRPr="005F0761" w:rsidRDefault="007B0BA7" w:rsidP="007B0BA7">
      <w:pPr>
        <w:rPr>
          <w:noProof/>
          <w:szCs w:val="24"/>
        </w:rPr>
      </w:pPr>
      <w:r w:rsidRPr="005F0761">
        <w:rPr>
          <w:noProof/>
        </w:rPr>
        <w:t>nach Zustimmung des Europäischen Parlaments</w:t>
      </w:r>
      <w:r w:rsidRPr="005F0761">
        <w:rPr>
          <w:rStyle w:val="FootnoteReference"/>
          <w:noProof/>
        </w:rPr>
        <w:footnoteReference w:id="19"/>
      </w:r>
      <w:r w:rsidRPr="005F0761">
        <w:rPr>
          <w:noProof/>
        </w:rPr>
        <w:t xml:space="preserve">, </w:t>
      </w:r>
    </w:p>
    <w:p w14:paraId="7CDDB0C6" w14:textId="77777777" w:rsidR="007B0BA7" w:rsidRPr="005F0761" w:rsidRDefault="007B0BA7" w:rsidP="007B0BA7">
      <w:pPr>
        <w:rPr>
          <w:noProof/>
          <w:szCs w:val="24"/>
        </w:rPr>
      </w:pPr>
      <w:r w:rsidRPr="005F0761">
        <w:rPr>
          <w:noProof/>
        </w:rPr>
        <w:t>nach Zuleitung des Entwurfs des Gesetzgebungsakts an die nationalen Parlamente,</w:t>
      </w:r>
    </w:p>
    <w:p w14:paraId="5FD39E4E" w14:textId="77777777" w:rsidR="000076A5" w:rsidRPr="005F0761" w:rsidRDefault="000076A5">
      <w:pPr>
        <w:rPr>
          <w:noProof/>
        </w:rPr>
      </w:pPr>
      <w:r w:rsidRPr="005F0761">
        <w:rPr>
          <w:noProof/>
        </w:rPr>
        <w:t>gemäß einem besonderen Gesetzgebungsverfahren,</w:t>
      </w:r>
    </w:p>
    <w:p w14:paraId="546CF246" w14:textId="77777777" w:rsidR="000076A5" w:rsidRPr="005F0761" w:rsidRDefault="000076A5">
      <w:pPr>
        <w:rPr>
          <w:noProof/>
        </w:rPr>
      </w:pPr>
      <w:r w:rsidRPr="005F0761">
        <w:rPr>
          <w:noProof/>
        </w:rPr>
        <w:t>in Erwägung nachstehender Gründe:</w:t>
      </w:r>
    </w:p>
    <w:p w14:paraId="72973C65" w14:textId="7C0F5AEB" w:rsidR="000076A5" w:rsidRPr="005F0761" w:rsidRDefault="006C3D91" w:rsidP="006C3D91">
      <w:pPr>
        <w:pStyle w:val="ManualConsidrant"/>
        <w:rPr>
          <w:noProof/>
        </w:rPr>
      </w:pPr>
      <w:r w:rsidRPr="005F0761">
        <w:rPr>
          <w:noProof/>
        </w:rPr>
        <w:t>(</w:t>
      </w:r>
      <w:r w:rsidRPr="00CC1BEF">
        <w:rPr>
          <w:noProof/>
        </w:rPr>
        <w:t>1</w:t>
      </w:r>
      <w:r w:rsidRPr="005F0761">
        <w:rPr>
          <w:noProof/>
        </w:rPr>
        <w:t>)</w:t>
      </w:r>
      <w:r w:rsidRPr="005F0761">
        <w:rPr>
          <w:noProof/>
        </w:rPr>
        <w:tab/>
        <w:t xml:space="preserve">Die Kommission hat nach den ersten Jahren der Umsetzung des in der Verordnung (EU, Euratom) </w:t>
      </w:r>
      <w:r w:rsidRPr="00CC1BEF">
        <w:rPr>
          <w:noProof/>
        </w:rPr>
        <w:t>2020</w:t>
      </w:r>
      <w:r w:rsidRPr="005F0761">
        <w:rPr>
          <w:noProof/>
        </w:rPr>
        <w:t>/</w:t>
      </w:r>
      <w:r w:rsidRPr="00CC1BEF">
        <w:rPr>
          <w:noProof/>
        </w:rPr>
        <w:t>2093</w:t>
      </w:r>
      <w:r w:rsidRPr="005F0761">
        <w:rPr>
          <w:noProof/>
        </w:rPr>
        <w:t xml:space="preserve"> des Rates</w:t>
      </w:r>
      <w:r w:rsidRPr="005F0761">
        <w:rPr>
          <w:rStyle w:val="FootnoteReference"/>
          <w:noProof/>
        </w:rPr>
        <w:footnoteReference w:id="20"/>
      </w:r>
      <w:r w:rsidRPr="005F0761">
        <w:rPr>
          <w:noProof/>
        </w:rPr>
        <w:t xml:space="preserve"> festgelegten Mehrjährigen Finanzrahmens (MFR) für die Jahre </w:t>
      </w:r>
      <w:r w:rsidRPr="00CC1BEF">
        <w:rPr>
          <w:noProof/>
        </w:rPr>
        <w:t>2021</w:t>
      </w:r>
      <w:r w:rsidRPr="005F0761">
        <w:rPr>
          <w:noProof/>
        </w:rPr>
        <w:t xml:space="preserve"> bis </w:t>
      </w:r>
      <w:r w:rsidRPr="00CC1BEF">
        <w:rPr>
          <w:noProof/>
        </w:rPr>
        <w:t>2027</w:t>
      </w:r>
      <w:r w:rsidRPr="005F0761">
        <w:rPr>
          <w:noProof/>
        </w:rPr>
        <w:t xml:space="preserve"> eine Überprüfung der Funktionsweise dieses MFR, einschließlich einer Bewertung der Tragfähigkeit der Ausgabenobergrenzen, vorgelegt.</w:t>
      </w:r>
      <w:r w:rsidRPr="005F0761">
        <w:rPr>
          <w:rStyle w:val="FootnoteReference"/>
          <w:noProof/>
        </w:rPr>
        <w:footnoteReference w:id="21"/>
      </w:r>
    </w:p>
    <w:p w14:paraId="0094CBEA" w14:textId="7BB223AB" w:rsidR="008C3AF5" w:rsidRPr="005F0761" w:rsidRDefault="006C3D91" w:rsidP="006C3D91">
      <w:pPr>
        <w:pStyle w:val="ManualConsidrant"/>
        <w:rPr>
          <w:noProof/>
        </w:rPr>
      </w:pPr>
      <w:r w:rsidRPr="005F0761">
        <w:rPr>
          <w:noProof/>
        </w:rPr>
        <w:t>(</w:t>
      </w:r>
      <w:r w:rsidRPr="00CC1BEF">
        <w:rPr>
          <w:noProof/>
        </w:rPr>
        <w:t>2</w:t>
      </w:r>
      <w:r w:rsidRPr="005F0761">
        <w:rPr>
          <w:noProof/>
        </w:rPr>
        <w:t>)</w:t>
      </w:r>
      <w:r w:rsidRPr="005F0761">
        <w:rPr>
          <w:noProof/>
        </w:rPr>
        <w:tab/>
        <w:t xml:space="preserve">Seit Dezember </w:t>
      </w:r>
      <w:r w:rsidRPr="00CC1BEF">
        <w:rPr>
          <w:noProof/>
        </w:rPr>
        <w:t>2020</w:t>
      </w:r>
      <w:r w:rsidRPr="005F0761">
        <w:rPr>
          <w:noProof/>
        </w:rPr>
        <w:t xml:space="preserve"> steht die Union einer Reihe beispielloser und unerwarteter Herausforderungen gegenüber. Die Union hat rasch gehandelt und alle ihr zur Verfügung stehenden Mittel genutzt, doch die begrenzte Haushaltsflexibilität im Zuge des MFR für </w:t>
      </w:r>
      <w:r w:rsidRPr="00CC1BEF">
        <w:rPr>
          <w:noProof/>
        </w:rPr>
        <w:t>2021</w:t>
      </w:r>
      <w:r w:rsidRPr="005F0761">
        <w:rPr>
          <w:noProof/>
        </w:rPr>
        <w:t xml:space="preserve"> bis </w:t>
      </w:r>
      <w:r w:rsidRPr="00CC1BEF">
        <w:rPr>
          <w:noProof/>
        </w:rPr>
        <w:t>2027</w:t>
      </w:r>
      <w:r w:rsidRPr="005F0761">
        <w:rPr>
          <w:noProof/>
        </w:rPr>
        <w:t xml:space="preserve"> ist nun fast ausgeschöpft, sodass der EU-Haushalt kaum noch Möglichkeiten bietet, auch nur die dringendsten Herausforderungen anzugehen.</w:t>
      </w:r>
    </w:p>
    <w:p w14:paraId="419D42BE" w14:textId="32DA4C69" w:rsidR="00A47B72" w:rsidRPr="005F0761" w:rsidRDefault="006C3D91" w:rsidP="006C3D91">
      <w:pPr>
        <w:pStyle w:val="ManualConsidrant"/>
        <w:rPr>
          <w:noProof/>
        </w:rPr>
      </w:pPr>
      <w:r w:rsidRPr="005F0761">
        <w:rPr>
          <w:noProof/>
        </w:rPr>
        <w:t>(</w:t>
      </w:r>
      <w:r w:rsidRPr="00CC1BEF">
        <w:rPr>
          <w:noProof/>
        </w:rPr>
        <w:t>3</w:t>
      </w:r>
      <w:r w:rsidRPr="005F0761">
        <w:rPr>
          <w:noProof/>
        </w:rPr>
        <w:t>)</w:t>
      </w:r>
      <w:r w:rsidRPr="005F0761">
        <w:rPr>
          <w:noProof/>
        </w:rPr>
        <w:tab/>
        <w:t>In den ersten Jahren der Umsetzung des MFR wurden besondere Instrumente in großem Umfang genutzt, um vielfältige Herausforderungen anzugehen. Zusätzliche Maßnahmen müssen auch weiterhin ergriffen werden, doch für die Reaktion auf solche Situationen stehen während der verbleibenden Laufzeit des MFR nur äußerst begrenzte Haushaltsmittel zur Verfügung.</w:t>
      </w:r>
    </w:p>
    <w:p w14:paraId="781DC59F" w14:textId="6F392483" w:rsidR="00A31400" w:rsidRPr="005F0761" w:rsidRDefault="006C3D91" w:rsidP="006C3D91">
      <w:pPr>
        <w:pStyle w:val="ManualConsidrant"/>
        <w:rPr>
          <w:noProof/>
        </w:rPr>
      </w:pPr>
      <w:r w:rsidRPr="005F0761">
        <w:rPr>
          <w:noProof/>
        </w:rPr>
        <w:t>(</w:t>
      </w:r>
      <w:r w:rsidRPr="00CC1BEF">
        <w:rPr>
          <w:noProof/>
        </w:rPr>
        <w:t>4</w:t>
      </w:r>
      <w:r w:rsidRPr="005F0761">
        <w:rPr>
          <w:noProof/>
        </w:rPr>
        <w:t>)</w:t>
      </w:r>
      <w:r w:rsidRPr="005F0761">
        <w:rPr>
          <w:noProof/>
        </w:rPr>
        <w:tab/>
        <w:t>Der EU-Haushalt sollte die Union in die Lage versetzen, die notwendigen politischen Maßnahmen zur Reaktion auf neue Herausforderungen zu treffen und rechtlichen Verpflichtungen nachzukommen, denen im Rahmen der bestehenden Obergrenzen und der ausgeschöpften Flexibilität nicht Rechnung getragen werden kann. Daher sollten die Ausgabenobergrenzen der Mittel für Verpflichtungen der Rubriken </w:t>
      </w:r>
      <w:r w:rsidRPr="00CC1BEF">
        <w:rPr>
          <w:noProof/>
        </w:rPr>
        <w:t>1</w:t>
      </w:r>
      <w:r w:rsidRPr="005F0761">
        <w:rPr>
          <w:noProof/>
        </w:rPr>
        <w:t xml:space="preserve">, </w:t>
      </w:r>
      <w:r w:rsidRPr="00CC1BEF">
        <w:rPr>
          <w:noProof/>
        </w:rPr>
        <w:t>3</w:t>
      </w:r>
      <w:r w:rsidRPr="005F0761">
        <w:rPr>
          <w:noProof/>
        </w:rPr>
        <w:t xml:space="preserve">, </w:t>
      </w:r>
      <w:r w:rsidRPr="00CC1BEF">
        <w:rPr>
          <w:noProof/>
        </w:rPr>
        <w:t>5</w:t>
      </w:r>
      <w:r w:rsidRPr="005F0761">
        <w:rPr>
          <w:noProof/>
        </w:rPr>
        <w:t xml:space="preserve">, </w:t>
      </w:r>
      <w:r w:rsidRPr="00CC1BEF">
        <w:rPr>
          <w:noProof/>
        </w:rPr>
        <w:t>6</w:t>
      </w:r>
      <w:r w:rsidRPr="005F0761">
        <w:rPr>
          <w:noProof/>
        </w:rPr>
        <w:t xml:space="preserve"> und </w:t>
      </w:r>
      <w:r w:rsidRPr="00CC1BEF">
        <w:rPr>
          <w:noProof/>
        </w:rPr>
        <w:t>7</w:t>
      </w:r>
      <w:r w:rsidRPr="005F0761">
        <w:rPr>
          <w:noProof/>
        </w:rPr>
        <w:t xml:space="preserve">, einschließlich der Teilobergrenze für die Verwaltungsausgaben der Organe, für die Jahre </w:t>
      </w:r>
      <w:r w:rsidRPr="00CC1BEF">
        <w:rPr>
          <w:noProof/>
        </w:rPr>
        <w:t>2024</w:t>
      </w:r>
      <w:r w:rsidRPr="005F0761">
        <w:rPr>
          <w:noProof/>
        </w:rPr>
        <w:t xml:space="preserve">, </w:t>
      </w:r>
      <w:r w:rsidRPr="00CC1BEF">
        <w:rPr>
          <w:noProof/>
        </w:rPr>
        <w:t>2025</w:t>
      </w:r>
      <w:r w:rsidRPr="005F0761">
        <w:rPr>
          <w:noProof/>
        </w:rPr>
        <w:t xml:space="preserve">, </w:t>
      </w:r>
      <w:r w:rsidRPr="00CC1BEF">
        <w:rPr>
          <w:noProof/>
        </w:rPr>
        <w:t>2026</w:t>
      </w:r>
      <w:r w:rsidRPr="005F0761">
        <w:rPr>
          <w:noProof/>
        </w:rPr>
        <w:t xml:space="preserve"> und </w:t>
      </w:r>
      <w:r w:rsidRPr="00CC1BEF">
        <w:rPr>
          <w:noProof/>
        </w:rPr>
        <w:t>2027</w:t>
      </w:r>
      <w:r w:rsidRPr="005F0761">
        <w:rPr>
          <w:noProof/>
        </w:rPr>
        <w:t xml:space="preserve"> sowie die Obergrenze der Rubrik </w:t>
      </w:r>
      <w:r w:rsidRPr="00CC1BEF">
        <w:rPr>
          <w:noProof/>
        </w:rPr>
        <w:t>4</w:t>
      </w:r>
      <w:r w:rsidRPr="005F0761">
        <w:rPr>
          <w:noProof/>
        </w:rPr>
        <w:t xml:space="preserve"> für die Jahre </w:t>
      </w:r>
      <w:r w:rsidRPr="00CC1BEF">
        <w:rPr>
          <w:noProof/>
        </w:rPr>
        <w:t>2025</w:t>
      </w:r>
      <w:r w:rsidRPr="005F0761">
        <w:rPr>
          <w:noProof/>
        </w:rPr>
        <w:t xml:space="preserve">, </w:t>
      </w:r>
      <w:r w:rsidRPr="00CC1BEF">
        <w:rPr>
          <w:noProof/>
        </w:rPr>
        <w:t>2026</w:t>
      </w:r>
      <w:r w:rsidRPr="005F0761">
        <w:rPr>
          <w:noProof/>
        </w:rPr>
        <w:t xml:space="preserve"> und </w:t>
      </w:r>
      <w:r w:rsidRPr="00CC1BEF">
        <w:rPr>
          <w:noProof/>
        </w:rPr>
        <w:t>2027</w:t>
      </w:r>
      <w:r w:rsidRPr="005F0761">
        <w:rPr>
          <w:noProof/>
        </w:rPr>
        <w:t xml:space="preserve"> angehoben werden. Infolgedessen sollten die Ausgabenobergrenzen der Mittel für Zahlungen für die Jahre </w:t>
      </w:r>
      <w:r w:rsidRPr="00CC1BEF">
        <w:rPr>
          <w:noProof/>
        </w:rPr>
        <w:t>2026</w:t>
      </w:r>
      <w:r w:rsidRPr="005F0761">
        <w:rPr>
          <w:noProof/>
        </w:rPr>
        <w:t xml:space="preserve"> und </w:t>
      </w:r>
      <w:r w:rsidRPr="00CC1BEF">
        <w:rPr>
          <w:noProof/>
        </w:rPr>
        <w:t>2027</w:t>
      </w:r>
      <w:r w:rsidRPr="005F0761">
        <w:rPr>
          <w:noProof/>
        </w:rPr>
        <w:t xml:space="preserve"> angehoben werden.</w:t>
      </w:r>
    </w:p>
    <w:p w14:paraId="6AC26CA3" w14:textId="4933EF20" w:rsidR="004576BA" w:rsidRPr="005F0761" w:rsidRDefault="006C3D91" w:rsidP="006C3D91">
      <w:pPr>
        <w:pStyle w:val="ManualConsidrant"/>
        <w:rPr>
          <w:rStyle w:val="normaltextrun"/>
          <w:noProof/>
        </w:rPr>
      </w:pPr>
      <w:r w:rsidRPr="005F0761">
        <w:rPr>
          <w:rStyle w:val="normaltextrun"/>
          <w:noProof/>
        </w:rPr>
        <w:t>(</w:t>
      </w:r>
      <w:r w:rsidRPr="00CC1BEF">
        <w:rPr>
          <w:rStyle w:val="normaltextrun"/>
          <w:noProof/>
        </w:rPr>
        <w:t>5</w:t>
      </w:r>
      <w:r w:rsidRPr="005F0761">
        <w:rPr>
          <w:rStyle w:val="normaltextrun"/>
          <w:noProof/>
        </w:rPr>
        <w:t>)</w:t>
      </w:r>
      <w:r w:rsidRPr="005F0761">
        <w:rPr>
          <w:noProof/>
        </w:rPr>
        <w:tab/>
        <w:t>Aufgrund des rechtswidrigen Angriffskriegs Russlands gegen die Ukraine herrscht wieder Krieg auf europäischem Boden. Die Union wird die Ukraine weiterhin so lange wie nötig unterstützen und ihr entschlossen auf ihrem europäischen Weg beistehen. Zu diesem Zweck haben das Europäische Parlament und der Rat die Verordnung (EU) [XXX] [Fazilität für die Ukraine]</w:t>
      </w:r>
      <w:r w:rsidRPr="005F0761">
        <w:rPr>
          <w:rStyle w:val="FootnoteReference"/>
          <w:noProof/>
        </w:rPr>
        <w:footnoteReference w:id="22"/>
      </w:r>
      <w:r w:rsidRPr="005F0761">
        <w:rPr>
          <w:noProof/>
        </w:rPr>
        <w:t xml:space="preserve"> </w:t>
      </w:r>
      <w:r w:rsidRPr="005F0761">
        <w:rPr>
          <w:rStyle w:val="normaltextrun"/>
          <w:noProof/>
          <w:color w:val="000000"/>
          <w:shd w:val="clear" w:color="auto" w:fill="FFFFFF"/>
        </w:rPr>
        <w:t>erlassen, um die makrofinanzielle Stabilität, den Wiederaufbau und die Modernisierung der Ukraine sowie deren Reformanstrengungen auf ihrem Weg zum EU-Beitritt zu unterstützen.</w:t>
      </w:r>
    </w:p>
    <w:p w14:paraId="6A7BA778" w14:textId="66398F1B" w:rsidR="004714DA" w:rsidRPr="005F0761" w:rsidRDefault="006C3D91" w:rsidP="006C3D91">
      <w:pPr>
        <w:pStyle w:val="ManualConsidrant"/>
        <w:rPr>
          <w:noProof/>
        </w:rPr>
      </w:pPr>
      <w:r w:rsidRPr="005F0761">
        <w:rPr>
          <w:noProof/>
        </w:rPr>
        <w:t>(</w:t>
      </w:r>
      <w:r w:rsidRPr="00CC1BEF">
        <w:rPr>
          <w:noProof/>
        </w:rPr>
        <w:t>6</w:t>
      </w:r>
      <w:r w:rsidRPr="005F0761">
        <w:rPr>
          <w:noProof/>
        </w:rPr>
        <w:t>)</w:t>
      </w:r>
      <w:r w:rsidRPr="005F0761">
        <w:rPr>
          <w:noProof/>
        </w:rPr>
        <w:tab/>
      </w:r>
      <w:r w:rsidRPr="005F0761">
        <w:rPr>
          <w:rStyle w:val="normaltextrun"/>
          <w:noProof/>
          <w:color w:val="000000"/>
          <w:bdr w:val="none" w:sz="0" w:space="0" w:color="auto" w:frame="1"/>
        </w:rPr>
        <w:t xml:space="preserve">Angesichts der Unwägbarkeiten im Zusammenhang mit dem Angriffskrieg Russlands sollte die Fazilität für die Ukraine ein flexibles Instrument </w:t>
      </w:r>
      <w:r w:rsidRPr="005F0761">
        <w:rPr>
          <w:noProof/>
        </w:rPr>
        <w:t xml:space="preserve">sein, über das die Ukraine bis </w:t>
      </w:r>
      <w:r w:rsidRPr="00CC1BEF">
        <w:rPr>
          <w:noProof/>
        </w:rPr>
        <w:t>2027</w:t>
      </w:r>
      <w:r w:rsidRPr="005F0761">
        <w:rPr>
          <w:noProof/>
        </w:rPr>
        <w:t xml:space="preserve"> in angemessener Form und Höhe unterstützt wird. Die Unterstützung im Rahmen der Fazilität für die Ukraine sollte in Form von Darlehen, nicht rückzahlbarer Unterstützung und der Dotierung von Haushaltsgarantien gewährt werden.</w:t>
      </w:r>
    </w:p>
    <w:p w14:paraId="1DF2ED06" w14:textId="71E12AF3" w:rsidR="00D377CF" w:rsidRPr="005F0761" w:rsidRDefault="006C3D91" w:rsidP="006C3D91">
      <w:pPr>
        <w:pStyle w:val="ManualConsidrant"/>
        <w:rPr>
          <w:noProof/>
        </w:rPr>
      </w:pPr>
      <w:r w:rsidRPr="005F0761">
        <w:rPr>
          <w:noProof/>
        </w:rPr>
        <w:t>(</w:t>
      </w:r>
      <w:r w:rsidRPr="00CC1BEF">
        <w:rPr>
          <w:noProof/>
        </w:rPr>
        <w:t>7</w:t>
      </w:r>
      <w:r w:rsidRPr="005F0761">
        <w:rPr>
          <w:noProof/>
        </w:rPr>
        <w:t>)</w:t>
      </w:r>
      <w:r w:rsidRPr="005F0761">
        <w:rPr>
          <w:noProof/>
        </w:rPr>
        <w:tab/>
        <w:t xml:space="preserve">Für den Teil der Unterstützung im Rahmen der Fazilität für die Ukraine, der in Form von Darlehen gewährt wird, sollte die bestehende Garantie aus dem Unionshaushalt zur Deckung des der Ukraine geleisteten finanziellen Beistands bis </w:t>
      </w:r>
      <w:r w:rsidRPr="00CC1BEF">
        <w:rPr>
          <w:noProof/>
        </w:rPr>
        <w:t>2027</w:t>
      </w:r>
      <w:r w:rsidRPr="005F0761">
        <w:rPr>
          <w:noProof/>
        </w:rPr>
        <w:t xml:space="preserve"> verlängert werden. Infolgedessen sollte es möglich sein, die erforderlichen Mittel aus dem Unionshaushalt für einen bis Ende </w:t>
      </w:r>
      <w:r w:rsidRPr="00CC1BEF">
        <w:rPr>
          <w:noProof/>
        </w:rPr>
        <w:t>2027</w:t>
      </w:r>
      <w:r w:rsidRPr="005F0761">
        <w:rPr>
          <w:noProof/>
        </w:rPr>
        <w:t xml:space="preserve"> zur Verfügung stehenden finanziellen Beistand für die Ukraine über die MFR-Obergrenzen hinaus bereitzustellen.</w:t>
      </w:r>
    </w:p>
    <w:p w14:paraId="0B7BCA43" w14:textId="6F036FB3" w:rsidR="00D377CF" w:rsidRPr="005F0761" w:rsidRDefault="006C3D91" w:rsidP="006C3D91">
      <w:pPr>
        <w:pStyle w:val="ManualConsidrant"/>
        <w:rPr>
          <w:noProof/>
        </w:rPr>
      </w:pPr>
      <w:r w:rsidRPr="005F0761">
        <w:rPr>
          <w:noProof/>
        </w:rPr>
        <w:t>(</w:t>
      </w:r>
      <w:r w:rsidRPr="00CC1BEF">
        <w:rPr>
          <w:noProof/>
        </w:rPr>
        <w:t>8</w:t>
      </w:r>
      <w:r w:rsidRPr="005F0761">
        <w:rPr>
          <w:noProof/>
        </w:rPr>
        <w:t>)</w:t>
      </w:r>
      <w:r w:rsidRPr="005F0761">
        <w:rPr>
          <w:noProof/>
        </w:rPr>
        <w:tab/>
        <w:t>Für den Teil der Unterstützung im Rahmen der Fazilität für die Ukraine, der in Form einer nicht rückzahlbaren Unterstützung und der Dotierung von Haushaltsgarantien gewährt wird, sollten die Mittel über ein neues thematisches besonderes Instrument – die Ukrainereserve – bereitgestellt werden. Die Mittel für Verpflichtungen und die entsprechenden Mittel für Zahlungen sollten jährlich im Rahmen des Haushaltsverfahrens gemäß Artikel </w:t>
      </w:r>
      <w:r w:rsidRPr="00CC1BEF">
        <w:rPr>
          <w:noProof/>
        </w:rPr>
        <w:t>314</w:t>
      </w:r>
      <w:r w:rsidRPr="005F0761">
        <w:rPr>
          <w:noProof/>
        </w:rPr>
        <w:t xml:space="preserve"> AEUV über die MFR-Obergrenzen hinaus bereitgestellt werden.</w:t>
      </w:r>
    </w:p>
    <w:p w14:paraId="4CCADC48" w14:textId="38C81612" w:rsidR="00C620AD" w:rsidRPr="005F0761" w:rsidRDefault="006C3D91" w:rsidP="006C3D91">
      <w:pPr>
        <w:pStyle w:val="ManualConsidrant"/>
        <w:rPr>
          <w:noProof/>
        </w:rPr>
      </w:pPr>
      <w:r w:rsidRPr="005F0761">
        <w:rPr>
          <w:noProof/>
        </w:rPr>
        <w:t>(</w:t>
      </w:r>
      <w:r w:rsidRPr="00CC1BEF">
        <w:rPr>
          <w:noProof/>
        </w:rPr>
        <w:t>9</w:t>
      </w:r>
      <w:r w:rsidRPr="005F0761">
        <w:rPr>
          <w:noProof/>
        </w:rPr>
        <w:t>)</w:t>
      </w:r>
      <w:r w:rsidRPr="005F0761">
        <w:rPr>
          <w:noProof/>
        </w:rPr>
        <w:tab/>
        <w:t xml:space="preserve">Im Interesse der Planbarkeit der Fazilität für die Ukraine und der geordneten Entwicklung der Ausgaben sollten jährliche Mindestrichtbeträge und Höchstbeträge festgelegt werden, die im Zeitraum </w:t>
      </w:r>
      <w:r w:rsidRPr="00CC1BEF">
        <w:rPr>
          <w:noProof/>
        </w:rPr>
        <w:t>2024</w:t>
      </w:r>
      <w:r w:rsidRPr="005F0761">
        <w:rPr>
          <w:noProof/>
        </w:rPr>
        <w:t xml:space="preserve"> bis </w:t>
      </w:r>
      <w:r w:rsidRPr="00CC1BEF">
        <w:rPr>
          <w:noProof/>
        </w:rPr>
        <w:t>2027</w:t>
      </w:r>
      <w:r w:rsidRPr="005F0761">
        <w:rPr>
          <w:noProof/>
        </w:rPr>
        <w:t xml:space="preserve"> jährlich für die Ukrainereserve bereitgestellt werden können.</w:t>
      </w:r>
    </w:p>
    <w:p w14:paraId="473FDA1F" w14:textId="743F3B05" w:rsidR="00DC2C51" w:rsidRPr="005F0761" w:rsidRDefault="006C3D91" w:rsidP="006C3D91">
      <w:pPr>
        <w:pStyle w:val="ManualConsidrant"/>
        <w:rPr>
          <w:noProof/>
        </w:rPr>
      </w:pPr>
      <w:r w:rsidRPr="005F0761">
        <w:rPr>
          <w:noProof/>
        </w:rPr>
        <w:t>(</w:t>
      </w:r>
      <w:r w:rsidRPr="00CC1BEF">
        <w:rPr>
          <w:noProof/>
        </w:rPr>
        <w:t>10</w:t>
      </w:r>
      <w:r w:rsidRPr="005F0761">
        <w:rPr>
          <w:noProof/>
        </w:rPr>
        <w:t>)</w:t>
      </w:r>
      <w:r w:rsidRPr="005F0761">
        <w:rPr>
          <w:noProof/>
        </w:rPr>
        <w:tab/>
        <w:t xml:space="preserve">Seit </w:t>
      </w:r>
      <w:r w:rsidRPr="00CC1BEF">
        <w:rPr>
          <w:noProof/>
        </w:rPr>
        <w:t>2022</w:t>
      </w:r>
      <w:r w:rsidRPr="005F0761">
        <w:rPr>
          <w:noProof/>
        </w:rPr>
        <w:t xml:space="preserve"> verzeichnen die Union und die meisten großen Volkswirtschaften plötzliche Anstiege der Zinssätze für alle Anleiheemittenten, einschließlich der Union. Infolgedessen werden die gemäß Artikel </w:t>
      </w:r>
      <w:r w:rsidRPr="00CC1BEF">
        <w:rPr>
          <w:noProof/>
        </w:rPr>
        <w:t>5</w:t>
      </w:r>
      <w:r w:rsidRPr="005F0761">
        <w:rPr>
          <w:noProof/>
        </w:rPr>
        <w:t xml:space="preserve"> Absatz </w:t>
      </w:r>
      <w:r w:rsidRPr="00CC1BEF">
        <w:rPr>
          <w:noProof/>
        </w:rPr>
        <w:t>2</w:t>
      </w:r>
      <w:r w:rsidRPr="005F0761">
        <w:rPr>
          <w:noProof/>
        </w:rPr>
        <w:t xml:space="preserve"> des Beschlusses (EU, Euratom) </w:t>
      </w:r>
      <w:r w:rsidRPr="00CC1BEF">
        <w:rPr>
          <w:noProof/>
        </w:rPr>
        <w:t>2020</w:t>
      </w:r>
      <w:r w:rsidRPr="005F0761">
        <w:rPr>
          <w:noProof/>
        </w:rPr>
        <w:t>/</w:t>
      </w:r>
      <w:r w:rsidRPr="00CC1BEF">
        <w:rPr>
          <w:noProof/>
        </w:rPr>
        <w:t>2053</w:t>
      </w:r>
      <w:r w:rsidRPr="005F0761">
        <w:rPr>
          <w:rStyle w:val="FootnoteReference"/>
          <w:noProof/>
        </w:rPr>
        <w:footnoteReference w:id="23"/>
      </w:r>
      <w:r w:rsidRPr="005F0761">
        <w:rPr>
          <w:noProof/>
        </w:rPr>
        <w:t xml:space="preserve"> im Rahmen des Unionshaushalts zu tragenden Finanzierungskosten für die Mittel, die im Rahmen des Aufbauinstruments der Europäischen Union (im Folgenden „NextGenerationEU“) aufgenommen wurden, die bei der Annahme im Dezember </w:t>
      </w:r>
      <w:r w:rsidRPr="00CC1BEF">
        <w:rPr>
          <w:noProof/>
        </w:rPr>
        <w:t>2020</w:t>
      </w:r>
      <w:r w:rsidRPr="005F0761">
        <w:rPr>
          <w:noProof/>
        </w:rPr>
        <w:t xml:space="preserve"> ursprünglich bei den MFR-Obergrenzen eingeplanten Schätzungen voraussichtlich übersteigen.</w:t>
      </w:r>
    </w:p>
    <w:p w14:paraId="643EA151" w14:textId="3DB8C3E0" w:rsidR="00637638" w:rsidRPr="005F0761" w:rsidRDefault="006C3D91" w:rsidP="006C3D91">
      <w:pPr>
        <w:pStyle w:val="ManualConsidrant"/>
        <w:rPr>
          <w:noProof/>
        </w:rPr>
      </w:pPr>
      <w:r w:rsidRPr="005F0761">
        <w:rPr>
          <w:noProof/>
        </w:rPr>
        <w:t>(</w:t>
      </w:r>
      <w:r w:rsidRPr="00CC1BEF">
        <w:rPr>
          <w:noProof/>
        </w:rPr>
        <w:t>11</w:t>
      </w:r>
      <w:r w:rsidRPr="005F0761">
        <w:rPr>
          <w:noProof/>
        </w:rPr>
        <w:t>)</w:t>
      </w:r>
      <w:r w:rsidRPr="005F0761">
        <w:rPr>
          <w:noProof/>
        </w:rPr>
        <w:tab/>
        <w:t>Angesichts der ungewissen künftigen Entwicklung der Zinssätze und zur Vermeidung von unangemessenem Druck auf Unionsprogramme sollte ein neues thematisches besonderes Instrument eingerichtet werden, um alle Finanzierungskosten für im Rahmen von NextGenerationEU aufgenommene Mittel, die über die ursprünglich eingeplanten Beträge hinausgehen, zu decken. Die erforderlichen Mittel für Verpflichtungen und entsprechenden Mittel für Zahlungen des Unionshaushalts sollten über die MFR-Obergrenzen hinaus bereitgestellt werden.</w:t>
      </w:r>
    </w:p>
    <w:p w14:paraId="3970394D" w14:textId="7D9AFBBF" w:rsidR="0027349C" w:rsidRPr="005F0761" w:rsidRDefault="006C3D91" w:rsidP="006C3D91">
      <w:pPr>
        <w:pStyle w:val="ManualConsidrant"/>
        <w:rPr>
          <w:noProof/>
        </w:rPr>
      </w:pPr>
      <w:r w:rsidRPr="005F0761">
        <w:rPr>
          <w:noProof/>
        </w:rPr>
        <w:t>(</w:t>
      </w:r>
      <w:r w:rsidRPr="00CC1BEF">
        <w:rPr>
          <w:noProof/>
        </w:rPr>
        <w:t>12</w:t>
      </w:r>
      <w:r w:rsidRPr="005F0761">
        <w:rPr>
          <w:noProof/>
        </w:rPr>
        <w:t>)</w:t>
      </w:r>
      <w:r w:rsidRPr="005F0761">
        <w:rPr>
          <w:noProof/>
        </w:rPr>
        <w:tab/>
        <w:t xml:space="preserve">Die Solidaritäts- und Soforthilfereserve und das Flexibilitätsinstrument sollten verstärkt werden, damit die Union bis </w:t>
      </w:r>
      <w:r w:rsidRPr="00CC1BEF">
        <w:rPr>
          <w:noProof/>
        </w:rPr>
        <w:t>2027</w:t>
      </w:r>
      <w:r w:rsidRPr="005F0761">
        <w:rPr>
          <w:noProof/>
        </w:rPr>
        <w:t xml:space="preserve"> weiterhin über eine ausreichende Kapazität verfügt, um auf unvorhergesehene Umstände zu reagieren.</w:t>
      </w:r>
    </w:p>
    <w:p w14:paraId="0BA315F0" w14:textId="32839940" w:rsidR="009C6E7D" w:rsidRPr="005F0761" w:rsidRDefault="006C3D91" w:rsidP="006C3D91">
      <w:pPr>
        <w:pStyle w:val="ManualConsidrant"/>
        <w:rPr>
          <w:noProof/>
        </w:rPr>
      </w:pPr>
      <w:r w:rsidRPr="005F0761">
        <w:rPr>
          <w:noProof/>
        </w:rPr>
        <w:t>(</w:t>
      </w:r>
      <w:r w:rsidRPr="00CC1BEF">
        <w:rPr>
          <w:noProof/>
        </w:rPr>
        <w:t>13</w:t>
      </w:r>
      <w:r w:rsidRPr="005F0761">
        <w:rPr>
          <w:noProof/>
        </w:rPr>
        <w:t>)</w:t>
      </w:r>
      <w:r w:rsidRPr="005F0761">
        <w:rPr>
          <w:noProof/>
        </w:rPr>
        <w:tab/>
        <w:t xml:space="preserve">In Anbetracht dieser unerwarteten Ereignisse und neuen Herausforderungen ist es notwendig, den MFR zu überarbeiten; daher sollte die Verordnung (EU, Euratom) </w:t>
      </w:r>
      <w:r w:rsidRPr="00CC1BEF">
        <w:rPr>
          <w:noProof/>
        </w:rPr>
        <w:t>2020</w:t>
      </w:r>
      <w:r w:rsidRPr="005F0761">
        <w:rPr>
          <w:noProof/>
        </w:rPr>
        <w:t>/</w:t>
      </w:r>
      <w:r w:rsidRPr="00CC1BEF">
        <w:rPr>
          <w:noProof/>
        </w:rPr>
        <w:t>2093</w:t>
      </w:r>
      <w:r w:rsidRPr="005F0761">
        <w:rPr>
          <w:noProof/>
        </w:rPr>
        <w:t xml:space="preserve"> entsprechend geändert werden.</w:t>
      </w:r>
    </w:p>
    <w:p w14:paraId="1525B608" w14:textId="426B896B" w:rsidR="00016673" w:rsidRPr="005F0761" w:rsidRDefault="006C3D91" w:rsidP="006C3D91">
      <w:pPr>
        <w:pStyle w:val="ManualConsidrant"/>
        <w:rPr>
          <w:noProof/>
        </w:rPr>
      </w:pPr>
      <w:r w:rsidRPr="005F0761">
        <w:rPr>
          <w:noProof/>
        </w:rPr>
        <w:t>(</w:t>
      </w:r>
      <w:r w:rsidRPr="00CC1BEF">
        <w:rPr>
          <w:noProof/>
        </w:rPr>
        <w:t>14</w:t>
      </w:r>
      <w:r w:rsidRPr="005F0761">
        <w:rPr>
          <w:noProof/>
        </w:rPr>
        <w:t>)</w:t>
      </w:r>
      <w:r w:rsidRPr="005F0761">
        <w:rPr>
          <w:noProof/>
        </w:rPr>
        <w:tab/>
        <w:t xml:space="preserve">Die Änderungen der Verordnung (EU, Euratom) </w:t>
      </w:r>
      <w:r w:rsidRPr="00CC1BEF">
        <w:rPr>
          <w:noProof/>
        </w:rPr>
        <w:t>2020</w:t>
      </w:r>
      <w:r w:rsidRPr="005F0761">
        <w:rPr>
          <w:noProof/>
        </w:rPr>
        <w:t>/</w:t>
      </w:r>
      <w:r w:rsidRPr="00CC1BEF">
        <w:rPr>
          <w:noProof/>
        </w:rPr>
        <w:t>2093</w:t>
      </w:r>
      <w:r w:rsidRPr="005F0761">
        <w:rPr>
          <w:noProof/>
        </w:rPr>
        <w:t xml:space="preserve"> lassen die Verpflichtung zur Einhaltung der Eigenmittelobergrenzen gemäß Artikel </w:t>
      </w:r>
      <w:r w:rsidRPr="00CC1BEF">
        <w:rPr>
          <w:noProof/>
        </w:rPr>
        <w:t>3</w:t>
      </w:r>
      <w:r w:rsidRPr="005F0761">
        <w:rPr>
          <w:noProof/>
        </w:rPr>
        <w:t xml:space="preserve"> Absatz </w:t>
      </w:r>
      <w:r w:rsidRPr="00CC1BEF">
        <w:rPr>
          <w:noProof/>
        </w:rPr>
        <w:t>1</w:t>
      </w:r>
      <w:r w:rsidRPr="005F0761">
        <w:rPr>
          <w:noProof/>
        </w:rPr>
        <w:t xml:space="preserve"> und Artikel </w:t>
      </w:r>
      <w:r w:rsidRPr="00CC1BEF">
        <w:rPr>
          <w:noProof/>
        </w:rPr>
        <w:t>6</w:t>
      </w:r>
      <w:r w:rsidRPr="005F0761">
        <w:rPr>
          <w:noProof/>
        </w:rPr>
        <w:t xml:space="preserve"> des Beschlusses (EU, Euratom) </w:t>
      </w:r>
      <w:r w:rsidRPr="00CC1BEF">
        <w:rPr>
          <w:noProof/>
        </w:rPr>
        <w:t>2020</w:t>
      </w:r>
      <w:r w:rsidRPr="005F0761">
        <w:rPr>
          <w:noProof/>
        </w:rPr>
        <w:t>/</w:t>
      </w:r>
      <w:r w:rsidRPr="00CC1BEF">
        <w:rPr>
          <w:noProof/>
        </w:rPr>
        <w:t>2053</w:t>
      </w:r>
      <w:r w:rsidRPr="005F0761">
        <w:rPr>
          <w:noProof/>
        </w:rPr>
        <w:t xml:space="preserve"> des Rates unberührt —</w:t>
      </w:r>
    </w:p>
    <w:p w14:paraId="0A8D613F" w14:textId="77777777" w:rsidR="000076A5" w:rsidRPr="005F0761" w:rsidRDefault="000076A5">
      <w:pPr>
        <w:pStyle w:val="Formuledadoption"/>
        <w:rPr>
          <w:noProof/>
        </w:rPr>
      </w:pPr>
      <w:r w:rsidRPr="005F0761">
        <w:rPr>
          <w:noProof/>
        </w:rPr>
        <w:t>HAT FOLGENDE VERORDNUNG ERLASSEN:</w:t>
      </w:r>
    </w:p>
    <w:p w14:paraId="6CD8652E" w14:textId="77777777" w:rsidR="000076A5" w:rsidRPr="005F0761" w:rsidRDefault="000076A5">
      <w:pPr>
        <w:pStyle w:val="Titrearticle"/>
        <w:rPr>
          <w:noProof/>
        </w:rPr>
      </w:pPr>
      <w:r w:rsidRPr="005F0761">
        <w:rPr>
          <w:noProof/>
        </w:rPr>
        <w:t>Artikel </w:t>
      </w:r>
      <w:r w:rsidRPr="00CC1BEF">
        <w:rPr>
          <w:noProof/>
        </w:rPr>
        <w:t>1</w:t>
      </w:r>
    </w:p>
    <w:p w14:paraId="44AE97DD" w14:textId="77777777" w:rsidR="00C93B3E" w:rsidRPr="005F0761" w:rsidRDefault="00C93B3E" w:rsidP="00C93B3E">
      <w:pPr>
        <w:rPr>
          <w:noProof/>
        </w:rPr>
      </w:pPr>
      <w:r w:rsidRPr="005F0761">
        <w:rPr>
          <w:noProof/>
        </w:rPr>
        <w:t xml:space="preserve">Die Verordnung (EU, Euratom) </w:t>
      </w:r>
      <w:r w:rsidRPr="00CC1BEF">
        <w:rPr>
          <w:noProof/>
        </w:rPr>
        <w:t>2020</w:t>
      </w:r>
      <w:r w:rsidRPr="005F0761">
        <w:rPr>
          <w:noProof/>
        </w:rPr>
        <w:t>/</w:t>
      </w:r>
      <w:r w:rsidRPr="00CC1BEF">
        <w:rPr>
          <w:noProof/>
        </w:rPr>
        <w:t>2093</w:t>
      </w:r>
      <w:r w:rsidRPr="005F0761">
        <w:rPr>
          <w:noProof/>
        </w:rPr>
        <w:t xml:space="preserve"> wird wie folgt geändert:</w:t>
      </w:r>
    </w:p>
    <w:p w14:paraId="59739E39" w14:textId="2E81BE3A" w:rsidR="007B5033" w:rsidRPr="005F0761" w:rsidRDefault="006C3D91" w:rsidP="006C3D91">
      <w:pPr>
        <w:pStyle w:val="Point0"/>
        <w:rPr>
          <w:noProof/>
        </w:rPr>
      </w:pPr>
      <w:r w:rsidRPr="00CC1BEF">
        <w:rPr>
          <w:noProof/>
        </w:rPr>
        <w:t>1</w:t>
      </w:r>
      <w:r w:rsidRPr="005F0761">
        <w:rPr>
          <w:noProof/>
        </w:rPr>
        <w:t>.</w:t>
      </w:r>
      <w:r w:rsidRPr="005F0761">
        <w:rPr>
          <w:noProof/>
        </w:rPr>
        <w:tab/>
        <w:t>Artikel </w:t>
      </w:r>
      <w:r w:rsidRPr="00CC1BEF">
        <w:rPr>
          <w:noProof/>
        </w:rPr>
        <w:t>2</w:t>
      </w:r>
      <w:r w:rsidRPr="005F0761">
        <w:rPr>
          <w:noProof/>
        </w:rPr>
        <w:t xml:space="preserve"> wird wie folgt geändert:</w:t>
      </w:r>
    </w:p>
    <w:p w14:paraId="7904C064" w14:textId="755A9136" w:rsidR="007E5930" w:rsidRPr="005F0761" w:rsidRDefault="006C3D91" w:rsidP="006C3D91">
      <w:pPr>
        <w:pStyle w:val="Point1"/>
        <w:rPr>
          <w:noProof/>
        </w:rPr>
      </w:pPr>
      <w:r w:rsidRPr="005F0761">
        <w:rPr>
          <w:noProof/>
        </w:rPr>
        <w:t>a)</w:t>
      </w:r>
      <w:r w:rsidRPr="005F0761">
        <w:rPr>
          <w:noProof/>
        </w:rPr>
        <w:tab/>
        <w:t>Absatz </w:t>
      </w:r>
      <w:r w:rsidRPr="00CC1BEF">
        <w:rPr>
          <w:noProof/>
        </w:rPr>
        <w:t>2</w:t>
      </w:r>
      <w:r w:rsidRPr="005F0761">
        <w:rPr>
          <w:noProof/>
        </w:rPr>
        <w:t xml:space="preserve"> Unterabsatz </w:t>
      </w:r>
      <w:r w:rsidRPr="00CC1BEF">
        <w:rPr>
          <w:noProof/>
        </w:rPr>
        <w:t>1</w:t>
      </w:r>
      <w:r w:rsidRPr="005F0761">
        <w:rPr>
          <w:noProof/>
        </w:rPr>
        <w:t xml:space="preserve"> erhält folgende Fassung:</w:t>
      </w:r>
    </w:p>
    <w:p w14:paraId="4655A4A1" w14:textId="2EC11710" w:rsidR="00956A8A" w:rsidRPr="005F0761" w:rsidRDefault="00B246B5" w:rsidP="005F3E0D">
      <w:pPr>
        <w:pStyle w:val="Text2"/>
        <w:rPr>
          <w:noProof/>
        </w:rPr>
      </w:pPr>
      <w:r w:rsidRPr="005F0761">
        <w:rPr>
          <w:noProof/>
        </w:rPr>
        <w:t>„(</w:t>
      </w:r>
      <w:r w:rsidRPr="00CC1BEF">
        <w:rPr>
          <w:noProof/>
        </w:rPr>
        <w:t>2</w:t>
      </w:r>
      <w:r w:rsidRPr="005F0761">
        <w:rPr>
          <w:noProof/>
        </w:rPr>
        <w:t>) Ist es erforderlich, die Mittel aus den besonderen Instrumenten gemäß den Artikeln </w:t>
      </w:r>
      <w:r w:rsidRPr="00CC1BEF">
        <w:rPr>
          <w:noProof/>
        </w:rPr>
        <w:t>8</w:t>
      </w:r>
      <w:r w:rsidRPr="005F0761">
        <w:rPr>
          <w:noProof/>
        </w:rPr>
        <w:t xml:space="preserve">, </w:t>
      </w:r>
      <w:r w:rsidRPr="00CC1BEF">
        <w:rPr>
          <w:noProof/>
        </w:rPr>
        <w:t>9</w:t>
      </w:r>
      <w:r w:rsidRPr="005F0761">
        <w:rPr>
          <w:noProof/>
        </w:rPr>
        <w:t xml:space="preserve">, </w:t>
      </w:r>
      <w:r w:rsidRPr="00CC1BEF">
        <w:rPr>
          <w:noProof/>
        </w:rPr>
        <w:t>10</w:t>
      </w:r>
      <w:r w:rsidRPr="005F0761">
        <w:rPr>
          <w:noProof/>
        </w:rPr>
        <w:t xml:space="preserve">, </w:t>
      </w:r>
      <w:r w:rsidRPr="00CC1BEF">
        <w:rPr>
          <w:noProof/>
        </w:rPr>
        <w:t>10</w:t>
      </w:r>
      <w:r w:rsidRPr="005F0761">
        <w:rPr>
          <w:noProof/>
        </w:rPr>
        <w:t xml:space="preserve">a, </w:t>
      </w:r>
      <w:r w:rsidRPr="00CC1BEF">
        <w:rPr>
          <w:noProof/>
        </w:rPr>
        <w:t>10</w:t>
      </w:r>
      <w:r w:rsidRPr="005F0761">
        <w:rPr>
          <w:noProof/>
        </w:rPr>
        <w:t xml:space="preserve">b und </w:t>
      </w:r>
      <w:r w:rsidRPr="00CC1BEF">
        <w:rPr>
          <w:noProof/>
        </w:rPr>
        <w:t>12</w:t>
      </w:r>
      <w:r w:rsidRPr="005F0761">
        <w:rPr>
          <w:noProof/>
        </w:rPr>
        <w:t xml:space="preserve"> in Anspruch zu nehmen, werden in den Haushaltsplan Mittel für Verpflichtungen und entsprechende Mittel für Zahlungen eingestellt, die die maßgeblichen Obergrenzen des MFR übersteigen.“</w:t>
      </w:r>
    </w:p>
    <w:p w14:paraId="72E08524" w14:textId="317F227B" w:rsidR="00F8722F" w:rsidRPr="005F0761" w:rsidRDefault="006C3D91" w:rsidP="006C3D91">
      <w:pPr>
        <w:pStyle w:val="Point1"/>
        <w:rPr>
          <w:noProof/>
        </w:rPr>
      </w:pPr>
      <w:r w:rsidRPr="005F0761">
        <w:rPr>
          <w:noProof/>
        </w:rPr>
        <w:t>b)</w:t>
      </w:r>
      <w:r w:rsidRPr="005F0761">
        <w:rPr>
          <w:noProof/>
        </w:rPr>
        <w:tab/>
        <w:t>Absatz </w:t>
      </w:r>
      <w:r w:rsidRPr="00CC1BEF">
        <w:rPr>
          <w:noProof/>
        </w:rPr>
        <w:t>3</w:t>
      </w:r>
      <w:r w:rsidRPr="005F0761">
        <w:rPr>
          <w:noProof/>
        </w:rPr>
        <w:t xml:space="preserve"> Unterabsatz </w:t>
      </w:r>
      <w:r w:rsidRPr="00CC1BEF">
        <w:rPr>
          <w:noProof/>
        </w:rPr>
        <w:t>2</w:t>
      </w:r>
      <w:r w:rsidRPr="005F0761">
        <w:rPr>
          <w:noProof/>
        </w:rPr>
        <w:t xml:space="preserve"> erhält folgende Fassung:</w:t>
      </w:r>
    </w:p>
    <w:p w14:paraId="3C2ABA1C" w14:textId="634FED2F" w:rsidR="00F8722F" w:rsidRPr="005F0761" w:rsidRDefault="00B246B5" w:rsidP="005F3E0D">
      <w:pPr>
        <w:pStyle w:val="Text2"/>
        <w:rPr>
          <w:noProof/>
        </w:rPr>
      </w:pPr>
      <w:r w:rsidRPr="005F0761">
        <w:rPr>
          <w:noProof/>
        </w:rPr>
        <w:t>„Ist es erforderlich, eine Garantie für einen gemäß Artikel </w:t>
      </w:r>
      <w:r w:rsidRPr="00CC1BEF">
        <w:rPr>
          <w:noProof/>
        </w:rPr>
        <w:t>220</w:t>
      </w:r>
      <w:r w:rsidRPr="005F0761">
        <w:rPr>
          <w:noProof/>
        </w:rPr>
        <w:t xml:space="preserve"> Absatz </w:t>
      </w:r>
      <w:r w:rsidRPr="00CC1BEF">
        <w:rPr>
          <w:noProof/>
        </w:rPr>
        <w:t>1</w:t>
      </w:r>
      <w:r w:rsidRPr="005F0761">
        <w:rPr>
          <w:noProof/>
        </w:rPr>
        <w:t xml:space="preserve"> der Haushaltsordnung genehmigten und für die Jahre </w:t>
      </w:r>
      <w:r w:rsidRPr="00CC1BEF">
        <w:rPr>
          <w:noProof/>
        </w:rPr>
        <w:t>2023</w:t>
      </w:r>
      <w:r w:rsidRPr="005F0761">
        <w:rPr>
          <w:noProof/>
        </w:rPr>
        <w:t xml:space="preserve"> bis </w:t>
      </w:r>
      <w:r w:rsidRPr="00CC1BEF">
        <w:rPr>
          <w:noProof/>
        </w:rPr>
        <w:t>2027</w:t>
      </w:r>
      <w:r w:rsidRPr="005F0761">
        <w:rPr>
          <w:noProof/>
        </w:rPr>
        <w:t xml:space="preserve"> zur Verfügung stehenden finanziellen Beistand für die Ukraine in Anspruch zu nehmen, so wird der notwendige Betrag über die MFR-Obergrenzen hinaus bereitgestellt.“</w:t>
      </w:r>
    </w:p>
    <w:p w14:paraId="5DC19305" w14:textId="663C4710" w:rsidR="00956A8A" w:rsidRPr="005F0761" w:rsidRDefault="006C3D91" w:rsidP="006C3D91">
      <w:pPr>
        <w:pStyle w:val="Point0"/>
        <w:rPr>
          <w:noProof/>
        </w:rPr>
      </w:pPr>
      <w:r w:rsidRPr="00CC1BEF">
        <w:rPr>
          <w:noProof/>
        </w:rPr>
        <w:t>2</w:t>
      </w:r>
      <w:r w:rsidRPr="005F0761">
        <w:rPr>
          <w:noProof/>
        </w:rPr>
        <w:t>.</w:t>
      </w:r>
      <w:r w:rsidRPr="005F0761">
        <w:rPr>
          <w:noProof/>
        </w:rPr>
        <w:tab/>
        <w:t>Artikel </w:t>
      </w:r>
      <w:r w:rsidRPr="00CC1BEF">
        <w:rPr>
          <w:noProof/>
        </w:rPr>
        <w:t>9</w:t>
      </w:r>
      <w:r w:rsidRPr="005F0761">
        <w:rPr>
          <w:noProof/>
        </w:rPr>
        <w:t xml:space="preserve"> Absatz </w:t>
      </w:r>
      <w:r w:rsidRPr="00CC1BEF">
        <w:rPr>
          <w:noProof/>
        </w:rPr>
        <w:t>2</w:t>
      </w:r>
      <w:r w:rsidRPr="005F0761">
        <w:rPr>
          <w:noProof/>
        </w:rPr>
        <w:t xml:space="preserve"> erhält folgende Fassung:</w:t>
      </w:r>
    </w:p>
    <w:p w14:paraId="6631FFC1" w14:textId="351FBACC" w:rsidR="00A6489F" w:rsidRPr="005F0761" w:rsidRDefault="002F2310" w:rsidP="00956A8A">
      <w:pPr>
        <w:pStyle w:val="Text1"/>
        <w:rPr>
          <w:noProof/>
        </w:rPr>
      </w:pPr>
      <w:r w:rsidRPr="005F0761">
        <w:rPr>
          <w:noProof/>
        </w:rPr>
        <w:t>„(</w:t>
      </w:r>
      <w:r w:rsidRPr="00CC1BEF">
        <w:rPr>
          <w:noProof/>
        </w:rPr>
        <w:t>2</w:t>
      </w:r>
      <w:r w:rsidRPr="005F0761">
        <w:rPr>
          <w:noProof/>
        </w:rPr>
        <w:t xml:space="preserve">) Die Solidaritäts- und Soforthilfereserve darf einen jährlichen Höchstbetrag von </w:t>
      </w:r>
      <w:r w:rsidRPr="00CC1BEF">
        <w:rPr>
          <w:noProof/>
        </w:rPr>
        <w:t>1739</w:t>
      </w:r>
      <w:r w:rsidRPr="005F0761">
        <w:rPr>
          <w:noProof/>
        </w:rPr>
        <w:t xml:space="preserve"> Mio. EUR (zu Preisen von </w:t>
      </w:r>
      <w:r w:rsidRPr="00CC1BEF">
        <w:rPr>
          <w:noProof/>
        </w:rPr>
        <w:t>2018</w:t>
      </w:r>
      <w:r w:rsidRPr="005F0761">
        <w:rPr>
          <w:noProof/>
        </w:rPr>
        <w:t>) nicht überschreiten. Jeglicher im Jahr n nicht in Anspruch genommener Teil der jährlichen Mittelausstattung kann bis zum Jahr n+</w:t>
      </w:r>
      <w:r w:rsidRPr="00CC1BEF">
        <w:rPr>
          <w:noProof/>
        </w:rPr>
        <w:t>1</w:t>
      </w:r>
      <w:r w:rsidRPr="005F0761">
        <w:rPr>
          <w:noProof/>
        </w:rPr>
        <w:t xml:space="preserve"> in Anspruch genommen werden. Der Teil der jährlichen Mittelausstattung, der bereits im vorangegangenen Haushaltsplan ausgewiesen war, wird zuerst in Anspruch genommen. Jeglicher Teil der jährlichen Mittelausstattung des Jahres n, der im Jahr n+</w:t>
      </w:r>
      <w:r w:rsidRPr="00CC1BEF">
        <w:rPr>
          <w:noProof/>
        </w:rPr>
        <w:t>1</w:t>
      </w:r>
      <w:r w:rsidRPr="005F0761">
        <w:rPr>
          <w:noProof/>
        </w:rPr>
        <w:t xml:space="preserve"> nicht in Anspruch genommen wird, verfällt.“</w:t>
      </w:r>
    </w:p>
    <w:p w14:paraId="272D8042" w14:textId="06BB9B2A" w:rsidR="00A6489F" w:rsidRPr="005F0761" w:rsidRDefault="006C3D91" w:rsidP="006C3D91">
      <w:pPr>
        <w:pStyle w:val="Point0"/>
        <w:rPr>
          <w:noProof/>
        </w:rPr>
      </w:pPr>
      <w:r w:rsidRPr="00CC1BEF">
        <w:rPr>
          <w:noProof/>
        </w:rPr>
        <w:t>3</w:t>
      </w:r>
      <w:r w:rsidRPr="005F0761">
        <w:rPr>
          <w:noProof/>
        </w:rPr>
        <w:t>.</w:t>
      </w:r>
      <w:r w:rsidRPr="005F0761">
        <w:rPr>
          <w:noProof/>
        </w:rPr>
        <w:tab/>
        <w:t>Folgende Artikel werden eingefügt:</w:t>
      </w:r>
    </w:p>
    <w:p w14:paraId="179E2218" w14:textId="5CD37B29" w:rsidR="00240E1B" w:rsidRPr="005F0761" w:rsidRDefault="00086D3B" w:rsidP="00240E1B">
      <w:pPr>
        <w:pStyle w:val="Titrearticle"/>
        <w:rPr>
          <w:noProof/>
        </w:rPr>
      </w:pPr>
      <w:r w:rsidRPr="005F0761">
        <w:rPr>
          <w:noProof/>
        </w:rPr>
        <w:t>„Artikel </w:t>
      </w:r>
      <w:r w:rsidRPr="00CC1BEF">
        <w:rPr>
          <w:noProof/>
        </w:rPr>
        <w:t>10</w:t>
      </w:r>
      <w:r w:rsidR="005F0761">
        <w:rPr>
          <w:noProof/>
        </w:rPr>
        <w:t>a</w:t>
      </w:r>
      <w:r w:rsidRPr="005F0761">
        <w:rPr>
          <w:noProof/>
        </w:rPr>
        <w:br/>
        <w:t>Instrument für das Aufbauinstrument der Europäischen Union (EURI-Instrument)</w:t>
      </w:r>
    </w:p>
    <w:p w14:paraId="288EBC73" w14:textId="522E5ACE" w:rsidR="00240E1B" w:rsidRPr="005F0761" w:rsidRDefault="00240E1B" w:rsidP="00240E1B">
      <w:pPr>
        <w:pStyle w:val="ManualNumPar1"/>
        <w:rPr>
          <w:noProof/>
        </w:rPr>
      </w:pPr>
      <w:r w:rsidRPr="005F0761">
        <w:rPr>
          <w:noProof/>
        </w:rPr>
        <w:t>(</w:t>
      </w:r>
      <w:r w:rsidRPr="00CC1BEF">
        <w:rPr>
          <w:noProof/>
        </w:rPr>
        <w:t>1</w:t>
      </w:r>
      <w:r w:rsidRPr="005F0761">
        <w:rPr>
          <w:noProof/>
        </w:rPr>
        <w:t>)</w:t>
      </w:r>
      <w:r w:rsidRPr="005F0761">
        <w:rPr>
          <w:noProof/>
        </w:rPr>
        <w:tab/>
        <w:t>Das EURI-Instrument kann für die Finanzierung zusätzlicher Kosten verwendet werden, wenn die Kosten der Zins- und Kuponzahlungen, die gemäß Artikel </w:t>
      </w:r>
      <w:r w:rsidRPr="00CC1BEF">
        <w:rPr>
          <w:noProof/>
        </w:rPr>
        <w:t>5</w:t>
      </w:r>
      <w:r w:rsidRPr="005F0761">
        <w:rPr>
          <w:noProof/>
        </w:rPr>
        <w:t xml:space="preserve"> Absatz </w:t>
      </w:r>
      <w:r w:rsidRPr="00CC1BEF">
        <w:rPr>
          <w:noProof/>
        </w:rPr>
        <w:t>2</w:t>
      </w:r>
      <w:r w:rsidRPr="005F0761">
        <w:rPr>
          <w:noProof/>
        </w:rPr>
        <w:t xml:space="preserve"> des Beschlusses (EU, Euratom) </w:t>
      </w:r>
      <w:r w:rsidRPr="00CC1BEF">
        <w:rPr>
          <w:noProof/>
        </w:rPr>
        <w:t>2020</w:t>
      </w:r>
      <w:r w:rsidRPr="005F0761">
        <w:rPr>
          <w:noProof/>
        </w:rPr>
        <w:t>/</w:t>
      </w:r>
      <w:r w:rsidRPr="00CC1BEF">
        <w:rPr>
          <w:noProof/>
        </w:rPr>
        <w:t>2053</w:t>
      </w:r>
      <w:r w:rsidRPr="005F0761">
        <w:rPr>
          <w:noProof/>
        </w:rPr>
        <w:t xml:space="preserve"> im Zusammenhang mit den an den Kapitalmärkten aufgenommenen Mitteln fällig sind, in einem bestimmten Jahr die folgenden Beträge (zu Preisen von </w:t>
      </w:r>
      <w:r w:rsidRPr="00CC1BEF">
        <w:rPr>
          <w:noProof/>
        </w:rPr>
        <w:t>2018</w:t>
      </w:r>
      <w:r w:rsidRPr="005F0761">
        <w:rPr>
          <w:noProof/>
        </w:rPr>
        <w:t>) übersteigen:</w:t>
      </w:r>
    </w:p>
    <w:p w14:paraId="232406E8" w14:textId="5B711B48" w:rsidR="00086D3B" w:rsidRPr="005F0761" w:rsidRDefault="00086D3B" w:rsidP="003C7094">
      <w:pPr>
        <w:pStyle w:val="Tiret1"/>
        <w:numPr>
          <w:ilvl w:val="0"/>
          <w:numId w:val="7"/>
        </w:numPr>
        <w:rPr>
          <w:noProof/>
        </w:rPr>
      </w:pPr>
      <w:r w:rsidRPr="00CC1BEF">
        <w:rPr>
          <w:noProof/>
        </w:rPr>
        <w:t>2024</w:t>
      </w:r>
      <w:r w:rsidRPr="005F0761">
        <w:rPr>
          <w:noProof/>
        </w:rPr>
        <w:t xml:space="preserve"> – </w:t>
      </w:r>
      <w:r w:rsidRPr="00CC1BEF">
        <w:rPr>
          <w:noProof/>
        </w:rPr>
        <w:t>1</w:t>
      </w:r>
      <w:r w:rsidRPr="005F0761">
        <w:rPr>
          <w:noProof/>
        </w:rPr>
        <w:t> </w:t>
      </w:r>
      <w:r w:rsidRPr="00CC1BEF">
        <w:rPr>
          <w:noProof/>
        </w:rPr>
        <w:t>840</w:t>
      </w:r>
      <w:r w:rsidRPr="005F0761">
        <w:rPr>
          <w:noProof/>
        </w:rPr>
        <w:t> Mio. EUR,</w:t>
      </w:r>
    </w:p>
    <w:p w14:paraId="3829AC5A" w14:textId="4EB254DE" w:rsidR="00086D3B" w:rsidRPr="005F0761" w:rsidRDefault="00086D3B" w:rsidP="003C7094">
      <w:pPr>
        <w:pStyle w:val="Tiret1"/>
        <w:rPr>
          <w:noProof/>
        </w:rPr>
      </w:pPr>
      <w:r w:rsidRPr="00CC1BEF">
        <w:rPr>
          <w:noProof/>
        </w:rPr>
        <w:t>2025</w:t>
      </w:r>
      <w:r w:rsidRPr="005F0761">
        <w:rPr>
          <w:noProof/>
        </w:rPr>
        <w:t xml:space="preserve"> – </w:t>
      </w:r>
      <w:r w:rsidRPr="00CC1BEF">
        <w:rPr>
          <w:noProof/>
        </w:rPr>
        <w:t>2</w:t>
      </w:r>
      <w:r w:rsidRPr="005F0761">
        <w:rPr>
          <w:noProof/>
        </w:rPr>
        <w:t> </w:t>
      </w:r>
      <w:r w:rsidRPr="00CC1BEF">
        <w:rPr>
          <w:noProof/>
        </w:rPr>
        <w:t>332</w:t>
      </w:r>
      <w:r w:rsidRPr="005F0761">
        <w:rPr>
          <w:noProof/>
        </w:rPr>
        <w:t> Mio. EUR,</w:t>
      </w:r>
    </w:p>
    <w:p w14:paraId="31C5C9C5" w14:textId="2BB8B851" w:rsidR="00086D3B" w:rsidRPr="005F0761" w:rsidRDefault="00086D3B" w:rsidP="003C7094">
      <w:pPr>
        <w:pStyle w:val="Tiret1"/>
        <w:rPr>
          <w:noProof/>
        </w:rPr>
      </w:pPr>
      <w:r w:rsidRPr="00CC1BEF">
        <w:rPr>
          <w:noProof/>
        </w:rPr>
        <w:t>2026</w:t>
      </w:r>
      <w:r w:rsidRPr="005F0761">
        <w:rPr>
          <w:noProof/>
        </w:rPr>
        <w:t xml:space="preserve"> – </w:t>
      </w:r>
      <w:r w:rsidRPr="00CC1BEF">
        <w:rPr>
          <w:noProof/>
        </w:rPr>
        <w:t>3</w:t>
      </w:r>
      <w:r w:rsidRPr="005F0761">
        <w:rPr>
          <w:noProof/>
        </w:rPr>
        <w:t> </w:t>
      </w:r>
      <w:r w:rsidRPr="00CC1BEF">
        <w:rPr>
          <w:noProof/>
        </w:rPr>
        <w:t>196</w:t>
      </w:r>
      <w:r w:rsidRPr="005F0761">
        <w:rPr>
          <w:noProof/>
        </w:rPr>
        <w:t> Mio. EUR,</w:t>
      </w:r>
    </w:p>
    <w:p w14:paraId="50E05452" w14:textId="0AD5D015" w:rsidR="00086D3B" w:rsidRPr="005F0761" w:rsidRDefault="00086D3B" w:rsidP="003C7094">
      <w:pPr>
        <w:pStyle w:val="Tiret1"/>
        <w:rPr>
          <w:noProof/>
        </w:rPr>
      </w:pPr>
      <w:r w:rsidRPr="00CC1BEF">
        <w:rPr>
          <w:noProof/>
        </w:rPr>
        <w:t>2027</w:t>
      </w:r>
      <w:r w:rsidRPr="005F0761">
        <w:rPr>
          <w:noProof/>
        </w:rPr>
        <w:t xml:space="preserve"> – </w:t>
      </w:r>
      <w:r w:rsidRPr="00CC1BEF">
        <w:rPr>
          <w:noProof/>
        </w:rPr>
        <w:t>4</w:t>
      </w:r>
      <w:r w:rsidRPr="005F0761">
        <w:rPr>
          <w:noProof/>
        </w:rPr>
        <w:t> </w:t>
      </w:r>
      <w:r w:rsidRPr="00CC1BEF">
        <w:rPr>
          <w:noProof/>
        </w:rPr>
        <w:t>168</w:t>
      </w:r>
      <w:r w:rsidRPr="005F0761">
        <w:rPr>
          <w:noProof/>
        </w:rPr>
        <w:t> Mio. EUR.</w:t>
      </w:r>
    </w:p>
    <w:p w14:paraId="6786CDA8" w14:textId="575E7025" w:rsidR="00240E1B" w:rsidRPr="005F0761" w:rsidRDefault="00240E1B" w:rsidP="00240E1B">
      <w:pPr>
        <w:pStyle w:val="ManualNumPar1"/>
        <w:rPr>
          <w:noProof/>
        </w:rPr>
      </w:pPr>
      <w:r w:rsidRPr="005F0761">
        <w:rPr>
          <w:noProof/>
        </w:rPr>
        <w:t>(</w:t>
      </w:r>
      <w:r w:rsidRPr="00CC1BEF">
        <w:rPr>
          <w:noProof/>
        </w:rPr>
        <w:t>2</w:t>
      </w:r>
      <w:r w:rsidRPr="005F0761">
        <w:rPr>
          <w:noProof/>
        </w:rPr>
        <w:t>)</w:t>
      </w:r>
      <w:r w:rsidRPr="005F0761">
        <w:rPr>
          <w:noProof/>
        </w:rPr>
        <w:tab/>
        <w:t>Das EURI-Instrument kann vom Europäischen Parlament und vom Rat im Rahmen des Haushaltsverfahrens gemäß Artikel </w:t>
      </w:r>
      <w:r w:rsidRPr="00CC1BEF">
        <w:rPr>
          <w:noProof/>
        </w:rPr>
        <w:t>314</w:t>
      </w:r>
      <w:r w:rsidRPr="005F0761">
        <w:rPr>
          <w:noProof/>
        </w:rPr>
        <w:t xml:space="preserve"> AEUV in Anspruch genommen werden.</w:t>
      </w:r>
    </w:p>
    <w:p w14:paraId="52182881" w14:textId="64138D65" w:rsidR="00047098" w:rsidRPr="005F0761" w:rsidRDefault="00047098" w:rsidP="00047098">
      <w:pPr>
        <w:pStyle w:val="Titrearticle"/>
        <w:rPr>
          <w:noProof/>
        </w:rPr>
      </w:pPr>
      <w:r w:rsidRPr="005F0761">
        <w:rPr>
          <w:noProof/>
        </w:rPr>
        <w:t>Artikel </w:t>
      </w:r>
      <w:r w:rsidRPr="00CC1BEF">
        <w:rPr>
          <w:noProof/>
        </w:rPr>
        <w:t>10</w:t>
      </w:r>
      <w:r w:rsidR="005F0761">
        <w:rPr>
          <w:noProof/>
        </w:rPr>
        <w:t>b</w:t>
      </w:r>
      <w:r w:rsidRPr="005F0761">
        <w:rPr>
          <w:noProof/>
        </w:rPr>
        <w:br/>
        <w:t>Ukrainereserve</w:t>
      </w:r>
    </w:p>
    <w:p w14:paraId="0E6D6380" w14:textId="4B83CE6A" w:rsidR="00544CF4" w:rsidRPr="005F0761" w:rsidRDefault="00047098" w:rsidP="00544CF4">
      <w:pPr>
        <w:pStyle w:val="ManualNumPar1"/>
        <w:rPr>
          <w:noProof/>
        </w:rPr>
      </w:pPr>
      <w:r w:rsidRPr="005F0761">
        <w:rPr>
          <w:noProof/>
        </w:rPr>
        <w:t>(</w:t>
      </w:r>
      <w:r w:rsidRPr="00CC1BEF">
        <w:rPr>
          <w:noProof/>
        </w:rPr>
        <w:t>1</w:t>
      </w:r>
      <w:r w:rsidRPr="005F0761">
        <w:rPr>
          <w:noProof/>
        </w:rPr>
        <w:t>)</w:t>
      </w:r>
      <w:r w:rsidRPr="005F0761">
        <w:rPr>
          <w:noProof/>
        </w:rPr>
        <w:tab/>
        <w:t xml:space="preserve">Die Ukrainereserve kann ausschließlich für die Finanzierung von Ausgaben gemäß der [Verordnung über die Fazilität für die Ukraine] in Anspruch genommen werden, und mit ihr sollen mindestens </w:t>
      </w:r>
      <w:r w:rsidRPr="00CC1BEF">
        <w:rPr>
          <w:noProof/>
        </w:rPr>
        <w:t>2</w:t>
      </w:r>
      <w:bookmarkStart w:id="5" w:name="_Hlk136341772"/>
      <w:r w:rsidRPr="00CC1BEF">
        <w:rPr>
          <w:noProof/>
        </w:rPr>
        <w:t>500</w:t>
      </w:r>
      <w:r w:rsidRPr="005F0761">
        <w:rPr>
          <w:noProof/>
        </w:rPr>
        <w:t> Mio. EUR zu jeweiligen Preisen</w:t>
      </w:r>
      <w:bookmarkEnd w:id="5"/>
      <w:r w:rsidRPr="005F0761">
        <w:rPr>
          <w:noProof/>
        </w:rPr>
        <w:t xml:space="preserve"> als jährlicher Richtbetrag bereitgestellt werden.</w:t>
      </w:r>
    </w:p>
    <w:p w14:paraId="158ED934" w14:textId="122CFBDF" w:rsidR="00544CF4" w:rsidRPr="005F0761" w:rsidRDefault="00544CF4" w:rsidP="00544CF4">
      <w:pPr>
        <w:pStyle w:val="ManualNumPar1"/>
        <w:rPr>
          <w:noProof/>
        </w:rPr>
      </w:pPr>
      <w:r w:rsidRPr="005F0761">
        <w:rPr>
          <w:noProof/>
        </w:rPr>
        <w:t>(</w:t>
      </w:r>
      <w:r w:rsidRPr="00CC1BEF">
        <w:rPr>
          <w:noProof/>
        </w:rPr>
        <w:t>2</w:t>
      </w:r>
      <w:r w:rsidRPr="005F0761">
        <w:rPr>
          <w:noProof/>
        </w:rPr>
        <w:t>)</w:t>
      </w:r>
      <w:r w:rsidRPr="005F0761">
        <w:rPr>
          <w:noProof/>
        </w:rPr>
        <w:tab/>
        <w:t xml:space="preserve">Die Ukrainereserve darf im Zeitraum </w:t>
      </w:r>
      <w:r w:rsidRPr="00CC1BEF">
        <w:rPr>
          <w:noProof/>
        </w:rPr>
        <w:t>2024</w:t>
      </w:r>
      <w:r w:rsidRPr="005F0761">
        <w:rPr>
          <w:noProof/>
        </w:rPr>
        <w:t xml:space="preserve"> bis </w:t>
      </w:r>
      <w:r w:rsidRPr="00CC1BEF">
        <w:rPr>
          <w:noProof/>
        </w:rPr>
        <w:t>2027</w:t>
      </w:r>
      <w:r w:rsidRPr="005F0761">
        <w:rPr>
          <w:noProof/>
        </w:rPr>
        <w:t xml:space="preserve"> einen Betrag von </w:t>
      </w:r>
      <w:r w:rsidRPr="00CC1BEF">
        <w:rPr>
          <w:noProof/>
        </w:rPr>
        <w:t>50</w:t>
      </w:r>
      <w:r w:rsidRPr="005F0761">
        <w:rPr>
          <w:noProof/>
        </w:rPr>
        <w:t> </w:t>
      </w:r>
      <w:r w:rsidRPr="00CC1BEF">
        <w:rPr>
          <w:noProof/>
        </w:rPr>
        <w:t>000</w:t>
      </w:r>
      <w:r w:rsidRPr="005F0761">
        <w:rPr>
          <w:noProof/>
        </w:rPr>
        <w:t xml:space="preserve"> Mio. EUR zu jeweiligen Preisen nicht übersteigen. Der jährliche Betrag, der in einem bestimmten Jahr im Rahmen der Ukrainereserve bereitgestellt wird, darf </w:t>
      </w:r>
      <w:r w:rsidRPr="00CC1BEF">
        <w:rPr>
          <w:noProof/>
        </w:rPr>
        <w:t>16</w:t>
      </w:r>
      <w:r w:rsidRPr="005F0761">
        <w:rPr>
          <w:noProof/>
        </w:rPr>
        <w:t> </w:t>
      </w:r>
      <w:r w:rsidRPr="00CC1BEF">
        <w:rPr>
          <w:noProof/>
        </w:rPr>
        <w:t>700</w:t>
      </w:r>
      <w:r w:rsidRPr="005F0761">
        <w:rPr>
          <w:noProof/>
        </w:rPr>
        <w:t> Mio. EUR zu jeweiligen Preisen nicht übersteigen.</w:t>
      </w:r>
    </w:p>
    <w:p w14:paraId="652413D3" w14:textId="49F808E4" w:rsidR="00240E1B" w:rsidRPr="005F0761" w:rsidRDefault="00544CF4" w:rsidP="707DED36">
      <w:pPr>
        <w:pStyle w:val="ManualNumPar1"/>
        <w:rPr>
          <w:i/>
          <w:iCs/>
          <w:noProof/>
        </w:rPr>
      </w:pPr>
      <w:r w:rsidRPr="005F0761">
        <w:rPr>
          <w:noProof/>
        </w:rPr>
        <w:t>(</w:t>
      </w:r>
      <w:r w:rsidRPr="00CC1BEF">
        <w:rPr>
          <w:noProof/>
        </w:rPr>
        <w:t>3</w:t>
      </w:r>
      <w:r w:rsidRPr="005F0761">
        <w:rPr>
          <w:noProof/>
        </w:rPr>
        <w:t>)</w:t>
      </w:r>
      <w:r w:rsidRPr="005F0761">
        <w:rPr>
          <w:noProof/>
        </w:rPr>
        <w:tab/>
        <w:t>Die Ukrainereserve kann vom Europäischen Parlament und vom Rat im Rahmen des Haushaltsverfahrens gemäß Artikel </w:t>
      </w:r>
      <w:r w:rsidRPr="00CC1BEF">
        <w:rPr>
          <w:noProof/>
        </w:rPr>
        <w:t>314</w:t>
      </w:r>
      <w:r w:rsidRPr="005F0761">
        <w:rPr>
          <w:noProof/>
        </w:rPr>
        <w:t xml:space="preserve"> AEUV in Anspruch genommen werden.“</w:t>
      </w:r>
    </w:p>
    <w:p w14:paraId="0AC1C0DC" w14:textId="297BA026" w:rsidR="00CC6DBB" w:rsidRPr="005F0761" w:rsidRDefault="006C3D91" w:rsidP="006C3D91">
      <w:pPr>
        <w:pStyle w:val="Point0"/>
        <w:rPr>
          <w:noProof/>
        </w:rPr>
      </w:pPr>
      <w:r w:rsidRPr="00CC1BEF">
        <w:rPr>
          <w:noProof/>
        </w:rPr>
        <w:t>4</w:t>
      </w:r>
      <w:r w:rsidRPr="005F0761">
        <w:rPr>
          <w:noProof/>
        </w:rPr>
        <w:t>.</w:t>
      </w:r>
      <w:r w:rsidRPr="005F0761">
        <w:rPr>
          <w:noProof/>
        </w:rPr>
        <w:tab/>
        <w:t>Artikel </w:t>
      </w:r>
      <w:r w:rsidRPr="00CC1BEF">
        <w:rPr>
          <w:noProof/>
        </w:rPr>
        <w:t>12</w:t>
      </w:r>
      <w:r w:rsidRPr="005F0761">
        <w:rPr>
          <w:noProof/>
        </w:rPr>
        <w:t xml:space="preserve"> Absatz </w:t>
      </w:r>
      <w:r w:rsidRPr="00CC1BEF">
        <w:rPr>
          <w:noProof/>
        </w:rPr>
        <w:t>1</w:t>
      </w:r>
      <w:r w:rsidRPr="005F0761">
        <w:rPr>
          <w:noProof/>
        </w:rPr>
        <w:t xml:space="preserve"> erhält folgende Fassung:</w:t>
      </w:r>
    </w:p>
    <w:p w14:paraId="4E95E201" w14:textId="4D863DBE" w:rsidR="00CC6DBB" w:rsidRPr="005F0761" w:rsidRDefault="00A329C6" w:rsidP="00CC6DBB">
      <w:pPr>
        <w:pStyle w:val="Text1"/>
        <w:rPr>
          <w:noProof/>
        </w:rPr>
      </w:pPr>
      <w:r w:rsidRPr="005F0761">
        <w:rPr>
          <w:noProof/>
        </w:rPr>
        <w:t>„(</w:t>
      </w:r>
      <w:r w:rsidRPr="00CC1BEF">
        <w:rPr>
          <w:noProof/>
        </w:rPr>
        <w:t>1</w:t>
      </w:r>
      <w:r w:rsidRPr="005F0761">
        <w:rPr>
          <w:noProof/>
        </w:rPr>
        <w:t xml:space="preserve">) Das Flexibilitätsinstrument kann für die Finanzierung spezifischer unvorhergesehener Ausgaben in Form von Mitteln für Verpflichtungen und entsprechenden Mitteln für Zahlungen für ein bestimmtes Haushaltsjahr verwendet werden, die im Rahmen der Obergrenzen einer oder mehrerer anderer Rubriken nicht getätigt werden können. Die Obergrenze der jährlich für das Flexibilitätsinstrument zur Verfügung stehenden Mittelausstattung wird auf </w:t>
      </w:r>
      <w:r w:rsidRPr="00CC1BEF">
        <w:rPr>
          <w:noProof/>
        </w:rPr>
        <w:t>1562</w:t>
      </w:r>
      <w:r w:rsidRPr="005F0761">
        <w:rPr>
          <w:noProof/>
        </w:rPr>
        <w:t xml:space="preserve"> Mio. EUR (zu Preisen von </w:t>
      </w:r>
      <w:r w:rsidRPr="00CC1BEF">
        <w:rPr>
          <w:noProof/>
        </w:rPr>
        <w:t>2018</w:t>
      </w:r>
      <w:r w:rsidRPr="005F0761">
        <w:rPr>
          <w:noProof/>
        </w:rPr>
        <w:t>) festgesetzt.“</w:t>
      </w:r>
    </w:p>
    <w:p w14:paraId="3419644A" w14:textId="1A7584FD" w:rsidR="00C93B3E" w:rsidRPr="005F0761" w:rsidRDefault="006C3D91" w:rsidP="006C3D91">
      <w:pPr>
        <w:pStyle w:val="Point0"/>
        <w:rPr>
          <w:noProof/>
        </w:rPr>
      </w:pPr>
      <w:r w:rsidRPr="00CC1BEF">
        <w:rPr>
          <w:noProof/>
        </w:rPr>
        <w:t>5</w:t>
      </w:r>
      <w:r w:rsidRPr="005F0761">
        <w:rPr>
          <w:noProof/>
        </w:rPr>
        <w:t>.</w:t>
      </w:r>
      <w:r w:rsidRPr="005F0761">
        <w:rPr>
          <w:noProof/>
        </w:rPr>
        <w:tab/>
        <w:t>Anhang I erhält die Fassung des Anhangs dieser Verordnung.</w:t>
      </w:r>
    </w:p>
    <w:p w14:paraId="19856E87" w14:textId="766F887B" w:rsidR="00A36812" w:rsidRPr="005F0761" w:rsidRDefault="000076A5" w:rsidP="00D3385C">
      <w:pPr>
        <w:pStyle w:val="Titrearticle"/>
        <w:rPr>
          <w:noProof/>
        </w:rPr>
      </w:pPr>
      <w:r w:rsidRPr="005F0761">
        <w:rPr>
          <w:noProof/>
        </w:rPr>
        <w:t>Artikel </w:t>
      </w:r>
      <w:r w:rsidRPr="00CC1BEF">
        <w:rPr>
          <w:noProof/>
        </w:rPr>
        <w:t>2</w:t>
      </w:r>
    </w:p>
    <w:p w14:paraId="1D34960A" w14:textId="05359154" w:rsidR="000076A5" w:rsidRPr="005F0761" w:rsidRDefault="000076A5">
      <w:pPr>
        <w:rPr>
          <w:noProof/>
        </w:rPr>
      </w:pPr>
      <w:r w:rsidRPr="005F0761">
        <w:rPr>
          <w:noProof/>
        </w:rPr>
        <w:t xml:space="preserve">Diese Verordnung tritt am zwanzigsten Tag nach ihrer Veröffentlichung im </w:t>
      </w:r>
      <w:r w:rsidRPr="005F0761">
        <w:rPr>
          <w:i/>
          <w:noProof/>
        </w:rPr>
        <w:t>Amtsblatt der Europäischen Union</w:t>
      </w:r>
      <w:r w:rsidRPr="005F0761">
        <w:rPr>
          <w:noProof/>
        </w:rPr>
        <w:t xml:space="preserve"> in Kraft.</w:t>
      </w:r>
    </w:p>
    <w:p w14:paraId="056CCE2F" w14:textId="77777777" w:rsidR="000076A5" w:rsidRPr="005F0761" w:rsidRDefault="000076A5" w:rsidP="005D1C0B">
      <w:pPr>
        <w:pStyle w:val="Applicationdirecte"/>
        <w:keepNext/>
        <w:keepLines/>
        <w:rPr>
          <w:noProof/>
        </w:rPr>
      </w:pPr>
      <w:r w:rsidRPr="005F0761">
        <w:rPr>
          <w:noProof/>
        </w:rPr>
        <w:t>Diese Verordnung ist in allen ihren Teilen verbindlich und gilt unmittelbar in jedem Mitgliedstaat.</w:t>
      </w:r>
    </w:p>
    <w:p w14:paraId="3A2E9EAA" w14:textId="19F70353" w:rsidR="000076A5" w:rsidRPr="005F0761" w:rsidRDefault="00381D63" w:rsidP="005D1C0B">
      <w:pPr>
        <w:pStyle w:val="Fait"/>
        <w:rPr>
          <w:noProof/>
        </w:rPr>
      </w:pPr>
      <w:r w:rsidRPr="00381D63">
        <w:t xml:space="preserve">Geschehen zu Brüssel am </w:t>
      </w:r>
      <w:r w:rsidRPr="00381D63">
        <w:rPr>
          <w:rStyle w:val="Marker"/>
        </w:rPr>
        <w:t>[…]</w:t>
      </w:r>
    </w:p>
    <w:p w14:paraId="2989C570" w14:textId="77777777" w:rsidR="000076A5" w:rsidRPr="005F0761" w:rsidRDefault="000076A5" w:rsidP="005D1C0B">
      <w:pPr>
        <w:pStyle w:val="Institutionquisigne"/>
        <w:rPr>
          <w:noProof/>
        </w:rPr>
      </w:pPr>
      <w:r w:rsidRPr="005F0761">
        <w:rPr>
          <w:noProof/>
        </w:rPr>
        <w:tab/>
        <w:t>Im Namen des Rates</w:t>
      </w:r>
    </w:p>
    <w:p w14:paraId="4E7C8C4A" w14:textId="5346BF6E" w:rsidR="002912E8" w:rsidRPr="005F0761" w:rsidRDefault="000076A5" w:rsidP="00901221">
      <w:pPr>
        <w:pStyle w:val="Personnequisigne"/>
        <w:rPr>
          <w:noProof/>
        </w:rPr>
      </w:pPr>
      <w:r w:rsidRPr="005F0761">
        <w:rPr>
          <w:noProof/>
        </w:rPr>
        <w:tab/>
        <w:t>Der Präsident/Die Präsidentin</w:t>
      </w:r>
    </w:p>
    <w:sectPr w:rsidR="002912E8" w:rsidRPr="005F0761" w:rsidSect="00F84F8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6F16" w14:textId="77777777" w:rsidR="005F0761" w:rsidRDefault="005F0761" w:rsidP="000076A5">
      <w:pPr>
        <w:spacing w:before="0" w:after="0"/>
      </w:pPr>
      <w:r>
        <w:separator/>
      </w:r>
    </w:p>
  </w:endnote>
  <w:endnote w:type="continuationSeparator" w:id="0">
    <w:p w14:paraId="01987C8A" w14:textId="77777777" w:rsidR="005F0761" w:rsidRDefault="005F0761" w:rsidP="000076A5">
      <w:pPr>
        <w:spacing w:before="0" w:after="0"/>
      </w:pPr>
      <w:r>
        <w:continuationSeparator/>
      </w:r>
    </w:p>
  </w:endnote>
  <w:endnote w:type="continuationNotice" w:id="1">
    <w:p w14:paraId="4331E85F" w14:textId="77777777" w:rsidR="005F0761" w:rsidRDefault="005F07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DEED8" w14:textId="05216963" w:rsidR="00BD54F4" w:rsidRPr="00F84F8C" w:rsidRDefault="00F84F8C" w:rsidP="00F84F8C">
    <w:pPr>
      <w:pStyle w:val="Footer"/>
      <w:rPr>
        <w:rFonts w:ascii="Arial" w:hAnsi="Arial" w:cs="Arial"/>
        <w:b/>
        <w:sz w:val="48"/>
      </w:rPr>
    </w:pPr>
    <w:r w:rsidRPr="00F84F8C">
      <w:rPr>
        <w:rFonts w:ascii="Arial" w:hAnsi="Arial" w:cs="Arial"/>
        <w:b/>
        <w:sz w:val="48"/>
      </w:rPr>
      <w:t>DE</w:t>
    </w:r>
    <w:r w:rsidRPr="00F84F8C">
      <w:rPr>
        <w:rFonts w:ascii="Arial" w:hAnsi="Arial" w:cs="Arial"/>
        <w:b/>
        <w:sz w:val="48"/>
      </w:rPr>
      <w:tab/>
    </w:r>
    <w:r w:rsidRPr="00F84F8C">
      <w:rPr>
        <w:rFonts w:ascii="Arial" w:hAnsi="Arial" w:cs="Arial"/>
        <w:b/>
        <w:sz w:val="48"/>
      </w:rPr>
      <w:tab/>
    </w:r>
    <w:r w:rsidRPr="00F84F8C">
      <w:tab/>
    </w:r>
    <w:r w:rsidRPr="00F84F8C">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F93C" w14:textId="6E82065F" w:rsidR="00F84F8C" w:rsidRPr="00F84F8C" w:rsidRDefault="00F84F8C" w:rsidP="00F84F8C">
    <w:pPr>
      <w:pStyle w:val="Footer"/>
      <w:rPr>
        <w:rFonts w:ascii="Arial" w:hAnsi="Arial" w:cs="Arial"/>
        <w:b/>
        <w:sz w:val="48"/>
      </w:rPr>
    </w:pPr>
    <w:r w:rsidRPr="00F84F8C">
      <w:rPr>
        <w:rFonts w:ascii="Arial" w:hAnsi="Arial" w:cs="Arial"/>
        <w:b/>
        <w:sz w:val="48"/>
      </w:rPr>
      <w:t>DE</w:t>
    </w:r>
    <w:r w:rsidRPr="00F84F8C">
      <w:rPr>
        <w:rFonts w:ascii="Arial" w:hAnsi="Arial" w:cs="Arial"/>
        <w:b/>
        <w:sz w:val="48"/>
      </w:rPr>
      <w:tab/>
    </w:r>
    <w:r>
      <w:fldChar w:fldCharType="begin"/>
    </w:r>
    <w:r>
      <w:instrText xml:space="preserve"> PAGE  \* MERGEFORMAT </w:instrText>
    </w:r>
    <w:r>
      <w:fldChar w:fldCharType="separate"/>
    </w:r>
    <w:r w:rsidR="005D1C0B">
      <w:rPr>
        <w:noProof/>
      </w:rPr>
      <w:t>14</w:t>
    </w:r>
    <w:r>
      <w:fldChar w:fldCharType="end"/>
    </w:r>
    <w:r>
      <w:tab/>
    </w:r>
    <w:r w:rsidRPr="00F84F8C">
      <w:tab/>
    </w:r>
    <w:r w:rsidRPr="00F84F8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D4DE" w14:textId="77777777" w:rsidR="00F84F8C" w:rsidRPr="00F84F8C" w:rsidRDefault="00F84F8C" w:rsidP="00F8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2CF7F" w14:textId="77777777" w:rsidR="005F0761" w:rsidRDefault="005F0761" w:rsidP="000076A5">
      <w:pPr>
        <w:spacing w:before="0" w:after="0"/>
      </w:pPr>
      <w:r>
        <w:separator/>
      </w:r>
    </w:p>
  </w:footnote>
  <w:footnote w:type="continuationSeparator" w:id="0">
    <w:p w14:paraId="31238D96" w14:textId="77777777" w:rsidR="005F0761" w:rsidRDefault="005F0761" w:rsidP="000076A5">
      <w:pPr>
        <w:spacing w:before="0" w:after="0"/>
      </w:pPr>
      <w:r>
        <w:continuationSeparator/>
      </w:r>
    </w:p>
  </w:footnote>
  <w:footnote w:type="continuationNotice" w:id="1">
    <w:p w14:paraId="3878D4F2" w14:textId="77777777" w:rsidR="005F0761" w:rsidRDefault="005F0761">
      <w:pPr>
        <w:spacing w:before="0" w:after="0"/>
      </w:pPr>
    </w:p>
  </w:footnote>
  <w:footnote w:id="2">
    <w:p w14:paraId="2BD6FD76" w14:textId="5E6837BD" w:rsidR="005F0761" w:rsidRPr="00F739D6" w:rsidRDefault="005F0761" w:rsidP="009B719B">
      <w:pPr>
        <w:pStyle w:val="FootnoteText"/>
      </w:pPr>
      <w:r>
        <w:rPr>
          <w:rStyle w:val="FootnoteReference"/>
        </w:rPr>
        <w:footnoteRef/>
      </w:r>
      <w:r>
        <w:tab/>
        <w:t>Verordnung (EU, Euratom) 2020/2093 des Rates vom 17. Dezember 2020 zur Festlegung des mehrjährigen Finanzrahmens für die Jahre 2021 bis 2027 (ABl. L 433I vom 22.12.2020, S. 11).</w:t>
      </w:r>
    </w:p>
  </w:footnote>
  <w:footnote w:id="3">
    <w:p w14:paraId="0833CFC6" w14:textId="1B3CA9B3" w:rsidR="005F0761" w:rsidRPr="00F739D6" w:rsidRDefault="005F0761" w:rsidP="004C3602">
      <w:pPr>
        <w:pStyle w:val="FootnoteText"/>
      </w:pPr>
      <w:r>
        <w:rPr>
          <w:rStyle w:val="FootnoteReference"/>
        </w:rPr>
        <w:footnoteRef/>
      </w:r>
      <w:r>
        <w:tab/>
        <w:t>Erklärung der Kommission zu einer Halbzeitüberprüfung/Halbzeitrevision, PV(2020)2361, Protokoll der 2361. Sitzung der Kommission vom Dienstag, 15. Dezember 2020, in Brüssel (Berlaymont-Gebäude).</w:t>
      </w:r>
    </w:p>
  </w:footnote>
  <w:footnote w:id="4">
    <w:p w14:paraId="3834AD5F" w14:textId="1F9CFC2A" w:rsidR="005F0761" w:rsidRPr="00EC6F75" w:rsidRDefault="005F0761" w:rsidP="001D04B9">
      <w:pPr>
        <w:pStyle w:val="FootnoteText"/>
      </w:pPr>
      <w:r>
        <w:rPr>
          <w:rStyle w:val="FootnoteReference"/>
        </w:rPr>
        <w:footnoteRef/>
      </w:r>
      <w:r>
        <w:tab/>
        <w:t>Erklärung der Europäischen Kommission zur Revision des mehrjährigen Finanzrahmens, PV(2022)2438, Protokoll der 2438.</w:t>
      </w:r>
      <w:r w:rsidR="00CC1BEF">
        <w:t> </w:t>
      </w:r>
      <w:r>
        <w:t>Sitzung der Kommission vom Dienstag, 22. November 2022 in Straßburg (Winston Churchill-Gebäude).</w:t>
      </w:r>
    </w:p>
  </w:footnote>
  <w:footnote w:id="5">
    <w:p w14:paraId="19D93E43" w14:textId="19B97E8C" w:rsidR="005F0761" w:rsidRPr="00846401" w:rsidRDefault="005F0761">
      <w:pPr>
        <w:pStyle w:val="FootnoteText"/>
      </w:pPr>
      <w:r>
        <w:rPr>
          <w:rStyle w:val="FootnoteReference"/>
        </w:rPr>
        <w:footnoteRef/>
      </w:r>
      <w:r>
        <w:tab/>
        <w:t>COM(2023) 336 vom 20.6.2023.</w:t>
      </w:r>
    </w:p>
  </w:footnote>
  <w:footnote w:id="6">
    <w:p w14:paraId="6D32E28A" w14:textId="14E5BD0E" w:rsidR="005F0761" w:rsidRPr="005671CB" w:rsidRDefault="005F0761">
      <w:pPr>
        <w:pStyle w:val="FootnoteText"/>
      </w:pPr>
      <w:r>
        <w:rPr>
          <w:rStyle w:val="FootnoteReference"/>
        </w:rPr>
        <w:footnoteRef/>
      </w:r>
      <w:r>
        <w:tab/>
        <w:t>COM(2021) 569 vom 22.12.2021.</w:t>
      </w:r>
    </w:p>
  </w:footnote>
  <w:footnote w:id="7">
    <w:p w14:paraId="1FB4CF33" w14:textId="343775FE" w:rsidR="005F0761" w:rsidRPr="005671CB" w:rsidRDefault="005F0761" w:rsidP="005671CB">
      <w:pPr>
        <w:pStyle w:val="FootnoteText"/>
      </w:pPr>
      <w:r>
        <w:rPr>
          <w:rStyle w:val="FootnoteReference"/>
        </w:rPr>
        <w:footnoteRef/>
      </w:r>
      <w:r>
        <w:tab/>
        <w:t>Verordnung (EU) 2023/955 des Europäischen Parlaments und des Rates vom 10. Mai 2023 zur Einrichtung eines Klima-Sozialfonds und zur Änderung der Verordnung (EU) 2021/1060 (ABl. L 130 vom 16.5.2023, S. 1).</w:t>
      </w:r>
    </w:p>
  </w:footnote>
  <w:footnote w:id="8">
    <w:p w14:paraId="6B9ED80F" w14:textId="799AAE82" w:rsidR="005F0761" w:rsidRPr="00377A8C" w:rsidRDefault="005F0761">
      <w:pPr>
        <w:pStyle w:val="FootnoteText"/>
      </w:pPr>
      <w:r>
        <w:rPr>
          <w:rStyle w:val="FootnoteReference"/>
        </w:rPr>
        <w:footnoteRef/>
      </w:r>
      <w:r>
        <w:tab/>
        <w:t>COM(2023) 338 vom 20.6.2023.</w:t>
      </w:r>
    </w:p>
  </w:footnote>
  <w:footnote w:id="9">
    <w:p w14:paraId="752772F4" w14:textId="63CA0513" w:rsidR="005F0761" w:rsidRPr="00B745EB" w:rsidRDefault="005F0761">
      <w:pPr>
        <w:pStyle w:val="FootnoteText"/>
      </w:pPr>
      <w:r>
        <w:rPr>
          <w:rStyle w:val="FootnoteReference"/>
        </w:rPr>
        <w:footnoteRef/>
      </w:r>
      <w:r>
        <w:tab/>
      </w:r>
      <w:bookmarkStart w:id="2" w:name="_Hlk137567388"/>
      <w:r>
        <w:t>COM(2020) 609 final vom 23.9.2020</w:t>
      </w:r>
      <w:bookmarkEnd w:id="2"/>
    </w:p>
  </w:footnote>
  <w:footnote w:id="10">
    <w:p w14:paraId="4D315F2C" w14:textId="5B97E335" w:rsidR="005F0761" w:rsidRPr="00662CB4" w:rsidRDefault="005F0761">
      <w:pPr>
        <w:pStyle w:val="FootnoteText"/>
      </w:pPr>
      <w:r>
        <w:rPr>
          <w:rStyle w:val="FootnoteReference"/>
        </w:rPr>
        <w:footnoteRef/>
      </w:r>
      <w:r>
        <w:tab/>
        <w:t>Gemeinsamer Fahrplan des Europäischen Parlaments und des turnusmäßig wechselnden Ratsvorsitzes für die Organisation und Koordinierung sowie den zeitlichen Ablauf der Verhandlungen zwischen den Mitgesetzgebern über das GEAS und das neue Europäische Migrations- und Asylpaket.</w:t>
      </w:r>
    </w:p>
  </w:footnote>
  <w:footnote w:id="11">
    <w:p w14:paraId="334FA7B3" w14:textId="17B71A05" w:rsidR="005F0761" w:rsidRPr="00377A8C" w:rsidRDefault="005F0761">
      <w:pPr>
        <w:pStyle w:val="FootnoteText"/>
      </w:pPr>
      <w:r>
        <w:rPr>
          <w:rStyle w:val="FootnoteReference"/>
        </w:rPr>
        <w:footnoteRef/>
      </w:r>
      <w:r>
        <w:tab/>
        <w:t>COM(2023) 335 vom 20.6.2023.</w:t>
      </w:r>
    </w:p>
  </w:footnote>
  <w:footnote w:id="12">
    <w:p w14:paraId="159F9073" w14:textId="62079ED2" w:rsidR="005F0761" w:rsidRPr="00892414" w:rsidRDefault="005F0761" w:rsidP="008B1B27">
      <w:pPr>
        <w:pStyle w:val="FootnoteText"/>
      </w:pPr>
      <w:r>
        <w:rPr>
          <w:rStyle w:val="FootnoteReference"/>
        </w:rPr>
        <w:footnoteRef/>
      </w:r>
      <w:r>
        <w:tab/>
        <w:t>Gemeinsame Erklärung des Europäischen Parlaments, des Rates und der Kommission zur Behandlung von „NextGenerationEU“-Zinskosten und -Rückzahlungen im MFR 2021–2027, 2020/C 444 I/04 (ABl. C 444I vom 22.12.2020, S. 4).</w:t>
      </w:r>
    </w:p>
  </w:footnote>
  <w:footnote w:id="13">
    <w:p w14:paraId="3081399D" w14:textId="0AE84DF1" w:rsidR="005F0761" w:rsidRPr="00583BF1" w:rsidRDefault="005F0761" w:rsidP="00583BF1">
      <w:pPr>
        <w:pStyle w:val="FootnoteText"/>
      </w:pPr>
      <w:r>
        <w:rPr>
          <w:rStyle w:val="FootnoteReference"/>
        </w:rPr>
        <w:footnoteRef/>
      </w:r>
      <w:r>
        <w:tab/>
        <w:t>Verordnung (EU, Euratom) 2022/2496 des Rates vom 15. Dezember 2022 zur Änderung der Verordnung (EU, Euratom) 2020/2093 zur Festlegung des mehrjährigen Finanzrahmens für die Jahre 2021 bis 2027 (ABl. L 325 vom 20.12.2022, S. 11).</w:t>
      </w:r>
    </w:p>
  </w:footnote>
  <w:footnote w:id="14">
    <w:p w14:paraId="02B53E19" w14:textId="59C9E52F" w:rsidR="005F0761" w:rsidRPr="00583BF1" w:rsidRDefault="005F0761" w:rsidP="00583BF1">
      <w:pPr>
        <w:pStyle w:val="FootnoteText"/>
      </w:pPr>
      <w:r>
        <w:rPr>
          <w:rStyle w:val="FootnoteReference"/>
        </w:rPr>
        <w:footnoteRef/>
      </w:r>
      <w:r>
        <w:tab/>
        <w:t>Beschluss (EU, Euratom) 2020/2053 des Rates vom 14. Dezember 2020 über das Eigenmittelsystem der Europäischen Union und zur Aufhebung des Beschlusses 2014/335/EU, Euratom (ABl. L 424 vom 15.12.2020, S. 1).</w:t>
      </w:r>
    </w:p>
  </w:footnote>
  <w:footnote w:id="15">
    <w:p w14:paraId="7A2CC880" w14:textId="6A1F21F5" w:rsidR="005F0761" w:rsidRPr="00A849A3" w:rsidRDefault="005F0761" w:rsidP="006E6D7B">
      <w:pPr>
        <w:pStyle w:val="FootnoteText"/>
      </w:pPr>
      <w:r>
        <w:rPr>
          <w:rStyle w:val="FootnoteReference"/>
        </w:rPr>
        <w:footnoteRef/>
      </w:r>
      <w:r>
        <w:tab/>
        <w:t>Finanzplanung für die Jahre 2024 bis 2027 nach der Annahme des Haushaltsplans für 2023 gemäß Artikel 41 Absatz 2 der Haushaltsordnung und Nummer 26 der Interinstitutionellen Vereinbarung vom 16. Dezember 2020 zwischen dem Europäischen Parlament, dem Rat der Europäischen Union und der Europäischen Kommission über die Haushaltsdisziplin, die Zusammenarbeit im Haushaltsbereich und die wirtschaftliche Haushaltsführung sowie über neue Eigenmittel, einschließlich eines Fahrplans im Hinblick auf die Einführung neuer Eigenmittel (ABl. L 433I vom 22.12.2020, S. 28), wie dem Europäischen Parlament und dem Rat am 24. Februar 2023 mitgeteilt.</w:t>
      </w:r>
    </w:p>
  </w:footnote>
  <w:footnote w:id="16">
    <w:p w14:paraId="0C9F0910" w14:textId="3FE4AB8D" w:rsidR="005F0761" w:rsidRPr="00CE3793" w:rsidRDefault="005F0761" w:rsidP="006E6D7B">
      <w:pPr>
        <w:pStyle w:val="FootnoteText"/>
      </w:pPr>
      <w:r>
        <w:rPr>
          <w:rStyle w:val="FootnoteReference"/>
        </w:rPr>
        <w:footnoteRef/>
      </w:r>
      <w:r>
        <w:tab/>
        <w:t>SEC(2023) 250, Haushaltsvoranschlag der Europäischen Kommission für das Haushaltsjahr 2024 (Vorbereitung des Haushaltsentwurfs für 2024), Teil II Finanzplanung.</w:t>
      </w:r>
    </w:p>
  </w:footnote>
  <w:footnote w:id="17">
    <w:p w14:paraId="10E5B136" w14:textId="17ACDD8F" w:rsidR="005F0761" w:rsidRPr="0033384D" w:rsidRDefault="005F0761">
      <w:pPr>
        <w:pStyle w:val="FootnoteText"/>
      </w:pPr>
      <w:r>
        <w:rPr>
          <w:rStyle w:val="FootnoteReference"/>
        </w:rPr>
        <w:footnoteRef/>
      </w:r>
      <w:r>
        <w:tab/>
        <w:t>Ebd.</w:t>
      </w:r>
    </w:p>
  </w:footnote>
  <w:footnote w:id="18">
    <w:p w14:paraId="0C1B2593" w14:textId="6380E48F" w:rsidR="005F0761" w:rsidRPr="0033384D" w:rsidRDefault="005F0761">
      <w:pPr>
        <w:pStyle w:val="FootnoteText"/>
      </w:pPr>
      <w:r>
        <w:rPr>
          <w:rStyle w:val="FootnoteReference"/>
        </w:rPr>
        <w:footnoteRef/>
      </w:r>
      <w:r>
        <w:tab/>
        <w:t>Ebd.</w:t>
      </w:r>
    </w:p>
  </w:footnote>
  <w:footnote w:id="19">
    <w:p w14:paraId="4B71F129" w14:textId="77777777" w:rsidR="005F0761" w:rsidRPr="0033384D" w:rsidRDefault="005F0761" w:rsidP="007B0BA7">
      <w:pPr>
        <w:pStyle w:val="FootnoteText"/>
      </w:pPr>
      <w:r>
        <w:rPr>
          <w:rStyle w:val="FootnoteReference"/>
        </w:rPr>
        <w:footnoteRef/>
      </w:r>
      <w:r>
        <w:tab/>
        <w:t>ABl. C […] vom […], S. […].</w:t>
      </w:r>
    </w:p>
  </w:footnote>
  <w:footnote w:id="20">
    <w:p w14:paraId="5F56C219" w14:textId="77777777" w:rsidR="005F0761" w:rsidRDefault="005F0761" w:rsidP="00DD37A5">
      <w:pPr>
        <w:pStyle w:val="FootnoteText"/>
      </w:pPr>
      <w:r>
        <w:rPr>
          <w:rStyle w:val="FootnoteReference"/>
        </w:rPr>
        <w:footnoteRef/>
      </w:r>
      <w:r>
        <w:tab/>
        <w:t>Verordnung (EU, Euratom) 2020/2093 des Rates vom 17. Dezember 2020 zur Festlegung des mehrjährigen Finanzrahmens für die Jahre 2021 bis 2027 (ABl. L 433I vom 22.12.2020, S. 11).</w:t>
      </w:r>
    </w:p>
  </w:footnote>
  <w:footnote w:id="21">
    <w:p w14:paraId="24EB5015" w14:textId="4AB447E0" w:rsidR="005F0761" w:rsidRPr="007D191B" w:rsidRDefault="005F0761">
      <w:pPr>
        <w:pStyle w:val="FootnoteText"/>
      </w:pPr>
      <w:r>
        <w:rPr>
          <w:rStyle w:val="FootnoteReference"/>
        </w:rPr>
        <w:footnoteRef/>
      </w:r>
      <w:r w:rsidR="00C5302D">
        <w:tab/>
        <w:t>COM(2023) 336 vom 20.6.</w:t>
      </w:r>
      <w:r>
        <w:t>2023.</w:t>
      </w:r>
    </w:p>
  </w:footnote>
  <w:footnote w:id="22">
    <w:p w14:paraId="5953D154" w14:textId="77777777" w:rsidR="005F0761" w:rsidRPr="00663727" w:rsidRDefault="005F0761" w:rsidP="003E7EEC">
      <w:pPr>
        <w:pStyle w:val="FootnoteText"/>
      </w:pPr>
      <w:r>
        <w:rPr>
          <w:rStyle w:val="FootnoteReference"/>
        </w:rPr>
        <w:footnoteRef/>
      </w:r>
      <w:r>
        <w:tab/>
        <w:t>ABl. […] vom […], S. […].</w:t>
      </w:r>
    </w:p>
  </w:footnote>
  <w:footnote w:id="23">
    <w:p w14:paraId="2B07F0A4" w14:textId="77A94463" w:rsidR="005F0761" w:rsidRPr="005802DA" w:rsidRDefault="005F0761">
      <w:pPr>
        <w:pStyle w:val="FootnoteText"/>
      </w:pPr>
      <w:r>
        <w:rPr>
          <w:rStyle w:val="FootnoteReference"/>
        </w:rPr>
        <w:footnoteRef/>
      </w:r>
      <w:r>
        <w:tab/>
        <w:t>Beschluss (EU, Euratom) 2020/2053 des Rates vom 14. Dezember 2020 über das Eigenmittelsystem der Europäischen Union und zur Aufhebung des Beschlusses 2014/335/EU, Euratom (ABl. L 424 vom 15.12.2020,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A65E1A"/>
    <w:lvl w:ilvl="0">
      <w:start w:val="1"/>
      <w:numFmt w:val="decimal"/>
      <w:pStyle w:val="ListNumber4"/>
      <w:lvlText w:val="%1."/>
      <w:lvlJc w:val="left"/>
      <w:pPr>
        <w:tabs>
          <w:tab w:val="num" w:pos="1209"/>
        </w:tabs>
        <w:ind w:left="1209" w:hanging="360"/>
      </w:pPr>
    </w:lvl>
  </w:abstractNum>
  <w:abstractNum w:abstractNumId="1" w15:restartNumberingAfterBreak="0">
    <w:nsid w:val="FFFFFF81"/>
    <w:multiLevelType w:val="singleLevel"/>
    <w:tmpl w:val="B10EEBB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E242E4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A04E5F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BB69DB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10"/>
    <w:lvlOverride w:ilvl="0">
      <w:startOverride w:val="1"/>
    </w:lvlOverride>
  </w:num>
  <w:num w:numId="8">
    <w:abstractNumId w:val="17"/>
  </w:num>
  <w:num w:numId="9">
    <w:abstractNumId w:val="10"/>
  </w:num>
  <w:num w:numId="10">
    <w:abstractNumId w:val="19"/>
  </w:num>
  <w:num w:numId="11">
    <w:abstractNumId w:val="9"/>
  </w:num>
  <w:num w:numId="12">
    <w:abstractNumId w:val="11"/>
  </w:num>
  <w:num w:numId="13">
    <w:abstractNumId w:val="12"/>
  </w:num>
  <w:num w:numId="14">
    <w:abstractNumId w:val="7"/>
  </w:num>
  <w:num w:numId="15">
    <w:abstractNumId w:val="18"/>
  </w:num>
  <w:num w:numId="16">
    <w:abstractNumId w:val="6"/>
  </w:num>
  <w:num w:numId="17">
    <w:abstractNumId w:val="13"/>
  </w:num>
  <w:num w:numId="18">
    <w:abstractNumId w:val="15"/>
  </w:num>
  <w:num w:numId="19">
    <w:abstractNumId w:val="16"/>
  </w:num>
  <w:num w:numId="20">
    <w:abstractNumId w:val="8"/>
  </w:num>
  <w:num w:numId="21">
    <w:abstractNumId w:val="14"/>
  </w:num>
  <w:num w:numId="22">
    <w:abstractNumId w:val="20"/>
  </w:num>
  <w:num w:numId="23">
    <w:abstractNumId w:val="17"/>
  </w:num>
  <w:num w:numId="24">
    <w:abstractNumId w:val="10"/>
  </w:num>
  <w:num w:numId="25">
    <w:abstractNumId w:val="19"/>
  </w:num>
  <w:num w:numId="26">
    <w:abstractNumId w:val="9"/>
  </w:num>
  <w:num w:numId="27">
    <w:abstractNumId w:val="11"/>
  </w:num>
  <w:num w:numId="28">
    <w:abstractNumId w:val="12"/>
  </w:num>
  <w:num w:numId="29">
    <w:abstractNumId w:val="7"/>
  </w:num>
  <w:num w:numId="30">
    <w:abstractNumId w:val="18"/>
  </w:num>
  <w:num w:numId="31">
    <w:abstractNumId w:val="6"/>
  </w:num>
  <w:num w:numId="32">
    <w:abstractNumId w:val="13"/>
  </w:num>
  <w:num w:numId="33">
    <w:abstractNumId w:val="15"/>
  </w:num>
  <w:num w:numId="34">
    <w:abstractNumId w:val="16"/>
  </w:num>
  <w:num w:numId="35">
    <w:abstractNumId w:val="8"/>
  </w:num>
  <w:num w:numId="36">
    <w:abstractNumId w:val="14"/>
  </w:num>
  <w:num w:numId="3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6 10:00: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1178599-20F3-425A-9054-A100020B5E63"/>
    <w:docVar w:name="LW_COVERPAGE_TYPE" w:val="1"/>
    <w:docVar w:name="LW_CROSSREFERENCE" w:val="&lt;UNUSED&gt;"/>
    <w:docVar w:name="LW_DocType" w:val="COM"/>
    <w:docVar w:name="LW_EMISSION" w:val="20.6.2023"/>
    <w:docVar w:name="LW_EMISSION_ISODATE" w:val="2023-06-20"/>
    <w:docVar w:name="LW_EMISSION_LOCATION" w:val="BRX"/>
    <w:docVar w:name="LW_EMISSION_PREFIX" w:val="Brüssel, den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APP"/>
    <w:docVar w:name="LW_REF.II.NEW.CP_NUMBER" w:val="0201"/>
    <w:docVar w:name="LW_REF.II.NEW.CP_YEAR" w:val="2023"/>
    <w:docVar w:name="LW_REF.INST.NEW" w:val="COM"/>
    <w:docVar w:name="LW_REF.INST.NEW_ADOPTED" w:val="final"/>
    <w:docVar w:name="LW_REF.INST.NEW_TEXT" w:val="(2023)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Euratom) 2020/2093 zur Festlegung des mehrjährigen Finanzrahmens für die Jahre 2021 bis 2027_x000b_"/>
    <w:docVar w:name="LW_TYPE.DOC.CP" w:val="VERORDNUNG DES RATES"/>
    <w:docVar w:name="LwApiVersions" w:val="LW4CoDe 1.23.2.0; LW 8.0, Build 20211117"/>
  </w:docVars>
  <w:rsids>
    <w:rsidRoot w:val="000076A5"/>
    <w:rsid w:val="00000975"/>
    <w:rsid w:val="000015B9"/>
    <w:rsid w:val="00002B6F"/>
    <w:rsid w:val="000031E3"/>
    <w:rsid w:val="00004E1A"/>
    <w:rsid w:val="00004E47"/>
    <w:rsid w:val="000076A5"/>
    <w:rsid w:val="00007FD6"/>
    <w:rsid w:val="000110FD"/>
    <w:rsid w:val="00011129"/>
    <w:rsid w:val="00012636"/>
    <w:rsid w:val="000157C1"/>
    <w:rsid w:val="00016673"/>
    <w:rsid w:val="000179ED"/>
    <w:rsid w:val="00017D60"/>
    <w:rsid w:val="0002040B"/>
    <w:rsid w:val="00021309"/>
    <w:rsid w:val="00021701"/>
    <w:rsid w:val="00023BBC"/>
    <w:rsid w:val="000265FD"/>
    <w:rsid w:val="00026844"/>
    <w:rsid w:val="00026B51"/>
    <w:rsid w:val="00026B8C"/>
    <w:rsid w:val="0003436E"/>
    <w:rsid w:val="000358A9"/>
    <w:rsid w:val="00035CD4"/>
    <w:rsid w:val="00036553"/>
    <w:rsid w:val="00036B65"/>
    <w:rsid w:val="00040647"/>
    <w:rsid w:val="000407C7"/>
    <w:rsid w:val="000432F6"/>
    <w:rsid w:val="000435EE"/>
    <w:rsid w:val="000442C9"/>
    <w:rsid w:val="00046BD3"/>
    <w:rsid w:val="00047098"/>
    <w:rsid w:val="0004718D"/>
    <w:rsid w:val="000476CF"/>
    <w:rsid w:val="000503E8"/>
    <w:rsid w:val="00050680"/>
    <w:rsid w:val="000506E7"/>
    <w:rsid w:val="00051D8B"/>
    <w:rsid w:val="00053707"/>
    <w:rsid w:val="00054055"/>
    <w:rsid w:val="000547A4"/>
    <w:rsid w:val="00054A08"/>
    <w:rsid w:val="00056053"/>
    <w:rsid w:val="00056495"/>
    <w:rsid w:val="000565DC"/>
    <w:rsid w:val="00056B32"/>
    <w:rsid w:val="0005757A"/>
    <w:rsid w:val="0005787F"/>
    <w:rsid w:val="0006321B"/>
    <w:rsid w:val="000640DA"/>
    <w:rsid w:val="00066703"/>
    <w:rsid w:val="00067737"/>
    <w:rsid w:val="0006782C"/>
    <w:rsid w:val="00067FDB"/>
    <w:rsid w:val="0007009C"/>
    <w:rsid w:val="000709AE"/>
    <w:rsid w:val="00071006"/>
    <w:rsid w:val="00073D0E"/>
    <w:rsid w:val="00076402"/>
    <w:rsid w:val="0007780F"/>
    <w:rsid w:val="000806B2"/>
    <w:rsid w:val="00083F24"/>
    <w:rsid w:val="00085405"/>
    <w:rsid w:val="00086D3B"/>
    <w:rsid w:val="00087D25"/>
    <w:rsid w:val="00090112"/>
    <w:rsid w:val="00093318"/>
    <w:rsid w:val="00093B3E"/>
    <w:rsid w:val="00095986"/>
    <w:rsid w:val="00095C17"/>
    <w:rsid w:val="00097176"/>
    <w:rsid w:val="00097A6C"/>
    <w:rsid w:val="000A49B9"/>
    <w:rsid w:val="000A62C0"/>
    <w:rsid w:val="000B068C"/>
    <w:rsid w:val="000B0C71"/>
    <w:rsid w:val="000B0D8C"/>
    <w:rsid w:val="000B25A6"/>
    <w:rsid w:val="000B2B39"/>
    <w:rsid w:val="000B36B2"/>
    <w:rsid w:val="000B5E76"/>
    <w:rsid w:val="000B6343"/>
    <w:rsid w:val="000B75D8"/>
    <w:rsid w:val="000C091B"/>
    <w:rsid w:val="000C1C12"/>
    <w:rsid w:val="000C2087"/>
    <w:rsid w:val="000C293C"/>
    <w:rsid w:val="000C3095"/>
    <w:rsid w:val="000C4A5A"/>
    <w:rsid w:val="000C4D1A"/>
    <w:rsid w:val="000C4D8F"/>
    <w:rsid w:val="000C51C6"/>
    <w:rsid w:val="000C5376"/>
    <w:rsid w:val="000C5490"/>
    <w:rsid w:val="000D09E4"/>
    <w:rsid w:val="000D2185"/>
    <w:rsid w:val="000D315F"/>
    <w:rsid w:val="000D477A"/>
    <w:rsid w:val="000D4E6C"/>
    <w:rsid w:val="000D507A"/>
    <w:rsid w:val="000D5235"/>
    <w:rsid w:val="000D56D6"/>
    <w:rsid w:val="000D639B"/>
    <w:rsid w:val="000D7A2E"/>
    <w:rsid w:val="000E0CE7"/>
    <w:rsid w:val="000E33B2"/>
    <w:rsid w:val="000E444D"/>
    <w:rsid w:val="000E553F"/>
    <w:rsid w:val="000E668D"/>
    <w:rsid w:val="000E669A"/>
    <w:rsid w:val="000E76CF"/>
    <w:rsid w:val="000F0521"/>
    <w:rsid w:val="000F1ADA"/>
    <w:rsid w:val="000F1B30"/>
    <w:rsid w:val="000F2B97"/>
    <w:rsid w:val="000F37E0"/>
    <w:rsid w:val="000F4CDF"/>
    <w:rsid w:val="000F4EE3"/>
    <w:rsid w:val="000F5150"/>
    <w:rsid w:val="000F5266"/>
    <w:rsid w:val="000F7DEA"/>
    <w:rsid w:val="0010054B"/>
    <w:rsid w:val="00100C6C"/>
    <w:rsid w:val="00100E11"/>
    <w:rsid w:val="00101204"/>
    <w:rsid w:val="00103447"/>
    <w:rsid w:val="00103D1E"/>
    <w:rsid w:val="00105091"/>
    <w:rsid w:val="0010577C"/>
    <w:rsid w:val="001065F5"/>
    <w:rsid w:val="00106CB0"/>
    <w:rsid w:val="001071D8"/>
    <w:rsid w:val="0010724F"/>
    <w:rsid w:val="00107E68"/>
    <w:rsid w:val="00110864"/>
    <w:rsid w:val="00114E66"/>
    <w:rsid w:val="00115B26"/>
    <w:rsid w:val="0012013A"/>
    <w:rsid w:val="00120836"/>
    <w:rsid w:val="00121689"/>
    <w:rsid w:val="00121894"/>
    <w:rsid w:val="00122053"/>
    <w:rsid w:val="001224D0"/>
    <w:rsid w:val="00123561"/>
    <w:rsid w:val="0012369E"/>
    <w:rsid w:val="001238EF"/>
    <w:rsid w:val="001254BD"/>
    <w:rsid w:val="00125D05"/>
    <w:rsid w:val="00126AA8"/>
    <w:rsid w:val="00126B9D"/>
    <w:rsid w:val="00127714"/>
    <w:rsid w:val="001277D2"/>
    <w:rsid w:val="00127D52"/>
    <w:rsid w:val="00127F90"/>
    <w:rsid w:val="00132608"/>
    <w:rsid w:val="00134038"/>
    <w:rsid w:val="001342DC"/>
    <w:rsid w:val="00134E38"/>
    <w:rsid w:val="00134F91"/>
    <w:rsid w:val="001358B3"/>
    <w:rsid w:val="0013740F"/>
    <w:rsid w:val="00140894"/>
    <w:rsid w:val="00142201"/>
    <w:rsid w:val="001435DC"/>
    <w:rsid w:val="00143788"/>
    <w:rsid w:val="001439DE"/>
    <w:rsid w:val="00143BCD"/>
    <w:rsid w:val="00144094"/>
    <w:rsid w:val="00144E6D"/>
    <w:rsid w:val="001506C4"/>
    <w:rsid w:val="00151B5B"/>
    <w:rsid w:val="001533D9"/>
    <w:rsid w:val="00153479"/>
    <w:rsid w:val="0015379F"/>
    <w:rsid w:val="00155E1E"/>
    <w:rsid w:val="00156999"/>
    <w:rsid w:val="00157360"/>
    <w:rsid w:val="00157680"/>
    <w:rsid w:val="00160C8B"/>
    <w:rsid w:val="00162255"/>
    <w:rsid w:val="0016352F"/>
    <w:rsid w:val="00163F01"/>
    <w:rsid w:val="00164EA1"/>
    <w:rsid w:val="001666AE"/>
    <w:rsid w:val="00166B70"/>
    <w:rsid w:val="00170078"/>
    <w:rsid w:val="0017013C"/>
    <w:rsid w:val="001719FC"/>
    <w:rsid w:val="00171C6C"/>
    <w:rsid w:val="001736D8"/>
    <w:rsid w:val="00173D8F"/>
    <w:rsid w:val="00174A8E"/>
    <w:rsid w:val="00174CD3"/>
    <w:rsid w:val="0017614A"/>
    <w:rsid w:val="00177658"/>
    <w:rsid w:val="00177845"/>
    <w:rsid w:val="00177EAF"/>
    <w:rsid w:val="00180596"/>
    <w:rsid w:val="001821FF"/>
    <w:rsid w:val="0018246D"/>
    <w:rsid w:val="001825DE"/>
    <w:rsid w:val="0018277F"/>
    <w:rsid w:val="0018333F"/>
    <w:rsid w:val="00186125"/>
    <w:rsid w:val="00187098"/>
    <w:rsid w:val="0018753B"/>
    <w:rsid w:val="00190487"/>
    <w:rsid w:val="001915E1"/>
    <w:rsid w:val="00192F0B"/>
    <w:rsid w:val="00193225"/>
    <w:rsid w:val="00193BFE"/>
    <w:rsid w:val="00194813"/>
    <w:rsid w:val="00194D26"/>
    <w:rsid w:val="0019724C"/>
    <w:rsid w:val="00197613"/>
    <w:rsid w:val="00197C77"/>
    <w:rsid w:val="001A00E9"/>
    <w:rsid w:val="001A2937"/>
    <w:rsid w:val="001A2C4F"/>
    <w:rsid w:val="001A2FFA"/>
    <w:rsid w:val="001A58E6"/>
    <w:rsid w:val="001A6B95"/>
    <w:rsid w:val="001A6FB8"/>
    <w:rsid w:val="001B03D1"/>
    <w:rsid w:val="001B0ED5"/>
    <w:rsid w:val="001B3372"/>
    <w:rsid w:val="001B3973"/>
    <w:rsid w:val="001B41DF"/>
    <w:rsid w:val="001B47BA"/>
    <w:rsid w:val="001B4CEF"/>
    <w:rsid w:val="001B7437"/>
    <w:rsid w:val="001C019B"/>
    <w:rsid w:val="001C0B12"/>
    <w:rsid w:val="001C1444"/>
    <w:rsid w:val="001C26E2"/>
    <w:rsid w:val="001C33D2"/>
    <w:rsid w:val="001C3B5D"/>
    <w:rsid w:val="001C57C9"/>
    <w:rsid w:val="001C58D2"/>
    <w:rsid w:val="001C77DD"/>
    <w:rsid w:val="001D0298"/>
    <w:rsid w:val="001D048B"/>
    <w:rsid w:val="001D04B9"/>
    <w:rsid w:val="001D06AA"/>
    <w:rsid w:val="001D08C9"/>
    <w:rsid w:val="001D2863"/>
    <w:rsid w:val="001D3190"/>
    <w:rsid w:val="001D3CF4"/>
    <w:rsid w:val="001D4396"/>
    <w:rsid w:val="001D4E95"/>
    <w:rsid w:val="001D6435"/>
    <w:rsid w:val="001D6B53"/>
    <w:rsid w:val="001E082F"/>
    <w:rsid w:val="001E092F"/>
    <w:rsid w:val="001E340F"/>
    <w:rsid w:val="001E54D4"/>
    <w:rsid w:val="001E6A43"/>
    <w:rsid w:val="001E6B40"/>
    <w:rsid w:val="001F0453"/>
    <w:rsid w:val="001F0F7D"/>
    <w:rsid w:val="001F4276"/>
    <w:rsid w:val="001F5767"/>
    <w:rsid w:val="001F679B"/>
    <w:rsid w:val="001F72D2"/>
    <w:rsid w:val="00200A04"/>
    <w:rsid w:val="00200D1E"/>
    <w:rsid w:val="00201731"/>
    <w:rsid w:val="002042AE"/>
    <w:rsid w:val="0020447E"/>
    <w:rsid w:val="002104C8"/>
    <w:rsid w:val="002112D2"/>
    <w:rsid w:val="0021181E"/>
    <w:rsid w:val="00212FCF"/>
    <w:rsid w:val="00213222"/>
    <w:rsid w:val="00213E4E"/>
    <w:rsid w:val="002140A5"/>
    <w:rsid w:val="00214265"/>
    <w:rsid w:val="00214A1E"/>
    <w:rsid w:val="00216A0A"/>
    <w:rsid w:val="002204DC"/>
    <w:rsid w:val="002208C3"/>
    <w:rsid w:val="00221ADC"/>
    <w:rsid w:val="00222D3C"/>
    <w:rsid w:val="00226A42"/>
    <w:rsid w:val="0022707A"/>
    <w:rsid w:val="00227E74"/>
    <w:rsid w:val="00230F99"/>
    <w:rsid w:val="0023169A"/>
    <w:rsid w:val="0023233D"/>
    <w:rsid w:val="00233DC7"/>
    <w:rsid w:val="002351C3"/>
    <w:rsid w:val="0023560F"/>
    <w:rsid w:val="00236276"/>
    <w:rsid w:val="00237095"/>
    <w:rsid w:val="002404B6"/>
    <w:rsid w:val="00240E1B"/>
    <w:rsid w:val="0024147C"/>
    <w:rsid w:val="00241C4C"/>
    <w:rsid w:val="0024388A"/>
    <w:rsid w:val="00243A5C"/>
    <w:rsid w:val="00244665"/>
    <w:rsid w:val="002448CF"/>
    <w:rsid w:val="00245273"/>
    <w:rsid w:val="002455C2"/>
    <w:rsid w:val="00247779"/>
    <w:rsid w:val="00250466"/>
    <w:rsid w:val="00251790"/>
    <w:rsid w:val="00251C2B"/>
    <w:rsid w:val="00251FC7"/>
    <w:rsid w:val="002520ED"/>
    <w:rsid w:val="002522A6"/>
    <w:rsid w:val="002534B0"/>
    <w:rsid w:val="00254075"/>
    <w:rsid w:val="002540C8"/>
    <w:rsid w:val="00255081"/>
    <w:rsid w:val="00255174"/>
    <w:rsid w:val="00255941"/>
    <w:rsid w:val="00255B30"/>
    <w:rsid w:val="002564A7"/>
    <w:rsid w:val="00256A07"/>
    <w:rsid w:val="00257269"/>
    <w:rsid w:val="002574CE"/>
    <w:rsid w:val="002629ED"/>
    <w:rsid w:val="00262DD8"/>
    <w:rsid w:val="00264D32"/>
    <w:rsid w:val="00264D76"/>
    <w:rsid w:val="00265785"/>
    <w:rsid w:val="00265F56"/>
    <w:rsid w:val="00266DAA"/>
    <w:rsid w:val="00272A80"/>
    <w:rsid w:val="0027349C"/>
    <w:rsid w:val="002744E3"/>
    <w:rsid w:val="002747FB"/>
    <w:rsid w:val="00274D94"/>
    <w:rsid w:val="002769EF"/>
    <w:rsid w:val="00276DD5"/>
    <w:rsid w:val="002777BF"/>
    <w:rsid w:val="00277827"/>
    <w:rsid w:val="00277921"/>
    <w:rsid w:val="00277A43"/>
    <w:rsid w:val="002804CE"/>
    <w:rsid w:val="00281803"/>
    <w:rsid w:val="00283324"/>
    <w:rsid w:val="002836F8"/>
    <w:rsid w:val="00284C54"/>
    <w:rsid w:val="00285BEE"/>
    <w:rsid w:val="00286997"/>
    <w:rsid w:val="00287AB5"/>
    <w:rsid w:val="002912E8"/>
    <w:rsid w:val="00292948"/>
    <w:rsid w:val="0029533F"/>
    <w:rsid w:val="00295555"/>
    <w:rsid w:val="00295B47"/>
    <w:rsid w:val="00297FBF"/>
    <w:rsid w:val="002A10EA"/>
    <w:rsid w:val="002A139E"/>
    <w:rsid w:val="002A15BC"/>
    <w:rsid w:val="002A25F9"/>
    <w:rsid w:val="002A361A"/>
    <w:rsid w:val="002A3C47"/>
    <w:rsid w:val="002A4A5F"/>
    <w:rsid w:val="002A4C5B"/>
    <w:rsid w:val="002A5F4F"/>
    <w:rsid w:val="002A76BB"/>
    <w:rsid w:val="002B1E0B"/>
    <w:rsid w:val="002B26D9"/>
    <w:rsid w:val="002B30AF"/>
    <w:rsid w:val="002B353A"/>
    <w:rsid w:val="002B42CA"/>
    <w:rsid w:val="002B50EF"/>
    <w:rsid w:val="002B5543"/>
    <w:rsid w:val="002B5567"/>
    <w:rsid w:val="002B7B37"/>
    <w:rsid w:val="002C08D9"/>
    <w:rsid w:val="002C1B09"/>
    <w:rsid w:val="002C1B5E"/>
    <w:rsid w:val="002C2B64"/>
    <w:rsid w:val="002C2D83"/>
    <w:rsid w:val="002C55D0"/>
    <w:rsid w:val="002C6741"/>
    <w:rsid w:val="002C7175"/>
    <w:rsid w:val="002D1005"/>
    <w:rsid w:val="002D2E1A"/>
    <w:rsid w:val="002D2E5F"/>
    <w:rsid w:val="002D3CF8"/>
    <w:rsid w:val="002D4443"/>
    <w:rsid w:val="002D45A4"/>
    <w:rsid w:val="002D5201"/>
    <w:rsid w:val="002D5F6C"/>
    <w:rsid w:val="002D7B17"/>
    <w:rsid w:val="002E0F90"/>
    <w:rsid w:val="002E134B"/>
    <w:rsid w:val="002E1852"/>
    <w:rsid w:val="002E24F3"/>
    <w:rsid w:val="002E2CD8"/>
    <w:rsid w:val="002E35D2"/>
    <w:rsid w:val="002E4740"/>
    <w:rsid w:val="002E53C0"/>
    <w:rsid w:val="002E583F"/>
    <w:rsid w:val="002E746F"/>
    <w:rsid w:val="002E79EF"/>
    <w:rsid w:val="002E7D29"/>
    <w:rsid w:val="002F01FF"/>
    <w:rsid w:val="002F0482"/>
    <w:rsid w:val="002F0F99"/>
    <w:rsid w:val="002F134B"/>
    <w:rsid w:val="002F1B91"/>
    <w:rsid w:val="002F2310"/>
    <w:rsid w:val="002F25C5"/>
    <w:rsid w:val="002F33A3"/>
    <w:rsid w:val="002F4566"/>
    <w:rsid w:val="002F58E1"/>
    <w:rsid w:val="002F625F"/>
    <w:rsid w:val="002F793D"/>
    <w:rsid w:val="00300C3F"/>
    <w:rsid w:val="00301E79"/>
    <w:rsid w:val="00307DB0"/>
    <w:rsid w:val="0031000D"/>
    <w:rsid w:val="00311CA2"/>
    <w:rsid w:val="003124F5"/>
    <w:rsid w:val="00312ED5"/>
    <w:rsid w:val="00313F59"/>
    <w:rsid w:val="00315E76"/>
    <w:rsid w:val="00316CF7"/>
    <w:rsid w:val="00316FE8"/>
    <w:rsid w:val="003170B5"/>
    <w:rsid w:val="00320259"/>
    <w:rsid w:val="00320E5E"/>
    <w:rsid w:val="00323416"/>
    <w:rsid w:val="003238E3"/>
    <w:rsid w:val="00324216"/>
    <w:rsid w:val="00325F8A"/>
    <w:rsid w:val="003275F1"/>
    <w:rsid w:val="003322AE"/>
    <w:rsid w:val="00332646"/>
    <w:rsid w:val="0033344A"/>
    <w:rsid w:val="0033356A"/>
    <w:rsid w:val="0033384D"/>
    <w:rsid w:val="003338BA"/>
    <w:rsid w:val="00333DC2"/>
    <w:rsid w:val="003368D9"/>
    <w:rsid w:val="003372A3"/>
    <w:rsid w:val="00337B66"/>
    <w:rsid w:val="00337F38"/>
    <w:rsid w:val="00342640"/>
    <w:rsid w:val="00342900"/>
    <w:rsid w:val="00342DAE"/>
    <w:rsid w:val="003449D3"/>
    <w:rsid w:val="00346691"/>
    <w:rsid w:val="00346B35"/>
    <w:rsid w:val="0034764E"/>
    <w:rsid w:val="003479A4"/>
    <w:rsid w:val="00347EA1"/>
    <w:rsid w:val="00347F68"/>
    <w:rsid w:val="0035284C"/>
    <w:rsid w:val="00353302"/>
    <w:rsid w:val="0035531C"/>
    <w:rsid w:val="00355408"/>
    <w:rsid w:val="003559A5"/>
    <w:rsid w:val="00355AF8"/>
    <w:rsid w:val="00356E6B"/>
    <w:rsid w:val="0035711B"/>
    <w:rsid w:val="003576C9"/>
    <w:rsid w:val="00357B56"/>
    <w:rsid w:val="0036028F"/>
    <w:rsid w:val="00360B8E"/>
    <w:rsid w:val="00360EA1"/>
    <w:rsid w:val="00362084"/>
    <w:rsid w:val="00362E49"/>
    <w:rsid w:val="00362FD0"/>
    <w:rsid w:val="00363BD7"/>
    <w:rsid w:val="00364FA0"/>
    <w:rsid w:val="00370A64"/>
    <w:rsid w:val="00371D1F"/>
    <w:rsid w:val="0037229B"/>
    <w:rsid w:val="003722D8"/>
    <w:rsid w:val="00374229"/>
    <w:rsid w:val="00374D1C"/>
    <w:rsid w:val="0037694E"/>
    <w:rsid w:val="00377A8C"/>
    <w:rsid w:val="00380F08"/>
    <w:rsid w:val="003813F7"/>
    <w:rsid w:val="00381B84"/>
    <w:rsid w:val="00381D63"/>
    <w:rsid w:val="00382A72"/>
    <w:rsid w:val="00383427"/>
    <w:rsid w:val="00384053"/>
    <w:rsid w:val="003843FA"/>
    <w:rsid w:val="00384990"/>
    <w:rsid w:val="00385CAB"/>
    <w:rsid w:val="00385DFD"/>
    <w:rsid w:val="00385E61"/>
    <w:rsid w:val="00387080"/>
    <w:rsid w:val="00387539"/>
    <w:rsid w:val="00387ADE"/>
    <w:rsid w:val="00392080"/>
    <w:rsid w:val="0039297B"/>
    <w:rsid w:val="00392DD9"/>
    <w:rsid w:val="00396156"/>
    <w:rsid w:val="003A03FF"/>
    <w:rsid w:val="003A14C8"/>
    <w:rsid w:val="003A24CD"/>
    <w:rsid w:val="003A396F"/>
    <w:rsid w:val="003A69C5"/>
    <w:rsid w:val="003A6ABA"/>
    <w:rsid w:val="003A6DDF"/>
    <w:rsid w:val="003A776B"/>
    <w:rsid w:val="003B1730"/>
    <w:rsid w:val="003B2449"/>
    <w:rsid w:val="003B2E7D"/>
    <w:rsid w:val="003B3009"/>
    <w:rsid w:val="003B59ED"/>
    <w:rsid w:val="003B614D"/>
    <w:rsid w:val="003B6A90"/>
    <w:rsid w:val="003B6CAB"/>
    <w:rsid w:val="003C0191"/>
    <w:rsid w:val="003C0F91"/>
    <w:rsid w:val="003C1BBA"/>
    <w:rsid w:val="003C34DC"/>
    <w:rsid w:val="003C5364"/>
    <w:rsid w:val="003C580F"/>
    <w:rsid w:val="003C6B4F"/>
    <w:rsid w:val="003C7094"/>
    <w:rsid w:val="003C74EE"/>
    <w:rsid w:val="003D0624"/>
    <w:rsid w:val="003D0842"/>
    <w:rsid w:val="003D2F6F"/>
    <w:rsid w:val="003D344D"/>
    <w:rsid w:val="003D574C"/>
    <w:rsid w:val="003D5B7F"/>
    <w:rsid w:val="003D5E3F"/>
    <w:rsid w:val="003D711E"/>
    <w:rsid w:val="003D78DC"/>
    <w:rsid w:val="003E195F"/>
    <w:rsid w:val="003E24DC"/>
    <w:rsid w:val="003E28A6"/>
    <w:rsid w:val="003E3810"/>
    <w:rsid w:val="003E416C"/>
    <w:rsid w:val="003E6044"/>
    <w:rsid w:val="003E7EEC"/>
    <w:rsid w:val="003E7FC0"/>
    <w:rsid w:val="003F4464"/>
    <w:rsid w:val="003F572E"/>
    <w:rsid w:val="003F5C57"/>
    <w:rsid w:val="003F5F55"/>
    <w:rsid w:val="003F6848"/>
    <w:rsid w:val="00400515"/>
    <w:rsid w:val="00401F72"/>
    <w:rsid w:val="0040316E"/>
    <w:rsid w:val="00404707"/>
    <w:rsid w:val="00404B89"/>
    <w:rsid w:val="00405EBE"/>
    <w:rsid w:val="00406FD7"/>
    <w:rsid w:val="004074C6"/>
    <w:rsid w:val="00407ABC"/>
    <w:rsid w:val="0041179B"/>
    <w:rsid w:val="00411B8F"/>
    <w:rsid w:val="00413864"/>
    <w:rsid w:val="00413C6E"/>
    <w:rsid w:val="00414822"/>
    <w:rsid w:val="00414CC3"/>
    <w:rsid w:val="00414D5B"/>
    <w:rsid w:val="004155D7"/>
    <w:rsid w:val="00417089"/>
    <w:rsid w:val="00417E77"/>
    <w:rsid w:val="00420310"/>
    <w:rsid w:val="00421A6E"/>
    <w:rsid w:val="00421B16"/>
    <w:rsid w:val="00421EE1"/>
    <w:rsid w:val="004246F3"/>
    <w:rsid w:val="0042648E"/>
    <w:rsid w:val="00426B16"/>
    <w:rsid w:val="00426B30"/>
    <w:rsid w:val="00426DBA"/>
    <w:rsid w:val="00430DC3"/>
    <w:rsid w:val="00431A89"/>
    <w:rsid w:val="00431A9C"/>
    <w:rsid w:val="0043284D"/>
    <w:rsid w:val="0043328A"/>
    <w:rsid w:val="00436E75"/>
    <w:rsid w:val="00440133"/>
    <w:rsid w:val="00441898"/>
    <w:rsid w:val="004428BA"/>
    <w:rsid w:val="00444A60"/>
    <w:rsid w:val="00445490"/>
    <w:rsid w:val="00446FBE"/>
    <w:rsid w:val="004472B5"/>
    <w:rsid w:val="00447300"/>
    <w:rsid w:val="0044763D"/>
    <w:rsid w:val="004512E4"/>
    <w:rsid w:val="0045130F"/>
    <w:rsid w:val="00451379"/>
    <w:rsid w:val="00452D77"/>
    <w:rsid w:val="004536BC"/>
    <w:rsid w:val="00453957"/>
    <w:rsid w:val="00454117"/>
    <w:rsid w:val="0045505C"/>
    <w:rsid w:val="004563E8"/>
    <w:rsid w:val="00456E3F"/>
    <w:rsid w:val="004574A9"/>
    <w:rsid w:val="004576BA"/>
    <w:rsid w:val="00462171"/>
    <w:rsid w:val="004624A9"/>
    <w:rsid w:val="00462C80"/>
    <w:rsid w:val="00464F25"/>
    <w:rsid w:val="0046594D"/>
    <w:rsid w:val="00467B97"/>
    <w:rsid w:val="00470181"/>
    <w:rsid w:val="00470BBE"/>
    <w:rsid w:val="00471085"/>
    <w:rsid w:val="004714DA"/>
    <w:rsid w:val="00471CF7"/>
    <w:rsid w:val="0047214E"/>
    <w:rsid w:val="00473317"/>
    <w:rsid w:val="00473EED"/>
    <w:rsid w:val="0047488B"/>
    <w:rsid w:val="00474B40"/>
    <w:rsid w:val="004752F7"/>
    <w:rsid w:val="00475907"/>
    <w:rsid w:val="0047636E"/>
    <w:rsid w:val="00480B36"/>
    <w:rsid w:val="00480C91"/>
    <w:rsid w:val="00480D38"/>
    <w:rsid w:val="00481BA7"/>
    <w:rsid w:val="00481DBD"/>
    <w:rsid w:val="004822B6"/>
    <w:rsid w:val="004823D4"/>
    <w:rsid w:val="00482E4A"/>
    <w:rsid w:val="00482F26"/>
    <w:rsid w:val="00483F13"/>
    <w:rsid w:val="00483F40"/>
    <w:rsid w:val="00486F39"/>
    <w:rsid w:val="00487863"/>
    <w:rsid w:val="00487905"/>
    <w:rsid w:val="00487F89"/>
    <w:rsid w:val="0049081F"/>
    <w:rsid w:val="00490827"/>
    <w:rsid w:val="004936D2"/>
    <w:rsid w:val="00495D25"/>
    <w:rsid w:val="004A1FC2"/>
    <w:rsid w:val="004A5684"/>
    <w:rsid w:val="004A58BA"/>
    <w:rsid w:val="004A6335"/>
    <w:rsid w:val="004A6D25"/>
    <w:rsid w:val="004A7168"/>
    <w:rsid w:val="004B01B6"/>
    <w:rsid w:val="004B127F"/>
    <w:rsid w:val="004B254F"/>
    <w:rsid w:val="004B4CB6"/>
    <w:rsid w:val="004B5954"/>
    <w:rsid w:val="004B59E3"/>
    <w:rsid w:val="004B5CFA"/>
    <w:rsid w:val="004B72DD"/>
    <w:rsid w:val="004B7676"/>
    <w:rsid w:val="004C25CE"/>
    <w:rsid w:val="004C2A7A"/>
    <w:rsid w:val="004C3602"/>
    <w:rsid w:val="004C4A4D"/>
    <w:rsid w:val="004C5122"/>
    <w:rsid w:val="004C5441"/>
    <w:rsid w:val="004C58A1"/>
    <w:rsid w:val="004C6401"/>
    <w:rsid w:val="004C7591"/>
    <w:rsid w:val="004D3A7E"/>
    <w:rsid w:val="004D582F"/>
    <w:rsid w:val="004D5C5A"/>
    <w:rsid w:val="004D66C0"/>
    <w:rsid w:val="004E08CF"/>
    <w:rsid w:val="004E2634"/>
    <w:rsid w:val="004E2AB6"/>
    <w:rsid w:val="004E2C71"/>
    <w:rsid w:val="004E3A40"/>
    <w:rsid w:val="004E57F6"/>
    <w:rsid w:val="004E6B32"/>
    <w:rsid w:val="004F126B"/>
    <w:rsid w:val="004F2CCF"/>
    <w:rsid w:val="004F321A"/>
    <w:rsid w:val="004F3CFB"/>
    <w:rsid w:val="004F4905"/>
    <w:rsid w:val="004F4B40"/>
    <w:rsid w:val="004F5807"/>
    <w:rsid w:val="004F6F81"/>
    <w:rsid w:val="004F723D"/>
    <w:rsid w:val="00500015"/>
    <w:rsid w:val="0050059F"/>
    <w:rsid w:val="00501033"/>
    <w:rsid w:val="005019ED"/>
    <w:rsid w:val="00502796"/>
    <w:rsid w:val="0050459E"/>
    <w:rsid w:val="00504713"/>
    <w:rsid w:val="00504EE8"/>
    <w:rsid w:val="00505252"/>
    <w:rsid w:val="005060B2"/>
    <w:rsid w:val="005079F4"/>
    <w:rsid w:val="0051020D"/>
    <w:rsid w:val="00511F86"/>
    <w:rsid w:val="00513C98"/>
    <w:rsid w:val="00517724"/>
    <w:rsid w:val="00520863"/>
    <w:rsid w:val="005209A1"/>
    <w:rsid w:val="00520B28"/>
    <w:rsid w:val="00522E1E"/>
    <w:rsid w:val="00526166"/>
    <w:rsid w:val="00526540"/>
    <w:rsid w:val="00526750"/>
    <w:rsid w:val="00527018"/>
    <w:rsid w:val="0052781B"/>
    <w:rsid w:val="00527EED"/>
    <w:rsid w:val="00531E57"/>
    <w:rsid w:val="005322DE"/>
    <w:rsid w:val="005325F9"/>
    <w:rsid w:val="00533BAA"/>
    <w:rsid w:val="0053550A"/>
    <w:rsid w:val="00535911"/>
    <w:rsid w:val="0053695A"/>
    <w:rsid w:val="00537404"/>
    <w:rsid w:val="00537F3C"/>
    <w:rsid w:val="00540013"/>
    <w:rsid w:val="00540588"/>
    <w:rsid w:val="005420DB"/>
    <w:rsid w:val="005424D8"/>
    <w:rsid w:val="005437AD"/>
    <w:rsid w:val="00543A8A"/>
    <w:rsid w:val="00544CF4"/>
    <w:rsid w:val="00544F46"/>
    <w:rsid w:val="00547156"/>
    <w:rsid w:val="005528B6"/>
    <w:rsid w:val="005531F3"/>
    <w:rsid w:val="005539C3"/>
    <w:rsid w:val="0055445C"/>
    <w:rsid w:val="005577E9"/>
    <w:rsid w:val="00557FDA"/>
    <w:rsid w:val="0056021D"/>
    <w:rsid w:val="005606C9"/>
    <w:rsid w:val="00560E1F"/>
    <w:rsid w:val="0056132B"/>
    <w:rsid w:val="005625F2"/>
    <w:rsid w:val="00562696"/>
    <w:rsid w:val="00563782"/>
    <w:rsid w:val="005644A2"/>
    <w:rsid w:val="005656DB"/>
    <w:rsid w:val="00566E8C"/>
    <w:rsid w:val="0056702A"/>
    <w:rsid w:val="00567183"/>
    <w:rsid w:val="005671CB"/>
    <w:rsid w:val="00567CE9"/>
    <w:rsid w:val="0057084E"/>
    <w:rsid w:val="005714E4"/>
    <w:rsid w:val="0057216B"/>
    <w:rsid w:val="005721B3"/>
    <w:rsid w:val="0057231D"/>
    <w:rsid w:val="005727F7"/>
    <w:rsid w:val="00572BCC"/>
    <w:rsid w:val="005738E8"/>
    <w:rsid w:val="00574520"/>
    <w:rsid w:val="00575152"/>
    <w:rsid w:val="005756CC"/>
    <w:rsid w:val="005769EC"/>
    <w:rsid w:val="00577D55"/>
    <w:rsid w:val="00577DC7"/>
    <w:rsid w:val="00577EAE"/>
    <w:rsid w:val="005802DA"/>
    <w:rsid w:val="0058030F"/>
    <w:rsid w:val="00580FCC"/>
    <w:rsid w:val="0058175A"/>
    <w:rsid w:val="00582D4F"/>
    <w:rsid w:val="00582FE9"/>
    <w:rsid w:val="0058359E"/>
    <w:rsid w:val="00583A88"/>
    <w:rsid w:val="00583BF1"/>
    <w:rsid w:val="00583F21"/>
    <w:rsid w:val="00583F4F"/>
    <w:rsid w:val="00585FE5"/>
    <w:rsid w:val="005903A2"/>
    <w:rsid w:val="00590B77"/>
    <w:rsid w:val="00590F01"/>
    <w:rsid w:val="00591AA1"/>
    <w:rsid w:val="00591D82"/>
    <w:rsid w:val="00592849"/>
    <w:rsid w:val="00592EFD"/>
    <w:rsid w:val="005933DE"/>
    <w:rsid w:val="005944AF"/>
    <w:rsid w:val="00594843"/>
    <w:rsid w:val="005954ED"/>
    <w:rsid w:val="005960E6"/>
    <w:rsid w:val="005966C5"/>
    <w:rsid w:val="005A2F93"/>
    <w:rsid w:val="005A2FEB"/>
    <w:rsid w:val="005A3263"/>
    <w:rsid w:val="005A3675"/>
    <w:rsid w:val="005A559F"/>
    <w:rsid w:val="005A5B7A"/>
    <w:rsid w:val="005A78ED"/>
    <w:rsid w:val="005A7A19"/>
    <w:rsid w:val="005B1EB6"/>
    <w:rsid w:val="005B29E1"/>
    <w:rsid w:val="005B4A7E"/>
    <w:rsid w:val="005B603E"/>
    <w:rsid w:val="005B7423"/>
    <w:rsid w:val="005C0945"/>
    <w:rsid w:val="005C0E12"/>
    <w:rsid w:val="005C17A0"/>
    <w:rsid w:val="005C1EB7"/>
    <w:rsid w:val="005C23D1"/>
    <w:rsid w:val="005C28F4"/>
    <w:rsid w:val="005C3460"/>
    <w:rsid w:val="005C5BE4"/>
    <w:rsid w:val="005D0A67"/>
    <w:rsid w:val="005D1B87"/>
    <w:rsid w:val="005D1C0B"/>
    <w:rsid w:val="005D2F2C"/>
    <w:rsid w:val="005D31F8"/>
    <w:rsid w:val="005D36A7"/>
    <w:rsid w:val="005D55D8"/>
    <w:rsid w:val="005D57DD"/>
    <w:rsid w:val="005D60AA"/>
    <w:rsid w:val="005D6610"/>
    <w:rsid w:val="005D66B1"/>
    <w:rsid w:val="005D7127"/>
    <w:rsid w:val="005E00DC"/>
    <w:rsid w:val="005E0DD5"/>
    <w:rsid w:val="005E1DBE"/>
    <w:rsid w:val="005E4FD5"/>
    <w:rsid w:val="005E7CEE"/>
    <w:rsid w:val="005F0761"/>
    <w:rsid w:val="005F0F73"/>
    <w:rsid w:val="005F0FFC"/>
    <w:rsid w:val="005F1C42"/>
    <w:rsid w:val="005F1E43"/>
    <w:rsid w:val="005F2E01"/>
    <w:rsid w:val="005F3737"/>
    <w:rsid w:val="005F3E0D"/>
    <w:rsid w:val="005F5F47"/>
    <w:rsid w:val="005F6E1A"/>
    <w:rsid w:val="005F7527"/>
    <w:rsid w:val="005F76E8"/>
    <w:rsid w:val="006002FD"/>
    <w:rsid w:val="006009DF"/>
    <w:rsid w:val="006021CF"/>
    <w:rsid w:val="00602BD3"/>
    <w:rsid w:val="00602F9C"/>
    <w:rsid w:val="006030EF"/>
    <w:rsid w:val="00604559"/>
    <w:rsid w:val="006054D2"/>
    <w:rsid w:val="00606B63"/>
    <w:rsid w:val="00611D9A"/>
    <w:rsid w:val="00612B35"/>
    <w:rsid w:val="00612C3D"/>
    <w:rsid w:val="00614E95"/>
    <w:rsid w:val="00617944"/>
    <w:rsid w:val="00621A08"/>
    <w:rsid w:val="00622199"/>
    <w:rsid w:val="00624063"/>
    <w:rsid w:val="006244DB"/>
    <w:rsid w:val="00624CDD"/>
    <w:rsid w:val="00625987"/>
    <w:rsid w:val="00626DF0"/>
    <w:rsid w:val="00627DA3"/>
    <w:rsid w:val="00630944"/>
    <w:rsid w:val="006327E2"/>
    <w:rsid w:val="00633AA7"/>
    <w:rsid w:val="00633EAC"/>
    <w:rsid w:val="00633F7A"/>
    <w:rsid w:val="00634162"/>
    <w:rsid w:val="00635CB2"/>
    <w:rsid w:val="00635FC7"/>
    <w:rsid w:val="0063678F"/>
    <w:rsid w:val="006375DE"/>
    <w:rsid w:val="00637638"/>
    <w:rsid w:val="00641626"/>
    <w:rsid w:val="00641CC8"/>
    <w:rsid w:val="006420B3"/>
    <w:rsid w:val="006453AE"/>
    <w:rsid w:val="00645433"/>
    <w:rsid w:val="006477F9"/>
    <w:rsid w:val="00651CA6"/>
    <w:rsid w:val="00652D47"/>
    <w:rsid w:val="006532E0"/>
    <w:rsid w:val="00654039"/>
    <w:rsid w:val="00654D5A"/>
    <w:rsid w:val="00655FEE"/>
    <w:rsid w:val="00656AE4"/>
    <w:rsid w:val="00657142"/>
    <w:rsid w:val="00657AA2"/>
    <w:rsid w:val="00657FD1"/>
    <w:rsid w:val="006611B2"/>
    <w:rsid w:val="0066132C"/>
    <w:rsid w:val="006628F6"/>
    <w:rsid w:val="00662CB4"/>
    <w:rsid w:val="00662F16"/>
    <w:rsid w:val="00663727"/>
    <w:rsid w:val="00663F28"/>
    <w:rsid w:val="00665340"/>
    <w:rsid w:val="006657B6"/>
    <w:rsid w:val="006667CF"/>
    <w:rsid w:val="00667E36"/>
    <w:rsid w:val="0067188C"/>
    <w:rsid w:val="00672C9E"/>
    <w:rsid w:val="00673D36"/>
    <w:rsid w:val="00675365"/>
    <w:rsid w:val="00676CA4"/>
    <w:rsid w:val="00677859"/>
    <w:rsid w:val="00677FA6"/>
    <w:rsid w:val="006841AD"/>
    <w:rsid w:val="00684755"/>
    <w:rsid w:val="00685099"/>
    <w:rsid w:val="00685E5A"/>
    <w:rsid w:val="00685FE2"/>
    <w:rsid w:val="00686E05"/>
    <w:rsid w:val="00687026"/>
    <w:rsid w:val="006873B5"/>
    <w:rsid w:val="00690315"/>
    <w:rsid w:val="006930A5"/>
    <w:rsid w:val="00694826"/>
    <w:rsid w:val="00694B6E"/>
    <w:rsid w:val="006959D5"/>
    <w:rsid w:val="00695A56"/>
    <w:rsid w:val="00696E6B"/>
    <w:rsid w:val="006A07F3"/>
    <w:rsid w:val="006A1F05"/>
    <w:rsid w:val="006A26ED"/>
    <w:rsid w:val="006A2CCC"/>
    <w:rsid w:val="006A4336"/>
    <w:rsid w:val="006A43DF"/>
    <w:rsid w:val="006A60AC"/>
    <w:rsid w:val="006A663D"/>
    <w:rsid w:val="006A7060"/>
    <w:rsid w:val="006A7573"/>
    <w:rsid w:val="006B120B"/>
    <w:rsid w:val="006B137E"/>
    <w:rsid w:val="006B1F59"/>
    <w:rsid w:val="006B21F3"/>
    <w:rsid w:val="006B294A"/>
    <w:rsid w:val="006B40E7"/>
    <w:rsid w:val="006B4B5A"/>
    <w:rsid w:val="006B7711"/>
    <w:rsid w:val="006C0B38"/>
    <w:rsid w:val="006C3580"/>
    <w:rsid w:val="006C3710"/>
    <w:rsid w:val="006C3D91"/>
    <w:rsid w:val="006C48B7"/>
    <w:rsid w:val="006D2E4F"/>
    <w:rsid w:val="006D4897"/>
    <w:rsid w:val="006D496F"/>
    <w:rsid w:val="006E0058"/>
    <w:rsid w:val="006E0DF6"/>
    <w:rsid w:val="006E15BF"/>
    <w:rsid w:val="006E16A4"/>
    <w:rsid w:val="006E28DF"/>
    <w:rsid w:val="006E30B6"/>
    <w:rsid w:val="006E3BD2"/>
    <w:rsid w:val="006E4B22"/>
    <w:rsid w:val="006E5AE9"/>
    <w:rsid w:val="006E5F07"/>
    <w:rsid w:val="006E6D7B"/>
    <w:rsid w:val="006F0F3E"/>
    <w:rsid w:val="006F123F"/>
    <w:rsid w:val="006F27C7"/>
    <w:rsid w:val="006F5226"/>
    <w:rsid w:val="006F5683"/>
    <w:rsid w:val="006F613E"/>
    <w:rsid w:val="006F7A0A"/>
    <w:rsid w:val="006F7AAA"/>
    <w:rsid w:val="00700132"/>
    <w:rsid w:val="00700366"/>
    <w:rsid w:val="0070125D"/>
    <w:rsid w:val="00702B81"/>
    <w:rsid w:val="0070575B"/>
    <w:rsid w:val="00705CBD"/>
    <w:rsid w:val="00706B0C"/>
    <w:rsid w:val="00707878"/>
    <w:rsid w:val="007102BA"/>
    <w:rsid w:val="00713C87"/>
    <w:rsid w:val="00714FA9"/>
    <w:rsid w:val="00715004"/>
    <w:rsid w:val="0071577F"/>
    <w:rsid w:val="00715CC1"/>
    <w:rsid w:val="00716506"/>
    <w:rsid w:val="00720328"/>
    <w:rsid w:val="0072196B"/>
    <w:rsid w:val="00721EEE"/>
    <w:rsid w:val="007221E2"/>
    <w:rsid w:val="00723B16"/>
    <w:rsid w:val="007246A7"/>
    <w:rsid w:val="007254CF"/>
    <w:rsid w:val="00725A7F"/>
    <w:rsid w:val="0072611C"/>
    <w:rsid w:val="00727660"/>
    <w:rsid w:val="00727C56"/>
    <w:rsid w:val="00732CBF"/>
    <w:rsid w:val="007331B8"/>
    <w:rsid w:val="00733255"/>
    <w:rsid w:val="00735370"/>
    <w:rsid w:val="007362B2"/>
    <w:rsid w:val="00736E4B"/>
    <w:rsid w:val="00737D33"/>
    <w:rsid w:val="00742666"/>
    <w:rsid w:val="00742863"/>
    <w:rsid w:val="00745E25"/>
    <w:rsid w:val="007461D9"/>
    <w:rsid w:val="00747064"/>
    <w:rsid w:val="007507D4"/>
    <w:rsid w:val="0075116F"/>
    <w:rsid w:val="007521CC"/>
    <w:rsid w:val="00753468"/>
    <w:rsid w:val="00753789"/>
    <w:rsid w:val="00754492"/>
    <w:rsid w:val="007549B0"/>
    <w:rsid w:val="00755DAC"/>
    <w:rsid w:val="00757576"/>
    <w:rsid w:val="0075771F"/>
    <w:rsid w:val="00760482"/>
    <w:rsid w:val="00760A25"/>
    <w:rsid w:val="00761237"/>
    <w:rsid w:val="00761C78"/>
    <w:rsid w:val="00762507"/>
    <w:rsid w:val="00763E82"/>
    <w:rsid w:val="0076491C"/>
    <w:rsid w:val="00764EFF"/>
    <w:rsid w:val="00765003"/>
    <w:rsid w:val="0076568F"/>
    <w:rsid w:val="0076661A"/>
    <w:rsid w:val="00767451"/>
    <w:rsid w:val="00771C1E"/>
    <w:rsid w:val="00773331"/>
    <w:rsid w:val="00773F5B"/>
    <w:rsid w:val="00774697"/>
    <w:rsid w:val="00774E20"/>
    <w:rsid w:val="00775F83"/>
    <w:rsid w:val="0078110C"/>
    <w:rsid w:val="00781D32"/>
    <w:rsid w:val="0078223F"/>
    <w:rsid w:val="007829B8"/>
    <w:rsid w:val="00783E32"/>
    <w:rsid w:val="007868A2"/>
    <w:rsid w:val="00786F1C"/>
    <w:rsid w:val="00787415"/>
    <w:rsid w:val="00792333"/>
    <w:rsid w:val="007926CC"/>
    <w:rsid w:val="007927AE"/>
    <w:rsid w:val="007932EF"/>
    <w:rsid w:val="00793A69"/>
    <w:rsid w:val="00795EF5"/>
    <w:rsid w:val="00796681"/>
    <w:rsid w:val="007A000D"/>
    <w:rsid w:val="007A12D0"/>
    <w:rsid w:val="007A18F7"/>
    <w:rsid w:val="007A1CDC"/>
    <w:rsid w:val="007A1E93"/>
    <w:rsid w:val="007A253E"/>
    <w:rsid w:val="007A258E"/>
    <w:rsid w:val="007A36FE"/>
    <w:rsid w:val="007A57C0"/>
    <w:rsid w:val="007B0321"/>
    <w:rsid w:val="007B0AE7"/>
    <w:rsid w:val="007B0BA7"/>
    <w:rsid w:val="007B18B0"/>
    <w:rsid w:val="007B2C58"/>
    <w:rsid w:val="007B2FC2"/>
    <w:rsid w:val="007B32CF"/>
    <w:rsid w:val="007B358A"/>
    <w:rsid w:val="007B47CE"/>
    <w:rsid w:val="007B47ED"/>
    <w:rsid w:val="007B4871"/>
    <w:rsid w:val="007B5033"/>
    <w:rsid w:val="007B5983"/>
    <w:rsid w:val="007C06A0"/>
    <w:rsid w:val="007C09E9"/>
    <w:rsid w:val="007C0B9A"/>
    <w:rsid w:val="007C1723"/>
    <w:rsid w:val="007C2865"/>
    <w:rsid w:val="007C56C2"/>
    <w:rsid w:val="007C67D7"/>
    <w:rsid w:val="007D073C"/>
    <w:rsid w:val="007D1703"/>
    <w:rsid w:val="007D191B"/>
    <w:rsid w:val="007D1977"/>
    <w:rsid w:val="007D2291"/>
    <w:rsid w:val="007D23D7"/>
    <w:rsid w:val="007D28FF"/>
    <w:rsid w:val="007D2C27"/>
    <w:rsid w:val="007D3114"/>
    <w:rsid w:val="007D46BE"/>
    <w:rsid w:val="007D5CD6"/>
    <w:rsid w:val="007D5EC0"/>
    <w:rsid w:val="007D65B1"/>
    <w:rsid w:val="007D7903"/>
    <w:rsid w:val="007E05B0"/>
    <w:rsid w:val="007E275E"/>
    <w:rsid w:val="007E4F9F"/>
    <w:rsid w:val="007E5930"/>
    <w:rsid w:val="007E5BDE"/>
    <w:rsid w:val="007F136F"/>
    <w:rsid w:val="007F163F"/>
    <w:rsid w:val="007F2F73"/>
    <w:rsid w:val="007F3DA6"/>
    <w:rsid w:val="007F4A06"/>
    <w:rsid w:val="007F5056"/>
    <w:rsid w:val="007F5564"/>
    <w:rsid w:val="007F5A56"/>
    <w:rsid w:val="007F625A"/>
    <w:rsid w:val="007F6BE7"/>
    <w:rsid w:val="007F70C0"/>
    <w:rsid w:val="007F74F3"/>
    <w:rsid w:val="007F7636"/>
    <w:rsid w:val="007F7E87"/>
    <w:rsid w:val="0080108C"/>
    <w:rsid w:val="00802A62"/>
    <w:rsid w:val="00803728"/>
    <w:rsid w:val="008054CC"/>
    <w:rsid w:val="00805C44"/>
    <w:rsid w:val="008064B6"/>
    <w:rsid w:val="00810559"/>
    <w:rsid w:val="008158F5"/>
    <w:rsid w:val="00815DC5"/>
    <w:rsid w:val="00816091"/>
    <w:rsid w:val="00816152"/>
    <w:rsid w:val="0081655F"/>
    <w:rsid w:val="00817177"/>
    <w:rsid w:val="00820454"/>
    <w:rsid w:val="00820D52"/>
    <w:rsid w:val="00822719"/>
    <w:rsid w:val="008229FD"/>
    <w:rsid w:val="00824748"/>
    <w:rsid w:val="00824F4F"/>
    <w:rsid w:val="00826A89"/>
    <w:rsid w:val="00826C20"/>
    <w:rsid w:val="00826EAB"/>
    <w:rsid w:val="00827834"/>
    <w:rsid w:val="00830173"/>
    <w:rsid w:val="00830479"/>
    <w:rsid w:val="00830817"/>
    <w:rsid w:val="00831DA2"/>
    <w:rsid w:val="0083374C"/>
    <w:rsid w:val="00834BEC"/>
    <w:rsid w:val="00835227"/>
    <w:rsid w:val="00835B2A"/>
    <w:rsid w:val="00836240"/>
    <w:rsid w:val="00840CF8"/>
    <w:rsid w:val="008412E4"/>
    <w:rsid w:val="00841772"/>
    <w:rsid w:val="00841FD5"/>
    <w:rsid w:val="00843C1C"/>
    <w:rsid w:val="00845422"/>
    <w:rsid w:val="00846151"/>
    <w:rsid w:val="00846401"/>
    <w:rsid w:val="008464A7"/>
    <w:rsid w:val="00846AC5"/>
    <w:rsid w:val="008508D8"/>
    <w:rsid w:val="0085185C"/>
    <w:rsid w:val="00851FA1"/>
    <w:rsid w:val="00852C43"/>
    <w:rsid w:val="00853B55"/>
    <w:rsid w:val="008549BD"/>
    <w:rsid w:val="00856FD6"/>
    <w:rsid w:val="0085750A"/>
    <w:rsid w:val="0086033C"/>
    <w:rsid w:val="0086172D"/>
    <w:rsid w:val="00861A2C"/>
    <w:rsid w:val="00861D13"/>
    <w:rsid w:val="00862A5C"/>
    <w:rsid w:val="008632FC"/>
    <w:rsid w:val="008636E4"/>
    <w:rsid w:val="00863EB7"/>
    <w:rsid w:val="00864272"/>
    <w:rsid w:val="00865F92"/>
    <w:rsid w:val="00866E94"/>
    <w:rsid w:val="008678DA"/>
    <w:rsid w:val="00870C7C"/>
    <w:rsid w:val="00870D23"/>
    <w:rsid w:val="00870F01"/>
    <w:rsid w:val="00871095"/>
    <w:rsid w:val="00873E3A"/>
    <w:rsid w:val="00874D22"/>
    <w:rsid w:val="00877CC2"/>
    <w:rsid w:val="00880017"/>
    <w:rsid w:val="00880500"/>
    <w:rsid w:val="00880FEA"/>
    <w:rsid w:val="00881A61"/>
    <w:rsid w:val="00881FD7"/>
    <w:rsid w:val="00884B4C"/>
    <w:rsid w:val="0088572C"/>
    <w:rsid w:val="008857FC"/>
    <w:rsid w:val="00885B22"/>
    <w:rsid w:val="00885BAC"/>
    <w:rsid w:val="00885DBE"/>
    <w:rsid w:val="00886350"/>
    <w:rsid w:val="00887821"/>
    <w:rsid w:val="00887A65"/>
    <w:rsid w:val="00892414"/>
    <w:rsid w:val="00893C4A"/>
    <w:rsid w:val="008940E0"/>
    <w:rsid w:val="00894625"/>
    <w:rsid w:val="0089599E"/>
    <w:rsid w:val="00895DA3"/>
    <w:rsid w:val="00896CA2"/>
    <w:rsid w:val="00897C93"/>
    <w:rsid w:val="008A0490"/>
    <w:rsid w:val="008A0F1D"/>
    <w:rsid w:val="008A2914"/>
    <w:rsid w:val="008A2B85"/>
    <w:rsid w:val="008A36B9"/>
    <w:rsid w:val="008A48DD"/>
    <w:rsid w:val="008A5175"/>
    <w:rsid w:val="008A5E87"/>
    <w:rsid w:val="008A645A"/>
    <w:rsid w:val="008A78E3"/>
    <w:rsid w:val="008B05DB"/>
    <w:rsid w:val="008B1501"/>
    <w:rsid w:val="008B1B27"/>
    <w:rsid w:val="008B472D"/>
    <w:rsid w:val="008B55B3"/>
    <w:rsid w:val="008B5777"/>
    <w:rsid w:val="008B63E8"/>
    <w:rsid w:val="008B7D24"/>
    <w:rsid w:val="008B7DDB"/>
    <w:rsid w:val="008C00D4"/>
    <w:rsid w:val="008C016C"/>
    <w:rsid w:val="008C1989"/>
    <w:rsid w:val="008C1EC1"/>
    <w:rsid w:val="008C38D0"/>
    <w:rsid w:val="008C3AF5"/>
    <w:rsid w:val="008C3B82"/>
    <w:rsid w:val="008C4A89"/>
    <w:rsid w:val="008C5706"/>
    <w:rsid w:val="008C5779"/>
    <w:rsid w:val="008D17BA"/>
    <w:rsid w:val="008D17E4"/>
    <w:rsid w:val="008D24E5"/>
    <w:rsid w:val="008D382C"/>
    <w:rsid w:val="008D3959"/>
    <w:rsid w:val="008D3E41"/>
    <w:rsid w:val="008D5AA6"/>
    <w:rsid w:val="008D6215"/>
    <w:rsid w:val="008D6EF6"/>
    <w:rsid w:val="008D7C02"/>
    <w:rsid w:val="008D7DC1"/>
    <w:rsid w:val="008E12E6"/>
    <w:rsid w:val="008E1344"/>
    <w:rsid w:val="008E1B88"/>
    <w:rsid w:val="008E205F"/>
    <w:rsid w:val="008E2DB7"/>
    <w:rsid w:val="008E4D8E"/>
    <w:rsid w:val="008E505F"/>
    <w:rsid w:val="008E5C18"/>
    <w:rsid w:val="008E7C6F"/>
    <w:rsid w:val="008F0BB3"/>
    <w:rsid w:val="008F0C82"/>
    <w:rsid w:val="008F2AFC"/>
    <w:rsid w:val="008F3933"/>
    <w:rsid w:val="008F5587"/>
    <w:rsid w:val="008F7051"/>
    <w:rsid w:val="008F70D3"/>
    <w:rsid w:val="008F7595"/>
    <w:rsid w:val="00901221"/>
    <w:rsid w:val="00901315"/>
    <w:rsid w:val="00901E11"/>
    <w:rsid w:val="00902FBB"/>
    <w:rsid w:val="00904142"/>
    <w:rsid w:val="009046B7"/>
    <w:rsid w:val="00910E60"/>
    <w:rsid w:val="00912021"/>
    <w:rsid w:val="00912180"/>
    <w:rsid w:val="009140DF"/>
    <w:rsid w:val="0091492E"/>
    <w:rsid w:val="00914B0E"/>
    <w:rsid w:val="0091544A"/>
    <w:rsid w:val="00917E9E"/>
    <w:rsid w:val="00920633"/>
    <w:rsid w:val="00920BC9"/>
    <w:rsid w:val="00923BB7"/>
    <w:rsid w:val="00924391"/>
    <w:rsid w:val="00924BEB"/>
    <w:rsid w:val="009270B6"/>
    <w:rsid w:val="00927B54"/>
    <w:rsid w:val="00927EE5"/>
    <w:rsid w:val="0093055A"/>
    <w:rsid w:val="00931A38"/>
    <w:rsid w:val="0093250B"/>
    <w:rsid w:val="00932B03"/>
    <w:rsid w:val="00932BFA"/>
    <w:rsid w:val="0093313E"/>
    <w:rsid w:val="009344B0"/>
    <w:rsid w:val="00934B27"/>
    <w:rsid w:val="00937090"/>
    <w:rsid w:val="009374D3"/>
    <w:rsid w:val="0094331B"/>
    <w:rsid w:val="009435D5"/>
    <w:rsid w:val="009436BF"/>
    <w:rsid w:val="00944711"/>
    <w:rsid w:val="00947304"/>
    <w:rsid w:val="009473AA"/>
    <w:rsid w:val="00947A56"/>
    <w:rsid w:val="009502D7"/>
    <w:rsid w:val="009527EF"/>
    <w:rsid w:val="009536DB"/>
    <w:rsid w:val="009537EC"/>
    <w:rsid w:val="00953A0E"/>
    <w:rsid w:val="009540E0"/>
    <w:rsid w:val="00954924"/>
    <w:rsid w:val="00954DAE"/>
    <w:rsid w:val="00955EF1"/>
    <w:rsid w:val="00956A8A"/>
    <w:rsid w:val="00957735"/>
    <w:rsid w:val="009608A8"/>
    <w:rsid w:val="009616D5"/>
    <w:rsid w:val="00964D02"/>
    <w:rsid w:val="00970452"/>
    <w:rsid w:val="00970551"/>
    <w:rsid w:val="00971ADD"/>
    <w:rsid w:val="00971AE0"/>
    <w:rsid w:val="009726CA"/>
    <w:rsid w:val="00972926"/>
    <w:rsid w:val="00972D50"/>
    <w:rsid w:val="00973A78"/>
    <w:rsid w:val="009755F4"/>
    <w:rsid w:val="00976710"/>
    <w:rsid w:val="00976C4B"/>
    <w:rsid w:val="00980332"/>
    <w:rsid w:val="00981058"/>
    <w:rsid w:val="00982F73"/>
    <w:rsid w:val="00983106"/>
    <w:rsid w:val="0098375E"/>
    <w:rsid w:val="00983A26"/>
    <w:rsid w:val="00986A9F"/>
    <w:rsid w:val="00986B62"/>
    <w:rsid w:val="009878BB"/>
    <w:rsid w:val="00990125"/>
    <w:rsid w:val="009908D4"/>
    <w:rsid w:val="009917B7"/>
    <w:rsid w:val="00991E45"/>
    <w:rsid w:val="0099453F"/>
    <w:rsid w:val="009946C8"/>
    <w:rsid w:val="00994F93"/>
    <w:rsid w:val="009950A1"/>
    <w:rsid w:val="009958EE"/>
    <w:rsid w:val="00995C11"/>
    <w:rsid w:val="009A033A"/>
    <w:rsid w:val="009A043E"/>
    <w:rsid w:val="009A1D6E"/>
    <w:rsid w:val="009A4941"/>
    <w:rsid w:val="009A57D2"/>
    <w:rsid w:val="009A6C6C"/>
    <w:rsid w:val="009A7BF4"/>
    <w:rsid w:val="009B06AE"/>
    <w:rsid w:val="009B13B2"/>
    <w:rsid w:val="009B1A96"/>
    <w:rsid w:val="009B2B16"/>
    <w:rsid w:val="009B36CC"/>
    <w:rsid w:val="009B5F72"/>
    <w:rsid w:val="009B6852"/>
    <w:rsid w:val="009B6EFB"/>
    <w:rsid w:val="009B719B"/>
    <w:rsid w:val="009C0578"/>
    <w:rsid w:val="009C50B9"/>
    <w:rsid w:val="009C58FA"/>
    <w:rsid w:val="009C629A"/>
    <w:rsid w:val="009C668E"/>
    <w:rsid w:val="009C6E7D"/>
    <w:rsid w:val="009D1E3C"/>
    <w:rsid w:val="009D341F"/>
    <w:rsid w:val="009D38FD"/>
    <w:rsid w:val="009D3CD0"/>
    <w:rsid w:val="009D50CB"/>
    <w:rsid w:val="009D5612"/>
    <w:rsid w:val="009D6B15"/>
    <w:rsid w:val="009E03F9"/>
    <w:rsid w:val="009E0852"/>
    <w:rsid w:val="009E15AD"/>
    <w:rsid w:val="009E1B8A"/>
    <w:rsid w:val="009E2574"/>
    <w:rsid w:val="009E2ABA"/>
    <w:rsid w:val="009E2D81"/>
    <w:rsid w:val="009E30B2"/>
    <w:rsid w:val="009E3108"/>
    <w:rsid w:val="009E3162"/>
    <w:rsid w:val="009E54A1"/>
    <w:rsid w:val="009E5D8C"/>
    <w:rsid w:val="009E7F99"/>
    <w:rsid w:val="009F15B5"/>
    <w:rsid w:val="009F167D"/>
    <w:rsid w:val="009F3DC0"/>
    <w:rsid w:val="009F4F1B"/>
    <w:rsid w:val="009F508F"/>
    <w:rsid w:val="009F7CE6"/>
    <w:rsid w:val="00A00FC5"/>
    <w:rsid w:val="00A022DE"/>
    <w:rsid w:val="00A03F32"/>
    <w:rsid w:val="00A043E4"/>
    <w:rsid w:val="00A05A8B"/>
    <w:rsid w:val="00A06309"/>
    <w:rsid w:val="00A12D89"/>
    <w:rsid w:val="00A15621"/>
    <w:rsid w:val="00A16DFF"/>
    <w:rsid w:val="00A17755"/>
    <w:rsid w:val="00A22030"/>
    <w:rsid w:val="00A25A2A"/>
    <w:rsid w:val="00A27816"/>
    <w:rsid w:val="00A30CCC"/>
    <w:rsid w:val="00A31400"/>
    <w:rsid w:val="00A329C6"/>
    <w:rsid w:val="00A32AD5"/>
    <w:rsid w:val="00A33391"/>
    <w:rsid w:val="00A36812"/>
    <w:rsid w:val="00A36A17"/>
    <w:rsid w:val="00A37F63"/>
    <w:rsid w:val="00A40A27"/>
    <w:rsid w:val="00A40B90"/>
    <w:rsid w:val="00A40C65"/>
    <w:rsid w:val="00A43579"/>
    <w:rsid w:val="00A46902"/>
    <w:rsid w:val="00A4785F"/>
    <w:rsid w:val="00A47B48"/>
    <w:rsid w:val="00A47B72"/>
    <w:rsid w:val="00A51BFA"/>
    <w:rsid w:val="00A5234A"/>
    <w:rsid w:val="00A52E5F"/>
    <w:rsid w:val="00A535B4"/>
    <w:rsid w:val="00A53720"/>
    <w:rsid w:val="00A53AF7"/>
    <w:rsid w:val="00A53CA4"/>
    <w:rsid w:val="00A54EEF"/>
    <w:rsid w:val="00A55264"/>
    <w:rsid w:val="00A55B73"/>
    <w:rsid w:val="00A57027"/>
    <w:rsid w:val="00A57534"/>
    <w:rsid w:val="00A575BE"/>
    <w:rsid w:val="00A577D6"/>
    <w:rsid w:val="00A579A6"/>
    <w:rsid w:val="00A57FDA"/>
    <w:rsid w:val="00A600E1"/>
    <w:rsid w:val="00A630A8"/>
    <w:rsid w:val="00A631F9"/>
    <w:rsid w:val="00A63688"/>
    <w:rsid w:val="00A64665"/>
    <w:rsid w:val="00A6489F"/>
    <w:rsid w:val="00A648F1"/>
    <w:rsid w:val="00A6638F"/>
    <w:rsid w:val="00A66984"/>
    <w:rsid w:val="00A66B45"/>
    <w:rsid w:val="00A67A68"/>
    <w:rsid w:val="00A700A6"/>
    <w:rsid w:val="00A709CD"/>
    <w:rsid w:val="00A70C5D"/>
    <w:rsid w:val="00A70EA0"/>
    <w:rsid w:val="00A71C64"/>
    <w:rsid w:val="00A729DB"/>
    <w:rsid w:val="00A74827"/>
    <w:rsid w:val="00A75EB7"/>
    <w:rsid w:val="00A76DF7"/>
    <w:rsid w:val="00A76F16"/>
    <w:rsid w:val="00A7701F"/>
    <w:rsid w:val="00A80C6A"/>
    <w:rsid w:val="00A818C7"/>
    <w:rsid w:val="00A83041"/>
    <w:rsid w:val="00A83478"/>
    <w:rsid w:val="00A83550"/>
    <w:rsid w:val="00A849A3"/>
    <w:rsid w:val="00A86569"/>
    <w:rsid w:val="00A867C9"/>
    <w:rsid w:val="00A86BBF"/>
    <w:rsid w:val="00A87498"/>
    <w:rsid w:val="00A87E02"/>
    <w:rsid w:val="00A904F4"/>
    <w:rsid w:val="00A90AFF"/>
    <w:rsid w:val="00A9152B"/>
    <w:rsid w:val="00A92871"/>
    <w:rsid w:val="00A92A26"/>
    <w:rsid w:val="00A92DEB"/>
    <w:rsid w:val="00A93593"/>
    <w:rsid w:val="00A95F9C"/>
    <w:rsid w:val="00AA00D2"/>
    <w:rsid w:val="00AA0655"/>
    <w:rsid w:val="00AA0E2C"/>
    <w:rsid w:val="00AA1348"/>
    <w:rsid w:val="00AA3307"/>
    <w:rsid w:val="00AA3652"/>
    <w:rsid w:val="00AA590B"/>
    <w:rsid w:val="00AA6BA8"/>
    <w:rsid w:val="00AA723A"/>
    <w:rsid w:val="00AA7A52"/>
    <w:rsid w:val="00AB0A2A"/>
    <w:rsid w:val="00AB1E55"/>
    <w:rsid w:val="00AB2F54"/>
    <w:rsid w:val="00AB3409"/>
    <w:rsid w:val="00AB4C85"/>
    <w:rsid w:val="00AB4D65"/>
    <w:rsid w:val="00AB5266"/>
    <w:rsid w:val="00AB70A0"/>
    <w:rsid w:val="00AC05FE"/>
    <w:rsid w:val="00AC3DBD"/>
    <w:rsid w:val="00AC3F4D"/>
    <w:rsid w:val="00AC4245"/>
    <w:rsid w:val="00AC54BE"/>
    <w:rsid w:val="00AD0343"/>
    <w:rsid w:val="00AD0AF6"/>
    <w:rsid w:val="00AD66D6"/>
    <w:rsid w:val="00AD7431"/>
    <w:rsid w:val="00AD7CD4"/>
    <w:rsid w:val="00AE0B37"/>
    <w:rsid w:val="00AE0EF0"/>
    <w:rsid w:val="00AE128D"/>
    <w:rsid w:val="00AE1A6F"/>
    <w:rsid w:val="00AE1E0E"/>
    <w:rsid w:val="00AE33B6"/>
    <w:rsid w:val="00AE5EB0"/>
    <w:rsid w:val="00AF0813"/>
    <w:rsid w:val="00AF24E6"/>
    <w:rsid w:val="00AF24F0"/>
    <w:rsid w:val="00AF269E"/>
    <w:rsid w:val="00AF2BFE"/>
    <w:rsid w:val="00AF306D"/>
    <w:rsid w:val="00AF335F"/>
    <w:rsid w:val="00AF3D6F"/>
    <w:rsid w:val="00AF43A9"/>
    <w:rsid w:val="00AF5C93"/>
    <w:rsid w:val="00AF5E30"/>
    <w:rsid w:val="00AF6161"/>
    <w:rsid w:val="00AF6537"/>
    <w:rsid w:val="00AF6C66"/>
    <w:rsid w:val="00AF6DE4"/>
    <w:rsid w:val="00AF7A9A"/>
    <w:rsid w:val="00AF7B7B"/>
    <w:rsid w:val="00B00307"/>
    <w:rsid w:val="00B02C84"/>
    <w:rsid w:val="00B03796"/>
    <w:rsid w:val="00B03898"/>
    <w:rsid w:val="00B048AC"/>
    <w:rsid w:val="00B04D5F"/>
    <w:rsid w:val="00B05AFB"/>
    <w:rsid w:val="00B070B3"/>
    <w:rsid w:val="00B07871"/>
    <w:rsid w:val="00B10294"/>
    <w:rsid w:val="00B11B21"/>
    <w:rsid w:val="00B120D0"/>
    <w:rsid w:val="00B13526"/>
    <w:rsid w:val="00B14D90"/>
    <w:rsid w:val="00B15B19"/>
    <w:rsid w:val="00B15BC6"/>
    <w:rsid w:val="00B15D49"/>
    <w:rsid w:val="00B16E2E"/>
    <w:rsid w:val="00B173A3"/>
    <w:rsid w:val="00B2029C"/>
    <w:rsid w:val="00B23D47"/>
    <w:rsid w:val="00B23D71"/>
    <w:rsid w:val="00B246B5"/>
    <w:rsid w:val="00B24851"/>
    <w:rsid w:val="00B303B8"/>
    <w:rsid w:val="00B320F2"/>
    <w:rsid w:val="00B325FD"/>
    <w:rsid w:val="00B327F9"/>
    <w:rsid w:val="00B33992"/>
    <w:rsid w:val="00B33E20"/>
    <w:rsid w:val="00B34A9C"/>
    <w:rsid w:val="00B35333"/>
    <w:rsid w:val="00B36447"/>
    <w:rsid w:val="00B36C55"/>
    <w:rsid w:val="00B37FD7"/>
    <w:rsid w:val="00B40427"/>
    <w:rsid w:val="00B4270E"/>
    <w:rsid w:val="00B42A60"/>
    <w:rsid w:val="00B4318B"/>
    <w:rsid w:val="00B45C3F"/>
    <w:rsid w:val="00B51502"/>
    <w:rsid w:val="00B5218A"/>
    <w:rsid w:val="00B55E53"/>
    <w:rsid w:val="00B56313"/>
    <w:rsid w:val="00B603B6"/>
    <w:rsid w:val="00B60C0C"/>
    <w:rsid w:val="00B61108"/>
    <w:rsid w:val="00B61F3F"/>
    <w:rsid w:val="00B62554"/>
    <w:rsid w:val="00B62EEE"/>
    <w:rsid w:val="00B63C73"/>
    <w:rsid w:val="00B661CC"/>
    <w:rsid w:val="00B66485"/>
    <w:rsid w:val="00B66C29"/>
    <w:rsid w:val="00B7028A"/>
    <w:rsid w:val="00B708E3"/>
    <w:rsid w:val="00B71491"/>
    <w:rsid w:val="00B71B19"/>
    <w:rsid w:val="00B7348F"/>
    <w:rsid w:val="00B7369B"/>
    <w:rsid w:val="00B744F8"/>
    <w:rsid w:val="00B745DB"/>
    <w:rsid w:val="00B745EB"/>
    <w:rsid w:val="00B74A8D"/>
    <w:rsid w:val="00B74C08"/>
    <w:rsid w:val="00B74EB3"/>
    <w:rsid w:val="00B764C7"/>
    <w:rsid w:val="00B80432"/>
    <w:rsid w:val="00B80CE9"/>
    <w:rsid w:val="00B817DD"/>
    <w:rsid w:val="00B826D5"/>
    <w:rsid w:val="00B8385C"/>
    <w:rsid w:val="00B83ABF"/>
    <w:rsid w:val="00B83FFF"/>
    <w:rsid w:val="00B8437C"/>
    <w:rsid w:val="00B84F1E"/>
    <w:rsid w:val="00B85278"/>
    <w:rsid w:val="00B90062"/>
    <w:rsid w:val="00B901A6"/>
    <w:rsid w:val="00B91D71"/>
    <w:rsid w:val="00B91EA5"/>
    <w:rsid w:val="00B921F0"/>
    <w:rsid w:val="00B9232C"/>
    <w:rsid w:val="00B92B20"/>
    <w:rsid w:val="00B95405"/>
    <w:rsid w:val="00B96D69"/>
    <w:rsid w:val="00B9760A"/>
    <w:rsid w:val="00BA0286"/>
    <w:rsid w:val="00BA048E"/>
    <w:rsid w:val="00BA0AF7"/>
    <w:rsid w:val="00BA274B"/>
    <w:rsid w:val="00BA35A2"/>
    <w:rsid w:val="00BA64C6"/>
    <w:rsid w:val="00BA6EA7"/>
    <w:rsid w:val="00BB1B1F"/>
    <w:rsid w:val="00BB2061"/>
    <w:rsid w:val="00BB3CC6"/>
    <w:rsid w:val="00BB5570"/>
    <w:rsid w:val="00BB7CCC"/>
    <w:rsid w:val="00BC1B7F"/>
    <w:rsid w:val="00BC1FDC"/>
    <w:rsid w:val="00BC3DFE"/>
    <w:rsid w:val="00BC4124"/>
    <w:rsid w:val="00BC473C"/>
    <w:rsid w:val="00BC639D"/>
    <w:rsid w:val="00BC713F"/>
    <w:rsid w:val="00BC7761"/>
    <w:rsid w:val="00BD02E2"/>
    <w:rsid w:val="00BD0627"/>
    <w:rsid w:val="00BD277F"/>
    <w:rsid w:val="00BD2C6C"/>
    <w:rsid w:val="00BD3D8E"/>
    <w:rsid w:val="00BD483F"/>
    <w:rsid w:val="00BD4C07"/>
    <w:rsid w:val="00BD4D96"/>
    <w:rsid w:val="00BD4E38"/>
    <w:rsid w:val="00BD54F4"/>
    <w:rsid w:val="00BD59AA"/>
    <w:rsid w:val="00BE0624"/>
    <w:rsid w:val="00BE0A94"/>
    <w:rsid w:val="00BE213B"/>
    <w:rsid w:val="00BE2210"/>
    <w:rsid w:val="00BE2427"/>
    <w:rsid w:val="00BE39E9"/>
    <w:rsid w:val="00BE3D90"/>
    <w:rsid w:val="00BE49C7"/>
    <w:rsid w:val="00BE5C62"/>
    <w:rsid w:val="00BE5E55"/>
    <w:rsid w:val="00BE627E"/>
    <w:rsid w:val="00BE6AB4"/>
    <w:rsid w:val="00BE723E"/>
    <w:rsid w:val="00BE7A16"/>
    <w:rsid w:val="00BF1909"/>
    <w:rsid w:val="00BF28A7"/>
    <w:rsid w:val="00BF2DE2"/>
    <w:rsid w:val="00BF3A8C"/>
    <w:rsid w:val="00BF3E66"/>
    <w:rsid w:val="00BF4530"/>
    <w:rsid w:val="00BF5404"/>
    <w:rsid w:val="00BF7399"/>
    <w:rsid w:val="00BF7C4A"/>
    <w:rsid w:val="00C00E4A"/>
    <w:rsid w:val="00C06152"/>
    <w:rsid w:val="00C06844"/>
    <w:rsid w:val="00C07312"/>
    <w:rsid w:val="00C1169E"/>
    <w:rsid w:val="00C1195A"/>
    <w:rsid w:val="00C12301"/>
    <w:rsid w:val="00C12FEC"/>
    <w:rsid w:val="00C1312C"/>
    <w:rsid w:val="00C14896"/>
    <w:rsid w:val="00C14ED0"/>
    <w:rsid w:val="00C1597C"/>
    <w:rsid w:val="00C15CF9"/>
    <w:rsid w:val="00C15D0D"/>
    <w:rsid w:val="00C16261"/>
    <w:rsid w:val="00C17E18"/>
    <w:rsid w:val="00C201A6"/>
    <w:rsid w:val="00C2086C"/>
    <w:rsid w:val="00C216F7"/>
    <w:rsid w:val="00C23B0D"/>
    <w:rsid w:val="00C2522E"/>
    <w:rsid w:val="00C2523C"/>
    <w:rsid w:val="00C25D0C"/>
    <w:rsid w:val="00C27457"/>
    <w:rsid w:val="00C3070E"/>
    <w:rsid w:val="00C31218"/>
    <w:rsid w:val="00C33721"/>
    <w:rsid w:val="00C33F91"/>
    <w:rsid w:val="00C36085"/>
    <w:rsid w:val="00C370C7"/>
    <w:rsid w:val="00C40CDA"/>
    <w:rsid w:val="00C40F5E"/>
    <w:rsid w:val="00C41009"/>
    <w:rsid w:val="00C42842"/>
    <w:rsid w:val="00C42BB9"/>
    <w:rsid w:val="00C451A2"/>
    <w:rsid w:val="00C452D9"/>
    <w:rsid w:val="00C46D8A"/>
    <w:rsid w:val="00C4756E"/>
    <w:rsid w:val="00C50204"/>
    <w:rsid w:val="00C50D16"/>
    <w:rsid w:val="00C51554"/>
    <w:rsid w:val="00C51978"/>
    <w:rsid w:val="00C51A37"/>
    <w:rsid w:val="00C5302D"/>
    <w:rsid w:val="00C5355E"/>
    <w:rsid w:val="00C53A8E"/>
    <w:rsid w:val="00C54177"/>
    <w:rsid w:val="00C5489C"/>
    <w:rsid w:val="00C54F4F"/>
    <w:rsid w:val="00C553E4"/>
    <w:rsid w:val="00C5701A"/>
    <w:rsid w:val="00C620AD"/>
    <w:rsid w:val="00C62CE4"/>
    <w:rsid w:val="00C63339"/>
    <w:rsid w:val="00C635E9"/>
    <w:rsid w:val="00C642D8"/>
    <w:rsid w:val="00C65A9B"/>
    <w:rsid w:val="00C66247"/>
    <w:rsid w:val="00C707AC"/>
    <w:rsid w:val="00C71442"/>
    <w:rsid w:val="00C71F44"/>
    <w:rsid w:val="00C72952"/>
    <w:rsid w:val="00C73A52"/>
    <w:rsid w:val="00C7409E"/>
    <w:rsid w:val="00C746C9"/>
    <w:rsid w:val="00C762AD"/>
    <w:rsid w:val="00C80B8D"/>
    <w:rsid w:val="00C81925"/>
    <w:rsid w:val="00C83073"/>
    <w:rsid w:val="00C83163"/>
    <w:rsid w:val="00C83EAE"/>
    <w:rsid w:val="00C8459E"/>
    <w:rsid w:val="00C84B97"/>
    <w:rsid w:val="00C84BC4"/>
    <w:rsid w:val="00C85CA2"/>
    <w:rsid w:val="00C85D78"/>
    <w:rsid w:val="00C86918"/>
    <w:rsid w:val="00C87E0D"/>
    <w:rsid w:val="00C932E9"/>
    <w:rsid w:val="00C93B3E"/>
    <w:rsid w:val="00C95E09"/>
    <w:rsid w:val="00C96847"/>
    <w:rsid w:val="00C97542"/>
    <w:rsid w:val="00C978AF"/>
    <w:rsid w:val="00CA1589"/>
    <w:rsid w:val="00CA3FCD"/>
    <w:rsid w:val="00CB1317"/>
    <w:rsid w:val="00CB19FB"/>
    <w:rsid w:val="00CB1A6E"/>
    <w:rsid w:val="00CB1FE2"/>
    <w:rsid w:val="00CB2931"/>
    <w:rsid w:val="00CB2FDD"/>
    <w:rsid w:val="00CB3D55"/>
    <w:rsid w:val="00CB406F"/>
    <w:rsid w:val="00CB4609"/>
    <w:rsid w:val="00CB5EC0"/>
    <w:rsid w:val="00CB73BB"/>
    <w:rsid w:val="00CC061B"/>
    <w:rsid w:val="00CC0AAA"/>
    <w:rsid w:val="00CC1BEF"/>
    <w:rsid w:val="00CC56EC"/>
    <w:rsid w:val="00CC6C27"/>
    <w:rsid w:val="00CC6DBB"/>
    <w:rsid w:val="00CC774A"/>
    <w:rsid w:val="00CC7766"/>
    <w:rsid w:val="00CC7796"/>
    <w:rsid w:val="00CC7886"/>
    <w:rsid w:val="00CD2847"/>
    <w:rsid w:val="00CD34E5"/>
    <w:rsid w:val="00CD3D41"/>
    <w:rsid w:val="00CD42A6"/>
    <w:rsid w:val="00CD4704"/>
    <w:rsid w:val="00CD5293"/>
    <w:rsid w:val="00CD5EC7"/>
    <w:rsid w:val="00CD5F1A"/>
    <w:rsid w:val="00CE026A"/>
    <w:rsid w:val="00CE0CBA"/>
    <w:rsid w:val="00CE1665"/>
    <w:rsid w:val="00CE1EAA"/>
    <w:rsid w:val="00CE2DF1"/>
    <w:rsid w:val="00CE3793"/>
    <w:rsid w:val="00CE3C9D"/>
    <w:rsid w:val="00CE3E09"/>
    <w:rsid w:val="00CE5260"/>
    <w:rsid w:val="00CE6201"/>
    <w:rsid w:val="00CF0242"/>
    <w:rsid w:val="00CF0AB6"/>
    <w:rsid w:val="00CF102A"/>
    <w:rsid w:val="00CF1B29"/>
    <w:rsid w:val="00CF1EB2"/>
    <w:rsid w:val="00CF4051"/>
    <w:rsid w:val="00CF604D"/>
    <w:rsid w:val="00CF67AA"/>
    <w:rsid w:val="00CF74E3"/>
    <w:rsid w:val="00CF77B8"/>
    <w:rsid w:val="00D0156C"/>
    <w:rsid w:val="00D01782"/>
    <w:rsid w:val="00D0276E"/>
    <w:rsid w:val="00D0313A"/>
    <w:rsid w:val="00D03310"/>
    <w:rsid w:val="00D03D64"/>
    <w:rsid w:val="00D044E9"/>
    <w:rsid w:val="00D04D86"/>
    <w:rsid w:val="00D063D5"/>
    <w:rsid w:val="00D065B2"/>
    <w:rsid w:val="00D0733C"/>
    <w:rsid w:val="00D105D0"/>
    <w:rsid w:val="00D10A92"/>
    <w:rsid w:val="00D13729"/>
    <w:rsid w:val="00D13FA3"/>
    <w:rsid w:val="00D14089"/>
    <w:rsid w:val="00D14C11"/>
    <w:rsid w:val="00D15682"/>
    <w:rsid w:val="00D16C4E"/>
    <w:rsid w:val="00D20381"/>
    <w:rsid w:val="00D206D5"/>
    <w:rsid w:val="00D20C96"/>
    <w:rsid w:val="00D20DB4"/>
    <w:rsid w:val="00D20EF9"/>
    <w:rsid w:val="00D23965"/>
    <w:rsid w:val="00D24131"/>
    <w:rsid w:val="00D2515F"/>
    <w:rsid w:val="00D26EEA"/>
    <w:rsid w:val="00D274AA"/>
    <w:rsid w:val="00D278F5"/>
    <w:rsid w:val="00D3078A"/>
    <w:rsid w:val="00D308AF"/>
    <w:rsid w:val="00D31224"/>
    <w:rsid w:val="00D31384"/>
    <w:rsid w:val="00D3207D"/>
    <w:rsid w:val="00D32AF6"/>
    <w:rsid w:val="00D3385C"/>
    <w:rsid w:val="00D3607F"/>
    <w:rsid w:val="00D377CF"/>
    <w:rsid w:val="00D4182C"/>
    <w:rsid w:val="00D424E0"/>
    <w:rsid w:val="00D438FD"/>
    <w:rsid w:val="00D43F5F"/>
    <w:rsid w:val="00D45F91"/>
    <w:rsid w:val="00D4746B"/>
    <w:rsid w:val="00D47991"/>
    <w:rsid w:val="00D536EA"/>
    <w:rsid w:val="00D5412D"/>
    <w:rsid w:val="00D560B0"/>
    <w:rsid w:val="00D61471"/>
    <w:rsid w:val="00D61A1F"/>
    <w:rsid w:val="00D61DF3"/>
    <w:rsid w:val="00D61E02"/>
    <w:rsid w:val="00D62011"/>
    <w:rsid w:val="00D62121"/>
    <w:rsid w:val="00D62418"/>
    <w:rsid w:val="00D62830"/>
    <w:rsid w:val="00D64963"/>
    <w:rsid w:val="00D70229"/>
    <w:rsid w:val="00D70559"/>
    <w:rsid w:val="00D72D84"/>
    <w:rsid w:val="00D73804"/>
    <w:rsid w:val="00D7701C"/>
    <w:rsid w:val="00D77461"/>
    <w:rsid w:val="00D77C91"/>
    <w:rsid w:val="00D817A3"/>
    <w:rsid w:val="00D82765"/>
    <w:rsid w:val="00D8356A"/>
    <w:rsid w:val="00D8412D"/>
    <w:rsid w:val="00D841FE"/>
    <w:rsid w:val="00D84423"/>
    <w:rsid w:val="00D8636E"/>
    <w:rsid w:val="00D90B1F"/>
    <w:rsid w:val="00D913ED"/>
    <w:rsid w:val="00D91673"/>
    <w:rsid w:val="00D91F76"/>
    <w:rsid w:val="00D92D29"/>
    <w:rsid w:val="00D93443"/>
    <w:rsid w:val="00D934E6"/>
    <w:rsid w:val="00D9403D"/>
    <w:rsid w:val="00D94D5E"/>
    <w:rsid w:val="00D969B4"/>
    <w:rsid w:val="00D974EA"/>
    <w:rsid w:val="00DA013B"/>
    <w:rsid w:val="00DA1480"/>
    <w:rsid w:val="00DA1FF9"/>
    <w:rsid w:val="00DA3305"/>
    <w:rsid w:val="00DA3A94"/>
    <w:rsid w:val="00DA56FA"/>
    <w:rsid w:val="00DA7BD8"/>
    <w:rsid w:val="00DB0450"/>
    <w:rsid w:val="00DB2215"/>
    <w:rsid w:val="00DB2E7A"/>
    <w:rsid w:val="00DB5448"/>
    <w:rsid w:val="00DB6CBE"/>
    <w:rsid w:val="00DB6F03"/>
    <w:rsid w:val="00DB78B2"/>
    <w:rsid w:val="00DB7BA5"/>
    <w:rsid w:val="00DC020F"/>
    <w:rsid w:val="00DC03B0"/>
    <w:rsid w:val="00DC0527"/>
    <w:rsid w:val="00DC07AB"/>
    <w:rsid w:val="00DC0D15"/>
    <w:rsid w:val="00DC12B0"/>
    <w:rsid w:val="00DC1E37"/>
    <w:rsid w:val="00DC2C51"/>
    <w:rsid w:val="00DC4141"/>
    <w:rsid w:val="00DC46E4"/>
    <w:rsid w:val="00DC67FE"/>
    <w:rsid w:val="00DC6986"/>
    <w:rsid w:val="00DD0852"/>
    <w:rsid w:val="00DD232D"/>
    <w:rsid w:val="00DD2B90"/>
    <w:rsid w:val="00DD2E18"/>
    <w:rsid w:val="00DD343A"/>
    <w:rsid w:val="00DD37A5"/>
    <w:rsid w:val="00DD7601"/>
    <w:rsid w:val="00DD7A7A"/>
    <w:rsid w:val="00DE0078"/>
    <w:rsid w:val="00DE13CC"/>
    <w:rsid w:val="00DE2552"/>
    <w:rsid w:val="00DE267B"/>
    <w:rsid w:val="00DE27DF"/>
    <w:rsid w:val="00DE346E"/>
    <w:rsid w:val="00DE4B3F"/>
    <w:rsid w:val="00DE531C"/>
    <w:rsid w:val="00DE5344"/>
    <w:rsid w:val="00DE7937"/>
    <w:rsid w:val="00DF07CE"/>
    <w:rsid w:val="00DF2003"/>
    <w:rsid w:val="00DF223A"/>
    <w:rsid w:val="00DF297F"/>
    <w:rsid w:val="00DF298C"/>
    <w:rsid w:val="00DF2BEB"/>
    <w:rsid w:val="00DF402C"/>
    <w:rsid w:val="00DF4068"/>
    <w:rsid w:val="00DF40B5"/>
    <w:rsid w:val="00DF47CF"/>
    <w:rsid w:val="00DF7BEA"/>
    <w:rsid w:val="00E00E31"/>
    <w:rsid w:val="00E0123D"/>
    <w:rsid w:val="00E0137C"/>
    <w:rsid w:val="00E01727"/>
    <w:rsid w:val="00E01A84"/>
    <w:rsid w:val="00E02649"/>
    <w:rsid w:val="00E02741"/>
    <w:rsid w:val="00E03670"/>
    <w:rsid w:val="00E05C15"/>
    <w:rsid w:val="00E07A06"/>
    <w:rsid w:val="00E07D3C"/>
    <w:rsid w:val="00E105A4"/>
    <w:rsid w:val="00E10A44"/>
    <w:rsid w:val="00E12030"/>
    <w:rsid w:val="00E1305C"/>
    <w:rsid w:val="00E14101"/>
    <w:rsid w:val="00E16449"/>
    <w:rsid w:val="00E16E00"/>
    <w:rsid w:val="00E17739"/>
    <w:rsid w:val="00E17A98"/>
    <w:rsid w:val="00E17C0F"/>
    <w:rsid w:val="00E2038C"/>
    <w:rsid w:val="00E20A24"/>
    <w:rsid w:val="00E2255C"/>
    <w:rsid w:val="00E22807"/>
    <w:rsid w:val="00E24D5B"/>
    <w:rsid w:val="00E24F70"/>
    <w:rsid w:val="00E251D2"/>
    <w:rsid w:val="00E25634"/>
    <w:rsid w:val="00E256D3"/>
    <w:rsid w:val="00E26085"/>
    <w:rsid w:val="00E278D8"/>
    <w:rsid w:val="00E27B80"/>
    <w:rsid w:val="00E27BC0"/>
    <w:rsid w:val="00E31399"/>
    <w:rsid w:val="00E3246B"/>
    <w:rsid w:val="00E32EE4"/>
    <w:rsid w:val="00E32FA0"/>
    <w:rsid w:val="00E34A3E"/>
    <w:rsid w:val="00E3664B"/>
    <w:rsid w:val="00E412A5"/>
    <w:rsid w:val="00E4148D"/>
    <w:rsid w:val="00E417DD"/>
    <w:rsid w:val="00E428FD"/>
    <w:rsid w:val="00E43859"/>
    <w:rsid w:val="00E43F88"/>
    <w:rsid w:val="00E45352"/>
    <w:rsid w:val="00E4689A"/>
    <w:rsid w:val="00E469A7"/>
    <w:rsid w:val="00E47EB9"/>
    <w:rsid w:val="00E501FB"/>
    <w:rsid w:val="00E50305"/>
    <w:rsid w:val="00E504C3"/>
    <w:rsid w:val="00E50E1D"/>
    <w:rsid w:val="00E52AFC"/>
    <w:rsid w:val="00E53042"/>
    <w:rsid w:val="00E5336C"/>
    <w:rsid w:val="00E53947"/>
    <w:rsid w:val="00E5642D"/>
    <w:rsid w:val="00E57EDA"/>
    <w:rsid w:val="00E60DAE"/>
    <w:rsid w:val="00E63AAE"/>
    <w:rsid w:val="00E65B2B"/>
    <w:rsid w:val="00E66F79"/>
    <w:rsid w:val="00E67396"/>
    <w:rsid w:val="00E67998"/>
    <w:rsid w:val="00E67C4E"/>
    <w:rsid w:val="00E71D39"/>
    <w:rsid w:val="00E73D0D"/>
    <w:rsid w:val="00E742B8"/>
    <w:rsid w:val="00E74A6F"/>
    <w:rsid w:val="00E767B8"/>
    <w:rsid w:val="00E774CD"/>
    <w:rsid w:val="00E77CA8"/>
    <w:rsid w:val="00E8044B"/>
    <w:rsid w:val="00E81B24"/>
    <w:rsid w:val="00E82430"/>
    <w:rsid w:val="00E824C2"/>
    <w:rsid w:val="00E82EF1"/>
    <w:rsid w:val="00E841AD"/>
    <w:rsid w:val="00E849AC"/>
    <w:rsid w:val="00E84F8A"/>
    <w:rsid w:val="00E85D4D"/>
    <w:rsid w:val="00E86597"/>
    <w:rsid w:val="00E91F77"/>
    <w:rsid w:val="00E923D5"/>
    <w:rsid w:val="00E928C8"/>
    <w:rsid w:val="00E93898"/>
    <w:rsid w:val="00E93B5E"/>
    <w:rsid w:val="00E95866"/>
    <w:rsid w:val="00E960B9"/>
    <w:rsid w:val="00E96F7C"/>
    <w:rsid w:val="00E972F7"/>
    <w:rsid w:val="00EA0CA3"/>
    <w:rsid w:val="00EA15A2"/>
    <w:rsid w:val="00EA2043"/>
    <w:rsid w:val="00EA2A5F"/>
    <w:rsid w:val="00EA336C"/>
    <w:rsid w:val="00EA415B"/>
    <w:rsid w:val="00EA476D"/>
    <w:rsid w:val="00EA4C2A"/>
    <w:rsid w:val="00EA6635"/>
    <w:rsid w:val="00EA66B0"/>
    <w:rsid w:val="00EB1244"/>
    <w:rsid w:val="00EB2850"/>
    <w:rsid w:val="00EB29F5"/>
    <w:rsid w:val="00EB3997"/>
    <w:rsid w:val="00EB5688"/>
    <w:rsid w:val="00EB5F90"/>
    <w:rsid w:val="00EB63ED"/>
    <w:rsid w:val="00EB70AC"/>
    <w:rsid w:val="00EB752B"/>
    <w:rsid w:val="00EC1642"/>
    <w:rsid w:val="00EC2E5E"/>
    <w:rsid w:val="00EC31C5"/>
    <w:rsid w:val="00EC433D"/>
    <w:rsid w:val="00EC611A"/>
    <w:rsid w:val="00EC624C"/>
    <w:rsid w:val="00EC697E"/>
    <w:rsid w:val="00EC6F75"/>
    <w:rsid w:val="00ED0884"/>
    <w:rsid w:val="00ED0CA7"/>
    <w:rsid w:val="00ED1626"/>
    <w:rsid w:val="00ED172B"/>
    <w:rsid w:val="00ED1D58"/>
    <w:rsid w:val="00ED227E"/>
    <w:rsid w:val="00ED2C31"/>
    <w:rsid w:val="00ED2DEB"/>
    <w:rsid w:val="00ED3138"/>
    <w:rsid w:val="00ED5D35"/>
    <w:rsid w:val="00ED5D5D"/>
    <w:rsid w:val="00ED68BD"/>
    <w:rsid w:val="00ED6913"/>
    <w:rsid w:val="00EE1604"/>
    <w:rsid w:val="00EE2E5C"/>
    <w:rsid w:val="00EF00A8"/>
    <w:rsid w:val="00EF067B"/>
    <w:rsid w:val="00EF18F9"/>
    <w:rsid w:val="00EF1A87"/>
    <w:rsid w:val="00EF211D"/>
    <w:rsid w:val="00EF5D37"/>
    <w:rsid w:val="00EF5F30"/>
    <w:rsid w:val="00EF6982"/>
    <w:rsid w:val="00F00CB9"/>
    <w:rsid w:val="00F0151B"/>
    <w:rsid w:val="00F0181B"/>
    <w:rsid w:val="00F01DCE"/>
    <w:rsid w:val="00F03B5C"/>
    <w:rsid w:val="00F03D96"/>
    <w:rsid w:val="00F06FBD"/>
    <w:rsid w:val="00F1048E"/>
    <w:rsid w:val="00F1119C"/>
    <w:rsid w:val="00F116A9"/>
    <w:rsid w:val="00F11B78"/>
    <w:rsid w:val="00F11BBF"/>
    <w:rsid w:val="00F12FF3"/>
    <w:rsid w:val="00F131A0"/>
    <w:rsid w:val="00F1419F"/>
    <w:rsid w:val="00F15106"/>
    <w:rsid w:val="00F17065"/>
    <w:rsid w:val="00F17A54"/>
    <w:rsid w:val="00F20506"/>
    <w:rsid w:val="00F21C28"/>
    <w:rsid w:val="00F243D9"/>
    <w:rsid w:val="00F2523F"/>
    <w:rsid w:val="00F25A34"/>
    <w:rsid w:val="00F278AD"/>
    <w:rsid w:val="00F305DC"/>
    <w:rsid w:val="00F3186C"/>
    <w:rsid w:val="00F321F5"/>
    <w:rsid w:val="00F325F0"/>
    <w:rsid w:val="00F33AB4"/>
    <w:rsid w:val="00F33EB6"/>
    <w:rsid w:val="00F35D11"/>
    <w:rsid w:val="00F36F22"/>
    <w:rsid w:val="00F3722D"/>
    <w:rsid w:val="00F3775E"/>
    <w:rsid w:val="00F400A8"/>
    <w:rsid w:val="00F406F1"/>
    <w:rsid w:val="00F40B01"/>
    <w:rsid w:val="00F417B6"/>
    <w:rsid w:val="00F41BC6"/>
    <w:rsid w:val="00F4207A"/>
    <w:rsid w:val="00F43408"/>
    <w:rsid w:val="00F442BA"/>
    <w:rsid w:val="00F4440C"/>
    <w:rsid w:val="00F44DB7"/>
    <w:rsid w:val="00F44E7E"/>
    <w:rsid w:val="00F45EDB"/>
    <w:rsid w:val="00F467BD"/>
    <w:rsid w:val="00F47A49"/>
    <w:rsid w:val="00F5027B"/>
    <w:rsid w:val="00F5193E"/>
    <w:rsid w:val="00F5221C"/>
    <w:rsid w:val="00F5322B"/>
    <w:rsid w:val="00F55BB3"/>
    <w:rsid w:val="00F576FE"/>
    <w:rsid w:val="00F6058B"/>
    <w:rsid w:val="00F61D7D"/>
    <w:rsid w:val="00F644CC"/>
    <w:rsid w:val="00F657FB"/>
    <w:rsid w:val="00F66D3E"/>
    <w:rsid w:val="00F675D0"/>
    <w:rsid w:val="00F71119"/>
    <w:rsid w:val="00F71392"/>
    <w:rsid w:val="00F7188C"/>
    <w:rsid w:val="00F72720"/>
    <w:rsid w:val="00F7277D"/>
    <w:rsid w:val="00F72D50"/>
    <w:rsid w:val="00F7367B"/>
    <w:rsid w:val="00F739D6"/>
    <w:rsid w:val="00F74382"/>
    <w:rsid w:val="00F764C1"/>
    <w:rsid w:val="00F76746"/>
    <w:rsid w:val="00F76D3A"/>
    <w:rsid w:val="00F80720"/>
    <w:rsid w:val="00F80D53"/>
    <w:rsid w:val="00F8150A"/>
    <w:rsid w:val="00F8158B"/>
    <w:rsid w:val="00F82315"/>
    <w:rsid w:val="00F82C98"/>
    <w:rsid w:val="00F83526"/>
    <w:rsid w:val="00F84F8C"/>
    <w:rsid w:val="00F8722F"/>
    <w:rsid w:val="00F87B78"/>
    <w:rsid w:val="00F9064E"/>
    <w:rsid w:val="00F9067B"/>
    <w:rsid w:val="00F90DF9"/>
    <w:rsid w:val="00F91ABE"/>
    <w:rsid w:val="00F922F4"/>
    <w:rsid w:val="00F92551"/>
    <w:rsid w:val="00F9370B"/>
    <w:rsid w:val="00F94E11"/>
    <w:rsid w:val="00F9560A"/>
    <w:rsid w:val="00F960D9"/>
    <w:rsid w:val="00FA15FC"/>
    <w:rsid w:val="00FA1F6D"/>
    <w:rsid w:val="00FA20E0"/>
    <w:rsid w:val="00FA28C0"/>
    <w:rsid w:val="00FA3DA6"/>
    <w:rsid w:val="00FA4D9A"/>
    <w:rsid w:val="00FA5BAF"/>
    <w:rsid w:val="00FA6847"/>
    <w:rsid w:val="00FA7367"/>
    <w:rsid w:val="00FB0B15"/>
    <w:rsid w:val="00FB0F68"/>
    <w:rsid w:val="00FB2D8C"/>
    <w:rsid w:val="00FB47D5"/>
    <w:rsid w:val="00FB537C"/>
    <w:rsid w:val="00FB5A9D"/>
    <w:rsid w:val="00FB65F5"/>
    <w:rsid w:val="00FB67B2"/>
    <w:rsid w:val="00FB6A89"/>
    <w:rsid w:val="00FB6C4B"/>
    <w:rsid w:val="00FB6E6E"/>
    <w:rsid w:val="00FB7692"/>
    <w:rsid w:val="00FB7853"/>
    <w:rsid w:val="00FC1397"/>
    <w:rsid w:val="00FC1DEF"/>
    <w:rsid w:val="00FC32CC"/>
    <w:rsid w:val="00FC38F8"/>
    <w:rsid w:val="00FC3A4A"/>
    <w:rsid w:val="00FC4281"/>
    <w:rsid w:val="00FC5004"/>
    <w:rsid w:val="00FC55D6"/>
    <w:rsid w:val="00FC5CEC"/>
    <w:rsid w:val="00FD0E68"/>
    <w:rsid w:val="00FD1A4A"/>
    <w:rsid w:val="00FD26C1"/>
    <w:rsid w:val="00FD2DEF"/>
    <w:rsid w:val="00FD2E5A"/>
    <w:rsid w:val="00FD338B"/>
    <w:rsid w:val="00FD3448"/>
    <w:rsid w:val="00FD3589"/>
    <w:rsid w:val="00FD5FF1"/>
    <w:rsid w:val="00FE0908"/>
    <w:rsid w:val="00FE333D"/>
    <w:rsid w:val="00FE3540"/>
    <w:rsid w:val="00FE3CE8"/>
    <w:rsid w:val="00FE6E08"/>
    <w:rsid w:val="00FE75CF"/>
    <w:rsid w:val="00FE7A78"/>
    <w:rsid w:val="00FF20BA"/>
    <w:rsid w:val="00FF2D04"/>
    <w:rsid w:val="00FF2DDD"/>
    <w:rsid w:val="00FF3B8E"/>
    <w:rsid w:val="00FF414F"/>
    <w:rsid w:val="00FF63F9"/>
    <w:rsid w:val="027B1832"/>
    <w:rsid w:val="0414A20E"/>
    <w:rsid w:val="044E0A6E"/>
    <w:rsid w:val="0551E8D3"/>
    <w:rsid w:val="057B20F1"/>
    <w:rsid w:val="05A41687"/>
    <w:rsid w:val="061D5431"/>
    <w:rsid w:val="0787AB31"/>
    <w:rsid w:val="08A395FB"/>
    <w:rsid w:val="095B8213"/>
    <w:rsid w:val="09E8B7B7"/>
    <w:rsid w:val="0AF9FBA5"/>
    <w:rsid w:val="0BC90852"/>
    <w:rsid w:val="0CA2D89F"/>
    <w:rsid w:val="0E66BA40"/>
    <w:rsid w:val="0EA45030"/>
    <w:rsid w:val="0EB1FF49"/>
    <w:rsid w:val="0EBF6CD1"/>
    <w:rsid w:val="0F0F23DC"/>
    <w:rsid w:val="1318E3D5"/>
    <w:rsid w:val="131DD8FD"/>
    <w:rsid w:val="15A2121E"/>
    <w:rsid w:val="16D4D7B3"/>
    <w:rsid w:val="16DA724A"/>
    <w:rsid w:val="17017B7F"/>
    <w:rsid w:val="17D3647B"/>
    <w:rsid w:val="19505EAC"/>
    <w:rsid w:val="1A180C28"/>
    <w:rsid w:val="1B3CE02A"/>
    <w:rsid w:val="1BB0BEF8"/>
    <w:rsid w:val="1C75673B"/>
    <w:rsid w:val="1C759E13"/>
    <w:rsid w:val="1CEA159D"/>
    <w:rsid w:val="1ED8A490"/>
    <w:rsid w:val="1F0E8DAC"/>
    <w:rsid w:val="1F3D16BB"/>
    <w:rsid w:val="1FDFDD1E"/>
    <w:rsid w:val="1FFC77D6"/>
    <w:rsid w:val="203D4ECF"/>
    <w:rsid w:val="21701464"/>
    <w:rsid w:val="217BE557"/>
    <w:rsid w:val="22BD6CB9"/>
    <w:rsid w:val="238258A0"/>
    <w:rsid w:val="23F2E06F"/>
    <w:rsid w:val="24CBC903"/>
    <w:rsid w:val="2638171D"/>
    <w:rsid w:val="27E079A3"/>
    <w:rsid w:val="29A3AA9C"/>
    <w:rsid w:val="2A50D60D"/>
    <w:rsid w:val="2B0B556F"/>
    <w:rsid w:val="2C1AC0C9"/>
    <w:rsid w:val="2CD7A139"/>
    <w:rsid w:val="2CE820B0"/>
    <w:rsid w:val="2D8B64CE"/>
    <w:rsid w:val="2EEEB0F2"/>
    <w:rsid w:val="32A79A11"/>
    <w:rsid w:val="33AD2FE2"/>
    <w:rsid w:val="34657471"/>
    <w:rsid w:val="38BFD0B2"/>
    <w:rsid w:val="391A72FD"/>
    <w:rsid w:val="39A87F67"/>
    <w:rsid w:val="39AAB9CF"/>
    <w:rsid w:val="3A6FFB40"/>
    <w:rsid w:val="3ACDB5DD"/>
    <w:rsid w:val="3B0DAA36"/>
    <w:rsid w:val="3B914007"/>
    <w:rsid w:val="3C4A8BDB"/>
    <w:rsid w:val="3CCD8D3F"/>
    <w:rsid w:val="3D4D2BC5"/>
    <w:rsid w:val="3DC73F92"/>
    <w:rsid w:val="3F5CDA07"/>
    <w:rsid w:val="3FBED15F"/>
    <w:rsid w:val="401AC59C"/>
    <w:rsid w:val="403DAA83"/>
    <w:rsid w:val="40E654CF"/>
    <w:rsid w:val="41042249"/>
    <w:rsid w:val="434ED53B"/>
    <w:rsid w:val="453ED8DF"/>
    <w:rsid w:val="45F820CB"/>
    <w:rsid w:val="48627C43"/>
    <w:rsid w:val="4980EBFD"/>
    <w:rsid w:val="49C4585B"/>
    <w:rsid w:val="4A0298D9"/>
    <w:rsid w:val="4BAB6132"/>
    <w:rsid w:val="4BFF32DF"/>
    <w:rsid w:val="4C2967B8"/>
    <w:rsid w:val="4D9B2AC8"/>
    <w:rsid w:val="4DF2CD13"/>
    <w:rsid w:val="4FB8ADF7"/>
    <w:rsid w:val="516027B1"/>
    <w:rsid w:val="53E896BD"/>
    <w:rsid w:val="5547E4C6"/>
    <w:rsid w:val="55641709"/>
    <w:rsid w:val="5657A72B"/>
    <w:rsid w:val="57203207"/>
    <w:rsid w:val="593670E8"/>
    <w:rsid w:val="5AB51DD8"/>
    <w:rsid w:val="5BC8C779"/>
    <w:rsid w:val="5BC97B2E"/>
    <w:rsid w:val="5C4861C0"/>
    <w:rsid w:val="5C7D5627"/>
    <w:rsid w:val="5E7FA013"/>
    <w:rsid w:val="5ECC8E25"/>
    <w:rsid w:val="60F19B93"/>
    <w:rsid w:val="61532D2B"/>
    <w:rsid w:val="62586E6C"/>
    <w:rsid w:val="6391D755"/>
    <w:rsid w:val="645FA797"/>
    <w:rsid w:val="64873738"/>
    <w:rsid w:val="64C53DBB"/>
    <w:rsid w:val="650C4AB7"/>
    <w:rsid w:val="65FF0463"/>
    <w:rsid w:val="663A0FD8"/>
    <w:rsid w:val="664ED62B"/>
    <w:rsid w:val="6893575E"/>
    <w:rsid w:val="6CA30792"/>
    <w:rsid w:val="6D19165D"/>
    <w:rsid w:val="6D9945E9"/>
    <w:rsid w:val="6E60B197"/>
    <w:rsid w:val="6EDEBFDA"/>
    <w:rsid w:val="6F1A00F9"/>
    <w:rsid w:val="6F6B0C36"/>
    <w:rsid w:val="702D964F"/>
    <w:rsid w:val="706E1BD5"/>
    <w:rsid w:val="707DED36"/>
    <w:rsid w:val="70E7C7C4"/>
    <w:rsid w:val="71289AEB"/>
    <w:rsid w:val="714CAF7B"/>
    <w:rsid w:val="7186E401"/>
    <w:rsid w:val="71D49303"/>
    <w:rsid w:val="7284C04A"/>
    <w:rsid w:val="72D0C08A"/>
    <w:rsid w:val="75E35E44"/>
    <w:rsid w:val="760A344C"/>
    <w:rsid w:val="77267FFD"/>
    <w:rsid w:val="78537B38"/>
    <w:rsid w:val="78DE5D28"/>
    <w:rsid w:val="79CA08CC"/>
    <w:rsid w:val="7A982350"/>
    <w:rsid w:val="7B7D6DB2"/>
    <w:rsid w:val="7D34DEF4"/>
    <w:rsid w:val="7EB5359A"/>
    <w:rsid w:val="7ED03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3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
    <w:name w:val="li"/>
    <w:basedOn w:val="Normal"/>
    <w:rsid w:val="00A57027"/>
    <w:pPr>
      <w:spacing w:before="100" w:beforeAutospacing="1" w:after="100" w:afterAutospacing="1"/>
      <w:jc w:val="left"/>
    </w:pPr>
    <w:rPr>
      <w:rFonts w:eastAsia="Times New Roman"/>
      <w:szCs w:val="24"/>
      <w:lang w:eastAsia="fr-BE"/>
    </w:rPr>
  </w:style>
  <w:style w:type="paragraph" w:customStyle="1" w:styleId="Normal1">
    <w:name w:val="Normal1"/>
    <w:basedOn w:val="Normal"/>
    <w:rsid w:val="00A57027"/>
    <w:pPr>
      <w:spacing w:before="100" w:beforeAutospacing="1" w:after="100" w:afterAutospacing="1"/>
      <w:jc w:val="left"/>
    </w:pPr>
    <w:rPr>
      <w:rFonts w:eastAsia="Times New Roman"/>
      <w:szCs w:val="24"/>
      <w:lang w:eastAsia="fr-BE"/>
    </w:rPr>
  </w:style>
  <w:style w:type="character" w:customStyle="1" w:styleId="num">
    <w:name w:val="num"/>
    <w:basedOn w:val="DefaultParagraphFont"/>
    <w:rsid w:val="00A57027"/>
  </w:style>
  <w:style w:type="paragraph" w:customStyle="1" w:styleId="Manulheading2">
    <w:name w:val="Manul heading 2"/>
    <w:basedOn w:val="li"/>
    <w:rsid w:val="00A57027"/>
    <w:pPr>
      <w:shd w:val="clear" w:color="auto" w:fill="FFFFFF"/>
      <w:spacing w:before="0" w:beforeAutospacing="0" w:after="0" w:afterAutospacing="0"/>
      <w:ind w:left="1418"/>
      <w:jc w:val="both"/>
    </w:pPr>
    <w:rPr>
      <w:b/>
      <w:bCs/>
      <w:color w:val="333333"/>
      <w:sz w:val="27"/>
      <w:szCs w:val="27"/>
    </w:rPr>
  </w:style>
  <w:style w:type="paragraph" w:styleId="ListNumber4">
    <w:name w:val="List Number 4"/>
    <w:basedOn w:val="Normal"/>
    <w:uiPriority w:val="99"/>
    <w:semiHidden/>
    <w:unhideWhenUsed/>
    <w:rsid w:val="00956A8A"/>
    <w:pPr>
      <w:numPr>
        <w:numId w:val="1"/>
      </w:numPr>
      <w:contextualSpacing/>
    </w:pPr>
  </w:style>
  <w:style w:type="character" w:styleId="CommentReference">
    <w:name w:val="annotation reference"/>
    <w:basedOn w:val="DefaultParagraphFont"/>
    <w:unhideWhenUsed/>
    <w:rsid w:val="008A2B85"/>
    <w:rPr>
      <w:sz w:val="16"/>
      <w:szCs w:val="16"/>
    </w:rPr>
  </w:style>
  <w:style w:type="paragraph" w:styleId="CommentText">
    <w:name w:val="annotation text"/>
    <w:basedOn w:val="Normal"/>
    <w:link w:val="CommentTextChar"/>
    <w:unhideWhenUsed/>
    <w:rsid w:val="008A2B85"/>
    <w:rPr>
      <w:sz w:val="20"/>
      <w:szCs w:val="20"/>
    </w:rPr>
  </w:style>
  <w:style w:type="character" w:customStyle="1" w:styleId="CommentTextChar">
    <w:name w:val="Comment Text Char"/>
    <w:basedOn w:val="DefaultParagraphFont"/>
    <w:link w:val="CommentText"/>
    <w:uiPriority w:val="99"/>
    <w:rsid w:val="008A2B85"/>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8A2B85"/>
    <w:rPr>
      <w:b/>
      <w:bCs/>
    </w:rPr>
  </w:style>
  <w:style w:type="character" w:customStyle="1" w:styleId="CommentSubjectChar">
    <w:name w:val="Comment Subject Char"/>
    <w:basedOn w:val="CommentTextChar"/>
    <w:link w:val="CommentSubject"/>
    <w:uiPriority w:val="99"/>
    <w:semiHidden/>
    <w:rsid w:val="008A2B85"/>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8A2B8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85"/>
    <w:rPr>
      <w:rFonts w:ascii="Segoe UI" w:hAnsi="Segoe UI" w:cs="Segoe UI"/>
      <w:sz w:val="18"/>
      <w:szCs w:val="18"/>
      <w:lang w:val="de-DE"/>
    </w:rPr>
  </w:style>
  <w:style w:type="paragraph" w:styleId="Revision">
    <w:name w:val="Revision"/>
    <w:hidden/>
    <w:uiPriority w:val="99"/>
    <w:semiHidden/>
    <w:rsid w:val="008A2B85"/>
    <w:pPr>
      <w:spacing w:after="0" w:line="240" w:lineRule="auto"/>
    </w:pPr>
    <w:rPr>
      <w:rFonts w:ascii="Times New Roman" w:hAnsi="Times New Roman" w:cs="Times New Roman"/>
      <w:sz w:val="24"/>
    </w:rPr>
  </w:style>
  <w:style w:type="paragraph" w:customStyle="1" w:styleId="oj-normal">
    <w:name w:val="oj-normal"/>
    <w:basedOn w:val="Normal"/>
    <w:rsid w:val="007A1E93"/>
    <w:pPr>
      <w:spacing w:before="100" w:beforeAutospacing="1" w:after="100" w:afterAutospacing="1"/>
      <w:jc w:val="left"/>
    </w:pPr>
    <w:rPr>
      <w:rFonts w:eastAsia="Times New Roman"/>
      <w:szCs w:val="24"/>
      <w:lang w:eastAsia="fr-BE"/>
    </w:rPr>
  </w:style>
  <w:style w:type="paragraph" w:styleId="ListBullet">
    <w:name w:val="List Bullet"/>
    <w:basedOn w:val="Normal"/>
    <w:uiPriority w:val="99"/>
    <w:semiHidden/>
    <w:unhideWhenUsed/>
    <w:rsid w:val="0010724F"/>
    <w:pPr>
      <w:numPr>
        <w:numId w:val="2"/>
      </w:numPr>
      <w:contextualSpacing/>
    </w:pPr>
  </w:style>
  <w:style w:type="paragraph" w:styleId="ListBullet2">
    <w:name w:val="List Bullet 2"/>
    <w:basedOn w:val="Normal"/>
    <w:uiPriority w:val="99"/>
    <w:semiHidden/>
    <w:unhideWhenUsed/>
    <w:rsid w:val="0010724F"/>
    <w:pPr>
      <w:numPr>
        <w:numId w:val="3"/>
      </w:numPr>
      <w:contextualSpacing/>
    </w:pPr>
  </w:style>
  <w:style w:type="paragraph" w:styleId="ListBullet3">
    <w:name w:val="List Bullet 3"/>
    <w:basedOn w:val="Normal"/>
    <w:uiPriority w:val="99"/>
    <w:semiHidden/>
    <w:unhideWhenUsed/>
    <w:rsid w:val="0010724F"/>
    <w:pPr>
      <w:numPr>
        <w:numId w:val="4"/>
      </w:numPr>
      <w:contextualSpacing/>
    </w:pPr>
  </w:style>
  <w:style w:type="paragraph" w:styleId="ListBullet4">
    <w:name w:val="List Bullet 4"/>
    <w:basedOn w:val="Normal"/>
    <w:uiPriority w:val="99"/>
    <w:semiHidden/>
    <w:unhideWhenUsed/>
    <w:rsid w:val="0010724F"/>
    <w:pPr>
      <w:numPr>
        <w:numId w:val="5"/>
      </w:numPr>
      <w:contextualSpacing/>
    </w:pPr>
  </w:style>
  <w:style w:type="character" w:styleId="Hyperlink">
    <w:name w:val="Hyperlink"/>
    <w:basedOn w:val="DefaultParagraphFont"/>
    <w:uiPriority w:val="99"/>
    <w:unhideWhenUsed/>
    <w:rsid w:val="00540588"/>
    <w:rPr>
      <w:color w:val="0000FF" w:themeColor="hyperlink"/>
      <w:u w:val="single"/>
    </w:rPr>
  </w:style>
  <w:style w:type="table" w:styleId="TableGrid">
    <w:name w:val="Table Grid"/>
    <w:basedOn w:val="TableNormal"/>
    <w:uiPriority w:val="59"/>
    <w:rsid w:val="003D5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8D8"/>
    <w:pPr>
      <w:ind w:left="720"/>
      <w:contextualSpacing/>
    </w:pPr>
  </w:style>
  <w:style w:type="paragraph" w:customStyle="1" w:styleId="Briefinglist1">
    <w:name w:val="Briefing list 1"/>
    <w:basedOn w:val="Normal"/>
    <w:link w:val="Briefinglist1Char"/>
    <w:qFormat/>
    <w:rsid w:val="00B24851"/>
    <w:pPr>
      <w:keepLines/>
      <w:numPr>
        <w:numId w:val="6"/>
      </w:numPr>
      <w:spacing w:before="0"/>
    </w:pPr>
    <w:rPr>
      <w:rFonts w:ascii="Arial" w:eastAsia="Times New Roman" w:hAnsi="Arial" w:cs="Arial"/>
      <w:sz w:val="22"/>
      <w:szCs w:val="24"/>
    </w:rPr>
  </w:style>
  <w:style w:type="character" w:customStyle="1" w:styleId="Briefinglist1Char">
    <w:name w:val="Briefing list 1 Char"/>
    <w:basedOn w:val="DefaultParagraphFont"/>
    <w:link w:val="Briefinglist1"/>
    <w:qFormat/>
    <w:rsid w:val="00B24851"/>
    <w:rPr>
      <w:rFonts w:ascii="Arial" w:eastAsia="Times New Roman" w:hAnsi="Arial" w:cs="Arial"/>
      <w:szCs w:val="24"/>
      <w:lang w:val="de-DE"/>
    </w:rPr>
  </w:style>
  <w:style w:type="character" w:customStyle="1" w:styleId="normaltextrun">
    <w:name w:val="normaltextrun"/>
    <w:basedOn w:val="DefaultParagraphFont"/>
    <w:rsid w:val="00B24851"/>
  </w:style>
  <w:style w:type="character" w:customStyle="1" w:styleId="UnresolvedMention1">
    <w:name w:val="Unresolved Mention1"/>
    <w:basedOn w:val="DefaultParagraphFont"/>
    <w:uiPriority w:val="99"/>
    <w:unhideWhenUsed/>
    <w:rsid w:val="008B5777"/>
    <w:rPr>
      <w:color w:val="605E5C"/>
      <w:shd w:val="clear" w:color="auto" w:fill="E1DFDD"/>
    </w:rPr>
  </w:style>
  <w:style w:type="character" w:customStyle="1" w:styleId="Mention1">
    <w:name w:val="Mention1"/>
    <w:basedOn w:val="DefaultParagraphFont"/>
    <w:uiPriority w:val="99"/>
    <w:unhideWhenUsed/>
    <w:rsid w:val="008B5777"/>
    <w:rPr>
      <w:color w:val="2B579A"/>
      <w:shd w:val="clear" w:color="auto" w:fill="E1DFDD"/>
    </w:rPr>
  </w:style>
  <w:style w:type="character" w:customStyle="1" w:styleId="UnresolvedMention2">
    <w:name w:val="Unresolved Mention2"/>
    <w:basedOn w:val="DefaultParagraphFont"/>
    <w:uiPriority w:val="99"/>
    <w:semiHidden/>
    <w:unhideWhenUsed/>
    <w:rsid w:val="00983A26"/>
    <w:rPr>
      <w:color w:val="605E5C"/>
      <w:shd w:val="clear" w:color="auto" w:fill="E1DFDD"/>
    </w:rPr>
  </w:style>
  <w:style w:type="paragraph" w:customStyle="1" w:styleId="paragraph">
    <w:name w:val="paragraph"/>
    <w:basedOn w:val="Normal"/>
    <w:rsid w:val="00C2086C"/>
    <w:pPr>
      <w:suppressAutoHyphens/>
      <w:autoSpaceDN w:val="0"/>
      <w:spacing w:before="100" w:after="100"/>
      <w:jc w:val="left"/>
    </w:pPr>
    <w:rPr>
      <w:rFonts w:eastAsia="Times New Roman"/>
      <w:szCs w:val="24"/>
      <w:lang w:eastAsia="fr-BE"/>
    </w:rPr>
  </w:style>
  <w:style w:type="character" w:customStyle="1" w:styleId="superscript">
    <w:name w:val="superscript"/>
    <w:basedOn w:val="DefaultParagraphFont"/>
    <w:rsid w:val="00D62830"/>
  </w:style>
  <w:style w:type="character" w:customStyle="1" w:styleId="eop">
    <w:name w:val="eop"/>
    <w:basedOn w:val="DefaultParagraphFont"/>
    <w:rsid w:val="00D62830"/>
  </w:style>
  <w:style w:type="character" w:customStyle="1" w:styleId="Mention2">
    <w:name w:val="Mention2"/>
    <w:basedOn w:val="DefaultParagraphFont"/>
    <w:rsid w:val="008A48DD"/>
    <w:rPr>
      <w:color w:val="2B579A"/>
      <w:shd w:val="clear" w:color="auto" w:fill="E1DFDD"/>
    </w:rPr>
  </w:style>
  <w:style w:type="paragraph" w:styleId="Header">
    <w:name w:val="header"/>
    <w:basedOn w:val="Normal"/>
    <w:link w:val="HeaderChar"/>
    <w:uiPriority w:val="99"/>
    <w:unhideWhenUsed/>
    <w:rsid w:val="00F84F8C"/>
    <w:pPr>
      <w:tabs>
        <w:tab w:val="center" w:pos="4535"/>
        <w:tab w:val="right" w:pos="9071"/>
      </w:tabs>
      <w:spacing w:before="0"/>
    </w:pPr>
  </w:style>
  <w:style w:type="character" w:customStyle="1" w:styleId="HeaderChar">
    <w:name w:val="Header Char"/>
    <w:basedOn w:val="DefaultParagraphFont"/>
    <w:link w:val="Header"/>
    <w:uiPriority w:val="99"/>
    <w:rsid w:val="00F84F8C"/>
    <w:rPr>
      <w:rFonts w:ascii="Times New Roman" w:hAnsi="Times New Roman" w:cs="Times New Roman"/>
      <w:sz w:val="24"/>
      <w:lang w:val="de-DE"/>
    </w:rPr>
  </w:style>
  <w:style w:type="paragraph" w:styleId="Footer">
    <w:name w:val="footer"/>
    <w:basedOn w:val="Normal"/>
    <w:link w:val="FooterChar"/>
    <w:uiPriority w:val="99"/>
    <w:unhideWhenUsed/>
    <w:rsid w:val="00F84F8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84F8C"/>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84F8C"/>
    <w:pPr>
      <w:tabs>
        <w:tab w:val="center" w:pos="7285"/>
        <w:tab w:val="right" w:pos="14003"/>
      </w:tabs>
      <w:spacing w:before="0"/>
    </w:pPr>
  </w:style>
  <w:style w:type="paragraph" w:customStyle="1" w:styleId="FooterLandscape">
    <w:name w:val="FooterLandscape"/>
    <w:basedOn w:val="Normal"/>
    <w:rsid w:val="00F84F8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84F8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84F8C"/>
    <w:pPr>
      <w:spacing w:before="0"/>
      <w:jc w:val="right"/>
    </w:pPr>
    <w:rPr>
      <w:sz w:val="28"/>
    </w:rPr>
  </w:style>
  <w:style w:type="paragraph" w:customStyle="1" w:styleId="FooterSensitivity">
    <w:name w:val="Footer Sensitivity"/>
    <w:basedOn w:val="Normal"/>
    <w:rsid w:val="00F84F8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B0379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29922">
      <w:bodyDiv w:val="1"/>
      <w:marLeft w:val="0"/>
      <w:marRight w:val="0"/>
      <w:marTop w:val="0"/>
      <w:marBottom w:val="0"/>
      <w:divBdr>
        <w:top w:val="none" w:sz="0" w:space="0" w:color="auto"/>
        <w:left w:val="none" w:sz="0" w:space="0" w:color="auto"/>
        <w:bottom w:val="none" w:sz="0" w:space="0" w:color="auto"/>
        <w:right w:val="none" w:sz="0" w:space="0" w:color="auto"/>
      </w:divBdr>
    </w:div>
    <w:div w:id="652831824">
      <w:bodyDiv w:val="1"/>
      <w:marLeft w:val="0"/>
      <w:marRight w:val="0"/>
      <w:marTop w:val="0"/>
      <w:marBottom w:val="0"/>
      <w:divBdr>
        <w:top w:val="none" w:sz="0" w:space="0" w:color="auto"/>
        <w:left w:val="none" w:sz="0" w:space="0" w:color="auto"/>
        <w:bottom w:val="none" w:sz="0" w:space="0" w:color="auto"/>
        <w:right w:val="none" w:sz="0" w:space="0" w:color="auto"/>
      </w:divBdr>
    </w:div>
    <w:div w:id="668824984">
      <w:bodyDiv w:val="1"/>
      <w:marLeft w:val="0"/>
      <w:marRight w:val="0"/>
      <w:marTop w:val="0"/>
      <w:marBottom w:val="0"/>
      <w:divBdr>
        <w:top w:val="none" w:sz="0" w:space="0" w:color="auto"/>
        <w:left w:val="none" w:sz="0" w:space="0" w:color="auto"/>
        <w:bottom w:val="none" w:sz="0" w:space="0" w:color="auto"/>
        <w:right w:val="none" w:sz="0" w:space="0" w:color="auto"/>
      </w:divBdr>
      <w:divsChild>
        <w:div w:id="540824847">
          <w:marLeft w:val="0"/>
          <w:marRight w:val="0"/>
          <w:marTop w:val="0"/>
          <w:marBottom w:val="0"/>
          <w:divBdr>
            <w:top w:val="single" w:sz="6" w:space="0" w:color="000000"/>
            <w:left w:val="single" w:sz="6" w:space="2" w:color="000000"/>
            <w:bottom w:val="single" w:sz="6" w:space="0" w:color="000000"/>
            <w:right w:val="single" w:sz="6" w:space="2" w:color="000000"/>
          </w:divBdr>
        </w:div>
        <w:div w:id="1125541049">
          <w:marLeft w:val="0"/>
          <w:marRight w:val="0"/>
          <w:marTop w:val="0"/>
          <w:marBottom w:val="0"/>
          <w:divBdr>
            <w:top w:val="single" w:sz="6" w:space="0" w:color="000000"/>
            <w:left w:val="single" w:sz="6" w:space="2" w:color="000000"/>
            <w:bottom w:val="single" w:sz="6" w:space="0" w:color="000000"/>
            <w:right w:val="single" w:sz="6" w:space="2" w:color="000000"/>
          </w:divBdr>
        </w:div>
        <w:div w:id="169596197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48380963">
      <w:bodyDiv w:val="1"/>
      <w:marLeft w:val="0"/>
      <w:marRight w:val="0"/>
      <w:marTop w:val="0"/>
      <w:marBottom w:val="0"/>
      <w:divBdr>
        <w:top w:val="none" w:sz="0" w:space="0" w:color="auto"/>
        <w:left w:val="none" w:sz="0" w:space="0" w:color="auto"/>
        <w:bottom w:val="none" w:sz="0" w:space="0" w:color="auto"/>
        <w:right w:val="none" w:sz="0" w:space="0" w:color="auto"/>
      </w:divBdr>
    </w:div>
    <w:div w:id="796216091">
      <w:bodyDiv w:val="1"/>
      <w:marLeft w:val="0"/>
      <w:marRight w:val="0"/>
      <w:marTop w:val="0"/>
      <w:marBottom w:val="0"/>
      <w:divBdr>
        <w:top w:val="none" w:sz="0" w:space="0" w:color="auto"/>
        <w:left w:val="none" w:sz="0" w:space="0" w:color="auto"/>
        <w:bottom w:val="none" w:sz="0" w:space="0" w:color="auto"/>
        <w:right w:val="none" w:sz="0" w:space="0" w:color="auto"/>
      </w:divBdr>
      <w:divsChild>
        <w:div w:id="1404838303">
          <w:marLeft w:val="0"/>
          <w:marRight w:val="0"/>
          <w:marTop w:val="0"/>
          <w:marBottom w:val="0"/>
          <w:divBdr>
            <w:top w:val="single" w:sz="6" w:space="0" w:color="000000"/>
            <w:left w:val="single" w:sz="6" w:space="2" w:color="000000"/>
            <w:bottom w:val="single" w:sz="6" w:space="0" w:color="000000"/>
            <w:right w:val="single" w:sz="6" w:space="2" w:color="000000"/>
          </w:divBdr>
        </w:div>
        <w:div w:id="155805416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846361020">
      <w:bodyDiv w:val="1"/>
      <w:marLeft w:val="0"/>
      <w:marRight w:val="0"/>
      <w:marTop w:val="0"/>
      <w:marBottom w:val="0"/>
      <w:divBdr>
        <w:top w:val="none" w:sz="0" w:space="0" w:color="auto"/>
        <w:left w:val="none" w:sz="0" w:space="0" w:color="auto"/>
        <w:bottom w:val="none" w:sz="0" w:space="0" w:color="auto"/>
        <w:right w:val="none" w:sz="0" w:space="0" w:color="auto"/>
      </w:divBdr>
    </w:div>
    <w:div w:id="988555378">
      <w:bodyDiv w:val="1"/>
      <w:marLeft w:val="0"/>
      <w:marRight w:val="0"/>
      <w:marTop w:val="0"/>
      <w:marBottom w:val="0"/>
      <w:divBdr>
        <w:top w:val="none" w:sz="0" w:space="0" w:color="auto"/>
        <w:left w:val="none" w:sz="0" w:space="0" w:color="auto"/>
        <w:bottom w:val="none" w:sz="0" w:space="0" w:color="auto"/>
        <w:right w:val="none" w:sz="0" w:space="0" w:color="auto"/>
      </w:divBdr>
    </w:div>
    <w:div w:id="1133983821">
      <w:bodyDiv w:val="1"/>
      <w:marLeft w:val="0"/>
      <w:marRight w:val="0"/>
      <w:marTop w:val="0"/>
      <w:marBottom w:val="0"/>
      <w:divBdr>
        <w:top w:val="none" w:sz="0" w:space="0" w:color="auto"/>
        <w:left w:val="none" w:sz="0" w:space="0" w:color="auto"/>
        <w:bottom w:val="none" w:sz="0" w:space="0" w:color="auto"/>
        <w:right w:val="none" w:sz="0" w:space="0" w:color="auto"/>
      </w:divBdr>
    </w:div>
    <w:div w:id="1253514638">
      <w:bodyDiv w:val="1"/>
      <w:marLeft w:val="0"/>
      <w:marRight w:val="0"/>
      <w:marTop w:val="0"/>
      <w:marBottom w:val="0"/>
      <w:divBdr>
        <w:top w:val="none" w:sz="0" w:space="0" w:color="auto"/>
        <w:left w:val="none" w:sz="0" w:space="0" w:color="auto"/>
        <w:bottom w:val="none" w:sz="0" w:space="0" w:color="auto"/>
        <w:right w:val="none" w:sz="0" w:space="0" w:color="auto"/>
      </w:divBdr>
    </w:div>
    <w:div w:id="1547331151">
      <w:bodyDiv w:val="1"/>
      <w:marLeft w:val="0"/>
      <w:marRight w:val="0"/>
      <w:marTop w:val="0"/>
      <w:marBottom w:val="0"/>
      <w:divBdr>
        <w:top w:val="none" w:sz="0" w:space="0" w:color="auto"/>
        <w:left w:val="none" w:sz="0" w:space="0" w:color="auto"/>
        <w:bottom w:val="none" w:sz="0" w:space="0" w:color="auto"/>
        <w:right w:val="none" w:sz="0" w:space="0" w:color="auto"/>
      </w:divBdr>
    </w:div>
    <w:div w:id="1702433513">
      <w:bodyDiv w:val="1"/>
      <w:marLeft w:val="0"/>
      <w:marRight w:val="0"/>
      <w:marTop w:val="0"/>
      <w:marBottom w:val="0"/>
      <w:divBdr>
        <w:top w:val="none" w:sz="0" w:space="0" w:color="auto"/>
        <w:left w:val="none" w:sz="0" w:space="0" w:color="auto"/>
        <w:bottom w:val="none" w:sz="0" w:space="0" w:color="auto"/>
        <w:right w:val="none" w:sz="0" w:space="0" w:color="auto"/>
      </w:divBdr>
      <w:divsChild>
        <w:div w:id="1148857967">
          <w:marLeft w:val="0"/>
          <w:marRight w:val="0"/>
          <w:marTop w:val="0"/>
          <w:marBottom w:val="0"/>
          <w:divBdr>
            <w:top w:val="none" w:sz="0" w:space="0" w:color="auto"/>
            <w:left w:val="none" w:sz="0" w:space="0" w:color="auto"/>
            <w:bottom w:val="none" w:sz="0" w:space="0" w:color="auto"/>
            <w:right w:val="none" w:sz="0" w:space="0" w:color="auto"/>
          </w:divBdr>
        </w:div>
        <w:div w:id="1154419424">
          <w:marLeft w:val="0"/>
          <w:marRight w:val="0"/>
          <w:marTop w:val="0"/>
          <w:marBottom w:val="0"/>
          <w:divBdr>
            <w:top w:val="none" w:sz="0" w:space="0" w:color="auto"/>
            <w:left w:val="none" w:sz="0" w:space="0" w:color="auto"/>
            <w:bottom w:val="none" w:sz="0" w:space="0" w:color="auto"/>
            <w:right w:val="none" w:sz="0" w:space="0" w:color="auto"/>
          </w:divBdr>
        </w:div>
        <w:div w:id="1156609301">
          <w:marLeft w:val="0"/>
          <w:marRight w:val="0"/>
          <w:marTop w:val="0"/>
          <w:marBottom w:val="0"/>
          <w:divBdr>
            <w:top w:val="none" w:sz="0" w:space="0" w:color="auto"/>
            <w:left w:val="none" w:sz="0" w:space="0" w:color="auto"/>
            <w:bottom w:val="none" w:sz="0" w:space="0" w:color="auto"/>
            <w:right w:val="none" w:sz="0" w:space="0" w:color="auto"/>
          </w:divBdr>
        </w:div>
      </w:divsChild>
    </w:div>
    <w:div w:id="2091346613">
      <w:bodyDiv w:val="1"/>
      <w:marLeft w:val="0"/>
      <w:marRight w:val="0"/>
      <w:marTop w:val="0"/>
      <w:marBottom w:val="0"/>
      <w:divBdr>
        <w:top w:val="none" w:sz="0" w:space="0" w:color="auto"/>
        <w:left w:val="none" w:sz="0" w:space="0" w:color="auto"/>
        <w:bottom w:val="none" w:sz="0" w:space="0" w:color="auto"/>
        <w:right w:val="none" w:sz="0" w:space="0" w:color="auto"/>
      </w:divBdr>
      <w:divsChild>
        <w:div w:id="868446084">
          <w:marLeft w:val="0"/>
          <w:marRight w:val="0"/>
          <w:marTop w:val="0"/>
          <w:marBottom w:val="0"/>
          <w:divBdr>
            <w:top w:val="none" w:sz="0" w:space="0" w:color="auto"/>
            <w:left w:val="none" w:sz="0" w:space="0" w:color="auto"/>
            <w:bottom w:val="none" w:sz="0" w:space="0" w:color="auto"/>
            <w:right w:val="none" w:sz="0" w:space="0" w:color="auto"/>
          </w:divBdr>
        </w:div>
        <w:div w:id="983005712">
          <w:marLeft w:val="0"/>
          <w:marRight w:val="0"/>
          <w:marTop w:val="0"/>
          <w:marBottom w:val="0"/>
          <w:divBdr>
            <w:top w:val="none" w:sz="0" w:space="0" w:color="auto"/>
            <w:left w:val="none" w:sz="0" w:space="0" w:color="auto"/>
            <w:bottom w:val="none" w:sz="0" w:space="0" w:color="auto"/>
            <w:right w:val="none" w:sz="0" w:space="0" w:color="auto"/>
          </w:divBdr>
        </w:div>
        <w:div w:id="199074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4" ma:contentTypeDescription="Create a new document." ma:contentTypeScope="" ma:versionID="a05fe15a26fa83f9c98f8eaa265fc442">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ee4d2cf6cdcf3d25498fc96d67622924"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E0EC-2C2E-41C9-BD7A-CF3632D4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B871F-FD6A-4BFE-91E8-A436CE25E1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9737AD-9871-4B4E-976B-246AADEE33C2}">
  <ds:schemaRefs>
    <ds:schemaRef ds:uri="http://schemas.microsoft.com/sharepoint/v3/contenttype/forms"/>
  </ds:schemaRefs>
</ds:datastoreItem>
</file>

<file path=customXml/itemProps4.xml><?xml version="1.0" encoding="utf-8"?>
<ds:datastoreItem xmlns:ds="http://schemas.openxmlformats.org/officeDocument/2006/customXml" ds:itemID="{91E0D725-3DFC-4180-9CD3-B6E1965F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Pages>
  <Words>4557</Words>
  <Characters>30219</Characters>
  <Application>Microsoft Office Word</Application>
  <DocSecurity>0</DocSecurity>
  <Lines>581</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2023-06-20T13:19:00Z</dcterms:created>
  <dcterms:modified xsi:type="dcterms:W3CDTF">2023-07-06T08:00:00Z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2023-06-19T19:15:48Z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926242a4-2ac5-4190-b608-2bdc97a58417</vt:lpwstr>
  </property>
  <property fmtid="{D5CDD505-2E9C-101B-9397-08002B2CF9AE}" pid="9" name="MSIP_Label_6bd9ddd1-4d20-43f6-abfa-fc3c07406f94_ContentBits">
    <vt:lpwstr>0</vt:lpwstr>
  </property>
  <property fmtid="{D5CDD505-2E9C-101B-9397-08002B2CF9AE}" pid="10" name="ContentTypeId">
    <vt:lpwstr>0x0101007697B7BFF882854783B2AFEB81A9CCE9</vt:lpwstr>
  </property>
  <property fmtid="{D5CDD505-2E9C-101B-9397-08002B2CF9AE}" pid="11" name="Category">
    <vt:lpwstr>COM/PL/ORG</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SJ-016</vt:lpwstr>
  </property>
  <property fmtid="{D5CDD505-2E9C-101B-9397-08002B2CF9AE}" pid="16" name="DQCStatus">
    <vt:lpwstr>Green (DQC version 03)</vt:lpwstr>
  </property>
</Properties>
</file>