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BEE4F" w14:textId="51B6C25B" w:rsidR="00EC7095" w:rsidRPr="008C52C9" w:rsidRDefault="001A4546" w:rsidP="001A4546">
      <w:pPr>
        <w:pStyle w:val="Pagedecouverture"/>
        <w:rPr>
          <w:noProof/>
        </w:rPr>
      </w:pPr>
      <w:r>
        <w:rPr>
          <w:noProof/>
        </w:rPr>
        <w:pict w14:anchorId="404D11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D39EBAC8-0E98-4C17-816D-D10640905017" style="width:455pt;height:508pt">
            <v:imagedata r:id="rId8" o:title=""/>
          </v:shape>
        </w:pict>
      </w:r>
    </w:p>
    <w:p w14:paraId="1F824C61" w14:textId="77777777" w:rsidR="00EC7095" w:rsidRPr="008C52C9" w:rsidRDefault="00EC7095" w:rsidP="00EC7095">
      <w:pPr>
        <w:rPr>
          <w:noProof/>
        </w:rPr>
        <w:sectPr w:rsidR="00EC7095" w:rsidRPr="008C52C9" w:rsidSect="001A4546">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14:paraId="64B8EC7E" w14:textId="7412A46F" w:rsidR="00415532" w:rsidRPr="008C52C9" w:rsidRDefault="00415532" w:rsidP="00835D99">
      <w:pPr>
        <w:pStyle w:val="Exposdesmotifstitre"/>
        <w:rPr>
          <w:noProof/>
        </w:rPr>
      </w:pPr>
      <w:r w:rsidRPr="008C52C9">
        <w:rPr>
          <w:noProof/>
        </w:rPr>
        <w:lastRenderedPageBreak/>
        <w:t>RELAZIONE</w:t>
      </w:r>
    </w:p>
    <w:p w14:paraId="25559403" w14:textId="77777777" w:rsidR="00415532" w:rsidRPr="008C52C9" w:rsidRDefault="00415532" w:rsidP="00415532">
      <w:pPr>
        <w:keepNext/>
        <w:tabs>
          <w:tab w:val="left" w:pos="850"/>
        </w:tabs>
        <w:spacing w:before="360"/>
        <w:ind w:left="850" w:hanging="850"/>
        <w:outlineLvl w:val="0"/>
        <w:rPr>
          <w:b/>
          <w:smallCaps/>
          <w:noProof/>
        </w:rPr>
      </w:pPr>
      <w:r w:rsidRPr="008C52C9">
        <w:rPr>
          <w:b/>
          <w:smallCaps/>
          <w:noProof/>
        </w:rPr>
        <w:t>1.</w:t>
      </w:r>
      <w:r w:rsidRPr="008C52C9">
        <w:rPr>
          <w:noProof/>
        </w:rPr>
        <w:tab/>
      </w:r>
      <w:r w:rsidRPr="008C52C9">
        <w:rPr>
          <w:b/>
          <w:smallCaps/>
          <w:noProof/>
        </w:rPr>
        <w:t>CONTESTO DELLA PROPOSTA</w:t>
      </w:r>
    </w:p>
    <w:p w14:paraId="5F1C02B1" w14:textId="77777777" w:rsidR="00415532" w:rsidRPr="008C52C9" w:rsidRDefault="00415532" w:rsidP="00415532">
      <w:pPr>
        <w:keepNext/>
        <w:tabs>
          <w:tab w:val="left" w:pos="850"/>
        </w:tabs>
        <w:ind w:left="850" w:hanging="850"/>
        <w:outlineLvl w:val="1"/>
        <w:rPr>
          <w:rFonts w:eastAsia="Arial Unicode MS"/>
          <w:b/>
          <w:noProof/>
        </w:rPr>
      </w:pPr>
      <w:r w:rsidRPr="008C52C9">
        <w:rPr>
          <w:rFonts w:eastAsia="Arial Unicode MS"/>
          <w:b/>
          <w:noProof/>
          <w:u w:color="000000"/>
          <w:bdr w:val="nil"/>
        </w:rPr>
        <w:t>•</w:t>
      </w:r>
      <w:r w:rsidRPr="008C52C9">
        <w:rPr>
          <w:noProof/>
        </w:rPr>
        <w:tab/>
      </w:r>
      <w:r w:rsidRPr="008C52C9">
        <w:rPr>
          <w:rFonts w:eastAsia="Arial Unicode MS"/>
          <w:b/>
          <w:noProof/>
        </w:rPr>
        <w:t>Motivi e obiettivi della proposta</w:t>
      </w:r>
    </w:p>
    <w:p w14:paraId="50A024B4" w14:textId="77777777" w:rsidR="00415532" w:rsidRPr="008C52C9" w:rsidRDefault="00415532" w:rsidP="00415532">
      <w:pPr>
        <w:pBdr>
          <w:top w:val="nil"/>
          <w:left w:val="nil"/>
          <w:bottom w:val="nil"/>
          <w:right w:val="nil"/>
          <w:between w:val="nil"/>
          <w:bar w:val="nil"/>
        </w:pBdr>
        <w:spacing w:before="0" w:after="240"/>
        <w:rPr>
          <w:noProof/>
        </w:rPr>
      </w:pPr>
      <w:r w:rsidRPr="008C52C9">
        <w:rPr>
          <w:noProof/>
        </w:rPr>
        <w:t xml:space="preserve">La presente proposta riguarda una modifica della direttiva </w:t>
      </w:r>
      <w:hyperlink r:id="rId15" w:history="1">
        <w:r w:rsidRPr="008C52C9">
          <w:rPr>
            <w:noProof/>
          </w:rPr>
          <w:t>2005/35/CE</w:t>
        </w:r>
        <w:r w:rsidRPr="008C52C9">
          <w:rPr>
            <w:rStyle w:val="FootnoteReference"/>
            <w:noProof/>
          </w:rPr>
          <w:footnoteReference w:id="1"/>
        </w:r>
        <w:r w:rsidRPr="008C52C9">
          <w:rPr>
            <w:noProof/>
          </w:rPr>
          <w:t xml:space="preserve"> relativa all'inquinamento provocato dalle navi</w:t>
        </w:r>
      </w:hyperlink>
      <w:r w:rsidRPr="008C52C9">
        <w:rPr>
          <w:noProof/>
        </w:rPr>
        <w:t xml:space="preserve"> e all'introduzione di sanzioni per i reati di inquinamento, modificata dalla direttiva 2009/123/CE</w:t>
      </w:r>
      <w:r w:rsidRPr="008C52C9">
        <w:rPr>
          <w:rStyle w:val="FootnoteReference"/>
          <w:noProof/>
        </w:rPr>
        <w:footnoteReference w:id="2"/>
      </w:r>
      <w:r w:rsidRPr="008C52C9">
        <w:rPr>
          <w:noProof/>
        </w:rPr>
        <w:t xml:space="preserve">. </w:t>
      </w:r>
    </w:p>
    <w:p w14:paraId="2AACF684" w14:textId="77777777" w:rsidR="00415532" w:rsidRPr="008C52C9" w:rsidRDefault="00415532" w:rsidP="00415532">
      <w:pPr>
        <w:pBdr>
          <w:top w:val="nil"/>
          <w:left w:val="nil"/>
          <w:bottom w:val="nil"/>
          <w:right w:val="nil"/>
          <w:between w:val="nil"/>
          <w:bar w:val="nil"/>
        </w:pBdr>
        <w:spacing w:before="0" w:after="240"/>
        <w:rPr>
          <w:noProof/>
        </w:rPr>
      </w:pPr>
      <w:r w:rsidRPr="008C52C9">
        <w:rPr>
          <w:noProof/>
        </w:rPr>
        <w:t xml:space="preserve">Le politiche di prevenzione dell'inquinamento provocato dalle navi sono state sviluppate tra il 2000 e il 2009, sulla scia dei due gravi incidenti marittimi occorsi alle navi </w:t>
      </w:r>
      <w:r w:rsidRPr="008C52C9">
        <w:rPr>
          <w:i/>
          <w:noProof/>
        </w:rPr>
        <w:t>Erika</w:t>
      </w:r>
      <w:r w:rsidRPr="008C52C9">
        <w:rPr>
          <w:noProof/>
        </w:rPr>
        <w:t xml:space="preserve"> e </w:t>
      </w:r>
      <w:r w:rsidRPr="008C52C9">
        <w:rPr>
          <w:i/>
          <w:noProof/>
        </w:rPr>
        <w:t>Prestige</w:t>
      </w:r>
      <w:r w:rsidRPr="008C52C9">
        <w:rPr>
          <w:noProof/>
        </w:rPr>
        <w:t>, che hanno causato ingenti sversamenti di idrocarburi</w:t>
      </w:r>
      <w:r w:rsidRPr="008C52C9">
        <w:rPr>
          <w:rStyle w:val="FootnoteReference"/>
          <w:noProof/>
        </w:rPr>
        <w:footnoteReference w:id="3"/>
      </w:r>
      <w:r w:rsidRPr="008C52C9">
        <w:rPr>
          <w:noProof/>
        </w:rPr>
        <w:t xml:space="preserve">. La direttiva 2005/35/CE (di seguito "direttiva relativa all'inquinamento provocato dalle navi" o "direttiva") disciplina le sanzioni per gli scarichi illegali di idrocarburi e di sostanze liquide nocive effettuati dalle navi in mare. Non tutti i rifiuti prodotti sulle navi devono essere conferiti ai porti. Alcuni possono essere scaricati in mare. Per scarico illegale si intende uno scarico effettuato da una nave che non rispetta le norme pertinenti dell'Organizzazione marittima internazionale (IMO), ossia le norme stabilite dalla convenzione internazionale per la prevenzione dell'inquinamento causato da navi (convenzione Marpol 73/78). </w:t>
      </w:r>
    </w:p>
    <w:p w14:paraId="4879F9B9" w14:textId="77777777" w:rsidR="00415532" w:rsidRPr="008C52C9" w:rsidRDefault="00415532" w:rsidP="00415532">
      <w:pPr>
        <w:pBdr>
          <w:top w:val="nil"/>
          <w:left w:val="nil"/>
          <w:bottom w:val="nil"/>
          <w:right w:val="nil"/>
          <w:between w:val="nil"/>
          <w:bar w:val="nil"/>
        </w:pBdr>
        <w:spacing w:before="0" w:after="240"/>
        <w:rPr>
          <w:noProof/>
        </w:rPr>
      </w:pPr>
      <w:r w:rsidRPr="008C52C9">
        <w:rPr>
          <w:noProof/>
        </w:rPr>
        <w:t>L'obiettivo principale della direttiva è quello di recepire nel diritto dell'UE queste norme internazionali e di garantire che i responsabili di scarichi illegali di sostanze inquinanti siano soggetti a sanzioni dissuasive, effettive e proporzionate, al fine di aumentare la sicurezza marittima e migliorare la protezione dell'ambiente marino dall'inquinamento provocato dalle navi.</w:t>
      </w:r>
    </w:p>
    <w:p w14:paraId="0A6E0AE6" w14:textId="77777777" w:rsidR="00415532" w:rsidRPr="008C52C9" w:rsidRDefault="00415532" w:rsidP="00415532">
      <w:pPr>
        <w:pBdr>
          <w:top w:val="nil"/>
          <w:left w:val="nil"/>
          <w:bottom w:val="nil"/>
          <w:right w:val="nil"/>
          <w:between w:val="nil"/>
          <w:bar w:val="nil"/>
        </w:pBdr>
        <w:spacing w:before="0" w:after="240"/>
        <w:rPr>
          <w:noProof/>
        </w:rPr>
      </w:pPr>
      <w:r w:rsidRPr="008C52C9">
        <w:rPr>
          <w:noProof/>
        </w:rPr>
        <w:t>La direttiva stabilisce un sistema di applicazione in cui le attività di monitoraggio e verifica svolte dagli Stati membri comportano sanzioni nei confronti dei responsabili delle violazioni. Il processo si articola in tre fasi: in primo luogo gli strumenti di sorveglianza individuano un potenziale scarico da una nave; in secondo luogo l'autorità competente decide se inviare una nave o un aereo per verificare sul posto se l'inquinamento può essere confermato; in terzo luogo si raccolgono gli elementi di prova e, se il responsabile è identificato, si applicano le sanzioni. L'imposizione di sanzioni per i reati di inquinamento da parte delle navi trova la sua origine nel diritto internazionale. La Convenzione delle Nazioni Unite sul diritto del mare (UNCLOS) prevede tra l'altro che uno Stato possa imporre sanzioni a una nave straniera che causa inquinamento in caso di danni gravi allo Stato costiero o qualora lo Stato di bandiera in questione abbia ripetutamente disatteso i suoi obblighi di applicazione delle norme. Gli Stati di bandiera dell'UE sono inoltre tenuti a imporre sanzioni alle loro navi, se scaricano illegalmente sostanze inquinanti in mare all'interno o all'esterno dell'UE, in linea con l'UNCLOS.</w:t>
      </w:r>
    </w:p>
    <w:p w14:paraId="3AA4C11E" w14:textId="77777777" w:rsidR="00415532" w:rsidRPr="008C52C9" w:rsidRDefault="00415532" w:rsidP="00415532">
      <w:pPr>
        <w:rPr>
          <w:noProof/>
        </w:rPr>
      </w:pPr>
      <w:r w:rsidRPr="008C52C9">
        <w:rPr>
          <w:noProof/>
        </w:rPr>
        <w:t xml:space="preserve">Il Green Deal europeo riafferma l'ambizione della Commissione di proteggere la popolazione dai rischi di natura ambientale e dalle relative conseguenze, tracciando un percorso verso un pianeta sano per tutti. La presente proposta rientra tra le iniziative dell'UE volte a ridurre </w:t>
      </w:r>
      <w:r w:rsidRPr="008C52C9">
        <w:rPr>
          <w:noProof/>
        </w:rPr>
        <w:lastRenderedPageBreak/>
        <w:t>l'inquinamento provocato dal trasporto marittimo nei suoi mari ed è in linea con la strategia per una mobilità sostenibile e intelligente</w:t>
      </w:r>
      <w:r w:rsidRPr="008C52C9">
        <w:rPr>
          <w:rStyle w:val="FootnoteReference"/>
          <w:noProof/>
        </w:rPr>
        <w:footnoteReference w:id="4"/>
      </w:r>
      <w:r w:rsidRPr="008C52C9">
        <w:rPr>
          <w:noProof/>
        </w:rPr>
        <w:t xml:space="preserve"> e con il piano d'azione per l'inquinamento zero</w:t>
      </w:r>
      <w:r w:rsidRPr="008C52C9">
        <w:rPr>
          <w:rStyle w:val="FootnoteReference"/>
          <w:noProof/>
        </w:rPr>
        <w:footnoteReference w:id="5"/>
      </w:r>
      <w:r w:rsidRPr="008C52C9">
        <w:rPr>
          <w:noProof/>
        </w:rPr>
        <w:t>.</w:t>
      </w:r>
    </w:p>
    <w:p w14:paraId="5D917224" w14:textId="77777777" w:rsidR="00415532" w:rsidRPr="008C52C9" w:rsidRDefault="00415532" w:rsidP="00415532">
      <w:pPr>
        <w:rPr>
          <w:noProof/>
        </w:rPr>
      </w:pPr>
      <w:r w:rsidRPr="008C52C9">
        <w:rPr>
          <w:noProof/>
        </w:rPr>
        <w:t xml:space="preserve">La Commissione ha effettuato la prima valutazione ex-post della direttiva nel 2022 e ha ritenuto che essa abbia contribuito con successo all'integrazione nel diritto degli Stati membri delle norme internazionali sull'inquinamento provocato dalle navi, migliorando l'individuazione di quest'ultimo. In particolare la direttiva ha dato impulso alla creazione del servizio CleanSeaNet, ossia un servizio satellitare dell'UE per il monitoraggio degli sversamenti di idrocarburi e l'individuazione delle navi, gestito dall'Agenzia europea per la sicurezza marittima (EMSA). </w:t>
      </w:r>
    </w:p>
    <w:p w14:paraId="2FD4AB8A" w14:textId="77777777" w:rsidR="00415532" w:rsidRPr="008C52C9" w:rsidRDefault="00415532" w:rsidP="00415532">
      <w:pPr>
        <w:rPr>
          <w:noProof/>
        </w:rPr>
      </w:pPr>
      <w:r w:rsidRPr="008C52C9">
        <w:rPr>
          <w:noProof/>
        </w:rPr>
        <w:t xml:space="preserve">La valutazione ha tuttavia evidenziato una serie di carenze: 1) l'attuale ambito di applicazione della direttiva non riguarda tutte le sostanze inquinanti pertinenti del regime internazionale, come gli scarichi di rifiuti solidi o di acque reflue in mare; 2) lo scambio di informazioni e/o le competenze per consentire l'efficacia dell'individuazione e della verifica dell'inquinamento provocato dalle navi, nonché del relativo sanzionamento, sono irregolari tra gli Stati membri dell'UE e generalmente insufficienti; 3) l'effetto dissuasivo delle sanzioni attualmente applicate nell'UE per l'inquinamento provocato dalle navi non è equilibrato; 4) l'attuale comunicazione da parte degli Stati membri è incompleta e comporta una mancanza di informazioni dettagliate sull'inquinamento provocato dalle navi e sulle relative sanzioni imposte nell'UE nel corso del tempo. </w:t>
      </w:r>
    </w:p>
    <w:p w14:paraId="0CC5AC85" w14:textId="50FF6B6B" w:rsidR="00415532" w:rsidRPr="008C52C9" w:rsidRDefault="00415532" w:rsidP="00415532">
      <w:pPr>
        <w:pBdr>
          <w:top w:val="nil"/>
          <w:left w:val="nil"/>
          <w:bottom w:val="nil"/>
          <w:right w:val="nil"/>
          <w:between w:val="nil"/>
          <w:bar w:val="nil"/>
        </w:pBdr>
        <w:spacing w:before="0" w:after="240"/>
        <w:rPr>
          <w:noProof/>
        </w:rPr>
      </w:pPr>
      <w:r w:rsidRPr="008C52C9">
        <w:rPr>
          <w:noProof/>
        </w:rPr>
        <w:t>Di conseguenza non sempre è possibile identificare coloro che scaricano illegalmente sostanze inquinanti e i responsabili vengono raramente sanzionati. Per tale ragione è stata elaborata una proposta di modifica della direttiva 2005/35/CE.</w:t>
      </w:r>
      <w:r w:rsidRPr="008C52C9">
        <w:rPr>
          <w:rFonts w:eastAsia="Arial Unicode MS"/>
          <w:noProof/>
        </w:rPr>
        <w:t xml:space="preserve"> </w:t>
      </w:r>
      <w:r w:rsidRPr="008C52C9">
        <w:rPr>
          <w:noProof/>
        </w:rPr>
        <w:t xml:space="preserve">Gli obiettivi specifici della revisione sono i seguenti: 1) integrare le norme internazionali nel diritto dell'UE allineando la direttiva agli allegati sugli scarichi in mare della convenzione Marpol; 2) sostenere gli Stati membri rafforzando la loro capacità di provvedere in modo tempestivo e armonizzato all'individuazione degli incidenti di inquinamento, alla verifica, alla raccolta degli elementi di prova e al sanzionamento efficace dei responsabili identificati; 3) garantire che le persone (fisiche e giuridiche) responsabili degli scarichi illegali delle navi siano soggette a sanzioni effettive, proporzionate e dissuasive; e 4) assicurare una comunicazione semplificata ed efficace sugli incidenti di inquinamento provocati dalle navi </w:t>
      </w:r>
      <w:r w:rsidR="00DD6749">
        <w:rPr>
          <w:noProof/>
        </w:rPr>
        <w:t>e sulle attività di follow-up.</w:t>
      </w:r>
    </w:p>
    <w:p w14:paraId="16782690" w14:textId="77777777" w:rsidR="00415532" w:rsidRPr="008C52C9" w:rsidRDefault="00415532" w:rsidP="00415532">
      <w:pPr>
        <w:keepNext/>
        <w:tabs>
          <w:tab w:val="left" w:pos="850"/>
        </w:tabs>
        <w:ind w:left="850" w:hanging="850"/>
        <w:outlineLvl w:val="1"/>
        <w:rPr>
          <w:rFonts w:eastAsia="Arial Unicode MS"/>
          <w:b/>
          <w:noProof/>
          <w:u w:color="000000"/>
          <w:bdr w:val="nil"/>
        </w:rPr>
      </w:pPr>
      <w:r w:rsidRPr="008C52C9">
        <w:rPr>
          <w:rFonts w:eastAsia="Arial Unicode MS"/>
          <w:b/>
          <w:noProof/>
          <w:u w:color="000000"/>
          <w:bdr w:val="nil"/>
        </w:rPr>
        <w:t>•</w:t>
      </w:r>
      <w:r w:rsidRPr="008C52C9">
        <w:rPr>
          <w:noProof/>
        </w:rPr>
        <w:tab/>
      </w:r>
      <w:r w:rsidRPr="008C52C9">
        <w:rPr>
          <w:rFonts w:eastAsia="Arial Unicode MS"/>
          <w:b/>
          <w:noProof/>
        </w:rPr>
        <w:t>Coerenza con le disposizioni vigenti nel settore normativo interessato</w:t>
      </w:r>
    </w:p>
    <w:p w14:paraId="1A6C174A" w14:textId="77777777" w:rsidR="00415532" w:rsidRPr="008C52C9" w:rsidRDefault="00415532" w:rsidP="00415532">
      <w:pPr>
        <w:rPr>
          <w:noProof/>
        </w:rPr>
      </w:pPr>
      <w:r w:rsidRPr="008C52C9">
        <w:rPr>
          <w:noProof/>
        </w:rPr>
        <w:t>Esiste uno stretto legame con la direttiva (UE) 2019/883</w:t>
      </w:r>
      <w:r w:rsidRPr="008C52C9">
        <w:rPr>
          <w:rStyle w:val="FootnoteReference"/>
          <w:noProof/>
        </w:rPr>
        <w:footnoteReference w:id="6"/>
      </w:r>
      <w:r w:rsidRPr="008C52C9">
        <w:rPr>
          <w:noProof/>
        </w:rPr>
        <w:t xml:space="preserve"> relativa agli impianti portuali di raccolta per il conferimento dei rifiuti delle navi, che ha introdotto norme più severe e un monitoraggio migliore del conferimento dei rifiuti delle navi ai porti. Ciò si è tradotto in un miglioramento della capacità dei porti di ricevere i rifiuti delle navi e in una minore quantità di rifiuti scaricati in mare. Tuttavia è possibile che alcune navi decidano comunque di scaricare illegalmente i rifiuti in mare, per evitare di pagare gli impianti portuali di raccolta, soprattutto dal momento che la direttiva 2005/35/CE relativa agli scarichi illegali non disciplina le stesse sostanze (quindi le navi potrebbero non essere sanzionate a norma di tale direttiva). Ecco perché, al momento dell'adozione della direttiva (UE) 2019/883, i colegislatori hanno chiesto un riesame della direttiva 2005/35/CE, al fine di adeguare l'ambito di applicazione della stessa a quello della direttiva (UE) 2019/883 e rendere le sanzioni proporzionate. In particolare le navi dovrebbero essere dissuase dal violare il diritto dell'UE attraverso l'istituzione di un sistema solido di sanzioni proporzionate ed efficaci, </w:t>
      </w:r>
      <w:r w:rsidRPr="008C52C9">
        <w:rPr>
          <w:noProof/>
        </w:rPr>
        <w:lastRenderedPageBreak/>
        <w:t>parallelamente alla creazione di soluzioni di raccolta dei rifiuti offerte nei porti dell'UE. Le due direttive citate assicurano congiuntamente che l'UE e i suoi Stati membri rispettino i loro obblighi in materia di inquinamento provocato dalle navi derivanti dalla convenzione Marpol 73/78.</w:t>
      </w:r>
    </w:p>
    <w:p w14:paraId="3FC63578" w14:textId="77777777" w:rsidR="00415532" w:rsidRPr="008C52C9" w:rsidRDefault="00415532" w:rsidP="00415532">
      <w:pPr>
        <w:rPr>
          <w:noProof/>
        </w:rPr>
      </w:pPr>
      <w:r w:rsidRPr="008C52C9">
        <w:rPr>
          <w:noProof/>
        </w:rPr>
        <w:t>Si propone pertanto di allineare l'ambito di applicazione della direttiva 2005/35/CE a quello della direttiva (UE) 2019/883</w:t>
      </w:r>
      <w:r w:rsidRPr="008C52C9">
        <w:rPr>
          <w:rStyle w:val="FootnoteReference"/>
          <w:noProof/>
        </w:rPr>
        <w:footnoteReference w:id="7"/>
      </w:r>
      <w:r w:rsidRPr="008C52C9">
        <w:rPr>
          <w:noProof/>
        </w:rPr>
        <w:t xml:space="preserve"> al fine di migliorare la prevenzione dell'inquinamento dell'ambiente marino in Europa. </w:t>
      </w:r>
    </w:p>
    <w:p w14:paraId="31FE104A" w14:textId="77777777" w:rsidR="00415532" w:rsidRPr="008C52C9" w:rsidRDefault="00415532" w:rsidP="00415532">
      <w:pPr>
        <w:spacing w:before="0" w:after="240"/>
        <w:rPr>
          <w:rFonts w:eastAsia="Arial Unicode MS"/>
          <w:noProof/>
        </w:rPr>
      </w:pPr>
      <w:r w:rsidRPr="008C52C9">
        <w:rPr>
          <w:noProof/>
        </w:rPr>
        <w:t>La proposta è coerente con la direttiva 2009/16/CE</w:t>
      </w:r>
      <w:r w:rsidRPr="008C52C9">
        <w:rPr>
          <w:rStyle w:val="FootnoteReference"/>
          <w:noProof/>
        </w:rPr>
        <w:footnoteReference w:id="8"/>
      </w:r>
      <w:r w:rsidRPr="008C52C9">
        <w:rPr>
          <w:noProof/>
        </w:rPr>
        <w:t xml:space="preserve"> relativa al controllo da parte dello Stato di approdo, la direttiva 2009/18/CE</w:t>
      </w:r>
      <w:r w:rsidRPr="008C52C9">
        <w:rPr>
          <w:rStyle w:val="FootnoteReference"/>
          <w:noProof/>
        </w:rPr>
        <w:footnoteReference w:id="9"/>
      </w:r>
      <w:r w:rsidRPr="008C52C9">
        <w:rPr>
          <w:noProof/>
          <w:vertAlign w:val="superscript"/>
        </w:rPr>
        <w:t xml:space="preserve"> </w:t>
      </w:r>
      <w:r w:rsidRPr="008C52C9">
        <w:rPr>
          <w:noProof/>
        </w:rPr>
        <w:t>relativa alle inchieste sugli incidenti nel settore del trasporto marittimo e la direttiva 2009/21/CE</w:t>
      </w:r>
      <w:r w:rsidRPr="008C52C9">
        <w:rPr>
          <w:rStyle w:val="FootnoteReference"/>
          <w:noProof/>
        </w:rPr>
        <w:footnoteReference w:id="10"/>
      </w:r>
      <w:r w:rsidRPr="008C52C9">
        <w:rPr>
          <w:noProof/>
        </w:rPr>
        <w:t xml:space="preserve"> relativa al rispetto degli obblighi dello Stato di bandiera.</w:t>
      </w:r>
      <w:r w:rsidRPr="008C52C9">
        <w:rPr>
          <w:rFonts w:eastAsia="Arial Unicode MS"/>
          <w:noProof/>
        </w:rPr>
        <w:t xml:space="preserve"> Le tre direttive dell'UE sulla sicurezza marittima si basano sulle regole e sulle norme stabilite dall'IMO a livello internazionale e sono complementari tra loro e alla presente direttiva. </w:t>
      </w:r>
      <w:r w:rsidRPr="008C52C9">
        <w:rPr>
          <w:noProof/>
        </w:rPr>
        <w:t>La direttiva relativa al rispetto degli obblighi dello Stato di bandiera stabilisce norme concernenti le ispezioni delle navi e la sorveglianza della flotta per le amministrazioni degli Stati di bandiera dell'UE che sono pertinenti per prevenire l'inquinamento dell'ambiente marino all'interno e all'esterno dell'UE.</w:t>
      </w:r>
      <w:r w:rsidRPr="008C52C9">
        <w:rPr>
          <w:rFonts w:eastAsia="Times New Roman"/>
          <w:noProof/>
        </w:rPr>
        <w:t xml:space="preserve"> </w:t>
      </w:r>
      <w:r w:rsidRPr="008C52C9">
        <w:rPr>
          <w:noProof/>
        </w:rPr>
        <w:t xml:space="preserve">Qualora entrino in vigore norme ambientali più severe nell'ambito delle convenzioni internazionali, la responsabilità dello </w:t>
      </w:r>
      <w:bookmarkStart w:id="0" w:name="_Int_SMQoScbI"/>
      <w:r w:rsidRPr="008C52C9">
        <w:rPr>
          <w:noProof/>
        </w:rPr>
        <w:t>Stato</w:t>
      </w:r>
      <w:bookmarkEnd w:id="0"/>
      <w:r w:rsidRPr="008C52C9">
        <w:rPr>
          <w:noProof/>
        </w:rPr>
        <w:t xml:space="preserve"> di bandiera di farle rispettare si estenderà automaticamente.</w:t>
      </w:r>
      <w:r w:rsidRPr="008C52C9">
        <w:rPr>
          <w:rFonts w:eastAsia="Times New Roman"/>
          <w:noProof/>
        </w:rPr>
        <w:t xml:space="preserve"> Anche la direttiva relativa al controllo da parte dello Stato di approdo è pertinente in questo contesto, in quanto sostiene, attraverso le ispezioni previste, l'individuazione e la correzione della mancata conformità alle regole e alle norme non solo in materia di sicurezza ma anche di prevenzione dell'inquinamento. </w:t>
      </w:r>
      <w:r w:rsidRPr="008C52C9">
        <w:rPr>
          <w:noProof/>
        </w:rPr>
        <w:t>Per quanto riguarda gli incidenti marittimi, questi non solo causano vittime e perdite economiche, ma possono anche avere un impatto diretto sull'ambiente, ad esempio a causa dell'inquinamento da idrocarburi, da cui il collegamento con la direttiva relativa all'inquinamento provocato dalle navi, che tratta tale questione.</w:t>
      </w:r>
      <w:r w:rsidRPr="008C52C9">
        <w:rPr>
          <w:rFonts w:eastAsia="Times New Roman"/>
          <w:noProof/>
        </w:rPr>
        <w:t xml:space="preserve"> </w:t>
      </w:r>
    </w:p>
    <w:p w14:paraId="7AC3BC99" w14:textId="77777777" w:rsidR="00415532" w:rsidRPr="008C52C9" w:rsidRDefault="00415532" w:rsidP="00415532">
      <w:pPr>
        <w:keepNext/>
        <w:tabs>
          <w:tab w:val="left" w:pos="850"/>
        </w:tabs>
        <w:ind w:left="850" w:hanging="850"/>
        <w:outlineLvl w:val="1"/>
        <w:rPr>
          <w:rFonts w:eastAsia="Arial Unicode MS"/>
          <w:b/>
          <w:noProof/>
        </w:rPr>
      </w:pPr>
      <w:r w:rsidRPr="008C52C9">
        <w:rPr>
          <w:rFonts w:eastAsia="Arial Unicode MS"/>
          <w:b/>
          <w:noProof/>
          <w:bdr w:val="nil"/>
        </w:rPr>
        <w:t>•</w:t>
      </w:r>
      <w:r w:rsidRPr="008C52C9">
        <w:rPr>
          <w:noProof/>
        </w:rPr>
        <w:tab/>
      </w:r>
      <w:r w:rsidRPr="008C52C9">
        <w:rPr>
          <w:rFonts w:eastAsia="Arial Unicode MS"/>
          <w:b/>
          <w:noProof/>
        </w:rPr>
        <w:t>Coerenza con altre politiche dell'UE</w:t>
      </w:r>
    </w:p>
    <w:p w14:paraId="422731FE" w14:textId="77777777" w:rsidR="00415532" w:rsidRPr="008C52C9" w:rsidRDefault="00415532" w:rsidP="00415532">
      <w:pPr>
        <w:pBdr>
          <w:top w:val="nil"/>
          <w:left w:val="nil"/>
          <w:bottom w:val="nil"/>
          <w:right w:val="nil"/>
          <w:between w:val="nil"/>
          <w:bar w:val="nil"/>
        </w:pBdr>
        <w:spacing w:before="0" w:after="240"/>
        <w:rPr>
          <w:noProof/>
        </w:rPr>
      </w:pPr>
      <w:r w:rsidRPr="008C52C9">
        <w:rPr>
          <w:noProof/>
        </w:rPr>
        <w:t>La direttiva rivista è complementare alla direttiva (UE) 2023/</w:t>
      </w:r>
      <w:r w:rsidRPr="008C52C9">
        <w:rPr>
          <w:rFonts w:eastAsia="Arial Unicode MS"/>
          <w:noProof/>
        </w:rPr>
        <w:t>xxxx</w:t>
      </w:r>
      <w:r w:rsidRPr="008C52C9">
        <w:rPr>
          <w:rStyle w:val="FootnoteReference"/>
          <w:noProof/>
        </w:rPr>
        <w:footnoteReference w:id="11"/>
      </w:r>
      <w:r w:rsidRPr="008C52C9">
        <w:rPr>
          <w:noProof/>
          <w:vertAlign w:val="superscript"/>
        </w:rPr>
        <w:t xml:space="preserve"> </w:t>
      </w:r>
      <w:r w:rsidRPr="008C52C9">
        <w:rPr>
          <w:noProof/>
        </w:rPr>
        <w:t>sulla tutela penale dell'ambiente, che ha introdotto sanzioni penali per i reati ambientali gravi, compresi i reati legati agli scarichi illegali effettuati dalle navi. Le disposizioni penali della direttiva 2005/35/CE non sono quindi più necessarie, in quanto le sanzioni penali per i reati di inquinamento provocato dalle navi sono previste dalla direttiva (UE) 2023/</w:t>
      </w:r>
      <w:r w:rsidRPr="008C52C9">
        <w:rPr>
          <w:rFonts w:eastAsia="Arial Unicode MS"/>
          <w:noProof/>
        </w:rPr>
        <w:t>xxxx</w:t>
      </w:r>
      <w:r w:rsidRPr="008C52C9">
        <w:rPr>
          <w:noProof/>
        </w:rPr>
        <w:t>. Di conseguenza la presente proposta elimina dalla direttiva 2005/35/CE le disposizioni penali di cui agli articoli 5 e 8. La direttiva 2005/35/CE continua a includere le disposizioni settoriali sugli obblighi e sui divieti pertinenti (</w:t>
      </w:r>
      <w:bookmarkStart w:id="1" w:name="_Int_BZdT8Cqw"/>
      <w:r w:rsidRPr="008C52C9">
        <w:rPr>
          <w:noProof/>
        </w:rPr>
        <w:t>ad esempio</w:t>
      </w:r>
      <w:bookmarkEnd w:id="1"/>
      <w:r w:rsidRPr="008C52C9">
        <w:rPr>
          <w:noProof/>
        </w:rPr>
        <w:t xml:space="preserve"> la definizione di scarichi illegali) e prevede sanzioni amministrative per l'inquinamento provocato dalle navi qualora l'atto non sia perseguibile penalmente. Al fine di garantire l'efficacia degli sforzi nazionali di applicazione, i regimi di applicazione di tipo amministrativo e penale devono essere considerati come parti interconnesse di un unico sistema e dovrebbero coesistere.</w:t>
      </w:r>
    </w:p>
    <w:p w14:paraId="74B5B337" w14:textId="77777777" w:rsidR="00415532" w:rsidRPr="008C52C9" w:rsidRDefault="00415532" w:rsidP="00415532">
      <w:pPr>
        <w:rPr>
          <w:rFonts w:ascii="Calibri" w:hAnsi="Calibri" w:cs="Arial"/>
          <w:noProof/>
          <w:spacing w:val="-6"/>
        </w:rPr>
      </w:pPr>
      <w:r w:rsidRPr="008C52C9">
        <w:rPr>
          <w:noProof/>
        </w:rPr>
        <w:lastRenderedPageBreak/>
        <w:t>La direttiva 2008/56/CE</w:t>
      </w:r>
      <w:r w:rsidRPr="008C52C9">
        <w:rPr>
          <w:rStyle w:val="FootnoteReference"/>
          <w:noProof/>
        </w:rPr>
        <w:footnoteReference w:id="12"/>
      </w:r>
      <w:r w:rsidRPr="008C52C9">
        <w:rPr>
          <w:noProof/>
        </w:rPr>
        <w:t xml:space="preserve"> (direttiva quadro sulla strategia per l'ambiente marino) costituisce il principale strumento giuridico dell'UE per la protezione e la conservazione dell'ambiente marino, delle sue specie e dei suoi habitat. Essa sancisce l'approccio ecosistemico alla gestione delle attività umane (compresi la pesca, il turismo, l'uso ricreativo del mare) che hanno un impatto sull'ambiente marino. La direttiva 2005/35/CE contribuisce al conseguimento degli obiettivi della direttiva 2008/56/CE introducendo sanzioni dissuasive per gli scarichi illegali di sostanze inquinanti effettuati dalle navi nei mari europei. </w:t>
      </w:r>
    </w:p>
    <w:p w14:paraId="79A92BEE" w14:textId="25026AC6" w:rsidR="00415532" w:rsidRPr="008C52C9" w:rsidRDefault="00415532" w:rsidP="00415532">
      <w:pPr>
        <w:pBdr>
          <w:top w:val="nil"/>
          <w:left w:val="nil"/>
          <w:bottom w:val="nil"/>
          <w:right w:val="nil"/>
          <w:between w:val="nil"/>
          <w:bar w:val="nil"/>
        </w:pBdr>
        <w:spacing w:before="0" w:after="240"/>
        <w:rPr>
          <w:noProof/>
        </w:rPr>
      </w:pPr>
      <w:r w:rsidRPr="008C52C9">
        <w:rPr>
          <w:noProof/>
        </w:rPr>
        <w:t>La proposta sostiene inoltre le proposte finali della Conferenza sul futuro dell'Europa, in particolare quelle riguardanti la lotta all'inquinamento, più specificamente la proposta 2.7 di "combattere l'inquinamento degli oceani [...], anche attraverso [...] la promozione di trasporti marittimi rispettosi dell'ambiente utilizzando le migliori tecnologie disponibili [...]". L'UE è anche impegnata nei confronti dell'Agenda 2030 per lo sviluppo sostenibile e dei suoi obiettivi di sviluppo sostenibile (OSS), tra i quali l'OSS 14 ("Conservare e utilizzare in modo durevole gli oceani, i mari e le risorse marine per uno sviluppo sostenibile") è il più pertinente ai fini della presente proposta.</w:t>
      </w:r>
    </w:p>
    <w:p w14:paraId="6A07397A" w14:textId="77777777" w:rsidR="00415532" w:rsidRPr="008C52C9" w:rsidRDefault="00415532" w:rsidP="00415532">
      <w:pPr>
        <w:keepNext/>
        <w:tabs>
          <w:tab w:val="left" w:pos="850"/>
        </w:tabs>
        <w:spacing w:before="360"/>
        <w:ind w:left="850" w:hanging="850"/>
        <w:outlineLvl w:val="0"/>
        <w:rPr>
          <w:b/>
          <w:smallCaps/>
          <w:noProof/>
        </w:rPr>
      </w:pPr>
      <w:r w:rsidRPr="008C52C9">
        <w:rPr>
          <w:b/>
          <w:smallCaps/>
          <w:noProof/>
        </w:rPr>
        <w:t>2.</w:t>
      </w:r>
      <w:r w:rsidRPr="008C52C9">
        <w:rPr>
          <w:noProof/>
        </w:rPr>
        <w:tab/>
      </w:r>
      <w:r w:rsidRPr="008C52C9">
        <w:rPr>
          <w:b/>
          <w:smallCaps/>
          <w:noProof/>
        </w:rPr>
        <w:t>BASE GIURIDICA, SUSSIDIARIETÀ E PROPORZIONALITÀ</w:t>
      </w:r>
    </w:p>
    <w:p w14:paraId="3234EC71" w14:textId="77777777" w:rsidR="00415532" w:rsidRPr="008C52C9" w:rsidRDefault="00415532" w:rsidP="00415532">
      <w:pPr>
        <w:keepNext/>
        <w:tabs>
          <w:tab w:val="left" w:pos="850"/>
        </w:tabs>
        <w:ind w:left="850" w:hanging="850"/>
        <w:outlineLvl w:val="1"/>
        <w:rPr>
          <w:rFonts w:eastAsia="Arial Unicode MS"/>
          <w:b/>
          <w:noProof/>
          <w:u w:color="000000"/>
          <w:bdr w:val="nil"/>
        </w:rPr>
      </w:pPr>
      <w:r w:rsidRPr="008C52C9">
        <w:rPr>
          <w:rFonts w:eastAsia="Arial Unicode MS"/>
          <w:b/>
          <w:noProof/>
          <w:u w:color="000000"/>
          <w:bdr w:val="nil"/>
        </w:rPr>
        <w:t>•</w:t>
      </w:r>
      <w:r w:rsidRPr="008C52C9">
        <w:rPr>
          <w:noProof/>
        </w:rPr>
        <w:tab/>
      </w:r>
      <w:r w:rsidRPr="008C52C9">
        <w:rPr>
          <w:rFonts w:eastAsia="Arial Unicode MS"/>
          <w:b/>
          <w:noProof/>
          <w:u w:color="000000"/>
          <w:bdr w:val="nil"/>
        </w:rPr>
        <w:t>Base giuridica</w:t>
      </w:r>
    </w:p>
    <w:p w14:paraId="335F6CD7" w14:textId="77777777" w:rsidR="00415532" w:rsidRPr="008C52C9" w:rsidRDefault="00415532" w:rsidP="00415532">
      <w:pPr>
        <w:pBdr>
          <w:top w:val="nil"/>
          <w:left w:val="nil"/>
          <w:bottom w:val="nil"/>
          <w:right w:val="nil"/>
          <w:between w:val="nil"/>
          <w:bar w:val="nil"/>
        </w:pBdr>
        <w:spacing w:before="0" w:after="240"/>
        <w:rPr>
          <w:rFonts w:eastAsia="Arial Unicode MS"/>
          <w:noProof/>
        </w:rPr>
      </w:pPr>
      <w:r w:rsidRPr="008C52C9">
        <w:rPr>
          <w:noProof/>
        </w:rPr>
        <w:t>Il titolo VI (articoli da 90 a 100) del trattato sul funzionamento dell'Unione europea (TFUE) stabilisce la prerogativa dell'UE di adottare disposizioni per la politica comune dei trasporti, che le conferisce il diritto di agire in materia di inquinamento provocato dalle navi. A norma dell'articolo 100, paragrafo 2, TFUE, il legislatore dell'UE può stabilire le opportune disposizioni per la navigazione marittima. L'articolo 91, paragrafo 1, lettera a), TFUE stabilisce che l'UE ha competenza nel settore dei trasporti per stabilire norme comuni applicabili ai trasporti internazionali. Alla luce di quanto detto, la direttiva rivista si baserebbe sull'articolo 100, paragrafo 2, TFUE.</w:t>
      </w:r>
    </w:p>
    <w:p w14:paraId="6EDF3A03" w14:textId="77777777" w:rsidR="00415532" w:rsidRPr="008C52C9" w:rsidRDefault="00415532" w:rsidP="00415532">
      <w:pPr>
        <w:keepNext/>
        <w:tabs>
          <w:tab w:val="left" w:pos="850"/>
        </w:tabs>
        <w:ind w:left="850" w:hanging="850"/>
        <w:outlineLvl w:val="1"/>
        <w:rPr>
          <w:rFonts w:eastAsia="Arial Unicode MS"/>
          <w:b/>
          <w:noProof/>
          <w:u w:color="000000"/>
          <w:bdr w:val="nil"/>
        </w:rPr>
      </w:pPr>
      <w:r w:rsidRPr="008C52C9">
        <w:rPr>
          <w:rFonts w:eastAsia="Arial Unicode MS"/>
          <w:b/>
          <w:noProof/>
          <w:u w:color="000000"/>
          <w:bdr w:val="nil"/>
        </w:rPr>
        <w:t>•</w:t>
      </w:r>
      <w:r w:rsidRPr="008C52C9">
        <w:rPr>
          <w:noProof/>
        </w:rPr>
        <w:tab/>
      </w:r>
      <w:r w:rsidRPr="008C52C9">
        <w:rPr>
          <w:rFonts w:eastAsia="Arial Unicode MS"/>
          <w:b/>
          <w:noProof/>
          <w:u w:color="000000"/>
          <w:bdr w:val="nil"/>
        </w:rPr>
        <w:t xml:space="preserve">Sussidiarietà </w:t>
      </w:r>
    </w:p>
    <w:p w14:paraId="04C170FE" w14:textId="77777777" w:rsidR="00415532" w:rsidRPr="008C52C9" w:rsidRDefault="00415532" w:rsidP="00415532">
      <w:pPr>
        <w:spacing w:before="0" w:after="240"/>
        <w:rPr>
          <w:noProof/>
        </w:rPr>
      </w:pPr>
      <w:r w:rsidRPr="008C52C9">
        <w:rPr>
          <w:noProof/>
        </w:rPr>
        <w:t>L'inquinamento provocato dalle navi causa generalmente danni con implicazioni transfrontaliere. Considerando che l'inquinamento marino ha spesso un impatto transfrontaliero e che i responsabili delle violazioni agiscono oltre i confini nazionali, l'azione dei soli Stati membri non sarebbe sufficiente ad affrontare tale problema. La presenza di approcci nazionali divergenti in materia ostacola una cooperazione efficiente tra gli Stati membri e consente ai responsabili di eludere le sanzioni.</w:t>
      </w:r>
    </w:p>
    <w:p w14:paraId="0C1862F8" w14:textId="3BB1F2A3" w:rsidR="00415532" w:rsidRPr="008C52C9" w:rsidRDefault="00415532" w:rsidP="00415532">
      <w:pPr>
        <w:pBdr>
          <w:top w:val="nil"/>
          <w:left w:val="nil"/>
          <w:bottom w:val="nil"/>
          <w:right w:val="nil"/>
          <w:between w:val="nil"/>
          <w:bar w:val="nil"/>
        </w:pBdr>
        <w:spacing w:before="0" w:after="240"/>
        <w:rPr>
          <w:rFonts w:eastAsia="Arial Unicode MS"/>
          <w:noProof/>
        </w:rPr>
      </w:pPr>
      <w:r w:rsidRPr="008C52C9">
        <w:rPr>
          <w:noProof/>
        </w:rPr>
        <w:t xml:space="preserve">Poiché hanno ratificato la convenzione Marpol 73/78, tutti gli Stati membri avrebbero potuto integrare autonomamente le norme internazionali sulla prevenzione dell'inquinamento provocato dalle navi. Tuttavia la direttiva recepisce e integra il regime internazionale: 1) aiutando gli Stati membri a identificare i responsabili fornendo informazioni provenienti dalla sorveglianza satellitare sui potenziali sversamenti di idrocarburi; e 2) fornendo un regime di responsabilità che agevola il sanzionamento di chi inquina. Il valore aggiunto della presente proposta risiede nel fatto che integrerà il quadro internazionale con il regime di responsabilità (chiarendo il regime esistente) e con una migliore informazione degli Stati membri (grazie a una maggiore sorveglianza che riguarda più tipi di inquinanti e allo scambio di informazioni basato sugli strumenti digitali dell'UE). La revisione mira inoltre a introdurre nuove disposizioni in materia di sanzioni senza interferire con la direttiva (UE) 2023/xxxx. Tali obiettivi non possono essere conseguiti dai singoli Stati membri. Sono necessari un quadro </w:t>
      </w:r>
      <w:r w:rsidRPr="008C52C9">
        <w:rPr>
          <w:noProof/>
        </w:rPr>
        <w:lastRenderedPageBreak/>
        <w:t xml:space="preserve">giuridico armonizzato e strumenti digitali comuni. Ad esempio la sorveglianza satellitare fornita da CleanSeaNet è vantaggiosa grazie alle economie di scala. Un'azione a livello dell'UE sarebbe più efficace di un'azione a livello nazionale, grazie al suo maggiore effetto deterrente nei confronti dei responsabili delle violazioni che agiscono oltre i confini nazionali. </w:t>
      </w:r>
    </w:p>
    <w:p w14:paraId="1E997B65" w14:textId="77777777" w:rsidR="00415532" w:rsidRPr="008C52C9" w:rsidRDefault="00415532" w:rsidP="00415532">
      <w:pPr>
        <w:keepNext/>
        <w:tabs>
          <w:tab w:val="left" w:pos="850"/>
        </w:tabs>
        <w:ind w:left="850" w:hanging="850"/>
        <w:outlineLvl w:val="1"/>
        <w:rPr>
          <w:rFonts w:eastAsia="Arial Unicode MS"/>
          <w:b/>
          <w:noProof/>
          <w:u w:color="000000"/>
          <w:bdr w:val="nil"/>
        </w:rPr>
      </w:pPr>
      <w:r w:rsidRPr="008C52C9">
        <w:rPr>
          <w:rFonts w:eastAsia="Arial Unicode MS"/>
          <w:b/>
          <w:noProof/>
          <w:u w:color="000000"/>
          <w:bdr w:val="nil"/>
        </w:rPr>
        <w:t>•</w:t>
      </w:r>
      <w:r w:rsidRPr="008C52C9">
        <w:rPr>
          <w:noProof/>
        </w:rPr>
        <w:tab/>
      </w:r>
      <w:r w:rsidRPr="008C52C9">
        <w:rPr>
          <w:rFonts w:eastAsia="Arial Unicode MS"/>
          <w:b/>
          <w:noProof/>
          <w:u w:color="000000"/>
          <w:bdr w:val="nil"/>
        </w:rPr>
        <w:t>Proporzionalità</w:t>
      </w:r>
    </w:p>
    <w:p w14:paraId="011F871F" w14:textId="77777777" w:rsidR="00415532" w:rsidRPr="008C52C9" w:rsidRDefault="00415532" w:rsidP="00415532">
      <w:pPr>
        <w:pBdr>
          <w:top w:val="nil"/>
          <w:left w:val="nil"/>
          <w:bottom w:val="nil"/>
          <w:right w:val="nil"/>
          <w:between w:val="nil"/>
          <w:bar w:val="nil"/>
        </w:pBdr>
        <w:spacing w:before="0" w:after="240"/>
        <w:rPr>
          <w:noProof/>
        </w:rPr>
      </w:pPr>
      <w:r w:rsidRPr="008C52C9">
        <w:rPr>
          <w:noProof/>
        </w:rPr>
        <w:t xml:space="preserve">La proposta è stata elaborata alla luce degli ultimi sviluppi a livello internazionale e dei risultati della valutazione ex-post. La Commissione ha inoltre effettuato una valutazione d'impatto per individuare e valutare modalità alternative per conseguire gli stessi obiettivi. </w:t>
      </w:r>
    </w:p>
    <w:p w14:paraId="318F50EF" w14:textId="77777777" w:rsidR="00415532" w:rsidRPr="008C52C9" w:rsidRDefault="00415532" w:rsidP="00415532">
      <w:pPr>
        <w:pBdr>
          <w:top w:val="nil"/>
          <w:left w:val="nil"/>
          <w:bottom w:val="nil"/>
          <w:right w:val="nil"/>
          <w:between w:val="nil"/>
          <w:bar w:val="nil"/>
        </w:pBdr>
        <w:spacing w:before="0" w:after="240"/>
        <w:rPr>
          <w:rFonts w:eastAsia="Arial Unicode MS"/>
          <w:noProof/>
        </w:rPr>
      </w:pPr>
      <w:r w:rsidRPr="008C52C9">
        <w:rPr>
          <w:noProof/>
        </w:rPr>
        <w:t>La proposta di estendere l'ambito di applicazione della direttiva a tutti gli allegati della convenzione Marpol 73/78 (</w:t>
      </w:r>
      <w:bookmarkStart w:id="2" w:name="_Int_Yc8d3SlE"/>
      <w:r w:rsidRPr="008C52C9">
        <w:rPr>
          <w:noProof/>
        </w:rPr>
        <w:t xml:space="preserve">ossia </w:t>
      </w:r>
      <w:bookmarkEnd w:id="2"/>
      <w:r w:rsidRPr="008C52C9">
        <w:rPr>
          <w:noProof/>
        </w:rPr>
        <w:t xml:space="preserve">a tutte le sostanze contemplate in detta convenzione e scaricate illegalmente dalle navi in mare) è intesa a prevenire meglio l'inquinamento dell'ambiente marino e ad allinearsi all'ambito di applicazione della direttiva (UE) 2019/883. L'applicazione della direttiva (UE) 2019/883 è, insieme alla direttiva 2005/35/CE, una componente fondamentale delle misure di prevenzione dell'inquinamento provocato dalle navi. Inoltre la proposta si concentra sul sostegno tecnico agli Stati membri attraverso piattaforme di formazione, orientamenti, scambi di buone pratiche e promozione dell'uso degli strumenti digitali dell'UE per la raccolta e lo scambio di informazioni. La proposta non definisce un approccio normativo rigoroso riguardo ai livelli delle sanzioni o un obiettivo obbligatorio principale per le attività di verifica degli Stati membri, ma affronta il problema in modo proporzionato, mediante la fornitura di migliori informazioni sui potenziali sversamenti da un servizio centrale economicamente efficiente e la condivisione delle informazioni per rendere le attività di verifica più mirate, </w:t>
      </w:r>
      <w:bookmarkStart w:id="3" w:name="_Int_vVLx6fRt"/>
      <w:r w:rsidRPr="008C52C9">
        <w:rPr>
          <w:noProof/>
        </w:rPr>
        <w:t>in modo da</w:t>
      </w:r>
      <w:bookmarkEnd w:id="3"/>
      <w:r w:rsidRPr="008C52C9">
        <w:rPr>
          <w:noProof/>
        </w:rPr>
        <w:t xml:space="preserve"> non andare oltre quanto necessario per conseguire gli obiettivi specifici. La proposta si basa anche su chiarimenti del regime di responsabilità esistente, nonché su disposizioni più dettagliate relative alla determinazione del livello e del tipo di sanzioni, con l'obiettivo di sanzionare efficacemente chi inquina per un numero maggiore di tipi di sostanze inquinanti. Non sono previste disposizioni dettagliate negli ambiti in cui gli obiettivi potrebbero essere conseguiti meglio mediante interventi in altri settori normativi.</w:t>
      </w:r>
    </w:p>
    <w:p w14:paraId="62209BCB" w14:textId="77777777" w:rsidR="00415532" w:rsidRPr="008C52C9" w:rsidRDefault="00415532" w:rsidP="00415532">
      <w:pPr>
        <w:keepNext/>
        <w:tabs>
          <w:tab w:val="left" w:pos="850"/>
        </w:tabs>
        <w:ind w:left="850" w:hanging="850"/>
        <w:outlineLvl w:val="1"/>
        <w:rPr>
          <w:rFonts w:eastAsia="Arial Unicode MS"/>
          <w:b/>
          <w:noProof/>
          <w:u w:color="000000"/>
          <w:bdr w:val="nil"/>
        </w:rPr>
      </w:pPr>
      <w:r w:rsidRPr="008C52C9">
        <w:rPr>
          <w:rFonts w:eastAsia="Arial Unicode MS"/>
          <w:b/>
          <w:noProof/>
          <w:u w:color="000000"/>
          <w:bdr w:val="nil"/>
        </w:rPr>
        <w:t>•</w:t>
      </w:r>
      <w:r w:rsidRPr="008C52C9">
        <w:rPr>
          <w:noProof/>
        </w:rPr>
        <w:tab/>
      </w:r>
      <w:r w:rsidRPr="008C52C9">
        <w:rPr>
          <w:rFonts w:eastAsia="Arial Unicode MS"/>
          <w:b/>
          <w:noProof/>
          <w:u w:color="000000"/>
          <w:bdr w:val="nil"/>
        </w:rPr>
        <w:t>Scelta dell'atto giuridico</w:t>
      </w:r>
    </w:p>
    <w:p w14:paraId="18059E37" w14:textId="77777777" w:rsidR="00415532" w:rsidRPr="008C52C9" w:rsidRDefault="00415532" w:rsidP="00415532">
      <w:pPr>
        <w:pBdr>
          <w:top w:val="nil"/>
          <w:left w:val="nil"/>
          <w:bottom w:val="nil"/>
          <w:right w:val="nil"/>
          <w:between w:val="nil"/>
          <w:bar w:val="nil"/>
        </w:pBdr>
        <w:spacing w:before="0" w:after="240"/>
        <w:rPr>
          <w:rFonts w:eastAsia="Arial Unicode MS"/>
          <w:noProof/>
        </w:rPr>
      </w:pPr>
      <w:r w:rsidRPr="008C52C9">
        <w:rPr>
          <w:noProof/>
        </w:rPr>
        <w:t>Dato che le modifiche riguardano esclusivamente la direttiva 2005/35/CE, lo strumento giuridico più appropriato è una direttiva di modifica.</w:t>
      </w:r>
    </w:p>
    <w:p w14:paraId="2A936F83" w14:textId="77777777" w:rsidR="00415532" w:rsidRPr="008C52C9" w:rsidRDefault="00415532" w:rsidP="00415532">
      <w:pPr>
        <w:keepNext/>
        <w:tabs>
          <w:tab w:val="left" w:pos="850"/>
        </w:tabs>
        <w:spacing w:before="360"/>
        <w:ind w:left="850" w:hanging="850"/>
        <w:outlineLvl w:val="0"/>
        <w:rPr>
          <w:b/>
          <w:smallCaps/>
          <w:noProof/>
        </w:rPr>
      </w:pPr>
      <w:r w:rsidRPr="008C52C9">
        <w:rPr>
          <w:b/>
          <w:smallCaps/>
          <w:noProof/>
        </w:rPr>
        <w:t>3.</w:t>
      </w:r>
      <w:r w:rsidRPr="008C52C9">
        <w:rPr>
          <w:noProof/>
        </w:rPr>
        <w:tab/>
      </w:r>
      <w:r w:rsidRPr="008C52C9">
        <w:rPr>
          <w:b/>
          <w:smallCaps/>
          <w:noProof/>
        </w:rPr>
        <w:t>RISULTATI DELLE VALUTAZIONI EX POST, DELLE CONSULTAZIONI DEI PORTATORI DI INTERESSI E DELLE VALUTAZIONI D'IMPATTO</w:t>
      </w:r>
    </w:p>
    <w:p w14:paraId="7529ABA9" w14:textId="77777777" w:rsidR="00415532" w:rsidRPr="008C52C9" w:rsidRDefault="00415532" w:rsidP="00415532">
      <w:pPr>
        <w:keepNext/>
        <w:tabs>
          <w:tab w:val="left" w:pos="850"/>
        </w:tabs>
        <w:ind w:left="850" w:hanging="850"/>
        <w:outlineLvl w:val="1"/>
        <w:rPr>
          <w:rFonts w:eastAsia="Arial Unicode MS"/>
          <w:b/>
          <w:noProof/>
          <w:u w:color="000000"/>
          <w:bdr w:val="nil"/>
        </w:rPr>
      </w:pPr>
      <w:r w:rsidRPr="008C52C9">
        <w:rPr>
          <w:rFonts w:eastAsia="Arial Unicode MS"/>
          <w:b/>
          <w:noProof/>
          <w:u w:color="000000"/>
          <w:bdr w:val="nil"/>
        </w:rPr>
        <w:t>•</w:t>
      </w:r>
      <w:r w:rsidRPr="008C52C9">
        <w:rPr>
          <w:noProof/>
        </w:rPr>
        <w:tab/>
      </w:r>
      <w:r w:rsidRPr="008C52C9">
        <w:rPr>
          <w:rFonts w:eastAsia="Arial Unicode MS"/>
          <w:b/>
          <w:noProof/>
          <w:u w:color="000000"/>
          <w:bdr w:val="nil"/>
        </w:rPr>
        <w:t>Valutazioni ex post / Vaglio di adeguatezza della legislazione vigente</w:t>
      </w:r>
    </w:p>
    <w:p w14:paraId="5AAB5FA4" w14:textId="77777777" w:rsidR="00415532" w:rsidRPr="008C52C9" w:rsidRDefault="00415532" w:rsidP="00415532">
      <w:pPr>
        <w:pBdr>
          <w:top w:val="nil"/>
          <w:left w:val="nil"/>
          <w:bottom w:val="nil"/>
          <w:right w:val="nil"/>
          <w:between w:val="nil"/>
          <w:bar w:val="nil"/>
        </w:pBdr>
        <w:spacing w:before="0" w:after="240"/>
        <w:rPr>
          <w:noProof/>
        </w:rPr>
      </w:pPr>
      <w:r w:rsidRPr="008C52C9">
        <w:rPr>
          <w:noProof/>
        </w:rPr>
        <w:t>La direttiva è stata oggetto di una valutazione ex-post condotta in concomitanza (</w:t>
      </w:r>
      <w:bookmarkStart w:id="4" w:name="_Int_N76Sc9Al"/>
      <w:r w:rsidRPr="008C52C9">
        <w:rPr>
          <w:noProof/>
        </w:rPr>
        <w:t xml:space="preserve">ossia </w:t>
      </w:r>
      <w:bookmarkEnd w:id="4"/>
      <w:r w:rsidRPr="008C52C9">
        <w:rPr>
          <w:noProof/>
        </w:rPr>
        <w:t xml:space="preserve">la valutazione e la valutazione d'impatto sono state avviate contemporaneamente). I dati disponibili per la valutazione non erano sufficientemente solidi per effettuare una valutazione ex-post completa per tutti gli Stati membri. Non erano disponibili dati rappresentativi per misurare gli indicatori pertinenti, </w:t>
      </w:r>
      <w:bookmarkStart w:id="5" w:name="_Int_kUICkENE"/>
      <w:r w:rsidRPr="008C52C9">
        <w:rPr>
          <w:noProof/>
        </w:rPr>
        <w:t xml:space="preserve">ad esempio </w:t>
      </w:r>
      <w:bookmarkEnd w:id="5"/>
      <w:r w:rsidRPr="008C52C9">
        <w:rPr>
          <w:noProof/>
        </w:rPr>
        <w:t>la percentuale di incidenti di inquinamento identificati riguardanti i tipi di sostanze di cui agli allegati I e II della convenzione Marpol 73/78 soggetti a sanzioni. Nonostante i limiti, la valutazione fornisce un'istantanea delle informazioni esistenti sull'attuazione della direttiva.</w:t>
      </w:r>
    </w:p>
    <w:p w14:paraId="7B80EA1F" w14:textId="77777777" w:rsidR="00415532" w:rsidRPr="008C52C9" w:rsidRDefault="00415532" w:rsidP="00415532">
      <w:pPr>
        <w:pBdr>
          <w:top w:val="nil"/>
          <w:left w:val="nil"/>
          <w:bottom w:val="nil"/>
          <w:right w:val="nil"/>
          <w:between w:val="nil"/>
          <w:bar w:val="nil"/>
        </w:pBdr>
        <w:spacing w:before="0" w:after="240"/>
        <w:rPr>
          <w:noProof/>
        </w:rPr>
      </w:pPr>
      <w:r w:rsidRPr="008C52C9">
        <w:rPr>
          <w:noProof/>
        </w:rPr>
        <w:t xml:space="preserve">Nella valutazione si è concluso che gli obiettivi della direttiva non sono stati pienamente raggiunti e che l'ambito di applicazione delle sostanze inquinanti disciplinate dalla direttiva è </w:t>
      </w:r>
      <w:r w:rsidRPr="008C52C9">
        <w:rPr>
          <w:noProof/>
        </w:rPr>
        <w:lastRenderedPageBreak/>
        <w:t>troppo ristretto. Sebbene la direttiva abbia definito un quadro giuridico comune per i reati di inquinamento provocato dalle navi nell'UE, la sua efficacia è stata limitata. Essa ha integrato le norme della convenzione Marpol 73/78 nel diritto dell'UE e ha garantito anche l'allineamento delle legislazioni degli Stati membri, tuttavia mancano dati che quantifichino il ruolo che la direttiva ha svolto nella pratica. La direttiva ha istituito il servizio CleanSeaNet, ossia uno strumento di sorveglianza satellitare di successo per il monitoraggio dell'inquinamento da idrocarburi. Tuttavia quest'ultimo non risolve completamente il problema legato all'identificazione dei responsabili dell'inquinamento, in quanto la precisione della sorveglianza satellitare è stata finora limitata. Alcuni aspetti della verifica avrebbero potuto essere gestiti in modo più efficace. Ad esempio numerosi sversamenti non sono stati verificati sul posto e gli Stati membri avrebbero potuto registrare maggiori dati relativi ai riscontri in CleanSeaNet. La direttiva non ha conseguito pienamente i risultati previsti per quanto riguarda l'azione penale nei confronti dei responsabili. Nella valutazione si è inoltre concluso che occorrono maggiori chiarimenti in merito al regime di responsabilità esistente, nonché maggiori dettagli sul livello e sul tipo di sanzioni previste dalla direttiva. Tuttavia la principale conclusione della valutazione è stata la necessità di estendere l'ambito di applicazione della direttiva al fine di comprendere l'intera gamma di scarichi di sostanze inquinanti in mare regolamentati dalla convenzione Marpol 73/78.</w:t>
      </w:r>
    </w:p>
    <w:p w14:paraId="1BA29569" w14:textId="77777777" w:rsidR="00415532" w:rsidRPr="008C52C9" w:rsidRDefault="00415532" w:rsidP="00415532">
      <w:pPr>
        <w:keepNext/>
        <w:tabs>
          <w:tab w:val="left" w:pos="850"/>
        </w:tabs>
        <w:ind w:left="850" w:hanging="850"/>
        <w:outlineLvl w:val="1"/>
        <w:rPr>
          <w:rFonts w:eastAsia="Arial Unicode MS"/>
          <w:b/>
          <w:noProof/>
          <w:u w:color="000000"/>
          <w:bdr w:val="nil"/>
        </w:rPr>
      </w:pPr>
      <w:r w:rsidRPr="008C52C9">
        <w:rPr>
          <w:rFonts w:eastAsia="Arial Unicode MS"/>
          <w:b/>
          <w:noProof/>
          <w:u w:color="000000"/>
          <w:bdr w:val="nil"/>
        </w:rPr>
        <w:t>•</w:t>
      </w:r>
      <w:r w:rsidRPr="008C52C9">
        <w:rPr>
          <w:noProof/>
        </w:rPr>
        <w:tab/>
      </w:r>
      <w:r w:rsidRPr="008C52C9">
        <w:rPr>
          <w:rFonts w:eastAsia="Arial Unicode MS"/>
          <w:b/>
          <w:noProof/>
          <w:u w:color="000000"/>
          <w:bdr w:val="nil"/>
        </w:rPr>
        <w:t>Consultazioni dei portatori di interessi</w:t>
      </w:r>
    </w:p>
    <w:p w14:paraId="474A9138" w14:textId="77777777" w:rsidR="00415532" w:rsidRPr="008C52C9" w:rsidRDefault="00415532" w:rsidP="00415532">
      <w:pPr>
        <w:pBdr>
          <w:top w:val="nil"/>
          <w:left w:val="nil"/>
          <w:bottom w:val="nil"/>
          <w:right w:val="nil"/>
          <w:between w:val="nil"/>
          <w:bar w:val="nil"/>
        </w:pBdr>
        <w:spacing w:before="0" w:after="240"/>
        <w:rPr>
          <w:noProof/>
        </w:rPr>
      </w:pPr>
      <w:r w:rsidRPr="008C52C9">
        <w:rPr>
          <w:noProof/>
        </w:rPr>
        <w:t>Le principali attività di consultazione per la valutazione ex-post e la valutazione d'impatto hanno incluso:</w:t>
      </w:r>
    </w:p>
    <w:p w14:paraId="12B1F467" w14:textId="5C111336" w:rsidR="00415532" w:rsidRPr="008C52C9" w:rsidRDefault="00415532" w:rsidP="00415532">
      <w:pPr>
        <w:pBdr>
          <w:top w:val="nil"/>
          <w:left w:val="nil"/>
          <w:bottom w:val="nil"/>
          <w:right w:val="nil"/>
          <w:between w:val="nil"/>
          <w:bar w:val="nil"/>
        </w:pBdr>
        <w:spacing w:before="0" w:after="240"/>
        <w:rPr>
          <w:noProof/>
        </w:rPr>
      </w:pPr>
      <w:r w:rsidRPr="008C52C9">
        <w:rPr>
          <w:noProof/>
        </w:rPr>
        <w:t>-</w:t>
      </w:r>
      <w:r w:rsidRPr="008C52C9">
        <w:rPr>
          <w:noProof/>
        </w:rPr>
        <w:tab/>
        <w:t>una consultazione pubblica aperta, organizzata dalla Commissione, tenutasi fra il 9 dicembre 2021 e il 3 marzo 2022. La consultazione pubblica ha sollevato domande sia per quanto riguarda la valutazione d'impatto che la valutazione. Il contributo dei portatori di interessi è stato limitato, essendo pervenute ris</w:t>
      </w:r>
      <w:r w:rsidR="00DD6749">
        <w:rPr>
          <w:noProof/>
        </w:rPr>
        <w:t>poste da soli 30 partecipanti;</w:t>
      </w:r>
    </w:p>
    <w:p w14:paraId="4FF9CBD7" w14:textId="77777777" w:rsidR="00415532" w:rsidRPr="008C52C9" w:rsidRDefault="00415532" w:rsidP="00415532">
      <w:pPr>
        <w:pBdr>
          <w:top w:val="nil"/>
          <w:left w:val="nil"/>
          <w:bottom w:val="nil"/>
          <w:right w:val="nil"/>
          <w:between w:val="nil"/>
          <w:bar w:val="nil"/>
        </w:pBdr>
        <w:spacing w:before="0" w:after="240"/>
        <w:rPr>
          <w:noProof/>
        </w:rPr>
      </w:pPr>
      <w:r w:rsidRPr="008C52C9">
        <w:rPr>
          <w:noProof/>
        </w:rPr>
        <w:t>-</w:t>
      </w:r>
      <w:r w:rsidRPr="008C52C9">
        <w:rPr>
          <w:noProof/>
        </w:rPr>
        <w:tab/>
        <w:t>due indagini mirate rivolte ai portatori di interessi per raccogliere informazioni specifiche, una per la valutazione e l'altra per la valutazione d'impatto, organizzate dal consulente incaricato dello studio di sostegno esterno, svolte rispettivamente da dicembre 2021 a febbraio 2022 e da giugno a luglio 2022;</w:t>
      </w:r>
    </w:p>
    <w:p w14:paraId="3D0DC854" w14:textId="77777777" w:rsidR="00415532" w:rsidRPr="008C52C9" w:rsidRDefault="00415532" w:rsidP="00415532">
      <w:pPr>
        <w:pBdr>
          <w:top w:val="nil"/>
          <w:left w:val="nil"/>
          <w:bottom w:val="nil"/>
          <w:right w:val="nil"/>
          <w:between w:val="nil"/>
          <w:bar w:val="nil"/>
        </w:pBdr>
        <w:spacing w:before="0" w:after="240"/>
        <w:rPr>
          <w:noProof/>
        </w:rPr>
      </w:pPr>
      <w:r w:rsidRPr="008C52C9">
        <w:rPr>
          <w:noProof/>
        </w:rPr>
        <w:t>-</w:t>
      </w:r>
      <w:r w:rsidRPr="008C52C9">
        <w:rPr>
          <w:noProof/>
        </w:rPr>
        <w:tab/>
        <w:t xml:space="preserve">tre cicli di interviste con i rappresentanti dei principali portatori di interessi a livello dell'UE, organizzati dal consulente incaricato dello studio di sostegno esterno, che si sono svolte a intermittenza tra novembre 2021 e settembre 2022, al fine di soddisfare richieste di informazioni specifiche a sostegno della valutazione e di perfezionare la definizione generale del problema e le possibili opzioni strategiche; </w:t>
      </w:r>
    </w:p>
    <w:p w14:paraId="54CB1475" w14:textId="77777777" w:rsidR="00415532" w:rsidRPr="008C52C9" w:rsidRDefault="00415532" w:rsidP="00415532">
      <w:pPr>
        <w:pBdr>
          <w:top w:val="nil"/>
          <w:left w:val="nil"/>
          <w:bottom w:val="nil"/>
          <w:right w:val="nil"/>
          <w:between w:val="nil"/>
          <w:bar w:val="nil"/>
        </w:pBdr>
        <w:spacing w:before="0" w:after="240"/>
        <w:rPr>
          <w:noProof/>
        </w:rPr>
      </w:pPr>
      <w:r w:rsidRPr="008C52C9">
        <w:rPr>
          <w:noProof/>
        </w:rPr>
        <w:t>-</w:t>
      </w:r>
      <w:r w:rsidRPr="008C52C9">
        <w:rPr>
          <w:noProof/>
        </w:rPr>
        <w:tab/>
        <w:t>ulteriori attività di consultazione mirate organizzate dalla Commissione per consultare gli Stati membri e i principali portatori di interessi in merito alle possibili misure strategiche e ai risultati della valutazione d'impatto. Tali attività sono state svolte durante una riunione del comitato dell'UE per la sicurezza marittima e la prevenzione dell'inquinamento provocato dalle navi (2 giugno 2022) e in occasione delle riunioni del Forum europeo per il trasporto marittimo sostenibile (18 maggio 2022 e 18 gennaio 2023) e del relativo sottogruppo in materia di rifiuti delle navi (22 marzo 2022, 4 giugno 2022 e 14 febbraio 2023), dei direttori dei trasporti marittimi UE/SEE (3 ottobre 2022) e della rete di investigatori e procuratori del Mare del Nord (25 aprile 2022). Il 22 settembre 2022 è stato organizzato un seminario finale per convalidare le conclusioni dello studio di sostegno, a cui hanno partecipato rappresentanti degli Stati membri, delle ONG e del settore.</w:t>
      </w:r>
    </w:p>
    <w:p w14:paraId="0DDCB375" w14:textId="77777777" w:rsidR="00415532" w:rsidRPr="008C52C9" w:rsidRDefault="00415532" w:rsidP="00415532">
      <w:pPr>
        <w:pBdr>
          <w:top w:val="nil"/>
          <w:left w:val="nil"/>
          <w:bottom w:val="nil"/>
          <w:right w:val="nil"/>
          <w:between w:val="nil"/>
          <w:bar w:val="nil"/>
        </w:pBdr>
        <w:spacing w:before="0" w:after="240"/>
        <w:rPr>
          <w:noProof/>
        </w:rPr>
      </w:pPr>
      <w:r w:rsidRPr="008C52C9">
        <w:rPr>
          <w:noProof/>
        </w:rPr>
        <w:lastRenderedPageBreak/>
        <w:t xml:space="preserve">Le informazioni raccolte presso i portatori di interessi sono state fondamentali per consentire alla Commissione di perfezionare le opzioni strategiche e di valutarne l'impatto economico, sociale e ambientale, per poi confrontarle e selezionare quella prescelta. I risultati di tali processi hanno integrato la ricerca documentale svolta nell'ambito dello studio di sostegno esterno. </w:t>
      </w:r>
    </w:p>
    <w:p w14:paraId="66DD5902" w14:textId="77777777" w:rsidR="00415532" w:rsidRPr="008C52C9" w:rsidRDefault="00415532" w:rsidP="00415532">
      <w:pPr>
        <w:keepNext/>
        <w:tabs>
          <w:tab w:val="left" w:pos="850"/>
        </w:tabs>
        <w:ind w:left="850" w:hanging="850"/>
        <w:outlineLvl w:val="1"/>
        <w:rPr>
          <w:rFonts w:eastAsia="Arial Unicode MS"/>
          <w:b/>
          <w:noProof/>
          <w:u w:color="000000"/>
          <w:bdr w:val="nil"/>
        </w:rPr>
      </w:pPr>
      <w:r w:rsidRPr="008C52C9">
        <w:rPr>
          <w:rFonts w:eastAsia="Arial Unicode MS"/>
          <w:b/>
          <w:noProof/>
          <w:u w:color="000000"/>
          <w:bdr w:val="nil"/>
        </w:rPr>
        <w:t>•</w:t>
      </w:r>
      <w:r w:rsidRPr="008C52C9">
        <w:rPr>
          <w:noProof/>
        </w:rPr>
        <w:tab/>
      </w:r>
      <w:r w:rsidRPr="008C52C9">
        <w:rPr>
          <w:rFonts w:eastAsia="Arial Unicode MS"/>
          <w:b/>
          <w:noProof/>
          <w:u w:color="000000"/>
          <w:bdr w:val="nil"/>
        </w:rPr>
        <w:t>Assunzione e uso di perizie</w:t>
      </w:r>
    </w:p>
    <w:p w14:paraId="54AC82D5" w14:textId="77777777" w:rsidR="00415532" w:rsidRPr="008C52C9" w:rsidRDefault="00415532" w:rsidP="00415532">
      <w:pPr>
        <w:pBdr>
          <w:top w:val="nil"/>
          <w:left w:val="nil"/>
          <w:bottom w:val="nil"/>
          <w:right w:val="nil"/>
          <w:between w:val="nil"/>
          <w:bar w:val="nil"/>
        </w:pBdr>
        <w:spacing w:before="0" w:after="240"/>
        <w:rPr>
          <w:noProof/>
        </w:rPr>
      </w:pPr>
      <w:r w:rsidRPr="008C52C9">
        <w:rPr>
          <w:noProof/>
        </w:rPr>
        <w:t xml:space="preserve">La presente revisione si basa principalmente sui dati raccolti durante la valutazione ex-post. La Commissione ha raccolto un'ampia consulenza tecnica da numerosi studi di esperti, compreso uno studio preparatorio completo per la revisione della direttiva. Le autorità degli Stati membri, gli operatori del settore e la società civile sono stati invitati a fornire contributi per la preparazione dello studio. </w:t>
      </w:r>
    </w:p>
    <w:p w14:paraId="79240ECD" w14:textId="77777777" w:rsidR="00415532" w:rsidRPr="008C52C9" w:rsidRDefault="00415532" w:rsidP="00415532">
      <w:pPr>
        <w:pBdr>
          <w:top w:val="nil"/>
          <w:left w:val="nil"/>
          <w:bottom w:val="nil"/>
          <w:right w:val="nil"/>
          <w:between w:val="nil"/>
          <w:bar w:val="nil"/>
        </w:pBdr>
        <w:spacing w:before="0" w:after="240"/>
        <w:rPr>
          <w:noProof/>
        </w:rPr>
      </w:pPr>
      <w:r w:rsidRPr="008C52C9">
        <w:rPr>
          <w:noProof/>
        </w:rPr>
        <w:t xml:space="preserve">L'elaborazione della presente proposta ha richiesto anche il contributo di esperti della Commissione e dell'EMSA in merito alla formulazione concreta delle definizioni tecniche e alla redazione giuridica. </w:t>
      </w:r>
    </w:p>
    <w:p w14:paraId="7758BE1D" w14:textId="77777777" w:rsidR="00415532" w:rsidRPr="008C52C9" w:rsidRDefault="00415532" w:rsidP="00415532">
      <w:pPr>
        <w:keepNext/>
        <w:tabs>
          <w:tab w:val="left" w:pos="850"/>
        </w:tabs>
        <w:ind w:left="850" w:hanging="850"/>
        <w:outlineLvl w:val="1"/>
        <w:rPr>
          <w:rFonts w:eastAsia="Arial Unicode MS"/>
          <w:b/>
          <w:noProof/>
          <w:u w:color="000000"/>
          <w:bdr w:val="nil"/>
        </w:rPr>
      </w:pPr>
      <w:r w:rsidRPr="008C52C9">
        <w:rPr>
          <w:rFonts w:eastAsia="Arial Unicode MS"/>
          <w:b/>
          <w:noProof/>
          <w:u w:color="000000"/>
          <w:bdr w:val="nil"/>
        </w:rPr>
        <w:t>•</w:t>
      </w:r>
      <w:r w:rsidRPr="008C52C9">
        <w:rPr>
          <w:noProof/>
        </w:rPr>
        <w:tab/>
      </w:r>
      <w:r w:rsidRPr="008C52C9">
        <w:rPr>
          <w:rFonts w:eastAsia="Arial Unicode MS"/>
          <w:b/>
          <w:noProof/>
          <w:u w:color="000000"/>
          <w:bdr w:val="nil"/>
        </w:rPr>
        <w:t>Valutazione d'impatto</w:t>
      </w:r>
    </w:p>
    <w:p w14:paraId="22825141" w14:textId="77777777" w:rsidR="00415532" w:rsidRPr="008C52C9" w:rsidRDefault="00415532" w:rsidP="00415532">
      <w:pPr>
        <w:pBdr>
          <w:top w:val="nil"/>
          <w:left w:val="nil"/>
          <w:bottom w:val="nil"/>
          <w:right w:val="nil"/>
          <w:between w:val="nil"/>
          <w:bar w:val="nil"/>
        </w:pBdr>
        <w:spacing w:before="0" w:after="240"/>
        <w:rPr>
          <w:noProof/>
        </w:rPr>
      </w:pPr>
      <w:r w:rsidRPr="008C52C9">
        <w:rPr>
          <w:noProof/>
        </w:rPr>
        <w:t>La proposta legislativa si basa su una valutazione d'impatto. Tre opzioni strategiche, riguardanti misure strategiche differenti, sono state esaminate in termini di efficacia nel conseguimento degli obiettivi, nonché del loro impatto ambientale, economico e sociale. Per ciascun obiettivo specifico è stata individuata una serie di misure. Le misure, che sono complementari e non si escludono a vicenda, sono state raggruppate in tre opzioni strategiche. Tutte e tre le opzioni strategiche prevedevano l'allineamento dell'ambito di applicazione della direttiva 2005/35/CE con gli allegati della convenzione Marpol 73/78 e l'inclusione di tali scarichi in mare.</w:t>
      </w:r>
    </w:p>
    <w:p w14:paraId="7C73E1AF" w14:textId="77777777" w:rsidR="00415532" w:rsidRPr="008C52C9" w:rsidRDefault="00415532" w:rsidP="00415532">
      <w:pPr>
        <w:pBdr>
          <w:top w:val="nil"/>
          <w:left w:val="nil"/>
          <w:bottom w:val="nil"/>
          <w:right w:val="nil"/>
          <w:between w:val="nil"/>
          <w:bar w:val="nil"/>
        </w:pBdr>
        <w:spacing w:before="0" w:after="240"/>
        <w:rPr>
          <w:noProof/>
        </w:rPr>
      </w:pPr>
      <w:r w:rsidRPr="008C52C9">
        <w:rPr>
          <w:noProof/>
        </w:rPr>
        <w:t>-</w:t>
      </w:r>
      <w:r w:rsidRPr="008C52C9">
        <w:rPr>
          <w:noProof/>
        </w:rPr>
        <w:tab/>
        <w:t xml:space="preserve">L'opzione A lascia agli Stati membri la maggiore discrezionalità nell'attuazione delle norme della convenzione Marpol 73/78, pur mantenendo il livello di sostegno dell'UE sufficientemente alto (formazione, orientamenti, strumenti digitali, accesso alle informazioni su possibili sversamenti). Gli Stati membri restano responsabili dell'informazione del pubblico attraverso i siti web nazionali. Questa opzione adotta un approccio nazionale nel determinare il tipo di sanzione e non ne disciplina il livello. In sostanza essa offre agli Stati membri una maggiore adattabilità con un intervento minimo da parte dell'UE. </w:t>
      </w:r>
    </w:p>
    <w:p w14:paraId="04A5E3D3" w14:textId="77777777" w:rsidR="00415532" w:rsidRPr="008C52C9" w:rsidRDefault="00415532" w:rsidP="00415532">
      <w:pPr>
        <w:pBdr>
          <w:top w:val="nil"/>
          <w:left w:val="nil"/>
          <w:bottom w:val="nil"/>
          <w:right w:val="nil"/>
          <w:between w:val="nil"/>
          <w:bar w:val="nil"/>
        </w:pBdr>
        <w:spacing w:before="0" w:after="240"/>
        <w:rPr>
          <w:noProof/>
        </w:rPr>
      </w:pPr>
      <w:r w:rsidRPr="008C52C9">
        <w:rPr>
          <w:noProof/>
        </w:rPr>
        <w:t>-</w:t>
      </w:r>
      <w:r w:rsidRPr="008C52C9">
        <w:rPr>
          <w:noProof/>
        </w:rPr>
        <w:tab/>
        <w:t>L'opzione B (l'opzione prescelta) si concentra sul rafforzamento della cooperazione tra gli Stati membri, principalmente attraverso il potenziamento del sostegno dell'UE (formazione, orientamenti, strumenti digitali, accesso alle informazioni su possibili sversamenti). Essa prevede criteri per la determinazione dei livelli delle sanzioni e dovrebbe fornire una struttura per la cooperazione tra gli Stati membri e rafforzare la loro azione di applicazione attraverso il sostegno tecnico dell'EMSA, senza introdurre nuove misure normative importanti e costi eccessivi per gli Stati membri.</w:t>
      </w:r>
    </w:p>
    <w:p w14:paraId="6B21C2D5" w14:textId="77777777" w:rsidR="00415532" w:rsidRPr="008C52C9" w:rsidRDefault="00415532" w:rsidP="00415532">
      <w:pPr>
        <w:pBdr>
          <w:top w:val="nil"/>
          <w:left w:val="nil"/>
          <w:bottom w:val="nil"/>
          <w:right w:val="nil"/>
          <w:between w:val="nil"/>
          <w:bar w:val="nil"/>
        </w:pBdr>
        <w:spacing w:before="0" w:after="240"/>
        <w:rPr>
          <w:noProof/>
        </w:rPr>
      </w:pPr>
      <w:r w:rsidRPr="008C52C9">
        <w:rPr>
          <w:noProof/>
        </w:rPr>
        <w:t>-</w:t>
      </w:r>
      <w:r w:rsidRPr="008C52C9">
        <w:rPr>
          <w:noProof/>
        </w:rPr>
        <w:tab/>
        <w:t xml:space="preserve">L'opzione C si concentra su un'azione normativa più rigorosa dell'UE al fine di integrare la cooperazione tra gli Stati membri. Obbliga gli Stati membri a verificare almeno il 60 % delle segnalazioni inviate tramite CleanSeaNet e si prevede che genererebbe costi di applicazione più elevati. Per quanto riguarda i livelli delle sanzioni, tale opzione rafforza specificamente l'armonizzazione in tutta l'UE fissandone i valori. D'altra parte fornisce la stessa struttura per la cooperazione tra gli Stati membri delle altre due opzioni (formazione, orientamenti, strumenti digitali, accesso alle informazioni su possibili sversamenti). </w:t>
      </w:r>
    </w:p>
    <w:p w14:paraId="093C5387" w14:textId="77777777" w:rsidR="00415532" w:rsidRPr="008C52C9" w:rsidRDefault="00415532" w:rsidP="00415532">
      <w:pPr>
        <w:pBdr>
          <w:top w:val="nil"/>
          <w:left w:val="nil"/>
          <w:bottom w:val="nil"/>
          <w:right w:val="nil"/>
          <w:between w:val="nil"/>
          <w:bar w:val="nil"/>
        </w:pBdr>
        <w:spacing w:before="0" w:after="240"/>
        <w:rPr>
          <w:rFonts w:eastAsia="Arial Unicode MS"/>
          <w:noProof/>
        </w:rPr>
      </w:pPr>
      <w:r w:rsidRPr="008C52C9">
        <w:rPr>
          <w:noProof/>
        </w:rPr>
        <w:lastRenderedPageBreak/>
        <w:t xml:space="preserve">La scelta strategica avanzata dalla presente proposta è l'opzione B, in quanto è stata giudicata la più efficiente e proporzionata. Vi sono tuttavia gravi lacune nei dati, uno scarso contributo da parte dei portatori di interessi e una elevata incertezza circa gli impatti, in particolare i benefici ambientali previsti per le tre opzioni. Le opzioni B e C sono più efficaci dell'opzione A, in particolare grazie ai benefici derivanti dalla fornitura di soluzioni armonizzate a livello dell'UE, rispetto ai molteplici approcci nazionali. </w:t>
      </w:r>
    </w:p>
    <w:p w14:paraId="6A5D161E" w14:textId="77777777" w:rsidR="00415532" w:rsidRPr="008C52C9" w:rsidRDefault="00415532" w:rsidP="00415532">
      <w:pPr>
        <w:pBdr>
          <w:top w:val="nil"/>
          <w:left w:val="nil"/>
          <w:bottom w:val="nil"/>
          <w:right w:val="nil"/>
          <w:between w:val="nil"/>
          <w:bar w:val="nil"/>
        </w:pBdr>
        <w:spacing w:before="0" w:after="240"/>
        <w:rPr>
          <w:noProof/>
        </w:rPr>
      </w:pPr>
      <w:r w:rsidRPr="008C52C9">
        <w:rPr>
          <w:noProof/>
        </w:rPr>
        <w:t>Il 27 marzo 2023 il comitato per il controllo normativo ha espresso parere positivo (con riserve) sulla valutazione d'impatto. Nell'allegato I della valutazione d'impatto è spiegato il modo in cui le osservazioni del comitato per il controllo normativo sono state prese in considerazione nella relazione.</w:t>
      </w:r>
    </w:p>
    <w:p w14:paraId="10265FF5" w14:textId="77777777" w:rsidR="001A00FD" w:rsidRPr="008C52C9" w:rsidRDefault="001A00FD" w:rsidP="00415532">
      <w:pPr>
        <w:pBdr>
          <w:top w:val="nil"/>
          <w:left w:val="nil"/>
          <w:bottom w:val="nil"/>
          <w:right w:val="nil"/>
          <w:between w:val="nil"/>
          <w:bar w:val="nil"/>
        </w:pBdr>
        <w:spacing w:before="0" w:after="240"/>
        <w:rPr>
          <w:rFonts w:eastAsia="Arial Unicode MS"/>
          <w:noProof/>
        </w:rPr>
      </w:pPr>
      <w:r w:rsidRPr="008C52C9">
        <w:rPr>
          <w:rFonts w:eastAsia="Arial Unicode MS"/>
          <w:noProof/>
        </w:rPr>
        <w:t>Una delle conclusioni della valutazione d'impatto ha evidenziato i limiti della valutazione derivanti dalla penuria di dati. Per questo motivo e al di là dell'esito della valutazione d'impatto, la Commissione ha ritenuto opportuno proporre una misura aggiuntiva che agevolasse una raccolta più omogenea di dati e fornisse maggiore visibilità in relazione al monitoraggio reale effettuato dagli Stati membri e alla relativa percentuale di incidenti di inquinamento effettivi. La misura proposta integrerà le misure dell'opzione prescelta come da valutazione d'impatto (opzione B), incentivando un migliore monitoraggio attraverso l'obbligo per ciascuno Stato membro di verificare almeno il 10 % delle segnalazioni inviate tramite CleanSeaNet ogni anno. Tale soglia di verifica ha un effetto limitato sui costi (da 0,5 a 0,8 milioni di EUR all'anno), in quanto è già raggiunta dalla maggior parte degli Stati membri, mentre la Commissione ritiene che incentiverà un monitoraggio più efficace della direttiva e contribuirà a garantirne l'attuazione da parte di tutti gli Stati membri. Questa misura aggiuntiva non modifica in modo significativo la classifica delle opzioni e la selezione dell'opzione strategica prescelta.</w:t>
      </w:r>
    </w:p>
    <w:p w14:paraId="2B3BF26D" w14:textId="77777777" w:rsidR="00415532" w:rsidRPr="008C52C9" w:rsidRDefault="00415532" w:rsidP="00415532">
      <w:pPr>
        <w:keepNext/>
        <w:tabs>
          <w:tab w:val="left" w:pos="850"/>
        </w:tabs>
        <w:ind w:left="850" w:hanging="850"/>
        <w:outlineLvl w:val="1"/>
        <w:rPr>
          <w:rFonts w:eastAsia="Arial Unicode MS"/>
          <w:b/>
          <w:noProof/>
          <w:u w:color="000000"/>
          <w:bdr w:val="nil"/>
        </w:rPr>
      </w:pPr>
      <w:r w:rsidRPr="008C52C9">
        <w:rPr>
          <w:rFonts w:eastAsia="Arial Unicode MS"/>
          <w:b/>
          <w:noProof/>
          <w:u w:color="000000"/>
          <w:bdr w:val="nil"/>
        </w:rPr>
        <w:t>•</w:t>
      </w:r>
      <w:r w:rsidRPr="008C52C9">
        <w:rPr>
          <w:noProof/>
        </w:rPr>
        <w:tab/>
      </w:r>
      <w:r w:rsidRPr="008C52C9">
        <w:rPr>
          <w:rFonts w:eastAsia="Arial Unicode MS"/>
          <w:b/>
          <w:noProof/>
          <w:u w:color="000000"/>
          <w:bdr w:val="nil"/>
        </w:rPr>
        <w:t>Efficienza normativa e semplificazione</w:t>
      </w:r>
    </w:p>
    <w:p w14:paraId="35D010D2" w14:textId="77777777" w:rsidR="00415532" w:rsidRPr="008C52C9" w:rsidRDefault="00415532" w:rsidP="00415532">
      <w:pPr>
        <w:pBdr>
          <w:top w:val="nil"/>
          <w:left w:val="nil"/>
          <w:bottom w:val="nil"/>
          <w:right w:val="nil"/>
          <w:between w:val="nil"/>
          <w:bar w:val="nil"/>
        </w:pBdr>
        <w:spacing w:before="0" w:after="240"/>
        <w:rPr>
          <w:noProof/>
        </w:rPr>
      </w:pPr>
      <w:r w:rsidRPr="008C52C9">
        <w:rPr>
          <w:noProof/>
        </w:rPr>
        <w:t>La proposta si concentra sull'aumento dell'efficienza delle misure esistenti, dato che si tratta di una direttiva in continua evoluzione dal 2005 e modificata nel 2009 in risposta ai nuovi sviluppi, tra cui le sentenze degli organi giurisdizionali, gli obblighi internazionali derivanti dalla convenzione Marpol 73/78 e i cambiamenti nelle tecnologie.</w:t>
      </w:r>
      <w:r w:rsidRPr="008C52C9">
        <w:rPr>
          <w:rFonts w:eastAsia="Arial Unicode MS"/>
          <w:noProof/>
        </w:rPr>
        <w:t xml:space="preserve"> </w:t>
      </w:r>
      <w:r w:rsidRPr="008C52C9">
        <w:rPr>
          <w:noProof/>
        </w:rPr>
        <w:t>Nella direttiva rivista saranno introdotti alcuni chiarimenti e semplificazioni, compresi dei chiarimenti sul regime di responsabilità esistente e la semplificazione degli obblighi di comunicazione, con particolare attenzione alle soluzioni digitali.</w:t>
      </w:r>
    </w:p>
    <w:p w14:paraId="0A221E3C" w14:textId="77777777" w:rsidR="00415532" w:rsidRPr="008C52C9" w:rsidRDefault="00415532" w:rsidP="00415532">
      <w:pPr>
        <w:rPr>
          <w:rFonts w:eastAsia="Times New Roman"/>
          <w:noProof/>
          <w:color w:val="0000FF"/>
        </w:rPr>
      </w:pPr>
      <w:r w:rsidRPr="008C52C9">
        <w:rPr>
          <w:noProof/>
        </w:rPr>
        <w:t>Non si prevede che la proposta comporti costi amministrativi aggiuntivi o costi di adeguamento per il settore privato o per i cittadini. Potrebbero esserci maggiori sanzioni per le navi che non soddisfano i requisiti della convenzione Marpol 73/78. L'aspetto positivo è che la parità di condizioni dovrebbe avvantaggiare gli operatori delle navi che rispettano le norme. Inoltre le imprese e soprattutto i cittadini beneficeranno della riduzione dell'inquinamento provocato dalle navi.</w:t>
      </w:r>
    </w:p>
    <w:p w14:paraId="59EEA462" w14:textId="77777777" w:rsidR="00415532" w:rsidRPr="008C52C9" w:rsidRDefault="00415532" w:rsidP="00415532">
      <w:pPr>
        <w:rPr>
          <w:noProof/>
        </w:rPr>
      </w:pPr>
      <w:r w:rsidRPr="008C52C9">
        <w:rPr>
          <w:rFonts w:eastAsia="Times New Roman"/>
          <w:noProof/>
        </w:rPr>
        <w:t xml:space="preserve">La proposta non contiene prescrizioni per gli operatori delle navi e quindi non dovrebbe avere un impatto sulle PMI. </w:t>
      </w:r>
      <w:r w:rsidRPr="008C52C9">
        <w:rPr>
          <w:noProof/>
        </w:rPr>
        <w:t xml:space="preserve">Dal momento che non crea nuovi obblighi per le imprese, l'incidenza sui loro costi sarebbe nulla. L'estensione dell'ambito di applicazione della direttiva a sostanze aggiuntive contemplate dalla convenzione Marpol 73/78 può essere pertinente per le imbarcazioni da diporto e i pescherecci, che costituiscono segmenti del settore con un'elevata partecipazione di PMI. Tuttavia il fatto che tale estensione sia incentrata sull'applicazione di norme internazionali significa che il settore del trasporto marittimo deve conformarsi alle </w:t>
      </w:r>
      <w:r w:rsidRPr="008C52C9">
        <w:rPr>
          <w:noProof/>
        </w:rPr>
        <w:lastRenderedPageBreak/>
        <w:t>stesse con o senza la direttiva e che non si prevede alcuna incidenza sui costi per le PMI che vi adempiono. L'iniziativa è quindi giudicata non pertinente per le PMI.</w:t>
      </w:r>
    </w:p>
    <w:p w14:paraId="33253378" w14:textId="77777777" w:rsidR="00415532" w:rsidRPr="008C52C9" w:rsidRDefault="00415532" w:rsidP="00415532">
      <w:pPr>
        <w:keepNext/>
        <w:tabs>
          <w:tab w:val="left" w:pos="850"/>
        </w:tabs>
        <w:ind w:left="850" w:hanging="850"/>
        <w:outlineLvl w:val="1"/>
        <w:rPr>
          <w:rFonts w:eastAsia="Arial Unicode MS"/>
          <w:b/>
          <w:noProof/>
          <w:u w:color="000000"/>
          <w:bdr w:val="nil"/>
        </w:rPr>
      </w:pPr>
      <w:r w:rsidRPr="008C52C9">
        <w:rPr>
          <w:rFonts w:eastAsia="Arial Unicode MS"/>
          <w:b/>
          <w:noProof/>
          <w:u w:color="000000"/>
          <w:bdr w:val="nil"/>
        </w:rPr>
        <w:t>•</w:t>
      </w:r>
      <w:r w:rsidRPr="008C52C9">
        <w:rPr>
          <w:noProof/>
        </w:rPr>
        <w:tab/>
      </w:r>
      <w:r w:rsidRPr="008C52C9">
        <w:rPr>
          <w:rFonts w:eastAsia="Arial Unicode MS"/>
          <w:b/>
          <w:noProof/>
          <w:u w:color="000000"/>
          <w:bdr w:val="nil"/>
        </w:rPr>
        <w:t>Diritti fondamentali</w:t>
      </w:r>
    </w:p>
    <w:p w14:paraId="353463B4" w14:textId="77777777" w:rsidR="00415532" w:rsidRPr="008C52C9" w:rsidRDefault="00415532" w:rsidP="00415532">
      <w:pPr>
        <w:spacing w:before="0" w:after="240"/>
        <w:rPr>
          <w:rFonts w:eastAsia="Arial Unicode MS"/>
          <w:noProof/>
        </w:rPr>
      </w:pPr>
      <w:r w:rsidRPr="008C52C9">
        <w:rPr>
          <w:noProof/>
        </w:rPr>
        <w:t>La Carta dei diritti fondamentali dell'Unione europea, in quanto strumento di diritto primario dell'UE, sancisce i diritti fondamentali di cui godono le persone in tutta l'UE. Nel complesso la proposta dovrebbe tutelare meglio i diritti fondamentali e le libertà individuali, soprattutto per quanto riguarda la giustizia, il processo equo, la non discriminazione, la parità di trattamento dei responsabili delle violazioni e il principio della legalità, nonché il diritto a sanzioni proporzionate ed efficaci. La proposta chiarisce ulteriormente l'eccezione in materia di responsabilità dell'equipaggio, dei comandanti e dei proprietari. La loro protezione è quindi rafforzata attraverso un'armonizzazione più integrata delle norme internazionali nelle leggi nazionali e una migliore osservanza dei principi dello Stato di diritto e del processo equo. La presente proposta tutela inoltre il principio di uguaglianza, contribuendo alla non discriminazione e alla parità di trattamento della gente di mare. Le misure che garantiscono una più chiara delimitazione tra le violazioni che rientrano nella procedura penale e in quella amministrativa agevoleranno anche la parità di trattamento dei responsabili delle violazioni in tutta l'UE. La presente iniziativa porterà a una migliore osservanza del diritto alla giustizia, migliorando la definizione di violazione soggetta a procedura amministrativa o penale. La proposta garantisce inoltre la protezione dei dati di carattere personale.</w:t>
      </w:r>
    </w:p>
    <w:p w14:paraId="35E1B374" w14:textId="77777777" w:rsidR="00415532" w:rsidRPr="008C52C9" w:rsidRDefault="00415532" w:rsidP="00415532">
      <w:pPr>
        <w:keepNext/>
        <w:tabs>
          <w:tab w:val="left" w:pos="850"/>
        </w:tabs>
        <w:spacing w:before="360"/>
        <w:ind w:left="850" w:hanging="850"/>
        <w:outlineLvl w:val="0"/>
        <w:rPr>
          <w:b/>
          <w:smallCaps/>
          <w:noProof/>
        </w:rPr>
      </w:pPr>
      <w:r w:rsidRPr="008C52C9">
        <w:rPr>
          <w:b/>
          <w:smallCaps/>
          <w:noProof/>
        </w:rPr>
        <w:t>4.</w:t>
      </w:r>
      <w:r w:rsidRPr="008C52C9">
        <w:rPr>
          <w:noProof/>
        </w:rPr>
        <w:tab/>
      </w:r>
      <w:r w:rsidRPr="008C52C9">
        <w:rPr>
          <w:b/>
          <w:smallCaps/>
          <w:noProof/>
        </w:rPr>
        <w:t>INCIDENZA SUL BILANCIO</w:t>
      </w:r>
    </w:p>
    <w:p w14:paraId="2EAE326C" w14:textId="77777777" w:rsidR="00415532" w:rsidRPr="008C52C9" w:rsidRDefault="00415532" w:rsidP="00415532">
      <w:pPr>
        <w:pBdr>
          <w:top w:val="nil"/>
          <w:left w:val="nil"/>
          <w:bottom w:val="nil"/>
          <w:right w:val="nil"/>
          <w:between w:val="nil"/>
          <w:bar w:val="nil"/>
        </w:pBdr>
        <w:spacing w:before="0" w:after="240"/>
        <w:rPr>
          <w:noProof/>
        </w:rPr>
      </w:pPr>
      <w:r w:rsidRPr="008C52C9">
        <w:rPr>
          <w:noProof/>
        </w:rPr>
        <w:t>I costi netti attuali della proposta ammontano a 125,8-134,7 milioni di EUR nel periodo 2025-2050. L'incidenza sul bilancio della proposta è descritta più dettagliatamente nella scheda finanziaria legislativa allegata alla presente proposta per informazione. L'incidenza sul bilancio della proposta è già inclusa nella proposta di regolamento del Parlamento europeo e del Consiglio sull'Agenzia europea per la sicurezza marittima e che abroga il regolamento (CE) n. 1406/2002, presentata dalla Commissione.</w:t>
      </w:r>
    </w:p>
    <w:p w14:paraId="6BD1256F" w14:textId="77777777" w:rsidR="00415532" w:rsidRPr="008C52C9" w:rsidRDefault="00415532" w:rsidP="00415532">
      <w:pPr>
        <w:rPr>
          <w:noProof/>
        </w:rPr>
      </w:pPr>
      <w:r w:rsidRPr="008C52C9">
        <w:rPr>
          <w:noProof/>
        </w:rPr>
        <w:t>L'incidenza sul bilancio al di là dell'attuale QFP rappresenta una panoramica indicativa, fatto salvo il futuro accordo sul QFP.</w:t>
      </w:r>
    </w:p>
    <w:p w14:paraId="5196091C" w14:textId="77777777" w:rsidR="00415532" w:rsidRPr="008C52C9" w:rsidRDefault="00415532" w:rsidP="00415532">
      <w:pPr>
        <w:pBdr>
          <w:top w:val="nil"/>
          <w:left w:val="nil"/>
          <w:bottom w:val="nil"/>
          <w:right w:val="nil"/>
          <w:between w:val="nil"/>
          <w:bar w:val="nil"/>
        </w:pBdr>
        <w:spacing w:before="0" w:after="240"/>
        <w:rPr>
          <w:rFonts w:eastAsia="Arial Unicode MS"/>
          <w:noProof/>
        </w:rPr>
      </w:pPr>
    </w:p>
    <w:p w14:paraId="03E865B2" w14:textId="77777777" w:rsidR="00415532" w:rsidRPr="008C52C9" w:rsidRDefault="00415532" w:rsidP="00415532">
      <w:pPr>
        <w:keepNext/>
        <w:tabs>
          <w:tab w:val="left" w:pos="850"/>
        </w:tabs>
        <w:spacing w:before="360"/>
        <w:ind w:left="850" w:hanging="850"/>
        <w:outlineLvl w:val="0"/>
        <w:rPr>
          <w:b/>
          <w:smallCaps/>
          <w:noProof/>
        </w:rPr>
      </w:pPr>
      <w:r w:rsidRPr="008C52C9">
        <w:rPr>
          <w:b/>
          <w:smallCaps/>
          <w:noProof/>
        </w:rPr>
        <w:t>5.</w:t>
      </w:r>
      <w:r w:rsidRPr="008C52C9">
        <w:rPr>
          <w:noProof/>
        </w:rPr>
        <w:tab/>
      </w:r>
      <w:r w:rsidRPr="008C52C9">
        <w:rPr>
          <w:b/>
          <w:smallCaps/>
          <w:noProof/>
        </w:rPr>
        <w:t>ALTRI ELEMENTI</w:t>
      </w:r>
    </w:p>
    <w:p w14:paraId="05920E12" w14:textId="77777777" w:rsidR="00415532" w:rsidRPr="008C52C9" w:rsidRDefault="00415532" w:rsidP="00415532">
      <w:pPr>
        <w:keepNext/>
        <w:tabs>
          <w:tab w:val="left" w:pos="850"/>
        </w:tabs>
        <w:ind w:left="850" w:hanging="850"/>
        <w:outlineLvl w:val="1"/>
        <w:rPr>
          <w:rFonts w:eastAsia="Arial Unicode MS"/>
          <w:b/>
          <w:noProof/>
          <w:u w:color="000000"/>
          <w:bdr w:val="nil"/>
        </w:rPr>
      </w:pPr>
      <w:r w:rsidRPr="008C52C9">
        <w:rPr>
          <w:rFonts w:eastAsia="Arial Unicode MS"/>
          <w:b/>
          <w:noProof/>
          <w:u w:color="000000"/>
          <w:bdr w:val="nil"/>
        </w:rPr>
        <w:t>•</w:t>
      </w:r>
      <w:r w:rsidRPr="008C52C9">
        <w:rPr>
          <w:noProof/>
        </w:rPr>
        <w:tab/>
      </w:r>
      <w:r w:rsidRPr="008C52C9">
        <w:rPr>
          <w:rFonts w:eastAsia="Arial Unicode MS"/>
          <w:b/>
          <w:noProof/>
          <w:u w:color="000000"/>
          <w:bdr w:val="nil"/>
        </w:rPr>
        <w:t>Piani attuativi e modalità di monitoraggio, valutazione e comunicazione</w:t>
      </w:r>
    </w:p>
    <w:p w14:paraId="4F32890D" w14:textId="77777777" w:rsidR="00415532" w:rsidRPr="008C52C9" w:rsidRDefault="00415532" w:rsidP="00415532">
      <w:pPr>
        <w:pBdr>
          <w:top w:val="nil"/>
          <w:left w:val="nil"/>
          <w:bottom w:val="nil"/>
          <w:right w:val="nil"/>
          <w:between w:val="nil"/>
          <w:bar w:val="nil"/>
        </w:pBdr>
        <w:spacing w:before="0" w:after="240"/>
        <w:rPr>
          <w:noProof/>
        </w:rPr>
      </w:pPr>
      <w:r w:rsidRPr="008C52C9">
        <w:rPr>
          <w:noProof/>
        </w:rPr>
        <w:t xml:space="preserve">Il successo della direttiva comporterebbe che la persona (fisica o giuridica) responsabile dell'inquinamento del mare sia adeguatamente sanzionata, al fine di produrre un effetto deterrente e prevenire l'inquinamento in futuro. Le sanzioni per l'inquinamento provocato dalle navi possono essere considerate l'ultima linea di difesa per la prevenzione dell'inquinamento e la protezione dell'ambiente marino e della salute umana. La prima linea di difesa per la sicurezza marittima e la prevenzione dell'inquinamento è costituita dal controllo da parte dello Stato di bandiera e la seconda linea di difesa dalla legislazione sul controllo dello Stato di approdo, tuttavia le navi possono comunque provocare l'inquinamento del mare a causa di incidenti e scarichi operativi (intenzionali). </w:t>
      </w:r>
    </w:p>
    <w:p w14:paraId="60C0A09F" w14:textId="77777777" w:rsidR="00415532" w:rsidRPr="008C52C9" w:rsidRDefault="00415532" w:rsidP="00415532">
      <w:pPr>
        <w:pBdr>
          <w:top w:val="nil"/>
          <w:left w:val="nil"/>
          <w:bottom w:val="nil"/>
          <w:right w:val="nil"/>
          <w:between w:val="nil"/>
          <w:bar w:val="nil"/>
        </w:pBdr>
        <w:spacing w:before="0" w:after="240"/>
        <w:rPr>
          <w:rFonts w:eastAsia="Arial Unicode MS"/>
          <w:noProof/>
        </w:rPr>
      </w:pPr>
      <w:r w:rsidRPr="008C52C9">
        <w:rPr>
          <w:noProof/>
        </w:rPr>
        <w:t xml:space="preserve">La Commissione monitorerà l'attuazione e l'efficacia della presente iniziativa attraverso diverse azioni e una serie di indicatori fondamentali che misureranno i progressi compiuti verso il conseguimento degli obiettivi specifici. </w:t>
      </w:r>
      <w:r w:rsidRPr="008C52C9">
        <w:rPr>
          <w:rFonts w:eastAsia="Arial Unicode MS"/>
          <w:noProof/>
        </w:rPr>
        <w:t xml:space="preserve">Nella valutazione d'impatto sono state individuate opportune modalità di monitoraggio e comunicazione. L'EMSA svolgerà un ruolo </w:t>
      </w:r>
      <w:r w:rsidRPr="008C52C9">
        <w:rPr>
          <w:rFonts w:eastAsia="Arial Unicode MS"/>
          <w:noProof/>
        </w:rPr>
        <w:lastRenderedPageBreak/>
        <w:t>importante in tale processo, in quanto l'Agenzia è responsabile delle visite negli Stati membri, nonché dello sviluppo e del funzionamento degli strumenti digitali per il trasporto marittimo, ossia i servizi marittimi integrati e CleanSeaNet.</w:t>
      </w:r>
    </w:p>
    <w:p w14:paraId="58DED8FD" w14:textId="77777777" w:rsidR="00415532" w:rsidRPr="008C52C9" w:rsidRDefault="00415532" w:rsidP="00415532">
      <w:pPr>
        <w:spacing w:before="0" w:after="240"/>
        <w:rPr>
          <w:noProof/>
          <w:szCs w:val="24"/>
        </w:rPr>
      </w:pPr>
      <w:r w:rsidRPr="008C52C9">
        <w:rPr>
          <w:noProof/>
        </w:rPr>
        <w:t>L'attuazione può essere verificata monitorando se gli Stati membri forniscono in modo tempestivo ed efficace riscontri sulla verifica delle segnalazioni inviate tramite CleanSeaNet e se le informazioni sulla raccolta degli elementi di prova e sui procedimenti amministrativi sono caricate regolarmente sullo strumento di comunicazione. La Commissione, con il sostegno dell'EMSA, svilupperà un sito web pubblico contenente gli indicatori chiave sul tasso di attuazione e le principali informazioni non riservate sugli incidenti di scarichi illegali; il sito web sarà aggiornato regolarmente con i dati provenienti dallo strumento di comunicazione, così da tenere il pubblico informato circa l'attuazione e le sanzioni imposte. L'EMSA effettuerà cicli di visite negli Stati membri per verificare le operazioni sul campo nell'ambito del suo ruolo di sostegno alla Commissione</w:t>
      </w:r>
      <w:r w:rsidRPr="008C52C9">
        <w:rPr>
          <w:rStyle w:val="FootnoteReference"/>
          <w:noProof/>
        </w:rPr>
        <w:footnoteReference w:id="13"/>
      </w:r>
      <w:r w:rsidRPr="008C52C9">
        <w:rPr>
          <w:noProof/>
        </w:rPr>
        <w:t>. Inoltre, su richiesta, fornirà analisi orizzontali e assistenza tecnica, che saranno comunicate alla Commissione e agli Stati membri.</w:t>
      </w:r>
    </w:p>
    <w:p w14:paraId="78374AF5" w14:textId="77777777" w:rsidR="00415532" w:rsidRPr="008C52C9" w:rsidRDefault="00415532" w:rsidP="00415532">
      <w:pPr>
        <w:spacing w:before="0" w:after="240"/>
        <w:rPr>
          <w:noProof/>
          <w:szCs w:val="24"/>
        </w:rPr>
      </w:pPr>
      <w:r w:rsidRPr="008C52C9">
        <w:rPr>
          <w:noProof/>
        </w:rPr>
        <w:t>Gli impatti della direttiva dovrebbero essere valutati entro cinque anni dalla data di recepimento della normativa. Si prevede che saranno già disponibili dati più solidi e rappresentativi per preparare una valutazione completa per tutti gli Stati membri. In tale contesto sarebbe necessario uno studio di esperti per stimare i progressi compiuti in relazione ai livelli delle sanzioni. La valutazione dovrebbe anche esaminare i dati disponibili riguardo ai benefici ambientali e la possibilità di estendere l'ambito di applicazione ai nuovi sviluppi della convenzione Marpol 73/78 e all'inquinamento atmosferico. Successivamente, in linea con il ciclo quinquennale di visite di riesame dell'EMSA negli Stati membri, la Commissione analizzerà regolarmente l'attuazione della direttiva.</w:t>
      </w:r>
    </w:p>
    <w:p w14:paraId="7C438C2A" w14:textId="77777777" w:rsidR="00415532" w:rsidRPr="008C52C9" w:rsidRDefault="00415532" w:rsidP="00415532">
      <w:pPr>
        <w:keepNext/>
        <w:tabs>
          <w:tab w:val="left" w:pos="850"/>
        </w:tabs>
        <w:ind w:left="850" w:hanging="850"/>
        <w:outlineLvl w:val="1"/>
        <w:rPr>
          <w:rFonts w:eastAsia="Arial Unicode MS"/>
          <w:b/>
          <w:noProof/>
          <w:u w:color="000000"/>
          <w:bdr w:val="nil"/>
        </w:rPr>
      </w:pPr>
      <w:r w:rsidRPr="008C52C9">
        <w:rPr>
          <w:rFonts w:eastAsia="Arial Unicode MS"/>
          <w:b/>
          <w:noProof/>
          <w:u w:color="000000"/>
          <w:bdr w:val="nil"/>
        </w:rPr>
        <w:t>•</w:t>
      </w:r>
      <w:r w:rsidRPr="008C52C9">
        <w:rPr>
          <w:noProof/>
        </w:rPr>
        <w:tab/>
      </w:r>
      <w:r w:rsidRPr="008C52C9">
        <w:rPr>
          <w:rFonts w:eastAsia="Arial Unicode MS"/>
          <w:b/>
          <w:noProof/>
          <w:u w:color="000000"/>
          <w:bdr w:val="nil"/>
        </w:rPr>
        <w:t>Documenti esplicativi (per le direttive)</w:t>
      </w:r>
    </w:p>
    <w:p w14:paraId="46652E81" w14:textId="77777777" w:rsidR="00C86B81" w:rsidRPr="008C52C9" w:rsidRDefault="00415532" w:rsidP="00C86B81">
      <w:pPr>
        <w:pBdr>
          <w:top w:val="nil"/>
          <w:left w:val="nil"/>
          <w:bottom w:val="nil"/>
          <w:right w:val="nil"/>
          <w:between w:val="nil"/>
          <w:bar w:val="nil"/>
        </w:pBdr>
        <w:spacing w:before="0" w:after="240"/>
        <w:rPr>
          <w:rFonts w:eastAsia="Arial Unicode MS"/>
          <w:noProof/>
        </w:rPr>
      </w:pPr>
      <w:r w:rsidRPr="008C52C9">
        <w:rPr>
          <w:noProof/>
        </w:rPr>
        <w:t>Non sono necessari documenti esplicativi in quanto la proposta mira a semplificare e chiarire il regime esistente.</w:t>
      </w:r>
    </w:p>
    <w:p w14:paraId="32B5DF75" w14:textId="77777777" w:rsidR="00C86B81" w:rsidRPr="008C52C9" w:rsidRDefault="00C86B81" w:rsidP="00C86B81">
      <w:pPr>
        <w:pStyle w:val="ManualHeading2"/>
        <w:rPr>
          <w:rFonts w:eastAsia="Arial Unicode MS"/>
          <w:noProof/>
          <w:u w:color="000000"/>
          <w:bdr w:val="nil"/>
        </w:rPr>
      </w:pPr>
      <w:r w:rsidRPr="008C52C9">
        <w:rPr>
          <w:rFonts w:eastAsia="Arial Unicode MS"/>
          <w:noProof/>
          <w:u w:color="000000"/>
          <w:bdr w:val="nil"/>
        </w:rPr>
        <w:t>•</w:t>
      </w:r>
      <w:r w:rsidRPr="008C52C9">
        <w:rPr>
          <w:noProof/>
        </w:rPr>
        <w:tab/>
      </w:r>
      <w:r w:rsidRPr="008C52C9">
        <w:rPr>
          <w:rFonts w:eastAsia="Arial Unicode MS"/>
          <w:noProof/>
          <w:u w:color="000000"/>
          <w:bdr w:val="nil"/>
        </w:rPr>
        <w:t>Illustrazione dettagliata delle singole disposizioni della proposta</w:t>
      </w:r>
    </w:p>
    <w:p w14:paraId="064A681E" w14:textId="77777777" w:rsidR="00C86B81" w:rsidRPr="008C52C9" w:rsidRDefault="00C86B81" w:rsidP="00C86B81">
      <w:pPr>
        <w:pBdr>
          <w:top w:val="nil"/>
          <w:left w:val="nil"/>
          <w:bottom w:val="nil"/>
          <w:right w:val="nil"/>
          <w:between w:val="nil"/>
          <w:bar w:val="nil"/>
        </w:pBdr>
        <w:spacing w:before="0" w:after="240"/>
        <w:rPr>
          <w:b/>
          <w:i/>
          <w:noProof/>
        </w:rPr>
      </w:pPr>
      <w:r w:rsidRPr="008C52C9">
        <w:rPr>
          <w:b/>
          <w:i/>
          <w:noProof/>
        </w:rPr>
        <w:t>Il titolo della direttiva</w:t>
      </w:r>
    </w:p>
    <w:p w14:paraId="6F890DDA" w14:textId="77777777" w:rsidR="00C86B81" w:rsidRPr="008C52C9" w:rsidRDefault="00C86B81" w:rsidP="00C86B81">
      <w:pPr>
        <w:pBdr>
          <w:top w:val="nil"/>
          <w:left w:val="nil"/>
          <w:bottom w:val="nil"/>
          <w:right w:val="nil"/>
          <w:between w:val="nil"/>
          <w:bar w:val="nil"/>
        </w:pBdr>
        <w:spacing w:before="0" w:after="240"/>
        <w:rPr>
          <w:noProof/>
        </w:rPr>
      </w:pPr>
      <w:r w:rsidRPr="008C52C9">
        <w:rPr>
          <w:noProof/>
        </w:rPr>
        <w:t>Il titolo definisce in modo più preciso l'oggetto della direttiva aggiungendo l'elemento "applicazione delle norme internazionali". Tale modifica mira a chiarire che l'oggetto della direttiva non è l'introduzione di nuove norme sostanziali in materia di inquinamento provocato dalle navi, bensì il recepimento e l'applicazione di norme internazionali già adottate. L'elemento delle "sanzioni penali" di cui al titolo attuale è stato eliminato per motivi di coerenza giuridica con la direttiva (UE) 2023/</w:t>
      </w:r>
      <w:r w:rsidRPr="008C52C9">
        <w:rPr>
          <w:rFonts w:eastAsia="Arial Unicode MS"/>
          <w:noProof/>
        </w:rPr>
        <w:t>xxxx</w:t>
      </w:r>
      <w:r w:rsidRPr="008C52C9">
        <w:rPr>
          <w:noProof/>
        </w:rPr>
        <w:t xml:space="preserve"> sulla tutela penale dell'ambiente.</w:t>
      </w:r>
    </w:p>
    <w:p w14:paraId="77E564EB" w14:textId="77777777" w:rsidR="00C86B81" w:rsidRPr="008C52C9" w:rsidRDefault="00C86B81" w:rsidP="00C86B81">
      <w:pPr>
        <w:pBdr>
          <w:top w:val="nil"/>
          <w:left w:val="nil"/>
          <w:bottom w:val="nil"/>
          <w:right w:val="nil"/>
          <w:between w:val="nil"/>
          <w:bar w:val="nil"/>
        </w:pBdr>
        <w:spacing w:before="0" w:after="240"/>
        <w:rPr>
          <w:b/>
          <w:i/>
          <w:noProof/>
        </w:rPr>
      </w:pPr>
      <w:r w:rsidRPr="008C52C9">
        <w:rPr>
          <w:b/>
          <w:i/>
          <w:noProof/>
        </w:rPr>
        <w:t xml:space="preserve">Articolo 1 – Finalità </w:t>
      </w:r>
    </w:p>
    <w:p w14:paraId="365D8DF9" w14:textId="77777777" w:rsidR="00C86B81" w:rsidRPr="008C52C9" w:rsidRDefault="00C86B81" w:rsidP="00C86B81">
      <w:pPr>
        <w:pBdr>
          <w:top w:val="nil"/>
          <w:left w:val="nil"/>
          <w:bottom w:val="nil"/>
          <w:right w:val="nil"/>
          <w:between w:val="nil"/>
          <w:bar w:val="nil"/>
        </w:pBdr>
        <w:spacing w:before="0" w:after="240"/>
        <w:rPr>
          <w:noProof/>
        </w:rPr>
      </w:pPr>
      <w:r w:rsidRPr="008C52C9">
        <w:rPr>
          <w:noProof/>
        </w:rPr>
        <w:t xml:space="preserve">L'obiettivo generale della direttiva è modificato al fine di specificare che per sanzioni adeguate, nella presente direttiva, si intendono sanzioni dissuasive, effettive e proporzionate. Ciò si riferisce alle sanzioni amministrative. L'elemento delle "sanzioni penali", presente </w:t>
      </w:r>
      <w:r w:rsidRPr="008C52C9">
        <w:rPr>
          <w:noProof/>
        </w:rPr>
        <w:lastRenderedPageBreak/>
        <w:t>nell'attuale direttiva, è stato eliminato dalla finalità per motivi di coerenza giuridica con la direttiva (UE) 2023/xxxx sulla tutela penale dell'ambiente.</w:t>
      </w:r>
    </w:p>
    <w:p w14:paraId="3E1C5403" w14:textId="77777777" w:rsidR="00C86B81" w:rsidRPr="008C52C9" w:rsidRDefault="00C86B81" w:rsidP="00C86B81">
      <w:pPr>
        <w:pBdr>
          <w:top w:val="nil"/>
          <w:left w:val="nil"/>
          <w:bottom w:val="nil"/>
          <w:right w:val="nil"/>
          <w:between w:val="nil"/>
          <w:bar w:val="nil"/>
        </w:pBdr>
        <w:spacing w:before="0" w:after="240"/>
        <w:rPr>
          <w:b/>
          <w:i/>
          <w:noProof/>
        </w:rPr>
      </w:pPr>
      <w:r w:rsidRPr="008C52C9">
        <w:rPr>
          <w:b/>
          <w:i/>
          <w:noProof/>
        </w:rPr>
        <w:t xml:space="preserve">Articolo 2 – Definizioni </w:t>
      </w:r>
    </w:p>
    <w:p w14:paraId="5FCFC6A9" w14:textId="77777777" w:rsidR="00C86B81" w:rsidRPr="008C52C9" w:rsidRDefault="00C86B81" w:rsidP="00C86B81">
      <w:pPr>
        <w:pBdr>
          <w:top w:val="nil"/>
          <w:left w:val="nil"/>
          <w:bottom w:val="nil"/>
          <w:right w:val="nil"/>
          <w:between w:val="nil"/>
          <w:bar w:val="nil"/>
        </w:pBdr>
        <w:spacing w:before="0" w:after="240"/>
        <w:rPr>
          <w:noProof/>
        </w:rPr>
      </w:pPr>
      <w:r w:rsidRPr="008C52C9">
        <w:rPr>
          <w:noProof/>
        </w:rPr>
        <w:t>L'articolo 2, punto 2, aggiorna le definizioni che sono risultate problematiche o che si riferiscono all'ambito di applicazione obsoleto della direttiva e introduce una nuova definizione. In primo luogo la definizione di "sostanze inquinanti" di cui al punto 2 è adattata all'ambito di applicazione esteso della direttiva, che comprende gli allegati I-VI della convenzione Marpol 73/78. Una nuova definizione di cui al punto 2 bis introduce i "residui dei sistemi di depurazione dei gas di scarico", ossia gli scarichi degli scrubber in mare, tra le sostanze contemplate nell'ambito di applicazione esteso della direttiva per quanto riguarda l'allegato VI della convenzione Marpol 73/78, tenendo conto degli orientamenti elaborati dall'IMO. Una nuova definizione di cui al punto 5 bis integra nella direttiva la definizione di "società" concordata a livello internazionale, in linea con il codice internazionale di gestione della sicurezza delle navi e della prevenzione dell'inquinamento (codice ISM)</w:t>
      </w:r>
      <w:r w:rsidRPr="008C52C9">
        <w:rPr>
          <w:rStyle w:val="FootnoteReference"/>
          <w:noProof/>
        </w:rPr>
        <w:footnoteReference w:id="14"/>
      </w:r>
      <w:r w:rsidRPr="008C52C9">
        <w:rPr>
          <w:noProof/>
        </w:rPr>
        <w:t>, recepito nel diritto dell'Unione con il regolamento (CE) n. 336/2006</w:t>
      </w:r>
      <w:r w:rsidRPr="008C52C9">
        <w:rPr>
          <w:rStyle w:val="FootnoteReference"/>
          <w:noProof/>
        </w:rPr>
        <w:footnoteReference w:id="15"/>
      </w:r>
      <w:r w:rsidRPr="008C52C9">
        <w:rPr>
          <w:noProof/>
        </w:rPr>
        <w:t xml:space="preserve">. </w:t>
      </w:r>
    </w:p>
    <w:p w14:paraId="41053DDA" w14:textId="77777777" w:rsidR="00C86B81" w:rsidRPr="008C52C9" w:rsidRDefault="00C86B81" w:rsidP="005C35B0">
      <w:pPr>
        <w:rPr>
          <w:b/>
          <w:bCs/>
          <w:i/>
          <w:iCs/>
          <w:noProof/>
        </w:rPr>
      </w:pPr>
      <w:r w:rsidRPr="008C52C9">
        <w:rPr>
          <w:b/>
          <w:i/>
          <w:noProof/>
        </w:rPr>
        <w:t>Articolo 4 – Divieto di scarichi</w:t>
      </w:r>
    </w:p>
    <w:p w14:paraId="0122A2B9" w14:textId="77777777" w:rsidR="00C86B81" w:rsidRPr="008C52C9" w:rsidRDefault="00C86B81" w:rsidP="005C35B0">
      <w:pPr>
        <w:rPr>
          <w:noProof/>
        </w:rPr>
      </w:pPr>
      <w:r w:rsidRPr="008C52C9">
        <w:rPr>
          <w:noProof/>
        </w:rPr>
        <w:t>L'articolo 4 stabilisce i divieti generali contemplati dalla presente direttiva. Uno scarico illegale può essere attribuito a una persona fisica o giuridica e le disposizioni nazionali di attuazione della presente direttiva dovrebbero garantire che tali persone siano ritenute responsabili. Alcuni dei divieti previsti dall'attuale direttiva (sostanze di cui agli allegati I-II della convenzione Marpol 73/78) sono versioni aggiornate di quelli esistenti, mentre altri sono nuovi (sostanze di cui agli allegati III-VI della convenzione Marpol 73/78). La nozione di "casi di minore entità" è stata eliminata in seguito ai risultati della valutazione ex post, secondo cui il termine è problematico e non è interpretato allo stesso modo dagli Stati membri. Inoltre tale termine era pertinente solo per l'applicazione di sanzioni penali, che ora esulano dall'ambito di applicazione della direttiva.</w:t>
      </w:r>
    </w:p>
    <w:p w14:paraId="28C95479" w14:textId="77777777" w:rsidR="00C86B81" w:rsidRPr="008C52C9" w:rsidRDefault="00C86B81" w:rsidP="00C86B81">
      <w:pPr>
        <w:pBdr>
          <w:top w:val="nil"/>
          <w:left w:val="nil"/>
          <w:bottom w:val="nil"/>
          <w:right w:val="nil"/>
          <w:between w:val="nil"/>
          <w:bar w:val="nil"/>
        </w:pBdr>
        <w:spacing w:before="0" w:after="240"/>
        <w:rPr>
          <w:b/>
          <w:i/>
          <w:noProof/>
        </w:rPr>
      </w:pPr>
      <w:r w:rsidRPr="008C52C9">
        <w:rPr>
          <w:b/>
          <w:i/>
          <w:noProof/>
        </w:rPr>
        <w:t>Articolo 5 – Eccezioni</w:t>
      </w:r>
    </w:p>
    <w:p w14:paraId="4EBA6173" w14:textId="77777777" w:rsidR="00C86B81" w:rsidRPr="008C52C9" w:rsidRDefault="00D67415" w:rsidP="00C86B81">
      <w:pPr>
        <w:pBdr>
          <w:top w:val="nil"/>
          <w:left w:val="nil"/>
          <w:bottom w:val="nil"/>
          <w:right w:val="nil"/>
          <w:between w:val="nil"/>
          <w:bar w:val="nil"/>
        </w:pBdr>
        <w:spacing w:before="0" w:after="240"/>
        <w:rPr>
          <w:noProof/>
        </w:rPr>
      </w:pPr>
      <w:r w:rsidRPr="008C52C9">
        <w:rPr>
          <w:noProof/>
        </w:rPr>
        <w:t xml:space="preserve">La proposta di cui all'articolo 5 stabilisce le eccezioni ai divieti previsti dall'articolo 4 nel caso in cui lo scarico in mare avvenga in seguito a un'avaria alla nave o al suo equipaggiamento. Questo articolo è applicabile solo se è soddisfatta la condizione di avaria alla nave/all'equipaggiamento. La disposizione è stata modificata per chiarire il regime di responsabilità esistente in virtù della convenzione Marpol 73/78, precisando le norme applicabili senza modificarle rispetto alla direttiva 2005/35/CE. La nozione di "proprietario" utilizzata nella convenzione Marpol 73/78 è chiarita ricorrendo invece alla nozione di "società", in quanto può rimandare a diversi soggetti che gestiscono una nave. Questa eccezione si applica quindi a qualsiasi organizzazione che abbia assunto l'esercizio della nave, in linea con il codice ISM. La disposizione si applica all'ambito di applicazione esteso della direttiva. Le eccezioni per i reati (articolo 5 bis) e gli ulteriori approfondimenti in merito (articolo 5 ter) sono stati eliminati per motivi di coerenza giuridica con la direttiva (UE) 2023/xxxx sulla tutela penale dell'ambiente. Le soglie di responsabilità penale per i reati di </w:t>
      </w:r>
      <w:r w:rsidRPr="008C52C9">
        <w:rPr>
          <w:noProof/>
        </w:rPr>
        <w:lastRenderedPageBreak/>
        <w:t>inquinamento provocato dalle navi introdotte dalla direttiva 2009/123/CE sono state eliminate, in quanto sono ora contemplate nella direttiva (UE) 2023/xxxx.</w:t>
      </w:r>
    </w:p>
    <w:p w14:paraId="5F3966A8" w14:textId="77777777" w:rsidR="00C86B81" w:rsidRPr="008C52C9" w:rsidRDefault="00C86B81" w:rsidP="00C86B81">
      <w:pPr>
        <w:pBdr>
          <w:top w:val="nil"/>
          <w:left w:val="nil"/>
          <w:bottom w:val="nil"/>
          <w:right w:val="nil"/>
          <w:between w:val="nil"/>
          <w:bar w:val="nil"/>
        </w:pBdr>
        <w:spacing w:before="0" w:after="240"/>
        <w:rPr>
          <w:b/>
          <w:i/>
          <w:noProof/>
        </w:rPr>
      </w:pPr>
      <w:r w:rsidRPr="008C52C9">
        <w:rPr>
          <w:b/>
          <w:i/>
          <w:noProof/>
        </w:rPr>
        <w:t>Articolo 6 – Misure di controllo dell'applicazione per le navi che si trovano nel porto di uno Stato membro</w:t>
      </w:r>
    </w:p>
    <w:p w14:paraId="38243684" w14:textId="77777777" w:rsidR="00C86B81" w:rsidRPr="008C52C9" w:rsidRDefault="00C86B81" w:rsidP="00C86B81">
      <w:pPr>
        <w:pBdr>
          <w:top w:val="nil"/>
          <w:left w:val="nil"/>
          <w:bottom w:val="nil"/>
          <w:right w:val="nil"/>
          <w:between w:val="nil"/>
          <w:bar w:val="nil"/>
        </w:pBdr>
        <w:spacing w:before="0" w:after="240"/>
        <w:rPr>
          <w:noProof/>
        </w:rPr>
      </w:pPr>
      <w:r w:rsidRPr="008C52C9">
        <w:rPr>
          <w:noProof/>
        </w:rPr>
        <w:t xml:space="preserve">La disposizione non cambia rispetto a quella vigente. Al fine di assistere gli Stati membri nell'adempimento dei loro obblighi a norma dell'articolo 6, nella direttiva è introdotto un nuovo allegato nel quale figura un elenco indicativo di irregolarità o informazioni che potrebbero far sospettare che si sia verificato uno scarico illegale, cosa che a sua volta fa scattare l'obbligo per lo Stato di approdo di ispezionare l'incidente. </w:t>
      </w:r>
    </w:p>
    <w:p w14:paraId="604C269D" w14:textId="77777777" w:rsidR="00C86B81" w:rsidRPr="008C52C9" w:rsidRDefault="00C86B81" w:rsidP="00C86B81">
      <w:pPr>
        <w:pBdr>
          <w:top w:val="nil"/>
          <w:left w:val="nil"/>
          <w:bottom w:val="nil"/>
          <w:right w:val="nil"/>
          <w:between w:val="nil"/>
          <w:bar w:val="nil"/>
        </w:pBdr>
        <w:spacing w:before="0" w:after="240"/>
        <w:rPr>
          <w:b/>
          <w:i/>
          <w:noProof/>
        </w:rPr>
      </w:pPr>
      <w:r w:rsidRPr="008C52C9">
        <w:rPr>
          <w:b/>
          <w:i/>
          <w:noProof/>
        </w:rPr>
        <w:t xml:space="preserve"> Articolo 8 – Sanzioni</w:t>
      </w:r>
    </w:p>
    <w:p w14:paraId="64724BDF" w14:textId="77777777" w:rsidR="00C86B81" w:rsidRPr="008C52C9" w:rsidRDefault="00C86B81" w:rsidP="00C86B81">
      <w:pPr>
        <w:pBdr>
          <w:top w:val="nil"/>
          <w:left w:val="nil"/>
          <w:bottom w:val="nil"/>
          <w:right w:val="nil"/>
          <w:between w:val="nil"/>
          <w:bar w:val="nil"/>
        </w:pBdr>
        <w:spacing w:before="0" w:after="240"/>
        <w:rPr>
          <w:noProof/>
        </w:rPr>
      </w:pPr>
      <w:r w:rsidRPr="008C52C9">
        <w:rPr>
          <w:noProof/>
        </w:rPr>
        <w:t>L'articolo è modificato in ragione delle implicazioni della direttiva (UE) 2023/xxxx sulla tutela penale dell'ambiente. La revisione della direttiva 2005/35/CE riguarderà solo le sanzioni amministrative, mentre la direttiva (UE) 2023/xxxx contempla le sanzioni penali per l'inquinamento provocato dalle navi. Tale revisione specifica i principi che dovrebbero disciplinare l'introduzione di sanzioni nelle disposizioni di legge nazionali che recepiscono la direttiva, ovvero che esse dovrebbero essere effettive, proporzionate e dissuasive. Il sistema di sanzioni amministrative introdotto nell'ordinamento giuridico nazionale non dovrebbe pregiudicare la direttiva (UE) 2023/xxxx e le sanzioni ivi previste</w:t>
      </w:r>
      <w:r w:rsidRPr="008C52C9">
        <w:rPr>
          <w:rStyle w:val="FootnoteReference"/>
          <w:noProof/>
        </w:rPr>
        <w:footnoteReference w:id="16"/>
      </w:r>
      <w:r w:rsidRPr="008C52C9">
        <w:rPr>
          <w:noProof/>
        </w:rPr>
        <w:t>. Un nuovo paragrafo all'articolo 8 specifica il tipo di sanzioni che come minimo è opportuno prevedere nell'ordinamento giuridico nazionale, che dovrebbero includere ammende imposte alla società della nave, riconoscendo le norme internazionali applicabili al trasporto marittimo secondo cui la gestione operativa e/o tecnica della nave potrebbe essere delegata dal proprietario registrato a una società diversa. In tali casi la società sarà ritenuta responsabile di aver scaricato illegalmente sostanze inquinanti in mare anziché conferirle agli impianti portuali di raccolta, a meno che non dimostri che un'altra persona, ossia il comandante o uno o più membri dell'equipaggio, nel caso in cui questi ultimi non agiscano sotto la responsabilità del comandante stesso, sono responsabili dello scarico. Un nuovo paragrafo all'articolo 8 chiarisce che, qualora sia dimostrato che la responsabilità della violazione è di una persona diversa dalla società, tale persona dovrebbe essere soggetta a sanzioni in conformità della direttiva 2005/35/CE. Le sanzioni penali applicabili alle persone fisiche (articolo 8 bis), la responsabilità per i reati (articolo 8 ter) e le sanzioni penali applicabili alle persone giuridiche (articolo 8 quater) sono state eliminate per motivi di coerenza giuridica con la direttiva (UE) 2023/xxxx sulla tutela penale dell'ambiente.</w:t>
      </w:r>
    </w:p>
    <w:p w14:paraId="0FD58700" w14:textId="77777777" w:rsidR="00C86B81" w:rsidRPr="008C52C9" w:rsidRDefault="00C86B81" w:rsidP="00C86B81">
      <w:pPr>
        <w:pBdr>
          <w:top w:val="nil"/>
          <w:left w:val="nil"/>
          <w:bottom w:val="nil"/>
          <w:right w:val="nil"/>
          <w:between w:val="nil"/>
          <w:bar w:val="nil"/>
        </w:pBdr>
        <w:spacing w:before="0" w:after="240"/>
        <w:rPr>
          <w:b/>
          <w:i/>
          <w:noProof/>
        </w:rPr>
      </w:pPr>
      <w:r w:rsidRPr="008C52C9">
        <w:rPr>
          <w:b/>
          <w:i/>
          <w:noProof/>
        </w:rPr>
        <w:t>Articolo 8 quinquies – Applicazione efficace delle sanzioni (nuovo)</w:t>
      </w:r>
    </w:p>
    <w:p w14:paraId="0DA8CE70" w14:textId="77777777" w:rsidR="00C86B81" w:rsidRPr="008C52C9" w:rsidRDefault="00C86B81" w:rsidP="00C86B81">
      <w:pPr>
        <w:pBdr>
          <w:top w:val="nil"/>
          <w:left w:val="nil"/>
          <w:bottom w:val="nil"/>
          <w:right w:val="nil"/>
          <w:between w:val="nil"/>
          <w:bar w:val="nil"/>
        </w:pBdr>
        <w:spacing w:before="0" w:after="240"/>
        <w:rPr>
          <w:noProof/>
        </w:rPr>
      </w:pPr>
      <w:r w:rsidRPr="008C52C9">
        <w:rPr>
          <w:noProof/>
        </w:rPr>
        <w:t xml:space="preserve">Si tratta di un nuovo articolo inteso a garantire un'applicazione coerente del sistema di sanzioni previsto dalla direttiva in tutta l'Unione e il ravvicinamento delle sanzioni imposte. Le autorità giudiziarie e amministrative nazionali dovrebbero tenere conto di tutte le circostanze pertinenti nel determinare il livello delle sanzioni da imporre a chi inquina. Tenendo conto della diversa natura delle sostanze inquinanti contemplate dalla presente direttiva e dell'importanza di un'applicazione coerente di tali sanzioni in tutta l'Unione alla luce della natura transfrontaliera dell'inquinamento provocato dalle navi, l'ulteriore efficacia dei livelli di sanzione sarà definita in un atto di esecuzione che stabilisce criteri concreti per l'applicazione delle sanzioni per gli scarichi di diverse sostanze inquinanti in mare. Un </w:t>
      </w:r>
      <w:r w:rsidRPr="008C52C9">
        <w:rPr>
          <w:noProof/>
        </w:rPr>
        <w:lastRenderedPageBreak/>
        <w:t xml:space="preserve">esempio di tali criteri aggiuntivi potrebbe essere quello di basarsi sull'area geografica in cui è avvenuto lo scarico di uno specifico tipo di sostanza inquinante, a seconda della sensibilità dell'area alle sostanze chimiche contenute in tale sostanza inquinante, come gli scarichi illegali di olio da cucina nel Mar Baltico. </w:t>
      </w:r>
    </w:p>
    <w:p w14:paraId="20046473" w14:textId="77777777" w:rsidR="00C86B81" w:rsidRPr="008C52C9" w:rsidRDefault="00C86B81" w:rsidP="00C86B81">
      <w:pPr>
        <w:pBdr>
          <w:top w:val="nil"/>
          <w:left w:val="nil"/>
          <w:bottom w:val="nil"/>
          <w:right w:val="nil"/>
          <w:between w:val="nil"/>
          <w:bar w:val="nil"/>
        </w:pBdr>
        <w:spacing w:before="0" w:after="240"/>
        <w:rPr>
          <w:b/>
          <w:i/>
          <w:noProof/>
        </w:rPr>
      </w:pPr>
      <w:r w:rsidRPr="008C52C9">
        <w:rPr>
          <w:b/>
          <w:i/>
          <w:noProof/>
        </w:rPr>
        <w:t>Articolo 10 – Scambio di informazioni ed esperienze</w:t>
      </w:r>
    </w:p>
    <w:p w14:paraId="638E475F" w14:textId="77777777" w:rsidR="00C269C8" w:rsidRPr="008C52C9" w:rsidRDefault="00C86B81" w:rsidP="00C86B81">
      <w:pPr>
        <w:pBdr>
          <w:top w:val="nil"/>
          <w:left w:val="nil"/>
          <w:bottom w:val="nil"/>
          <w:right w:val="nil"/>
          <w:between w:val="nil"/>
          <w:bar w:val="nil"/>
        </w:pBdr>
        <w:spacing w:before="0" w:after="240"/>
        <w:rPr>
          <w:noProof/>
        </w:rPr>
      </w:pPr>
      <w:r w:rsidRPr="008C52C9">
        <w:rPr>
          <w:noProof/>
        </w:rPr>
        <w:t xml:space="preserve">Il principio alla base della disposizione non è cambiato: la Commissione assiste gli Stati membri nelle loro attività di applicazione con il sostegno dell'EMSA. Il titolo dell'articolo è stato modificato per tenere conto del fatto che le misure delineate in questo articolo riguardano lo scambio di informazioni ed esperienze necessarie per l'efficace attuazione della direttiva e la cooperazione tra le parti interessate. </w:t>
      </w:r>
    </w:p>
    <w:p w14:paraId="6454FF2C" w14:textId="77777777" w:rsidR="00C86B81" w:rsidRPr="008C52C9" w:rsidRDefault="00C86B81" w:rsidP="00C86B81">
      <w:pPr>
        <w:pBdr>
          <w:top w:val="nil"/>
          <w:left w:val="nil"/>
          <w:bottom w:val="nil"/>
          <w:right w:val="nil"/>
          <w:between w:val="nil"/>
          <w:bar w:val="nil"/>
        </w:pBdr>
        <w:spacing w:before="0" w:after="240"/>
        <w:rPr>
          <w:noProof/>
        </w:rPr>
      </w:pPr>
      <w:r w:rsidRPr="008C52C9">
        <w:rPr>
          <w:noProof/>
        </w:rPr>
        <w:t>Al fine di migliorare lo scambio di informazioni tra gli Stati membri, sono state aggiunte disposizioni relative al rafforzamento degli strumenti digitali esistenti a disposizione degli Stati membri, in particolare CleanSeaNet, e al miglioramento dei collegamenti automatici tra le banche dati sulla sicurezza marittima e i sistemi di scambio di informazioni esistenti, tra cui THETIS, THETIS-EU e SafeSeaNet, in modo da fornire informazioni tempestive e accurate in un formato di facile utilizzo nell'ambito dei servizi marittimi integrati e di consentire attività più mirate da parte degli Stati membri. Per garantire un monitoraggio efficace dell'attuazione della direttiva da parte di tutti gli Stati membri, è previsto anche un tasso di verifica del 10 % all'anno delle segnalazioni inviate tramite CleanSeaNet da parte di ciascuno Stato membro. È opportuno agevolare l'accesso a tali informazioni da parte delle autorità nazionali lungo tutta la catena di applicazione, nonché da parte delle autorità di altri Stati membri interessate a tali informazioni, al fine di ridurre al minimo l'onere amministrativo delle attività di applicazione. La Commissione metterà a disposizione le sedi in cui dovrebbe avvenire lo scambio di esperienze tra le autorità e gli esperti degli Stati membri. A tal fine si propongono riunioni di esperti per la definizione di prassi e orientamenti comuni, ad esempio attraverso l'istituzione di un gruppo di esperti dedicato. Le disposizioni sui compiti dell'EMSA sono state eliminate dall'articolo in quanto tali compiti sono definiti in uno strumento giuridico separato.</w:t>
      </w:r>
    </w:p>
    <w:p w14:paraId="2BCE17E6" w14:textId="77777777" w:rsidR="00C86B81" w:rsidRPr="008C52C9" w:rsidRDefault="00C86B81" w:rsidP="00C86B81">
      <w:pPr>
        <w:pStyle w:val="Typeacteprincipal"/>
        <w:jc w:val="both"/>
        <w:rPr>
          <w:i/>
          <w:noProof/>
        </w:rPr>
      </w:pPr>
      <w:r w:rsidRPr="008C52C9">
        <w:rPr>
          <w:i/>
          <w:noProof/>
        </w:rPr>
        <w:t>Articolo 10 bis – Comunicazione delle informazioni (nuovo)</w:t>
      </w:r>
    </w:p>
    <w:p w14:paraId="1C778F06" w14:textId="77777777" w:rsidR="00C86B81" w:rsidRPr="008C52C9" w:rsidRDefault="00C86B81" w:rsidP="00C86B81">
      <w:pPr>
        <w:pBdr>
          <w:top w:val="nil"/>
          <w:left w:val="nil"/>
          <w:bottom w:val="nil"/>
          <w:right w:val="nil"/>
          <w:between w:val="nil"/>
          <w:bar w:val="nil"/>
        </w:pBdr>
        <w:spacing w:before="0" w:after="240"/>
        <w:rPr>
          <w:noProof/>
        </w:rPr>
      </w:pPr>
      <w:r w:rsidRPr="008C52C9">
        <w:rPr>
          <w:noProof/>
        </w:rPr>
        <w:t xml:space="preserve">Gli obblighi di comunicazione da parte degli Stati membri sono stati sostituiti da un sistema più dettagliato di comunicazione alla Commissione sull'attuazione della direttiva. Di conseguenza la comunicazione ora dovrebbe avvenire non appena le attività pertinenti sono state completate, per mezzo di un apposito strumento elettronico di comunicazione sviluppato e gestito dall'EMSA. Questa modalità garantisce un sistema di comunicazione concreto e più efficace, evitando uno sfasamento temporale tra la data dell'incidente di inquinamento o del procedimento amministrativo e la data effettiva della comunicazione. L'articolo prevede che gli Stati membri comunichino i dati pertinenti relativi a i) ispezioni, ii) attività di verifica e iii) sanzioni imposte. Richiede inoltre agli Stati membri di registrare in CleanSeaNet l'attività di verifica intrapresa dopo l'invio di una segnalazione allo Stato membro tramite tale servizio o i motivi per cui non vi è stato dato seguito. È previsto un atto di esecuzione per fornire norme più dettagliate sulla procedura di comunicazione, specificando anche il tipo di informazioni che devono essere comunicate. La Commissione monitorerà l'attuazione e l'efficacia della direttiva con il sostegno dell'EMSA attraverso tali azioni e sarà in grado di valutare gli indicatori che misureranno i progressi verso il conseguimento degli obiettivi della direttiva. </w:t>
      </w:r>
    </w:p>
    <w:p w14:paraId="31B6A30F" w14:textId="77777777" w:rsidR="00C86B81" w:rsidRPr="008C52C9" w:rsidRDefault="00C86B81" w:rsidP="00C86B81">
      <w:pPr>
        <w:pStyle w:val="Typeacteprincipal"/>
        <w:jc w:val="both"/>
        <w:rPr>
          <w:i/>
          <w:noProof/>
        </w:rPr>
      </w:pPr>
      <w:r w:rsidRPr="008C52C9">
        <w:rPr>
          <w:i/>
          <w:noProof/>
        </w:rPr>
        <w:t>Articolo 10 ter – Formazione (nuovo)</w:t>
      </w:r>
    </w:p>
    <w:p w14:paraId="469A5409" w14:textId="77777777" w:rsidR="00C86B81" w:rsidRPr="008C52C9" w:rsidRDefault="00C86B81" w:rsidP="00C86B81">
      <w:pPr>
        <w:pBdr>
          <w:top w:val="nil"/>
          <w:left w:val="nil"/>
          <w:bottom w:val="nil"/>
          <w:right w:val="nil"/>
          <w:between w:val="nil"/>
          <w:bar w:val="nil"/>
        </w:pBdr>
        <w:spacing w:before="0" w:after="240"/>
        <w:rPr>
          <w:noProof/>
        </w:rPr>
      </w:pPr>
      <w:r w:rsidRPr="008C52C9">
        <w:rPr>
          <w:noProof/>
        </w:rPr>
        <w:lastRenderedPageBreak/>
        <w:t>Questa disposizione mira ad assistere gli Stati membri nelle loro attività di formazione delle autorità competenti coinvolte nella catena di applicazione, al fine di garantire che tutte le parti coinvolte dispongano delle competenze e delle capacità specialistiche necessarie per ricoprire efficacemente il proprio ruolo. L'articolo prevede che la Commissione, con il sostegno tecnico dell'EMSA, fornisca attività di formazione agli Stati membri dell'UE per meglio adempiere alle loro responsabilità a norma della direttiva, visti l'ampliamento dell'ambito di applicazione e i nuovi sviluppi normativi in seno all'IMO che sono pertinenti per l'attuazione della direttiva. Su tale base l'EMSA organizzerà regolarmente seminari e tratterà i) i nuovi sviluppi tecnologici, compresi i nuovi strumenti digitali, per quanto riguarda l'attuazione della direttiva; e ii) le migliori prassi degli Stati membri e i loro metodi per la raccolta degli elementi di prova e la verifica degli scarichi illegali.</w:t>
      </w:r>
    </w:p>
    <w:p w14:paraId="2996B217" w14:textId="77777777" w:rsidR="00C86B81" w:rsidRPr="008C52C9" w:rsidRDefault="00C86B81" w:rsidP="00C86B81">
      <w:pPr>
        <w:pBdr>
          <w:top w:val="nil"/>
          <w:left w:val="nil"/>
          <w:bottom w:val="nil"/>
          <w:right w:val="nil"/>
          <w:between w:val="nil"/>
          <w:bar w:val="nil"/>
        </w:pBdr>
        <w:spacing w:before="0" w:after="240"/>
        <w:rPr>
          <w:b/>
          <w:i/>
          <w:noProof/>
        </w:rPr>
      </w:pPr>
      <w:r w:rsidRPr="008C52C9">
        <w:rPr>
          <w:b/>
          <w:i/>
          <w:noProof/>
        </w:rPr>
        <w:t>Articolo 10 quater –</w:t>
      </w:r>
      <w:r w:rsidRPr="008C52C9">
        <w:rPr>
          <w:noProof/>
        </w:rPr>
        <w:t xml:space="preserve"> </w:t>
      </w:r>
      <w:r w:rsidRPr="008C52C9">
        <w:rPr>
          <w:b/>
          <w:i/>
          <w:noProof/>
        </w:rPr>
        <w:t>Pubblicazione delle informazioni (nuovo)</w:t>
      </w:r>
    </w:p>
    <w:p w14:paraId="153AE783" w14:textId="77777777" w:rsidR="00C86B81" w:rsidRPr="008C52C9" w:rsidRDefault="00C86B81" w:rsidP="00C86B81">
      <w:pPr>
        <w:rPr>
          <w:noProof/>
          <w:sz w:val="22"/>
        </w:rPr>
      </w:pPr>
      <w:r w:rsidRPr="008C52C9">
        <w:rPr>
          <w:noProof/>
        </w:rPr>
        <w:t>Si tratta di un nuovo articolo. La Commissione garantirà la disponibilità online di informazioni chiave, non riservate e aggiornate sull'inquinamento provocato dalle navi. Su tale base l'EMSA pubblicherà online una panoramica e la aggiornerà regolarmente. In questo modo saranno accessibili al pubblico le informazioni generali su ciascun incidente di inquinamento provocato dalle navi nell'UE. In ciò rientrerebbero informazioni quali i dettagli di una segnalazione proveniente dalla sorveglianza satellitare, il relativo seguito dato dallo Stato membro interessato, i fatti della verifica sul posto o dell'ispezione della nave e il risultato finale del procedimento, ad esempio la sanzione amministrativa comminata, compreso il suo livello, il nome, la bandiera e il numero IMO della nave a cui è stata imposta, nonché i fatti fondamentali del caso nell'ambito del quale è avvenuta l'imposizione. L'EMSA renderà inoltre disponibile al pubblico una panoramica dell'attuazione e dell'applicazione della presente direttiva per Stato membro, fornendo profili dei paesi con informazioni che misurano i progressi compiuti verso il conseguimento degli obiettivi specifici, come il numero di incidenti di inquinamento identificati o il numero di procedimenti amministrativi per paese, nonché alcuni indicatori fondamentali sui loro rapporti. Nella direttiva è inserito un nuovo allegato, nel quale è indicato il tipo di informazioni disponibili al pubblico.</w:t>
      </w:r>
    </w:p>
    <w:p w14:paraId="0FD04730" w14:textId="77777777" w:rsidR="00C86B81" w:rsidRPr="008C52C9" w:rsidRDefault="00C86B81" w:rsidP="00C86B81">
      <w:pPr>
        <w:pBdr>
          <w:top w:val="nil"/>
          <w:left w:val="nil"/>
          <w:bottom w:val="nil"/>
          <w:right w:val="nil"/>
          <w:between w:val="nil"/>
          <w:bar w:val="nil"/>
        </w:pBdr>
        <w:spacing w:before="0" w:after="240"/>
        <w:rPr>
          <w:b/>
          <w:i/>
          <w:noProof/>
        </w:rPr>
      </w:pPr>
      <w:r w:rsidRPr="008C52C9">
        <w:rPr>
          <w:b/>
          <w:i/>
          <w:noProof/>
        </w:rPr>
        <w:t>Articolo 10 quinquies – Protezione delle persone che segnalano potenziali scarichi illegali (nuovo)</w:t>
      </w:r>
    </w:p>
    <w:p w14:paraId="4447B190" w14:textId="77777777" w:rsidR="00C86B81" w:rsidRPr="008C52C9" w:rsidRDefault="00C86B81" w:rsidP="00C86B81">
      <w:pPr>
        <w:pBdr>
          <w:top w:val="nil"/>
          <w:left w:val="nil"/>
          <w:bottom w:val="nil"/>
          <w:right w:val="nil"/>
          <w:between w:val="nil"/>
          <w:bar w:val="nil"/>
        </w:pBdr>
        <w:spacing w:before="0" w:after="240"/>
        <w:rPr>
          <w:b/>
          <w:i/>
          <w:noProof/>
        </w:rPr>
      </w:pPr>
      <w:r w:rsidRPr="008C52C9">
        <w:rPr>
          <w:noProof/>
        </w:rPr>
        <w:t xml:space="preserve">Il nuovo assetto degli strumenti digitali dell'EMSA fornirà un portale per avvertire lo Stato membro che si è verificato uno scarico illegale da una nave in mare. Gli informatori (ossia le persone fisiche che forniscono informazioni sulle violazioni acquisite nel contesto delle loro attività lavorative) avranno un canale dedicato per segnalare i potenziali reati. Questo articolo fa riferimento alla protezione degli informatori attraverso il collegamento alla direttiva (UE) 2019/1937 che stabilisce norme minime per la protezione delle persone che segnalano violazioni del diritto dell'Unione. </w:t>
      </w:r>
    </w:p>
    <w:p w14:paraId="0D73B2D7" w14:textId="77777777" w:rsidR="00C86B81" w:rsidRPr="008C52C9" w:rsidRDefault="00C86B81" w:rsidP="00C86B81">
      <w:pPr>
        <w:pBdr>
          <w:top w:val="nil"/>
          <w:left w:val="nil"/>
          <w:bottom w:val="nil"/>
          <w:right w:val="nil"/>
          <w:between w:val="nil"/>
          <w:bar w:val="nil"/>
        </w:pBdr>
        <w:spacing w:before="0" w:after="240"/>
        <w:rPr>
          <w:b/>
          <w:i/>
          <w:noProof/>
        </w:rPr>
      </w:pPr>
      <w:r w:rsidRPr="008C52C9">
        <w:rPr>
          <w:b/>
          <w:i/>
          <w:noProof/>
        </w:rPr>
        <w:t>Articolo 12 bis – Valutazione e riesame (nuovo)</w:t>
      </w:r>
    </w:p>
    <w:p w14:paraId="2AA08732" w14:textId="77777777" w:rsidR="00C86B81" w:rsidRPr="008C52C9" w:rsidRDefault="00C86B81" w:rsidP="00C86B81">
      <w:pPr>
        <w:pBdr>
          <w:top w:val="nil"/>
          <w:left w:val="nil"/>
          <w:bottom w:val="nil"/>
          <w:right w:val="nil"/>
          <w:between w:val="nil"/>
          <w:bar w:val="nil"/>
        </w:pBdr>
        <w:spacing w:before="0" w:after="240"/>
        <w:rPr>
          <w:noProof/>
        </w:rPr>
      </w:pPr>
      <w:r w:rsidRPr="008C52C9">
        <w:rPr>
          <w:noProof/>
        </w:rPr>
        <w:t>Si tratta di un nuovo articolo. Questa disposizione prevede che la Commissione presenti una valutazione dell'attuazione della direttiva cinque anni dopo il recepimento. È stata inoltre aggiunta una clausola di riesame in cui si afferma che durante il riesame si dovrebbe tenere conto di eventuali modifiche future delle norme internazionali per la prevenzione dell'inquinamento provocato dalle navi che sono state sottoposte a controllo dalla convenzione Marpol 73/78.</w:t>
      </w:r>
    </w:p>
    <w:p w14:paraId="6B6F5FA1" w14:textId="77777777" w:rsidR="00C86B81" w:rsidRPr="008C52C9" w:rsidRDefault="00C86B81" w:rsidP="00C86B81">
      <w:pPr>
        <w:pBdr>
          <w:top w:val="nil"/>
          <w:left w:val="nil"/>
          <w:bottom w:val="nil"/>
          <w:right w:val="nil"/>
          <w:between w:val="nil"/>
          <w:bar w:val="nil"/>
        </w:pBdr>
        <w:spacing w:before="0" w:after="240"/>
        <w:rPr>
          <w:b/>
          <w:i/>
          <w:noProof/>
        </w:rPr>
      </w:pPr>
      <w:r w:rsidRPr="008C52C9">
        <w:rPr>
          <w:b/>
          <w:i/>
          <w:noProof/>
        </w:rPr>
        <w:t xml:space="preserve">Articolo 13 – Procedura di comitato </w:t>
      </w:r>
    </w:p>
    <w:p w14:paraId="2AB494DB" w14:textId="77777777" w:rsidR="00C86B81" w:rsidRPr="008C52C9" w:rsidRDefault="00C86B81" w:rsidP="00C86B81">
      <w:pPr>
        <w:pBdr>
          <w:top w:val="nil"/>
          <w:left w:val="nil"/>
          <w:bottom w:val="nil"/>
          <w:right w:val="nil"/>
          <w:between w:val="nil"/>
          <w:bar w:val="nil"/>
        </w:pBdr>
        <w:spacing w:before="0" w:after="240"/>
        <w:rPr>
          <w:noProof/>
        </w:rPr>
      </w:pPr>
      <w:r w:rsidRPr="008C52C9">
        <w:rPr>
          <w:noProof/>
        </w:rPr>
        <w:lastRenderedPageBreak/>
        <w:t xml:space="preserve">Si tratta di un nuovo articolo standard per l'adozione degli atti di esecuzione. </w:t>
      </w:r>
    </w:p>
    <w:p w14:paraId="6CBF68A7" w14:textId="77777777" w:rsidR="00C86B81" w:rsidRPr="008C52C9" w:rsidRDefault="00C86B81" w:rsidP="00C86B81">
      <w:pPr>
        <w:pBdr>
          <w:top w:val="nil"/>
          <w:left w:val="nil"/>
          <w:bottom w:val="nil"/>
          <w:right w:val="nil"/>
          <w:between w:val="nil"/>
          <w:bar w:val="nil"/>
        </w:pBdr>
        <w:spacing w:before="0" w:after="240"/>
        <w:rPr>
          <w:b/>
          <w:i/>
          <w:noProof/>
        </w:rPr>
      </w:pPr>
      <w:r w:rsidRPr="008C52C9">
        <w:rPr>
          <w:b/>
          <w:i/>
          <w:noProof/>
        </w:rPr>
        <w:t>Gli ex articoli 5 bis e 5 ter, da 8 bis a 8 quater, 11, 14 e 15 e l'allegato unico sono stati soppressi</w:t>
      </w:r>
    </w:p>
    <w:p w14:paraId="061EB95F" w14:textId="77777777" w:rsidR="008E10AA" w:rsidRPr="008C52C9" w:rsidRDefault="00C86B81" w:rsidP="00C86B81">
      <w:pPr>
        <w:pBdr>
          <w:top w:val="nil"/>
          <w:left w:val="nil"/>
          <w:bottom w:val="nil"/>
          <w:right w:val="nil"/>
          <w:between w:val="nil"/>
          <w:bar w:val="nil"/>
        </w:pBdr>
        <w:spacing w:before="0" w:after="240"/>
        <w:rPr>
          <w:noProof/>
        </w:rPr>
      </w:pPr>
      <w:r w:rsidRPr="008C52C9">
        <w:rPr>
          <w:noProof/>
        </w:rPr>
        <w:t>I suddetti articoli sono stati soppressi in linea di massima in ragione delle implicazioni della direttiva (UE) 2023/xxxx sulla tutela penale dell'ambiente e nei casi in cui non sono più pertinenti. L'allegato unico della direttiva 2005/35/CE è stato soppresso in quanto obsoleto.</w:t>
      </w:r>
    </w:p>
    <w:p w14:paraId="63BA17CC" w14:textId="77777777" w:rsidR="00C86B81" w:rsidRPr="008C52C9" w:rsidRDefault="00C86B81" w:rsidP="00C86B81">
      <w:pPr>
        <w:pBdr>
          <w:top w:val="nil"/>
          <w:left w:val="nil"/>
          <w:bottom w:val="nil"/>
          <w:right w:val="nil"/>
          <w:between w:val="nil"/>
          <w:bar w:val="nil"/>
        </w:pBdr>
        <w:spacing w:before="0" w:after="240"/>
        <w:rPr>
          <w:b/>
          <w:i/>
          <w:noProof/>
        </w:rPr>
      </w:pPr>
      <w:r w:rsidRPr="008C52C9">
        <w:rPr>
          <w:b/>
          <w:i/>
          <w:noProof/>
        </w:rPr>
        <w:t>Allegato I (nuovo)</w:t>
      </w:r>
    </w:p>
    <w:p w14:paraId="752FE657" w14:textId="77777777" w:rsidR="00C86B81" w:rsidRPr="008C52C9" w:rsidRDefault="00C86B81" w:rsidP="00C86B81">
      <w:pPr>
        <w:rPr>
          <w:noProof/>
        </w:rPr>
      </w:pPr>
      <w:r w:rsidRPr="008C52C9">
        <w:rPr>
          <w:noProof/>
        </w:rPr>
        <w:t>Si tratta di un nuovo allegato che fornisce esempi di situazioni in cui dovrebbero essere avviate attività di applicazione, poiché si sospetta che una nave abbia scaricato illegalmente sostanze inquinanti. In tal caso lo Stato membro deve effettuare un'ispezione in porto per verificare e raccogliere informazioni sulle circostanze dello scarico illegale, nonché elementi di prova. L'allegato contiene un elenco indicativo di esempi di irregolarità e di informazioni che potrebbero far scattare l'obbligo di ispezione, ad esempio i risultati di precedenti ispezioni da parte dello Stato di approdo, di ispezioni effettuate da autorità di polizia, ambientali o di altro tipo o delle ispezioni sul conferimento dei rifiuti delle navi agli impianti portuali di raccolta o le informazioni scambiate o ricevute tramite i servizi marittimi integrati. Se l'ispezione dimostra che è avvenuto uno scarico illegale, devono essere avviati gli eventuali procedimenti del caso.</w:t>
      </w:r>
    </w:p>
    <w:p w14:paraId="49A493C3" w14:textId="77777777" w:rsidR="00C86B81" w:rsidRPr="008C52C9" w:rsidRDefault="00C86B81" w:rsidP="00C86B81">
      <w:pPr>
        <w:pBdr>
          <w:top w:val="nil"/>
          <w:left w:val="nil"/>
          <w:bottom w:val="nil"/>
          <w:right w:val="nil"/>
          <w:between w:val="nil"/>
          <w:bar w:val="nil"/>
        </w:pBdr>
        <w:spacing w:before="0" w:after="240"/>
        <w:rPr>
          <w:b/>
          <w:i/>
          <w:noProof/>
        </w:rPr>
      </w:pPr>
      <w:r w:rsidRPr="008C52C9">
        <w:rPr>
          <w:b/>
          <w:i/>
          <w:noProof/>
        </w:rPr>
        <w:t>Allegato II (nuovo)</w:t>
      </w:r>
    </w:p>
    <w:p w14:paraId="49C578EE" w14:textId="77777777" w:rsidR="00EC7095" w:rsidRPr="008C52C9" w:rsidRDefault="00C86B81" w:rsidP="00356989">
      <w:pPr>
        <w:rPr>
          <w:noProof/>
        </w:rPr>
      </w:pPr>
      <w:r w:rsidRPr="008C52C9">
        <w:rPr>
          <w:noProof/>
        </w:rPr>
        <w:t>Si tratta di un nuovo allegato che fornisce un elenco non esaustivo di tipi di informazioni che devono essere divulgate al pubblico su ciascun incidente di inquinamento e sull'attuazione della direttiva da parte di ciascuno Stato membro. Tali informazioni saranno fornite in un formato di facile utilizzo, ad esempio sotto forma di una mappa in cui l'utente può ingrandire l'area geografica di interesse e vedere come sono stati gestiti gli incidenti di inquinamento in un determinato anno. Le informazioni disponibili al pubblico saranno fornite in un linguaggio non tecnico, con l'obiettivo di informarlo sul modo in cui gli Stati membri danno seguito agli incidenti di inquinamento e su quali navi sono state oggetto di ammende.</w:t>
      </w:r>
      <w:r w:rsidRPr="008C52C9">
        <w:rPr>
          <w:noProof/>
        </w:rPr>
        <w:tab/>
      </w:r>
    </w:p>
    <w:p w14:paraId="37BD1B2D" w14:textId="77777777" w:rsidR="0087732E" w:rsidRPr="008C52C9" w:rsidRDefault="0087732E" w:rsidP="00356989">
      <w:pPr>
        <w:rPr>
          <w:noProof/>
        </w:rPr>
        <w:sectPr w:rsidR="0087732E" w:rsidRPr="008C52C9" w:rsidSect="001A4546">
          <w:footerReference w:type="default" r:id="rId16"/>
          <w:footerReference w:type="first" r:id="rId17"/>
          <w:pgSz w:w="11907" w:h="16839"/>
          <w:pgMar w:top="1134" w:right="1417" w:bottom="1134" w:left="1417" w:header="709" w:footer="709" w:gutter="0"/>
          <w:cols w:space="708"/>
          <w:docGrid w:linePitch="360"/>
        </w:sectPr>
      </w:pPr>
    </w:p>
    <w:p w14:paraId="71B33B4A" w14:textId="32178420" w:rsidR="00B262AE" w:rsidRDefault="001A4546" w:rsidP="001A4546">
      <w:pPr>
        <w:pStyle w:val="Rfrenceinterinstitutionnelle"/>
        <w:rPr>
          <w:noProof/>
        </w:rPr>
      </w:pPr>
      <w:r w:rsidRPr="001A4546">
        <w:lastRenderedPageBreak/>
        <w:t>2023/0171 (COD)</w:t>
      </w:r>
    </w:p>
    <w:p w14:paraId="6CC86995" w14:textId="3852A58C" w:rsidR="00EC7095" w:rsidRPr="008C52C9" w:rsidRDefault="001A4546" w:rsidP="001A4546">
      <w:pPr>
        <w:pStyle w:val="Statut"/>
        <w:rPr>
          <w:noProof/>
        </w:rPr>
      </w:pPr>
      <w:r w:rsidRPr="001A4546">
        <w:t>Proposta di</w:t>
      </w:r>
    </w:p>
    <w:p w14:paraId="5F8769F8" w14:textId="513151A2" w:rsidR="00EC7095" w:rsidRPr="008C52C9" w:rsidRDefault="001A4546" w:rsidP="001A4546">
      <w:pPr>
        <w:pStyle w:val="Typedudocument"/>
        <w:rPr>
          <w:noProof/>
        </w:rPr>
      </w:pPr>
      <w:r w:rsidRPr="001A4546">
        <w:t>DIRETTIVA DEL PARLAMENTO EUROPEO E DEL CONSIGLIO</w:t>
      </w:r>
    </w:p>
    <w:p w14:paraId="68F93E36" w14:textId="1303444D" w:rsidR="00EC7095" w:rsidRPr="008C52C9" w:rsidRDefault="001A4546" w:rsidP="001A4546">
      <w:pPr>
        <w:pStyle w:val="Titreobjet"/>
        <w:rPr>
          <w:noProof/>
        </w:rPr>
      </w:pPr>
      <w:r w:rsidRPr="001A4546">
        <w:t>che modifica la direttiva 2005/35/CE relativa all'inquinamento provocato dalle navi e all'introduzione di sanzioni, anche penali, per i reati di inquinamento</w:t>
      </w:r>
    </w:p>
    <w:p w14:paraId="3CD485C5" w14:textId="2164FBEE" w:rsidR="00765696" w:rsidRPr="008C52C9" w:rsidRDefault="001A4546" w:rsidP="001A4546">
      <w:pPr>
        <w:pStyle w:val="IntrtEEE"/>
        <w:rPr>
          <w:noProof/>
        </w:rPr>
      </w:pPr>
      <w:r w:rsidRPr="001A4546">
        <w:t>(Testo rilevante ai fini del SEE)</w:t>
      </w:r>
    </w:p>
    <w:p w14:paraId="401C9C7A" w14:textId="77777777" w:rsidR="00EC7095" w:rsidRPr="008C52C9" w:rsidRDefault="00EC7095" w:rsidP="00A16A59">
      <w:pPr>
        <w:pStyle w:val="Institutionquiagit"/>
        <w:rPr>
          <w:noProof/>
        </w:rPr>
      </w:pPr>
      <w:r w:rsidRPr="008C52C9">
        <w:rPr>
          <w:noProof/>
        </w:rPr>
        <w:t>IL PARLAMENTO EUROPEO E IL CONSIGLIO DELL'UNIONE EUROPEA,</w:t>
      </w:r>
    </w:p>
    <w:p w14:paraId="24ABB9DB" w14:textId="77777777" w:rsidR="00EC7095" w:rsidRPr="008C52C9" w:rsidRDefault="00EC7095" w:rsidP="00A16A59">
      <w:pPr>
        <w:rPr>
          <w:noProof/>
        </w:rPr>
      </w:pPr>
      <w:r w:rsidRPr="008C52C9">
        <w:rPr>
          <w:noProof/>
        </w:rPr>
        <w:t>visto il trattato sul funzionamento dell'Unione europea, in particolare l'articolo 100, paragrafo 2,</w:t>
      </w:r>
    </w:p>
    <w:p w14:paraId="6B05CF9D" w14:textId="77777777" w:rsidR="00EC7095" w:rsidRPr="008C52C9" w:rsidRDefault="00EC7095" w:rsidP="00A16A59">
      <w:pPr>
        <w:rPr>
          <w:noProof/>
        </w:rPr>
      </w:pPr>
      <w:r w:rsidRPr="008C52C9">
        <w:rPr>
          <w:noProof/>
        </w:rPr>
        <w:t>vista la proposta della Commissione europea,</w:t>
      </w:r>
    </w:p>
    <w:p w14:paraId="58FA97B2" w14:textId="77777777" w:rsidR="00EC7095" w:rsidRPr="008C52C9" w:rsidRDefault="00EC7095" w:rsidP="00A16A59">
      <w:pPr>
        <w:rPr>
          <w:noProof/>
        </w:rPr>
      </w:pPr>
      <w:r w:rsidRPr="008C52C9">
        <w:rPr>
          <w:noProof/>
        </w:rPr>
        <w:t>previa trasmissione del progetto di atto legislativo ai parlamenti nazionali,</w:t>
      </w:r>
    </w:p>
    <w:p w14:paraId="209A639A" w14:textId="77777777" w:rsidR="00EC7095" w:rsidRPr="008C52C9" w:rsidRDefault="00EC7095" w:rsidP="00A16A59">
      <w:pPr>
        <w:rPr>
          <w:noProof/>
        </w:rPr>
      </w:pPr>
      <w:r w:rsidRPr="008C52C9">
        <w:rPr>
          <w:noProof/>
        </w:rPr>
        <w:t>visto il parere del Comitato economico e sociale europeo</w:t>
      </w:r>
      <w:r w:rsidRPr="008C52C9">
        <w:rPr>
          <w:rStyle w:val="FootnoteReference"/>
          <w:noProof/>
        </w:rPr>
        <w:footnoteReference w:id="17"/>
      </w:r>
      <w:r w:rsidRPr="008C52C9">
        <w:rPr>
          <w:noProof/>
        </w:rPr>
        <w:t xml:space="preserve">, </w:t>
      </w:r>
    </w:p>
    <w:p w14:paraId="5DEBDFEA" w14:textId="77777777" w:rsidR="00EC7095" w:rsidRPr="008C52C9" w:rsidRDefault="00EC7095" w:rsidP="00A16A59">
      <w:pPr>
        <w:rPr>
          <w:noProof/>
          <w:vertAlign w:val="superscript"/>
        </w:rPr>
      </w:pPr>
      <w:r w:rsidRPr="008C52C9">
        <w:rPr>
          <w:noProof/>
        </w:rPr>
        <w:t>visto il parere del Comitato delle regioni</w:t>
      </w:r>
      <w:r w:rsidRPr="008C52C9">
        <w:rPr>
          <w:rStyle w:val="FootnoteReference"/>
          <w:noProof/>
        </w:rPr>
        <w:footnoteReference w:id="18"/>
      </w:r>
      <w:r w:rsidRPr="008C52C9">
        <w:rPr>
          <w:noProof/>
        </w:rPr>
        <w:t>,</w:t>
      </w:r>
    </w:p>
    <w:p w14:paraId="3CF9ED19" w14:textId="77777777" w:rsidR="00EC7095" w:rsidRPr="008C52C9" w:rsidRDefault="00EC7095" w:rsidP="00A16A59">
      <w:pPr>
        <w:rPr>
          <w:noProof/>
        </w:rPr>
      </w:pPr>
      <w:r w:rsidRPr="008C52C9">
        <w:rPr>
          <w:noProof/>
        </w:rPr>
        <w:t>deliberando secondo la procedura legislativa ordinaria,</w:t>
      </w:r>
    </w:p>
    <w:p w14:paraId="5B09B0CC" w14:textId="77777777" w:rsidR="00EC7095" w:rsidRPr="008C52C9" w:rsidRDefault="00EC7095" w:rsidP="00A16A59">
      <w:pPr>
        <w:rPr>
          <w:noProof/>
        </w:rPr>
      </w:pPr>
      <w:r w:rsidRPr="008C52C9">
        <w:rPr>
          <w:noProof/>
        </w:rPr>
        <w:t>considerando quanto segue:</w:t>
      </w:r>
    </w:p>
    <w:p w14:paraId="1DD05E59" w14:textId="43DDC179" w:rsidR="001652C8" w:rsidRPr="008C52C9" w:rsidRDefault="0054154C" w:rsidP="0054154C">
      <w:pPr>
        <w:pStyle w:val="ManualConsidrant"/>
        <w:rPr>
          <w:noProof/>
        </w:rPr>
      </w:pPr>
      <w:r w:rsidRPr="0054154C">
        <w:t>(1)</w:t>
      </w:r>
      <w:r w:rsidRPr="0054154C">
        <w:tab/>
      </w:r>
      <w:r w:rsidR="001652C8" w:rsidRPr="008C52C9">
        <w:rPr>
          <w:noProof/>
        </w:rPr>
        <w:t>La politica marittima dell'Unione mira a conseguire un elevato livello di sicurezza e protezione dell'ambiente. Questo obiettivo si può raggiungere attraverso il rispetto delle convenzioni, dei codici e delle risoluzioni internazionali, mantenendo nel contempo la libertà di navigazione prevista dalla Convenzione delle Nazioni Unite sul diritto del mare.</w:t>
      </w:r>
    </w:p>
    <w:p w14:paraId="5DC046CF" w14:textId="2D377705" w:rsidR="001652C8" w:rsidRPr="008C52C9" w:rsidRDefault="0054154C" w:rsidP="0054154C">
      <w:pPr>
        <w:pStyle w:val="ManualConsidrant"/>
        <w:rPr>
          <w:noProof/>
        </w:rPr>
      </w:pPr>
      <w:r w:rsidRPr="0054154C">
        <w:t>(2)</w:t>
      </w:r>
      <w:r w:rsidRPr="0054154C">
        <w:tab/>
      </w:r>
      <w:r w:rsidR="001652C8" w:rsidRPr="008C52C9">
        <w:rPr>
          <w:noProof/>
        </w:rPr>
        <w:t xml:space="preserve">La convenzione internazionale per la prevenzione dell'inquinamento causato da navi ("convenzione Marpol 73/78") stabilisce i divieti generali relativi agli scarichi delle navi in mare, ma disciplina altresì le condizioni alle quali talune sostanze possono essere scaricate nell'ambiente marino. </w:t>
      </w:r>
    </w:p>
    <w:p w14:paraId="3469622B" w14:textId="0AD1C9CD" w:rsidR="004E5731" w:rsidRPr="008C52C9" w:rsidRDefault="0054154C" w:rsidP="0054154C">
      <w:pPr>
        <w:pStyle w:val="ManualConsidrant"/>
        <w:rPr>
          <w:noProof/>
        </w:rPr>
      </w:pPr>
      <w:r w:rsidRPr="0054154C">
        <w:t>(3)</w:t>
      </w:r>
      <w:r w:rsidRPr="0054154C">
        <w:tab/>
      </w:r>
      <w:r w:rsidR="004E5731" w:rsidRPr="008C52C9">
        <w:rPr>
          <w:noProof/>
        </w:rPr>
        <w:t>Dall'adozione della direttiva 2005/35/CE del Parlamento europeo e del Consiglio</w:t>
      </w:r>
      <w:r w:rsidR="004E5731" w:rsidRPr="008C52C9">
        <w:rPr>
          <w:rStyle w:val="FootnoteReference"/>
          <w:noProof/>
        </w:rPr>
        <w:footnoteReference w:id="19"/>
      </w:r>
      <w:r w:rsidR="004E5731" w:rsidRPr="008C52C9">
        <w:rPr>
          <w:noProof/>
        </w:rPr>
        <w:t>, la convenzione Marpol 73/78 e i suoi allegati sono stati oggetto di importanti modifiche, che hanno introdotto norme e divieti più severi per gli scarichi di sostanze effettuati dalle navi in mare. È opportuno tenere conto di tali modifiche nonché degli insegnamenti tratti dall'attuazione della direttiva 2005/35/CE.</w:t>
      </w:r>
    </w:p>
    <w:p w14:paraId="49E7E5D6" w14:textId="6915F7D6" w:rsidR="00782A41" w:rsidRPr="008C52C9" w:rsidRDefault="0054154C" w:rsidP="0054154C">
      <w:pPr>
        <w:pStyle w:val="ManualConsidrant"/>
        <w:rPr>
          <w:noProof/>
        </w:rPr>
      </w:pPr>
      <w:r w:rsidRPr="0054154C">
        <w:t>(4)</w:t>
      </w:r>
      <w:r w:rsidRPr="0054154C">
        <w:tab/>
      </w:r>
      <w:r w:rsidR="008E567F" w:rsidRPr="008C52C9">
        <w:rPr>
          <w:noProof/>
        </w:rPr>
        <w:t>La direttiva (UE) 2019/883 del Parlamento europeo e del Consiglio</w:t>
      </w:r>
      <w:r w:rsidR="008E567F" w:rsidRPr="008C52C9">
        <w:rPr>
          <w:rStyle w:val="FootnoteReference"/>
          <w:noProof/>
        </w:rPr>
        <w:footnoteReference w:id="20"/>
      </w:r>
      <w:r w:rsidR="008E567F" w:rsidRPr="008C52C9">
        <w:rPr>
          <w:noProof/>
        </w:rPr>
        <w:t xml:space="preserve"> garantisce che i rifiuti siano conferiti ai porti dell'Unione, dove sono raccolti da impianti portuali di raccolta adeguati. L'applicazione della direttiva (UE) 2019/883 è, insieme alla direttiva 2005/35/CE, uno </w:t>
      </w:r>
      <w:r w:rsidR="008E567F" w:rsidRPr="008C52C9">
        <w:rPr>
          <w:noProof/>
        </w:rPr>
        <w:lastRenderedPageBreak/>
        <w:t xml:space="preserve">strumento fondamentale per prevenire l'inquinamento provocato dalle navi. Al fine di garantire un sistema di applicazione efficace, integrato e coerente delle disposizioni della direttiva (UE) 2019/883 relativa al conferimento dei rifiuti agli impianti portuali di raccolta, è opportuno modificare la direttiva 2005/35/CE per estenderne l'ambito di applicazione agli allegati da IV a VI della convenzione Marpol 73/78, in modo da dissuadere le navi dallo scaricare sostanze inquinanti illegalmente in mare, anziché conferirle agli impianti portuali di raccolta in conformità delle disposizioni della direttiva (UE) 2019/883. </w:t>
      </w:r>
    </w:p>
    <w:p w14:paraId="606910E4" w14:textId="6ADADB25" w:rsidR="00EB7CC3" w:rsidRPr="008C52C9" w:rsidRDefault="0054154C" w:rsidP="0054154C">
      <w:pPr>
        <w:pStyle w:val="ManualConsidrant"/>
        <w:rPr>
          <w:noProof/>
        </w:rPr>
      </w:pPr>
      <w:r w:rsidRPr="0054154C">
        <w:t>(5)</w:t>
      </w:r>
      <w:r w:rsidRPr="0054154C">
        <w:tab/>
      </w:r>
      <w:r w:rsidR="00694172" w:rsidRPr="008C52C9">
        <w:rPr>
          <w:noProof/>
        </w:rPr>
        <w:t>La direttiva (UE) 2019/883 non include nel suo ambito di applicazione l'allegato III della convenzione Marpol 73/78, in quanto le merci imballate non sono classificate come rifiuti e quindi di solito non sono conferite agli impianti portuali di raccolta. Tuttavia non è possibile escludere che sostanze nocive trasportate in colli possano essere gettate in mare illegalmente. Alla luce di quanto sopra, è opportuno estendere l'ambito di applicazione della direttiva 2005/35/CE all'allegato III della convenzione Marpol 73/78. Di conseguenza gettare in mare sostanze nocive dovrebbe essere vietato a norma della direttiva 2005/35/CE, a meno che le autorità competenti non ritengano che sia necessario per garantire la sicurezza della nave o per sal</w:t>
      </w:r>
      <w:r w:rsidR="00DD6749">
        <w:rPr>
          <w:noProof/>
        </w:rPr>
        <w:t>vare delle vite umane in mare.</w:t>
      </w:r>
    </w:p>
    <w:p w14:paraId="39B9E5FA" w14:textId="10536874" w:rsidR="007E6D41" w:rsidRPr="008C52C9" w:rsidRDefault="0054154C" w:rsidP="0054154C">
      <w:pPr>
        <w:pStyle w:val="ManualConsidrant"/>
        <w:rPr>
          <w:noProof/>
        </w:rPr>
      </w:pPr>
      <w:r w:rsidRPr="0054154C">
        <w:t>(6)</w:t>
      </w:r>
      <w:r w:rsidRPr="0054154C">
        <w:tab/>
      </w:r>
      <w:r w:rsidR="005F63A7" w:rsidRPr="008C52C9">
        <w:rPr>
          <w:noProof/>
        </w:rPr>
        <w:t>La convenzione Marpol 73/78 include le emissioni delle navi nella definizione di scarichi di cui all'articolo 2 della stessa. L'allegato VI di tale convenzione riguarda la prevenzione dell'inquinamento atmosferico provocato dalle navi. L'allegato VI e i corrispondenti orientamenti dell'IMO sui sistemi di depurazione dei gas di scarico (EGCS) (risoluzione MEPC.340 (77)) consentono l'uso di tali sistemi da parte delle navi come metodo alternativo di conformità per ridurre le emissioni di ossidi di zolfo (SOx). L'allegato VI disciplina i residui e le acque di scarico di detti sistemi, vietandone lo scarico in mare e imponendone il conferimento a impianti portuali di raccolta adeguati (nel caso di residui provenienti da sistemi a circuito chiuso) o regolamentandone le condizioni di scarico (nel caso di acque di scarico provenienti da sistemi a circuito aperto). La direttiva (UE) 2016/802 del Parlamento europeo e del Consiglio</w:t>
      </w:r>
      <w:r w:rsidR="005F63A7" w:rsidRPr="008C52C9">
        <w:rPr>
          <w:rStyle w:val="FootnoteReference"/>
          <w:noProof/>
        </w:rPr>
        <w:footnoteReference w:id="21"/>
      </w:r>
      <w:r w:rsidR="005F63A7" w:rsidRPr="008C52C9">
        <w:rPr>
          <w:noProof/>
        </w:rPr>
        <w:t xml:space="preserve"> recepisce nel diritto dell'Unione le norme internazionali relative ai SOx, mentre la direttiva (UE) 2019/883 dispone che i residui dei sistemi di depurazione dei gas di scarico siano conferiti agli impianti portuali di raccolta. Poiché i residui e le acque di scarico di tali sistemi possono inquinare l'ambiente marino, in caso di scarichi illegali dovrebbero essere applicate le sanzioni previste dalla direttiva 2005/35/CE. Per questi motivi è opportuno estendere l'ambito di applicazione della direttiva 2005/35/CE ai residui e alle acque di scarico dei sistemi di depurazione dei gas di scarico, tenendo conto degli orientamenti elaborati dall'IMO, fatte salve le disposizioni della direttiva (UE) 2016/802 che stabiliscono norme e sanzioni più severe in materia di scarichi.</w:t>
      </w:r>
    </w:p>
    <w:p w14:paraId="2BB877EC" w14:textId="0132AE3F" w:rsidR="00F71240" w:rsidRPr="008C52C9" w:rsidRDefault="0054154C" w:rsidP="0054154C">
      <w:pPr>
        <w:pStyle w:val="ManualConsidrant"/>
        <w:rPr>
          <w:noProof/>
        </w:rPr>
      </w:pPr>
      <w:r w:rsidRPr="0054154C">
        <w:t>(7)</w:t>
      </w:r>
      <w:r w:rsidRPr="0054154C">
        <w:tab/>
      </w:r>
      <w:r w:rsidR="00F71240" w:rsidRPr="008C52C9">
        <w:rPr>
          <w:noProof/>
        </w:rPr>
        <w:t>La direttiva (UE) 2023/xxxx</w:t>
      </w:r>
      <w:r w:rsidR="00F71240" w:rsidRPr="008C52C9">
        <w:rPr>
          <w:rStyle w:val="FootnoteReference"/>
          <w:noProof/>
        </w:rPr>
        <w:footnoteReference w:id="22"/>
      </w:r>
      <w:r w:rsidR="00F71240" w:rsidRPr="008C52C9">
        <w:rPr>
          <w:noProof/>
        </w:rPr>
        <w:t xml:space="preserve"> garantisce definizioni comuni dei reati ambientali e la disponibilità di sanzioni penali dissuasive, efficaci e proporzionate per quelli gravi. La direttiva 2005/35/CE è stata modificata dalla direttiva 2009/123/CE del Parlamento europeo e del Consiglio</w:t>
      </w:r>
      <w:r w:rsidR="00F71240" w:rsidRPr="008C52C9">
        <w:rPr>
          <w:rStyle w:val="FootnoteReference"/>
          <w:noProof/>
        </w:rPr>
        <w:footnoteReference w:id="23"/>
      </w:r>
      <w:r w:rsidR="00F71240" w:rsidRPr="008C52C9">
        <w:rPr>
          <w:noProof/>
        </w:rPr>
        <w:t xml:space="preserve">, che ha introdotto sanzioni penali per talune violazioni della direttiva 2005/35/CE, che ora dovrebbero rientrare nell'ambito di applicazione della direttiva (UE) 2023/xxxx. Di </w:t>
      </w:r>
      <w:r w:rsidR="00F71240" w:rsidRPr="008C52C9">
        <w:rPr>
          <w:noProof/>
        </w:rPr>
        <w:lastRenderedPageBreak/>
        <w:t xml:space="preserve">conseguenza le disposizioni della direttiva 2005/35/CE che sono state aggiunte o sostituite dalla direttiva 2009/123/CE dovrebbero essere soppresse dalla direttiva 2005/35/CE. </w:t>
      </w:r>
    </w:p>
    <w:p w14:paraId="5EDD52E1" w14:textId="49C0B6D4" w:rsidR="00F71240" w:rsidRPr="008C52C9" w:rsidRDefault="0054154C" w:rsidP="0054154C">
      <w:pPr>
        <w:pStyle w:val="ManualConsidrant"/>
        <w:rPr>
          <w:noProof/>
        </w:rPr>
      </w:pPr>
      <w:r w:rsidRPr="0054154C">
        <w:t>(8)</w:t>
      </w:r>
      <w:r w:rsidRPr="0054154C">
        <w:tab/>
      </w:r>
      <w:r w:rsidR="00F71240" w:rsidRPr="008C52C9">
        <w:rPr>
          <w:noProof/>
        </w:rPr>
        <w:t xml:space="preserve">Le sanzioni amministrative introdotte nel recepimento della direttiva 2005/35/CE non dovrebbero pregiudicare la direttiva (UE) 2023/xxxx. Gli Stati membri dovrebbero definire la portata del contrasto amministrativo e penale per quanto riguarda i reati di inquinamento provocato dalle navi secondo il loro diritto nazionale. Nell'applicare la legislazione nazionale che recepisce la direttiva 2005/35/CE, gli Stati membri dovrebbero garantire che l'irrogazione delle sanzioni penali e delle sanzioni amministrative rispetti i principi della Carta dei diritti fondamentali dell'Unione europea, compreso il principio del </w:t>
      </w:r>
      <w:r w:rsidR="00F71240" w:rsidRPr="008C52C9">
        <w:rPr>
          <w:i/>
          <w:noProof/>
        </w:rPr>
        <w:t>ne bis in idem</w:t>
      </w:r>
      <w:r w:rsidR="00F71240" w:rsidRPr="008C52C9">
        <w:rPr>
          <w:noProof/>
        </w:rPr>
        <w:t xml:space="preserve">. </w:t>
      </w:r>
    </w:p>
    <w:p w14:paraId="6BC159C7" w14:textId="692EF6D8" w:rsidR="000310B8" w:rsidRPr="008C52C9" w:rsidRDefault="0054154C" w:rsidP="0054154C">
      <w:pPr>
        <w:pStyle w:val="ManualConsidrant"/>
        <w:rPr>
          <w:noProof/>
        </w:rPr>
      </w:pPr>
      <w:r w:rsidRPr="0054154C">
        <w:t>(9)</w:t>
      </w:r>
      <w:r w:rsidRPr="0054154C">
        <w:tab/>
      </w:r>
      <w:r w:rsidR="000310B8" w:rsidRPr="008C52C9">
        <w:rPr>
          <w:noProof/>
        </w:rPr>
        <w:t>Le sanzioni previste dalla direttiva 2005/35/CE dovrebbero essere rafforzate garantendo un'applicazione coerente delle sanzioni amministrative in tutta l'Unione. Al fine di potenziare l'effetto deterrente delle sanzioni comminate per i reati di inquinamento provocato dalle navi, queste dovrebbero almeno assumere la forma di ammende imposte alla società della nave, a meno che la società non possa dimostrare che il comandante della nave o uno o più membri dell'equipaggio, nel caso in cui questi ultimi non agiscano sotto la responsabilità del comandante stesso, sono responsabili dello scarico. In questo contesto per società della nave si intende l'armatore della nave o qualsiasi altra organizzazione o persona, quali il gestore oppure il noleggiatore a scafo nudo, che ha assunto dall'armatore la responsabilità dell'esercizio della nave, in linea con il codice internazionale di gestione della sicurezza delle navi e della prevenzione dell'inquinamento ("codice ISM")</w:t>
      </w:r>
      <w:r w:rsidR="000310B8" w:rsidRPr="008C52C9">
        <w:rPr>
          <w:rStyle w:val="FootnoteReference"/>
          <w:noProof/>
        </w:rPr>
        <w:footnoteReference w:id="24"/>
      </w:r>
      <w:r w:rsidR="000310B8" w:rsidRPr="008C52C9">
        <w:rPr>
          <w:noProof/>
        </w:rPr>
        <w:t>, attuato nel diritto dell'Unione in virtù del regolamento (CE) n. 336/2006 del Parlamento europeo e del Consiglio</w:t>
      </w:r>
      <w:r w:rsidR="000310B8" w:rsidRPr="008C52C9">
        <w:rPr>
          <w:rStyle w:val="FootnoteReference"/>
          <w:noProof/>
        </w:rPr>
        <w:footnoteReference w:id="25"/>
      </w:r>
      <w:r w:rsidR="000310B8" w:rsidRPr="008C52C9">
        <w:rPr>
          <w:noProof/>
        </w:rPr>
        <w:t xml:space="preserve">. La direttiva 2005/35/CE dovrebbe riconoscere che la gestione della nave potrebbe essere delegata dal proprietario registrato a un soggetto diverso, il quale dovrebbe quindi essere ritenuto in primo luogo responsabile del mancato adempimento degli obblighi previsti dal codice ISM di garantire che siano evitati danni all'ambiente o che le operazioni di bordo siano assegnate a personale qualificato. </w:t>
      </w:r>
    </w:p>
    <w:p w14:paraId="739E118A" w14:textId="7D5CB8EA" w:rsidR="001D06AE" w:rsidRPr="008C52C9" w:rsidRDefault="0054154C" w:rsidP="0054154C">
      <w:pPr>
        <w:pStyle w:val="ManualConsidrant"/>
        <w:rPr>
          <w:noProof/>
        </w:rPr>
      </w:pPr>
      <w:r w:rsidRPr="0054154C">
        <w:t>(10)</w:t>
      </w:r>
      <w:r w:rsidRPr="0054154C">
        <w:tab/>
      </w:r>
      <w:r w:rsidR="007118AF" w:rsidRPr="008C52C9">
        <w:rPr>
          <w:noProof/>
        </w:rPr>
        <w:t>Le autorità amministrative e giudiziarie nazionali dovrebbero tenere conto di tutte le circostanze pertinenti nel determinare il livello delle sanzioni da imporre a chi inquina. Tenendo conto della diversa natura delle sostanze inquinanti contemplate dalla direttiva 2005/35/CE e dell'importanza di un'applicazione coerente delle sanzioni in tutta l'Unione alla luce della natura transfrontaliera del comportamento oggetto della regolamentazione, è opportuno promuovere un ulteriore ravvicinamento e una maggiore efficacia dei livelli delle sanzioni attraverso la definizione di criteri concreti per l'applicazione delle sanzioni per gli scarichi di diverse sostanze inquinanti. È opportuno attribuire alla Commissione competenze di esecuzione al fine di garantire condizioni uniformi per l'applicazione delle sanzioni. È altresì opportuno che tali competenze siano esercitate conformemente al regolamento (UE) n. 182/2011 del Parlamento europeo e del Consiglio</w:t>
      </w:r>
      <w:r w:rsidR="007118AF" w:rsidRPr="008C52C9">
        <w:rPr>
          <w:rStyle w:val="FootnoteReference"/>
          <w:noProof/>
        </w:rPr>
        <w:footnoteReference w:id="26"/>
      </w:r>
      <w:r w:rsidR="007118AF" w:rsidRPr="008C52C9">
        <w:rPr>
          <w:noProof/>
        </w:rPr>
        <w:t>. Per l'adozione di tali atti di esecuzione è opportuno far ricorso alla procedura d'esame.</w:t>
      </w:r>
    </w:p>
    <w:p w14:paraId="1213CADB" w14:textId="6C1BB0DB" w:rsidR="00A230F2" w:rsidRPr="008C52C9" w:rsidRDefault="0054154C" w:rsidP="0054154C">
      <w:pPr>
        <w:pStyle w:val="ManualConsidrant"/>
        <w:rPr>
          <w:noProof/>
        </w:rPr>
      </w:pPr>
      <w:r w:rsidRPr="0054154C">
        <w:lastRenderedPageBreak/>
        <w:t>(11)</w:t>
      </w:r>
      <w:r w:rsidRPr="0054154C">
        <w:tab/>
      </w:r>
      <w:r w:rsidR="00A230F2" w:rsidRPr="008C52C9">
        <w:rPr>
          <w:noProof/>
        </w:rPr>
        <w:t xml:space="preserve">Qualora uno Stato membro sospetti che una nave che si trova volontariamente all'interno di un suo porto o in un terminale off-shore abbia effettuato uno scarico illegale, dovrebbe essere eseguita un'ispezione adeguata per stabilire le circostanze. Al fine di aiutare gli Stati membri ad adempiere agli obblighi di ispezione di tali navi previsti dalla direttiva 2005/35/CE, l'allegato I di quest'ultima fornisce un elenco indicativo di irregolarità o informazioni che dovrebbero essere prese in considerazione dalle autorità competenti, caso per caso, per stabilire se una nave debba essere considerata sospetta. </w:t>
      </w:r>
    </w:p>
    <w:p w14:paraId="1C59E071" w14:textId="40BEA062" w:rsidR="00E2394C" w:rsidRPr="008C52C9" w:rsidRDefault="0054154C" w:rsidP="0054154C">
      <w:pPr>
        <w:pStyle w:val="ManualConsidrant"/>
        <w:rPr>
          <w:noProof/>
        </w:rPr>
      </w:pPr>
      <w:r w:rsidRPr="0054154C">
        <w:t>(12)</w:t>
      </w:r>
      <w:r w:rsidRPr="0054154C">
        <w:tab/>
      </w:r>
      <w:r w:rsidR="00596359" w:rsidRPr="008C52C9">
        <w:rPr>
          <w:noProof/>
        </w:rPr>
        <w:t>Le misure di accompagnamento per la cooperazione e gli obblighi di comunicazione degli Stati membri non sono stati finora sufficienti a consentire un'analisi completa volta a verificare se i responsabili dell'inquinamento siano sottoposti a sanzioni effettive, dissuasive e proporzionate e se la Commissione disponga di dati adeguati per monitorare l'attuazione della direttiva 2005/35/CE. Al fine di garantire un'applicazione efficace e coerente della direttiva 2005/35/CE, è opportuno agevolare lo scambio di informazioni e di esperienze attraverso il rafforzamento della cooperazione, garantendo al contempo che alla Commissione siano messi a disposizione dati adeguati per consentire un monitoraggio appropriato dell'attuazione di detta direttiva.</w:t>
      </w:r>
    </w:p>
    <w:p w14:paraId="3F042153" w14:textId="2EC7C433" w:rsidR="0011145D" w:rsidRPr="008C52C9" w:rsidRDefault="0054154C" w:rsidP="0054154C">
      <w:pPr>
        <w:pStyle w:val="ManualConsidrant"/>
        <w:rPr>
          <w:noProof/>
        </w:rPr>
      </w:pPr>
      <w:r w:rsidRPr="0054154C">
        <w:t>(13)</w:t>
      </w:r>
      <w:r w:rsidRPr="0054154C">
        <w:tab/>
      </w:r>
      <w:r w:rsidR="00E2394C" w:rsidRPr="008C52C9">
        <w:rPr>
          <w:noProof/>
        </w:rPr>
        <w:t>Il servizio satellitare esistente "CleanSeaNet", che notifica alle autorità degli Stati membri i potenziali scarichi illegali, dovrebbe essere ulteriormente potenziato per includere informazioni sulle sostanze inquinanti aggiuntive che rientrano nell'ambito di applicazione della direttiva 2005/35/CE. Le informazioni relative agli scarichi potenziali o effettivi segnalati dagli Stati membri in conformità della direttiva 2005/35/CE e di altre banche dati dell'Unione sulla sicurezza marittima, come il sistema dell'Unione per lo scambio di dati marittimi istituito dalla direttiva 2002/59/CE del Parlamento europeo e del Consiglio</w:t>
      </w:r>
      <w:r w:rsidR="00E2394C" w:rsidRPr="008C52C9">
        <w:rPr>
          <w:rStyle w:val="FootnoteReference"/>
          <w:noProof/>
        </w:rPr>
        <w:footnoteReference w:id="27"/>
      </w:r>
      <w:r w:rsidR="00E2394C" w:rsidRPr="008C52C9">
        <w:rPr>
          <w:noProof/>
        </w:rPr>
        <w:t xml:space="preserve"> ("SafeSeaNet") e la banca dati sulle ispezioni istituita dalla direttiva 2009/16/CE del Parlamento europeo e del Consiglio</w:t>
      </w:r>
      <w:r w:rsidR="00E2394C" w:rsidRPr="008C52C9">
        <w:rPr>
          <w:rStyle w:val="FootnoteReference"/>
          <w:noProof/>
        </w:rPr>
        <w:footnoteReference w:id="28"/>
      </w:r>
      <w:r w:rsidR="00E2394C" w:rsidRPr="008C52C9">
        <w:rPr>
          <w:noProof/>
        </w:rPr>
        <w:t xml:space="preserve"> ("THETIS"), dovrebbero essere integrate e divulgate in un formato elettronico di facile utilizzo alle autorità nazionali coinvolte nella catena di applicazione, al fine di agevolare la loro risposta tempestiva. Tali informazioni, se relative a uno scarico effettivo o potenziale di residui dei sistemi di depurazione dei gas di scarico da una nave, dovrebbero inoltre essere divulgate automaticamente al modulo dedicato di THETIS istituito dalla decisione di esecuzione 2015/253 della Commissione ("THETIS-EU"), così da assistere gli Stati membri in relazione alle misure di applicazione prese conformemente alle disposizioni della direttiva (UE) 2016/802. Al fine di garantire un monitoraggio efficace dell'attuazione della direttiva da parte di tutti gli Stati membri, è opportuno che ciascuno Stato membro garantisca un tasso di verifica del 10 % all'anno delle segnalazioni inviate tramite CleanSeaNet entro i primi tre anni dal recepimento della direttiva. L'accesso a tali informazioni dovrebbe essere consentito alle autorità di altri Stati membri che hanno un interesse al riguardo in quanto Stati del successivo porto di approdo, Stati costieri interessati dal potenziale scarico o Stati di bandiera della nave, al fine di agevolare una cooperazione transfrontaliera efficace e tempestiva, ridurre al minimo l'onere amministrativo delle attività di applicazione e in ultima analisi sanzionare efficacemente i responsabili per le violazioni della direttiva 2005/35/CE. </w:t>
      </w:r>
    </w:p>
    <w:p w14:paraId="1C7F3190" w14:textId="6B6F7AD2" w:rsidR="00EF2FFF" w:rsidRPr="008C52C9" w:rsidRDefault="0054154C" w:rsidP="0054154C">
      <w:pPr>
        <w:pStyle w:val="ManualConsidrant"/>
        <w:rPr>
          <w:rFonts w:ascii="Arial" w:hAnsi="Arial" w:cs="Arial"/>
          <w:noProof/>
          <w:szCs w:val="24"/>
        </w:rPr>
      </w:pPr>
      <w:r w:rsidRPr="0054154C">
        <w:t>(14)</w:t>
      </w:r>
      <w:r w:rsidRPr="0054154C">
        <w:tab/>
      </w:r>
      <w:r w:rsidR="00EF2FFF" w:rsidRPr="008C52C9">
        <w:rPr>
          <w:noProof/>
        </w:rPr>
        <w:t xml:space="preserve">Il sottogruppo in materia di rifiuti delle navi, che è stato istituito nell'ambito del Forum europeo per il trasporto marittimo sostenibile e che ha riunito una molteplicità di esperti nel campo dell'inquinamento provocato dalle navi e della gestione dei rifiuti delle navi, ha sospeso i lavori </w:t>
      </w:r>
      <w:r w:rsidR="00EF2FFF" w:rsidRPr="008C52C9">
        <w:rPr>
          <w:noProof/>
        </w:rPr>
        <w:lastRenderedPageBreak/>
        <w:t>nel dicembre 2017 in ragione dell'avvio dei negoziati interistituzionali sulla direttiva (UE) 2019/883. Poiché tale sottogruppo temporaneo ha fornito preziosi orientamenti e competenze alla Commissione, è opportuno creare un gruppo di esperti analogo con il compito di scambiare esperienze sull'applicazione della presente direttiva, al fine di assistere gli Stati membri nello sviluppo della loro capacità di individuare e verificare gli incidenti di inquinamento e garantire l'efficace applicazione della direttiva 2005/35/CE.</w:t>
      </w:r>
    </w:p>
    <w:p w14:paraId="569D34EE" w14:textId="6D9E42A4" w:rsidR="003A0CC2" w:rsidRPr="008C52C9" w:rsidRDefault="0054154C" w:rsidP="0054154C">
      <w:pPr>
        <w:pStyle w:val="ManualConsidrant"/>
        <w:rPr>
          <w:noProof/>
        </w:rPr>
      </w:pPr>
      <w:r w:rsidRPr="0054154C">
        <w:t>(15)</w:t>
      </w:r>
      <w:r w:rsidRPr="0054154C">
        <w:tab/>
      </w:r>
      <w:r w:rsidR="00735E00" w:rsidRPr="008C52C9">
        <w:rPr>
          <w:noProof/>
        </w:rPr>
        <w:t>L'Agenzia europea per la sicurezza marittima ("EMSA"), istituita dal regolamento (UE) xxxx/xxxx</w:t>
      </w:r>
      <w:r w:rsidR="00735E00" w:rsidRPr="008C52C9">
        <w:rPr>
          <w:rStyle w:val="FootnoteReference"/>
          <w:noProof/>
        </w:rPr>
        <w:footnoteReference w:id="29"/>
      </w:r>
      <w:r w:rsidR="00735E00" w:rsidRPr="008C52C9">
        <w:rPr>
          <w:noProof/>
        </w:rPr>
        <w:t>, dovrebbe fornire alla Commissione il sostegno necessario per garantire l'attuazione della presente direttiva.</w:t>
      </w:r>
    </w:p>
    <w:p w14:paraId="68048392" w14:textId="2C199CB9" w:rsidR="00EC7095" w:rsidRPr="008C52C9" w:rsidRDefault="0054154C" w:rsidP="0054154C">
      <w:pPr>
        <w:pStyle w:val="ManualConsidrant"/>
        <w:rPr>
          <w:noProof/>
        </w:rPr>
      </w:pPr>
      <w:r w:rsidRPr="0054154C">
        <w:t>(16)</w:t>
      </w:r>
      <w:r w:rsidRPr="0054154C">
        <w:tab/>
      </w:r>
      <w:r w:rsidR="003D258B" w:rsidRPr="008C52C9">
        <w:rPr>
          <w:noProof/>
        </w:rPr>
        <w:t>Gli Stati membri dovrebbero comunicare alla Commissione le informazioni necessarie per garantire un monitoraggio appropriato dell'attuazione della direttiva 2005/35/CE. Al fine di limitare gli oneri amministrativi e assistere la Commissione nell'analisi dei dati forniti dagli Stati membri, è opportuno che tali informazioni siano comunicate dagli Stati membri attraverso un apposito strumento elettronico di comunicazione. Nella misura in cui si riferiscono a sanzioni imposte a persone fisiche o che coinvolgono dette persone, tali informazioni sono rese anonime. È opportuno attribuire alla Commissione competenze di esecuzione al fine di garantire che le informazioni comunicate a norma della direttiva 2005/35/CE siano comparabili per tipologia tra gli Stati membri e raccolte sulla base di un formato elettronico e di una procedura di comunicazione armonizzati. È altresì opportuno che tali competenze siano esercitate conformemente al regolamento (UE) n. 182/2011.</w:t>
      </w:r>
    </w:p>
    <w:p w14:paraId="10387493" w14:textId="74CE5ED9" w:rsidR="009B340E" w:rsidRPr="008C52C9" w:rsidRDefault="0054154C" w:rsidP="0054154C">
      <w:pPr>
        <w:pStyle w:val="ManualConsidrant"/>
        <w:rPr>
          <w:noProof/>
        </w:rPr>
      </w:pPr>
      <w:r w:rsidRPr="0054154C">
        <w:t>(17)</w:t>
      </w:r>
      <w:r w:rsidRPr="0054154C">
        <w:tab/>
      </w:r>
      <w:r w:rsidR="009B340E" w:rsidRPr="008C52C9">
        <w:rPr>
          <w:noProof/>
        </w:rPr>
        <w:t>Al fine di assistere gli Stati membri nello sviluppo delle loro capacità per quanto riguarda l'efficace applicazione della direttiva 2005/35/CE da parte delle autorità amministrative e giudiziarie nazionali, la Commissione dovrebbe fornire agli Stati membri orientamenti e formazione relativi, tra l'altro, ai migliori metodi e alle migliori prassi per l'individuazione, la verifica e la raccolta degli elementi di prova, nonché orientamenti sugli sviluppi normativi pertinenti della convenzione Marpol 73/78 e sugli sviluppi tecnologici disponibili, compresi i nuovi strumenti digitali, in modo da agevolare attività di applicazione efficaci, efficienti in termini di costi e mirate.</w:t>
      </w:r>
    </w:p>
    <w:p w14:paraId="60DCDA88" w14:textId="133BB654" w:rsidR="00F411C1" w:rsidRPr="008C52C9" w:rsidRDefault="0054154C" w:rsidP="0054154C">
      <w:pPr>
        <w:pStyle w:val="ManualConsidrant"/>
        <w:rPr>
          <w:noProof/>
        </w:rPr>
      </w:pPr>
      <w:r w:rsidRPr="0054154C">
        <w:t>(18)</w:t>
      </w:r>
      <w:r w:rsidRPr="0054154C">
        <w:tab/>
      </w:r>
      <w:r w:rsidR="00D87553" w:rsidRPr="008C52C9">
        <w:rPr>
          <w:noProof/>
        </w:rPr>
        <w:t>Per sensibilizzare maggiormente il pubblico circa gli scarichi inquinanti delle navi e migliorare la protezione dell'ambiente, è opportuno che le informazioni fornite dagli Stati membri sull'applicazione della direttiva 2005/35/CE siano rese disponibili al pubblico attraverso una panoramica a livello dell'Unione e includano le informazioni elencate nell'allegato II di detta direttiva. La direttiva 2003/4/CE del Parlamento europeo e del Consiglio</w:t>
      </w:r>
      <w:r w:rsidR="00D87553" w:rsidRPr="008C52C9">
        <w:rPr>
          <w:rStyle w:val="FootnoteReference"/>
          <w:noProof/>
        </w:rPr>
        <w:footnoteReference w:id="30"/>
      </w:r>
      <w:r w:rsidR="00D87553" w:rsidRPr="008C52C9">
        <w:rPr>
          <w:noProof/>
        </w:rPr>
        <w:t xml:space="preserve"> mira a garantire il diritto di accesso all'informazione ambientale negli Stati membri in linea con la Convenzione sull'accesso alle informazioni, la partecipazione del pubblico ai processi decisionali e l'accesso alla giustizia in materia ambientale (convenzione di Aarhus), di cui l'Unione è parte contraente. La Commissione dovrebbe proteggere la riservatezza delle informazioni ricevute dagli Stati membri, fatte salve le disposizioni della direttiva 2003/4/CE.</w:t>
      </w:r>
    </w:p>
    <w:p w14:paraId="13B876EA" w14:textId="2D0AD28A" w:rsidR="00244351" w:rsidRPr="008C52C9" w:rsidRDefault="0054154C" w:rsidP="0054154C">
      <w:pPr>
        <w:pStyle w:val="ManualConsidrant"/>
        <w:rPr>
          <w:noProof/>
        </w:rPr>
      </w:pPr>
      <w:r w:rsidRPr="0054154C">
        <w:t>(19)</w:t>
      </w:r>
      <w:r w:rsidRPr="0054154C">
        <w:tab/>
      </w:r>
      <w:r w:rsidR="00244351" w:rsidRPr="008C52C9">
        <w:rPr>
          <w:noProof/>
        </w:rPr>
        <w:t>La direttiva (UE) 2019/1937 del Parlamento europeo e del Consiglio</w:t>
      </w:r>
      <w:r w:rsidR="00244351" w:rsidRPr="008C52C9">
        <w:rPr>
          <w:rStyle w:val="FootnoteReference"/>
          <w:noProof/>
        </w:rPr>
        <w:footnoteReference w:id="31"/>
      </w:r>
      <w:r w:rsidR="00244351" w:rsidRPr="008C52C9">
        <w:rPr>
          <w:noProof/>
        </w:rPr>
        <w:t xml:space="preserve"> stabilisce norme minime per la segnalazione di violazioni del diritto dell'Unione, compresa la direttiva 2005/35/CE, e per la protezione delle persone che segnalano tali violazioni. Gli Stati membri dovrebbero garantire </w:t>
      </w:r>
      <w:r w:rsidR="00244351" w:rsidRPr="008C52C9">
        <w:rPr>
          <w:noProof/>
        </w:rPr>
        <w:lastRenderedPageBreak/>
        <w:t>in particolare la protezione dell'equipaggio che rientra nell'ambito di applicazione della direttiva (UE) 2019/1937 e che segnala scarichi illegali effettivi o potenziali. Oltre ai canali di segnalazione esistenti a livello nazionale, come disciplinato dalla direttiva (UE) 2019/1937, la Commissione dovrebbe mettere a disposizione un canale centralizzato di segnalazione esterna online per la segnalazione di scarichi illegali effettivi o potenziali e trasmettere tali segnalazioni allo Stato membro o agli Stati membri interessati, che dovrebbero successivamente gestirle in conformità di detta direttiva, anche per quanto riguarda l'avviso di ricevimento, il riscontro adeguato e il seguito dato. La Commissione dovrebbe garantire la tutela della riservatezza dell'identità delle persone che effettuano la segnalazione, anche limitando se necessario l'esercizio di taluni diritti alla protezione dei dati delle persone coinvolte, ad esempio dei soggetti inclusi nella segnalazione come partecipanti al potenziale scarico illegale, in linea con l'articolo 25, paragrafo 1, lettere c) e h), e con l'articolo 25, paragrafo 2, del regolamento (UE) 2018/1725 del Parlamento europeo e del Consiglio</w:t>
      </w:r>
      <w:r w:rsidR="00244351" w:rsidRPr="008C52C9">
        <w:rPr>
          <w:rStyle w:val="FootnoteReference"/>
          <w:noProof/>
        </w:rPr>
        <w:footnoteReference w:id="32"/>
      </w:r>
      <w:r w:rsidR="00244351" w:rsidRPr="008C52C9">
        <w:rPr>
          <w:noProof/>
        </w:rPr>
        <w:t xml:space="preserve">, nella misura e finché necessario a evitare e affrontare i tentativi volti a ostacolare le segnalazioni e a impedire, vanificare o rallentare il seguito dato alle segnalazioni, in particolare le indagini, oppure i tentativi volti a scoprire l'identità degli informatori. </w:t>
      </w:r>
    </w:p>
    <w:p w14:paraId="26B6AAE1" w14:textId="5F7BD798" w:rsidR="0064362B" w:rsidRPr="008C52C9" w:rsidRDefault="0054154C" w:rsidP="0054154C">
      <w:pPr>
        <w:pStyle w:val="ManualConsidrant"/>
        <w:rPr>
          <w:noProof/>
        </w:rPr>
      </w:pPr>
      <w:r w:rsidRPr="0054154C">
        <w:t>(20)</w:t>
      </w:r>
      <w:r w:rsidRPr="0054154C">
        <w:tab/>
      </w:r>
      <w:r w:rsidR="0064362B" w:rsidRPr="008C52C9">
        <w:rPr>
          <w:noProof/>
        </w:rPr>
        <w:t>Conformemente all'articolo 42, paragrafo 1, del regolamento (UE) 2018/1725, il Garante europeo della protezione dei dati è stato consultato e ha formulato il suo parere in data [xx</w:t>
      </w:r>
      <w:r w:rsidR="00D0588E">
        <w:rPr>
          <w:noProof/>
        </w:rPr>
        <w:t> </w:t>
      </w:r>
      <w:r w:rsidR="0064362B" w:rsidRPr="008C52C9">
        <w:rPr>
          <w:noProof/>
        </w:rPr>
        <w:t>xx</w:t>
      </w:r>
      <w:r w:rsidR="00D0588E">
        <w:rPr>
          <w:noProof/>
        </w:rPr>
        <w:t> </w:t>
      </w:r>
      <w:r w:rsidR="0064362B" w:rsidRPr="008C52C9">
        <w:rPr>
          <w:noProof/>
        </w:rPr>
        <w:t>2023]</w:t>
      </w:r>
      <w:r w:rsidR="0064362B" w:rsidRPr="008C52C9">
        <w:rPr>
          <w:rStyle w:val="FootnoteReference"/>
          <w:noProof/>
        </w:rPr>
        <w:footnoteReference w:id="33"/>
      </w:r>
      <w:r w:rsidR="0064362B" w:rsidRPr="008C52C9">
        <w:rPr>
          <w:noProof/>
        </w:rPr>
        <w:t>.</w:t>
      </w:r>
    </w:p>
    <w:p w14:paraId="48C6323C" w14:textId="73C17394" w:rsidR="00EA1A8B" w:rsidRPr="008C52C9" w:rsidRDefault="0054154C" w:rsidP="0054154C">
      <w:pPr>
        <w:pStyle w:val="ManualConsidrant"/>
        <w:rPr>
          <w:noProof/>
        </w:rPr>
      </w:pPr>
      <w:r w:rsidRPr="0054154C">
        <w:t>(21)</w:t>
      </w:r>
      <w:r w:rsidRPr="0054154C">
        <w:tab/>
      </w:r>
      <w:r w:rsidR="008062B8" w:rsidRPr="008C52C9">
        <w:rPr>
          <w:noProof/>
        </w:rPr>
        <w:t>In seno all'IMO sono in corso discussioni su nuove questioni ambientali relative al trasporto marittimo internazionale che sono causa di inquinamento sia idrico che atmosferico. Tra queste figurano gli inquinanti idrici dei rifiuti marini, come i container e i pellet di plastica dispersi, il rumore sottomarino e gli inquinanti atmosferici come il particolato carbonioso. Tali discussioni potrebbero sfociare nell'elaborazione di nuove norme nell'ambito della convenzione Marpol 73/78. Inoltre la direttiva 2008/56/CE del Parlamento europeo e del Consiglio</w:t>
      </w:r>
      <w:r w:rsidR="008062B8" w:rsidRPr="008C52C9">
        <w:rPr>
          <w:rStyle w:val="FootnoteReference"/>
          <w:noProof/>
        </w:rPr>
        <w:footnoteReference w:id="34"/>
      </w:r>
      <w:r w:rsidR="008062B8" w:rsidRPr="008C52C9">
        <w:rPr>
          <w:noProof/>
        </w:rPr>
        <w:t xml:space="preserve"> richiede agli Stati membri di conseguire un buono stato ecologico dell'ambiente marino, il quale comprende come descrittori qualitativi, tra l'altro, i rifiuti marini e il rumore sottomarino delle navi. A tal proposito la direttiva (UE) 2023/xxxx</w:t>
      </w:r>
      <w:r w:rsidR="008062B8" w:rsidRPr="008C52C9">
        <w:rPr>
          <w:rStyle w:val="FootnoteReference"/>
          <w:noProof/>
        </w:rPr>
        <w:footnoteReference w:id="35"/>
      </w:r>
      <w:r w:rsidR="008062B8" w:rsidRPr="008C52C9">
        <w:rPr>
          <w:noProof/>
        </w:rPr>
        <w:t xml:space="preserve"> stabilisce i valori limite per il biossido di azoto (NO2) derivante dalle emissioni di ossidi di azoto (NOx). Le attività di trasporto marittimo contribuiscono a livelli più elevati di NO2 nelle aree costiere e portuali. In questo contesto un futuro riesame della direttiva 2005/35/CE dovrebbe tenere conto dei nuovi sviluppi e la Commissione dovrebbe esaminare la possibilità di modificare l'ambito di applicazione della direttiva, se del caso, alla luce di eventuali nuove norme internazionali nel quadro della convenzione Marpol 73/78. Detto futuro riesame dovrebbe valutare la possibilità di modificare l'ambito di applicazione della direttiva 2005/35/CE, se del caso, al fine di integrare le emissioni di SOx e NOx, come disciplinato nell'allegato VI della convenzione Marpol, sulla base dell'esperienza acquisita nell'attuazione della direttiva (UE) 2016/802 e dello sviluppo e della maturità del monitoraggio e del rilevamento delle emissioni di SOx e NOx delle navi, in modo da garantire un regime di applicazione coerente, efficiente ed efficace, nonché l'imposizione di </w:t>
      </w:r>
      <w:r w:rsidR="008062B8" w:rsidRPr="008C52C9">
        <w:rPr>
          <w:noProof/>
        </w:rPr>
        <w:lastRenderedPageBreak/>
        <w:t xml:space="preserve">sanzioni dissuasive, in linea con il piano d'azione per l'inquinamento zero e in particolare con la sua iniziativa faro 5 </w:t>
      </w:r>
      <w:r w:rsidR="008062B8" w:rsidRPr="008C52C9">
        <w:rPr>
          <w:i/>
          <w:noProof/>
        </w:rPr>
        <w:t>Rispettare insieme l'obiettivo "inquinamento zero".</w:t>
      </w:r>
      <w:r w:rsidR="008062B8" w:rsidRPr="008C52C9">
        <w:rPr>
          <w:noProof/>
        </w:rPr>
        <w:t xml:space="preserve"> </w:t>
      </w:r>
    </w:p>
    <w:p w14:paraId="7681FFFC" w14:textId="2830D0A8" w:rsidR="003C6386" w:rsidRPr="008C52C9" w:rsidRDefault="0054154C" w:rsidP="0054154C">
      <w:pPr>
        <w:pStyle w:val="ManualConsidrant"/>
        <w:rPr>
          <w:noProof/>
        </w:rPr>
      </w:pPr>
      <w:r w:rsidRPr="0054154C">
        <w:t>(22)</w:t>
      </w:r>
      <w:r w:rsidRPr="0054154C">
        <w:tab/>
      </w:r>
      <w:r w:rsidR="00F27B69" w:rsidRPr="008C52C9">
        <w:rPr>
          <w:noProof/>
        </w:rPr>
        <w:t>Poiché gli obiettivi della presente direttiva non possono essere conseguiti in misura sufficiente dagli Stati membri in ragione dei danni transfrontalieri che possono essere provocati dagli scarichi illegali oggetto della direttiva e della disponibilità in tutta l'Unione di sanzioni effettive, dissuasive e proporzionate per tali scarichi, ma possono invece, vista la portata e gli effetti dell'azione proposta, essere conseguiti meglio a livello dell'Unione, quest'ultima può adottare misure, conformemente al principio di sussidiarietà di cui all'articolo 5 del trattato sull'Unione europea. La presente direttiva si limita a quanto è necessario per conseguire tali obiettivi in ottemperanza al principio di proporzionalità enunciato nello stesso articolo.</w:t>
      </w:r>
    </w:p>
    <w:p w14:paraId="74465EBB" w14:textId="16DFF118" w:rsidR="008244DF" w:rsidRPr="008C52C9" w:rsidRDefault="0054154C" w:rsidP="0054154C">
      <w:pPr>
        <w:pStyle w:val="ManualConsidrant"/>
        <w:rPr>
          <w:noProof/>
        </w:rPr>
      </w:pPr>
      <w:r w:rsidRPr="0054154C">
        <w:t>(23)</w:t>
      </w:r>
      <w:r w:rsidRPr="0054154C">
        <w:tab/>
      </w:r>
      <w:r w:rsidR="004610C8" w:rsidRPr="008C52C9">
        <w:rPr>
          <w:noProof/>
        </w:rPr>
        <w:t xml:space="preserve">La presente direttiva rispetta i diritti fondamentali e osserva i principi riconosciuti in particolare dalla Carta dei diritti fondamentali dell'Unione europea, tra cui la protezione dei dati di carattere personale, il diritto a un ricorso effettivo e a un giudice imparziale, la presunzione di innocenza e i diritti della difesa, i principi della legalità e della proporzionalità dei reati e delle pene e il diritto di non essere giudicato o punito due volte per lo stesso reato. La presente direttiva mira a garantire il pieno rispetto di tali diritti e principi e dovrebbe essere attuata di conseguenza. </w:t>
      </w:r>
    </w:p>
    <w:p w14:paraId="4AAD1342" w14:textId="3B85CB95" w:rsidR="00340614" w:rsidRPr="008C52C9" w:rsidRDefault="0054154C" w:rsidP="0054154C">
      <w:pPr>
        <w:pStyle w:val="ManualConsidrant"/>
        <w:rPr>
          <w:noProof/>
        </w:rPr>
      </w:pPr>
      <w:r w:rsidRPr="0054154C">
        <w:t>(24)</w:t>
      </w:r>
      <w:r w:rsidRPr="0054154C">
        <w:tab/>
      </w:r>
      <w:r w:rsidR="00340614" w:rsidRPr="008C52C9">
        <w:rPr>
          <w:noProof/>
        </w:rPr>
        <w:t>La direttiva 2005/35/CE dovrebbe quindi essere modificata,</w:t>
      </w:r>
    </w:p>
    <w:p w14:paraId="6CC8B765" w14:textId="77777777" w:rsidR="00EC7095" w:rsidRPr="008C52C9" w:rsidRDefault="00EC7095" w:rsidP="00A16A59">
      <w:pPr>
        <w:pStyle w:val="Formuledadoption"/>
        <w:rPr>
          <w:noProof/>
        </w:rPr>
      </w:pPr>
      <w:r w:rsidRPr="008C52C9">
        <w:rPr>
          <w:noProof/>
        </w:rPr>
        <w:t>HANNO ADOTTATO LA PRESENTE DIRETTIVA:</w:t>
      </w:r>
    </w:p>
    <w:p w14:paraId="6B309786" w14:textId="77777777" w:rsidR="00EC7095" w:rsidRPr="008C52C9" w:rsidRDefault="000D7284" w:rsidP="000D7284">
      <w:pPr>
        <w:pStyle w:val="Titrearticle"/>
        <w:rPr>
          <w:noProof/>
        </w:rPr>
      </w:pPr>
      <w:r w:rsidRPr="008C52C9">
        <w:rPr>
          <w:noProof/>
        </w:rPr>
        <w:t>Articolo 1</w:t>
      </w:r>
    </w:p>
    <w:p w14:paraId="4231D702" w14:textId="77777777" w:rsidR="000D7284" w:rsidRPr="008C52C9" w:rsidRDefault="000D7284" w:rsidP="00AF3C67">
      <w:pPr>
        <w:pStyle w:val="Typeacteprincipal"/>
        <w:rPr>
          <w:noProof/>
        </w:rPr>
      </w:pPr>
      <w:r w:rsidRPr="008C52C9">
        <w:rPr>
          <w:noProof/>
        </w:rPr>
        <w:t>Modifiche della direttiva 2005/35/CE</w:t>
      </w:r>
    </w:p>
    <w:p w14:paraId="0D122DCA" w14:textId="77777777" w:rsidR="003C6386" w:rsidRPr="008C52C9" w:rsidRDefault="003C6386" w:rsidP="00024522">
      <w:pPr>
        <w:rPr>
          <w:noProof/>
        </w:rPr>
      </w:pPr>
      <w:r w:rsidRPr="008C52C9">
        <w:rPr>
          <w:noProof/>
        </w:rPr>
        <w:t>La direttiva 2005/35/CE è così modificata:</w:t>
      </w:r>
    </w:p>
    <w:p w14:paraId="0D734B7E" w14:textId="5CA7C77D" w:rsidR="003C6386" w:rsidRPr="008C52C9" w:rsidRDefault="00D5792F" w:rsidP="00D5792F">
      <w:pPr>
        <w:pStyle w:val="Point0"/>
        <w:rPr>
          <w:noProof/>
        </w:rPr>
      </w:pPr>
      <w:r>
        <w:rPr>
          <w:noProof/>
        </w:rPr>
        <w:t>1)</w:t>
      </w:r>
      <w:r>
        <w:rPr>
          <w:noProof/>
        </w:rPr>
        <w:tab/>
      </w:r>
      <w:r w:rsidR="003C6386" w:rsidRPr="008C52C9">
        <w:rPr>
          <w:noProof/>
        </w:rPr>
        <w:t>il titolo è sostituito dal seguente:</w:t>
      </w:r>
    </w:p>
    <w:p w14:paraId="1B23E197" w14:textId="77777777" w:rsidR="003C6386" w:rsidRPr="008C52C9" w:rsidRDefault="003C6386" w:rsidP="000B2BA4">
      <w:pPr>
        <w:rPr>
          <w:noProof/>
        </w:rPr>
      </w:pPr>
      <w:r w:rsidRPr="008C52C9">
        <w:rPr>
          <w:noProof/>
        </w:rPr>
        <w:t>"Direttiva del Parlamento europeo e del Consiglio relativa all'applicazione delle norme internazionali in materia di inquinamento provocato dalle navi e all'introduzione di sanzioni per i reati di inquinamento";</w:t>
      </w:r>
    </w:p>
    <w:p w14:paraId="4A9215E7" w14:textId="6E3991B7" w:rsidR="00742FC4" w:rsidRPr="008C52C9" w:rsidRDefault="00D5792F" w:rsidP="00D5792F">
      <w:pPr>
        <w:pStyle w:val="Point0"/>
        <w:rPr>
          <w:noProof/>
        </w:rPr>
      </w:pPr>
      <w:r>
        <w:rPr>
          <w:noProof/>
        </w:rPr>
        <w:t>2)</w:t>
      </w:r>
      <w:r>
        <w:rPr>
          <w:noProof/>
        </w:rPr>
        <w:tab/>
      </w:r>
      <w:r w:rsidR="003C6386" w:rsidRPr="008C52C9">
        <w:rPr>
          <w:noProof/>
        </w:rPr>
        <w:t>l'articolo 1 è sostituito dal seguente:</w:t>
      </w:r>
    </w:p>
    <w:p w14:paraId="615F13A9" w14:textId="77777777" w:rsidR="00742FC4" w:rsidRPr="008C52C9" w:rsidRDefault="0096198C" w:rsidP="00322983">
      <w:pPr>
        <w:pStyle w:val="Titrearticle"/>
        <w:rPr>
          <w:noProof/>
        </w:rPr>
      </w:pPr>
      <w:r w:rsidRPr="008C52C9">
        <w:rPr>
          <w:noProof/>
        </w:rPr>
        <w:t>"Articolo 1</w:t>
      </w:r>
    </w:p>
    <w:p w14:paraId="178224F2" w14:textId="77777777" w:rsidR="00742FC4" w:rsidRPr="008C52C9" w:rsidRDefault="00742FC4" w:rsidP="00322983">
      <w:pPr>
        <w:pStyle w:val="Typeacteprincipal"/>
        <w:rPr>
          <w:noProof/>
        </w:rPr>
      </w:pPr>
      <w:r w:rsidRPr="008C52C9">
        <w:rPr>
          <w:noProof/>
        </w:rPr>
        <w:t>Finalità</w:t>
      </w:r>
    </w:p>
    <w:p w14:paraId="76D016A0" w14:textId="77777777" w:rsidR="00742FC4" w:rsidRPr="008C52C9" w:rsidRDefault="00692D0F" w:rsidP="000B2BA4">
      <w:pPr>
        <w:pStyle w:val="Point1"/>
        <w:rPr>
          <w:noProof/>
        </w:rPr>
      </w:pPr>
      <w:r w:rsidRPr="008C52C9">
        <w:rPr>
          <w:noProof/>
        </w:rPr>
        <w:t>1.</w:t>
      </w:r>
      <w:r w:rsidRPr="008C52C9">
        <w:rPr>
          <w:noProof/>
        </w:rPr>
        <w:tab/>
        <w:t>Scopo della presente direttiva è quello di recepire nel diritto dell'Unione le norme internazionali in materia di inquinamento provocato dalle navi e di garantire che i responsabili di scarichi illegali di sostanze inquinanti siano soggetti a sanzioni amministrative dissuasive, effettive e proporzionate, al fine di aumentare la sicurezza marittima e migliorare la protezione dell'ambiente marino dall'inquinamento provocato dalle navi.</w:t>
      </w:r>
    </w:p>
    <w:p w14:paraId="2800F99A" w14:textId="77777777" w:rsidR="003C6386" w:rsidRPr="008C52C9" w:rsidRDefault="00742FC4" w:rsidP="000B2BA4">
      <w:pPr>
        <w:pStyle w:val="Point1"/>
        <w:rPr>
          <w:noProof/>
        </w:rPr>
      </w:pPr>
      <w:r w:rsidRPr="008C52C9">
        <w:rPr>
          <w:noProof/>
        </w:rPr>
        <w:t>2.</w:t>
      </w:r>
      <w:r w:rsidRPr="008C52C9">
        <w:rPr>
          <w:noProof/>
        </w:rPr>
        <w:tab/>
        <w:t>La presente direttiva non preclude agli Stati membri la possibilità di adottare misure più rigorose conformemente al diritto internazionale, prevedendo sanzioni amministrative o penali in conformità con il loro diritto nazionale.";</w:t>
      </w:r>
    </w:p>
    <w:p w14:paraId="48745DFD" w14:textId="5A6B755D" w:rsidR="00441FE9" w:rsidRPr="008C52C9" w:rsidRDefault="00D5792F" w:rsidP="00D5792F">
      <w:pPr>
        <w:pStyle w:val="Point0"/>
        <w:rPr>
          <w:noProof/>
        </w:rPr>
      </w:pPr>
      <w:r>
        <w:rPr>
          <w:noProof/>
        </w:rPr>
        <w:t>3)</w:t>
      </w:r>
      <w:r>
        <w:rPr>
          <w:noProof/>
        </w:rPr>
        <w:tab/>
      </w:r>
      <w:r w:rsidR="003C6386" w:rsidRPr="008C52C9">
        <w:rPr>
          <w:noProof/>
        </w:rPr>
        <w:t xml:space="preserve">l'articolo 2 è sostituito dal seguente: </w:t>
      </w:r>
    </w:p>
    <w:p w14:paraId="334692F8" w14:textId="77777777" w:rsidR="00441FE9" w:rsidRPr="008C52C9" w:rsidRDefault="00441FE9" w:rsidP="00322983">
      <w:pPr>
        <w:pStyle w:val="Titrearticle"/>
        <w:rPr>
          <w:noProof/>
        </w:rPr>
      </w:pPr>
      <w:r w:rsidRPr="008C52C9">
        <w:rPr>
          <w:noProof/>
        </w:rPr>
        <w:lastRenderedPageBreak/>
        <w:t>"Articolo 2</w:t>
      </w:r>
    </w:p>
    <w:p w14:paraId="358108B0" w14:textId="77777777" w:rsidR="00441FE9" w:rsidRPr="008C52C9" w:rsidRDefault="00441FE9" w:rsidP="00322983">
      <w:pPr>
        <w:pStyle w:val="Typeacteprincipal"/>
        <w:rPr>
          <w:noProof/>
        </w:rPr>
      </w:pPr>
      <w:r w:rsidRPr="008C52C9">
        <w:rPr>
          <w:noProof/>
        </w:rPr>
        <w:t>Definizioni</w:t>
      </w:r>
    </w:p>
    <w:p w14:paraId="3237248D" w14:textId="77777777" w:rsidR="00441FE9" w:rsidRPr="008C52C9" w:rsidRDefault="00441FE9" w:rsidP="00322983">
      <w:pPr>
        <w:rPr>
          <w:noProof/>
        </w:rPr>
      </w:pPr>
      <w:r w:rsidRPr="008C52C9">
        <w:rPr>
          <w:noProof/>
        </w:rPr>
        <w:t xml:space="preserve">Ai fini della presente direttiva si applicano le seguenti definizioni: </w:t>
      </w:r>
    </w:p>
    <w:p w14:paraId="0881FC2F" w14:textId="77777777" w:rsidR="00441FE9" w:rsidRPr="008C52C9" w:rsidRDefault="00322983" w:rsidP="00322983">
      <w:pPr>
        <w:pStyle w:val="Point1"/>
        <w:rPr>
          <w:noProof/>
        </w:rPr>
      </w:pPr>
      <w:r w:rsidRPr="008C52C9">
        <w:rPr>
          <w:noProof/>
        </w:rPr>
        <w:t>1.</w:t>
      </w:r>
      <w:r w:rsidRPr="008C52C9">
        <w:rPr>
          <w:noProof/>
        </w:rPr>
        <w:tab/>
        <w:t xml:space="preserve">"convenzione Marpol 73/78": la convenzione internazionale del 1973 per la prevenzione dell'inquinamento causato da navi e il relativo protocollo del 1978, nella versione aggiornata; </w:t>
      </w:r>
    </w:p>
    <w:p w14:paraId="7DB44B12" w14:textId="77777777" w:rsidR="00441FE9" w:rsidRPr="008C52C9" w:rsidRDefault="00322983" w:rsidP="00322983">
      <w:pPr>
        <w:pStyle w:val="Point1"/>
        <w:rPr>
          <w:noProof/>
        </w:rPr>
      </w:pPr>
      <w:r w:rsidRPr="008C52C9">
        <w:rPr>
          <w:noProof/>
        </w:rPr>
        <w:t>2.</w:t>
      </w:r>
      <w:r w:rsidRPr="008C52C9">
        <w:rPr>
          <w:noProof/>
        </w:rPr>
        <w:tab/>
        <w:t>"sostanze inquinanti": le sostanze disciplinate dagli allegati I (idrocarburi), II (sostanze liquide nocive trasportate alla rinfusa), III (sostanze nocive trasportate per mare in colli), IV (acque reflue delle navi), V (rifiuti solidi delle navi) della convenzione Marpol 73/78 e i residui dei sistemi di depurazione dei gas di scarico;</w:t>
      </w:r>
    </w:p>
    <w:p w14:paraId="08B0F3FE" w14:textId="77777777" w:rsidR="00441FE9" w:rsidRPr="008C52C9" w:rsidRDefault="00322983" w:rsidP="00322983">
      <w:pPr>
        <w:pStyle w:val="Point1"/>
        <w:rPr>
          <w:noProof/>
        </w:rPr>
      </w:pPr>
      <w:r w:rsidRPr="008C52C9">
        <w:rPr>
          <w:noProof/>
        </w:rPr>
        <w:t>3.</w:t>
      </w:r>
      <w:r w:rsidRPr="008C52C9">
        <w:rPr>
          <w:noProof/>
        </w:rPr>
        <w:tab/>
        <w:t>"residui dei sistemi di depurazione dei gas di scarico": qualsiasi materiale rimosso dall'acqua di lavaggio o dall'acqua scaricata da un sistema di trattamento, l'acqua di scarico che non soddisfa il criterio di scarico o altro materiale residuo rimosso dal sistema di depurazione dei gas di scarico scaricato in mare come risultato del ricorso a un metodo di conformità per la riduzione delle emissioni, come definito nell'allegato V, norma 4, della convenzione Marpol 73/78, utilizzato come alternativa in termini di riduzione delle emissioni alle norme stabilite nell'allegato VI, norma 14, di detta convenzione, tenendo conto degli orientamenti sviluppati dall'IMO;</w:t>
      </w:r>
    </w:p>
    <w:p w14:paraId="078D13E5" w14:textId="2F350295" w:rsidR="00441FE9" w:rsidRPr="008C52C9" w:rsidRDefault="00D5792F" w:rsidP="00D5792F">
      <w:pPr>
        <w:pStyle w:val="Point3"/>
        <w:rPr>
          <w:noProof/>
        </w:rPr>
      </w:pPr>
      <w:r>
        <w:rPr>
          <w:noProof/>
        </w:rPr>
        <w:t>a)</w:t>
      </w:r>
      <w:r>
        <w:rPr>
          <w:noProof/>
        </w:rPr>
        <w:tab/>
      </w:r>
      <w:r w:rsidR="00441FE9" w:rsidRPr="008C52C9">
        <w:rPr>
          <w:noProof/>
        </w:rPr>
        <w:t>"scarico": ogni rigetto comunque proveniente da una nave, quale figura all'articolo 2 della convenzione Marpol 73/78;</w:t>
      </w:r>
    </w:p>
    <w:p w14:paraId="4A40E9A5" w14:textId="77777777" w:rsidR="00441FE9" w:rsidRPr="008C52C9" w:rsidRDefault="00B10FC6" w:rsidP="00B10FC6">
      <w:pPr>
        <w:pStyle w:val="Point1"/>
        <w:rPr>
          <w:noProof/>
        </w:rPr>
      </w:pPr>
      <w:r w:rsidRPr="008C52C9">
        <w:rPr>
          <w:noProof/>
        </w:rPr>
        <w:t>4.</w:t>
      </w:r>
      <w:r w:rsidRPr="008C52C9">
        <w:rPr>
          <w:noProof/>
        </w:rPr>
        <w:tab/>
        <w:t>"nave": un'imbarcazione marittima di qualsiasi tipo e battente qualsiasi bandiera, che operi nell'ambiente marino; sono inclusi gli aliscafi, i veicoli su cuscino d'aria, i sommergibili e i natanti;</w:t>
      </w:r>
    </w:p>
    <w:p w14:paraId="37503449" w14:textId="77777777" w:rsidR="00441FE9" w:rsidRPr="008C52C9" w:rsidRDefault="00B10FC6" w:rsidP="00B10FC6">
      <w:pPr>
        <w:pStyle w:val="Point1"/>
        <w:rPr>
          <w:noProof/>
        </w:rPr>
      </w:pPr>
      <w:r w:rsidRPr="008C52C9">
        <w:rPr>
          <w:noProof/>
        </w:rPr>
        <w:t>5.</w:t>
      </w:r>
      <w:r w:rsidRPr="008C52C9">
        <w:rPr>
          <w:noProof/>
        </w:rPr>
        <w:tab/>
        <w:t>"persona giuridica": qualsiasi soggetto di diritto che possieda tale status, ad eccezione degli Stati stessi o delle istituzioni pubbliche nell'esercizio dei pubblici poteri e delle organizzazioni internazionali pubbliche;</w:t>
      </w:r>
    </w:p>
    <w:p w14:paraId="1AF2AA17" w14:textId="77777777" w:rsidR="00441FE9" w:rsidRPr="008C52C9" w:rsidRDefault="00B10FC6" w:rsidP="00B10FC6">
      <w:pPr>
        <w:pStyle w:val="Point1"/>
        <w:rPr>
          <w:noProof/>
        </w:rPr>
      </w:pPr>
      <w:r w:rsidRPr="008C52C9">
        <w:rPr>
          <w:noProof/>
        </w:rPr>
        <w:t>6.</w:t>
      </w:r>
      <w:r w:rsidRPr="008C52C9">
        <w:rPr>
          <w:noProof/>
        </w:rPr>
        <w:tab/>
        <w:t>"società": l'armatore della nave o qualsiasi altra organizzazione o persona, quali il gestore oppure il noleggiatore a scafo nudo, che ha assunto dall'armatore la responsabilità dell'esercizio della nave.";</w:t>
      </w:r>
    </w:p>
    <w:p w14:paraId="6A73F877" w14:textId="77777777" w:rsidR="00464497" w:rsidRPr="008C52C9" w:rsidRDefault="00464497" w:rsidP="00464497">
      <w:pPr>
        <w:pStyle w:val="Point2"/>
        <w:ind w:left="0" w:firstLine="0"/>
        <w:rPr>
          <w:noProof/>
        </w:rPr>
      </w:pPr>
    </w:p>
    <w:p w14:paraId="7E0FCB56" w14:textId="1587F982" w:rsidR="00D10507" w:rsidRPr="008C52C9" w:rsidRDefault="00D5792F" w:rsidP="00D5792F">
      <w:pPr>
        <w:pStyle w:val="Point0"/>
        <w:rPr>
          <w:noProof/>
        </w:rPr>
      </w:pPr>
      <w:r>
        <w:rPr>
          <w:noProof/>
        </w:rPr>
        <w:t>4)</w:t>
      </w:r>
      <w:r>
        <w:rPr>
          <w:noProof/>
        </w:rPr>
        <w:tab/>
      </w:r>
      <w:r w:rsidR="00D10507" w:rsidRPr="008C52C9">
        <w:rPr>
          <w:noProof/>
        </w:rPr>
        <w:t>l'articolo 4 è sostituito dal seguente:</w:t>
      </w:r>
    </w:p>
    <w:p w14:paraId="3EF8A7D7" w14:textId="77777777" w:rsidR="00D10507" w:rsidRPr="008C52C9" w:rsidRDefault="00D10507" w:rsidP="00704FB3">
      <w:pPr>
        <w:pStyle w:val="Titrearticle"/>
        <w:rPr>
          <w:noProof/>
        </w:rPr>
      </w:pPr>
      <w:r w:rsidRPr="008C52C9">
        <w:rPr>
          <w:noProof/>
        </w:rPr>
        <w:t>"Articolo 4</w:t>
      </w:r>
    </w:p>
    <w:p w14:paraId="644BB7D9" w14:textId="77777777" w:rsidR="00D10507" w:rsidRPr="008C52C9" w:rsidRDefault="00054737" w:rsidP="00AF3C67">
      <w:pPr>
        <w:pStyle w:val="Typeacteprincipal"/>
        <w:rPr>
          <w:noProof/>
        </w:rPr>
      </w:pPr>
      <w:r w:rsidRPr="008C52C9">
        <w:rPr>
          <w:noProof/>
        </w:rPr>
        <w:t>Violazioni</w:t>
      </w:r>
    </w:p>
    <w:p w14:paraId="47D8EA61" w14:textId="77777777" w:rsidR="00D10507" w:rsidRPr="008C52C9" w:rsidRDefault="000B2BA4" w:rsidP="000B2BA4">
      <w:pPr>
        <w:pStyle w:val="Point1"/>
        <w:rPr>
          <w:noProof/>
        </w:rPr>
      </w:pPr>
      <w:r w:rsidRPr="008C52C9">
        <w:rPr>
          <w:noProof/>
        </w:rPr>
        <w:t>1.</w:t>
      </w:r>
      <w:r w:rsidRPr="008C52C9">
        <w:rPr>
          <w:noProof/>
        </w:rPr>
        <w:tab/>
        <w:t>Gli Stati membri provvedono affinché gli scarichi di sostanze inquinanti in una delle aree di cui all'articolo 3, paragrafo 1, siano considerati violazioni, a meno che:</w:t>
      </w:r>
    </w:p>
    <w:p w14:paraId="67A47050" w14:textId="30B47F6C" w:rsidR="00D10507" w:rsidRPr="008C52C9" w:rsidRDefault="00D5792F" w:rsidP="00D5792F">
      <w:pPr>
        <w:pStyle w:val="Point2"/>
        <w:rPr>
          <w:noProof/>
        </w:rPr>
      </w:pPr>
      <w:r>
        <w:rPr>
          <w:noProof/>
        </w:rPr>
        <w:t>a)</w:t>
      </w:r>
      <w:r>
        <w:rPr>
          <w:noProof/>
        </w:rPr>
        <w:tab/>
      </w:r>
      <w:r w:rsidR="00D10507" w:rsidRPr="008C52C9">
        <w:rPr>
          <w:noProof/>
        </w:rPr>
        <w:t>per le sostanze inquinanti regolamentate dall'allegato I della convenzione Marpol 73/78, non siano soddisfatte le condizioni di cui alle norme 15, 34, 4.1 o 4.3 di detto allegato;</w:t>
      </w:r>
    </w:p>
    <w:p w14:paraId="2A75AE8A" w14:textId="60E77DE6" w:rsidR="00D10507" w:rsidRPr="008C52C9" w:rsidRDefault="00D5792F" w:rsidP="00D5792F">
      <w:pPr>
        <w:pStyle w:val="Point2"/>
        <w:rPr>
          <w:noProof/>
        </w:rPr>
      </w:pPr>
      <w:r>
        <w:rPr>
          <w:noProof/>
        </w:rPr>
        <w:lastRenderedPageBreak/>
        <w:t>b)</w:t>
      </w:r>
      <w:r>
        <w:rPr>
          <w:noProof/>
        </w:rPr>
        <w:tab/>
      </w:r>
      <w:r w:rsidR="00D10507" w:rsidRPr="008C52C9">
        <w:rPr>
          <w:noProof/>
        </w:rPr>
        <w:t>per le sostanze inquinanti regolamentate dall'allegato II della convenzione Marpol 73/78, non siano soddisfatte le condizioni di cui alle norme 13, 3.1.1 o 3.1.3 di detto allegato;</w:t>
      </w:r>
    </w:p>
    <w:p w14:paraId="7FB5B92C" w14:textId="6E8A1612" w:rsidR="00D10507" w:rsidRPr="008C52C9" w:rsidRDefault="00D5792F" w:rsidP="00D5792F">
      <w:pPr>
        <w:pStyle w:val="Point2"/>
        <w:rPr>
          <w:noProof/>
        </w:rPr>
      </w:pPr>
      <w:r>
        <w:rPr>
          <w:noProof/>
        </w:rPr>
        <w:t>c)</w:t>
      </w:r>
      <w:r>
        <w:rPr>
          <w:noProof/>
        </w:rPr>
        <w:tab/>
      </w:r>
      <w:r w:rsidR="00D10507" w:rsidRPr="008C52C9">
        <w:rPr>
          <w:noProof/>
        </w:rPr>
        <w:t>per le sostanze inquinanti regolamentate dall'allegato III della convenzione Marpol 73/78, non siano soddisfatte le condizioni di cui alla norma 8.1 di detto allegato;</w:t>
      </w:r>
    </w:p>
    <w:p w14:paraId="798DD367" w14:textId="371C747F" w:rsidR="00D10507" w:rsidRPr="008C52C9" w:rsidRDefault="00D5792F" w:rsidP="00D5792F">
      <w:pPr>
        <w:pStyle w:val="Point2"/>
        <w:rPr>
          <w:noProof/>
        </w:rPr>
      </w:pPr>
      <w:r>
        <w:rPr>
          <w:noProof/>
        </w:rPr>
        <w:t>d)</w:t>
      </w:r>
      <w:r>
        <w:rPr>
          <w:noProof/>
        </w:rPr>
        <w:tab/>
      </w:r>
      <w:r w:rsidR="00D10507" w:rsidRPr="008C52C9">
        <w:rPr>
          <w:noProof/>
        </w:rPr>
        <w:t>per le sostanze inquinanti regolamentate dall'allegato IV della convenzione Marpol 73/78, non siano soddisfatte le condizioni di cui alle norme 3, 11.1 e 11.3 di detto allegato;</w:t>
      </w:r>
    </w:p>
    <w:p w14:paraId="50F41186" w14:textId="2C7B555D" w:rsidR="00D10507" w:rsidRPr="008C52C9" w:rsidRDefault="00D5792F" w:rsidP="00D5792F">
      <w:pPr>
        <w:pStyle w:val="Point2"/>
        <w:rPr>
          <w:noProof/>
        </w:rPr>
      </w:pPr>
      <w:r>
        <w:rPr>
          <w:noProof/>
        </w:rPr>
        <w:t>e)</w:t>
      </w:r>
      <w:r>
        <w:rPr>
          <w:noProof/>
        </w:rPr>
        <w:tab/>
      </w:r>
      <w:r w:rsidR="00D10507" w:rsidRPr="008C52C9">
        <w:rPr>
          <w:noProof/>
        </w:rPr>
        <w:t>per le sostanze inquinanti regolamentate dall'allegato V della convenzione Marpol 73/78, non siano soddisfatte le condizioni di cui alle norme 4.1, 4.2, 5, 6.1, 6.2 e 7 di detto allegato, nonché alla parte II-A, sezione 5.2, del codice internazionale per le navi che incrociano nelle acque polari (codice polare); e</w:t>
      </w:r>
    </w:p>
    <w:p w14:paraId="3E512C4E" w14:textId="25CBA9CE" w:rsidR="00D10507" w:rsidRPr="008C52C9" w:rsidRDefault="00D5792F" w:rsidP="00D5792F">
      <w:pPr>
        <w:pStyle w:val="Point2"/>
        <w:rPr>
          <w:noProof/>
        </w:rPr>
      </w:pPr>
      <w:r>
        <w:rPr>
          <w:noProof/>
        </w:rPr>
        <w:t>f)</w:t>
      </w:r>
      <w:r>
        <w:rPr>
          <w:noProof/>
        </w:rPr>
        <w:tab/>
      </w:r>
      <w:r w:rsidR="00D10507" w:rsidRPr="008C52C9">
        <w:rPr>
          <w:noProof/>
        </w:rPr>
        <w:t>per i residui dei sistemi di depurazione dei gas di scarico, non siano soddisfatte le condizioni di cui all'allegato VI, norme 14.1, 14.4, 14.6 e 3.1.1, della convenzione Marpol 73/78.</w:t>
      </w:r>
    </w:p>
    <w:p w14:paraId="4B1D7205" w14:textId="77777777" w:rsidR="00D10507" w:rsidRPr="008C52C9" w:rsidRDefault="000B2BA4" w:rsidP="000B2BA4">
      <w:pPr>
        <w:pStyle w:val="Point1"/>
        <w:rPr>
          <w:noProof/>
        </w:rPr>
      </w:pPr>
      <w:r w:rsidRPr="008C52C9">
        <w:rPr>
          <w:noProof/>
        </w:rPr>
        <w:t>2.</w:t>
      </w:r>
      <w:r w:rsidRPr="008C52C9">
        <w:rPr>
          <w:noProof/>
        </w:rPr>
        <w:tab/>
        <w:t>Ciascuno Stato membro adotta le misure necessarie a far sì che le persone fisiche o giuridiche che abbiano commesso una violazione ai sensi del paragrafo 1 siano ritenute responsabili.";</w:t>
      </w:r>
    </w:p>
    <w:p w14:paraId="43AC00CF" w14:textId="3AD1AA08" w:rsidR="00D10507" w:rsidRPr="008C52C9" w:rsidRDefault="00D5792F" w:rsidP="00D5792F">
      <w:pPr>
        <w:pStyle w:val="Point0"/>
        <w:rPr>
          <w:noProof/>
        </w:rPr>
      </w:pPr>
      <w:r>
        <w:rPr>
          <w:noProof/>
        </w:rPr>
        <w:t>5)</w:t>
      </w:r>
      <w:r>
        <w:rPr>
          <w:noProof/>
        </w:rPr>
        <w:tab/>
      </w:r>
      <w:r w:rsidR="00F31F65" w:rsidRPr="008C52C9">
        <w:rPr>
          <w:noProof/>
        </w:rPr>
        <w:t>l'articolo 5 è sostituito dal seguente:</w:t>
      </w:r>
    </w:p>
    <w:p w14:paraId="38A7DA9E" w14:textId="77777777" w:rsidR="00BF62C7" w:rsidRPr="008C52C9" w:rsidRDefault="00BF62C7" w:rsidP="000B2BA4">
      <w:pPr>
        <w:pStyle w:val="Titrearticle"/>
        <w:rPr>
          <w:noProof/>
        </w:rPr>
      </w:pPr>
      <w:r w:rsidRPr="008C52C9">
        <w:rPr>
          <w:noProof/>
        </w:rPr>
        <w:t>"Articolo 5</w:t>
      </w:r>
    </w:p>
    <w:p w14:paraId="1A7ABBF0" w14:textId="77777777" w:rsidR="00BF62C7" w:rsidRPr="008C52C9" w:rsidRDefault="00BF62C7" w:rsidP="00AF3C67">
      <w:pPr>
        <w:pStyle w:val="Typeacteprincipal"/>
        <w:rPr>
          <w:noProof/>
        </w:rPr>
      </w:pPr>
      <w:r w:rsidRPr="008C52C9">
        <w:rPr>
          <w:noProof/>
        </w:rPr>
        <w:t>Eccezioni</w:t>
      </w:r>
    </w:p>
    <w:p w14:paraId="7188A62C" w14:textId="77777777" w:rsidR="00BF62C7" w:rsidRPr="008C52C9" w:rsidRDefault="00207F05" w:rsidP="00207F05">
      <w:pPr>
        <w:pStyle w:val="Point1"/>
        <w:rPr>
          <w:noProof/>
        </w:rPr>
      </w:pPr>
      <w:r w:rsidRPr="008C52C9">
        <w:rPr>
          <w:noProof/>
        </w:rPr>
        <w:t>1.</w:t>
      </w:r>
      <w:r w:rsidRPr="008C52C9">
        <w:rPr>
          <w:noProof/>
        </w:rPr>
        <w:tab/>
        <w:t>Lo scarico di sostanze inquinanti regolamentate dagli allegati I, II e VI della convenzione Marpol 73/78 nelle aree di cui all'articolo 3, paragrafo 1, lettere c), d) ed e), non è considerato una violazione da parte della società, del comandante o dell'equipaggio se sono soddisfatte entrambe le condizioni seguenti:</w:t>
      </w:r>
    </w:p>
    <w:p w14:paraId="225BEAD6" w14:textId="0AE4B3E6" w:rsidR="00BF62C7" w:rsidRPr="008C52C9" w:rsidRDefault="00D5792F" w:rsidP="00D5792F">
      <w:pPr>
        <w:pStyle w:val="Point2"/>
        <w:rPr>
          <w:noProof/>
        </w:rPr>
      </w:pPr>
      <w:r>
        <w:rPr>
          <w:noProof/>
        </w:rPr>
        <w:t>a)</w:t>
      </w:r>
      <w:r>
        <w:rPr>
          <w:noProof/>
        </w:rPr>
        <w:tab/>
      </w:r>
      <w:r w:rsidR="00BF62C7" w:rsidRPr="008C52C9">
        <w:rPr>
          <w:noProof/>
        </w:rPr>
        <w:t xml:space="preserve">lo scarico deriva da un'avaria alla nave o al suo equipaggiamento; </w:t>
      </w:r>
    </w:p>
    <w:p w14:paraId="3B4CC92B" w14:textId="41CA1C1D" w:rsidR="00BF62C7" w:rsidRPr="008C52C9" w:rsidRDefault="00D5792F" w:rsidP="00D5792F">
      <w:pPr>
        <w:pStyle w:val="Point2"/>
        <w:rPr>
          <w:noProof/>
        </w:rPr>
      </w:pPr>
      <w:r>
        <w:rPr>
          <w:noProof/>
        </w:rPr>
        <w:t>b)</w:t>
      </w:r>
      <w:r>
        <w:rPr>
          <w:noProof/>
        </w:rPr>
        <w:tab/>
      </w:r>
      <w:r w:rsidR="00BF62C7" w:rsidRPr="008C52C9">
        <w:rPr>
          <w:noProof/>
        </w:rPr>
        <w:t>dopo l'avaria o la scoperta dello scarico sono state prese tutte le ragionevoli precauzioni per impedire o ridurre lo scarico.</w:t>
      </w:r>
    </w:p>
    <w:p w14:paraId="0BCE3DA8" w14:textId="77777777" w:rsidR="00BF62C7" w:rsidRPr="008C52C9" w:rsidRDefault="00207F05" w:rsidP="00207F05">
      <w:pPr>
        <w:pStyle w:val="Point1"/>
        <w:rPr>
          <w:noProof/>
        </w:rPr>
      </w:pPr>
      <w:r w:rsidRPr="008C52C9">
        <w:rPr>
          <w:noProof/>
        </w:rPr>
        <w:t>2.</w:t>
      </w:r>
      <w:r w:rsidRPr="008C52C9">
        <w:rPr>
          <w:noProof/>
        </w:rPr>
        <w:tab/>
        <w:t>Il paragrafo 1 non si applica se la società, il comandante o l'equipaggio responsabili dell'avaria hanno agito con l'intenzione di provocarla o incautamente e con la consapevolezza che l'avaria sarebbe probabilmente avvenuta.";</w:t>
      </w:r>
    </w:p>
    <w:p w14:paraId="02201101" w14:textId="3B409093" w:rsidR="00BF62C7" w:rsidRPr="008C52C9" w:rsidRDefault="00D5792F" w:rsidP="00D5792F">
      <w:pPr>
        <w:pStyle w:val="Point0"/>
        <w:rPr>
          <w:noProof/>
        </w:rPr>
      </w:pPr>
      <w:r>
        <w:rPr>
          <w:noProof/>
        </w:rPr>
        <w:t>6)</w:t>
      </w:r>
      <w:r>
        <w:rPr>
          <w:noProof/>
        </w:rPr>
        <w:tab/>
      </w:r>
      <w:r w:rsidR="00BF62C7" w:rsidRPr="008C52C9">
        <w:rPr>
          <w:noProof/>
        </w:rPr>
        <w:t>l'articolo 5 bis è soppresso;</w:t>
      </w:r>
    </w:p>
    <w:p w14:paraId="233904F8" w14:textId="463BE8A9" w:rsidR="00BF62C7" w:rsidRPr="008C52C9" w:rsidRDefault="00D5792F" w:rsidP="00D5792F">
      <w:pPr>
        <w:pStyle w:val="Point0"/>
        <w:rPr>
          <w:noProof/>
        </w:rPr>
      </w:pPr>
      <w:r>
        <w:rPr>
          <w:noProof/>
        </w:rPr>
        <w:t>7)</w:t>
      </w:r>
      <w:r>
        <w:rPr>
          <w:noProof/>
        </w:rPr>
        <w:tab/>
      </w:r>
      <w:r w:rsidR="00BF62C7" w:rsidRPr="008C52C9">
        <w:rPr>
          <w:noProof/>
        </w:rPr>
        <w:t>l'articolo 5 ter è soppresso;</w:t>
      </w:r>
    </w:p>
    <w:p w14:paraId="5D805B03" w14:textId="5A1DFD60" w:rsidR="00BF62C7" w:rsidRPr="008C52C9" w:rsidRDefault="00D5792F" w:rsidP="00D5792F">
      <w:pPr>
        <w:pStyle w:val="Point0"/>
        <w:rPr>
          <w:noProof/>
        </w:rPr>
      </w:pPr>
      <w:r>
        <w:rPr>
          <w:noProof/>
        </w:rPr>
        <w:t>8)</w:t>
      </w:r>
      <w:r>
        <w:rPr>
          <w:noProof/>
        </w:rPr>
        <w:tab/>
      </w:r>
      <w:r w:rsidR="00532A1D" w:rsidRPr="008C52C9">
        <w:rPr>
          <w:noProof/>
        </w:rPr>
        <w:t>all'articolo 6, è aggiunto il seguente paragrafo 3:</w:t>
      </w:r>
    </w:p>
    <w:p w14:paraId="2030666C" w14:textId="72369B18" w:rsidR="00BF62C7" w:rsidRPr="008C52C9" w:rsidRDefault="00B4262A" w:rsidP="00532A1D">
      <w:pPr>
        <w:pStyle w:val="Point2"/>
        <w:ind w:left="1418"/>
        <w:rPr>
          <w:noProof/>
        </w:rPr>
      </w:pPr>
      <w:r>
        <w:rPr>
          <w:noProof/>
        </w:rPr>
        <w:t>"</w:t>
      </w:r>
      <w:r w:rsidR="00532A1D" w:rsidRPr="008C52C9">
        <w:rPr>
          <w:noProof/>
        </w:rPr>
        <w:t>3.</w:t>
      </w:r>
      <w:r w:rsidR="00532A1D" w:rsidRPr="008C52C9">
        <w:rPr>
          <w:noProof/>
        </w:rPr>
        <w:tab/>
        <w:t>L'allegato I della presente direttiva comprende un elenco indicativo delle irregolarità o delle informazioni ai sensi del paragrafo 1.";</w:t>
      </w:r>
    </w:p>
    <w:p w14:paraId="7BD5F906" w14:textId="0DBD8CA8" w:rsidR="00640122" w:rsidRPr="008C52C9" w:rsidRDefault="00D5792F" w:rsidP="00D5792F">
      <w:pPr>
        <w:pStyle w:val="Point0"/>
        <w:rPr>
          <w:noProof/>
        </w:rPr>
      </w:pPr>
      <w:r>
        <w:rPr>
          <w:noProof/>
        </w:rPr>
        <w:t>9)</w:t>
      </w:r>
      <w:r>
        <w:rPr>
          <w:noProof/>
        </w:rPr>
        <w:tab/>
      </w:r>
      <w:r w:rsidR="00640122" w:rsidRPr="008C52C9">
        <w:rPr>
          <w:noProof/>
        </w:rPr>
        <w:t>l'articolo 8 è sostituito dal seguente:</w:t>
      </w:r>
    </w:p>
    <w:p w14:paraId="5ABF596F" w14:textId="77777777" w:rsidR="00640122" w:rsidRPr="008C52C9" w:rsidRDefault="00640122" w:rsidP="00207F05">
      <w:pPr>
        <w:pStyle w:val="Titrearticle"/>
        <w:rPr>
          <w:noProof/>
        </w:rPr>
      </w:pPr>
      <w:r w:rsidRPr="008C52C9">
        <w:rPr>
          <w:noProof/>
        </w:rPr>
        <w:lastRenderedPageBreak/>
        <w:t>"Articolo 8</w:t>
      </w:r>
    </w:p>
    <w:p w14:paraId="79D6D3B5" w14:textId="77777777" w:rsidR="00640122" w:rsidRPr="008C52C9" w:rsidRDefault="00640122" w:rsidP="00AF3C67">
      <w:pPr>
        <w:pStyle w:val="Typeacteprincipalt"/>
        <w:rPr>
          <w:noProof/>
        </w:rPr>
      </w:pPr>
      <w:r w:rsidRPr="008C52C9">
        <w:rPr>
          <w:noProof/>
        </w:rPr>
        <w:t>Sanzioni</w:t>
      </w:r>
    </w:p>
    <w:p w14:paraId="4184C588" w14:textId="77777777" w:rsidR="00E72131" w:rsidRPr="008C52C9" w:rsidRDefault="00207F05" w:rsidP="00207F05">
      <w:pPr>
        <w:pStyle w:val="Point1"/>
        <w:rPr>
          <w:noProof/>
        </w:rPr>
      </w:pPr>
      <w:r w:rsidRPr="008C52C9">
        <w:rPr>
          <w:noProof/>
        </w:rPr>
        <w:t>1.</w:t>
      </w:r>
      <w:r w:rsidRPr="008C52C9">
        <w:rPr>
          <w:noProof/>
        </w:rPr>
        <w:tab/>
        <w:t>Fatti salvi gli obblighi degli Stati membri a norma della direttiva (UE) 2023/xxxx</w:t>
      </w:r>
      <w:r w:rsidRPr="008C52C9">
        <w:rPr>
          <w:rStyle w:val="FootnoteReference"/>
          <w:noProof/>
        </w:rPr>
        <w:footnoteReference w:id="36"/>
      </w:r>
      <w:r w:rsidRPr="008C52C9">
        <w:rPr>
          <w:noProof/>
        </w:rPr>
        <w:t>, gli Stati membri stabiliscono un sistema di sanzioni amministrative per la violazione delle disposizioni nazionali di attuazione dell'articolo 4 e dell'articolo 5, paragrafo 2, della presente direttiva e ne assicurano l'applicazione. Le sanzioni amministrative previste sono dissuasive, effettive e proporzionate.</w:t>
      </w:r>
    </w:p>
    <w:p w14:paraId="1D9AD923" w14:textId="77777777" w:rsidR="004378A9" w:rsidRPr="008C52C9" w:rsidRDefault="00207F05" w:rsidP="00DE3EF7">
      <w:pPr>
        <w:pStyle w:val="Point1"/>
        <w:rPr>
          <w:noProof/>
        </w:rPr>
      </w:pPr>
      <w:r w:rsidRPr="008C52C9">
        <w:rPr>
          <w:noProof/>
        </w:rPr>
        <w:t>2.</w:t>
      </w:r>
      <w:r w:rsidRPr="008C52C9">
        <w:rPr>
          <w:noProof/>
        </w:rPr>
        <w:tab/>
        <w:t>Gli Stati membri provvedono affinché le sanzioni introdotte in recepimento della presente direttiva includano ammende imposte alla società al momento della violazione, a meno che la società non possa dimostrare che il comandante o l'equipaggio, nel caso in cui quest'ultimo non agisca sotto la responsabilità del comandante stesso, sono responsabili di tale violazione.</w:t>
      </w:r>
    </w:p>
    <w:p w14:paraId="5888C850" w14:textId="77777777" w:rsidR="00DB4FE0" w:rsidRPr="008C52C9" w:rsidRDefault="00C8246A" w:rsidP="00DE3EF7">
      <w:pPr>
        <w:pStyle w:val="Point1"/>
        <w:rPr>
          <w:noProof/>
        </w:rPr>
      </w:pPr>
      <w:r w:rsidRPr="008C52C9">
        <w:rPr>
          <w:noProof/>
        </w:rPr>
        <w:t xml:space="preserve">3. </w:t>
      </w:r>
      <w:r w:rsidRPr="008C52C9">
        <w:rPr>
          <w:noProof/>
        </w:rPr>
        <w:tab/>
        <w:t>Qualora sia dimostrato che il comandante o l'equipaggio, nel caso in cui quest'ultimo non agisca sotto la responsabilità del comandante stesso, sono responsabili della violazione in questione, gli Stati membri provvedono a imporre sanzioni a tali persone in conformità delle disposizioni della presente direttiva.";</w:t>
      </w:r>
    </w:p>
    <w:p w14:paraId="12799289" w14:textId="44B3D0EC" w:rsidR="00B20268" w:rsidRPr="008C52C9" w:rsidRDefault="00D5792F" w:rsidP="00D5792F">
      <w:pPr>
        <w:pStyle w:val="Point0"/>
        <w:rPr>
          <w:noProof/>
        </w:rPr>
      </w:pPr>
      <w:r>
        <w:rPr>
          <w:noProof/>
        </w:rPr>
        <w:t>10)</w:t>
      </w:r>
      <w:r>
        <w:rPr>
          <w:noProof/>
        </w:rPr>
        <w:tab/>
      </w:r>
      <w:r w:rsidR="00B20268" w:rsidRPr="008C52C9">
        <w:rPr>
          <w:noProof/>
        </w:rPr>
        <w:t>l'articolo 8 bis è soppresso;</w:t>
      </w:r>
    </w:p>
    <w:p w14:paraId="5CF753B4" w14:textId="5AE253FF" w:rsidR="00B20268" w:rsidRPr="008C52C9" w:rsidRDefault="00D5792F" w:rsidP="00D5792F">
      <w:pPr>
        <w:pStyle w:val="Point0"/>
        <w:rPr>
          <w:noProof/>
        </w:rPr>
      </w:pPr>
      <w:r>
        <w:rPr>
          <w:noProof/>
        </w:rPr>
        <w:t>11)</w:t>
      </w:r>
      <w:r>
        <w:rPr>
          <w:noProof/>
        </w:rPr>
        <w:tab/>
      </w:r>
      <w:r w:rsidR="00B20268" w:rsidRPr="008C52C9">
        <w:rPr>
          <w:noProof/>
        </w:rPr>
        <w:t>l'articolo 8 ter è soppresso;</w:t>
      </w:r>
    </w:p>
    <w:p w14:paraId="17531A9A" w14:textId="226D9F9A" w:rsidR="00B20268" w:rsidRPr="008C52C9" w:rsidRDefault="00D5792F" w:rsidP="00D5792F">
      <w:pPr>
        <w:pStyle w:val="Point0"/>
        <w:rPr>
          <w:noProof/>
        </w:rPr>
      </w:pPr>
      <w:r>
        <w:rPr>
          <w:noProof/>
        </w:rPr>
        <w:t>12)</w:t>
      </w:r>
      <w:r>
        <w:rPr>
          <w:noProof/>
        </w:rPr>
        <w:tab/>
      </w:r>
      <w:r w:rsidR="00B20268" w:rsidRPr="008C52C9">
        <w:rPr>
          <w:noProof/>
        </w:rPr>
        <w:t>l'articolo 8 quater è soppresso;</w:t>
      </w:r>
    </w:p>
    <w:p w14:paraId="6A30433C" w14:textId="29A26A96" w:rsidR="00DB4FE0" w:rsidRPr="008C52C9" w:rsidRDefault="00D5792F" w:rsidP="00D5792F">
      <w:pPr>
        <w:pStyle w:val="Point0"/>
        <w:rPr>
          <w:noProof/>
        </w:rPr>
      </w:pPr>
      <w:r>
        <w:rPr>
          <w:noProof/>
        </w:rPr>
        <w:t>13)</w:t>
      </w:r>
      <w:r>
        <w:rPr>
          <w:noProof/>
        </w:rPr>
        <w:tab/>
      </w:r>
      <w:r w:rsidR="00532A1D" w:rsidRPr="008C52C9">
        <w:rPr>
          <w:noProof/>
        </w:rPr>
        <w:t>è inserito il seguente articolo 8 quinquies:</w:t>
      </w:r>
    </w:p>
    <w:p w14:paraId="589044F7" w14:textId="77777777" w:rsidR="00DB4FE0" w:rsidRPr="008C52C9" w:rsidRDefault="00D269E2" w:rsidP="00207F05">
      <w:pPr>
        <w:pStyle w:val="Titrearticle"/>
        <w:rPr>
          <w:noProof/>
        </w:rPr>
      </w:pPr>
      <w:r w:rsidRPr="008C52C9">
        <w:rPr>
          <w:noProof/>
        </w:rPr>
        <w:t>"Articolo 8 quinquies</w:t>
      </w:r>
    </w:p>
    <w:p w14:paraId="31B28E59" w14:textId="77777777" w:rsidR="00DB4FE0" w:rsidRPr="008C52C9" w:rsidRDefault="00DB4FE0" w:rsidP="00AF3C67">
      <w:pPr>
        <w:pStyle w:val="Typeacteprincipal"/>
        <w:rPr>
          <w:noProof/>
        </w:rPr>
      </w:pPr>
      <w:r w:rsidRPr="008C52C9">
        <w:rPr>
          <w:noProof/>
        </w:rPr>
        <w:t>Applicazione efficace delle sanzioni</w:t>
      </w:r>
    </w:p>
    <w:p w14:paraId="2A0BC546" w14:textId="77777777" w:rsidR="00DB4FE0" w:rsidRPr="008C52C9" w:rsidRDefault="009A33B1" w:rsidP="009A33B1">
      <w:pPr>
        <w:pStyle w:val="Point1"/>
        <w:rPr>
          <w:noProof/>
        </w:rPr>
      </w:pPr>
      <w:r w:rsidRPr="008C52C9">
        <w:rPr>
          <w:noProof/>
        </w:rPr>
        <w:t>1.</w:t>
      </w:r>
      <w:r w:rsidRPr="008C52C9">
        <w:rPr>
          <w:noProof/>
        </w:rPr>
        <w:tab/>
        <w:t>Gli Stati membri garantiscono che, nel determinare e applicare il tipo e il livello di sanzione amministrativa a una persona fisica o giuridica ritenuta responsabile di una violazione ai sensi dell'articolo 4 e dell'articolo 5, paragrafo 2, dalle autorità competenti, queste ultime tengano conto di tutte le circostanze pertinenti della violazione, tra cui:</w:t>
      </w:r>
    </w:p>
    <w:p w14:paraId="209BD936" w14:textId="3B773C4F" w:rsidR="00DB4FE0" w:rsidRPr="008C52C9" w:rsidRDefault="00D5792F" w:rsidP="00D5792F">
      <w:pPr>
        <w:pStyle w:val="Point2"/>
        <w:rPr>
          <w:noProof/>
        </w:rPr>
      </w:pPr>
      <w:r>
        <w:rPr>
          <w:noProof/>
        </w:rPr>
        <w:t>a)</w:t>
      </w:r>
      <w:r>
        <w:rPr>
          <w:noProof/>
        </w:rPr>
        <w:tab/>
      </w:r>
      <w:r w:rsidR="00DB4FE0" w:rsidRPr="008C52C9">
        <w:rPr>
          <w:noProof/>
        </w:rPr>
        <w:t>la natura, la gravità e la durata dello scarico;</w:t>
      </w:r>
    </w:p>
    <w:p w14:paraId="15E8AABC" w14:textId="5DC75684" w:rsidR="00DB4FE0" w:rsidRPr="008C52C9" w:rsidRDefault="00D5792F" w:rsidP="00D5792F">
      <w:pPr>
        <w:pStyle w:val="Point2"/>
        <w:rPr>
          <w:noProof/>
        </w:rPr>
      </w:pPr>
      <w:r>
        <w:rPr>
          <w:noProof/>
        </w:rPr>
        <w:t>b)</w:t>
      </w:r>
      <w:r>
        <w:rPr>
          <w:noProof/>
        </w:rPr>
        <w:tab/>
      </w:r>
      <w:r w:rsidR="00DB4FE0" w:rsidRPr="008C52C9">
        <w:rPr>
          <w:noProof/>
        </w:rPr>
        <w:t>il grado di colpevolezza della persona responsabile;</w:t>
      </w:r>
    </w:p>
    <w:p w14:paraId="19EAB807" w14:textId="3D1AC012" w:rsidR="00C8246A" w:rsidRPr="008C52C9" w:rsidRDefault="00D5792F" w:rsidP="00D5792F">
      <w:pPr>
        <w:pStyle w:val="Point2"/>
        <w:rPr>
          <w:noProof/>
        </w:rPr>
      </w:pPr>
      <w:r>
        <w:rPr>
          <w:noProof/>
        </w:rPr>
        <w:t>c)</w:t>
      </w:r>
      <w:r>
        <w:rPr>
          <w:noProof/>
        </w:rPr>
        <w:tab/>
      </w:r>
      <w:r w:rsidR="00C8246A" w:rsidRPr="008C52C9">
        <w:rPr>
          <w:noProof/>
        </w:rPr>
        <w:t>i danni causati dallo scarico all'ambiente o alla salute umana;</w:t>
      </w:r>
    </w:p>
    <w:p w14:paraId="5CA2B431" w14:textId="308FA5CF" w:rsidR="00DB4FE0" w:rsidRPr="008C52C9" w:rsidRDefault="00D5792F" w:rsidP="00D5792F">
      <w:pPr>
        <w:pStyle w:val="Point2"/>
        <w:rPr>
          <w:noProof/>
        </w:rPr>
      </w:pPr>
      <w:r>
        <w:rPr>
          <w:noProof/>
        </w:rPr>
        <w:t>d)</w:t>
      </w:r>
      <w:r>
        <w:rPr>
          <w:noProof/>
        </w:rPr>
        <w:tab/>
      </w:r>
      <w:r w:rsidR="00DB4FE0" w:rsidRPr="008C52C9">
        <w:rPr>
          <w:noProof/>
        </w:rPr>
        <w:t>la solidità finanziaria della persona responsabile, tenendo conto, se del caso, del fatturato annuo realizzato a livello mondiale della persona giuridica responsabile;</w:t>
      </w:r>
    </w:p>
    <w:p w14:paraId="68E798DC" w14:textId="6B5DB167" w:rsidR="00137A04" w:rsidRPr="008C52C9" w:rsidRDefault="00D5792F" w:rsidP="00D5792F">
      <w:pPr>
        <w:pStyle w:val="Point2"/>
        <w:rPr>
          <w:noProof/>
        </w:rPr>
      </w:pPr>
      <w:r>
        <w:rPr>
          <w:noProof/>
        </w:rPr>
        <w:t>e)</w:t>
      </w:r>
      <w:r>
        <w:rPr>
          <w:noProof/>
        </w:rPr>
        <w:tab/>
      </w:r>
      <w:r w:rsidR="00137A04" w:rsidRPr="008C52C9">
        <w:rPr>
          <w:noProof/>
        </w:rPr>
        <w:t>i benefici economici che la violazione genera o che si prevede genererà per la persona responsabile;</w:t>
      </w:r>
    </w:p>
    <w:p w14:paraId="17E020B1" w14:textId="7E5D3635" w:rsidR="00DB4FE0" w:rsidRPr="008C52C9" w:rsidRDefault="00D5792F" w:rsidP="00D5792F">
      <w:pPr>
        <w:pStyle w:val="Point2"/>
        <w:rPr>
          <w:noProof/>
        </w:rPr>
      </w:pPr>
      <w:r>
        <w:rPr>
          <w:noProof/>
        </w:rPr>
        <w:t>f)</w:t>
      </w:r>
      <w:r>
        <w:rPr>
          <w:noProof/>
        </w:rPr>
        <w:tab/>
      </w:r>
      <w:r w:rsidR="00DB4FE0" w:rsidRPr="008C52C9">
        <w:rPr>
          <w:noProof/>
        </w:rPr>
        <w:t xml:space="preserve">le misure adottate dalla persona responsabile per prevenire lo scarico o mitigarne gli impatti; </w:t>
      </w:r>
    </w:p>
    <w:p w14:paraId="0C52E7F1" w14:textId="521DA5E2" w:rsidR="00DB4FE0" w:rsidRPr="008C52C9" w:rsidRDefault="00D5792F" w:rsidP="00D5792F">
      <w:pPr>
        <w:pStyle w:val="Point2"/>
        <w:rPr>
          <w:noProof/>
        </w:rPr>
      </w:pPr>
      <w:r>
        <w:rPr>
          <w:noProof/>
        </w:rPr>
        <w:t>g)</w:t>
      </w:r>
      <w:r>
        <w:rPr>
          <w:noProof/>
        </w:rPr>
        <w:tab/>
      </w:r>
      <w:r w:rsidR="00DB4FE0" w:rsidRPr="008C52C9">
        <w:rPr>
          <w:noProof/>
        </w:rPr>
        <w:t>il livello di cooperazione della persona responsabile con l'autorità competente, comprese eventuali azioni volte a eludere od ostacolare lo svolgimento di un'ispezione adeguata o di un'altra indagine da parte di tale autorità; e</w:t>
      </w:r>
    </w:p>
    <w:p w14:paraId="6398C085" w14:textId="224EE564" w:rsidR="00DB4FE0" w:rsidRPr="008C52C9" w:rsidRDefault="00D5792F" w:rsidP="00D5792F">
      <w:pPr>
        <w:pStyle w:val="Point2"/>
        <w:rPr>
          <w:noProof/>
        </w:rPr>
      </w:pPr>
      <w:r>
        <w:rPr>
          <w:noProof/>
        </w:rPr>
        <w:lastRenderedPageBreak/>
        <w:t>h)</w:t>
      </w:r>
      <w:r>
        <w:rPr>
          <w:noProof/>
        </w:rPr>
        <w:tab/>
      </w:r>
      <w:r w:rsidR="00DB4FE0" w:rsidRPr="008C52C9">
        <w:rPr>
          <w:noProof/>
        </w:rPr>
        <w:t>qualsiasi precedente violazione commessa dalla persona responsabile.</w:t>
      </w:r>
    </w:p>
    <w:p w14:paraId="761EA274" w14:textId="77777777" w:rsidR="00DB4FE0" w:rsidRPr="008C52C9" w:rsidRDefault="004619AA" w:rsidP="004619AA">
      <w:pPr>
        <w:pStyle w:val="Point1"/>
        <w:rPr>
          <w:noProof/>
        </w:rPr>
      </w:pPr>
      <w:r w:rsidRPr="008C52C9">
        <w:rPr>
          <w:noProof/>
        </w:rPr>
        <w:t>2.</w:t>
      </w:r>
      <w:r w:rsidRPr="008C52C9">
        <w:rPr>
          <w:noProof/>
        </w:rPr>
        <w:tab/>
        <w:t>Al fine di garantire l'applicazione uniforme del presente articolo, la Commissione può stabilire, mediante atti di esecuzione, norme dettagliate sui criteri che gli Stati membri devono considerare nell'applicare le sanzioni per ciascun tipo di sostanza inquinante a norma della presente direttiva. Tali atti di esecuzione sono adottati secondo la procedura d'esame di cui all'articolo 13.";</w:t>
      </w:r>
    </w:p>
    <w:p w14:paraId="104B2AD0" w14:textId="4608505E" w:rsidR="00CF2C94" w:rsidRPr="008C52C9" w:rsidRDefault="00D5792F" w:rsidP="00D5792F">
      <w:pPr>
        <w:pStyle w:val="Point0"/>
        <w:rPr>
          <w:noProof/>
        </w:rPr>
      </w:pPr>
      <w:r>
        <w:rPr>
          <w:noProof/>
        </w:rPr>
        <w:t>14)</w:t>
      </w:r>
      <w:r>
        <w:rPr>
          <w:noProof/>
        </w:rPr>
        <w:tab/>
      </w:r>
      <w:r w:rsidR="00640122" w:rsidRPr="008C52C9">
        <w:rPr>
          <w:noProof/>
        </w:rPr>
        <w:t>l'articolo 10 è sostituito dal seguente:</w:t>
      </w:r>
    </w:p>
    <w:p w14:paraId="2EB62BFB" w14:textId="77777777" w:rsidR="001E182A" w:rsidRPr="008C52C9" w:rsidRDefault="001E182A" w:rsidP="004619AA">
      <w:pPr>
        <w:pStyle w:val="Titrearticle"/>
        <w:rPr>
          <w:noProof/>
        </w:rPr>
      </w:pPr>
      <w:r w:rsidRPr="008C52C9">
        <w:rPr>
          <w:noProof/>
        </w:rPr>
        <w:t>"Articolo 10</w:t>
      </w:r>
    </w:p>
    <w:p w14:paraId="1DC1FB6D" w14:textId="77777777" w:rsidR="001E182A" w:rsidRPr="008C52C9" w:rsidRDefault="002B3702" w:rsidP="00AF3C67">
      <w:pPr>
        <w:pStyle w:val="Typeacteprincipal"/>
        <w:rPr>
          <w:noProof/>
        </w:rPr>
      </w:pPr>
      <w:bookmarkStart w:id="6" w:name="_Hlk129776311"/>
      <w:r w:rsidRPr="008C52C9">
        <w:rPr>
          <w:noProof/>
        </w:rPr>
        <w:t>Scambio di informazioni ed esperienze</w:t>
      </w:r>
    </w:p>
    <w:p w14:paraId="35D743C3" w14:textId="77777777" w:rsidR="00D1345A" w:rsidRPr="008C52C9" w:rsidRDefault="000D380D" w:rsidP="000D380D">
      <w:pPr>
        <w:pStyle w:val="Point1"/>
        <w:rPr>
          <w:noProof/>
        </w:rPr>
      </w:pPr>
      <w:r w:rsidRPr="008C52C9">
        <w:rPr>
          <w:noProof/>
        </w:rPr>
        <w:t>1.</w:t>
      </w:r>
      <w:r w:rsidRPr="008C52C9">
        <w:rPr>
          <w:noProof/>
        </w:rPr>
        <w:tab/>
        <w:t>Ai fini della presente direttiva, gli Stati membri e la Commissione cooperano nello scambio di informazioni, sulla base del sistema dell'Unione per lo scambio di dati marittimi di cui all'articolo 22 bis, paragrafo 3, e all'allegato III della direttiva 2002/59/CE</w:t>
      </w:r>
      <w:r w:rsidRPr="008C52C9">
        <w:rPr>
          <w:rStyle w:val="FootnoteReference"/>
          <w:noProof/>
        </w:rPr>
        <w:footnoteReference w:id="37"/>
      </w:r>
      <w:r w:rsidRPr="008C52C9">
        <w:rPr>
          <w:noProof/>
        </w:rPr>
        <w:t xml:space="preserve"> (SafeSeaNet), in modo da conseguire gli obiettivi seguenti: </w:t>
      </w:r>
    </w:p>
    <w:p w14:paraId="1E4F6E67" w14:textId="00BD008C" w:rsidR="00D1345A" w:rsidRPr="008C52C9" w:rsidRDefault="00D5792F" w:rsidP="00D5792F">
      <w:pPr>
        <w:pStyle w:val="Point2"/>
        <w:rPr>
          <w:noProof/>
        </w:rPr>
      </w:pPr>
      <w:r>
        <w:rPr>
          <w:noProof/>
        </w:rPr>
        <w:t>a)</w:t>
      </w:r>
      <w:r>
        <w:rPr>
          <w:noProof/>
        </w:rPr>
        <w:tab/>
      </w:r>
      <w:r w:rsidR="00D1345A" w:rsidRPr="008C52C9">
        <w:rPr>
          <w:noProof/>
        </w:rPr>
        <w:t>migliorare le informazioni necessarie per l'attuazione efficace della presente direttiva, in particolare quelle fornite dal servizio satellitare europeo di individuazione dell'inquinamento istituito dalla presente direttiva (CleanSeaNet), al fine di sviluppare metodi affidabili per rintracciare le sostanze inquinanti in mare;</w:t>
      </w:r>
    </w:p>
    <w:p w14:paraId="684B21BC" w14:textId="0794120B" w:rsidR="00D1345A" w:rsidRPr="008C52C9" w:rsidRDefault="00D5792F" w:rsidP="00D5792F">
      <w:pPr>
        <w:pStyle w:val="Point2"/>
        <w:rPr>
          <w:noProof/>
        </w:rPr>
      </w:pPr>
      <w:r>
        <w:rPr>
          <w:noProof/>
        </w:rPr>
        <w:t>b)</w:t>
      </w:r>
      <w:r>
        <w:rPr>
          <w:noProof/>
        </w:rPr>
        <w:tab/>
      </w:r>
      <w:r w:rsidR="00D1345A" w:rsidRPr="008C52C9">
        <w:rPr>
          <w:noProof/>
        </w:rPr>
        <w:t>sviluppare e attuare un sistema di controllo e monitoraggio adeguato, integrando le informazioni fornite a norma della lettera a) con le informazioni rese disponibili in SafeSeaNet e in altre banche dati e strumenti di informazione dell'Unione, compresa la divulgazione delle informazioni sugli scarichi effettivi o potenziali di residui dei sistemi di depurazione dei gas di scarico al modulo dedicato di THETIS istituito dalla decisione di esecuzione 2015/253 della Commissione</w:t>
      </w:r>
      <w:r w:rsidR="00D1345A" w:rsidRPr="008C52C9">
        <w:rPr>
          <w:rStyle w:val="FootnoteReference"/>
          <w:noProof/>
        </w:rPr>
        <w:footnoteReference w:id="38"/>
      </w:r>
      <w:r w:rsidR="00D1345A" w:rsidRPr="008C52C9">
        <w:rPr>
          <w:noProof/>
        </w:rPr>
        <w:t xml:space="preserve"> (THETIS-EU), al fine di facilitare la rapida identificazione e il monitoraggio delle navi che scaricano sostanze inquinanti, nell'intento di ottimizzare le misure di applicazione prese dalle autorità nazionali;</w:t>
      </w:r>
    </w:p>
    <w:p w14:paraId="255A0B9B" w14:textId="08ACA1D7" w:rsidR="00737FB1" w:rsidRPr="008C52C9" w:rsidRDefault="00D5792F" w:rsidP="00D5792F">
      <w:pPr>
        <w:pStyle w:val="Point2"/>
        <w:rPr>
          <w:noProof/>
        </w:rPr>
      </w:pPr>
      <w:r>
        <w:rPr>
          <w:noProof/>
        </w:rPr>
        <w:t>c)</w:t>
      </w:r>
      <w:r>
        <w:rPr>
          <w:noProof/>
        </w:rPr>
        <w:tab/>
      </w:r>
      <w:r w:rsidR="00D1345A" w:rsidRPr="008C52C9">
        <w:rPr>
          <w:noProof/>
        </w:rPr>
        <w:t xml:space="preserve">utilizzare al meglio le informazioni fornite a norma delle lettere a) e b), nonché quelle comunicate dagli Stati membri conformemente all'articolo 10 bis, al fine di agevolare l'accesso a tali informazioni e il loro scambio tra le autorità competenti e con le autorità di altri Stati membri e la Commissione; e </w:t>
      </w:r>
    </w:p>
    <w:p w14:paraId="0A7BF8C7" w14:textId="6A83AFB2" w:rsidR="00E9085D" w:rsidRPr="008C52C9" w:rsidRDefault="00D5792F" w:rsidP="00D5792F">
      <w:pPr>
        <w:pStyle w:val="Point2"/>
        <w:rPr>
          <w:noProof/>
        </w:rPr>
      </w:pPr>
      <w:r>
        <w:rPr>
          <w:noProof/>
        </w:rPr>
        <w:t>d)</w:t>
      </w:r>
      <w:r>
        <w:rPr>
          <w:noProof/>
        </w:rPr>
        <w:tab/>
      </w:r>
      <w:r w:rsidR="00737FB1" w:rsidRPr="008C52C9">
        <w:rPr>
          <w:noProof/>
        </w:rPr>
        <w:t>entro tre anni dalla data di recepimento della presente direttiva, garantire che le autorità competenti verifichino almeno il 10 % delle segnalazioni inviate tramite CleanSeaNet ogni anno.</w:t>
      </w:r>
    </w:p>
    <w:p w14:paraId="51039800" w14:textId="77777777" w:rsidR="001E182A" w:rsidRPr="008C52C9" w:rsidRDefault="000D380D" w:rsidP="00DE3EF7">
      <w:pPr>
        <w:pStyle w:val="Point1"/>
        <w:rPr>
          <w:noProof/>
        </w:rPr>
      </w:pPr>
      <w:r w:rsidRPr="008C52C9">
        <w:rPr>
          <w:noProof/>
        </w:rPr>
        <w:t>2.</w:t>
      </w:r>
      <w:r w:rsidRPr="008C52C9">
        <w:rPr>
          <w:noProof/>
        </w:rPr>
        <w:tab/>
        <w:t xml:space="preserve">La Commissione provvede all'organizzazione di uno scambio di esperienze tra le autorità nazionali e gli esperti degli Stati membri, compresi quelli del settore privato, della società civile e dei sindacati, in merito all'applicazione della presente direttiva in </w:t>
      </w:r>
      <w:r w:rsidRPr="008C52C9">
        <w:rPr>
          <w:noProof/>
        </w:rPr>
        <w:lastRenderedPageBreak/>
        <w:t>tutta l'Unione, al fine di stabilire prassi e orientamenti comuni sul controllo di tale applicazione.";</w:t>
      </w:r>
    </w:p>
    <w:bookmarkEnd w:id="6"/>
    <w:p w14:paraId="11EB0A33" w14:textId="6ABD4C06" w:rsidR="00640122" w:rsidRPr="008C52C9" w:rsidRDefault="00D5792F" w:rsidP="00D5792F">
      <w:pPr>
        <w:pStyle w:val="Point0"/>
        <w:rPr>
          <w:noProof/>
        </w:rPr>
      </w:pPr>
      <w:r>
        <w:rPr>
          <w:noProof/>
        </w:rPr>
        <w:t>15)</w:t>
      </w:r>
      <w:r>
        <w:rPr>
          <w:noProof/>
        </w:rPr>
        <w:tab/>
      </w:r>
      <w:r w:rsidR="00F5572C" w:rsidRPr="008C52C9">
        <w:rPr>
          <w:noProof/>
        </w:rPr>
        <w:t>sono inseriti i seguenti articoli 10 bis, 10 ter, 10 quater e 10 quinquies:</w:t>
      </w:r>
    </w:p>
    <w:p w14:paraId="00F303F9" w14:textId="77777777" w:rsidR="00207707" w:rsidRPr="008C52C9" w:rsidRDefault="00207707" w:rsidP="000D380D">
      <w:pPr>
        <w:pStyle w:val="Titrearticle"/>
        <w:rPr>
          <w:noProof/>
        </w:rPr>
      </w:pPr>
      <w:bookmarkStart w:id="7" w:name="_Hlk129780657"/>
      <w:r w:rsidRPr="008C52C9">
        <w:rPr>
          <w:noProof/>
        </w:rPr>
        <w:t>"Articolo 10 bis</w:t>
      </w:r>
    </w:p>
    <w:p w14:paraId="05EC18D7" w14:textId="77777777" w:rsidR="00207707" w:rsidRPr="008C52C9" w:rsidRDefault="004C2BBD" w:rsidP="00AF3C67">
      <w:pPr>
        <w:pStyle w:val="Typeacteprincipal"/>
        <w:rPr>
          <w:noProof/>
        </w:rPr>
      </w:pPr>
      <w:r w:rsidRPr="008C52C9">
        <w:rPr>
          <w:noProof/>
        </w:rPr>
        <w:t>Comunicazione delle informazioni</w:t>
      </w:r>
    </w:p>
    <w:p w14:paraId="4D81981E" w14:textId="77777777" w:rsidR="00207707" w:rsidRPr="008C52C9" w:rsidRDefault="000D380D" w:rsidP="000D380D">
      <w:pPr>
        <w:pStyle w:val="Point1"/>
        <w:rPr>
          <w:noProof/>
        </w:rPr>
      </w:pPr>
      <w:r w:rsidRPr="008C52C9">
        <w:rPr>
          <w:noProof/>
        </w:rPr>
        <w:t>1.</w:t>
      </w:r>
      <w:r w:rsidRPr="008C52C9">
        <w:rPr>
          <w:noProof/>
        </w:rPr>
        <w:tab/>
        <w:t>La Commissione istituisce uno strumento elettronico di comunicazione per la raccolta e lo scambio di informazioni tra gli Stati membri e la Commissione in merito all'attuazione del sistema di applicazione previsto dalla presente direttiva.</w:t>
      </w:r>
    </w:p>
    <w:p w14:paraId="7FB59C15" w14:textId="77777777" w:rsidR="00316D63" w:rsidRPr="008C52C9" w:rsidRDefault="000D380D" w:rsidP="000D380D">
      <w:pPr>
        <w:pStyle w:val="Point1"/>
        <w:rPr>
          <w:noProof/>
        </w:rPr>
      </w:pPr>
      <w:r w:rsidRPr="008C52C9">
        <w:rPr>
          <w:noProof/>
        </w:rPr>
        <w:t>2.</w:t>
      </w:r>
      <w:r w:rsidRPr="008C52C9">
        <w:rPr>
          <w:noProof/>
        </w:rPr>
        <w:tab/>
        <w:t>Gli Stati membri assicurano che le seguenti informazioni relative alle azioni intraprese dalle loro autorità competenti siano comunicate attraverso lo strumento elettronico di comunicazione di cui al paragrafo 1:</w:t>
      </w:r>
    </w:p>
    <w:p w14:paraId="7531C2C5" w14:textId="5BF06920" w:rsidR="00916C1B" w:rsidRPr="008C52C9" w:rsidRDefault="00D5792F" w:rsidP="00D5792F">
      <w:pPr>
        <w:pStyle w:val="Point2"/>
        <w:rPr>
          <w:noProof/>
        </w:rPr>
      </w:pPr>
      <w:r>
        <w:rPr>
          <w:noProof/>
        </w:rPr>
        <w:t>a)</w:t>
      </w:r>
      <w:r>
        <w:rPr>
          <w:noProof/>
        </w:rPr>
        <w:tab/>
      </w:r>
      <w:r w:rsidR="00916C1B" w:rsidRPr="008C52C9">
        <w:rPr>
          <w:noProof/>
        </w:rPr>
        <w:t xml:space="preserve">informazioni relative al seguito dato dalle autorità competenti a una segnalazione inviata tramite CleanSeaNet o ai motivi per cui non vi è stato dato seguito, non appena completate le attività di follow-up; </w:t>
      </w:r>
    </w:p>
    <w:p w14:paraId="1109E433" w14:textId="1812320E" w:rsidR="00316D63" w:rsidRPr="008C52C9" w:rsidRDefault="00D5792F" w:rsidP="00D5792F">
      <w:pPr>
        <w:pStyle w:val="Point2"/>
        <w:rPr>
          <w:noProof/>
        </w:rPr>
      </w:pPr>
      <w:r>
        <w:rPr>
          <w:noProof/>
        </w:rPr>
        <w:t>b)</w:t>
      </w:r>
      <w:r>
        <w:rPr>
          <w:noProof/>
        </w:rPr>
        <w:tab/>
      </w:r>
      <w:r w:rsidR="00316D63" w:rsidRPr="008C52C9">
        <w:rPr>
          <w:noProof/>
        </w:rPr>
        <w:t>informazioni relative alle ispezioni effettuate in conformità dell'articolo 6, non appena completata l'ispezione;</w:t>
      </w:r>
    </w:p>
    <w:p w14:paraId="438429E8" w14:textId="3AD7534E" w:rsidR="00316D63" w:rsidRPr="008C52C9" w:rsidRDefault="00D5792F" w:rsidP="00D5792F">
      <w:pPr>
        <w:pStyle w:val="Point2"/>
        <w:rPr>
          <w:noProof/>
        </w:rPr>
      </w:pPr>
      <w:r>
        <w:rPr>
          <w:noProof/>
        </w:rPr>
        <w:t>c)</w:t>
      </w:r>
      <w:r>
        <w:rPr>
          <w:noProof/>
        </w:rPr>
        <w:tab/>
      </w:r>
      <w:r w:rsidR="000D380D" w:rsidRPr="008C52C9">
        <w:rPr>
          <w:noProof/>
        </w:rPr>
        <w:t xml:space="preserve">informazioni relative alle azioni intraprese in conformità dell'articolo 7, non appena completate tali azioni; </w:t>
      </w:r>
    </w:p>
    <w:p w14:paraId="404877A8" w14:textId="37F8C2D4" w:rsidR="00BB4BAF" w:rsidRPr="008C52C9" w:rsidRDefault="00D5792F" w:rsidP="00D5792F">
      <w:pPr>
        <w:pStyle w:val="Point2"/>
        <w:rPr>
          <w:noProof/>
        </w:rPr>
      </w:pPr>
      <w:r>
        <w:rPr>
          <w:noProof/>
        </w:rPr>
        <w:t>d)</w:t>
      </w:r>
      <w:r>
        <w:rPr>
          <w:noProof/>
        </w:rPr>
        <w:tab/>
      </w:r>
      <w:r w:rsidR="00BB4BAF" w:rsidRPr="008C52C9">
        <w:rPr>
          <w:noProof/>
        </w:rPr>
        <w:t>informazioni relative alle sanzioni comminate in conformità della presente direttiva, senza indebito ritardo e, in ogni caso, entro il 30 giugno di ogni anno per le sanzioni imposte nel corso dell'anno civile precedente. Nella misura in cui comprendono dati personali, le informazioni relative alle sanzioni sono rese anonime.</w:t>
      </w:r>
    </w:p>
    <w:p w14:paraId="372341B9" w14:textId="77777777" w:rsidR="00316D63" w:rsidRPr="008C52C9" w:rsidRDefault="00D96FEB" w:rsidP="00D96FEB">
      <w:pPr>
        <w:pStyle w:val="Point1"/>
        <w:rPr>
          <w:noProof/>
        </w:rPr>
      </w:pPr>
      <w:r w:rsidRPr="008C52C9">
        <w:rPr>
          <w:noProof/>
        </w:rPr>
        <w:t>3.</w:t>
      </w:r>
      <w:r w:rsidRPr="008C52C9">
        <w:rPr>
          <w:noProof/>
        </w:rPr>
        <w:tab/>
        <w:t>Al fine di garantire l'applicazione uniforme del presente articolo, la Commissione può, mediante atti di esecuzione, stabilire norme dettagliate sulla procedura di comunicazione delle informazioni di cui al paragrafo 2, specificando tra l'altro il tipo di informazioni da comunicare, conformemente alla procedura d'esame di cui all'articolo 13.</w:t>
      </w:r>
    </w:p>
    <w:p w14:paraId="5E9D19F1" w14:textId="77777777" w:rsidR="005B72CE" w:rsidRPr="008C52C9" w:rsidRDefault="00D96FEB" w:rsidP="00D96FEB">
      <w:pPr>
        <w:pStyle w:val="Point1"/>
        <w:rPr>
          <w:noProof/>
        </w:rPr>
      </w:pPr>
      <w:r w:rsidRPr="008C52C9">
        <w:rPr>
          <w:noProof/>
        </w:rPr>
        <w:t>4.</w:t>
      </w:r>
      <w:r w:rsidRPr="008C52C9">
        <w:rPr>
          <w:noProof/>
        </w:rPr>
        <w:tab/>
        <w:t>Gli Stati membri notificano alla Commissione le autorità che sono autorizzate ad accedere allo strumento di comunicazione di cui al paragrafo 1.</w:t>
      </w:r>
    </w:p>
    <w:bookmarkEnd w:id="7"/>
    <w:p w14:paraId="4BF9142F" w14:textId="77777777" w:rsidR="00CD4E2A" w:rsidRPr="008C52C9" w:rsidRDefault="00CD4E2A" w:rsidP="000D380D">
      <w:pPr>
        <w:pStyle w:val="Titrearticle"/>
        <w:rPr>
          <w:noProof/>
        </w:rPr>
      </w:pPr>
      <w:r w:rsidRPr="008C52C9">
        <w:rPr>
          <w:noProof/>
        </w:rPr>
        <w:t>Articolo 10 ter</w:t>
      </w:r>
    </w:p>
    <w:p w14:paraId="2D881C8D" w14:textId="77777777" w:rsidR="00CD4E2A" w:rsidRPr="008C52C9" w:rsidRDefault="00CD4E2A" w:rsidP="00AF3C67">
      <w:pPr>
        <w:pStyle w:val="Typeacteprincipal"/>
        <w:rPr>
          <w:noProof/>
        </w:rPr>
      </w:pPr>
      <w:r w:rsidRPr="008C52C9">
        <w:rPr>
          <w:noProof/>
        </w:rPr>
        <w:t>Formazione</w:t>
      </w:r>
    </w:p>
    <w:p w14:paraId="59BC2004" w14:textId="77777777" w:rsidR="00CD4E2A" w:rsidRPr="008C52C9" w:rsidRDefault="00F5572C" w:rsidP="00E24E7B">
      <w:pPr>
        <w:ind w:left="567"/>
        <w:rPr>
          <w:noProof/>
        </w:rPr>
      </w:pPr>
      <w:r w:rsidRPr="008C52C9">
        <w:rPr>
          <w:noProof/>
        </w:rPr>
        <w:t>La Commissione agevola lo sviluppo delle capacità degli Stati membri fornendo, se del caso, formazione alle autorità responsabili dell'individuazione e della verifica delle violazioni, nonché dell'applicazione delle sanzioni, nell'ambito di applicazione della presente direttiva.</w:t>
      </w:r>
    </w:p>
    <w:p w14:paraId="21252EA5" w14:textId="77777777" w:rsidR="00316D63" w:rsidRPr="008C52C9" w:rsidRDefault="00327D9E" w:rsidP="00D96FEB">
      <w:pPr>
        <w:pStyle w:val="Titrearticle"/>
        <w:rPr>
          <w:noProof/>
        </w:rPr>
      </w:pPr>
      <w:r w:rsidRPr="008C52C9">
        <w:rPr>
          <w:noProof/>
        </w:rPr>
        <w:t>Articolo 10 quater</w:t>
      </w:r>
    </w:p>
    <w:p w14:paraId="2A7B26B7" w14:textId="77777777" w:rsidR="00CD4E2A" w:rsidRPr="008C52C9" w:rsidRDefault="00CD4E2A" w:rsidP="00AF3C67">
      <w:pPr>
        <w:pStyle w:val="Typeacteprincipal"/>
        <w:rPr>
          <w:noProof/>
        </w:rPr>
      </w:pPr>
      <w:r w:rsidRPr="008C52C9">
        <w:rPr>
          <w:noProof/>
        </w:rPr>
        <w:t>Pubblicazione delle informazioni</w:t>
      </w:r>
    </w:p>
    <w:p w14:paraId="51890BDA" w14:textId="77777777" w:rsidR="00EC04C2" w:rsidRPr="008C52C9" w:rsidRDefault="00D96FEB" w:rsidP="00D96FEB">
      <w:pPr>
        <w:pStyle w:val="Point1"/>
        <w:rPr>
          <w:noProof/>
        </w:rPr>
      </w:pPr>
      <w:r w:rsidRPr="008C52C9">
        <w:rPr>
          <w:noProof/>
        </w:rPr>
        <w:lastRenderedPageBreak/>
        <w:t>1.</w:t>
      </w:r>
      <w:r w:rsidRPr="008C52C9">
        <w:rPr>
          <w:noProof/>
        </w:rPr>
        <w:tab/>
        <w:t>Sulla base delle informazioni comunicate dagli Stati membri a norma dell'articolo 10 bis, la Commissione rende disponibile al pubblico una panoramica a livello dell'Unione regolarmente aggiornata sull'attuazione e sull'applicazione della presente direttiva. La panoramica comprende le informazioni elencate nell'allegato II della presente direttiva.</w:t>
      </w:r>
    </w:p>
    <w:p w14:paraId="11988E14" w14:textId="77777777" w:rsidR="00E945BA" w:rsidRPr="008C52C9" w:rsidRDefault="00D96FEB" w:rsidP="00E945BA">
      <w:pPr>
        <w:pStyle w:val="Point1"/>
        <w:rPr>
          <w:noProof/>
        </w:rPr>
      </w:pPr>
      <w:r w:rsidRPr="008C52C9">
        <w:rPr>
          <w:noProof/>
        </w:rPr>
        <w:t>2.</w:t>
      </w:r>
      <w:r w:rsidRPr="008C52C9">
        <w:rPr>
          <w:noProof/>
        </w:rPr>
        <w:tab/>
        <w:t>Fatta salva la direttiva 2003/4/CE</w:t>
      </w:r>
      <w:r w:rsidRPr="008C52C9">
        <w:rPr>
          <w:rStyle w:val="FootnoteReference"/>
          <w:noProof/>
        </w:rPr>
        <w:footnoteReference w:id="39"/>
      </w:r>
      <w:r w:rsidRPr="008C52C9">
        <w:rPr>
          <w:noProof/>
        </w:rPr>
        <w:t>, la Commissione adotta misure appropriate per proteggere la riservatezza delle informazioni ottenute in attuazione della presente direttiva.</w:t>
      </w:r>
    </w:p>
    <w:p w14:paraId="248F4D9D" w14:textId="77777777" w:rsidR="00CD4E2A" w:rsidRPr="008C52C9" w:rsidRDefault="00327D9E" w:rsidP="00D96FEB">
      <w:pPr>
        <w:pStyle w:val="Titrearticle"/>
        <w:rPr>
          <w:noProof/>
        </w:rPr>
      </w:pPr>
      <w:r w:rsidRPr="008C52C9">
        <w:rPr>
          <w:noProof/>
        </w:rPr>
        <w:t>Articolo 10 quinquies</w:t>
      </w:r>
    </w:p>
    <w:p w14:paraId="28A14A4A" w14:textId="77777777" w:rsidR="00CD4E2A" w:rsidRPr="008C52C9" w:rsidRDefault="00CD4E2A" w:rsidP="00AF3C67">
      <w:pPr>
        <w:pStyle w:val="Typeacteprincipal"/>
        <w:rPr>
          <w:noProof/>
        </w:rPr>
      </w:pPr>
      <w:r w:rsidRPr="008C52C9">
        <w:rPr>
          <w:noProof/>
        </w:rPr>
        <w:t>Protezione delle persone che segnalano potenziali violazioni</w:t>
      </w:r>
    </w:p>
    <w:p w14:paraId="4EABD2F2" w14:textId="77777777" w:rsidR="00CD4E2A" w:rsidRPr="008C52C9" w:rsidRDefault="00D96FEB" w:rsidP="00D96FEB">
      <w:pPr>
        <w:pStyle w:val="Point1"/>
        <w:rPr>
          <w:noProof/>
        </w:rPr>
      </w:pPr>
      <w:r w:rsidRPr="008C52C9">
        <w:rPr>
          <w:noProof/>
        </w:rPr>
        <w:t>1.</w:t>
      </w:r>
      <w:r w:rsidRPr="008C52C9">
        <w:rPr>
          <w:noProof/>
        </w:rPr>
        <w:tab/>
        <w:t>La Commissione sviluppa e mantiene un canale di segnalazione esterna online riservato per la ricezione delle segnalazioni, ai sensi della direttiva (UE) 2019/1937</w:t>
      </w:r>
      <w:r w:rsidRPr="008C52C9">
        <w:rPr>
          <w:rStyle w:val="FootnoteReference"/>
          <w:noProof/>
        </w:rPr>
        <w:footnoteReference w:id="40"/>
      </w:r>
      <w:r w:rsidRPr="008C52C9">
        <w:rPr>
          <w:noProof/>
        </w:rPr>
        <w:t xml:space="preserve">, su potenziali violazioni della presente direttiva e trasmette tali segnalazioni allo Stato membro o agli Stati membri interessati. </w:t>
      </w:r>
    </w:p>
    <w:p w14:paraId="30C8747E" w14:textId="77777777" w:rsidR="00355D36" w:rsidRPr="008C52C9" w:rsidRDefault="00D96FEB" w:rsidP="00D96FEB">
      <w:pPr>
        <w:pStyle w:val="Point1"/>
        <w:rPr>
          <w:noProof/>
        </w:rPr>
      </w:pPr>
      <w:r w:rsidRPr="008C52C9">
        <w:rPr>
          <w:noProof/>
        </w:rPr>
        <w:t>2.</w:t>
      </w:r>
      <w:r w:rsidRPr="008C52C9">
        <w:rPr>
          <w:noProof/>
        </w:rPr>
        <w:tab/>
        <w:t>Gli Stati membri provvedono affinché le autorità nazionali competenti che ricevono segnalazioni di violazioni della presente direttiva, presentate attraverso il canale di cui al paragrafo 1, forniscano un riscontro e diano seguito a tali segnalazioni in conformità della direttiva (UE) 2019/1937.</w:t>
      </w:r>
    </w:p>
    <w:p w14:paraId="1529D2CD" w14:textId="77777777" w:rsidR="00CD4E2A" w:rsidRPr="008C52C9" w:rsidRDefault="00355D36" w:rsidP="00D96FEB">
      <w:pPr>
        <w:pStyle w:val="Point1"/>
        <w:rPr>
          <w:noProof/>
        </w:rPr>
      </w:pPr>
      <w:r w:rsidRPr="008C52C9">
        <w:rPr>
          <w:noProof/>
        </w:rPr>
        <w:t xml:space="preserve">3. </w:t>
      </w:r>
      <w:r w:rsidRPr="008C52C9">
        <w:rPr>
          <w:noProof/>
        </w:rPr>
        <w:tab/>
        <w:t>La Commissione può limitare l'applicazione degli articoli da 14 a 22, 35 e 36, nonché dell'articolo 4 del regolamento (UE) 2018/1725</w:t>
      </w:r>
      <w:r w:rsidRPr="008C52C9">
        <w:rPr>
          <w:rStyle w:val="FootnoteReference"/>
          <w:noProof/>
        </w:rPr>
        <w:footnoteReference w:id="41"/>
      </w:r>
      <w:r w:rsidRPr="008C52C9">
        <w:rPr>
          <w:noProof/>
        </w:rPr>
        <w:t>, per gli interessati che figurano come parti o sono menzionati nella segnalazione presentata attraverso il canale di cui al paragrafo 1 e che non sono gli interessati che inviano tale segnalazione. Tale restrizione può essere applicata solo per la durata necessaria all'esecuzione delle indagini sulla segnalazione di cui al paragrafo 2 da parte delle autorità competenti dello Stato membro.";</w:t>
      </w:r>
    </w:p>
    <w:p w14:paraId="0088D1D3" w14:textId="2E798D81" w:rsidR="00327D9E" w:rsidRPr="008C52C9" w:rsidRDefault="00D5792F" w:rsidP="00D5792F">
      <w:pPr>
        <w:pStyle w:val="Point0"/>
        <w:rPr>
          <w:noProof/>
        </w:rPr>
      </w:pPr>
      <w:r>
        <w:rPr>
          <w:noProof/>
        </w:rPr>
        <w:t>16)</w:t>
      </w:r>
      <w:r>
        <w:rPr>
          <w:noProof/>
        </w:rPr>
        <w:tab/>
      </w:r>
      <w:r w:rsidR="00327D9E" w:rsidRPr="008C52C9">
        <w:rPr>
          <w:noProof/>
        </w:rPr>
        <w:t>l'articolo 11 è soppresso;</w:t>
      </w:r>
    </w:p>
    <w:p w14:paraId="1BE64CD8" w14:textId="6BEB8C77" w:rsidR="00E06304" w:rsidRPr="008C52C9" w:rsidRDefault="00D5792F" w:rsidP="00D5792F">
      <w:pPr>
        <w:pStyle w:val="Point0"/>
        <w:rPr>
          <w:noProof/>
        </w:rPr>
      </w:pPr>
      <w:r>
        <w:rPr>
          <w:noProof/>
        </w:rPr>
        <w:t>17)</w:t>
      </w:r>
      <w:r>
        <w:rPr>
          <w:noProof/>
        </w:rPr>
        <w:tab/>
      </w:r>
      <w:r w:rsidR="001F7C86" w:rsidRPr="008C52C9">
        <w:rPr>
          <w:noProof/>
        </w:rPr>
        <w:t>l'articolo 12 è soppresso;</w:t>
      </w:r>
    </w:p>
    <w:p w14:paraId="6D1EAEFE" w14:textId="4524B3A0" w:rsidR="00E06304" w:rsidRPr="008C52C9" w:rsidRDefault="00D5792F" w:rsidP="00D5792F">
      <w:pPr>
        <w:pStyle w:val="Point0"/>
        <w:rPr>
          <w:noProof/>
        </w:rPr>
      </w:pPr>
      <w:r>
        <w:rPr>
          <w:noProof/>
        </w:rPr>
        <w:t>18)</w:t>
      </w:r>
      <w:r>
        <w:rPr>
          <w:noProof/>
        </w:rPr>
        <w:tab/>
      </w:r>
      <w:r w:rsidR="00F5572C" w:rsidRPr="008C52C9">
        <w:rPr>
          <w:noProof/>
        </w:rPr>
        <w:t>è inserito il seguente articolo 12 bis:</w:t>
      </w:r>
    </w:p>
    <w:p w14:paraId="4D2C3847" w14:textId="77777777" w:rsidR="001F7C86" w:rsidRPr="008C52C9" w:rsidRDefault="00A65F01" w:rsidP="00D96FEB">
      <w:pPr>
        <w:pStyle w:val="Titrearticle"/>
        <w:rPr>
          <w:noProof/>
        </w:rPr>
      </w:pPr>
      <w:r w:rsidRPr="008C52C9">
        <w:rPr>
          <w:noProof/>
        </w:rPr>
        <w:t>"Articolo 12 bis</w:t>
      </w:r>
    </w:p>
    <w:p w14:paraId="3477D08A" w14:textId="77777777" w:rsidR="001F7C86" w:rsidRPr="008C52C9" w:rsidRDefault="001F7C86" w:rsidP="00AF3C67">
      <w:pPr>
        <w:pStyle w:val="Typeacteprincipal"/>
        <w:rPr>
          <w:noProof/>
        </w:rPr>
      </w:pPr>
      <w:r w:rsidRPr="008C52C9">
        <w:rPr>
          <w:noProof/>
        </w:rPr>
        <w:t>Valutazione e riesame</w:t>
      </w:r>
    </w:p>
    <w:p w14:paraId="73880251" w14:textId="77777777" w:rsidR="001F7C86" w:rsidRPr="008C52C9" w:rsidRDefault="00D96FEB" w:rsidP="00D96FEB">
      <w:pPr>
        <w:pStyle w:val="Point1"/>
        <w:rPr>
          <w:noProof/>
        </w:rPr>
      </w:pPr>
      <w:r w:rsidRPr="008C52C9">
        <w:rPr>
          <w:noProof/>
        </w:rPr>
        <w:t>1.</w:t>
      </w:r>
      <w:r w:rsidRPr="008C52C9">
        <w:rPr>
          <w:noProof/>
        </w:rPr>
        <w:tab/>
        <w:t xml:space="preserve">Entro </w:t>
      </w:r>
      <w:r w:rsidRPr="008C52C9">
        <w:rPr>
          <w:i/>
          <w:noProof/>
        </w:rPr>
        <w:t>[OP: inserire la data: cinque anni dalla data di recepimento della presente direttiva di modifica]</w:t>
      </w:r>
      <w:r w:rsidRPr="008C52C9">
        <w:rPr>
          <w:noProof/>
        </w:rPr>
        <w:t xml:space="preserve">, la Commissione effettua una valutazione della presente direttiva. Tale valutazione si basa, almeno, su quanto segue: </w:t>
      </w:r>
    </w:p>
    <w:p w14:paraId="43CDC281" w14:textId="0FDF3F88" w:rsidR="001F7C86" w:rsidRPr="008C52C9" w:rsidRDefault="00D5792F" w:rsidP="00D5792F">
      <w:pPr>
        <w:pStyle w:val="Point2"/>
        <w:rPr>
          <w:noProof/>
        </w:rPr>
      </w:pPr>
      <w:r>
        <w:rPr>
          <w:noProof/>
        </w:rPr>
        <w:lastRenderedPageBreak/>
        <w:t>a)</w:t>
      </w:r>
      <w:r>
        <w:rPr>
          <w:noProof/>
        </w:rPr>
        <w:tab/>
      </w:r>
      <w:r w:rsidR="001F7C86" w:rsidRPr="008C52C9">
        <w:rPr>
          <w:noProof/>
        </w:rPr>
        <w:t>l'esperienza acquisita dall'attuazione della presente direttiva; e</w:t>
      </w:r>
    </w:p>
    <w:p w14:paraId="47ABAA0D" w14:textId="77FC257C" w:rsidR="00A65F01" w:rsidRPr="008C52C9" w:rsidRDefault="00D5792F" w:rsidP="00D5792F">
      <w:pPr>
        <w:pStyle w:val="Point2"/>
        <w:rPr>
          <w:noProof/>
        </w:rPr>
      </w:pPr>
      <w:r>
        <w:rPr>
          <w:noProof/>
        </w:rPr>
        <w:t>b)</w:t>
      </w:r>
      <w:r>
        <w:rPr>
          <w:noProof/>
        </w:rPr>
        <w:tab/>
      </w:r>
      <w:r w:rsidR="001F7C86" w:rsidRPr="008C52C9">
        <w:rPr>
          <w:noProof/>
        </w:rPr>
        <w:t>le informazioni comunicate dagli Stati membri a norma dell'articolo 10 bis e la panoramica a livello dell'Unione fornita a norma dell'articolo 10 quater.</w:t>
      </w:r>
    </w:p>
    <w:p w14:paraId="1FA790BD" w14:textId="77777777" w:rsidR="001F7C86" w:rsidRPr="008C52C9" w:rsidRDefault="00C22863" w:rsidP="00D96FEB">
      <w:pPr>
        <w:pStyle w:val="Point1"/>
        <w:rPr>
          <w:noProof/>
        </w:rPr>
      </w:pPr>
      <w:r w:rsidRPr="008C52C9">
        <w:rPr>
          <w:noProof/>
        </w:rPr>
        <w:t>2.</w:t>
      </w:r>
      <w:r w:rsidRPr="008C52C9">
        <w:rPr>
          <w:noProof/>
        </w:rPr>
        <w:tab/>
        <w:t>Nel quadro del riesame la Commissione valuta la possibilità di modificare l'ambito di applicazione della presente direttiva, se del caso, alla luce, tra l'altro, delle norme internazionali per la prevenzione dell'inquinamento atmosferico provocato dalle navi di cui alla convenzione Marpol 73/78, in particolare per quanto riguarda le emissioni di ossidi di zolfo e di ossidi di azoto dalle navi, nonché alla luce di altre norme che regolano gli scarichi delle navi di cui a detta convenzione, ad esempio concernenti il particolato carbonioso, i rifiuti marini, la perdita di container, la perdita di pellet di plastica e il rumore sottomarino.";</w:t>
      </w:r>
    </w:p>
    <w:p w14:paraId="7A68583B" w14:textId="203F0D33" w:rsidR="00316D63" w:rsidRPr="008C52C9" w:rsidRDefault="00D5792F" w:rsidP="00D5792F">
      <w:pPr>
        <w:pStyle w:val="Point0"/>
        <w:rPr>
          <w:noProof/>
        </w:rPr>
      </w:pPr>
      <w:r>
        <w:rPr>
          <w:noProof/>
        </w:rPr>
        <w:t>19)</w:t>
      </w:r>
      <w:r>
        <w:rPr>
          <w:noProof/>
        </w:rPr>
        <w:tab/>
      </w:r>
      <w:r w:rsidR="001F7C86" w:rsidRPr="008C52C9">
        <w:rPr>
          <w:noProof/>
        </w:rPr>
        <w:t>l'articolo 13 è sostituito dal seguente:</w:t>
      </w:r>
    </w:p>
    <w:p w14:paraId="100DCAC5" w14:textId="77777777" w:rsidR="001F7C86" w:rsidRPr="008C52C9" w:rsidRDefault="00A65F01" w:rsidP="00D96FEB">
      <w:pPr>
        <w:pStyle w:val="Titrearticle"/>
        <w:rPr>
          <w:noProof/>
        </w:rPr>
      </w:pPr>
      <w:r w:rsidRPr="008C52C9">
        <w:rPr>
          <w:noProof/>
        </w:rPr>
        <w:t>"Articolo 13</w:t>
      </w:r>
    </w:p>
    <w:p w14:paraId="7C289A70" w14:textId="77777777" w:rsidR="001F7C86" w:rsidRPr="008C52C9" w:rsidRDefault="001F7C86" w:rsidP="00AF3C67">
      <w:pPr>
        <w:pStyle w:val="Typeacteprincipal"/>
        <w:rPr>
          <w:noProof/>
        </w:rPr>
      </w:pPr>
      <w:r w:rsidRPr="008C52C9">
        <w:rPr>
          <w:noProof/>
        </w:rPr>
        <w:t>Procedura di comitato</w:t>
      </w:r>
    </w:p>
    <w:p w14:paraId="3CB9C7B4" w14:textId="77777777" w:rsidR="001F7C86" w:rsidRPr="008C52C9" w:rsidRDefault="00D96FEB" w:rsidP="00D96FEB">
      <w:pPr>
        <w:pStyle w:val="Point1"/>
        <w:rPr>
          <w:noProof/>
        </w:rPr>
      </w:pPr>
      <w:r w:rsidRPr="008C52C9">
        <w:rPr>
          <w:noProof/>
        </w:rPr>
        <w:t>1.</w:t>
      </w:r>
      <w:r w:rsidRPr="008C52C9">
        <w:rPr>
          <w:noProof/>
        </w:rPr>
        <w:tab/>
        <w:t>La Commissione è assistita dal comitato per la sicurezza marittima e la prevenzione dell'inquinamento provocato dalle navi (COSS), istituito dall'articolo 3 del regolamento (CE) n. 2099/2002</w:t>
      </w:r>
      <w:r w:rsidRPr="008C52C9">
        <w:rPr>
          <w:rStyle w:val="FootnoteReference"/>
          <w:noProof/>
        </w:rPr>
        <w:footnoteReference w:id="42"/>
      </w:r>
      <w:r w:rsidRPr="008C52C9">
        <w:rPr>
          <w:noProof/>
        </w:rPr>
        <w:t>. Esso è un comitato ai sensi del regolamento (UE) n. 182/2011</w:t>
      </w:r>
      <w:r w:rsidRPr="008C52C9">
        <w:rPr>
          <w:rStyle w:val="FootnoteReference"/>
          <w:noProof/>
        </w:rPr>
        <w:footnoteReference w:id="43"/>
      </w:r>
      <w:r w:rsidRPr="008C52C9">
        <w:rPr>
          <w:noProof/>
        </w:rPr>
        <w:t>.</w:t>
      </w:r>
    </w:p>
    <w:p w14:paraId="3E2F1889" w14:textId="77777777" w:rsidR="001F7C86" w:rsidRPr="008C52C9" w:rsidRDefault="00D96FEB" w:rsidP="00D96FEB">
      <w:pPr>
        <w:pStyle w:val="Point1"/>
        <w:rPr>
          <w:noProof/>
        </w:rPr>
      </w:pPr>
      <w:r w:rsidRPr="008C52C9">
        <w:rPr>
          <w:noProof/>
        </w:rPr>
        <w:t>2.</w:t>
      </w:r>
      <w:r w:rsidRPr="008C52C9">
        <w:rPr>
          <w:noProof/>
        </w:rPr>
        <w:tab/>
        <w:t>Nei casi in cui è fatto riferimento al presente articolo, si applicano l'articolo 5 del regolamento (UE) n. 182/2011 e l'articolo 5 del regolamento (CE) n. 2099/2002.";</w:t>
      </w:r>
    </w:p>
    <w:p w14:paraId="2FCD18EF" w14:textId="5159A3F4" w:rsidR="00316D63" w:rsidRPr="008C52C9" w:rsidRDefault="00D5792F" w:rsidP="00D5792F">
      <w:pPr>
        <w:pStyle w:val="Point0"/>
        <w:rPr>
          <w:noProof/>
        </w:rPr>
      </w:pPr>
      <w:r>
        <w:rPr>
          <w:noProof/>
        </w:rPr>
        <w:t>20)</w:t>
      </w:r>
      <w:r>
        <w:rPr>
          <w:noProof/>
        </w:rPr>
        <w:tab/>
      </w:r>
      <w:r w:rsidR="001F7C86" w:rsidRPr="008C52C9">
        <w:rPr>
          <w:noProof/>
        </w:rPr>
        <w:t>l'articolo 14 è soppresso;</w:t>
      </w:r>
    </w:p>
    <w:p w14:paraId="6A426881" w14:textId="015C3228" w:rsidR="00C3236E" w:rsidRPr="008C52C9" w:rsidRDefault="00D5792F" w:rsidP="00D5792F">
      <w:pPr>
        <w:pStyle w:val="Point0"/>
        <w:rPr>
          <w:noProof/>
        </w:rPr>
      </w:pPr>
      <w:r>
        <w:rPr>
          <w:noProof/>
        </w:rPr>
        <w:t>21)</w:t>
      </w:r>
      <w:r>
        <w:rPr>
          <w:noProof/>
        </w:rPr>
        <w:tab/>
      </w:r>
      <w:r w:rsidR="00564F45" w:rsidRPr="008C52C9">
        <w:rPr>
          <w:noProof/>
        </w:rPr>
        <w:t>l'articolo 15 è soppresso;</w:t>
      </w:r>
    </w:p>
    <w:p w14:paraId="10B01B58" w14:textId="31616F27" w:rsidR="00F5572C" w:rsidRPr="008C52C9" w:rsidRDefault="00D5792F" w:rsidP="00D5792F">
      <w:pPr>
        <w:pStyle w:val="Point0"/>
        <w:rPr>
          <w:noProof/>
        </w:rPr>
      </w:pPr>
      <w:r>
        <w:rPr>
          <w:noProof/>
        </w:rPr>
        <w:t>22)</w:t>
      </w:r>
      <w:r>
        <w:rPr>
          <w:noProof/>
        </w:rPr>
        <w:tab/>
      </w:r>
      <w:r w:rsidR="00F5572C" w:rsidRPr="008C52C9">
        <w:rPr>
          <w:noProof/>
        </w:rPr>
        <w:t>l'allegato unico è soppresso;</w:t>
      </w:r>
    </w:p>
    <w:p w14:paraId="4F15C9D2" w14:textId="458CAAD6" w:rsidR="00B20268" w:rsidRPr="008C52C9" w:rsidRDefault="00D5792F" w:rsidP="00D5792F">
      <w:pPr>
        <w:pStyle w:val="Point0"/>
        <w:rPr>
          <w:noProof/>
        </w:rPr>
      </w:pPr>
      <w:r>
        <w:rPr>
          <w:noProof/>
        </w:rPr>
        <w:t>23)</w:t>
      </w:r>
      <w:r>
        <w:rPr>
          <w:noProof/>
        </w:rPr>
        <w:tab/>
      </w:r>
      <w:r w:rsidR="00C3236E" w:rsidRPr="008C52C9">
        <w:rPr>
          <w:noProof/>
        </w:rPr>
        <w:t xml:space="preserve">il testo che figura nell'allegato I della presente direttiva è aggiunto come allegato I; </w:t>
      </w:r>
    </w:p>
    <w:p w14:paraId="11EC68BD" w14:textId="0699477F" w:rsidR="00F5572C" w:rsidRPr="008C52C9" w:rsidRDefault="00D5792F" w:rsidP="00D5792F">
      <w:pPr>
        <w:pStyle w:val="Point0"/>
        <w:rPr>
          <w:noProof/>
        </w:rPr>
      </w:pPr>
      <w:r>
        <w:rPr>
          <w:noProof/>
        </w:rPr>
        <w:t>24)</w:t>
      </w:r>
      <w:r>
        <w:rPr>
          <w:noProof/>
        </w:rPr>
        <w:tab/>
      </w:r>
      <w:r w:rsidR="00F5572C" w:rsidRPr="008C52C9">
        <w:rPr>
          <w:noProof/>
        </w:rPr>
        <w:t>il testo che figura nell'allegato II della presente direttiva è aggiunto come allegato II.</w:t>
      </w:r>
    </w:p>
    <w:p w14:paraId="357AE045" w14:textId="77777777" w:rsidR="00762212" w:rsidRPr="008C52C9" w:rsidRDefault="00762212" w:rsidP="00762212">
      <w:pPr>
        <w:pStyle w:val="Titrearticle"/>
        <w:keepLines/>
        <w:rPr>
          <w:noProof/>
        </w:rPr>
      </w:pPr>
      <w:r w:rsidRPr="008C52C9">
        <w:rPr>
          <w:noProof/>
        </w:rPr>
        <w:t>Articolo 2</w:t>
      </w:r>
    </w:p>
    <w:p w14:paraId="45FA8717" w14:textId="77777777" w:rsidR="00762212" w:rsidRPr="008C52C9" w:rsidRDefault="00762212" w:rsidP="00AF3C67">
      <w:pPr>
        <w:pStyle w:val="Typeacteprincipal"/>
        <w:rPr>
          <w:noProof/>
        </w:rPr>
      </w:pPr>
      <w:r w:rsidRPr="008C52C9">
        <w:rPr>
          <w:noProof/>
        </w:rPr>
        <w:t xml:space="preserve">Recepimento </w:t>
      </w:r>
    </w:p>
    <w:p w14:paraId="371D56E5" w14:textId="77777777" w:rsidR="00D96FEB" w:rsidRPr="008C52C9" w:rsidRDefault="00D96FEB" w:rsidP="00D96FEB">
      <w:pPr>
        <w:pStyle w:val="Point1"/>
        <w:rPr>
          <w:noProof/>
        </w:rPr>
      </w:pPr>
      <w:r w:rsidRPr="008C52C9">
        <w:rPr>
          <w:noProof/>
        </w:rPr>
        <w:t>1.</w:t>
      </w:r>
      <w:r w:rsidRPr="008C52C9">
        <w:rPr>
          <w:noProof/>
        </w:rPr>
        <w:tab/>
        <w:t>Gli Stati membri adottano e pubblicano, entro il [</w:t>
      </w:r>
      <w:r w:rsidRPr="008C52C9">
        <w:rPr>
          <w:rFonts w:cstheme="minorHAnsi"/>
          <w:i/>
          <w:noProof/>
        </w:rPr>
        <w:t>OP: inserire la data: un anno dalla data di entrata in vigore della presente direttiva di modifica]</w:t>
      </w:r>
      <w:r w:rsidRPr="008C52C9">
        <w:rPr>
          <w:noProof/>
        </w:rPr>
        <w:t xml:space="preserve">, le disposizioni legislative, regolamentari e amministrative necessarie per conformarsi alla presente direttiva. </w:t>
      </w:r>
    </w:p>
    <w:p w14:paraId="7B9B6B5A" w14:textId="77777777" w:rsidR="00762212" w:rsidRPr="008C52C9" w:rsidRDefault="00762212" w:rsidP="00D96FEB">
      <w:pPr>
        <w:pStyle w:val="Text2"/>
        <w:rPr>
          <w:noProof/>
        </w:rPr>
      </w:pPr>
      <w:r w:rsidRPr="008C52C9">
        <w:rPr>
          <w:noProof/>
        </w:rPr>
        <w:lastRenderedPageBreak/>
        <w:t>Le disposizioni adottate dagli Stati membri contengono un riferimento alla presente direttiva o sono corredate di tale riferimento all'atto della pubblicazione ufficiale. Le modalità del riferimento sono stabilite dagli Stati membri.</w:t>
      </w:r>
    </w:p>
    <w:p w14:paraId="14724592" w14:textId="77777777" w:rsidR="003A6DE2" w:rsidRPr="008C52C9" w:rsidRDefault="00D96FEB" w:rsidP="00DB3808">
      <w:pPr>
        <w:pStyle w:val="Point1"/>
        <w:rPr>
          <w:noProof/>
        </w:rPr>
      </w:pPr>
      <w:r w:rsidRPr="008C52C9">
        <w:rPr>
          <w:noProof/>
        </w:rPr>
        <w:t>2.</w:t>
      </w:r>
      <w:r w:rsidRPr="008C52C9">
        <w:rPr>
          <w:noProof/>
        </w:rPr>
        <w:tab/>
        <w:t>Gli Stati membri comunicano alla Commissione il testo delle disposizioni di diritto interno che essi adottano nel settore disciplinato dalla presente direttiva e le eventuali modifiche successive.</w:t>
      </w:r>
    </w:p>
    <w:p w14:paraId="7EE3BED6" w14:textId="77777777" w:rsidR="003A6DE2" w:rsidRPr="008C52C9" w:rsidRDefault="003A6DE2" w:rsidP="003A6DE2">
      <w:pPr>
        <w:pStyle w:val="Titrearticle"/>
        <w:keepLines/>
        <w:rPr>
          <w:noProof/>
        </w:rPr>
      </w:pPr>
      <w:r w:rsidRPr="008C52C9">
        <w:rPr>
          <w:noProof/>
        </w:rPr>
        <w:t>Articolo 3</w:t>
      </w:r>
    </w:p>
    <w:p w14:paraId="021D1EEB" w14:textId="77777777" w:rsidR="003A6DE2" w:rsidRPr="008C52C9" w:rsidRDefault="00DB3808" w:rsidP="003A6DE2">
      <w:pPr>
        <w:pStyle w:val="Typeacteprincipal"/>
        <w:rPr>
          <w:noProof/>
        </w:rPr>
      </w:pPr>
      <w:r w:rsidRPr="008C52C9">
        <w:rPr>
          <w:noProof/>
        </w:rPr>
        <w:t>Applicazione della direttiva 2009/123/CE</w:t>
      </w:r>
    </w:p>
    <w:p w14:paraId="3237C48F" w14:textId="61E09448" w:rsidR="003A6DE2" w:rsidRPr="008C52C9" w:rsidRDefault="003A6DE2" w:rsidP="003A6DE2">
      <w:pPr>
        <w:pStyle w:val="Point1"/>
        <w:ind w:left="0" w:firstLine="0"/>
        <w:rPr>
          <w:noProof/>
        </w:rPr>
      </w:pPr>
      <w:r w:rsidRPr="008C52C9">
        <w:rPr>
          <w:noProof/>
        </w:rPr>
        <w:t>Per quanto riguarda le violazioni da considerare reati a norma della direttiva 2005/35/CE, modificata dalla direttiva 2009/123/CE</w:t>
      </w:r>
      <w:r w:rsidRPr="008C52C9">
        <w:rPr>
          <w:rStyle w:val="FootnoteReference"/>
          <w:noProof/>
        </w:rPr>
        <w:footnoteReference w:id="44"/>
      </w:r>
      <w:r w:rsidRPr="008C52C9">
        <w:rPr>
          <w:noProof/>
        </w:rPr>
        <w:t>, e le relative sanzioni, gli Stati membri non vincolati dalla direttiva (UE) 2023/xxx restano vincolati dalla direttiva 2005/35/CE, modificata dalla direttiva 2009/123/CE.</w:t>
      </w:r>
    </w:p>
    <w:p w14:paraId="207C7BB8" w14:textId="77777777" w:rsidR="00762212" w:rsidRPr="008C52C9" w:rsidRDefault="00762212" w:rsidP="00762212">
      <w:pPr>
        <w:pStyle w:val="Titrearticle"/>
        <w:keepLines/>
        <w:rPr>
          <w:noProof/>
        </w:rPr>
      </w:pPr>
      <w:r w:rsidRPr="008C52C9">
        <w:rPr>
          <w:noProof/>
        </w:rPr>
        <w:t>Articolo 4</w:t>
      </w:r>
    </w:p>
    <w:p w14:paraId="62A2FD2F" w14:textId="77777777" w:rsidR="00762212" w:rsidRPr="008C52C9" w:rsidRDefault="00762212" w:rsidP="00AF3C67">
      <w:pPr>
        <w:pStyle w:val="Typeacteprincipal"/>
        <w:rPr>
          <w:noProof/>
        </w:rPr>
      </w:pPr>
      <w:r w:rsidRPr="008C52C9">
        <w:rPr>
          <w:noProof/>
        </w:rPr>
        <w:t>Entrata in vigore</w:t>
      </w:r>
    </w:p>
    <w:p w14:paraId="21D7EEE2" w14:textId="77777777" w:rsidR="00762212" w:rsidRPr="008C52C9" w:rsidRDefault="00762212" w:rsidP="00762212">
      <w:pPr>
        <w:spacing w:after="240"/>
        <w:rPr>
          <w:noProof/>
        </w:rPr>
      </w:pPr>
      <w:r w:rsidRPr="008C52C9">
        <w:rPr>
          <w:noProof/>
        </w:rPr>
        <w:t xml:space="preserve">La presente direttiva entra in vigore il ventesimo giorno successivo alla pubblicazione nella </w:t>
      </w:r>
      <w:r w:rsidRPr="008C52C9">
        <w:rPr>
          <w:i/>
          <w:noProof/>
        </w:rPr>
        <w:t>Gazzetta ufficiale dell'Unione europea</w:t>
      </w:r>
      <w:r w:rsidRPr="008C52C9">
        <w:rPr>
          <w:noProof/>
        </w:rPr>
        <w:t>.</w:t>
      </w:r>
    </w:p>
    <w:p w14:paraId="73F422C6" w14:textId="77777777" w:rsidR="00762212" w:rsidRPr="008C52C9" w:rsidRDefault="00DB3808" w:rsidP="00762212">
      <w:pPr>
        <w:pStyle w:val="Titrearticle"/>
        <w:rPr>
          <w:noProof/>
        </w:rPr>
      </w:pPr>
      <w:r w:rsidRPr="008C52C9">
        <w:rPr>
          <w:noProof/>
        </w:rPr>
        <w:t>Articolo 5</w:t>
      </w:r>
    </w:p>
    <w:p w14:paraId="77E6FB7D" w14:textId="77777777" w:rsidR="00762212" w:rsidRPr="008C52C9" w:rsidRDefault="00762212" w:rsidP="00AF3C67">
      <w:pPr>
        <w:pStyle w:val="Typeacteprincipal"/>
        <w:rPr>
          <w:noProof/>
        </w:rPr>
      </w:pPr>
      <w:r w:rsidRPr="008C52C9">
        <w:rPr>
          <w:noProof/>
        </w:rPr>
        <w:t>Destinatari</w:t>
      </w:r>
    </w:p>
    <w:p w14:paraId="734AEA76" w14:textId="77777777" w:rsidR="00762212" w:rsidRPr="008C52C9" w:rsidRDefault="00762212" w:rsidP="00762212">
      <w:pPr>
        <w:keepNext/>
        <w:keepLines/>
        <w:rPr>
          <w:noProof/>
        </w:rPr>
      </w:pPr>
      <w:r w:rsidRPr="008C52C9">
        <w:rPr>
          <w:noProof/>
        </w:rPr>
        <w:t>Gli Stati membri sono destinatari della presente direttiva.</w:t>
      </w:r>
    </w:p>
    <w:p w14:paraId="1C119B0B" w14:textId="77777777" w:rsidR="00762212" w:rsidRPr="008C52C9" w:rsidRDefault="00762212" w:rsidP="00762212">
      <w:pPr>
        <w:keepNext/>
        <w:keepLines/>
        <w:rPr>
          <w:noProof/>
        </w:rPr>
      </w:pPr>
    </w:p>
    <w:p w14:paraId="6A75B74E" w14:textId="3CA27A48" w:rsidR="00762212" w:rsidRPr="008C52C9" w:rsidRDefault="001A4546" w:rsidP="001A4546">
      <w:pPr>
        <w:pStyle w:val="Fait"/>
        <w:rPr>
          <w:noProof/>
        </w:rPr>
      </w:pPr>
      <w:r w:rsidRPr="001A4546">
        <w:t>Fatto a Bruxelles, il</w:t>
      </w:r>
    </w:p>
    <w:p w14:paraId="41062206" w14:textId="77777777" w:rsidR="00762212" w:rsidRPr="008C52C9" w:rsidRDefault="00762212" w:rsidP="00E4471E">
      <w:pPr>
        <w:pStyle w:val="Institutionquisigne"/>
        <w:rPr>
          <w:noProof/>
        </w:rPr>
      </w:pPr>
      <w:r w:rsidRPr="008C52C9">
        <w:rPr>
          <w:noProof/>
        </w:rPr>
        <w:t>Per il Parlamento europeo</w:t>
      </w:r>
      <w:r w:rsidRPr="008C52C9">
        <w:rPr>
          <w:noProof/>
        </w:rPr>
        <w:tab/>
        <w:t>Per il Consiglio</w:t>
      </w:r>
    </w:p>
    <w:p w14:paraId="23540F3B" w14:textId="77777777" w:rsidR="00D51E4C" w:rsidRPr="008C52C9" w:rsidRDefault="00564F45" w:rsidP="005F20F6">
      <w:pPr>
        <w:pStyle w:val="Personnequisigne"/>
        <w:rPr>
          <w:noProof/>
        </w:rPr>
      </w:pPr>
      <w:r w:rsidRPr="008C52C9">
        <w:rPr>
          <w:noProof/>
        </w:rPr>
        <w:t>La presidente</w:t>
      </w:r>
      <w:r w:rsidRPr="008C52C9">
        <w:rPr>
          <w:noProof/>
        </w:rPr>
        <w:tab/>
        <w:t>Il presidente</w:t>
      </w:r>
    </w:p>
    <w:p w14:paraId="6AD9161C" w14:textId="77777777" w:rsidR="00D51E4C" w:rsidRPr="008C52C9" w:rsidRDefault="00D51E4C">
      <w:pPr>
        <w:spacing w:before="0" w:after="200" w:line="276" w:lineRule="auto"/>
        <w:jc w:val="left"/>
        <w:rPr>
          <w:i/>
          <w:noProof/>
        </w:rPr>
      </w:pPr>
      <w:r w:rsidRPr="008C52C9">
        <w:rPr>
          <w:noProof/>
        </w:rPr>
        <w:br w:type="page"/>
      </w:r>
    </w:p>
    <w:p w14:paraId="25321B8C" w14:textId="77777777" w:rsidR="005F20F6" w:rsidRPr="008C52C9" w:rsidRDefault="005F20F6" w:rsidP="005F20F6">
      <w:pPr>
        <w:pStyle w:val="Fichefinanciretitre"/>
        <w:rPr>
          <w:noProof/>
        </w:rPr>
      </w:pPr>
      <w:r w:rsidRPr="008C52C9">
        <w:rPr>
          <w:noProof/>
        </w:rPr>
        <w:lastRenderedPageBreak/>
        <w:t>SCHEDA FINANZIARIA LEGISLATIVA "AGENZIE"</w:t>
      </w:r>
    </w:p>
    <w:p w14:paraId="0E578894" w14:textId="77777777" w:rsidR="005F20F6" w:rsidRPr="008C52C9" w:rsidRDefault="005F20F6" w:rsidP="005F20F6">
      <w:pPr>
        <w:pStyle w:val="ManualHeading1"/>
        <w:rPr>
          <w:bCs/>
          <w:noProof/>
          <w:szCs w:val="24"/>
        </w:rPr>
      </w:pPr>
      <w:bookmarkStart w:id="8" w:name="_Toc514938659"/>
      <w:bookmarkStart w:id="9" w:name="_Toc520485418"/>
      <w:r w:rsidRPr="008C52C9">
        <w:rPr>
          <w:noProof/>
        </w:rPr>
        <w:t>1.</w:t>
      </w:r>
      <w:r w:rsidRPr="008C52C9">
        <w:rPr>
          <w:noProof/>
        </w:rPr>
        <w:tab/>
        <w:t>CONTESTO DELLA PROPOSTA/INIZIATIVA</w:t>
      </w:r>
      <w:bookmarkEnd w:id="8"/>
      <w:bookmarkEnd w:id="9"/>
      <w:r w:rsidRPr="008C52C9">
        <w:rPr>
          <w:noProof/>
        </w:rPr>
        <w:t xml:space="preserve"> </w:t>
      </w:r>
    </w:p>
    <w:p w14:paraId="4F1F4A84" w14:textId="77777777" w:rsidR="005F20F6" w:rsidRPr="008C52C9" w:rsidRDefault="005F20F6" w:rsidP="005F20F6">
      <w:pPr>
        <w:pStyle w:val="ManualHeading2"/>
        <w:rPr>
          <w:bCs/>
          <w:noProof/>
          <w:szCs w:val="24"/>
        </w:rPr>
      </w:pPr>
      <w:bookmarkStart w:id="10" w:name="_Toc514938660"/>
      <w:bookmarkStart w:id="11" w:name="_Toc520485419"/>
      <w:r w:rsidRPr="008C52C9">
        <w:rPr>
          <w:noProof/>
        </w:rPr>
        <w:t>1.1.</w:t>
      </w:r>
      <w:r w:rsidRPr="008C52C9">
        <w:rPr>
          <w:noProof/>
        </w:rPr>
        <w:tab/>
        <w:t>Titolo della proposta/iniziativa</w:t>
      </w:r>
      <w:bookmarkEnd w:id="10"/>
      <w:bookmarkEnd w:id="11"/>
    </w:p>
    <w:p w14:paraId="7E7A7EFE" w14:textId="77777777" w:rsidR="005F20F6" w:rsidRPr="008C52C9" w:rsidRDefault="005F20F6" w:rsidP="005F20F6">
      <w:pPr>
        <w:pStyle w:val="Text1"/>
        <w:pBdr>
          <w:top w:val="single" w:sz="4" w:space="1" w:color="auto"/>
          <w:left w:val="single" w:sz="4" w:space="4" w:color="auto"/>
          <w:bottom w:val="single" w:sz="4" w:space="1" w:color="auto"/>
          <w:right w:val="single" w:sz="4" w:space="4" w:color="auto"/>
        </w:pBdr>
        <w:rPr>
          <w:noProof/>
          <w:color w:val="0000FF"/>
        </w:rPr>
      </w:pPr>
      <w:r w:rsidRPr="008C52C9">
        <w:rPr>
          <w:noProof/>
        </w:rPr>
        <w:t>Proposta di direttiva del Parlamento europeo e del Consiglio che modifica la direttiva 2005/35/CE relativa all'inquinamento provocato dalle navi e all'introduzione di sanzioni, anche penali, per i reati di inquinamento</w:t>
      </w:r>
      <w:r w:rsidRPr="008C52C9">
        <w:rPr>
          <w:noProof/>
          <w:color w:val="0000FF"/>
        </w:rPr>
        <w:t xml:space="preserve"> </w:t>
      </w:r>
    </w:p>
    <w:p w14:paraId="3C66DCB2" w14:textId="77777777" w:rsidR="005F20F6" w:rsidRPr="008C52C9" w:rsidRDefault="005F20F6" w:rsidP="005F20F6">
      <w:pPr>
        <w:pStyle w:val="ManualHeading2"/>
        <w:rPr>
          <w:bCs/>
          <w:noProof/>
          <w:szCs w:val="24"/>
        </w:rPr>
      </w:pPr>
      <w:bookmarkStart w:id="12" w:name="_Toc514938661"/>
      <w:bookmarkStart w:id="13" w:name="_Toc520485420"/>
      <w:r w:rsidRPr="008C52C9">
        <w:rPr>
          <w:noProof/>
        </w:rPr>
        <w:t>1.2.</w:t>
      </w:r>
      <w:r w:rsidRPr="008C52C9">
        <w:rPr>
          <w:noProof/>
        </w:rPr>
        <w:tab/>
        <w:t>Settore/settori interessati</w:t>
      </w:r>
      <w:bookmarkEnd w:id="12"/>
      <w:bookmarkEnd w:id="13"/>
    </w:p>
    <w:p w14:paraId="512D6D68" w14:textId="77777777" w:rsidR="005F20F6" w:rsidRPr="008C52C9" w:rsidRDefault="005F20F6" w:rsidP="005F20F6">
      <w:pPr>
        <w:pStyle w:val="Text1"/>
        <w:pBdr>
          <w:top w:val="single" w:sz="4" w:space="1" w:color="auto"/>
          <w:left w:val="single" w:sz="4" w:space="4" w:color="auto"/>
          <w:bottom w:val="single" w:sz="4" w:space="1" w:color="auto"/>
          <w:right w:val="single" w:sz="4" w:space="4" w:color="auto"/>
        </w:pBdr>
        <w:rPr>
          <w:noProof/>
        </w:rPr>
      </w:pPr>
      <w:r w:rsidRPr="008C52C9">
        <w:rPr>
          <w:noProof/>
        </w:rPr>
        <w:t>Mobilità e trasporti – Sicurezza marittima</w:t>
      </w:r>
    </w:p>
    <w:p w14:paraId="56CB1954" w14:textId="77777777" w:rsidR="005F20F6" w:rsidRPr="008C52C9" w:rsidRDefault="005F20F6" w:rsidP="005F20F6">
      <w:pPr>
        <w:pStyle w:val="ManualHeading2"/>
        <w:rPr>
          <w:bCs/>
          <w:noProof/>
          <w:szCs w:val="24"/>
        </w:rPr>
      </w:pPr>
      <w:bookmarkStart w:id="14" w:name="_Toc514938662"/>
      <w:bookmarkStart w:id="15" w:name="_Toc520485421"/>
      <w:r w:rsidRPr="008C52C9">
        <w:rPr>
          <w:noProof/>
        </w:rPr>
        <w:t>1.3.</w:t>
      </w:r>
      <w:r w:rsidRPr="008C52C9">
        <w:rPr>
          <w:noProof/>
        </w:rPr>
        <w:tab/>
        <w:t>La proposta riguarda</w:t>
      </w:r>
      <w:bookmarkEnd w:id="14"/>
      <w:bookmarkEnd w:id="15"/>
      <w:r w:rsidRPr="008C52C9">
        <w:rPr>
          <w:noProof/>
        </w:rPr>
        <w:t xml:space="preserve"> </w:t>
      </w:r>
    </w:p>
    <w:p w14:paraId="48979098" w14:textId="77777777" w:rsidR="005F20F6" w:rsidRPr="008C52C9" w:rsidRDefault="005F20F6" w:rsidP="005F20F6">
      <w:pPr>
        <w:pStyle w:val="Text1"/>
        <w:rPr>
          <w:b/>
          <w:noProof/>
        </w:rPr>
      </w:pPr>
      <w:r w:rsidRPr="008C52C9">
        <w:rPr>
          <w:noProof/>
        </w:rPr>
        <w:sym w:font="Wingdings" w:char="F0A8"/>
      </w:r>
      <w:r w:rsidRPr="008C52C9">
        <w:rPr>
          <w:b/>
          <w:i/>
          <w:noProof/>
        </w:rPr>
        <w:t xml:space="preserve"> </w:t>
      </w:r>
      <w:r w:rsidRPr="008C52C9">
        <w:rPr>
          <w:b/>
          <w:noProof/>
        </w:rPr>
        <w:t xml:space="preserve">una nuova azione </w:t>
      </w:r>
    </w:p>
    <w:p w14:paraId="7992F254" w14:textId="77777777" w:rsidR="005F20F6" w:rsidRPr="008C52C9" w:rsidRDefault="005F20F6" w:rsidP="005F20F6">
      <w:pPr>
        <w:pStyle w:val="Text1"/>
        <w:rPr>
          <w:noProof/>
          <w:sz w:val="22"/>
        </w:rPr>
      </w:pPr>
      <w:r w:rsidRPr="008C52C9">
        <w:rPr>
          <w:noProof/>
        </w:rPr>
        <w:sym w:font="Wingdings" w:char="F0A8"/>
      </w:r>
      <w:r w:rsidRPr="008C52C9">
        <w:rPr>
          <w:i/>
          <w:noProof/>
        </w:rPr>
        <w:t xml:space="preserve"> </w:t>
      </w:r>
      <w:r w:rsidRPr="008C52C9">
        <w:rPr>
          <w:b/>
          <w:noProof/>
        </w:rPr>
        <w:t>una nuova azione a seguito di un progetto pilota/un'azione preparatoria</w:t>
      </w:r>
      <w:r w:rsidRPr="008C52C9">
        <w:rPr>
          <w:rStyle w:val="FootnoteReference"/>
          <w:b/>
          <w:noProof/>
        </w:rPr>
        <w:footnoteReference w:id="45"/>
      </w:r>
      <w:r w:rsidRPr="008C52C9">
        <w:rPr>
          <w:noProof/>
          <w:sz w:val="22"/>
        </w:rPr>
        <w:t xml:space="preserve"> </w:t>
      </w:r>
    </w:p>
    <w:p w14:paraId="15677BED" w14:textId="77777777" w:rsidR="005F20F6" w:rsidRPr="008C52C9" w:rsidRDefault="005F20F6" w:rsidP="005F20F6">
      <w:pPr>
        <w:pStyle w:val="Text1"/>
        <w:rPr>
          <w:noProof/>
        </w:rPr>
      </w:pPr>
      <w:r w:rsidRPr="008C52C9">
        <w:rPr>
          <w:noProof/>
        </w:rPr>
        <w:sym w:font="Wingdings" w:char="F0FE"/>
      </w:r>
      <w:r w:rsidRPr="008C52C9">
        <w:rPr>
          <w:i/>
          <w:noProof/>
        </w:rPr>
        <w:t xml:space="preserve"> </w:t>
      </w:r>
      <w:r w:rsidRPr="008C52C9">
        <w:rPr>
          <w:b/>
          <w:noProof/>
        </w:rPr>
        <w:t>la proroga di un'azione esistente</w:t>
      </w:r>
      <w:r w:rsidRPr="008C52C9">
        <w:rPr>
          <w:noProof/>
        </w:rPr>
        <w:t xml:space="preserve"> </w:t>
      </w:r>
    </w:p>
    <w:p w14:paraId="3E09ECDE" w14:textId="77777777" w:rsidR="005F20F6" w:rsidRPr="008C52C9" w:rsidRDefault="005F20F6" w:rsidP="005F20F6">
      <w:pPr>
        <w:pStyle w:val="Text1"/>
        <w:rPr>
          <w:noProof/>
        </w:rPr>
      </w:pPr>
      <w:r w:rsidRPr="008C52C9">
        <w:rPr>
          <w:noProof/>
        </w:rPr>
        <w:sym w:font="Wingdings" w:char="F0A8"/>
      </w:r>
      <w:r w:rsidRPr="008C52C9">
        <w:rPr>
          <w:i/>
          <w:noProof/>
        </w:rPr>
        <w:t xml:space="preserve"> </w:t>
      </w:r>
      <w:r w:rsidRPr="008C52C9">
        <w:rPr>
          <w:b/>
          <w:noProof/>
        </w:rPr>
        <w:t>la fusione di una o più</w:t>
      </w:r>
      <w:r w:rsidRPr="008C52C9">
        <w:rPr>
          <w:noProof/>
        </w:rPr>
        <w:t xml:space="preserve"> </w:t>
      </w:r>
      <w:r w:rsidRPr="008C52C9">
        <w:rPr>
          <w:b/>
          <w:noProof/>
        </w:rPr>
        <w:t>azioni verso un'altra/una nuova azione</w:t>
      </w:r>
      <w:r w:rsidRPr="008C52C9">
        <w:rPr>
          <w:noProof/>
        </w:rPr>
        <w:t xml:space="preserve"> </w:t>
      </w:r>
    </w:p>
    <w:p w14:paraId="1DD0DC37" w14:textId="77777777" w:rsidR="005F20F6" w:rsidRPr="008C52C9" w:rsidRDefault="005F20F6" w:rsidP="005F20F6">
      <w:pPr>
        <w:pStyle w:val="ManualHeading2"/>
        <w:rPr>
          <w:bCs/>
          <w:noProof/>
          <w:szCs w:val="24"/>
        </w:rPr>
      </w:pPr>
      <w:bookmarkStart w:id="16" w:name="_Toc514938663"/>
      <w:bookmarkStart w:id="17" w:name="_Toc520485422"/>
      <w:r w:rsidRPr="008C52C9">
        <w:rPr>
          <w:noProof/>
        </w:rPr>
        <w:t>1.4.</w:t>
      </w:r>
      <w:r w:rsidRPr="008C52C9">
        <w:rPr>
          <w:noProof/>
        </w:rPr>
        <w:tab/>
        <w:t>Obiettivi</w:t>
      </w:r>
      <w:bookmarkEnd w:id="16"/>
      <w:bookmarkEnd w:id="17"/>
    </w:p>
    <w:p w14:paraId="709CDC1B" w14:textId="77777777" w:rsidR="005F20F6" w:rsidRPr="008C52C9" w:rsidRDefault="005F20F6" w:rsidP="005F20F6">
      <w:pPr>
        <w:pStyle w:val="ManualHeading3"/>
        <w:rPr>
          <w:bCs/>
          <w:noProof/>
          <w:szCs w:val="24"/>
        </w:rPr>
      </w:pPr>
      <w:bookmarkStart w:id="18" w:name="_Toc514938664"/>
      <w:bookmarkStart w:id="19" w:name="_Toc520485423"/>
      <w:r w:rsidRPr="008C52C9">
        <w:rPr>
          <w:noProof/>
        </w:rPr>
        <w:t>1.4.1.</w:t>
      </w:r>
      <w:r w:rsidRPr="008C52C9">
        <w:rPr>
          <w:noProof/>
        </w:rPr>
        <w:tab/>
        <w:t>Obiettivi generali</w:t>
      </w:r>
      <w:bookmarkEnd w:id="18"/>
      <w:bookmarkEnd w:id="19"/>
      <w:r w:rsidRPr="008C52C9">
        <w:rPr>
          <w:noProof/>
        </w:rPr>
        <w:t xml:space="preserve"> </w:t>
      </w:r>
    </w:p>
    <w:p w14:paraId="4CB4E581" w14:textId="77777777" w:rsidR="005F20F6" w:rsidRPr="008C52C9" w:rsidRDefault="005F20F6" w:rsidP="005F20F6">
      <w:pPr>
        <w:pStyle w:val="Text1"/>
        <w:pBdr>
          <w:top w:val="single" w:sz="4" w:space="1" w:color="auto"/>
          <w:left w:val="single" w:sz="4" w:space="4" w:color="auto"/>
          <w:bottom w:val="single" w:sz="4" w:space="1" w:color="auto"/>
          <w:right w:val="single" w:sz="4" w:space="4" w:color="auto"/>
        </w:pBdr>
        <w:rPr>
          <w:noProof/>
        </w:rPr>
      </w:pPr>
      <w:r w:rsidRPr="008C52C9">
        <w:rPr>
          <w:noProof/>
        </w:rPr>
        <w:t>L'obiettivo generale della modifica della direttiva 2005/35/CE è quello di garantire che le persone responsabili di scarichi di sostanze inquinanti in mare siano soggette a sanzioni effettive, proporzionate e dissuasive, al fine di migliorare la sicurezza marittima e la protezione dell'ambiente marino dall'inquinamento provocato dalle navi. La revisione contribuisce al conseguimento degli obiettivi di sviluppo sostenibile (OSS) 14 ("Conservare e utilizzare in modo durevole gli oceani, i mari e le risorse marine per uno sviluppo sostenibile"), 3 ("Assicurare la salute e il benessere per tutti e per tutte le età") e 16 ("Pace, giustizia e istituzioni forti"), quest'ultimo grazie alle disposizioni in materia di azione penale.</w:t>
      </w:r>
    </w:p>
    <w:p w14:paraId="52D55CB4" w14:textId="77777777" w:rsidR="005F20F6" w:rsidRPr="008C52C9" w:rsidRDefault="005F20F6" w:rsidP="005F20F6">
      <w:pPr>
        <w:pStyle w:val="ManualHeading3"/>
        <w:rPr>
          <w:bCs/>
          <w:noProof/>
          <w:szCs w:val="24"/>
        </w:rPr>
      </w:pPr>
      <w:bookmarkStart w:id="20" w:name="_Toc514938665"/>
      <w:bookmarkStart w:id="21" w:name="_Toc520485424"/>
      <w:r w:rsidRPr="008C52C9">
        <w:rPr>
          <w:noProof/>
        </w:rPr>
        <w:t>1.4.2.</w:t>
      </w:r>
      <w:r w:rsidRPr="008C52C9">
        <w:rPr>
          <w:noProof/>
        </w:rPr>
        <w:tab/>
        <w:t>Obiettivi specifici</w:t>
      </w:r>
      <w:bookmarkEnd w:id="20"/>
      <w:bookmarkEnd w:id="21"/>
      <w:r w:rsidRPr="008C52C9">
        <w:rPr>
          <w:noProof/>
        </w:rPr>
        <w:t xml:space="preserve"> </w:t>
      </w:r>
    </w:p>
    <w:p w14:paraId="5E52533C" w14:textId="77777777" w:rsidR="005F20F6" w:rsidRPr="008C52C9" w:rsidRDefault="005F20F6" w:rsidP="005F20F6">
      <w:pPr>
        <w:pStyle w:val="Text1"/>
        <w:pBdr>
          <w:top w:val="single" w:sz="4" w:space="1" w:color="auto"/>
          <w:left w:val="single" w:sz="4" w:space="4" w:color="auto"/>
          <w:bottom w:val="single" w:sz="4" w:space="1" w:color="auto"/>
          <w:right w:val="single" w:sz="4" w:space="4" w:color="auto"/>
        </w:pBdr>
        <w:rPr>
          <w:noProof/>
        </w:rPr>
      </w:pPr>
      <w:r w:rsidRPr="008C52C9">
        <w:rPr>
          <w:noProof/>
        </w:rPr>
        <w:t>Gli obiettivi specifici della revisione sono i seguenti:</w:t>
      </w:r>
    </w:p>
    <w:p w14:paraId="17500994" w14:textId="77777777" w:rsidR="005F20F6" w:rsidRPr="008C52C9" w:rsidRDefault="005F20F6" w:rsidP="0019371E">
      <w:pPr>
        <w:pStyle w:val="Text1"/>
        <w:pBdr>
          <w:top w:val="single" w:sz="4" w:space="1" w:color="auto"/>
          <w:left w:val="single" w:sz="4" w:space="4" w:color="auto"/>
          <w:bottom w:val="single" w:sz="4" w:space="1" w:color="auto"/>
          <w:right w:val="single" w:sz="4" w:space="4" w:color="auto"/>
        </w:pBdr>
        <w:rPr>
          <w:noProof/>
        </w:rPr>
      </w:pPr>
      <w:r w:rsidRPr="008C52C9">
        <w:rPr>
          <w:noProof/>
        </w:rPr>
        <w:t xml:space="preserve">integrare le norme internazionali nel diritto dell'UE allineando la direttiva agli allegati sugli scarichi in mare della convenzione internazionale per la prevenzione dell'inquinamento causato da navi (convenzione Marpol); </w:t>
      </w:r>
    </w:p>
    <w:p w14:paraId="748C3201" w14:textId="77777777" w:rsidR="005F20F6" w:rsidRPr="008C52C9" w:rsidRDefault="005F20F6" w:rsidP="0019371E">
      <w:pPr>
        <w:pStyle w:val="Text1"/>
        <w:pBdr>
          <w:top w:val="single" w:sz="4" w:space="1" w:color="auto"/>
          <w:left w:val="single" w:sz="4" w:space="4" w:color="auto"/>
          <w:bottom w:val="single" w:sz="4" w:space="1" w:color="auto"/>
          <w:right w:val="single" w:sz="4" w:space="4" w:color="auto"/>
        </w:pBdr>
        <w:rPr>
          <w:noProof/>
        </w:rPr>
      </w:pPr>
      <w:r w:rsidRPr="008C52C9">
        <w:rPr>
          <w:noProof/>
        </w:rPr>
        <w:t xml:space="preserve">sostenere gli Stati membri rafforzando la loro capacità di provvedere in modo tempestivo e armonizzato all'individuazione degli incidenti di inquinamento, alla verifica, alla raccolta degli elementi di prova e al sanzionamento efficace dei responsabili identificati; </w:t>
      </w:r>
    </w:p>
    <w:p w14:paraId="416735E4" w14:textId="77777777" w:rsidR="005F20F6" w:rsidRPr="008C52C9" w:rsidRDefault="005F20F6" w:rsidP="0019371E">
      <w:pPr>
        <w:pStyle w:val="Text1"/>
        <w:pBdr>
          <w:top w:val="single" w:sz="4" w:space="1" w:color="auto"/>
          <w:left w:val="single" w:sz="4" w:space="4" w:color="auto"/>
          <w:bottom w:val="single" w:sz="4" w:space="1" w:color="auto"/>
          <w:right w:val="single" w:sz="4" w:space="4" w:color="auto"/>
        </w:pBdr>
        <w:rPr>
          <w:noProof/>
        </w:rPr>
      </w:pPr>
      <w:r w:rsidRPr="008C52C9">
        <w:rPr>
          <w:noProof/>
        </w:rPr>
        <w:t>garantire che le persone (fisiche e giuridiche) responsabili degli scarichi illegali delle navi siano soggette a sanzioni effettive, proporzionate e dissuasive;</w:t>
      </w:r>
    </w:p>
    <w:p w14:paraId="2F8B4A77" w14:textId="77777777" w:rsidR="005F20F6" w:rsidRPr="008C52C9" w:rsidRDefault="005F20F6" w:rsidP="0019371E">
      <w:pPr>
        <w:pStyle w:val="Text1"/>
        <w:pBdr>
          <w:top w:val="single" w:sz="4" w:space="1" w:color="auto"/>
          <w:left w:val="single" w:sz="4" w:space="4" w:color="auto"/>
          <w:bottom w:val="single" w:sz="4" w:space="1" w:color="auto"/>
          <w:right w:val="single" w:sz="4" w:space="4" w:color="auto"/>
        </w:pBdr>
        <w:rPr>
          <w:noProof/>
        </w:rPr>
      </w:pPr>
      <w:r w:rsidRPr="008C52C9">
        <w:rPr>
          <w:noProof/>
        </w:rPr>
        <w:t xml:space="preserve">assicurare una comunicazione semplificata ed efficace sugli incidenti di inquinamento provocati dalle navi e sulle attività di follow-up. </w:t>
      </w:r>
    </w:p>
    <w:p w14:paraId="0DB47A85" w14:textId="77777777" w:rsidR="005F20F6" w:rsidRPr="008C52C9" w:rsidRDefault="005F20F6" w:rsidP="005F20F6">
      <w:pPr>
        <w:pStyle w:val="ManualHeading3"/>
        <w:rPr>
          <w:bCs/>
          <w:noProof/>
          <w:szCs w:val="24"/>
        </w:rPr>
      </w:pPr>
      <w:r w:rsidRPr="008C52C9">
        <w:rPr>
          <w:noProof/>
        </w:rPr>
        <w:br w:type="page"/>
      </w:r>
      <w:bookmarkStart w:id="22" w:name="_Toc514938666"/>
      <w:bookmarkStart w:id="23" w:name="_Toc520485425"/>
      <w:r w:rsidRPr="008C52C9">
        <w:rPr>
          <w:noProof/>
        </w:rPr>
        <w:lastRenderedPageBreak/>
        <w:t>1.4.3.</w:t>
      </w:r>
      <w:r w:rsidRPr="008C52C9">
        <w:rPr>
          <w:noProof/>
        </w:rPr>
        <w:tab/>
        <w:t>Risultati e incidenza previsti</w:t>
      </w:r>
      <w:bookmarkEnd w:id="22"/>
      <w:bookmarkEnd w:id="23"/>
    </w:p>
    <w:p w14:paraId="5FCCF823" w14:textId="77777777" w:rsidR="005F20F6" w:rsidRPr="008C52C9" w:rsidRDefault="005F20F6" w:rsidP="005F20F6">
      <w:pPr>
        <w:pStyle w:val="Text1"/>
        <w:rPr>
          <w:i/>
          <w:noProof/>
          <w:sz w:val="20"/>
        </w:rPr>
      </w:pPr>
      <w:r w:rsidRPr="008C52C9">
        <w:rPr>
          <w:i/>
          <w:noProof/>
          <w:sz w:val="20"/>
        </w:rPr>
        <w:t>Precisare gli effetti che la proposta/iniziativa dovrebbe avere sui beneficiari/gruppi interessati.</w:t>
      </w:r>
    </w:p>
    <w:p w14:paraId="55583CEB" w14:textId="77777777" w:rsidR="005F20F6" w:rsidRPr="008C52C9" w:rsidRDefault="005F20F6" w:rsidP="005F20F6">
      <w:pPr>
        <w:pStyle w:val="Text1"/>
        <w:pBdr>
          <w:top w:val="single" w:sz="4" w:space="1" w:color="auto"/>
          <w:left w:val="single" w:sz="4" w:space="4" w:color="auto"/>
          <w:bottom w:val="single" w:sz="4" w:space="1" w:color="auto"/>
          <w:right w:val="single" w:sz="4" w:space="4" w:color="auto"/>
        </w:pBdr>
        <w:rPr>
          <w:noProof/>
        </w:rPr>
      </w:pPr>
      <w:r w:rsidRPr="008C52C9">
        <w:rPr>
          <w:noProof/>
        </w:rPr>
        <w:t xml:space="preserve">La presente proposta dovrebbe migliorare l'efficacia delle sanzioni e creare parità di condizioni, garantendo sanzioni armonizzate e proporzionate e livelli di sanzioni sufficientemente elevati da scoraggiare gli scarichi illegali. </w:t>
      </w:r>
    </w:p>
    <w:p w14:paraId="3525D3EC" w14:textId="77777777" w:rsidR="005F20F6" w:rsidRPr="008C52C9" w:rsidRDefault="005F20F6" w:rsidP="005F20F6">
      <w:pPr>
        <w:pStyle w:val="Text1"/>
        <w:pBdr>
          <w:top w:val="single" w:sz="4" w:space="1" w:color="auto"/>
          <w:left w:val="single" w:sz="4" w:space="4" w:color="auto"/>
          <w:bottom w:val="single" w:sz="4" w:space="1" w:color="auto"/>
          <w:right w:val="single" w:sz="4" w:space="4" w:color="auto"/>
        </w:pBdr>
        <w:rPr>
          <w:noProof/>
        </w:rPr>
      </w:pPr>
      <w:r w:rsidRPr="008C52C9">
        <w:rPr>
          <w:noProof/>
        </w:rPr>
        <w:t xml:space="preserve">La presente proposta dovrebbe comportare un miglioramento generale dell'efficacia delle verifiche da parte delle autorità degli Stati membri e quindi a un aumento della percentuale di responsabili identificati, oltre a semplificare e migliorare la comunicazione circa l'attuazione della direttiva. </w:t>
      </w:r>
    </w:p>
    <w:p w14:paraId="073FC254" w14:textId="77777777" w:rsidR="005F20F6" w:rsidRPr="008C52C9" w:rsidRDefault="005F20F6" w:rsidP="005F20F6">
      <w:pPr>
        <w:pStyle w:val="ManualHeading3"/>
        <w:rPr>
          <w:bCs/>
          <w:noProof/>
          <w:szCs w:val="24"/>
        </w:rPr>
      </w:pPr>
      <w:bookmarkStart w:id="24" w:name="_Toc514938667"/>
      <w:bookmarkStart w:id="25" w:name="_Toc520485426"/>
      <w:r w:rsidRPr="008C52C9">
        <w:rPr>
          <w:noProof/>
        </w:rPr>
        <w:t>1.4.4.</w:t>
      </w:r>
      <w:r w:rsidRPr="008C52C9">
        <w:rPr>
          <w:noProof/>
        </w:rPr>
        <w:tab/>
        <w:t>Indicatori di prestazione</w:t>
      </w:r>
      <w:bookmarkEnd w:id="24"/>
      <w:bookmarkEnd w:id="25"/>
      <w:r w:rsidRPr="008C52C9">
        <w:rPr>
          <w:noProof/>
        </w:rPr>
        <w:t xml:space="preserve"> </w:t>
      </w:r>
    </w:p>
    <w:p w14:paraId="340ECFD5" w14:textId="77777777" w:rsidR="005F20F6" w:rsidRPr="008C52C9" w:rsidRDefault="005F20F6" w:rsidP="005F20F6">
      <w:pPr>
        <w:pStyle w:val="Text1"/>
        <w:rPr>
          <w:i/>
          <w:noProof/>
          <w:sz w:val="20"/>
        </w:rPr>
      </w:pPr>
      <w:r w:rsidRPr="008C52C9">
        <w:rPr>
          <w:i/>
          <w:noProof/>
          <w:sz w:val="20"/>
        </w:rPr>
        <w:t>Precisare gli indicatori con cui monitorare progressi e risultati.</w:t>
      </w:r>
    </w:p>
    <w:p w14:paraId="3747E483" w14:textId="77777777" w:rsidR="005F20F6" w:rsidRPr="008C52C9" w:rsidRDefault="005F20F6" w:rsidP="005F20F6">
      <w:pPr>
        <w:pStyle w:val="Text1"/>
        <w:pBdr>
          <w:top w:val="single" w:sz="4" w:space="1" w:color="auto"/>
          <w:left w:val="single" w:sz="4" w:space="1" w:color="auto"/>
          <w:bottom w:val="single" w:sz="4" w:space="1" w:color="auto"/>
          <w:right w:val="single" w:sz="4" w:space="1" w:color="auto"/>
        </w:pBdr>
        <w:rPr>
          <w:noProof/>
        </w:rPr>
      </w:pPr>
      <w:r w:rsidRPr="008C52C9">
        <w:rPr>
          <w:noProof/>
        </w:rPr>
        <w:t>L'efficacia della direttiva proposta, rispetto all'obiettivo specifico 1, sarà determinata in base al numero di violazioni e al numero di incidenti individuati in relazione a idrocarburi, sostanze liquide nocive, merci imballate, acque reflue, rifiuti solidi e residui degli scrubber scaricati dalle navi.</w:t>
      </w:r>
    </w:p>
    <w:p w14:paraId="5C165007" w14:textId="77777777" w:rsidR="005F20F6" w:rsidRPr="008C52C9" w:rsidRDefault="005F20F6" w:rsidP="005F20F6">
      <w:pPr>
        <w:pStyle w:val="Text1"/>
        <w:pBdr>
          <w:top w:val="single" w:sz="4" w:space="1" w:color="auto"/>
          <w:left w:val="single" w:sz="4" w:space="1" w:color="auto"/>
          <w:bottom w:val="single" w:sz="4" w:space="1" w:color="auto"/>
          <w:right w:val="single" w:sz="4" w:space="1" w:color="auto"/>
        </w:pBdr>
        <w:rPr>
          <w:noProof/>
        </w:rPr>
      </w:pPr>
      <w:r w:rsidRPr="008C52C9">
        <w:rPr>
          <w:noProof/>
        </w:rPr>
        <w:t>L'efficacia della direttiva proposta, rispetto all'obiettivo specifico 2, sarà determinata in base al numero di verifiche per Stato membro (livello di verifica), al numero di responsabili identificati a seguito delle verifiche (responsabili dell'inquinamento identificati), al numero di notifiche da parte degli informatori e al numero di attività di formazione e seminari dell'EMSA.</w:t>
      </w:r>
    </w:p>
    <w:p w14:paraId="5F08FF99" w14:textId="77777777" w:rsidR="005F20F6" w:rsidRPr="008C52C9" w:rsidRDefault="005F20F6" w:rsidP="005F20F6">
      <w:pPr>
        <w:pStyle w:val="Text1"/>
        <w:pBdr>
          <w:top w:val="single" w:sz="4" w:space="1" w:color="auto"/>
          <w:left w:val="single" w:sz="4" w:space="1" w:color="auto"/>
          <w:bottom w:val="single" w:sz="4" w:space="1" w:color="auto"/>
          <w:right w:val="single" w:sz="4" w:space="1" w:color="auto"/>
        </w:pBdr>
        <w:rPr>
          <w:noProof/>
        </w:rPr>
      </w:pPr>
      <w:r w:rsidRPr="008C52C9">
        <w:rPr>
          <w:noProof/>
        </w:rPr>
        <w:t>L'efficacia della direttiva proposta, rispetto all'obiettivo specifico 3, sarà determinata in base ai livelli di sanzioni pecuniarie e ai tipi di sanzioni imposte.</w:t>
      </w:r>
    </w:p>
    <w:p w14:paraId="77426F5D" w14:textId="77777777" w:rsidR="005F20F6" w:rsidRPr="008C52C9" w:rsidRDefault="005F20F6" w:rsidP="005F20F6">
      <w:pPr>
        <w:pStyle w:val="Text1"/>
        <w:pBdr>
          <w:top w:val="single" w:sz="4" w:space="1" w:color="auto"/>
          <w:left w:val="single" w:sz="4" w:space="1" w:color="auto"/>
          <w:bottom w:val="single" w:sz="4" w:space="1" w:color="auto"/>
          <w:right w:val="single" w:sz="4" w:space="1" w:color="auto"/>
        </w:pBdr>
        <w:rPr>
          <w:noProof/>
        </w:rPr>
      </w:pPr>
      <w:r w:rsidRPr="008C52C9">
        <w:rPr>
          <w:noProof/>
        </w:rPr>
        <w:t>L'efficacia della direttiva proposta, per quanto riguarda l'obiettivo specifico 4, sarà determinata in base al numero di aggiornamenti per Stato membro nello strumento di comunicazione, al numero di scarichi di navi registrati in tale strumento per Stato membro e al numero di visualizzazioni/visite del sito web pubblico.</w:t>
      </w:r>
    </w:p>
    <w:p w14:paraId="4AB73A5F" w14:textId="77777777" w:rsidR="005F20F6" w:rsidRPr="008C52C9" w:rsidRDefault="005F20F6" w:rsidP="005F20F6">
      <w:pPr>
        <w:pStyle w:val="ManualHeading2"/>
        <w:rPr>
          <w:bCs/>
          <w:noProof/>
          <w:szCs w:val="24"/>
        </w:rPr>
      </w:pPr>
      <w:bookmarkStart w:id="26" w:name="_Toc514938668"/>
      <w:bookmarkStart w:id="27" w:name="_Toc520485427"/>
      <w:r w:rsidRPr="008C52C9">
        <w:rPr>
          <w:noProof/>
        </w:rPr>
        <w:t>1.5.</w:t>
      </w:r>
      <w:r w:rsidRPr="008C52C9">
        <w:rPr>
          <w:noProof/>
        </w:rPr>
        <w:tab/>
        <w:t>Motivazione della proposta/iniziativa</w:t>
      </w:r>
      <w:bookmarkEnd w:id="26"/>
      <w:bookmarkEnd w:id="27"/>
      <w:r w:rsidRPr="008C52C9">
        <w:rPr>
          <w:noProof/>
        </w:rPr>
        <w:t xml:space="preserve"> </w:t>
      </w:r>
    </w:p>
    <w:p w14:paraId="72472474" w14:textId="77777777" w:rsidR="005F20F6" w:rsidRPr="008C52C9" w:rsidRDefault="005F20F6" w:rsidP="005F20F6">
      <w:pPr>
        <w:pStyle w:val="ManualHeading3"/>
        <w:rPr>
          <w:noProof/>
        </w:rPr>
      </w:pPr>
      <w:bookmarkStart w:id="28" w:name="_Toc514938669"/>
      <w:bookmarkStart w:id="29" w:name="_Toc520485428"/>
      <w:r w:rsidRPr="008C52C9">
        <w:rPr>
          <w:noProof/>
        </w:rPr>
        <w:t>1.5.1.</w:t>
      </w:r>
      <w:r w:rsidRPr="008C52C9">
        <w:rPr>
          <w:noProof/>
        </w:rPr>
        <w:tab/>
        <w:t>Necessità nel breve e lungo termine, compreso un calendario dettagliato per fasi di attuazione dell'iniziativa</w:t>
      </w:r>
      <w:bookmarkEnd w:id="28"/>
      <w:bookmarkEnd w:id="29"/>
    </w:p>
    <w:p w14:paraId="2E4E5D18" w14:textId="77777777" w:rsidR="005F20F6" w:rsidRPr="008C52C9" w:rsidRDefault="005F20F6" w:rsidP="005F20F6">
      <w:pPr>
        <w:pStyle w:val="Text1"/>
        <w:pBdr>
          <w:top w:val="single" w:sz="4" w:space="1" w:color="auto"/>
          <w:left w:val="single" w:sz="4" w:space="4" w:color="auto"/>
          <w:bottom w:val="single" w:sz="4" w:space="1" w:color="auto"/>
          <w:right w:val="single" w:sz="4" w:space="4" w:color="auto"/>
        </w:pBdr>
        <w:rPr>
          <w:noProof/>
        </w:rPr>
      </w:pPr>
      <w:r w:rsidRPr="008C52C9">
        <w:rPr>
          <w:noProof/>
        </w:rPr>
        <w:t>L'EMSA sarà tenuta a predisporre ulteriori servizi di monitoraggio satellitare per le autorità degli Stati membri in ragione dell'estensione dell'ambito di applicazione della direttiva e ad aggiornare il servizio CleanSeaNet per monitorare e individuare meglio gli inquinanti. L'EMSA sarà tenuta a realizzare attività di formazione e a elaborare documenti di orientamento, aggiornandoli regolarmente. Creerà inoltre un canale di segnalazione esterna per gli informatori, ai fini della trasmissione di informazioni su possibili scarichi illegali e del miglioramento dei servizi marittimi integrati. L'EMSA sarà inoltre tenuta a mettere a punto e gestire un nuovo strumento di comunicazione in modo che gli Stati membri segnalino ogni incidente di inquinamento provocato dalle navi, nonché a realizzare un sito web per tenere informato il pubblico in merito all'inquinamento provocato dalle navi.</w:t>
      </w:r>
    </w:p>
    <w:p w14:paraId="0F562B60" w14:textId="77777777" w:rsidR="005F20F6" w:rsidRPr="008C52C9" w:rsidRDefault="005F20F6" w:rsidP="005F20F6">
      <w:pPr>
        <w:pStyle w:val="Text1"/>
        <w:pBdr>
          <w:top w:val="single" w:sz="4" w:space="1" w:color="auto"/>
          <w:left w:val="single" w:sz="4" w:space="4" w:color="auto"/>
          <w:bottom w:val="single" w:sz="4" w:space="1" w:color="auto"/>
          <w:right w:val="single" w:sz="4" w:space="4" w:color="auto"/>
        </w:pBdr>
        <w:rPr>
          <w:noProof/>
        </w:rPr>
      </w:pPr>
      <w:r w:rsidRPr="008C52C9">
        <w:rPr>
          <w:noProof/>
        </w:rPr>
        <w:t>In totale saranno necessari nove ETP per contribuire alla prestazione dei servizi supplementari di monitoraggio satellitare e altri tre ETP per contribuire allo sviluppo dei servizi marittimi integrati. Di questi, uno sarà necessario nell'ambito del prossimo QFP.</w:t>
      </w:r>
    </w:p>
    <w:p w14:paraId="77CACA8D" w14:textId="77777777" w:rsidR="005F20F6" w:rsidRPr="008C52C9" w:rsidRDefault="005F20F6" w:rsidP="005F20F6">
      <w:pPr>
        <w:pStyle w:val="ManualHeading3"/>
        <w:rPr>
          <w:bCs/>
          <w:noProof/>
          <w:szCs w:val="24"/>
        </w:rPr>
      </w:pPr>
      <w:bookmarkStart w:id="30" w:name="_Toc514938670"/>
      <w:bookmarkStart w:id="31" w:name="_Toc520485429"/>
      <w:r w:rsidRPr="008C52C9">
        <w:rPr>
          <w:noProof/>
        </w:rPr>
        <w:lastRenderedPageBreak/>
        <w:t>1.5.2.</w:t>
      </w:r>
      <w:r w:rsidRPr="008C52C9">
        <w:rPr>
          <w:noProof/>
        </w:rPr>
        <w:tab/>
        <w:t>Valore aggiunto dell'intervento dell'Unione (che può derivare da diversi fattori, ad es. un miglior coordinamento, la certezza del diritto o un'efficacia e una complementarità maggiori). Ai fini del presente punto, per "valore aggiunto dell'intervento dell'Unione" si intende il valore derivante dall'intervento dell'Unione che va ad aggiungersi al valore che avrebbero altrimenti generato gli Stati membri se avessero agito da soli.</w:t>
      </w:r>
      <w:bookmarkEnd w:id="30"/>
      <w:bookmarkEnd w:id="31"/>
    </w:p>
    <w:p w14:paraId="39C98AC5" w14:textId="77777777" w:rsidR="005F20F6" w:rsidRPr="008C52C9" w:rsidRDefault="005F20F6" w:rsidP="005F20F6">
      <w:pPr>
        <w:pStyle w:val="Text1"/>
        <w:pBdr>
          <w:top w:val="single" w:sz="4" w:space="1" w:color="auto"/>
          <w:left w:val="single" w:sz="4" w:space="4" w:color="auto"/>
          <w:bottom w:val="single" w:sz="4" w:space="1" w:color="auto"/>
          <w:right w:val="single" w:sz="4" w:space="4" w:color="auto"/>
        </w:pBdr>
        <w:rPr>
          <w:noProof/>
        </w:rPr>
      </w:pPr>
      <w:r w:rsidRPr="008C52C9">
        <w:rPr>
          <w:noProof/>
        </w:rPr>
        <w:t xml:space="preserve">Motivi dell'azione a livello europeo (ex ante) </w:t>
      </w:r>
    </w:p>
    <w:p w14:paraId="03DD71AD" w14:textId="77777777" w:rsidR="005F20F6" w:rsidRPr="008C52C9" w:rsidRDefault="005F20F6" w:rsidP="005F20F6">
      <w:pPr>
        <w:pStyle w:val="Text1"/>
        <w:pBdr>
          <w:top w:val="single" w:sz="4" w:space="1" w:color="auto"/>
          <w:left w:val="single" w:sz="4" w:space="4" w:color="auto"/>
          <w:bottom w:val="single" w:sz="4" w:space="1" w:color="auto"/>
          <w:right w:val="single" w:sz="4" w:space="4" w:color="auto"/>
        </w:pBdr>
        <w:rPr>
          <w:noProof/>
        </w:rPr>
      </w:pPr>
      <w:r w:rsidRPr="008C52C9">
        <w:rPr>
          <w:noProof/>
        </w:rPr>
        <w:t xml:space="preserve">La presenza di approcci nazionali divergenti può ostacolare una cooperazione efficiente tra gli Stati membri e consentire ai responsabili di eludere le sanzioni. La maggiore vulnerabilità di alcune regioni e la diversa capacità degli Stati membri di verificare e perseguire i casi di inquinamento provocati dalle navi rendono necessaria un'azione dell'UE, soprattutto accompagnata da misure di sostegno da parte degli strumenti digitali dell'EMSA. Data la natura internazionale del trasporto marittimo, è evidente la necessità di disporre di un quadro transfrontaliero che garantisca la parità di trattamento degli operatori delle navi a prescindere dal luogo in cui si è verificato l'incidente di inquinamento. </w:t>
      </w:r>
    </w:p>
    <w:p w14:paraId="615E9F9C" w14:textId="43CC15A1" w:rsidR="005F20F6" w:rsidRPr="008C52C9" w:rsidRDefault="005F20F6" w:rsidP="005F20F6">
      <w:pPr>
        <w:pStyle w:val="Text1"/>
        <w:pBdr>
          <w:top w:val="single" w:sz="4" w:space="1" w:color="auto"/>
          <w:left w:val="single" w:sz="4" w:space="4" w:color="auto"/>
          <w:bottom w:val="single" w:sz="4" w:space="1" w:color="auto"/>
          <w:right w:val="single" w:sz="4" w:space="4" w:color="auto"/>
        </w:pBdr>
        <w:rPr>
          <w:noProof/>
        </w:rPr>
      </w:pPr>
      <w:r w:rsidRPr="008C52C9">
        <w:rPr>
          <w:noProof/>
        </w:rPr>
        <w:t xml:space="preserve">Valore aggiunto </w:t>
      </w:r>
      <w:r w:rsidR="00DD6749">
        <w:rPr>
          <w:noProof/>
        </w:rPr>
        <w:t>dell'Unione previsto (ex post)</w:t>
      </w:r>
    </w:p>
    <w:p w14:paraId="061E127F" w14:textId="77777777" w:rsidR="005F20F6" w:rsidRPr="008C52C9" w:rsidRDefault="005F20F6" w:rsidP="005F20F6">
      <w:pPr>
        <w:pStyle w:val="Text1"/>
        <w:pBdr>
          <w:top w:val="single" w:sz="4" w:space="1" w:color="auto"/>
          <w:left w:val="single" w:sz="4" w:space="4" w:color="auto"/>
          <w:bottom w:val="single" w:sz="4" w:space="1" w:color="auto"/>
          <w:right w:val="single" w:sz="4" w:space="4" w:color="auto"/>
        </w:pBdr>
        <w:rPr>
          <w:noProof/>
        </w:rPr>
      </w:pPr>
      <w:r w:rsidRPr="008C52C9">
        <w:rPr>
          <w:noProof/>
        </w:rPr>
        <w:t>L'azione dell'UE garantisce parità di condizioni e agevola la verifica e l'azione penale a livello nazionale, nonché l'applicazione transfrontaliera, determinando sanzioni più dissuasive. L'azione dell'UE apporterà un chiaro valore aggiunto nel contrastare l'inquinamento provocato dalle navi, che ha generalmente una dimensione transnazionale, rispetto a ciò che gli Stati membri possono ottenere da soli. L'ulteriore chiarimento del regime di responsabilità dell'UE e il miglioramento della sorveglianza satellitare, che riguarda più tipi di inquinanti grazie all'estensione dell'ambito di applicazione della direttiva in linea con la convenzione Marpol, garantiscono un'attuazione più efficiente ed efficace degli obblighi da parte degli Stati membri.</w:t>
      </w:r>
    </w:p>
    <w:p w14:paraId="4AB8380D" w14:textId="77777777" w:rsidR="005F20F6" w:rsidRPr="008C52C9" w:rsidRDefault="005F20F6" w:rsidP="005F20F6">
      <w:pPr>
        <w:pStyle w:val="ManualHeading3"/>
        <w:rPr>
          <w:noProof/>
        </w:rPr>
      </w:pPr>
      <w:bookmarkStart w:id="32" w:name="_Toc514938671"/>
      <w:bookmarkStart w:id="33" w:name="_Toc520485430"/>
      <w:r w:rsidRPr="008C52C9">
        <w:rPr>
          <w:noProof/>
        </w:rPr>
        <w:t>1.5.3.</w:t>
      </w:r>
      <w:r w:rsidRPr="008C52C9">
        <w:rPr>
          <w:noProof/>
        </w:rPr>
        <w:tab/>
        <w:t>Insegnamenti tratti da esperienze analoghe</w:t>
      </w:r>
      <w:bookmarkEnd w:id="32"/>
      <w:bookmarkEnd w:id="33"/>
    </w:p>
    <w:p w14:paraId="184B211E" w14:textId="77777777" w:rsidR="005F20F6" w:rsidRPr="008C52C9" w:rsidRDefault="005F20F6" w:rsidP="005F20F6">
      <w:pPr>
        <w:pStyle w:val="Text1"/>
        <w:pBdr>
          <w:top w:val="single" w:sz="4" w:space="1" w:color="auto"/>
          <w:left w:val="single" w:sz="4" w:space="4" w:color="auto"/>
          <w:bottom w:val="single" w:sz="4" w:space="1" w:color="auto"/>
          <w:right w:val="single" w:sz="4" w:space="4" w:color="auto"/>
        </w:pBdr>
        <w:rPr>
          <w:noProof/>
        </w:rPr>
      </w:pPr>
      <w:r w:rsidRPr="008C52C9">
        <w:rPr>
          <w:noProof/>
        </w:rPr>
        <w:t xml:space="preserve">Gli strumenti dell'EMSA si sono dimostrati efficienti e vantaggiosi per gli Stati membri in relazione al conseguimento degli obiettivi della direttiva. La sorveglianza satellitare rafforzata ha contribuito a migliorare l'individuazione degli scarichi illegali e indirettamente a prevenire l'inquinamento dell'ambiente marino provocato dalle navi. Tuttavia da una valutazione della direttiva è emerso che i suoi obiettivi, anche se adeguati, non sono stati pienamente conseguiti e il suo ambito di applicazione è limitato. </w:t>
      </w:r>
    </w:p>
    <w:p w14:paraId="15423FF0" w14:textId="77777777" w:rsidR="005F20F6" w:rsidRPr="008C52C9" w:rsidRDefault="005F20F6" w:rsidP="005F20F6">
      <w:pPr>
        <w:pStyle w:val="Text1"/>
        <w:pBdr>
          <w:top w:val="single" w:sz="4" w:space="1" w:color="auto"/>
          <w:left w:val="single" w:sz="4" w:space="4" w:color="auto"/>
          <w:bottom w:val="single" w:sz="4" w:space="1" w:color="auto"/>
          <w:right w:val="single" w:sz="4" w:space="4" w:color="auto"/>
        </w:pBdr>
        <w:rPr>
          <w:noProof/>
        </w:rPr>
      </w:pPr>
      <w:r w:rsidRPr="008C52C9">
        <w:rPr>
          <w:noProof/>
        </w:rPr>
        <w:t xml:space="preserve">L'attuazione del servizio CleanSeaNet, che è uno strumento per la sorveglianza satellitare, è andata a buon fine, tuttavia tale servizio dovrebbe essere ulteriormente sviluppato per comprendere l'ambito di applicazione esteso della direttiva. </w:t>
      </w:r>
    </w:p>
    <w:p w14:paraId="299B8AF8" w14:textId="77777777" w:rsidR="005F20F6" w:rsidRPr="008C52C9" w:rsidRDefault="005F20F6" w:rsidP="005F20F6">
      <w:pPr>
        <w:pStyle w:val="Text1"/>
        <w:pBdr>
          <w:top w:val="single" w:sz="4" w:space="1" w:color="auto"/>
          <w:left w:val="single" w:sz="4" w:space="4" w:color="auto"/>
          <w:bottom w:val="single" w:sz="4" w:space="1" w:color="auto"/>
          <w:right w:val="single" w:sz="4" w:space="4" w:color="auto"/>
        </w:pBdr>
        <w:rPr>
          <w:noProof/>
        </w:rPr>
      </w:pPr>
      <w:r w:rsidRPr="008C52C9">
        <w:rPr>
          <w:noProof/>
        </w:rPr>
        <w:t>I risultati della valutazione ex post trovano riscontro nella valutazione d'impatto che accompagna la presente iniziativa, come sintetizzato nella tabella 2.</w:t>
      </w:r>
    </w:p>
    <w:p w14:paraId="4F2F0916" w14:textId="77777777" w:rsidR="005F20F6" w:rsidRPr="008C52C9" w:rsidRDefault="005F20F6" w:rsidP="005F20F6">
      <w:pPr>
        <w:pStyle w:val="ManualHeading3"/>
        <w:rPr>
          <w:noProof/>
        </w:rPr>
      </w:pPr>
      <w:bookmarkStart w:id="34" w:name="_Toc514938672"/>
      <w:bookmarkStart w:id="35" w:name="_Toc520485431"/>
      <w:r w:rsidRPr="008C52C9">
        <w:rPr>
          <w:noProof/>
        </w:rPr>
        <w:t>1.5.4.</w:t>
      </w:r>
      <w:r w:rsidRPr="008C52C9">
        <w:rPr>
          <w:noProof/>
        </w:rPr>
        <w:tab/>
        <w:t>Compatibilità con il quadro finanziario pluriennale ed eventuali sinergie con altri strumenti pertinenti</w:t>
      </w:r>
      <w:bookmarkEnd w:id="34"/>
      <w:bookmarkEnd w:id="35"/>
    </w:p>
    <w:p w14:paraId="5A7C6549" w14:textId="77777777" w:rsidR="005F20F6" w:rsidRPr="008C52C9" w:rsidRDefault="005F20F6" w:rsidP="005F20F6">
      <w:pPr>
        <w:pStyle w:val="Text1"/>
        <w:pBdr>
          <w:top w:val="single" w:sz="4" w:space="1" w:color="auto"/>
          <w:left w:val="single" w:sz="4" w:space="4" w:color="auto"/>
          <w:bottom w:val="single" w:sz="4" w:space="1" w:color="auto"/>
          <w:right w:val="single" w:sz="4" w:space="4" w:color="auto"/>
        </w:pBdr>
        <w:rPr>
          <w:noProof/>
        </w:rPr>
      </w:pPr>
      <w:r w:rsidRPr="008C52C9">
        <w:rPr>
          <w:noProof/>
        </w:rPr>
        <w:t xml:space="preserve">La revisione proposta è un risultato fondamentale della comunicazione della Commissione su una strategia per una mobilità sostenibile e intelligente, che definisce la visione dell'UE per un sistema dei trasporti del futuro più sostenibile. Nella strategia è stato annunciato che la Commissione intende avviare una revisione approfondita della legislazione in vigore, tra l'altro, nel 2022, in relazione all'inquinamento provocato dalle navi (nell'ambito dell'iniziativa faro 2 </w:t>
      </w:r>
      <w:r w:rsidRPr="008C52C9">
        <w:rPr>
          <w:i/>
          <w:noProof/>
        </w:rPr>
        <w:t>Creare aeroporti e porti a emissioni zero</w:t>
      </w:r>
      <w:r w:rsidRPr="008C52C9">
        <w:rPr>
          <w:noProof/>
        </w:rPr>
        <w:t xml:space="preserve">). In questo modo si ottimizzerà la qualità </w:t>
      </w:r>
      <w:r w:rsidRPr="008C52C9">
        <w:rPr>
          <w:noProof/>
        </w:rPr>
        <w:lastRenderedPageBreak/>
        <w:t>dell'aria a livello locale, contribuendo di conseguenza al miglioramento dello stato di salute degli abitati delle zone interessate.</w:t>
      </w:r>
    </w:p>
    <w:p w14:paraId="7146889E" w14:textId="77777777" w:rsidR="005F20F6" w:rsidRPr="008C52C9" w:rsidRDefault="005F20F6" w:rsidP="005F20F6">
      <w:pPr>
        <w:pStyle w:val="Text1"/>
        <w:pBdr>
          <w:top w:val="single" w:sz="4" w:space="1" w:color="auto"/>
          <w:left w:val="single" w:sz="4" w:space="4" w:color="auto"/>
          <w:bottom w:val="single" w:sz="4" w:space="1" w:color="auto"/>
          <w:right w:val="single" w:sz="4" w:space="4" w:color="auto"/>
        </w:pBdr>
        <w:rPr>
          <w:noProof/>
        </w:rPr>
      </w:pPr>
      <w:r w:rsidRPr="008C52C9">
        <w:rPr>
          <w:noProof/>
        </w:rPr>
        <w:t>La revisione proposta creerà sinergie con altri elementi del quadro normativo dell'UE, segnatamente la direttiva (UE) 2019/883 relativa agli impianti portuali di raccolta, la direttiva sulla tutela penale dell'ambiente, la direttiva 2009/21/CE relativa al rispetto degli obblighi dello Stato di bandiera, la direttiva 2009/16/CE relativa al controllo da parte dello Stato di approdo e la direttiva 2009/18/CE relativa alle inchieste sugli incidenti.</w:t>
      </w:r>
    </w:p>
    <w:p w14:paraId="39F41334" w14:textId="77777777" w:rsidR="002D24C0" w:rsidRPr="008C52C9" w:rsidRDefault="005F20F6" w:rsidP="002D24C0">
      <w:pPr>
        <w:pStyle w:val="Text1"/>
        <w:pBdr>
          <w:top w:val="single" w:sz="4" w:space="1" w:color="auto"/>
          <w:left w:val="single" w:sz="4" w:space="4" w:color="auto"/>
          <w:bottom w:val="single" w:sz="4" w:space="1" w:color="auto"/>
          <w:right w:val="single" w:sz="4" w:space="4" w:color="auto"/>
        </w:pBdr>
        <w:rPr>
          <w:noProof/>
        </w:rPr>
      </w:pPr>
      <w:r w:rsidRPr="008C52C9">
        <w:rPr>
          <w:noProof/>
        </w:rPr>
        <w:t>La proposta è compatibile con l'attuale quadro finanziario pluriennale, anche se richiederà una riprogrammazione all'interno della rubrica 1 per quanto riguarda il contributo annuale all'EMSA (compensazione di bilancio mediante una riduzione compensativa della spesa programmata nell'ambito dell'MCE Trasporti (02 03 01)). L'incidenza sul bilancio dell'attuale proposta è già inclusa nel bilancio della proposta di regolamento del Parlamento europeo e del Consiglio sull'Agenzia europea per la sicurezza marittima e che abroga il regolamento (CE) n. 1406/2002, presentata dalla Commissione.</w:t>
      </w:r>
    </w:p>
    <w:p w14:paraId="63918AD4" w14:textId="77777777" w:rsidR="005F20F6" w:rsidRPr="008C52C9" w:rsidRDefault="002D24C0" w:rsidP="002D24C0">
      <w:pPr>
        <w:pStyle w:val="Text1"/>
        <w:pBdr>
          <w:top w:val="single" w:sz="4" w:space="1" w:color="auto"/>
          <w:left w:val="single" w:sz="4" w:space="4" w:color="auto"/>
          <w:bottom w:val="single" w:sz="4" w:space="1" w:color="auto"/>
          <w:right w:val="single" w:sz="4" w:space="4" w:color="auto"/>
        </w:pBdr>
        <w:rPr>
          <w:noProof/>
        </w:rPr>
      </w:pPr>
      <w:r w:rsidRPr="008C52C9">
        <w:rPr>
          <w:noProof/>
        </w:rPr>
        <w:t>L'incidenza sul bilancio al di là dell'attuale QFP rappresenta una panoramica indicativa, fatto salvo il futuro accordo sul QFP.</w:t>
      </w:r>
    </w:p>
    <w:p w14:paraId="6187D828" w14:textId="77777777" w:rsidR="005F20F6" w:rsidRPr="008C52C9" w:rsidRDefault="005F20F6" w:rsidP="005F20F6">
      <w:pPr>
        <w:pStyle w:val="ManualHeading3"/>
        <w:rPr>
          <w:noProof/>
        </w:rPr>
      </w:pPr>
      <w:bookmarkStart w:id="36" w:name="_Toc514938673"/>
      <w:bookmarkStart w:id="37" w:name="_Toc520485432"/>
      <w:r w:rsidRPr="008C52C9">
        <w:rPr>
          <w:noProof/>
        </w:rPr>
        <w:t>1.5.5.</w:t>
      </w:r>
      <w:r w:rsidRPr="008C52C9">
        <w:rPr>
          <w:noProof/>
        </w:rPr>
        <w:tab/>
        <w:t>Valutazione delle varie opzioni di finanziamento disponibili, comprese le possibilità di riassegnazione</w:t>
      </w:r>
      <w:bookmarkEnd w:id="36"/>
      <w:bookmarkEnd w:id="37"/>
    </w:p>
    <w:p w14:paraId="337C5B03" w14:textId="77777777" w:rsidR="005F20F6" w:rsidRPr="008C52C9" w:rsidRDefault="005F20F6" w:rsidP="005F20F6">
      <w:pPr>
        <w:pStyle w:val="Text1"/>
        <w:pBdr>
          <w:top w:val="single" w:sz="4" w:space="1" w:color="auto"/>
          <w:left w:val="single" w:sz="4" w:space="4" w:color="auto"/>
          <w:bottom w:val="single" w:sz="4" w:space="1" w:color="auto"/>
          <w:right w:val="single" w:sz="4" w:space="4" w:color="auto"/>
        </w:pBdr>
        <w:rPr>
          <w:noProof/>
        </w:rPr>
      </w:pPr>
      <w:r w:rsidRPr="008C52C9">
        <w:rPr>
          <w:noProof/>
        </w:rPr>
        <w:t xml:space="preserve">L'incidenza sul bilancio della presente iniziativa si riferisce alle risorse aggiuntive necessarie per la creazione di ulteriori servizi di monitoraggio satellitare per le autorità degli Stati membri attraverso un aggiornamento del servizio CleanSeaNet, la fornitura di attività di formazione e orientamenti, lo sviluppo e la manutenzione di un nuovo strumento di comunicazione, la promozione di ulteriori sviluppi dei servizi marittimi integrati e un nuovo sito web per tenere informato il pubblico sull'inquinamento provocato dalle navi, nonché i relativi compiti di raccolta dati, monitoraggio e comunicazione a norma della direttiva proposta. Si tratta di nuovi compiti per l'EMSA che diventeranno permanenti, mentre quelli esistenti non diminuiranno né saranno parzialmente eliminati. </w:t>
      </w:r>
    </w:p>
    <w:p w14:paraId="44BC4BD2" w14:textId="77777777" w:rsidR="002D24C0" w:rsidRPr="008C52C9" w:rsidRDefault="005F20F6" w:rsidP="002D24C0">
      <w:pPr>
        <w:pStyle w:val="Text1"/>
        <w:pBdr>
          <w:top w:val="single" w:sz="4" w:space="1" w:color="auto"/>
          <w:left w:val="single" w:sz="4" w:space="4" w:color="auto"/>
          <w:bottom w:val="single" w:sz="4" w:space="1" w:color="auto"/>
          <w:right w:val="single" w:sz="4" w:space="4" w:color="auto"/>
        </w:pBdr>
        <w:rPr>
          <w:noProof/>
        </w:rPr>
      </w:pPr>
      <w:r w:rsidRPr="008C52C9">
        <w:rPr>
          <w:noProof/>
        </w:rPr>
        <w:t>Il fabbisogno supplementare di risorse umane non può essere soddisfatto mediante la riassegnazione, mentre il fabbisogno di bilancio supplementare sarà soddisfatto mediante la compensazione con programmi esistenti gestiti dalla DG MOVE nell'ambito dell'attuale quadro finanziario pluriennale.</w:t>
      </w:r>
    </w:p>
    <w:p w14:paraId="06B586F1" w14:textId="77777777" w:rsidR="002D24C0" w:rsidRPr="008C52C9" w:rsidRDefault="002D24C0" w:rsidP="002D24C0">
      <w:pPr>
        <w:pStyle w:val="Text1"/>
        <w:pBdr>
          <w:top w:val="single" w:sz="4" w:space="1" w:color="auto"/>
          <w:left w:val="single" w:sz="4" w:space="4" w:color="auto"/>
          <w:bottom w:val="single" w:sz="4" w:space="1" w:color="auto"/>
          <w:right w:val="single" w:sz="4" w:space="4" w:color="auto"/>
        </w:pBdr>
        <w:rPr>
          <w:noProof/>
        </w:rPr>
      </w:pPr>
      <w:r w:rsidRPr="008C52C9">
        <w:rPr>
          <w:noProof/>
        </w:rPr>
        <w:t>L'aumento degli stanziamenti per l'EMSA sarà bilanciato da una riduzione compensativa della spesa programmata nell'ambito dell'MCE Trasporti (02 03 01). L'incidenza sul bilancio dell'attuale proposta è già inclusa nel bilancio della proposta di regolamento del Parlamento europeo e del Consiglio sull'Agenzia europea per la sicurezza marittima e che abroga il regolamento (CE) n. 1406/2002, presentata dalla Commissione.</w:t>
      </w:r>
    </w:p>
    <w:p w14:paraId="7D06823F" w14:textId="77777777" w:rsidR="002D24C0" w:rsidRPr="008C52C9" w:rsidRDefault="002D24C0" w:rsidP="002D24C0">
      <w:pPr>
        <w:pStyle w:val="Text1"/>
        <w:pBdr>
          <w:top w:val="single" w:sz="4" w:space="1" w:color="auto"/>
          <w:left w:val="single" w:sz="4" w:space="4" w:color="auto"/>
          <w:bottom w:val="single" w:sz="4" w:space="1" w:color="auto"/>
          <w:right w:val="single" w:sz="4" w:space="4" w:color="auto"/>
        </w:pBdr>
        <w:rPr>
          <w:noProof/>
        </w:rPr>
      </w:pPr>
      <w:r w:rsidRPr="008C52C9">
        <w:rPr>
          <w:noProof/>
        </w:rPr>
        <w:t>L'incidenza sul bilancio al di là dell'attuale QFP rappresenta una panoramica indicativa, fatto salvo il futuro accordo sul QFP.</w:t>
      </w:r>
    </w:p>
    <w:p w14:paraId="7DBF9BA6" w14:textId="77777777" w:rsidR="005F20F6" w:rsidRPr="008C52C9" w:rsidRDefault="005F20F6" w:rsidP="005F20F6">
      <w:pPr>
        <w:pStyle w:val="Text1"/>
        <w:rPr>
          <w:noProof/>
        </w:rPr>
      </w:pPr>
    </w:p>
    <w:p w14:paraId="3AC33DBE" w14:textId="77777777" w:rsidR="005F20F6" w:rsidRPr="008C52C9" w:rsidRDefault="005F20F6" w:rsidP="005F20F6">
      <w:pPr>
        <w:pStyle w:val="ManualHeading2"/>
        <w:rPr>
          <w:bCs/>
          <w:noProof/>
          <w:szCs w:val="24"/>
        </w:rPr>
      </w:pPr>
      <w:r w:rsidRPr="008C52C9">
        <w:rPr>
          <w:noProof/>
        </w:rPr>
        <w:br w:type="page"/>
      </w:r>
      <w:bookmarkStart w:id="38" w:name="_Toc514938674"/>
      <w:bookmarkStart w:id="39" w:name="_Toc520485433"/>
      <w:r w:rsidRPr="008C52C9">
        <w:rPr>
          <w:noProof/>
        </w:rPr>
        <w:lastRenderedPageBreak/>
        <w:t>1.6.</w:t>
      </w:r>
      <w:r w:rsidRPr="008C52C9">
        <w:rPr>
          <w:noProof/>
        </w:rPr>
        <w:tab/>
        <w:t>Durata e incidenza finanziaria della proposta/iniziativa</w:t>
      </w:r>
      <w:bookmarkEnd w:id="38"/>
      <w:bookmarkEnd w:id="39"/>
    </w:p>
    <w:p w14:paraId="6F248766" w14:textId="77777777" w:rsidR="005F20F6" w:rsidRPr="008C52C9" w:rsidRDefault="005F20F6" w:rsidP="005F20F6">
      <w:pPr>
        <w:pStyle w:val="Text1"/>
        <w:rPr>
          <w:noProof/>
        </w:rPr>
      </w:pPr>
      <w:r w:rsidRPr="008C52C9">
        <w:rPr>
          <w:noProof/>
        </w:rPr>
        <w:sym w:font="Wingdings" w:char="F0A8"/>
      </w:r>
      <w:r w:rsidRPr="008C52C9">
        <w:rPr>
          <w:b/>
          <w:i/>
          <w:noProof/>
        </w:rPr>
        <w:t xml:space="preserve"> </w:t>
      </w:r>
      <w:r w:rsidRPr="008C52C9">
        <w:rPr>
          <w:b/>
          <w:noProof/>
        </w:rPr>
        <w:t xml:space="preserve">durata limitata </w:t>
      </w:r>
    </w:p>
    <w:p w14:paraId="676B4B0A" w14:textId="77777777" w:rsidR="005F20F6" w:rsidRPr="008C52C9" w:rsidRDefault="005F20F6" w:rsidP="00425994">
      <w:pPr>
        <w:pStyle w:val="ListDash2"/>
        <w:rPr>
          <w:noProof/>
        </w:rPr>
      </w:pPr>
      <w:r w:rsidRPr="008C52C9">
        <w:rPr>
          <w:noProof/>
        </w:rPr>
        <w:sym w:font="Wingdings" w:char="F0A8"/>
      </w:r>
      <w:r w:rsidRPr="008C52C9">
        <w:rPr>
          <w:noProof/>
        </w:rPr>
        <w:tab/>
        <w:t xml:space="preserve">Proposta/iniziativa in vigore a decorrere dal [GG/MM]AAAA fino al [GG/MM]AAAA </w:t>
      </w:r>
    </w:p>
    <w:p w14:paraId="1A2AA98F" w14:textId="77777777" w:rsidR="005F20F6" w:rsidRPr="008C52C9" w:rsidRDefault="005F20F6" w:rsidP="00425994">
      <w:pPr>
        <w:pStyle w:val="ListDash2"/>
        <w:rPr>
          <w:noProof/>
        </w:rPr>
      </w:pPr>
      <w:r w:rsidRPr="008C52C9">
        <w:rPr>
          <w:noProof/>
        </w:rPr>
        <w:sym w:font="Wingdings" w:char="F0A8"/>
      </w:r>
      <w:r w:rsidRPr="008C52C9">
        <w:rPr>
          <w:noProof/>
        </w:rPr>
        <w:tab/>
        <w:t>Incidenza finanziaria dal AAAA al AAAA</w:t>
      </w:r>
    </w:p>
    <w:p w14:paraId="71B78E24" w14:textId="77777777" w:rsidR="005F20F6" w:rsidRPr="008C52C9" w:rsidRDefault="005F20F6" w:rsidP="005F20F6">
      <w:pPr>
        <w:pStyle w:val="Text1"/>
        <w:rPr>
          <w:noProof/>
        </w:rPr>
      </w:pPr>
      <w:r w:rsidRPr="008C52C9">
        <w:rPr>
          <w:noProof/>
        </w:rPr>
        <w:sym w:font="Wingdings" w:char="F0FE"/>
      </w:r>
      <w:r w:rsidRPr="008C52C9">
        <w:rPr>
          <w:b/>
          <w:i/>
          <w:noProof/>
        </w:rPr>
        <w:t xml:space="preserve"> </w:t>
      </w:r>
      <w:r w:rsidRPr="008C52C9">
        <w:rPr>
          <w:b/>
          <w:noProof/>
        </w:rPr>
        <w:t>durata illimitata</w:t>
      </w:r>
    </w:p>
    <w:p w14:paraId="29D4E7F3" w14:textId="77777777" w:rsidR="005F20F6" w:rsidRPr="008C52C9" w:rsidRDefault="005F20F6" w:rsidP="00425994">
      <w:pPr>
        <w:pStyle w:val="ListDash1"/>
        <w:rPr>
          <w:noProof/>
        </w:rPr>
      </w:pPr>
      <w:r w:rsidRPr="008C52C9">
        <w:rPr>
          <w:noProof/>
        </w:rPr>
        <w:t>Attuazione con un periodo di avviamento a partire dal 2025</w:t>
      </w:r>
    </w:p>
    <w:p w14:paraId="67D32C44" w14:textId="77777777" w:rsidR="005F20F6" w:rsidRPr="008C52C9" w:rsidRDefault="005F20F6" w:rsidP="00425994">
      <w:pPr>
        <w:pStyle w:val="ListDash1"/>
        <w:rPr>
          <w:noProof/>
        </w:rPr>
      </w:pPr>
      <w:r w:rsidRPr="008C52C9">
        <w:rPr>
          <w:noProof/>
        </w:rPr>
        <w:t>e successivo funzionamento a pieno ritmo.</w:t>
      </w:r>
    </w:p>
    <w:p w14:paraId="2B56287C" w14:textId="20D229E6" w:rsidR="005F20F6" w:rsidRPr="008C52C9" w:rsidRDefault="005F20F6" w:rsidP="005F20F6">
      <w:pPr>
        <w:pStyle w:val="ManualHeading2"/>
        <w:rPr>
          <w:bCs/>
          <w:noProof/>
          <w:szCs w:val="24"/>
        </w:rPr>
      </w:pPr>
      <w:bookmarkStart w:id="40" w:name="_Toc514938675"/>
      <w:bookmarkStart w:id="41" w:name="_Toc520485434"/>
      <w:r w:rsidRPr="008C52C9">
        <w:rPr>
          <w:noProof/>
        </w:rPr>
        <w:t>1.7.</w:t>
      </w:r>
      <w:r w:rsidRPr="008C52C9">
        <w:rPr>
          <w:noProof/>
        </w:rPr>
        <w:tab/>
        <w:t>Metodi di esecuzione del bilancio previsti</w:t>
      </w:r>
      <w:r w:rsidRPr="008C52C9">
        <w:rPr>
          <w:rStyle w:val="FootnoteReference"/>
          <w:noProof/>
        </w:rPr>
        <w:footnoteReference w:id="46"/>
      </w:r>
      <w:bookmarkEnd w:id="40"/>
      <w:bookmarkEnd w:id="41"/>
    </w:p>
    <w:p w14:paraId="235BF996" w14:textId="77777777" w:rsidR="005F20F6" w:rsidRPr="008C52C9" w:rsidRDefault="005F20F6" w:rsidP="005F20F6">
      <w:pPr>
        <w:pStyle w:val="Text1"/>
        <w:rPr>
          <w:noProof/>
        </w:rPr>
      </w:pPr>
      <w:r w:rsidRPr="008C52C9">
        <w:rPr>
          <w:noProof/>
        </w:rPr>
        <w:sym w:font="Wingdings" w:char="F0A8"/>
      </w:r>
      <w:r w:rsidRPr="008C52C9">
        <w:rPr>
          <w:i/>
          <w:noProof/>
        </w:rPr>
        <w:t xml:space="preserve"> </w:t>
      </w:r>
      <w:r w:rsidRPr="008C52C9">
        <w:rPr>
          <w:b/>
          <w:noProof/>
        </w:rPr>
        <w:t>Gestione diretta</w:t>
      </w:r>
      <w:r w:rsidRPr="008C52C9">
        <w:rPr>
          <w:noProof/>
        </w:rPr>
        <w:t xml:space="preserve"> a opera della Commissione</w:t>
      </w:r>
    </w:p>
    <w:p w14:paraId="1A82AF7C" w14:textId="77777777" w:rsidR="005F20F6" w:rsidRPr="008C52C9" w:rsidRDefault="005F20F6" w:rsidP="00425994">
      <w:pPr>
        <w:pStyle w:val="ListDash2"/>
        <w:rPr>
          <w:noProof/>
        </w:rPr>
      </w:pPr>
      <w:r w:rsidRPr="008C52C9">
        <w:rPr>
          <w:noProof/>
        </w:rPr>
        <w:sym w:font="Wingdings" w:char="F0A8"/>
      </w:r>
      <w:r w:rsidRPr="008C52C9">
        <w:rPr>
          <w:noProof/>
        </w:rPr>
        <w:tab/>
        <w:t xml:space="preserve">agenzie esecutive </w:t>
      </w:r>
    </w:p>
    <w:p w14:paraId="2292E02C" w14:textId="77777777" w:rsidR="005F20F6" w:rsidRPr="008C52C9" w:rsidRDefault="005F20F6" w:rsidP="005F20F6">
      <w:pPr>
        <w:pStyle w:val="Text1"/>
        <w:rPr>
          <w:noProof/>
        </w:rPr>
      </w:pPr>
      <w:r w:rsidRPr="008C52C9">
        <w:rPr>
          <w:noProof/>
        </w:rPr>
        <w:sym w:font="Wingdings" w:char="F0A8"/>
      </w:r>
      <w:r w:rsidRPr="008C52C9">
        <w:rPr>
          <w:b/>
          <w:i/>
          <w:noProof/>
        </w:rPr>
        <w:t xml:space="preserve"> </w:t>
      </w:r>
      <w:r w:rsidRPr="008C52C9">
        <w:rPr>
          <w:b/>
          <w:noProof/>
        </w:rPr>
        <w:t>Gestione concorrente</w:t>
      </w:r>
      <w:r w:rsidRPr="008C52C9">
        <w:rPr>
          <w:noProof/>
        </w:rPr>
        <w:t xml:space="preserve"> con gli Stati membri </w:t>
      </w:r>
    </w:p>
    <w:p w14:paraId="77AEAD55" w14:textId="77777777" w:rsidR="005F20F6" w:rsidRPr="008C52C9" w:rsidRDefault="005F20F6" w:rsidP="005F20F6">
      <w:pPr>
        <w:pStyle w:val="Text1"/>
        <w:rPr>
          <w:noProof/>
        </w:rPr>
      </w:pPr>
      <w:r w:rsidRPr="008C52C9">
        <w:rPr>
          <w:noProof/>
        </w:rPr>
        <w:sym w:font="Wingdings" w:char="F0FE"/>
      </w:r>
      <w:r w:rsidRPr="008C52C9">
        <w:rPr>
          <w:i/>
          <w:noProof/>
        </w:rPr>
        <w:t xml:space="preserve"> </w:t>
      </w:r>
      <w:r w:rsidRPr="008C52C9">
        <w:rPr>
          <w:b/>
          <w:noProof/>
        </w:rPr>
        <w:t>Gestione indiretta</w:t>
      </w:r>
      <w:r w:rsidRPr="008C52C9">
        <w:rPr>
          <w:noProof/>
        </w:rPr>
        <w:t xml:space="preserve"> affidando compiti di esecuzione del bilancio:</w:t>
      </w:r>
    </w:p>
    <w:p w14:paraId="033C7C4F" w14:textId="77777777" w:rsidR="005F20F6" w:rsidRPr="008C52C9" w:rsidRDefault="005F20F6" w:rsidP="005F20F6">
      <w:pPr>
        <w:pStyle w:val="Text1"/>
        <w:rPr>
          <w:noProof/>
        </w:rPr>
      </w:pPr>
      <w:r w:rsidRPr="008C52C9">
        <w:rPr>
          <w:noProof/>
        </w:rPr>
        <w:sym w:font="Wingdings" w:char="F0A8"/>
      </w:r>
      <w:r w:rsidRPr="008C52C9">
        <w:rPr>
          <w:noProof/>
        </w:rPr>
        <w:t xml:space="preserve"> a organizzazioni internazionali e loro agenzie (specificare);</w:t>
      </w:r>
    </w:p>
    <w:p w14:paraId="4279A1DD" w14:textId="77777777" w:rsidR="005F20F6" w:rsidRPr="008C52C9" w:rsidRDefault="005F20F6" w:rsidP="005F20F6">
      <w:pPr>
        <w:pStyle w:val="Text1"/>
        <w:rPr>
          <w:noProof/>
        </w:rPr>
      </w:pPr>
      <w:r w:rsidRPr="008C52C9">
        <w:rPr>
          <w:noProof/>
        </w:rPr>
        <w:sym w:font="Wingdings" w:char="F0A8"/>
      </w:r>
      <w:r w:rsidRPr="008C52C9">
        <w:rPr>
          <w:noProof/>
        </w:rPr>
        <w:t xml:space="preserve"> alla BEI e al Fondo europeo per gli investimenti;</w:t>
      </w:r>
    </w:p>
    <w:p w14:paraId="4F4379D9" w14:textId="77777777" w:rsidR="005F20F6" w:rsidRPr="008C52C9" w:rsidRDefault="005F20F6" w:rsidP="005F20F6">
      <w:pPr>
        <w:pStyle w:val="Text1"/>
        <w:rPr>
          <w:noProof/>
        </w:rPr>
      </w:pPr>
      <w:r w:rsidRPr="008C52C9">
        <w:rPr>
          <w:noProof/>
        </w:rPr>
        <w:sym w:font="Wingdings" w:char="F0FE"/>
      </w:r>
      <w:r w:rsidRPr="008C52C9">
        <w:rPr>
          <w:noProof/>
        </w:rPr>
        <w:t xml:space="preserve"> agli organismi di cui agli articoli 70 e 71;</w:t>
      </w:r>
    </w:p>
    <w:p w14:paraId="6AA64D26" w14:textId="77777777" w:rsidR="005F20F6" w:rsidRPr="008C52C9" w:rsidRDefault="005F20F6" w:rsidP="005F20F6">
      <w:pPr>
        <w:pStyle w:val="Text1"/>
        <w:rPr>
          <w:noProof/>
        </w:rPr>
      </w:pPr>
      <w:r w:rsidRPr="008C52C9">
        <w:rPr>
          <w:noProof/>
        </w:rPr>
        <w:sym w:font="Wingdings" w:char="F0A8"/>
      </w:r>
      <w:r w:rsidRPr="008C52C9">
        <w:rPr>
          <w:noProof/>
        </w:rPr>
        <w:t xml:space="preserve"> a organismi di diritto pubblico;</w:t>
      </w:r>
    </w:p>
    <w:p w14:paraId="08EAAA69" w14:textId="77777777" w:rsidR="005F20F6" w:rsidRPr="008C52C9" w:rsidRDefault="005F20F6" w:rsidP="005F20F6">
      <w:pPr>
        <w:pStyle w:val="Text1"/>
        <w:rPr>
          <w:noProof/>
        </w:rPr>
      </w:pPr>
      <w:r w:rsidRPr="008C52C9">
        <w:rPr>
          <w:noProof/>
        </w:rPr>
        <w:sym w:font="Wingdings" w:char="F0A8"/>
      </w:r>
      <w:r w:rsidRPr="008C52C9">
        <w:rPr>
          <w:noProof/>
        </w:rPr>
        <w:t xml:space="preserve"> a organismi di diritto privato investiti di attribuzioni di servizio pubblico nella misura in cui sono dotati di sufficienti garanzie finanziarie;</w:t>
      </w:r>
    </w:p>
    <w:p w14:paraId="2D983E6F" w14:textId="77777777" w:rsidR="005F20F6" w:rsidRPr="008C52C9" w:rsidRDefault="005F20F6" w:rsidP="005F20F6">
      <w:pPr>
        <w:pStyle w:val="Text1"/>
        <w:rPr>
          <w:noProof/>
        </w:rPr>
      </w:pPr>
      <w:r w:rsidRPr="008C52C9">
        <w:rPr>
          <w:noProof/>
        </w:rPr>
        <w:sym w:font="Wingdings" w:char="F0A8"/>
      </w:r>
      <w:r w:rsidRPr="008C52C9">
        <w:rPr>
          <w:noProof/>
        </w:rPr>
        <w:t xml:space="preserve"> a organismi di diritto privato di uno Stato membro preposti all'attuazione di un partenariato pubblico-privato e che sono dotati di sufficienti garanzie finanziarie;</w:t>
      </w:r>
    </w:p>
    <w:p w14:paraId="449FFC52" w14:textId="77777777" w:rsidR="005F20F6" w:rsidRPr="008C52C9" w:rsidRDefault="005F20F6" w:rsidP="005F20F6">
      <w:pPr>
        <w:pStyle w:val="Text1"/>
        <w:rPr>
          <w:noProof/>
        </w:rPr>
      </w:pPr>
      <w:r w:rsidRPr="008C52C9">
        <w:rPr>
          <w:noProof/>
        </w:rPr>
        <w:sym w:font="Wingdings" w:char="F0A8"/>
      </w:r>
      <w:r w:rsidRPr="008C52C9">
        <w:rPr>
          <w:noProof/>
        </w:rPr>
        <w:t xml:space="preserve"> alle persone incaricate di attuare azioni specifiche della PESC a norma del titolo V TUE e indicate nel pertinente atto di base.</w:t>
      </w:r>
    </w:p>
    <w:p w14:paraId="489FA104" w14:textId="77777777" w:rsidR="005F20F6" w:rsidRPr="008C52C9" w:rsidRDefault="005F20F6" w:rsidP="005F20F6">
      <w:pPr>
        <w:rPr>
          <w:noProof/>
        </w:rPr>
      </w:pPr>
      <w:r w:rsidRPr="008C52C9">
        <w:rPr>
          <w:noProof/>
        </w:rPr>
        <w:t>Osservazioni</w:t>
      </w:r>
    </w:p>
    <w:p w14:paraId="2EF0FE61" w14:textId="77777777" w:rsidR="005F20F6" w:rsidRPr="008C52C9" w:rsidRDefault="005F20F6" w:rsidP="005F20F6">
      <w:pPr>
        <w:pBdr>
          <w:top w:val="single" w:sz="4" w:space="1" w:color="auto"/>
          <w:left w:val="single" w:sz="4" w:space="4" w:color="auto"/>
          <w:bottom w:val="single" w:sz="4" w:space="1" w:color="auto"/>
          <w:right w:val="single" w:sz="4" w:space="4" w:color="auto"/>
        </w:pBdr>
        <w:rPr>
          <w:noProof/>
        </w:rPr>
      </w:pPr>
      <w:r w:rsidRPr="008C52C9">
        <w:rPr>
          <w:noProof/>
        </w:rPr>
        <w:t>La gestione della direttiva proposta sarà effettuata nel complesso dai servizi della Commissione assistiti, se del caso, dall'Agenzia europea per la sicurezza marittima.</w:t>
      </w:r>
    </w:p>
    <w:p w14:paraId="6E5BA69A" w14:textId="77777777" w:rsidR="005F20F6" w:rsidRPr="008C52C9" w:rsidRDefault="005F20F6" w:rsidP="005F20F6">
      <w:pPr>
        <w:pBdr>
          <w:top w:val="single" w:sz="4" w:space="1" w:color="auto"/>
          <w:left w:val="single" w:sz="4" w:space="4" w:color="auto"/>
          <w:bottom w:val="single" w:sz="4" w:space="1" w:color="auto"/>
          <w:right w:val="single" w:sz="4" w:space="4" w:color="auto"/>
        </w:pBdr>
        <w:rPr>
          <w:noProof/>
        </w:rPr>
      </w:pPr>
      <w:r w:rsidRPr="008C52C9">
        <w:rPr>
          <w:noProof/>
        </w:rPr>
        <w:t>Gli Stati membri saranno tenuti a recepire le disposizioni della direttiva entro il rispettivo termine.</w:t>
      </w:r>
    </w:p>
    <w:p w14:paraId="4D135A34" w14:textId="77777777" w:rsidR="005F20F6" w:rsidRPr="008C52C9" w:rsidRDefault="005F20F6" w:rsidP="005F20F6">
      <w:pPr>
        <w:rPr>
          <w:noProof/>
        </w:rPr>
      </w:pPr>
      <w:r w:rsidRPr="008C52C9">
        <w:rPr>
          <w:noProof/>
        </w:rPr>
        <w:t xml:space="preserve"> </w:t>
      </w:r>
    </w:p>
    <w:p w14:paraId="7A786B42" w14:textId="77777777" w:rsidR="005F20F6" w:rsidRPr="008C52C9" w:rsidRDefault="005F20F6" w:rsidP="005F20F6">
      <w:pPr>
        <w:spacing w:before="0" w:after="0"/>
        <w:jc w:val="left"/>
        <w:rPr>
          <w:noProof/>
        </w:rPr>
        <w:sectPr w:rsidR="005F20F6" w:rsidRPr="008C52C9" w:rsidSect="001A4546">
          <w:pgSz w:w="12240" w:h="15840"/>
          <w:pgMar w:top="794" w:right="907" w:bottom="851" w:left="1361" w:header="510" w:footer="454" w:gutter="0"/>
          <w:cols w:space="720"/>
          <w:docGrid w:linePitch="326"/>
        </w:sectPr>
      </w:pPr>
    </w:p>
    <w:p w14:paraId="78B7B22B" w14:textId="77777777" w:rsidR="005F20F6" w:rsidRPr="008C52C9" w:rsidRDefault="005F20F6" w:rsidP="005F20F6">
      <w:pPr>
        <w:pStyle w:val="ManualHeading1"/>
        <w:rPr>
          <w:bCs/>
          <w:noProof/>
          <w:szCs w:val="24"/>
        </w:rPr>
      </w:pPr>
      <w:bookmarkStart w:id="42" w:name="_Toc514938676"/>
      <w:bookmarkStart w:id="43" w:name="_Toc520485435"/>
      <w:r w:rsidRPr="008C52C9">
        <w:rPr>
          <w:noProof/>
        </w:rPr>
        <w:lastRenderedPageBreak/>
        <w:t>2.</w:t>
      </w:r>
      <w:r w:rsidRPr="008C52C9">
        <w:rPr>
          <w:noProof/>
        </w:rPr>
        <w:tab/>
        <w:t>MISURE DI GESTIONE</w:t>
      </w:r>
      <w:bookmarkEnd w:id="42"/>
      <w:bookmarkEnd w:id="43"/>
      <w:r w:rsidRPr="008C52C9">
        <w:rPr>
          <w:noProof/>
        </w:rPr>
        <w:t xml:space="preserve"> </w:t>
      </w:r>
    </w:p>
    <w:p w14:paraId="3A3B0ABE" w14:textId="77777777" w:rsidR="005F20F6" w:rsidRPr="008C52C9" w:rsidRDefault="005F20F6" w:rsidP="005F20F6">
      <w:pPr>
        <w:pStyle w:val="ManualHeading2"/>
        <w:rPr>
          <w:bCs/>
          <w:noProof/>
          <w:szCs w:val="24"/>
        </w:rPr>
      </w:pPr>
      <w:bookmarkStart w:id="44" w:name="_Toc514938677"/>
      <w:bookmarkStart w:id="45" w:name="_Toc520485436"/>
      <w:r w:rsidRPr="008C52C9">
        <w:rPr>
          <w:noProof/>
        </w:rPr>
        <w:t>2.1.</w:t>
      </w:r>
      <w:r w:rsidRPr="008C52C9">
        <w:rPr>
          <w:noProof/>
        </w:rPr>
        <w:tab/>
        <w:t>Disposizioni in materia di monitoraggio e di relazioni</w:t>
      </w:r>
      <w:bookmarkEnd w:id="44"/>
      <w:bookmarkEnd w:id="45"/>
      <w:r w:rsidRPr="008C52C9">
        <w:rPr>
          <w:noProof/>
        </w:rPr>
        <w:t xml:space="preserve"> </w:t>
      </w:r>
    </w:p>
    <w:p w14:paraId="0617DCE4" w14:textId="77777777" w:rsidR="005F20F6" w:rsidRPr="008C52C9" w:rsidRDefault="005F20F6" w:rsidP="005F20F6">
      <w:pPr>
        <w:pStyle w:val="Text1"/>
        <w:rPr>
          <w:i/>
          <w:noProof/>
          <w:sz w:val="20"/>
        </w:rPr>
      </w:pPr>
      <w:r w:rsidRPr="008C52C9">
        <w:rPr>
          <w:i/>
          <w:noProof/>
          <w:sz w:val="20"/>
        </w:rPr>
        <w:t>Precisare frequenza e condizioni.</w:t>
      </w:r>
    </w:p>
    <w:p w14:paraId="5C81BD57" w14:textId="77777777" w:rsidR="005F20F6" w:rsidRPr="008C52C9" w:rsidRDefault="005F20F6" w:rsidP="005F20F6">
      <w:pPr>
        <w:pStyle w:val="Text1"/>
        <w:pBdr>
          <w:top w:val="single" w:sz="4" w:space="1" w:color="auto"/>
          <w:left w:val="single" w:sz="4" w:space="4" w:color="auto"/>
          <w:bottom w:val="single" w:sz="4" w:space="1" w:color="auto"/>
          <w:right w:val="single" w:sz="4" w:space="4" w:color="auto"/>
        </w:pBdr>
        <w:rPr>
          <w:noProof/>
        </w:rPr>
      </w:pPr>
      <w:r w:rsidRPr="008C52C9">
        <w:rPr>
          <w:noProof/>
        </w:rPr>
        <w:t>La Commissione e/o l'EMSA verificheranno che gli Stati membri forniscano un riscontro alle segnalazioni inviate tramite CleanSeaNet in modo tempestivo ed efficace e che le informazioni sulla raccolta degli elementi di prova e sulle sanzioni siano caricate regolarmente sullo strumento di comunicazione. Sarà inoltre sviluppato un sito web dell'UE con indicatori di base sul tasso di attuazione e sulle principali informazioni non riservate, aggiornato regolarmente con i dati dello strumento di comunicazione per tenere informato il pubblico sull'attuazione e sugli incidenti di inquinamento.</w:t>
      </w:r>
    </w:p>
    <w:p w14:paraId="78499A61" w14:textId="77777777" w:rsidR="005F20F6" w:rsidRPr="008C52C9" w:rsidRDefault="005F20F6" w:rsidP="005F20F6">
      <w:pPr>
        <w:pStyle w:val="Text1"/>
        <w:pBdr>
          <w:top w:val="single" w:sz="4" w:space="1" w:color="auto"/>
          <w:left w:val="single" w:sz="4" w:space="4" w:color="auto"/>
          <w:bottom w:val="single" w:sz="4" w:space="1" w:color="auto"/>
          <w:right w:val="single" w:sz="4" w:space="4" w:color="auto"/>
        </w:pBdr>
        <w:rPr>
          <w:noProof/>
        </w:rPr>
      </w:pPr>
      <w:r w:rsidRPr="008C52C9">
        <w:rPr>
          <w:noProof/>
        </w:rPr>
        <w:t xml:space="preserve">L'EMSA, per conto della Commissione, effettuerà visite negli Stati membri per verificare le operazioni sul campo. Le rispettive relazioni sulle visite individueranno eventuali lacune e aree di miglioramento. L'EMSA svolgerà anche un'analisi orizzontale e offrirà assistenza tecnica, fornendo un'indicazione del funzionamento della legislazione e individuando le lacune e le misure adottabili per porvi rimedio, e riferirà alla Commissione e agli Stati membri. </w:t>
      </w:r>
    </w:p>
    <w:p w14:paraId="3AB46B08" w14:textId="77777777" w:rsidR="005F20F6" w:rsidRPr="008C52C9" w:rsidRDefault="005F20F6" w:rsidP="005F20F6">
      <w:pPr>
        <w:pStyle w:val="Text1"/>
        <w:pBdr>
          <w:top w:val="single" w:sz="4" w:space="1" w:color="auto"/>
          <w:left w:val="single" w:sz="4" w:space="4" w:color="auto"/>
          <w:bottom w:val="single" w:sz="4" w:space="1" w:color="auto"/>
          <w:right w:val="single" w:sz="4" w:space="4" w:color="auto"/>
        </w:pBdr>
        <w:rPr>
          <w:noProof/>
        </w:rPr>
      </w:pPr>
      <w:r w:rsidRPr="008C52C9">
        <w:rPr>
          <w:noProof/>
        </w:rPr>
        <w:t xml:space="preserve">La Commissione, nell'ambito di un gruppo di esperti, elaborerà atti di esecuzione e orientamenti interpretativi per garantire un'attuazione armonizzata da parte degli Stati membri. </w:t>
      </w:r>
    </w:p>
    <w:p w14:paraId="367AEC0C" w14:textId="77777777" w:rsidR="005F20F6" w:rsidRPr="008C52C9" w:rsidRDefault="005F20F6" w:rsidP="005F20F6">
      <w:pPr>
        <w:pStyle w:val="ManualHeading2"/>
        <w:rPr>
          <w:bCs/>
          <w:noProof/>
          <w:szCs w:val="24"/>
        </w:rPr>
      </w:pPr>
      <w:bookmarkStart w:id="46" w:name="_Toc514938678"/>
      <w:bookmarkStart w:id="47" w:name="_Toc520485437"/>
      <w:r w:rsidRPr="008C52C9">
        <w:rPr>
          <w:noProof/>
        </w:rPr>
        <w:t>2.2.</w:t>
      </w:r>
      <w:r w:rsidRPr="008C52C9">
        <w:rPr>
          <w:noProof/>
        </w:rPr>
        <w:tab/>
        <w:t>Sistema di gestione e di controllo</w:t>
      </w:r>
      <w:bookmarkEnd w:id="46"/>
      <w:bookmarkEnd w:id="47"/>
      <w:r w:rsidRPr="008C52C9">
        <w:rPr>
          <w:noProof/>
        </w:rPr>
        <w:t xml:space="preserve"> </w:t>
      </w:r>
    </w:p>
    <w:p w14:paraId="24BE4F8B" w14:textId="77777777" w:rsidR="005F20F6" w:rsidRPr="008C52C9" w:rsidRDefault="005F20F6" w:rsidP="005F20F6">
      <w:pPr>
        <w:pStyle w:val="ManualHeading3"/>
        <w:rPr>
          <w:noProof/>
        </w:rPr>
      </w:pPr>
      <w:bookmarkStart w:id="48" w:name="_Toc514938679"/>
      <w:bookmarkStart w:id="49" w:name="_Toc520485438"/>
      <w:r w:rsidRPr="008C52C9">
        <w:rPr>
          <w:noProof/>
        </w:rPr>
        <w:t>2.2.1.</w:t>
      </w:r>
      <w:r w:rsidRPr="008C52C9">
        <w:rPr>
          <w:noProof/>
        </w:rPr>
        <w:tab/>
        <w:t>Giustificazione della o delle modalità di gestione, del meccanismo o dei meccanismi di attuazione del finanziamento, delle modalità di pagamento e della strategia di controllo proposti</w:t>
      </w:r>
      <w:bookmarkEnd w:id="48"/>
      <w:bookmarkEnd w:id="49"/>
    </w:p>
    <w:p w14:paraId="33FE5067" w14:textId="77777777" w:rsidR="005F20F6" w:rsidRPr="008C52C9" w:rsidRDefault="005F20F6" w:rsidP="005F20F6">
      <w:pPr>
        <w:pStyle w:val="Text1"/>
        <w:pBdr>
          <w:top w:val="single" w:sz="4" w:space="1" w:color="auto"/>
          <w:left w:val="single" w:sz="4" w:space="4" w:color="auto"/>
          <w:bottom w:val="single" w:sz="4" w:space="1" w:color="auto"/>
          <w:right w:val="single" w:sz="4" w:space="4" w:color="auto"/>
        </w:pBdr>
        <w:rPr>
          <w:noProof/>
        </w:rPr>
      </w:pPr>
      <w:r w:rsidRPr="008C52C9">
        <w:rPr>
          <w:noProof/>
        </w:rPr>
        <w:t>La Commissione sarà responsabile in generale dell'attuazione della direttiva proposta, nonché di valutarne l'efficacia e, se necessario, di proporre revisioni. La Commissione sarà assistita dall'EMSA, se del caso, nella fornitura dei servizi informatici e nello sviluppo degli strumenti informatici necessari per le disposizioni in materia di comunicazione, monitoraggio e verifica della direttiva proposta, nonché nell'organizzazione di attività di formazione. Gli Stati membri saranno tenuti a recepire la direttiva nella loro legislazione nazionale entro il termine indicato nella direttiva. Gli Stati membri saranno inoltre tenuti a garantire l'applicazione, in particolare applicando sanzioni amministrative in caso di non conformità. Le attività di controllo dell'applicazione possono essere svolte nell'ambito delle ispezioni esistenti, in particolare durante il controllo da parte dello Stato di approdo.</w:t>
      </w:r>
    </w:p>
    <w:p w14:paraId="3E5F4F24" w14:textId="77777777" w:rsidR="005F20F6" w:rsidRPr="008C52C9" w:rsidRDefault="005F20F6" w:rsidP="005F20F6">
      <w:pPr>
        <w:pStyle w:val="ManualHeading3"/>
        <w:rPr>
          <w:noProof/>
        </w:rPr>
      </w:pPr>
      <w:bookmarkStart w:id="50" w:name="_Toc514938680"/>
      <w:bookmarkStart w:id="51" w:name="_Toc520485439"/>
      <w:r w:rsidRPr="008C52C9">
        <w:rPr>
          <w:noProof/>
        </w:rPr>
        <w:t>2.2.2.</w:t>
      </w:r>
      <w:r w:rsidRPr="008C52C9">
        <w:rPr>
          <w:noProof/>
        </w:rPr>
        <w:tab/>
        <w:t>Informazioni concernenti i rischi individuati e il sistema o i sistemi di controllo interno per ridurli</w:t>
      </w:r>
      <w:bookmarkEnd w:id="50"/>
      <w:bookmarkEnd w:id="51"/>
    </w:p>
    <w:p w14:paraId="696BFC1B" w14:textId="6A06FB7E" w:rsidR="005F20F6" w:rsidRPr="008C52C9" w:rsidRDefault="005F20F6" w:rsidP="005F20F6">
      <w:pPr>
        <w:pStyle w:val="Text1"/>
        <w:pBdr>
          <w:top w:val="single" w:sz="4" w:space="1" w:color="auto"/>
          <w:left w:val="single" w:sz="4" w:space="4" w:color="auto"/>
          <w:bottom w:val="single" w:sz="4" w:space="1" w:color="auto"/>
          <w:right w:val="single" w:sz="4" w:space="4" w:color="auto"/>
        </w:pBdr>
        <w:rPr>
          <w:noProof/>
        </w:rPr>
      </w:pPr>
      <w:r w:rsidRPr="008C52C9">
        <w:rPr>
          <w:noProof/>
        </w:rPr>
        <w:t>Mentre la Commissione sarà responsabile in generale dell'attuazione della direttiva proposta e della valutazione dell'attuazione e della conformità, l'Agenzia europea per la sicurezza marittima sarà responsabile dell'esecuzione del suo funzionamento e dell'attuazione del suo quadro di controllo interno. Essa dovrà sviluppare strumenti e moduli informatici, nonché fornire attività di formazione alle autorità degli Stati membri, e gli Stati membri dovr</w:t>
      </w:r>
      <w:r w:rsidR="00DD6749">
        <w:rPr>
          <w:noProof/>
        </w:rPr>
        <w:t>anno garantire l'applicazione.</w:t>
      </w:r>
    </w:p>
    <w:p w14:paraId="6EB38474" w14:textId="77777777" w:rsidR="005F20F6" w:rsidRPr="008C52C9" w:rsidRDefault="005F20F6" w:rsidP="005F20F6">
      <w:pPr>
        <w:pStyle w:val="Text1"/>
        <w:pBdr>
          <w:top w:val="single" w:sz="4" w:space="1" w:color="auto"/>
          <w:left w:val="single" w:sz="4" w:space="4" w:color="auto"/>
          <w:bottom w:val="single" w:sz="4" w:space="1" w:color="auto"/>
          <w:right w:val="single" w:sz="4" w:space="4" w:color="auto"/>
        </w:pBdr>
        <w:rPr>
          <w:noProof/>
        </w:rPr>
      </w:pPr>
      <w:r w:rsidRPr="008C52C9">
        <w:rPr>
          <w:noProof/>
        </w:rPr>
        <w:t xml:space="preserve">L'EMSA si trova nella posizione migliore per svolgere compiti di valutazione della conformità e di rendicontazione, in quanto si tratterà di un lavoro tecnico, che richiede solide competenze </w:t>
      </w:r>
      <w:r w:rsidRPr="008C52C9">
        <w:rPr>
          <w:noProof/>
        </w:rPr>
        <w:lastRenderedPageBreak/>
        <w:t>in materia di gestione dei dati, nonché una comprensione approfondita di questioni tecniche complesse relative agli scarichi illegali e all'inquinamento provocato dalle navi.</w:t>
      </w:r>
    </w:p>
    <w:p w14:paraId="77ED3E83" w14:textId="77777777" w:rsidR="005F20F6" w:rsidRPr="008C52C9" w:rsidRDefault="005F20F6" w:rsidP="005F20F6">
      <w:pPr>
        <w:pStyle w:val="Text1"/>
        <w:pBdr>
          <w:top w:val="single" w:sz="4" w:space="1" w:color="auto"/>
          <w:left w:val="single" w:sz="4" w:space="4" w:color="auto"/>
          <w:bottom w:val="single" w:sz="4" w:space="1" w:color="auto"/>
          <w:right w:val="single" w:sz="4" w:space="4" w:color="auto"/>
        </w:pBdr>
        <w:rPr>
          <w:noProof/>
        </w:rPr>
      </w:pPr>
      <w:r w:rsidRPr="008C52C9">
        <w:rPr>
          <w:noProof/>
        </w:rPr>
        <w:t xml:space="preserve">Gli Stati membri si trovano nella posizione migliore per garantire l'applicazione della direttiva proposta, specialmente in modo armonizzato attraverso lo scambio di informazioni ed esperienze e l'adempimento delle loro responsabilità in quanto parti della convenzione Marpol. </w:t>
      </w:r>
    </w:p>
    <w:p w14:paraId="638428D7" w14:textId="77777777" w:rsidR="005F20F6" w:rsidRPr="008C52C9" w:rsidRDefault="005F20F6" w:rsidP="005F20F6">
      <w:pPr>
        <w:pStyle w:val="Text1"/>
        <w:pBdr>
          <w:top w:val="single" w:sz="4" w:space="1" w:color="auto"/>
          <w:left w:val="single" w:sz="4" w:space="4" w:color="auto"/>
          <w:bottom w:val="single" w:sz="4" w:space="1" w:color="auto"/>
          <w:right w:val="single" w:sz="4" w:space="4" w:color="auto"/>
        </w:pBdr>
        <w:rPr>
          <w:noProof/>
        </w:rPr>
      </w:pPr>
      <w:r w:rsidRPr="008C52C9">
        <w:rPr>
          <w:noProof/>
        </w:rPr>
        <w:t>La DG MOVE effettuerà i controlli necessari in linea con la strategia di supervisione adottata nel 2017 sulle relazioni della DG con le agenzie decentrate e le imprese comuni. Nell'ambito della strategia, la DG MOVE monitora gli indicatori di prestazione per l'esecuzione del bilancio, le raccomandazioni di audit e le questioni amministrative.</w:t>
      </w:r>
      <w:r w:rsidRPr="008C52C9">
        <w:rPr>
          <w:rFonts w:eastAsia="Times New Roman"/>
          <w:noProof/>
        </w:rPr>
        <w:t xml:space="preserve"> L'Agenzia presenta una relazione semestrale. </w:t>
      </w:r>
      <w:r w:rsidRPr="008C52C9">
        <w:rPr>
          <w:noProof/>
        </w:rPr>
        <w:t>I controlli effettuati sulla supervisione dell'Agenzia e sulla relativa gestione finanziaria e di bilancio sono conformi alla strategia di controllo della DG MOVE, aggiornata nel 2022.</w:t>
      </w:r>
    </w:p>
    <w:p w14:paraId="601FA6AE" w14:textId="77777777" w:rsidR="005F20F6" w:rsidRPr="008C52C9" w:rsidRDefault="005F20F6" w:rsidP="005F20F6">
      <w:pPr>
        <w:pStyle w:val="Text1"/>
        <w:pBdr>
          <w:top w:val="single" w:sz="4" w:space="1" w:color="auto"/>
          <w:left w:val="single" w:sz="4" w:space="4" w:color="auto"/>
          <w:bottom w:val="single" w:sz="4" w:space="1" w:color="auto"/>
          <w:right w:val="single" w:sz="4" w:space="4" w:color="auto"/>
        </w:pBdr>
        <w:rPr>
          <w:noProof/>
        </w:rPr>
      </w:pPr>
      <w:r w:rsidRPr="008C52C9">
        <w:rPr>
          <w:noProof/>
        </w:rPr>
        <w:t>Le risorse supplementari messe a disposizione dell'EMSA saranno coperte dal sistema di controllo interno e di gestione dei rischi dell'Agenzia, il quale è allineato alle pertinenti norme internazionali e comprende controlli specifici per prevenire i conflitti di interessi e garantire la protezione degli informatori.</w:t>
      </w:r>
    </w:p>
    <w:p w14:paraId="394A549A" w14:textId="77777777" w:rsidR="005F20F6" w:rsidRPr="008C52C9" w:rsidRDefault="005F20F6" w:rsidP="005F20F6">
      <w:pPr>
        <w:pStyle w:val="ManualHeading3"/>
        <w:rPr>
          <w:noProof/>
        </w:rPr>
      </w:pPr>
      <w:bookmarkStart w:id="52" w:name="_Toc514938681"/>
      <w:bookmarkStart w:id="53" w:name="_Toc520485440"/>
      <w:r w:rsidRPr="008C52C9">
        <w:rPr>
          <w:noProof/>
        </w:rPr>
        <w:t>2.2.3.</w:t>
      </w:r>
      <w:r w:rsidRPr="008C52C9">
        <w:rPr>
          <w:noProof/>
        </w:rPr>
        <w:tab/>
        <w:t>Stima e giustificazione del rapporto costo/efficacia dei controlli (rapporto "costi del controllo ÷ valore dei fondi gestiti") e valutazione dei livelli di rischio di errore previsti (al pagamento e alla chiusura)</w:t>
      </w:r>
      <w:bookmarkEnd w:id="52"/>
      <w:bookmarkEnd w:id="53"/>
      <w:r w:rsidRPr="008C52C9">
        <w:rPr>
          <w:noProof/>
        </w:rPr>
        <w:t xml:space="preserve"> </w:t>
      </w:r>
    </w:p>
    <w:p w14:paraId="739C674B" w14:textId="77777777" w:rsidR="005F20F6" w:rsidRPr="008C52C9" w:rsidRDefault="005F20F6" w:rsidP="005F20F6">
      <w:pPr>
        <w:pBdr>
          <w:top w:val="single" w:sz="4" w:space="1" w:color="auto"/>
          <w:left w:val="single" w:sz="4" w:space="4" w:color="auto"/>
          <w:bottom w:val="single" w:sz="4" w:space="1" w:color="auto"/>
          <w:right w:val="single" w:sz="4" w:space="4" w:color="auto"/>
        </w:pBdr>
        <w:ind w:left="851"/>
        <w:rPr>
          <w:noProof/>
        </w:rPr>
      </w:pPr>
      <w:r w:rsidRPr="008C52C9">
        <w:rPr>
          <w:noProof/>
        </w:rPr>
        <w:t>Ai sensi della direttiva proposta, saranno forniti finanziamenti supplementari all'EMSA, che svilupperà strumenti e moduli informatici e fornirà attività di formazione alle autorità degli Stati membri.</w:t>
      </w:r>
    </w:p>
    <w:p w14:paraId="52338FCC" w14:textId="77777777" w:rsidR="005F20F6" w:rsidRPr="008C52C9" w:rsidRDefault="005F20F6" w:rsidP="005F20F6">
      <w:pPr>
        <w:pBdr>
          <w:top w:val="single" w:sz="4" w:space="1" w:color="auto"/>
          <w:left w:val="single" w:sz="4" w:space="4" w:color="auto"/>
          <w:bottom w:val="single" w:sz="4" w:space="1" w:color="auto"/>
          <w:right w:val="single" w:sz="4" w:space="4" w:color="auto"/>
        </w:pBdr>
        <w:ind w:left="851"/>
        <w:rPr>
          <w:noProof/>
        </w:rPr>
      </w:pPr>
      <w:r w:rsidRPr="008C52C9">
        <w:rPr>
          <w:noProof/>
        </w:rPr>
        <w:t>L'EMSA è pienamente responsabile dell'esecuzione del proprio bilancio, mentre la DG MOVE è responsabile del regolare pagamento dei contributi stabiliti dall'autorità di bilancio. Il livello di rischio di errore previsto al pagamento e alla chiusura è simile a quello allegato alle sovvenzioni di bilancio concesse all'Agenzia.</w:t>
      </w:r>
    </w:p>
    <w:p w14:paraId="1F206026" w14:textId="77777777" w:rsidR="005F20F6" w:rsidRPr="008C52C9" w:rsidRDefault="005F20F6" w:rsidP="005F20F6">
      <w:pPr>
        <w:pBdr>
          <w:top w:val="single" w:sz="4" w:space="1" w:color="auto"/>
          <w:left w:val="single" w:sz="4" w:space="4" w:color="auto"/>
          <w:bottom w:val="single" w:sz="4" w:space="1" w:color="auto"/>
          <w:right w:val="single" w:sz="4" w:space="4" w:color="auto"/>
        </w:pBdr>
        <w:ind w:left="851"/>
        <w:rPr>
          <w:noProof/>
        </w:rPr>
      </w:pPr>
      <w:r w:rsidRPr="008C52C9">
        <w:rPr>
          <w:noProof/>
        </w:rPr>
        <w:t xml:space="preserve">I compiti aggiuntivi derivanti dalla revisione proposta non dovrebbero generare controlli supplementari specifici. Pertanto il costo del controllo per la DG MOVE (misurato rispetto al valore dei fondi gestiti) dovrebbe rimanere stabile. </w:t>
      </w:r>
    </w:p>
    <w:p w14:paraId="38155FE1" w14:textId="77777777" w:rsidR="005F20F6" w:rsidRPr="008C52C9" w:rsidRDefault="005F20F6" w:rsidP="005F20F6">
      <w:pPr>
        <w:spacing w:before="0" w:after="200" w:line="276" w:lineRule="auto"/>
        <w:jc w:val="left"/>
        <w:rPr>
          <w:rFonts w:eastAsiaTheme="majorEastAsia"/>
          <w:b/>
          <w:bCs/>
          <w:noProof/>
          <w:szCs w:val="26"/>
        </w:rPr>
      </w:pPr>
      <w:r w:rsidRPr="008C52C9">
        <w:rPr>
          <w:noProof/>
        </w:rPr>
        <w:br w:type="page"/>
      </w:r>
      <w:bookmarkStart w:id="54" w:name="_Toc514938682"/>
    </w:p>
    <w:p w14:paraId="270C1EEB" w14:textId="77777777" w:rsidR="005F20F6" w:rsidRPr="008C52C9" w:rsidRDefault="005F20F6" w:rsidP="005F20F6">
      <w:pPr>
        <w:pStyle w:val="ManualHeading2"/>
        <w:rPr>
          <w:bCs/>
          <w:noProof/>
          <w:szCs w:val="24"/>
        </w:rPr>
      </w:pPr>
      <w:bookmarkStart w:id="55" w:name="_Toc520485441"/>
      <w:r w:rsidRPr="008C52C9">
        <w:rPr>
          <w:noProof/>
        </w:rPr>
        <w:lastRenderedPageBreak/>
        <w:t>2.3.</w:t>
      </w:r>
      <w:r w:rsidRPr="008C52C9">
        <w:rPr>
          <w:noProof/>
        </w:rPr>
        <w:tab/>
        <w:t>Misure di prevenzione delle frodi e delle irregolarità</w:t>
      </w:r>
      <w:bookmarkEnd w:id="54"/>
      <w:bookmarkEnd w:id="55"/>
      <w:r w:rsidRPr="008C52C9">
        <w:rPr>
          <w:noProof/>
        </w:rPr>
        <w:t xml:space="preserve"> </w:t>
      </w:r>
    </w:p>
    <w:p w14:paraId="170AF198" w14:textId="77777777" w:rsidR="005F20F6" w:rsidRPr="008C52C9" w:rsidRDefault="005F20F6" w:rsidP="005F20F6">
      <w:pPr>
        <w:pStyle w:val="Text1"/>
        <w:rPr>
          <w:i/>
          <w:noProof/>
          <w:sz w:val="20"/>
        </w:rPr>
      </w:pPr>
      <w:r w:rsidRPr="008C52C9">
        <w:rPr>
          <w:i/>
          <w:noProof/>
          <w:sz w:val="20"/>
        </w:rPr>
        <w:t>Precisare le misure di prevenzione e tutela in vigore o previste, ad esempio la strategia antifrode.</w:t>
      </w:r>
    </w:p>
    <w:p w14:paraId="19E30DFE" w14:textId="77777777" w:rsidR="005F20F6" w:rsidRPr="008C52C9" w:rsidRDefault="005F20F6" w:rsidP="005F20F6">
      <w:pPr>
        <w:pStyle w:val="Text1"/>
        <w:pBdr>
          <w:top w:val="single" w:sz="4" w:space="1" w:color="auto"/>
          <w:left w:val="single" w:sz="4" w:space="4" w:color="auto"/>
          <w:bottom w:val="single" w:sz="4" w:space="1" w:color="auto"/>
          <w:right w:val="single" w:sz="4" w:space="4" w:color="auto"/>
        </w:pBdr>
        <w:rPr>
          <w:noProof/>
        </w:rPr>
      </w:pPr>
      <w:r w:rsidRPr="008C52C9">
        <w:rPr>
          <w:noProof/>
        </w:rPr>
        <w:t xml:space="preserve">La direttiva proposta disciplina la prevenzione dell'inquinamento e quindi non prevede misure antifrode specifiche. </w:t>
      </w:r>
    </w:p>
    <w:p w14:paraId="369C7E79" w14:textId="77777777" w:rsidR="005F20F6" w:rsidRPr="008C52C9" w:rsidRDefault="005F20F6" w:rsidP="005F20F6">
      <w:pPr>
        <w:pStyle w:val="Text1"/>
        <w:pBdr>
          <w:top w:val="single" w:sz="4" w:space="1" w:color="auto"/>
          <w:left w:val="single" w:sz="4" w:space="4" w:color="auto"/>
          <w:bottom w:val="single" w:sz="4" w:space="1" w:color="auto"/>
          <w:right w:val="single" w:sz="4" w:space="4" w:color="auto"/>
        </w:pBdr>
        <w:rPr>
          <w:noProof/>
        </w:rPr>
      </w:pPr>
      <w:r w:rsidRPr="008C52C9">
        <w:rPr>
          <w:noProof/>
        </w:rPr>
        <w:t>L'EMSA applica i principi antifrode delle agenzie decentrate dell'UE, in linea con l'approccio della Commissione. A marzo 2021 l'Agenzia ha adottato una strategia antifrode aggiornata, basata sulla metodologia e sugli orientamenti per la strategia antifrode presentati dall'OLAF, nonché sulla strategia antifrode della DG MOVE. La strategia fornisce un quadro che affronta le questioni della prevenzione, dell'individuazione e delle condizioni per le indagini contro le frodi a livello di Agenzia. L'EMSA adegua e migliora costantemente le proprie politiche e azioni per promuovere il massimo livello di integrità del suo personale, sostenere un'efficace prevenzione e individuazione dei rischi di frode e stabilire procedure adeguate per segnalare e gestire i potenziali casi di frode e i relativi risultati. Inoltre nel 2015 l'EMSA ha adottato la propria politica in materia di conflitti di interessi per il consiglio di amministrazione.</w:t>
      </w:r>
    </w:p>
    <w:p w14:paraId="2CACC073" w14:textId="77777777" w:rsidR="005F20F6" w:rsidRPr="008C52C9" w:rsidRDefault="005F20F6" w:rsidP="005F20F6">
      <w:pPr>
        <w:pStyle w:val="Text1"/>
        <w:pBdr>
          <w:top w:val="single" w:sz="4" w:space="1" w:color="auto"/>
          <w:left w:val="single" w:sz="4" w:space="4" w:color="auto"/>
          <w:bottom w:val="single" w:sz="4" w:space="1" w:color="auto"/>
          <w:right w:val="single" w:sz="4" w:space="4" w:color="auto"/>
        </w:pBdr>
        <w:rPr>
          <w:noProof/>
        </w:rPr>
      </w:pPr>
      <w:r w:rsidRPr="008C52C9">
        <w:rPr>
          <w:noProof/>
        </w:rPr>
        <w:t>L'EMSA coopera con i servizi della Commissione sulle questioni attinenti a frodi e irregolarità. La Commissione si adopererà affinché tale cooperazione prosegua e sia rafforzata.</w:t>
      </w:r>
    </w:p>
    <w:p w14:paraId="7A5FC31B" w14:textId="77777777" w:rsidR="005F20F6" w:rsidRPr="008C52C9" w:rsidRDefault="005F20F6" w:rsidP="005F20F6">
      <w:pPr>
        <w:pStyle w:val="Text1"/>
        <w:pBdr>
          <w:top w:val="single" w:sz="4" w:space="1" w:color="auto"/>
          <w:left w:val="single" w:sz="4" w:space="4" w:color="auto"/>
          <w:bottom w:val="single" w:sz="4" w:space="1" w:color="auto"/>
          <w:right w:val="single" w:sz="4" w:space="4" w:color="auto"/>
        </w:pBdr>
        <w:rPr>
          <w:noProof/>
        </w:rPr>
      </w:pPr>
      <w:r w:rsidRPr="008C52C9">
        <w:rPr>
          <w:noProof/>
        </w:rPr>
        <w:t>La direttiva proposta contiene norme chiare e dettagliate sull'applicazione delle norme per evitare l'elusione degli obblighi in essa contenuti da parte degli operatori economici. La Commissione garantirà l'adozione di misure appropriate per tutelare gli interessi finanziari dell'Unione mediante controlli efficaci e, ove siano rilevate irregolarità, frodi o violazioni degli obblighi, mediante la loro notifica.</w:t>
      </w:r>
    </w:p>
    <w:p w14:paraId="46CCE004" w14:textId="77777777" w:rsidR="005F20F6" w:rsidRPr="008C52C9" w:rsidRDefault="005F20F6" w:rsidP="005F20F6">
      <w:pPr>
        <w:pStyle w:val="Text1"/>
        <w:pBdr>
          <w:top w:val="single" w:sz="4" w:space="1" w:color="auto"/>
          <w:left w:val="single" w:sz="4" w:space="4" w:color="auto"/>
          <w:bottom w:val="single" w:sz="4" w:space="1" w:color="auto"/>
          <w:right w:val="single" w:sz="4" w:space="4" w:color="auto"/>
        </w:pBdr>
        <w:rPr>
          <w:noProof/>
          <w:color w:val="0000FF"/>
        </w:rPr>
      </w:pPr>
      <w:r w:rsidRPr="008C52C9">
        <w:rPr>
          <w:noProof/>
        </w:rPr>
        <w:t>La Commissione adotterà inoltre misure appropriate per proteggere la riservatezza delle informazioni ottenute in attuazione della presente direttiva e pubblicate.</w:t>
      </w:r>
    </w:p>
    <w:p w14:paraId="3CBAC103" w14:textId="77777777" w:rsidR="005F20F6" w:rsidRPr="008C52C9" w:rsidRDefault="005F20F6" w:rsidP="005F20F6">
      <w:pPr>
        <w:pStyle w:val="ManualHeading1"/>
        <w:rPr>
          <w:bCs/>
          <w:noProof/>
          <w:szCs w:val="24"/>
        </w:rPr>
      </w:pPr>
      <w:bookmarkStart w:id="56" w:name="_Toc514938683"/>
      <w:bookmarkStart w:id="57" w:name="_Toc520485442"/>
      <w:r w:rsidRPr="008C52C9">
        <w:rPr>
          <w:noProof/>
        </w:rPr>
        <w:t>3.</w:t>
      </w:r>
      <w:r w:rsidRPr="008C52C9">
        <w:rPr>
          <w:noProof/>
        </w:rPr>
        <w:tab/>
        <w:t>INCIDENZA FINANZIARIA PREVISTA DELLA PROPOSTA/INIZIATIVA</w:t>
      </w:r>
      <w:bookmarkEnd w:id="56"/>
      <w:bookmarkEnd w:id="57"/>
      <w:r w:rsidRPr="008C52C9">
        <w:rPr>
          <w:noProof/>
        </w:rPr>
        <w:t xml:space="preserve"> </w:t>
      </w:r>
    </w:p>
    <w:p w14:paraId="638B5579" w14:textId="77777777" w:rsidR="005F20F6" w:rsidRPr="008C52C9" w:rsidRDefault="005F20F6" w:rsidP="005F20F6">
      <w:pPr>
        <w:pStyle w:val="ManualHeading2"/>
        <w:rPr>
          <w:bCs/>
          <w:noProof/>
          <w:szCs w:val="24"/>
        </w:rPr>
      </w:pPr>
      <w:bookmarkStart w:id="58" w:name="_Toc514938684"/>
      <w:bookmarkStart w:id="59" w:name="_Toc520485443"/>
      <w:r w:rsidRPr="008C52C9">
        <w:rPr>
          <w:noProof/>
        </w:rPr>
        <w:t>3.1.</w:t>
      </w:r>
      <w:r w:rsidRPr="008C52C9">
        <w:rPr>
          <w:noProof/>
        </w:rPr>
        <w:tab/>
        <w:t>Rubrica/rubriche del quadro finanziario pluriennale e linea/linee di bilancio di spesa interessate</w:t>
      </w:r>
      <w:bookmarkEnd w:id="58"/>
      <w:bookmarkEnd w:id="59"/>
      <w:r w:rsidRPr="008C52C9">
        <w:rPr>
          <w:noProof/>
        </w:rPr>
        <w:t xml:space="preserve"> </w:t>
      </w:r>
    </w:p>
    <w:p w14:paraId="735AE470" w14:textId="77777777" w:rsidR="005F20F6" w:rsidRPr="008C52C9" w:rsidRDefault="005F20F6" w:rsidP="00425994">
      <w:pPr>
        <w:pStyle w:val="ListBullet1"/>
        <w:rPr>
          <w:noProof/>
        </w:rPr>
      </w:pPr>
      <w:r w:rsidRPr="008C52C9">
        <w:rPr>
          <w:noProof/>
        </w:rPr>
        <w:t xml:space="preserve">Linee di bilancio esistenti </w:t>
      </w:r>
    </w:p>
    <w:p w14:paraId="00FA8298" w14:textId="77777777" w:rsidR="005F20F6" w:rsidRPr="008C52C9" w:rsidRDefault="005F20F6" w:rsidP="005F20F6">
      <w:pPr>
        <w:pStyle w:val="Text1"/>
        <w:rPr>
          <w:noProof/>
        </w:rPr>
      </w:pPr>
      <w:r w:rsidRPr="008C52C9">
        <w:rPr>
          <w:noProof/>
          <w:u w:val="single"/>
        </w:rPr>
        <w:t>Secondo l'ordine</w:t>
      </w:r>
      <w:r w:rsidRPr="008C52C9">
        <w:rPr>
          <w:noProof/>
        </w:rPr>
        <w:t xml:space="preserve"> delle rubriche del quadro finanziario pluriennale e delle linee di bilancio</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564"/>
      </w:tblGrid>
      <w:tr w:rsidR="005F20F6" w:rsidRPr="008C52C9" w14:paraId="3295B5F2" w14:textId="77777777" w:rsidTr="005F20F6">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2570B5E5" w14:textId="77777777" w:rsidR="005F20F6" w:rsidRPr="008C52C9" w:rsidRDefault="005F20F6">
            <w:pPr>
              <w:spacing w:before="60" w:after="60" w:line="276" w:lineRule="auto"/>
              <w:jc w:val="center"/>
              <w:rPr>
                <w:noProof/>
                <w:sz w:val="18"/>
              </w:rPr>
            </w:pPr>
            <w:r w:rsidRPr="008C52C9">
              <w:rPr>
                <w:noProof/>
                <w:sz w:val="18"/>
              </w:rPr>
              <w:t>Rubrica del quadro finanziario pluriennale</w:t>
            </w:r>
          </w:p>
        </w:tc>
        <w:tc>
          <w:tcPr>
            <w:tcW w:w="3960" w:type="dxa"/>
            <w:tcBorders>
              <w:top w:val="single" w:sz="4" w:space="0" w:color="auto"/>
              <w:left w:val="single" w:sz="4" w:space="0" w:color="auto"/>
              <w:bottom w:val="single" w:sz="4" w:space="0" w:color="auto"/>
              <w:right w:val="single" w:sz="4" w:space="0" w:color="auto"/>
            </w:tcBorders>
            <w:vAlign w:val="center"/>
            <w:hideMark/>
          </w:tcPr>
          <w:p w14:paraId="6FFEE044" w14:textId="77777777" w:rsidR="005F20F6" w:rsidRPr="008C52C9" w:rsidRDefault="005F20F6">
            <w:pPr>
              <w:spacing w:before="60" w:after="60" w:line="276" w:lineRule="auto"/>
              <w:jc w:val="center"/>
              <w:rPr>
                <w:noProof/>
              </w:rPr>
            </w:pPr>
            <w:r w:rsidRPr="008C52C9">
              <w:rPr>
                <w:noProof/>
                <w:sz w:val="20"/>
              </w:rPr>
              <w:t>Linea di bilancio</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FEE8063" w14:textId="77777777" w:rsidR="005F20F6" w:rsidRPr="008C52C9" w:rsidRDefault="005F20F6">
            <w:pPr>
              <w:spacing w:before="60" w:after="60" w:line="276" w:lineRule="auto"/>
              <w:jc w:val="center"/>
              <w:rPr>
                <w:noProof/>
              </w:rPr>
            </w:pPr>
            <w:r w:rsidRPr="008C52C9">
              <w:rPr>
                <w:noProof/>
                <w:sz w:val="18"/>
              </w:rPr>
              <w:t xml:space="preserve">Natura della </w:t>
            </w:r>
            <w:r w:rsidRPr="008C52C9">
              <w:rPr>
                <w:noProof/>
              </w:rPr>
              <w:br/>
            </w:r>
            <w:r w:rsidRPr="008C52C9">
              <w:rPr>
                <w:noProof/>
                <w:sz w:val="18"/>
              </w:rPr>
              <w:t>spesa</w:t>
            </w:r>
          </w:p>
        </w:tc>
        <w:tc>
          <w:tcPr>
            <w:tcW w:w="4556" w:type="dxa"/>
            <w:gridSpan w:val="4"/>
            <w:tcBorders>
              <w:top w:val="single" w:sz="4" w:space="0" w:color="auto"/>
              <w:left w:val="single" w:sz="4" w:space="0" w:color="auto"/>
              <w:bottom w:val="single" w:sz="4" w:space="0" w:color="auto"/>
              <w:right w:val="single" w:sz="4" w:space="0" w:color="auto"/>
            </w:tcBorders>
            <w:vAlign w:val="center"/>
            <w:hideMark/>
          </w:tcPr>
          <w:p w14:paraId="1BC01296" w14:textId="77777777" w:rsidR="005F20F6" w:rsidRPr="008C52C9" w:rsidRDefault="005F20F6">
            <w:pPr>
              <w:spacing w:before="60" w:after="60" w:line="276" w:lineRule="auto"/>
              <w:jc w:val="center"/>
              <w:rPr>
                <w:noProof/>
              </w:rPr>
            </w:pPr>
            <w:r w:rsidRPr="008C52C9">
              <w:rPr>
                <w:noProof/>
                <w:sz w:val="20"/>
              </w:rPr>
              <w:t xml:space="preserve">Contributo </w:t>
            </w:r>
          </w:p>
        </w:tc>
      </w:tr>
      <w:tr w:rsidR="005F20F6" w:rsidRPr="008C52C9" w14:paraId="7CD87AEC" w14:textId="77777777" w:rsidTr="005F20F6">
        <w:tc>
          <w:tcPr>
            <w:tcW w:w="1080" w:type="dxa"/>
            <w:vMerge/>
            <w:tcBorders>
              <w:top w:val="single" w:sz="4" w:space="0" w:color="auto"/>
              <w:left w:val="single" w:sz="4" w:space="0" w:color="auto"/>
              <w:bottom w:val="single" w:sz="4" w:space="0" w:color="auto"/>
              <w:right w:val="single" w:sz="4" w:space="0" w:color="auto"/>
            </w:tcBorders>
            <w:vAlign w:val="center"/>
            <w:hideMark/>
          </w:tcPr>
          <w:p w14:paraId="3471DA42" w14:textId="77777777" w:rsidR="005F20F6" w:rsidRPr="008C52C9" w:rsidRDefault="005F20F6">
            <w:pPr>
              <w:spacing w:before="0" w:after="0" w:line="276" w:lineRule="auto"/>
              <w:jc w:val="left"/>
              <w:rPr>
                <w:noProof/>
                <w:sz w:val="18"/>
              </w:rPr>
            </w:pPr>
          </w:p>
        </w:tc>
        <w:tc>
          <w:tcPr>
            <w:tcW w:w="3960" w:type="dxa"/>
            <w:tcBorders>
              <w:top w:val="single" w:sz="4" w:space="0" w:color="auto"/>
              <w:left w:val="single" w:sz="4" w:space="0" w:color="auto"/>
              <w:bottom w:val="single" w:sz="4" w:space="0" w:color="auto"/>
              <w:right w:val="single" w:sz="4" w:space="0" w:color="auto"/>
            </w:tcBorders>
            <w:vAlign w:val="center"/>
            <w:hideMark/>
          </w:tcPr>
          <w:p w14:paraId="0ECEEB8C" w14:textId="6DBA6749" w:rsidR="005F20F6" w:rsidRPr="008C52C9" w:rsidRDefault="00DD6749">
            <w:pPr>
              <w:spacing w:line="276" w:lineRule="auto"/>
              <w:rPr>
                <w:noProof/>
              </w:rPr>
            </w:pPr>
            <w:r>
              <w:rPr>
                <w:noProof/>
                <w:sz w:val="20"/>
              </w:rPr>
              <w:t>Numero</w:t>
            </w:r>
            <w:r w:rsidR="005F20F6" w:rsidRPr="008C52C9">
              <w:rPr>
                <w:noProof/>
              </w:rPr>
              <w:br/>
            </w:r>
          </w:p>
        </w:tc>
        <w:tc>
          <w:tcPr>
            <w:tcW w:w="1080" w:type="dxa"/>
            <w:tcBorders>
              <w:top w:val="single" w:sz="4" w:space="0" w:color="auto"/>
              <w:left w:val="single" w:sz="4" w:space="0" w:color="auto"/>
              <w:bottom w:val="single" w:sz="4" w:space="0" w:color="auto"/>
              <w:right w:val="single" w:sz="4" w:space="0" w:color="auto"/>
            </w:tcBorders>
            <w:vAlign w:val="center"/>
            <w:hideMark/>
          </w:tcPr>
          <w:p w14:paraId="332F1DF8" w14:textId="77777777" w:rsidR="005F20F6" w:rsidRPr="008C52C9" w:rsidRDefault="005F20F6">
            <w:pPr>
              <w:spacing w:line="276" w:lineRule="auto"/>
              <w:jc w:val="center"/>
              <w:rPr>
                <w:noProof/>
              </w:rPr>
            </w:pPr>
            <w:r w:rsidRPr="008C52C9">
              <w:rPr>
                <w:noProof/>
                <w:sz w:val="18"/>
              </w:rPr>
              <w:t>Diss./Non diss.</w:t>
            </w:r>
            <w:r w:rsidRPr="008C52C9">
              <w:rPr>
                <w:rStyle w:val="FootnoteReference"/>
                <w:noProof/>
                <w:sz w:val="18"/>
              </w:rPr>
              <w:footnoteReference w:id="47"/>
            </w:r>
          </w:p>
        </w:tc>
        <w:tc>
          <w:tcPr>
            <w:tcW w:w="956" w:type="dxa"/>
            <w:tcBorders>
              <w:top w:val="single" w:sz="4" w:space="0" w:color="auto"/>
              <w:left w:val="single" w:sz="4" w:space="0" w:color="auto"/>
              <w:bottom w:val="single" w:sz="4" w:space="0" w:color="auto"/>
              <w:right w:val="single" w:sz="4" w:space="0" w:color="auto"/>
            </w:tcBorders>
            <w:vAlign w:val="center"/>
            <w:hideMark/>
          </w:tcPr>
          <w:p w14:paraId="319D9134" w14:textId="77777777" w:rsidR="005F20F6" w:rsidRPr="008C52C9" w:rsidRDefault="005F20F6">
            <w:pPr>
              <w:spacing w:line="276" w:lineRule="auto"/>
              <w:jc w:val="center"/>
              <w:rPr>
                <w:noProof/>
              </w:rPr>
            </w:pPr>
            <w:r w:rsidRPr="008C52C9">
              <w:rPr>
                <w:noProof/>
                <w:sz w:val="18"/>
              </w:rPr>
              <w:t>di paesi EFTA</w:t>
            </w:r>
            <w:r w:rsidRPr="008C52C9">
              <w:rPr>
                <w:rStyle w:val="FootnoteReference"/>
                <w:noProof/>
                <w:sz w:val="18"/>
              </w:rPr>
              <w:footnoteReference w:id="48"/>
            </w:r>
          </w:p>
        </w:tc>
        <w:tc>
          <w:tcPr>
            <w:tcW w:w="1080" w:type="dxa"/>
            <w:tcBorders>
              <w:top w:val="single" w:sz="4" w:space="0" w:color="auto"/>
              <w:left w:val="single" w:sz="4" w:space="0" w:color="auto"/>
              <w:bottom w:val="single" w:sz="4" w:space="0" w:color="auto"/>
              <w:right w:val="single" w:sz="4" w:space="0" w:color="auto"/>
            </w:tcBorders>
            <w:vAlign w:val="center"/>
            <w:hideMark/>
          </w:tcPr>
          <w:p w14:paraId="04D85721" w14:textId="77777777" w:rsidR="005F20F6" w:rsidRPr="008C52C9" w:rsidRDefault="005F20F6">
            <w:pPr>
              <w:spacing w:line="276" w:lineRule="auto"/>
              <w:jc w:val="center"/>
              <w:rPr>
                <w:noProof/>
                <w:sz w:val="18"/>
              </w:rPr>
            </w:pPr>
            <w:r w:rsidRPr="008C52C9">
              <w:rPr>
                <w:noProof/>
                <w:sz w:val="18"/>
              </w:rPr>
              <w:t>di paesi candidati e potenziali candidati</w:t>
            </w:r>
            <w:r w:rsidRPr="008C52C9">
              <w:rPr>
                <w:rStyle w:val="FootnoteReference"/>
                <w:noProof/>
                <w:sz w:val="18"/>
              </w:rPr>
              <w:footnoteReference w:id="49"/>
            </w:r>
          </w:p>
        </w:tc>
        <w:tc>
          <w:tcPr>
            <w:tcW w:w="956" w:type="dxa"/>
            <w:tcBorders>
              <w:top w:val="single" w:sz="4" w:space="0" w:color="auto"/>
              <w:left w:val="single" w:sz="4" w:space="0" w:color="auto"/>
              <w:bottom w:val="single" w:sz="4" w:space="0" w:color="auto"/>
              <w:right w:val="single" w:sz="4" w:space="0" w:color="auto"/>
            </w:tcBorders>
            <w:vAlign w:val="center"/>
            <w:hideMark/>
          </w:tcPr>
          <w:p w14:paraId="7A933B4A" w14:textId="77777777" w:rsidR="005F20F6" w:rsidRPr="008C52C9" w:rsidRDefault="005F20F6">
            <w:pPr>
              <w:spacing w:line="276" w:lineRule="auto"/>
              <w:jc w:val="center"/>
              <w:rPr>
                <w:noProof/>
                <w:sz w:val="18"/>
              </w:rPr>
            </w:pPr>
            <w:r w:rsidRPr="008C52C9">
              <w:rPr>
                <w:noProof/>
                <w:sz w:val="18"/>
              </w:rPr>
              <w:t>di altri paesi terzi</w:t>
            </w:r>
          </w:p>
        </w:tc>
        <w:tc>
          <w:tcPr>
            <w:tcW w:w="1564" w:type="dxa"/>
            <w:tcBorders>
              <w:top w:val="single" w:sz="4" w:space="0" w:color="auto"/>
              <w:left w:val="single" w:sz="4" w:space="0" w:color="auto"/>
              <w:bottom w:val="single" w:sz="4" w:space="0" w:color="auto"/>
              <w:right w:val="single" w:sz="4" w:space="0" w:color="auto"/>
            </w:tcBorders>
            <w:vAlign w:val="center"/>
            <w:hideMark/>
          </w:tcPr>
          <w:p w14:paraId="7D568FD3" w14:textId="77777777" w:rsidR="005F20F6" w:rsidRPr="008C52C9" w:rsidRDefault="005F20F6">
            <w:pPr>
              <w:spacing w:line="276" w:lineRule="auto"/>
              <w:jc w:val="center"/>
              <w:rPr>
                <w:noProof/>
                <w:sz w:val="16"/>
                <w:szCs w:val="16"/>
              </w:rPr>
            </w:pPr>
            <w:r w:rsidRPr="008C52C9">
              <w:rPr>
                <w:noProof/>
                <w:sz w:val="16"/>
              </w:rPr>
              <w:t xml:space="preserve">altre entrate con destinazione specifica </w:t>
            </w:r>
          </w:p>
        </w:tc>
      </w:tr>
      <w:tr w:rsidR="005F20F6" w:rsidRPr="008C52C9" w14:paraId="3373953A" w14:textId="77777777" w:rsidTr="005F20F6">
        <w:tc>
          <w:tcPr>
            <w:tcW w:w="1080" w:type="dxa"/>
            <w:tcBorders>
              <w:top w:val="single" w:sz="4" w:space="0" w:color="auto"/>
              <w:left w:val="single" w:sz="4" w:space="0" w:color="auto"/>
              <w:bottom w:val="single" w:sz="4" w:space="0" w:color="auto"/>
              <w:right w:val="single" w:sz="4" w:space="0" w:color="auto"/>
            </w:tcBorders>
            <w:vAlign w:val="center"/>
            <w:hideMark/>
          </w:tcPr>
          <w:p w14:paraId="17F0B7E2" w14:textId="77777777" w:rsidR="005F20F6" w:rsidRPr="008C52C9" w:rsidRDefault="005F20F6">
            <w:pPr>
              <w:spacing w:line="276" w:lineRule="auto"/>
              <w:jc w:val="center"/>
              <w:rPr>
                <w:noProof/>
                <w:color w:val="0000FF"/>
              </w:rPr>
            </w:pPr>
            <w:r w:rsidRPr="008C52C9">
              <w:rPr>
                <w:noProof/>
                <w:color w:val="0000FF"/>
              </w:rPr>
              <w:t>1</w:t>
            </w:r>
          </w:p>
        </w:tc>
        <w:tc>
          <w:tcPr>
            <w:tcW w:w="3960" w:type="dxa"/>
            <w:tcBorders>
              <w:top w:val="single" w:sz="4" w:space="0" w:color="auto"/>
              <w:left w:val="single" w:sz="4" w:space="0" w:color="auto"/>
              <w:bottom w:val="single" w:sz="4" w:space="0" w:color="auto"/>
              <w:right w:val="single" w:sz="4" w:space="0" w:color="auto"/>
            </w:tcBorders>
            <w:vAlign w:val="center"/>
          </w:tcPr>
          <w:p w14:paraId="70ED9897" w14:textId="33FE845D" w:rsidR="005F20F6" w:rsidRPr="008C52C9" w:rsidRDefault="005F20F6" w:rsidP="006775B8">
            <w:pPr>
              <w:spacing w:before="60" w:line="276" w:lineRule="auto"/>
              <w:rPr>
                <w:noProof/>
              </w:rPr>
            </w:pPr>
            <w:r w:rsidRPr="008C52C9">
              <w:rPr>
                <w:noProof/>
              </w:rPr>
              <w:t>02 10 02</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603CAAB" w14:textId="77777777" w:rsidR="005F20F6" w:rsidRPr="008C52C9" w:rsidRDefault="005F20F6">
            <w:pPr>
              <w:spacing w:line="276" w:lineRule="auto"/>
              <w:jc w:val="center"/>
              <w:rPr>
                <w:noProof/>
                <w:color w:val="0000FF"/>
              </w:rPr>
            </w:pPr>
            <w:r w:rsidRPr="008C52C9">
              <w:rPr>
                <w:noProof/>
                <w:sz w:val="18"/>
              </w:rPr>
              <w:t>Non diss.</w:t>
            </w:r>
          </w:p>
        </w:tc>
        <w:tc>
          <w:tcPr>
            <w:tcW w:w="956" w:type="dxa"/>
            <w:tcBorders>
              <w:top w:val="single" w:sz="4" w:space="0" w:color="auto"/>
              <w:left w:val="single" w:sz="4" w:space="0" w:color="auto"/>
              <w:bottom w:val="single" w:sz="4" w:space="0" w:color="auto"/>
              <w:right w:val="single" w:sz="4" w:space="0" w:color="auto"/>
            </w:tcBorders>
            <w:vAlign w:val="center"/>
            <w:hideMark/>
          </w:tcPr>
          <w:p w14:paraId="3A82FF07" w14:textId="77777777" w:rsidR="005F20F6" w:rsidRPr="008C52C9" w:rsidRDefault="005F20F6">
            <w:pPr>
              <w:spacing w:line="276" w:lineRule="auto"/>
              <w:jc w:val="center"/>
              <w:rPr>
                <w:noProof/>
                <w:sz w:val="20"/>
              </w:rPr>
            </w:pPr>
            <w:r w:rsidRPr="008C52C9">
              <w:rPr>
                <w:noProof/>
                <w:sz w:val="20"/>
              </w:rPr>
              <w:t>SÌ</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E7E8184" w14:textId="77777777" w:rsidR="005F20F6" w:rsidRPr="008C52C9" w:rsidRDefault="005F20F6">
            <w:pPr>
              <w:spacing w:line="276" w:lineRule="auto"/>
              <w:jc w:val="center"/>
              <w:rPr>
                <w:noProof/>
                <w:sz w:val="20"/>
              </w:rPr>
            </w:pPr>
            <w:r w:rsidRPr="008C52C9">
              <w:rPr>
                <w:noProof/>
                <w:sz w:val="20"/>
              </w:rPr>
              <w:t>NO</w:t>
            </w:r>
          </w:p>
        </w:tc>
        <w:tc>
          <w:tcPr>
            <w:tcW w:w="956" w:type="dxa"/>
            <w:tcBorders>
              <w:top w:val="single" w:sz="4" w:space="0" w:color="auto"/>
              <w:left w:val="single" w:sz="4" w:space="0" w:color="auto"/>
              <w:bottom w:val="single" w:sz="4" w:space="0" w:color="auto"/>
              <w:right w:val="single" w:sz="4" w:space="0" w:color="auto"/>
            </w:tcBorders>
            <w:vAlign w:val="center"/>
            <w:hideMark/>
          </w:tcPr>
          <w:p w14:paraId="663B73DA" w14:textId="77777777" w:rsidR="005F20F6" w:rsidRPr="008C52C9" w:rsidRDefault="005F20F6">
            <w:pPr>
              <w:spacing w:line="276" w:lineRule="auto"/>
              <w:jc w:val="center"/>
              <w:rPr>
                <w:noProof/>
                <w:sz w:val="20"/>
              </w:rPr>
            </w:pPr>
            <w:r w:rsidRPr="008C52C9">
              <w:rPr>
                <w:noProof/>
                <w:sz w:val="20"/>
              </w:rPr>
              <w:t>NO</w:t>
            </w:r>
          </w:p>
        </w:tc>
        <w:tc>
          <w:tcPr>
            <w:tcW w:w="1564" w:type="dxa"/>
            <w:tcBorders>
              <w:top w:val="single" w:sz="4" w:space="0" w:color="auto"/>
              <w:left w:val="single" w:sz="4" w:space="0" w:color="auto"/>
              <w:bottom w:val="single" w:sz="4" w:space="0" w:color="auto"/>
              <w:right w:val="single" w:sz="4" w:space="0" w:color="auto"/>
            </w:tcBorders>
            <w:vAlign w:val="center"/>
            <w:hideMark/>
          </w:tcPr>
          <w:p w14:paraId="11D8564D" w14:textId="77777777" w:rsidR="005F20F6" w:rsidRPr="008C52C9" w:rsidRDefault="005F20F6">
            <w:pPr>
              <w:spacing w:line="276" w:lineRule="auto"/>
              <w:jc w:val="center"/>
              <w:rPr>
                <w:noProof/>
                <w:sz w:val="20"/>
              </w:rPr>
            </w:pPr>
            <w:r w:rsidRPr="008C52C9">
              <w:rPr>
                <w:noProof/>
                <w:sz w:val="20"/>
              </w:rPr>
              <w:t>NO</w:t>
            </w:r>
          </w:p>
        </w:tc>
      </w:tr>
    </w:tbl>
    <w:p w14:paraId="74308FF5" w14:textId="77777777" w:rsidR="005F20F6" w:rsidRPr="008C52C9" w:rsidRDefault="005F20F6" w:rsidP="00425994">
      <w:pPr>
        <w:pStyle w:val="ListBullet1"/>
        <w:rPr>
          <w:noProof/>
        </w:rPr>
      </w:pPr>
      <w:r w:rsidRPr="008C52C9">
        <w:rPr>
          <w:noProof/>
        </w:rPr>
        <w:t xml:space="preserve">Nuove linee di bilancio di cui è chiesta la creazione </w:t>
      </w:r>
    </w:p>
    <w:p w14:paraId="060FAB8F" w14:textId="77777777" w:rsidR="005F20F6" w:rsidRPr="008C52C9" w:rsidRDefault="005F20F6" w:rsidP="005F20F6">
      <w:pPr>
        <w:pStyle w:val="Text1"/>
        <w:rPr>
          <w:i/>
          <w:noProof/>
          <w:sz w:val="20"/>
        </w:rPr>
      </w:pPr>
      <w:r w:rsidRPr="008C52C9">
        <w:rPr>
          <w:noProof/>
          <w:u w:val="single"/>
        </w:rPr>
        <w:lastRenderedPageBreak/>
        <w:t>Secondo l'ordine</w:t>
      </w:r>
      <w:r w:rsidRPr="008C52C9">
        <w:rPr>
          <w:noProof/>
        </w:rPr>
        <w:t xml:space="preserve"> delle rubriche del quadro finanziario pluriennale e delle linee di bilancio</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564"/>
      </w:tblGrid>
      <w:tr w:rsidR="005F20F6" w:rsidRPr="008C52C9" w14:paraId="3DB5DFA1" w14:textId="77777777" w:rsidTr="005F20F6">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223542AD" w14:textId="77777777" w:rsidR="005F20F6" w:rsidRPr="008C52C9" w:rsidRDefault="005F20F6">
            <w:pPr>
              <w:spacing w:before="60" w:after="60" w:line="276" w:lineRule="auto"/>
              <w:jc w:val="center"/>
              <w:rPr>
                <w:noProof/>
              </w:rPr>
            </w:pPr>
            <w:r w:rsidRPr="008C52C9">
              <w:rPr>
                <w:noProof/>
                <w:sz w:val="18"/>
              </w:rPr>
              <w:t>Rubrica del quadro finanziario pluriennale</w:t>
            </w:r>
          </w:p>
        </w:tc>
        <w:tc>
          <w:tcPr>
            <w:tcW w:w="3960" w:type="dxa"/>
            <w:tcBorders>
              <w:top w:val="single" w:sz="4" w:space="0" w:color="auto"/>
              <w:left w:val="single" w:sz="4" w:space="0" w:color="auto"/>
              <w:bottom w:val="single" w:sz="4" w:space="0" w:color="auto"/>
              <w:right w:val="single" w:sz="4" w:space="0" w:color="auto"/>
            </w:tcBorders>
            <w:vAlign w:val="center"/>
            <w:hideMark/>
          </w:tcPr>
          <w:p w14:paraId="704BA363" w14:textId="77777777" w:rsidR="005F20F6" w:rsidRPr="008C52C9" w:rsidRDefault="005F20F6">
            <w:pPr>
              <w:spacing w:before="60" w:after="60" w:line="276" w:lineRule="auto"/>
              <w:jc w:val="center"/>
              <w:rPr>
                <w:noProof/>
              </w:rPr>
            </w:pPr>
            <w:r w:rsidRPr="008C52C9">
              <w:rPr>
                <w:noProof/>
                <w:sz w:val="20"/>
              </w:rPr>
              <w:t>Linea di bilancio</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0C8042E" w14:textId="77777777" w:rsidR="005F20F6" w:rsidRPr="008C52C9" w:rsidRDefault="005F20F6">
            <w:pPr>
              <w:spacing w:before="60" w:after="60" w:line="276" w:lineRule="auto"/>
              <w:jc w:val="center"/>
              <w:rPr>
                <w:noProof/>
              </w:rPr>
            </w:pPr>
            <w:r w:rsidRPr="008C52C9">
              <w:rPr>
                <w:noProof/>
                <w:sz w:val="18"/>
              </w:rPr>
              <w:t>Natura della</w:t>
            </w:r>
            <w:r w:rsidRPr="008C52C9">
              <w:rPr>
                <w:noProof/>
              </w:rPr>
              <w:t xml:space="preserve"> </w:t>
            </w:r>
            <w:r w:rsidRPr="008C52C9">
              <w:rPr>
                <w:noProof/>
              </w:rPr>
              <w:br/>
            </w:r>
            <w:r w:rsidRPr="008C52C9">
              <w:rPr>
                <w:noProof/>
                <w:sz w:val="18"/>
              </w:rPr>
              <w:t>spesa</w:t>
            </w:r>
          </w:p>
        </w:tc>
        <w:tc>
          <w:tcPr>
            <w:tcW w:w="4556" w:type="dxa"/>
            <w:gridSpan w:val="4"/>
            <w:tcBorders>
              <w:top w:val="single" w:sz="4" w:space="0" w:color="auto"/>
              <w:left w:val="single" w:sz="4" w:space="0" w:color="auto"/>
              <w:bottom w:val="single" w:sz="4" w:space="0" w:color="auto"/>
              <w:right w:val="single" w:sz="4" w:space="0" w:color="auto"/>
            </w:tcBorders>
            <w:vAlign w:val="center"/>
            <w:hideMark/>
          </w:tcPr>
          <w:p w14:paraId="34550BE3" w14:textId="77777777" w:rsidR="005F20F6" w:rsidRPr="008C52C9" w:rsidRDefault="005F20F6">
            <w:pPr>
              <w:spacing w:before="60" w:after="60" w:line="276" w:lineRule="auto"/>
              <w:jc w:val="center"/>
              <w:rPr>
                <w:noProof/>
              </w:rPr>
            </w:pPr>
            <w:r w:rsidRPr="008C52C9">
              <w:rPr>
                <w:noProof/>
                <w:sz w:val="20"/>
              </w:rPr>
              <w:t xml:space="preserve">Contributo </w:t>
            </w:r>
          </w:p>
        </w:tc>
      </w:tr>
      <w:tr w:rsidR="005F20F6" w:rsidRPr="008C52C9" w14:paraId="0582964A" w14:textId="77777777" w:rsidTr="005F20F6">
        <w:tc>
          <w:tcPr>
            <w:tcW w:w="1080" w:type="dxa"/>
            <w:vMerge/>
            <w:tcBorders>
              <w:top w:val="single" w:sz="4" w:space="0" w:color="auto"/>
              <w:left w:val="single" w:sz="4" w:space="0" w:color="auto"/>
              <w:bottom w:val="single" w:sz="4" w:space="0" w:color="auto"/>
              <w:right w:val="single" w:sz="4" w:space="0" w:color="auto"/>
            </w:tcBorders>
            <w:vAlign w:val="center"/>
            <w:hideMark/>
          </w:tcPr>
          <w:p w14:paraId="0550E701" w14:textId="77777777" w:rsidR="005F20F6" w:rsidRPr="008C52C9" w:rsidRDefault="005F20F6">
            <w:pPr>
              <w:spacing w:before="0" w:after="0" w:line="276" w:lineRule="auto"/>
              <w:jc w:val="left"/>
              <w:rPr>
                <w:noProof/>
              </w:rPr>
            </w:pPr>
          </w:p>
        </w:tc>
        <w:tc>
          <w:tcPr>
            <w:tcW w:w="3960" w:type="dxa"/>
            <w:tcBorders>
              <w:top w:val="single" w:sz="4" w:space="0" w:color="auto"/>
              <w:left w:val="single" w:sz="4" w:space="0" w:color="auto"/>
              <w:bottom w:val="single" w:sz="4" w:space="0" w:color="auto"/>
              <w:right w:val="single" w:sz="4" w:space="0" w:color="auto"/>
            </w:tcBorders>
            <w:vAlign w:val="center"/>
            <w:hideMark/>
          </w:tcPr>
          <w:p w14:paraId="0BBAB7BB" w14:textId="3D74F69A" w:rsidR="005F20F6" w:rsidRPr="008C52C9" w:rsidRDefault="00DD6749">
            <w:pPr>
              <w:spacing w:line="276" w:lineRule="auto"/>
              <w:rPr>
                <w:noProof/>
              </w:rPr>
            </w:pPr>
            <w:r>
              <w:rPr>
                <w:noProof/>
                <w:sz w:val="20"/>
              </w:rPr>
              <w:t>Numero</w:t>
            </w:r>
            <w:r w:rsidR="005F20F6" w:rsidRPr="008C52C9">
              <w:rPr>
                <w:noProof/>
              </w:rPr>
              <w:br/>
            </w:r>
          </w:p>
        </w:tc>
        <w:tc>
          <w:tcPr>
            <w:tcW w:w="1080" w:type="dxa"/>
            <w:tcBorders>
              <w:top w:val="single" w:sz="4" w:space="0" w:color="auto"/>
              <w:left w:val="single" w:sz="4" w:space="0" w:color="auto"/>
              <w:bottom w:val="single" w:sz="4" w:space="0" w:color="auto"/>
              <w:right w:val="single" w:sz="4" w:space="0" w:color="auto"/>
            </w:tcBorders>
            <w:vAlign w:val="center"/>
            <w:hideMark/>
          </w:tcPr>
          <w:p w14:paraId="1527346A" w14:textId="77777777" w:rsidR="005F20F6" w:rsidRPr="008C52C9" w:rsidRDefault="005F20F6">
            <w:pPr>
              <w:spacing w:line="276" w:lineRule="auto"/>
              <w:jc w:val="center"/>
              <w:rPr>
                <w:noProof/>
              </w:rPr>
            </w:pPr>
            <w:r w:rsidRPr="008C52C9">
              <w:rPr>
                <w:noProof/>
                <w:sz w:val="18"/>
              </w:rPr>
              <w:t>Diss./Non diss.</w:t>
            </w:r>
          </w:p>
        </w:tc>
        <w:tc>
          <w:tcPr>
            <w:tcW w:w="956" w:type="dxa"/>
            <w:tcBorders>
              <w:top w:val="single" w:sz="4" w:space="0" w:color="auto"/>
              <w:left w:val="single" w:sz="4" w:space="0" w:color="auto"/>
              <w:bottom w:val="single" w:sz="4" w:space="0" w:color="auto"/>
              <w:right w:val="single" w:sz="4" w:space="0" w:color="auto"/>
            </w:tcBorders>
            <w:vAlign w:val="center"/>
            <w:hideMark/>
          </w:tcPr>
          <w:p w14:paraId="1C1271D2" w14:textId="77777777" w:rsidR="005F20F6" w:rsidRPr="008C52C9" w:rsidRDefault="005F20F6">
            <w:pPr>
              <w:spacing w:line="276" w:lineRule="auto"/>
              <w:jc w:val="center"/>
              <w:rPr>
                <w:noProof/>
                <w:sz w:val="18"/>
              </w:rPr>
            </w:pPr>
            <w:r w:rsidRPr="008C52C9">
              <w:rPr>
                <w:noProof/>
                <w:sz w:val="18"/>
              </w:rPr>
              <w:t>di paesi EFTA</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AA53852" w14:textId="77777777" w:rsidR="005F20F6" w:rsidRPr="008C52C9" w:rsidRDefault="005F20F6">
            <w:pPr>
              <w:spacing w:line="276" w:lineRule="auto"/>
              <w:jc w:val="center"/>
              <w:rPr>
                <w:noProof/>
                <w:sz w:val="18"/>
              </w:rPr>
            </w:pPr>
            <w:r w:rsidRPr="008C52C9">
              <w:rPr>
                <w:noProof/>
                <w:sz w:val="18"/>
              </w:rPr>
              <w:t>di paesi candidati e potenziali candidati</w:t>
            </w:r>
          </w:p>
        </w:tc>
        <w:tc>
          <w:tcPr>
            <w:tcW w:w="956" w:type="dxa"/>
            <w:tcBorders>
              <w:top w:val="single" w:sz="4" w:space="0" w:color="auto"/>
              <w:left w:val="single" w:sz="4" w:space="0" w:color="auto"/>
              <w:bottom w:val="single" w:sz="4" w:space="0" w:color="auto"/>
              <w:right w:val="single" w:sz="4" w:space="0" w:color="auto"/>
            </w:tcBorders>
            <w:vAlign w:val="center"/>
            <w:hideMark/>
          </w:tcPr>
          <w:p w14:paraId="7F6E49A6" w14:textId="77777777" w:rsidR="005F20F6" w:rsidRPr="008C52C9" w:rsidRDefault="005F20F6">
            <w:pPr>
              <w:spacing w:line="276" w:lineRule="auto"/>
              <w:jc w:val="center"/>
              <w:rPr>
                <w:noProof/>
                <w:sz w:val="18"/>
              </w:rPr>
            </w:pPr>
            <w:r w:rsidRPr="008C52C9">
              <w:rPr>
                <w:noProof/>
                <w:sz w:val="18"/>
              </w:rPr>
              <w:t>di altri paesi terzi</w:t>
            </w:r>
          </w:p>
        </w:tc>
        <w:tc>
          <w:tcPr>
            <w:tcW w:w="1564" w:type="dxa"/>
            <w:tcBorders>
              <w:top w:val="single" w:sz="4" w:space="0" w:color="auto"/>
              <w:left w:val="single" w:sz="4" w:space="0" w:color="auto"/>
              <w:bottom w:val="single" w:sz="4" w:space="0" w:color="auto"/>
              <w:right w:val="single" w:sz="4" w:space="0" w:color="auto"/>
            </w:tcBorders>
            <w:vAlign w:val="center"/>
            <w:hideMark/>
          </w:tcPr>
          <w:p w14:paraId="450C576C" w14:textId="77777777" w:rsidR="005F20F6" w:rsidRPr="008C52C9" w:rsidRDefault="005F20F6">
            <w:pPr>
              <w:spacing w:line="276" w:lineRule="auto"/>
              <w:jc w:val="center"/>
              <w:rPr>
                <w:noProof/>
              </w:rPr>
            </w:pPr>
            <w:r w:rsidRPr="008C52C9">
              <w:rPr>
                <w:noProof/>
                <w:sz w:val="16"/>
              </w:rPr>
              <w:t xml:space="preserve">altre entrate con destinazione specifica </w:t>
            </w:r>
          </w:p>
        </w:tc>
      </w:tr>
      <w:tr w:rsidR="005F20F6" w:rsidRPr="008C52C9" w14:paraId="7B7E82A1" w14:textId="77777777" w:rsidTr="005F20F6">
        <w:tc>
          <w:tcPr>
            <w:tcW w:w="1080" w:type="dxa"/>
            <w:tcBorders>
              <w:top w:val="single" w:sz="4" w:space="0" w:color="auto"/>
              <w:left w:val="single" w:sz="4" w:space="0" w:color="auto"/>
              <w:bottom w:val="single" w:sz="4" w:space="0" w:color="auto"/>
              <w:right w:val="single" w:sz="4" w:space="0" w:color="auto"/>
            </w:tcBorders>
            <w:vAlign w:val="center"/>
          </w:tcPr>
          <w:p w14:paraId="7DCC565E" w14:textId="77777777" w:rsidR="005F20F6" w:rsidRPr="008C52C9" w:rsidRDefault="005F20F6">
            <w:pPr>
              <w:spacing w:line="276" w:lineRule="auto"/>
              <w:jc w:val="center"/>
              <w:rPr>
                <w:noProof/>
                <w:color w:val="0000FF"/>
              </w:rPr>
            </w:pPr>
          </w:p>
        </w:tc>
        <w:tc>
          <w:tcPr>
            <w:tcW w:w="3960" w:type="dxa"/>
            <w:tcBorders>
              <w:top w:val="single" w:sz="4" w:space="0" w:color="auto"/>
              <w:left w:val="single" w:sz="4" w:space="0" w:color="auto"/>
              <w:bottom w:val="single" w:sz="4" w:space="0" w:color="auto"/>
              <w:right w:val="single" w:sz="4" w:space="0" w:color="auto"/>
            </w:tcBorders>
            <w:vAlign w:val="center"/>
          </w:tcPr>
          <w:p w14:paraId="231A4AE9" w14:textId="77777777" w:rsidR="005F20F6" w:rsidRPr="008C52C9" w:rsidRDefault="005F20F6">
            <w:pPr>
              <w:spacing w:before="60" w:line="276" w:lineRule="auto"/>
              <w:rPr>
                <w:noProof/>
              </w:rPr>
            </w:pPr>
            <w:r w:rsidRPr="008C52C9">
              <w:rPr>
                <w:noProof/>
              </w:rPr>
              <w:t>[XX.YY.YY.YY]</w:t>
            </w:r>
          </w:p>
          <w:p w14:paraId="42B8A2BD" w14:textId="77777777" w:rsidR="005F20F6" w:rsidRPr="008C52C9" w:rsidRDefault="005F20F6">
            <w:pPr>
              <w:spacing w:after="60" w:line="276" w:lineRule="auto"/>
              <w:rPr>
                <w:noProof/>
              </w:rPr>
            </w:pPr>
          </w:p>
        </w:tc>
        <w:tc>
          <w:tcPr>
            <w:tcW w:w="1080" w:type="dxa"/>
            <w:tcBorders>
              <w:top w:val="single" w:sz="4" w:space="0" w:color="auto"/>
              <w:left w:val="single" w:sz="4" w:space="0" w:color="auto"/>
              <w:bottom w:val="single" w:sz="4" w:space="0" w:color="auto"/>
              <w:right w:val="single" w:sz="4" w:space="0" w:color="auto"/>
            </w:tcBorders>
            <w:vAlign w:val="center"/>
          </w:tcPr>
          <w:p w14:paraId="4047FB2F" w14:textId="77777777" w:rsidR="005F20F6" w:rsidRPr="008C52C9" w:rsidRDefault="005F20F6">
            <w:pPr>
              <w:spacing w:line="276" w:lineRule="auto"/>
              <w:jc w:val="center"/>
              <w:rPr>
                <w:noProof/>
                <w:color w:val="0000FF"/>
              </w:rPr>
            </w:pPr>
          </w:p>
        </w:tc>
        <w:tc>
          <w:tcPr>
            <w:tcW w:w="956" w:type="dxa"/>
            <w:tcBorders>
              <w:top w:val="single" w:sz="4" w:space="0" w:color="auto"/>
              <w:left w:val="single" w:sz="4" w:space="0" w:color="auto"/>
              <w:bottom w:val="single" w:sz="4" w:space="0" w:color="auto"/>
              <w:right w:val="single" w:sz="4" w:space="0" w:color="auto"/>
            </w:tcBorders>
            <w:vAlign w:val="center"/>
            <w:hideMark/>
          </w:tcPr>
          <w:p w14:paraId="247C21B4" w14:textId="77777777" w:rsidR="005F20F6" w:rsidRPr="008C52C9" w:rsidRDefault="005F20F6">
            <w:pPr>
              <w:spacing w:line="276" w:lineRule="auto"/>
              <w:jc w:val="center"/>
              <w:rPr>
                <w:noProof/>
                <w:sz w:val="20"/>
              </w:rPr>
            </w:pPr>
            <w:r w:rsidRPr="008C52C9">
              <w:rPr>
                <w:noProof/>
                <w:sz w:val="20"/>
              </w:rPr>
              <w:t>SÌ/NO</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925B1E2" w14:textId="77777777" w:rsidR="005F20F6" w:rsidRPr="008C52C9" w:rsidRDefault="005F20F6">
            <w:pPr>
              <w:spacing w:line="276" w:lineRule="auto"/>
              <w:jc w:val="center"/>
              <w:rPr>
                <w:noProof/>
                <w:color w:val="0000FF"/>
                <w:sz w:val="20"/>
              </w:rPr>
            </w:pPr>
            <w:r w:rsidRPr="008C52C9">
              <w:rPr>
                <w:noProof/>
                <w:sz w:val="20"/>
              </w:rPr>
              <w:t>SÌ/NO</w:t>
            </w:r>
          </w:p>
        </w:tc>
        <w:tc>
          <w:tcPr>
            <w:tcW w:w="956" w:type="dxa"/>
            <w:tcBorders>
              <w:top w:val="single" w:sz="4" w:space="0" w:color="auto"/>
              <w:left w:val="single" w:sz="4" w:space="0" w:color="auto"/>
              <w:bottom w:val="single" w:sz="4" w:space="0" w:color="auto"/>
              <w:right w:val="single" w:sz="4" w:space="0" w:color="auto"/>
            </w:tcBorders>
            <w:vAlign w:val="center"/>
            <w:hideMark/>
          </w:tcPr>
          <w:p w14:paraId="46260D7B" w14:textId="77777777" w:rsidR="005F20F6" w:rsidRPr="008C52C9" w:rsidRDefault="005F20F6">
            <w:pPr>
              <w:spacing w:line="276" w:lineRule="auto"/>
              <w:jc w:val="center"/>
              <w:rPr>
                <w:noProof/>
                <w:color w:val="0000FF"/>
                <w:sz w:val="20"/>
              </w:rPr>
            </w:pPr>
            <w:r w:rsidRPr="008C52C9">
              <w:rPr>
                <w:noProof/>
                <w:sz w:val="20"/>
              </w:rPr>
              <w:t>SÌ/NO</w:t>
            </w:r>
          </w:p>
        </w:tc>
        <w:tc>
          <w:tcPr>
            <w:tcW w:w="1564" w:type="dxa"/>
            <w:tcBorders>
              <w:top w:val="single" w:sz="4" w:space="0" w:color="auto"/>
              <w:left w:val="single" w:sz="4" w:space="0" w:color="auto"/>
              <w:bottom w:val="single" w:sz="4" w:space="0" w:color="auto"/>
              <w:right w:val="single" w:sz="4" w:space="0" w:color="auto"/>
            </w:tcBorders>
            <w:vAlign w:val="center"/>
            <w:hideMark/>
          </w:tcPr>
          <w:p w14:paraId="3CE0147B" w14:textId="77777777" w:rsidR="005F20F6" w:rsidRPr="008C52C9" w:rsidRDefault="005F20F6">
            <w:pPr>
              <w:spacing w:line="276" w:lineRule="auto"/>
              <w:jc w:val="center"/>
              <w:rPr>
                <w:noProof/>
                <w:sz w:val="20"/>
              </w:rPr>
            </w:pPr>
            <w:r w:rsidRPr="008C52C9">
              <w:rPr>
                <w:noProof/>
                <w:sz w:val="20"/>
              </w:rPr>
              <w:t>SÌ/NO</w:t>
            </w:r>
          </w:p>
        </w:tc>
      </w:tr>
    </w:tbl>
    <w:p w14:paraId="3F66536C" w14:textId="77777777" w:rsidR="005F20F6" w:rsidRPr="008C52C9" w:rsidRDefault="005F20F6" w:rsidP="005F20F6">
      <w:pPr>
        <w:spacing w:before="0" w:after="0"/>
        <w:jc w:val="left"/>
        <w:rPr>
          <w:noProof/>
        </w:rPr>
        <w:sectPr w:rsidR="005F20F6" w:rsidRPr="008C52C9" w:rsidSect="001A4546">
          <w:pgSz w:w="12240" w:h="15840"/>
          <w:pgMar w:top="794" w:right="907" w:bottom="851" w:left="1361" w:header="510" w:footer="454" w:gutter="0"/>
          <w:cols w:space="720"/>
          <w:docGrid w:linePitch="326"/>
        </w:sectPr>
      </w:pPr>
    </w:p>
    <w:p w14:paraId="539B36AB" w14:textId="77777777" w:rsidR="005F20F6" w:rsidRPr="008C52C9" w:rsidRDefault="005F20F6" w:rsidP="005F20F6">
      <w:pPr>
        <w:pStyle w:val="ManualHeading2"/>
        <w:rPr>
          <w:bCs/>
          <w:noProof/>
          <w:szCs w:val="24"/>
        </w:rPr>
      </w:pPr>
      <w:bookmarkStart w:id="60" w:name="_Toc514938685"/>
      <w:bookmarkStart w:id="61" w:name="_Toc520485444"/>
      <w:r w:rsidRPr="008C52C9">
        <w:rPr>
          <w:noProof/>
        </w:rPr>
        <w:lastRenderedPageBreak/>
        <w:t>3.2.</w:t>
      </w:r>
      <w:r w:rsidRPr="008C52C9">
        <w:rPr>
          <w:noProof/>
        </w:rPr>
        <w:tab/>
        <w:t>Incidenza prevista sulle spese</w:t>
      </w:r>
      <w:bookmarkEnd w:id="60"/>
      <w:bookmarkEnd w:id="61"/>
      <w:r w:rsidRPr="008C52C9">
        <w:rPr>
          <w:noProof/>
        </w:rPr>
        <w:t xml:space="preserve"> </w:t>
      </w:r>
    </w:p>
    <w:p w14:paraId="048D0F33" w14:textId="77777777" w:rsidR="005F20F6" w:rsidRPr="008C52C9" w:rsidRDefault="005F20F6" w:rsidP="005F20F6">
      <w:pPr>
        <w:pStyle w:val="ManualHeading3"/>
        <w:rPr>
          <w:bCs/>
          <w:noProof/>
          <w:szCs w:val="24"/>
        </w:rPr>
      </w:pPr>
      <w:bookmarkStart w:id="62" w:name="_Toc514938686"/>
      <w:bookmarkStart w:id="63" w:name="_Toc520485445"/>
      <w:r w:rsidRPr="008C52C9">
        <w:rPr>
          <w:noProof/>
        </w:rPr>
        <w:t>3.2.1.</w:t>
      </w:r>
      <w:r w:rsidRPr="008C52C9">
        <w:rPr>
          <w:noProof/>
        </w:rPr>
        <w:tab/>
        <w:t>Sintesi dell'incidenza prevista sulle spese</w:t>
      </w:r>
      <w:bookmarkEnd w:id="62"/>
      <w:bookmarkEnd w:id="63"/>
      <w:r w:rsidRPr="008C52C9">
        <w:rPr>
          <w:noProof/>
        </w:rPr>
        <w:t xml:space="preserve"> </w:t>
      </w:r>
    </w:p>
    <w:p w14:paraId="328CB92C" w14:textId="77777777" w:rsidR="005F20F6" w:rsidRPr="008C52C9" w:rsidRDefault="005F20F6" w:rsidP="005F20F6">
      <w:pPr>
        <w:jc w:val="right"/>
        <w:rPr>
          <w:noProof/>
          <w:sz w:val="20"/>
        </w:rPr>
      </w:pPr>
      <w:r w:rsidRPr="008C52C9">
        <w:rPr>
          <w:noProof/>
          <w:sz w:val="20"/>
        </w:rPr>
        <w:t>Mio EUR (al terzo decimale)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5F20F6" w:rsidRPr="008C52C9" w14:paraId="5A0B37D8" w14:textId="77777777" w:rsidTr="005F20F6">
        <w:trPr>
          <w:jc w:val="center"/>
        </w:trPr>
        <w:tc>
          <w:tcPr>
            <w:tcW w:w="4744" w:type="dxa"/>
            <w:tcBorders>
              <w:top w:val="single" w:sz="4" w:space="0" w:color="auto"/>
              <w:left w:val="single" w:sz="4" w:space="0" w:color="auto"/>
              <w:bottom w:val="single" w:sz="4" w:space="0" w:color="auto"/>
              <w:right w:val="single" w:sz="4" w:space="0" w:color="auto"/>
            </w:tcBorders>
            <w:shd w:val="thinDiagStripe" w:color="C0C0C0" w:fill="auto"/>
            <w:vAlign w:val="center"/>
            <w:hideMark/>
          </w:tcPr>
          <w:p w14:paraId="5BA895D0" w14:textId="77777777" w:rsidR="005F20F6" w:rsidRPr="008C52C9" w:rsidRDefault="005F20F6">
            <w:pPr>
              <w:spacing w:before="60" w:after="60" w:line="276" w:lineRule="auto"/>
              <w:jc w:val="center"/>
              <w:rPr>
                <w:b/>
                <w:noProof/>
              </w:rPr>
            </w:pPr>
            <w:r w:rsidRPr="008C52C9">
              <w:rPr>
                <w:b/>
                <w:noProof/>
                <w:sz w:val="22"/>
              </w:rPr>
              <w:t xml:space="preserve">Rubrica del quadro finanziario </w:t>
            </w:r>
            <w:r w:rsidRPr="008C52C9">
              <w:rPr>
                <w:noProof/>
              </w:rPr>
              <w:br/>
            </w:r>
            <w:r w:rsidRPr="008C52C9">
              <w:rPr>
                <w:b/>
                <w:noProof/>
                <w:sz w:val="22"/>
              </w:rPr>
              <w:t xml:space="preserve">pluriennale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D883BAE" w14:textId="77777777" w:rsidR="005F20F6" w:rsidRPr="008C52C9" w:rsidRDefault="005F20F6">
            <w:pPr>
              <w:spacing w:before="60" w:after="60" w:line="276" w:lineRule="auto"/>
              <w:jc w:val="center"/>
              <w:rPr>
                <w:noProof/>
              </w:rPr>
            </w:pPr>
            <w:r w:rsidRPr="008C52C9">
              <w:rPr>
                <w:noProof/>
                <w:sz w:val="22"/>
              </w:rPr>
              <w:t>1</w:t>
            </w:r>
          </w:p>
        </w:tc>
        <w:tc>
          <w:tcPr>
            <w:tcW w:w="7817" w:type="dxa"/>
            <w:tcBorders>
              <w:top w:val="single" w:sz="4" w:space="0" w:color="auto"/>
              <w:left w:val="single" w:sz="4" w:space="0" w:color="auto"/>
              <w:bottom w:val="single" w:sz="4" w:space="0" w:color="auto"/>
              <w:right w:val="single" w:sz="4" w:space="0" w:color="auto"/>
            </w:tcBorders>
            <w:vAlign w:val="center"/>
            <w:hideMark/>
          </w:tcPr>
          <w:p w14:paraId="1E666A5D" w14:textId="77777777" w:rsidR="005F20F6" w:rsidRPr="008C52C9" w:rsidRDefault="005F20F6">
            <w:pPr>
              <w:spacing w:before="60" w:after="60" w:line="276" w:lineRule="auto"/>
              <w:rPr>
                <w:noProof/>
              </w:rPr>
            </w:pPr>
            <w:r w:rsidRPr="008C52C9">
              <w:rPr>
                <w:noProof/>
              </w:rPr>
              <w:t>Mercato unico, innovazione e agenda digitale</w:t>
            </w:r>
          </w:p>
        </w:tc>
      </w:tr>
    </w:tbl>
    <w:p w14:paraId="7B6A2CF0" w14:textId="77777777" w:rsidR="005F20F6" w:rsidRPr="008C52C9" w:rsidRDefault="005F20F6" w:rsidP="005F20F6">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362"/>
        <w:gridCol w:w="732"/>
        <w:gridCol w:w="868"/>
        <w:gridCol w:w="868"/>
        <w:gridCol w:w="868"/>
        <w:gridCol w:w="1200"/>
        <w:gridCol w:w="1445"/>
      </w:tblGrid>
      <w:tr w:rsidR="005F20F6" w:rsidRPr="008C52C9" w14:paraId="292A12C4" w14:textId="77777777" w:rsidTr="005F20F6">
        <w:tc>
          <w:tcPr>
            <w:tcW w:w="3960" w:type="dxa"/>
            <w:tcBorders>
              <w:top w:val="single" w:sz="4" w:space="0" w:color="auto"/>
              <w:left w:val="single" w:sz="4" w:space="0" w:color="auto"/>
              <w:bottom w:val="single" w:sz="4" w:space="0" w:color="auto"/>
              <w:right w:val="single" w:sz="4" w:space="0" w:color="auto"/>
            </w:tcBorders>
            <w:vAlign w:val="center"/>
            <w:hideMark/>
          </w:tcPr>
          <w:p w14:paraId="334ADA5D" w14:textId="77777777" w:rsidR="005F20F6" w:rsidRPr="008C52C9" w:rsidRDefault="005F20F6">
            <w:pPr>
              <w:spacing w:line="276" w:lineRule="auto"/>
              <w:jc w:val="center"/>
              <w:rPr>
                <w:noProof/>
              </w:rPr>
            </w:pPr>
            <w:r w:rsidRPr="008C52C9">
              <w:rPr>
                <w:noProof/>
                <w:sz w:val="22"/>
              </w:rPr>
              <w:t>Agenzia europea per la sicurezza marittima (EMSA)</w:t>
            </w:r>
          </w:p>
        </w:tc>
        <w:tc>
          <w:tcPr>
            <w:tcW w:w="1362" w:type="dxa"/>
            <w:tcBorders>
              <w:top w:val="single" w:sz="4" w:space="0" w:color="auto"/>
              <w:left w:val="single" w:sz="4" w:space="0" w:color="auto"/>
              <w:bottom w:val="single" w:sz="4" w:space="0" w:color="auto"/>
              <w:right w:val="single" w:sz="4" w:space="0" w:color="auto"/>
            </w:tcBorders>
          </w:tcPr>
          <w:p w14:paraId="59A80045" w14:textId="77777777" w:rsidR="005F20F6" w:rsidRPr="008C52C9" w:rsidRDefault="005F20F6">
            <w:pPr>
              <w:spacing w:line="276" w:lineRule="auto"/>
              <w:rPr>
                <w:noProof/>
                <w:sz w:val="20"/>
              </w:rPr>
            </w:pPr>
          </w:p>
        </w:tc>
        <w:tc>
          <w:tcPr>
            <w:tcW w:w="732" w:type="dxa"/>
            <w:tcBorders>
              <w:top w:val="single" w:sz="4" w:space="0" w:color="auto"/>
              <w:left w:val="single" w:sz="4" w:space="0" w:color="auto"/>
              <w:bottom w:val="single" w:sz="4" w:space="0" w:color="auto"/>
              <w:right w:val="single" w:sz="4" w:space="0" w:color="auto"/>
            </w:tcBorders>
          </w:tcPr>
          <w:p w14:paraId="1D1F32C8" w14:textId="77777777" w:rsidR="005F20F6" w:rsidRPr="008C52C9" w:rsidRDefault="005F20F6">
            <w:pPr>
              <w:spacing w:line="276" w:lineRule="auto"/>
              <w:jc w:val="center"/>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0EBE2B8" w14:textId="77777777" w:rsidR="005F20F6" w:rsidRPr="008C52C9" w:rsidRDefault="005F20F6">
            <w:pPr>
              <w:spacing w:line="276" w:lineRule="auto"/>
              <w:jc w:val="center"/>
              <w:rPr>
                <w:noProof/>
                <w:sz w:val="20"/>
              </w:rPr>
            </w:pPr>
            <w:r w:rsidRPr="008C52C9">
              <w:rPr>
                <w:noProof/>
                <w:sz w:val="20"/>
              </w:rPr>
              <w:t>Anno</w:t>
            </w:r>
            <w:r w:rsidRPr="008C52C9">
              <w:rPr>
                <w:noProof/>
              </w:rPr>
              <w:t xml:space="preserve"> </w:t>
            </w:r>
            <w:r w:rsidRPr="008C52C9">
              <w:rPr>
                <w:noProof/>
              </w:rPr>
              <w:br/>
            </w:r>
            <w:r w:rsidRPr="008C52C9">
              <w:rPr>
                <w:b/>
                <w:noProof/>
                <w:sz w:val="20"/>
              </w:rPr>
              <w:t>2025</w:t>
            </w:r>
          </w:p>
        </w:tc>
        <w:tc>
          <w:tcPr>
            <w:tcW w:w="868" w:type="dxa"/>
            <w:tcBorders>
              <w:top w:val="single" w:sz="4" w:space="0" w:color="auto"/>
              <w:left w:val="single" w:sz="4" w:space="0" w:color="auto"/>
              <w:bottom w:val="single" w:sz="4" w:space="0" w:color="auto"/>
              <w:right w:val="single" w:sz="4" w:space="0" w:color="auto"/>
            </w:tcBorders>
            <w:vAlign w:val="center"/>
            <w:hideMark/>
          </w:tcPr>
          <w:p w14:paraId="0465924D" w14:textId="77777777" w:rsidR="005F20F6" w:rsidRPr="008C52C9" w:rsidRDefault="005F20F6">
            <w:pPr>
              <w:spacing w:line="276" w:lineRule="auto"/>
              <w:jc w:val="center"/>
              <w:rPr>
                <w:noProof/>
                <w:sz w:val="20"/>
              </w:rPr>
            </w:pPr>
            <w:r w:rsidRPr="008C52C9">
              <w:rPr>
                <w:noProof/>
                <w:sz w:val="20"/>
              </w:rPr>
              <w:t>Anno</w:t>
            </w:r>
            <w:r w:rsidRPr="008C52C9">
              <w:rPr>
                <w:noProof/>
              </w:rPr>
              <w:t xml:space="preserve"> </w:t>
            </w:r>
            <w:r w:rsidRPr="008C52C9">
              <w:rPr>
                <w:noProof/>
              </w:rPr>
              <w:br/>
            </w:r>
            <w:r w:rsidRPr="008C52C9">
              <w:rPr>
                <w:b/>
                <w:noProof/>
                <w:sz w:val="20"/>
              </w:rPr>
              <w:t>2026</w:t>
            </w:r>
          </w:p>
        </w:tc>
        <w:tc>
          <w:tcPr>
            <w:tcW w:w="868" w:type="dxa"/>
            <w:tcBorders>
              <w:top w:val="single" w:sz="4" w:space="0" w:color="auto"/>
              <w:left w:val="single" w:sz="4" w:space="0" w:color="auto"/>
              <w:bottom w:val="single" w:sz="4" w:space="0" w:color="auto"/>
              <w:right w:val="single" w:sz="4" w:space="0" w:color="auto"/>
            </w:tcBorders>
            <w:vAlign w:val="center"/>
            <w:hideMark/>
          </w:tcPr>
          <w:p w14:paraId="47AA4533" w14:textId="77777777" w:rsidR="005F20F6" w:rsidRPr="008C52C9" w:rsidRDefault="005F20F6">
            <w:pPr>
              <w:spacing w:line="276" w:lineRule="auto"/>
              <w:jc w:val="center"/>
              <w:rPr>
                <w:noProof/>
                <w:sz w:val="20"/>
              </w:rPr>
            </w:pPr>
            <w:r w:rsidRPr="008C52C9">
              <w:rPr>
                <w:noProof/>
                <w:sz w:val="20"/>
              </w:rPr>
              <w:t>Anno</w:t>
            </w:r>
            <w:r w:rsidRPr="008C52C9">
              <w:rPr>
                <w:noProof/>
              </w:rPr>
              <w:t xml:space="preserve"> </w:t>
            </w:r>
            <w:r w:rsidRPr="008C52C9">
              <w:rPr>
                <w:noProof/>
              </w:rPr>
              <w:br/>
            </w:r>
            <w:r w:rsidRPr="008C52C9">
              <w:rPr>
                <w:b/>
                <w:noProof/>
                <w:sz w:val="20"/>
              </w:rPr>
              <w:t>2027</w:t>
            </w:r>
          </w:p>
        </w:tc>
        <w:tc>
          <w:tcPr>
            <w:tcW w:w="1200" w:type="dxa"/>
            <w:tcBorders>
              <w:top w:val="single" w:sz="4" w:space="0" w:color="auto"/>
              <w:left w:val="single" w:sz="4" w:space="0" w:color="auto"/>
              <w:bottom w:val="single" w:sz="4" w:space="0" w:color="auto"/>
              <w:right w:val="single" w:sz="4" w:space="0" w:color="auto"/>
            </w:tcBorders>
            <w:hideMark/>
          </w:tcPr>
          <w:p w14:paraId="6A2D9C54" w14:textId="77777777" w:rsidR="005F20F6" w:rsidRPr="008C52C9" w:rsidRDefault="005F20F6">
            <w:pPr>
              <w:spacing w:line="276" w:lineRule="auto"/>
              <w:jc w:val="center"/>
              <w:rPr>
                <w:noProof/>
                <w:sz w:val="20"/>
              </w:rPr>
            </w:pPr>
            <w:r w:rsidRPr="008C52C9">
              <w:rPr>
                <w:noProof/>
                <w:sz w:val="20"/>
              </w:rPr>
              <w:t>Anno</w:t>
            </w:r>
            <w:r w:rsidRPr="008C52C9">
              <w:rPr>
                <w:noProof/>
              </w:rPr>
              <w:t xml:space="preserve"> </w:t>
            </w:r>
            <w:r w:rsidRPr="008C52C9">
              <w:rPr>
                <w:noProof/>
              </w:rPr>
              <w:br/>
            </w:r>
            <w:r w:rsidRPr="008C52C9">
              <w:rPr>
                <w:b/>
                <w:noProof/>
                <w:sz w:val="20"/>
              </w:rPr>
              <w:t>2028-2034</w:t>
            </w:r>
          </w:p>
        </w:tc>
        <w:tc>
          <w:tcPr>
            <w:tcW w:w="1445" w:type="dxa"/>
            <w:tcBorders>
              <w:top w:val="single" w:sz="4" w:space="0" w:color="auto"/>
              <w:left w:val="single" w:sz="4" w:space="0" w:color="auto"/>
              <w:bottom w:val="single" w:sz="4" w:space="0" w:color="auto"/>
              <w:right w:val="single" w:sz="4" w:space="0" w:color="auto"/>
            </w:tcBorders>
            <w:vAlign w:val="center"/>
            <w:hideMark/>
          </w:tcPr>
          <w:p w14:paraId="72D32472" w14:textId="77777777" w:rsidR="005F20F6" w:rsidRPr="008C52C9" w:rsidRDefault="005F20F6">
            <w:pPr>
              <w:spacing w:line="276" w:lineRule="auto"/>
              <w:jc w:val="center"/>
              <w:rPr>
                <w:b/>
                <w:noProof/>
                <w:sz w:val="20"/>
              </w:rPr>
            </w:pPr>
            <w:r w:rsidRPr="008C52C9">
              <w:rPr>
                <w:b/>
                <w:noProof/>
                <w:sz w:val="20"/>
              </w:rPr>
              <w:t>TOTALE</w:t>
            </w:r>
          </w:p>
        </w:tc>
      </w:tr>
      <w:tr w:rsidR="005F20F6" w:rsidRPr="008C52C9" w14:paraId="768FA56B" w14:textId="77777777" w:rsidTr="005F20F6">
        <w:trPr>
          <w:trHeight w:val="277"/>
        </w:trPr>
        <w:tc>
          <w:tcPr>
            <w:tcW w:w="3960" w:type="dxa"/>
            <w:vMerge w:val="restart"/>
            <w:tcBorders>
              <w:top w:val="single" w:sz="4" w:space="0" w:color="auto"/>
              <w:left w:val="single" w:sz="4" w:space="0" w:color="auto"/>
              <w:bottom w:val="single" w:sz="4" w:space="0" w:color="auto"/>
              <w:right w:val="single" w:sz="4" w:space="0" w:color="auto"/>
            </w:tcBorders>
            <w:vAlign w:val="center"/>
            <w:hideMark/>
          </w:tcPr>
          <w:p w14:paraId="4E1EABAA" w14:textId="77777777" w:rsidR="005F20F6" w:rsidRPr="008C52C9" w:rsidRDefault="005F20F6">
            <w:pPr>
              <w:spacing w:line="276" w:lineRule="auto"/>
              <w:rPr>
                <w:noProof/>
              </w:rPr>
            </w:pPr>
            <w:r w:rsidRPr="008C52C9">
              <w:rPr>
                <w:noProof/>
                <w:sz w:val="20"/>
              </w:rPr>
              <w:t>Titolo 1:</w:t>
            </w:r>
          </w:p>
        </w:tc>
        <w:tc>
          <w:tcPr>
            <w:tcW w:w="1362" w:type="dxa"/>
            <w:tcBorders>
              <w:top w:val="single" w:sz="4" w:space="0" w:color="auto"/>
              <w:left w:val="single" w:sz="4" w:space="0" w:color="auto"/>
              <w:bottom w:val="single" w:sz="4" w:space="0" w:color="auto"/>
              <w:right w:val="single" w:sz="4" w:space="0" w:color="auto"/>
            </w:tcBorders>
            <w:vAlign w:val="center"/>
            <w:hideMark/>
          </w:tcPr>
          <w:p w14:paraId="09AC7705" w14:textId="77777777" w:rsidR="005F20F6" w:rsidRPr="008C52C9" w:rsidRDefault="005F20F6">
            <w:pPr>
              <w:spacing w:before="20" w:after="20" w:line="276" w:lineRule="auto"/>
              <w:rPr>
                <w:noProof/>
              </w:rPr>
            </w:pPr>
            <w:r w:rsidRPr="008C52C9">
              <w:rPr>
                <w:noProof/>
                <w:sz w:val="18"/>
              </w:rPr>
              <w:t>Impegni</w:t>
            </w:r>
          </w:p>
        </w:tc>
        <w:tc>
          <w:tcPr>
            <w:tcW w:w="732" w:type="dxa"/>
            <w:tcBorders>
              <w:top w:val="single" w:sz="4" w:space="0" w:color="auto"/>
              <w:left w:val="single" w:sz="4" w:space="0" w:color="auto"/>
              <w:bottom w:val="single" w:sz="4" w:space="0" w:color="auto"/>
              <w:right w:val="single" w:sz="4" w:space="0" w:color="auto"/>
            </w:tcBorders>
            <w:vAlign w:val="center"/>
            <w:hideMark/>
          </w:tcPr>
          <w:p w14:paraId="385EC1A0" w14:textId="77777777" w:rsidR="005F20F6" w:rsidRPr="008C52C9" w:rsidRDefault="005F20F6">
            <w:pPr>
              <w:spacing w:before="20" w:after="20" w:line="276" w:lineRule="auto"/>
              <w:jc w:val="center"/>
              <w:rPr>
                <w:noProof/>
                <w:sz w:val="14"/>
              </w:rPr>
            </w:pPr>
            <w:r w:rsidRPr="008C52C9">
              <w:rPr>
                <w:noProof/>
                <w:sz w:val="14"/>
              </w:rPr>
              <w:t>(1)</w:t>
            </w:r>
          </w:p>
        </w:tc>
        <w:tc>
          <w:tcPr>
            <w:tcW w:w="868" w:type="dxa"/>
            <w:tcBorders>
              <w:top w:val="single" w:sz="4" w:space="0" w:color="auto"/>
              <w:left w:val="single" w:sz="4" w:space="0" w:color="auto"/>
              <w:bottom w:val="single" w:sz="4" w:space="0" w:color="auto"/>
              <w:right w:val="single" w:sz="4" w:space="0" w:color="auto"/>
            </w:tcBorders>
            <w:vAlign w:val="center"/>
            <w:hideMark/>
          </w:tcPr>
          <w:p w14:paraId="2636E38E" w14:textId="77777777" w:rsidR="005F20F6" w:rsidRPr="008C52C9" w:rsidRDefault="0093494E">
            <w:pPr>
              <w:spacing w:before="20" w:after="20" w:line="276" w:lineRule="auto"/>
              <w:jc w:val="right"/>
              <w:rPr>
                <w:noProof/>
                <w:sz w:val="20"/>
              </w:rPr>
            </w:pPr>
            <w:r w:rsidRPr="008C52C9">
              <w:rPr>
                <w:noProof/>
                <w:sz w:val="20"/>
              </w:rPr>
              <w:t>0,513</w:t>
            </w:r>
          </w:p>
        </w:tc>
        <w:tc>
          <w:tcPr>
            <w:tcW w:w="868" w:type="dxa"/>
            <w:tcBorders>
              <w:top w:val="single" w:sz="4" w:space="0" w:color="auto"/>
              <w:left w:val="single" w:sz="4" w:space="0" w:color="auto"/>
              <w:bottom w:val="single" w:sz="4" w:space="0" w:color="auto"/>
              <w:right w:val="single" w:sz="4" w:space="0" w:color="auto"/>
            </w:tcBorders>
            <w:vAlign w:val="center"/>
            <w:hideMark/>
          </w:tcPr>
          <w:p w14:paraId="22C47C8E" w14:textId="77777777" w:rsidR="005F20F6" w:rsidRPr="008C52C9" w:rsidRDefault="005F20F6">
            <w:pPr>
              <w:spacing w:before="20" w:after="20" w:line="276" w:lineRule="auto"/>
              <w:jc w:val="right"/>
              <w:rPr>
                <w:noProof/>
                <w:sz w:val="20"/>
              </w:rPr>
            </w:pPr>
            <w:r w:rsidRPr="008C52C9">
              <w:rPr>
                <w:noProof/>
                <w:sz w:val="20"/>
              </w:rPr>
              <w:t>1,881</w:t>
            </w:r>
          </w:p>
        </w:tc>
        <w:tc>
          <w:tcPr>
            <w:tcW w:w="868" w:type="dxa"/>
            <w:tcBorders>
              <w:top w:val="single" w:sz="4" w:space="0" w:color="auto"/>
              <w:left w:val="single" w:sz="4" w:space="0" w:color="auto"/>
              <w:bottom w:val="single" w:sz="4" w:space="0" w:color="auto"/>
              <w:right w:val="single" w:sz="4" w:space="0" w:color="auto"/>
            </w:tcBorders>
            <w:vAlign w:val="center"/>
            <w:hideMark/>
          </w:tcPr>
          <w:p w14:paraId="66EB0F60" w14:textId="77777777" w:rsidR="005F20F6" w:rsidRPr="008C52C9" w:rsidRDefault="005F20F6">
            <w:pPr>
              <w:spacing w:before="20" w:after="20" w:line="276" w:lineRule="auto"/>
              <w:jc w:val="right"/>
              <w:rPr>
                <w:noProof/>
                <w:sz w:val="20"/>
              </w:rPr>
            </w:pPr>
            <w:r w:rsidRPr="008C52C9">
              <w:rPr>
                <w:noProof/>
                <w:sz w:val="20"/>
              </w:rPr>
              <w:t>1,881</w:t>
            </w:r>
          </w:p>
        </w:tc>
        <w:tc>
          <w:tcPr>
            <w:tcW w:w="1200" w:type="dxa"/>
            <w:tcBorders>
              <w:top w:val="single" w:sz="4" w:space="0" w:color="auto"/>
              <w:left w:val="single" w:sz="4" w:space="0" w:color="auto"/>
              <w:bottom w:val="single" w:sz="4" w:space="0" w:color="auto"/>
              <w:right w:val="single" w:sz="4" w:space="0" w:color="auto"/>
            </w:tcBorders>
            <w:vAlign w:val="center"/>
            <w:hideMark/>
          </w:tcPr>
          <w:p w14:paraId="62B9D421" w14:textId="77777777" w:rsidR="005F20F6" w:rsidRPr="008C52C9" w:rsidRDefault="005F20F6">
            <w:pPr>
              <w:spacing w:before="20" w:after="20" w:line="276" w:lineRule="auto"/>
              <w:jc w:val="right"/>
              <w:rPr>
                <w:noProof/>
                <w:sz w:val="20"/>
              </w:rPr>
            </w:pPr>
            <w:r w:rsidRPr="008C52C9">
              <w:rPr>
                <w:noProof/>
                <w:sz w:val="20"/>
              </w:rPr>
              <w:t>14,364</w:t>
            </w:r>
          </w:p>
        </w:tc>
        <w:tc>
          <w:tcPr>
            <w:tcW w:w="1445" w:type="dxa"/>
            <w:tcBorders>
              <w:top w:val="single" w:sz="4" w:space="0" w:color="auto"/>
              <w:left w:val="single" w:sz="4" w:space="0" w:color="auto"/>
              <w:bottom w:val="single" w:sz="4" w:space="0" w:color="auto"/>
              <w:right w:val="single" w:sz="4" w:space="0" w:color="auto"/>
            </w:tcBorders>
            <w:vAlign w:val="center"/>
            <w:hideMark/>
          </w:tcPr>
          <w:p w14:paraId="0E0BD24E" w14:textId="77777777" w:rsidR="005F20F6" w:rsidRPr="008C52C9" w:rsidRDefault="00C5644C">
            <w:pPr>
              <w:spacing w:before="20" w:after="20" w:line="276" w:lineRule="auto"/>
              <w:jc w:val="right"/>
              <w:rPr>
                <w:b/>
                <w:noProof/>
                <w:sz w:val="20"/>
              </w:rPr>
            </w:pPr>
            <w:r w:rsidRPr="008C52C9">
              <w:rPr>
                <w:b/>
                <w:noProof/>
                <w:sz w:val="20"/>
              </w:rPr>
              <w:t>18,639</w:t>
            </w:r>
          </w:p>
        </w:tc>
      </w:tr>
      <w:tr w:rsidR="005F20F6" w:rsidRPr="008C52C9" w14:paraId="357B7245" w14:textId="77777777" w:rsidTr="005F20F6">
        <w:tc>
          <w:tcPr>
            <w:tcW w:w="3960" w:type="dxa"/>
            <w:vMerge/>
            <w:tcBorders>
              <w:top w:val="single" w:sz="4" w:space="0" w:color="auto"/>
              <w:left w:val="single" w:sz="4" w:space="0" w:color="auto"/>
              <w:bottom w:val="single" w:sz="4" w:space="0" w:color="auto"/>
              <w:right w:val="single" w:sz="4" w:space="0" w:color="auto"/>
            </w:tcBorders>
            <w:vAlign w:val="center"/>
            <w:hideMark/>
          </w:tcPr>
          <w:p w14:paraId="7FC9E4B7" w14:textId="77777777" w:rsidR="005F20F6" w:rsidRPr="008C52C9" w:rsidRDefault="005F20F6">
            <w:pPr>
              <w:spacing w:before="0" w:after="0" w:line="276" w:lineRule="auto"/>
              <w:jc w:val="left"/>
              <w:rPr>
                <w:noProof/>
              </w:rPr>
            </w:pPr>
          </w:p>
        </w:tc>
        <w:tc>
          <w:tcPr>
            <w:tcW w:w="1362" w:type="dxa"/>
            <w:tcBorders>
              <w:top w:val="single" w:sz="4" w:space="0" w:color="auto"/>
              <w:left w:val="single" w:sz="4" w:space="0" w:color="auto"/>
              <w:bottom w:val="single" w:sz="4" w:space="0" w:color="auto"/>
              <w:right w:val="single" w:sz="4" w:space="0" w:color="auto"/>
            </w:tcBorders>
            <w:vAlign w:val="center"/>
            <w:hideMark/>
          </w:tcPr>
          <w:p w14:paraId="7F584194" w14:textId="77777777" w:rsidR="005F20F6" w:rsidRPr="008C52C9" w:rsidRDefault="005F20F6">
            <w:pPr>
              <w:spacing w:before="20" w:after="20" w:line="276" w:lineRule="auto"/>
              <w:rPr>
                <w:noProof/>
                <w:sz w:val="18"/>
              </w:rPr>
            </w:pPr>
            <w:r w:rsidRPr="008C52C9">
              <w:rPr>
                <w:noProof/>
                <w:sz w:val="18"/>
              </w:rPr>
              <w:t>Pagamenti</w:t>
            </w:r>
          </w:p>
        </w:tc>
        <w:tc>
          <w:tcPr>
            <w:tcW w:w="732" w:type="dxa"/>
            <w:tcBorders>
              <w:top w:val="single" w:sz="4" w:space="0" w:color="auto"/>
              <w:left w:val="single" w:sz="4" w:space="0" w:color="auto"/>
              <w:bottom w:val="single" w:sz="4" w:space="0" w:color="auto"/>
              <w:right w:val="single" w:sz="4" w:space="0" w:color="auto"/>
            </w:tcBorders>
            <w:vAlign w:val="center"/>
            <w:hideMark/>
          </w:tcPr>
          <w:p w14:paraId="77D8C9C4" w14:textId="77777777" w:rsidR="005F20F6" w:rsidRPr="008C52C9" w:rsidRDefault="005F20F6">
            <w:pPr>
              <w:spacing w:before="20" w:after="20" w:line="276" w:lineRule="auto"/>
              <w:jc w:val="center"/>
              <w:rPr>
                <w:noProof/>
                <w:sz w:val="14"/>
              </w:rPr>
            </w:pPr>
            <w:r w:rsidRPr="008C52C9">
              <w:rPr>
                <w:noProof/>
                <w:sz w:val="14"/>
              </w:rPr>
              <w:t>(2)</w:t>
            </w:r>
          </w:p>
        </w:tc>
        <w:tc>
          <w:tcPr>
            <w:tcW w:w="868" w:type="dxa"/>
            <w:tcBorders>
              <w:top w:val="single" w:sz="4" w:space="0" w:color="auto"/>
              <w:left w:val="single" w:sz="4" w:space="0" w:color="auto"/>
              <w:bottom w:val="single" w:sz="4" w:space="0" w:color="auto"/>
              <w:right w:val="single" w:sz="4" w:space="0" w:color="auto"/>
            </w:tcBorders>
            <w:vAlign w:val="center"/>
            <w:hideMark/>
          </w:tcPr>
          <w:p w14:paraId="52C15FE9" w14:textId="77777777" w:rsidR="005F20F6" w:rsidRPr="008C52C9" w:rsidRDefault="0093494E">
            <w:pPr>
              <w:spacing w:before="20" w:after="20" w:line="276" w:lineRule="auto"/>
              <w:jc w:val="right"/>
              <w:rPr>
                <w:noProof/>
                <w:sz w:val="20"/>
              </w:rPr>
            </w:pPr>
            <w:r w:rsidRPr="008C52C9">
              <w:rPr>
                <w:noProof/>
                <w:sz w:val="20"/>
              </w:rPr>
              <w:t>0,513</w:t>
            </w:r>
          </w:p>
        </w:tc>
        <w:tc>
          <w:tcPr>
            <w:tcW w:w="868" w:type="dxa"/>
            <w:tcBorders>
              <w:top w:val="single" w:sz="4" w:space="0" w:color="auto"/>
              <w:left w:val="single" w:sz="4" w:space="0" w:color="auto"/>
              <w:bottom w:val="single" w:sz="4" w:space="0" w:color="auto"/>
              <w:right w:val="single" w:sz="4" w:space="0" w:color="auto"/>
            </w:tcBorders>
            <w:vAlign w:val="center"/>
            <w:hideMark/>
          </w:tcPr>
          <w:p w14:paraId="5F894349" w14:textId="77777777" w:rsidR="005F20F6" w:rsidRPr="008C52C9" w:rsidRDefault="005F20F6">
            <w:pPr>
              <w:spacing w:before="20" w:after="20" w:line="276" w:lineRule="auto"/>
              <w:jc w:val="right"/>
              <w:rPr>
                <w:noProof/>
                <w:sz w:val="20"/>
              </w:rPr>
            </w:pPr>
            <w:r w:rsidRPr="008C52C9">
              <w:rPr>
                <w:noProof/>
                <w:sz w:val="20"/>
              </w:rPr>
              <w:t>1,881</w:t>
            </w:r>
          </w:p>
        </w:tc>
        <w:tc>
          <w:tcPr>
            <w:tcW w:w="868" w:type="dxa"/>
            <w:tcBorders>
              <w:top w:val="single" w:sz="4" w:space="0" w:color="auto"/>
              <w:left w:val="single" w:sz="4" w:space="0" w:color="auto"/>
              <w:bottom w:val="single" w:sz="4" w:space="0" w:color="auto"/>
              <w:right w:val="single" w:sz="4" w:space="0" w:color="auto"/>
            </w:tcBorders>
            <w:vAlign w:val="center"/>
            <w:hideMark/>
          </w:tcPr>
          <w:p w14:paraId="2FE738F6" w14:textId="77777777" w:rsidR="005F20F6" w:rsidRPr="008C52C9" w:rsidRDefault="005F20F6">
            <w:pPr>
              <w:spacing w:before="20" w:after="20" w:line="276" w:lineRule="auto"/>
              <w:jc w:val="right"/>
              <w:rPr>
                <w:noProof/>
                <w:sz w:val="20"/>
              </w:rPr>
            </w:pPr>
            <w:r w:rsidRPr="008C52C9">
              <w:rPr>
                <w:noProof/>
                <w:sz w:val="20"/>
              </w:rPr>
              <w:t>1,881</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4810F5B" w14:textId="77777777" w:rsidR="005F20F6" w:rsidRPr="008C52C9" w:rsidRDefault="005F20F6">
            <w:pPr>
              <w:spacing w:before="20" w:after="20" w:line="276" w:lineRule="auto"/>
              <w:jc w:val="right"/>
              <w:rPr>
                <w:noProof/>
                <w:sz w:val="20"/>
              </w:rPr>
            </w:pPr>
            <w:r w:rsidRPr="008C52C9">
              <w:rPr>
                <w:noProof/>
                <w:sz w:val="20"/>
              </w:rPr>
              <w:t>14,364</w:t>
            </w:r>
          </w:p>
        </w:tc>
        <w:tc>
          <w:tcPr>
            <w:tcW w:w="1445" w:type="dxa"/>
            <w:tcBorders>
              <w:top w:val="single" w:sz="4" w:space="0" w:color="auto"/>
              <w:left w:val="single" w:sz="4" w:space="0" w:color="auto"/>
              <w:bottom w:val="single" w:sz="4" w:space="0" w:color="auto"/>
              <w:right w:val="single" w:sz="4" w:space="0" w:color="auto"/>
            </w:tcBorders>
            <w:vAlign w:val="center"/>
            <w:hideMark/>
          </w:tcPr>
          <w:p w14:paraId="7636F5AA" w14:textId="77777777" w:rsidR="005F20F6" w:rsidRPr="008C52C9" w:rsidRDefault="00C5644C">
            <w:pPr>
              <w:spacing w:before="20" w:after="20" w:line="276" w:lineRule="auto"/>
              <w:jc w:val="right"/>
              <w:rPr>
                <w:b/>
                <w:noProof/>
                <w:sz w:val="20"/>
              </w:rPr>
            </w:pPr>
            <w:r w:rsidRPr="008C52C9">
              <w:rPr>
                <w:b/>
                <w:noProof/>
                <w:sz w:val="20"/>
              </w:rPr>
              <w:t>18,639</w:t>
            </w:r>
          </w:p>
        </w:tc>
      </w:tr>
      <w:tr w:rsidR="005F20F6" w:rsidRPr="008C52C9" w14:paraId="3C41AD72" w14:textId="77777777" w:rsidTr="005F20F6">
        <w:tc>
          <w:tcPr>
            <w:tcW w:w="3960" w:type="dxa"/>
            <w:vMerge w:val="restart"/>
            <w:tcBorders>
              <w:top w:val="single" w:sz="4" w:space="0" w:color="auto"/>
              <w:left w:val="single" w:sz="4" w:space="0" w:color="auto"/>
              <w:bottom w:val="single" w:sz="4" w:space="0" w:color="auto"/>
              <w:right w:val="single" w:sz="4" w:space="0" w:color="auto"/>
            </w:tcBorders>
            <w:vAlign w:val="center"/>
            <w:hideMark/>
          </w:tcPr>
          <w:p w14:paraId="5BDB901D" w14:textId="77777777" w:rsidR="005F20F6" w:rsidRPr="008C52C9" w:rsidRDefault="005F20F6">
            <w:pPr>
              <w:spacing w:line="276" w:lineRule="auto"/>
              <w:rPr>
                <w:noProof/>
              </w:rPr>
            </w:pPr>
            <w:r w:rsidRPr="008C52C9">
              <w:rPr>
                <w:noProof/>
                <w:sz w:val="20"/>
              </w:rPr>
              <w:t>Titolo 2:</w:t>
            </w:r>
          </w:p>
        </w:tc>
        <w:tc>
          <w:tcPr>
            <w:tcW w:w="1362" w:type="dxa"/>
            <w:tcBorders>
              <w:top w:val="single" w:sz="4" w:space="0" w:color="auto"/>
              <w:left w:val="single" w:sz="4" w:space="0" w:color="auto"/>
              <w:bottom w:val="single" w:sz="4" w:space="0" w:color="auto"/>
              <w:right w:val="single" w:sz="4" w:space="0" w:color="auto"/>
            </w:tcBorders>
            <w:vAlign w:val="center"/>
            <w:hideMark/>
          </w:tcPr>
          <w:p w14:paraId="11349A94" w14:textId="77777777" w:rsidR="005F20F6" w:rsidRPr="008C52C9" w:rsidRDefault="005F20F6">
            <w:pPr>
              <w:spacing w:before="20" w:after="20" w:line="276" w:lineRule="auto"/>
              <w:rPr>
                <w:noProof/>
                <w:sz w:val="18"/>
              </w:rPr>
            </w:pPr>
            <w:r w:rsidRPr="008C52C9">
              <w:rPr>
                <w:noProof/>
                <w:sz w:val="18"/>
              </w:rPr>
              <w:t>Impegni</w:t>
            </w:r>
          </w:p>
        </w:tc>
        <w:tc>
          <w:tcPr>
            <w:tcW w:w="732" w:type="dxa"/>
            <w:tcBorders>
              <w:top w:val="single" w:sz="4" w:space="0" w:color="auto"/>
              <w:left w:val="single" w:sz="4" w:space="0" w:color="auto"/>
              <w:bottom w:val="single" w:sz="4" w:space="0" w:color="auto"/>
              <w:right w:val="single" w:sz="4" w:space="0" w:color="auto"/>
            </w:tcBorders>
            <w:vAlign w:val="center"/>
            <w:hideMark/>
          </w:tcPr>
          <w:p w14:paraId="2A1AE4C7" w14:textId="77777777" w:rsidR="005F20F6" w:rsidRPr="008C52C9" w:rsidRDefault="005F20F6">
            <w:pPr>
              <w:spacing w:before="20" w:after="20" w:line="276" w:lineRule="auto"/>
              <w:jc w:val="center"/>
              <w:rPr>
                <w:noProof/>
                <w:sz w:val="14"/>
              </w:rPr>
            </w:pPr>
            <w:r w:rsidRPr="008C52C9">
              <w:rPr>
                <w:noProof/>
                <w:sz w:val="14"/>
              </w:rPr>
              <w:t>(1a)</w:t>
            </w:r>
          </w:p>
        </w:tc>
        <w:tc>
          <w:tcPr>
            <w:tcW w:w="868" w:type="dxa"/>
            <w:tcBorders>
              <w:top w:val="single" w:sz="4" w:space="0" w:color="auto"/>
              <w:left w:val="single" w:sz="4" w:space="0" w:color="auto"/>
              <w:bottom w:val="single" w:sz="4" w:space="0" w:color="auto"/>
              <w:right w:val="single" w:sz="4" w:space="0" w:color="auto"/>
            </w:tcBorders>
            <w:vAlign w:val="center"/>
          </w:tcPr>
          <w:p w14:paraId="64C764EE" w14:textId="77777777" w:rsidR="005F20F6" w:rsidRPr="008C52C9" w:rsidRDefault="005F20F6">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5077F8F8" w14:textId="77777777" w:rsidR="005F20F6" w:rsidRPr="008C52C9" w:rsidRDefault="005F20F6">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25971B43" w14:textId="77777777" w:rsidR="005F20F6" w:rsidRPr="008C52C9" w:rsidRDefault="005F20F6">
            <w:pPr>
              <w:spacing w:before="20" w:after="20" w:line="276" w:lineRule="auto"/>
              <w:jc w:val="right"/>
              <w:rPr>
                <w:noProof/>
                <w:sz w:val="20"/>
              </w:rPr>
            </w:pPr>
          </w:p>
        </w:tc>
        <w:tc>
          <w:tcPr>
            <w:tcW w:w="1200" w:type="dxa"/>
            <w:tcBorders>
              <w:top w:val="single" w:sz="4" w:space="0" w:color="auto"/>
              <w:left w:val="single" w:sz="4" w:space="0" w:color="auto"/>
              <w:bottom w:val="single" w:sz="4" w:space="0" w:color="auto"/>
              <w:right w:val="single" w:sz="4" w:space="0" w:color="auto"/>
            </w:tcBorders>
            <w:vAlign w:val="center"/>
          </w:tcPr>
          <w:p w14:paraId="30FD92A9" w14:textId="77777777" w:rsidR="005F20F6" w:rsidRPr="008C52C9" w:rsidRDefault="005F20F6">
            <w:pPr>
              <w:spacing w:before="20" w:after="20" w:line="276" w:lineRule="auto"/>
              <w:jc w:val="right"/>
              <w:rPr>
                <w:noProof/>
                <w:sz w:val="20"/>
              </w:rPr>
            </w:pPr>
          </w:p>
        </w:tc>
        <w:tc>
          <w:tcPr>
            <w:tcW w:w="1445" w:type="dxa"/>
            <w:tcBorders>
              <w:top w:val="single" w:sz="4" w:space="0" w:color="auto"/>
              <w:left w:val="single" w:sz="4" w:space="0" w:color="auto"/>
              <w:bottom w:val="single" w:sz="4" w:space="0" w:color="auto"/>
              <w:right w:val="single" w:sz="4" w:space="0" w:color="auto"/>
            </w:tcBorders>
            <w:vAlign w:val="center"/>
          </w:tcPr>
          <w:p w14:paraId="0AF03584" w14:textId="77777777" w:rsidR="005F20F6" w:rsidRPr="008C52C9" w:rsidRDefault="005F20F6">
            <w:pPr>
              <w:spacing w:before="20" w:after="20" w:line="276" w:lineRule="auto"/>
              <w:jc w:val="right"/>
              <w:rPr>
                <w:b/>
                <w:noProof/>
                <w:sz w:val="20"/>
              </w:rPr>
            </w:pPr>
          </w:p>
        </w:tc>
      </w:tr>
      <w:tr w:rsidR="005F20F6" w:rsidRPr="008C52C9" w14:paraId="079AE74F" w14:textId="77777777" w:rsidTr="005F20F6">
        <w:tc>
          <w:tcPr>
            <w:tcW w:w="3960" w:type="dxa"/>
            <w:vMerge/>
            <w:tcBorders>
              <w:top w:val="single" w:sz="4" w:space="0" w:color="auto"/>
              <w:left w:val="single" w:sz="4" w:space="0" w:color="auto"/>
              <w:bottom w:val="single" w:sz="4" w:space="0" w:color="auto"/>
              <w:right w:val="single" w:sz="4" w:space="0" w:color="auto"/>
            </w:tcBorders>
            <w:vAlign w:val="center"/>
            <w:hideMark/>
          </w:tcPr>
          <w:p w14:paraId="3EA7B380" w14:textId="77777777" w:rsidR="005F20F6" w:rsidRPr="008C52C9" w:rsidRDefault="005F20F6">
            <w:pPr>
              <w:spacing w:before="0" w:after="0" w:line="276" w:lineRule="auto"/>
              <w:jc w:val="left"/>
              <w:rPr>
                <w:noProof/>
              </w:rPr>
            </w:pPr>
          </w:p>
        </w:tc>
        <w:tc>
          <w:tcPr>
            <w:tcW w:w="1362" w:type="dxa"/>
            <w:tcBorders>
              <w:top w:val="single" w:sz="4" w:space="0" w:color="auto"/>
              <w:left w:val="single" w:sz="4" w:space="0" w:color="auto"/>
              <w:bottom w:val="single" w:sz="4" w:space="0" w:color="auto"/>
              <w:right w:val="single" w:sz="4" w:space="0" w:color="auto"/>
            </w:tcBorders>
            <w:vAlign w:val="center"/>
            <w:hideMark/>
          </w:tcPr>
          <w:p w14:paraId="429DFB1C" w14:textId="77777777" w:rsidR="005F20F6" w:rsidRPr="008C52C9" w:rsidRDefault="005F20F6">
            <w:pPr>
              <w:spacing w:before="20" w:after="20" w:line="276" w:lineRule="auto"/>
              <w:rPr>
                <w:noProof/>
                <w:sz w:val="18"/>
              </w:rPr>
            </w:pPr>
            <w:r w:rsidRPr="008C52C9">
              <w:rPr>
                <w:noProof/>
                <w:sz w:val="18"/>
              </w:rPr>
              <w:t>Pagamenti</w:t>
            </w:r>
          </w:p>
        </w:tc>
        <w:tc>
          <w:tcPr>
            <w:tcW w:w="732" w:type="dxa"/>
            <w:tcBorders>
              <w:top w:val="single" w:sz="4" w:space="0" w:color="auto"/>
              <w:left w:val="single" w:sz="4" w:space="0" w:color="auto"/>
              <w:bottom w:val="single" w:sz="4" w:space="0" w:color="auto"/>
              <w:right w:val="single" w:sz="4" w:space="0" w:color="auto"/>
            </w:tcBorders>
            <w:vAlign w:val="center"/>
            <w:hideMark/>
          </w:tcPr>
          <w:p w14:paraId="41B73132" w14:textId="77777777" w:rsidR="005F20F6" w:rsidRPr="008C52C9" w:rsidRDefault="005F20F6">
            <w:pPr>
              <w:spacing w:before="20" w:after="20" w:line="276" w:lineRule="auto"/>
              <w:jc w:val="center"/>
              <w:rPr>
                <w:noProof/>
                <w:sz w:val="14"/>
              </w:rPr>
            </w:pPr>
            <w:r w:rsidRPr="008C52C9">
              <w:rPr>
                <w:noProof/>
                <w:sz w:val="14"/>
              </w:rPr>
              <w:t>(2a)</w:t>
            </w:r>
          </w:p>
        </w:tc>
        <w:tc>
          <w:tcPr>
            <w:tcW w:w="868" w:type="dxa"/>
            <w:tcBorders>
              <w:top w:val="single" w:sz="4" w:space="0" w:color="auto"/>
              <w:left w:val="single" w:sz="4" w:space="0" w:color="auto"/>
              <w:bottom w:val="single" w:sz="4" w:space="0" w:color="auto"/>
              <w:right w:val="single" w:sz="4" w:space="0" w:color="auto"/>
            </w:tcBorders>
            <w:vAlign w:val="center"/>
          </w:tcPr>
          <w:p w14:paraId="2BE724B4" w14:textId="77777777" w:rsidR="005F20F6" w:rsidRPr="008C52C9" w:rsidRDefault="005F20F6">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5D77E98D" w14:textId="77777777" w:rsidR="005F20F6" w:rsidRPr="008C52C9" w:rsidRDefault="005F20F6">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5C47B018" w14:textId="77777777" w:rsidR="005F20F6" w:rsidRPr="008C52C9" w:rsidRDefault="005F20F6">
            <w:pPr>
              <w:spacing w:before="20" w:after="20" w:line="276" w:lineRule="auto"/>
              <w:jc w:val="right"/>
              <w:rPr>
                <w:noProof/>
                <w:sz w:val="20"/>
              </w:rPr>
            </w:pPr>
          </w:p>
        </w:tc>
        <w:tc>
          <w:tcPr>
            <w:tcW w:w="1200" w:type="dxa"/>
            <w:tcBorders>
              <w:top w:val="single" w:sz="4" w:space="0" w:color="auto"/>
              <w:left w:val="single" w:sz="4" w:space="0" w:color="auto"/>
              <w:bottom w:val="single" w:sz="4" w:space="0" w:color="auto"/>
              <w:right w:val="single" w:sz="4" w:space="0" w:color="auto"/>
            </w:tcBorders>
            <w:vAlign w:val="center"/>
          </w:tcPr>
          <w:p w14:paraId="453B7BCF" w14:textId="77777777" w:rsidR="005F20F6" w:rsidRPr="008C52C9" w:rsidRDefault="005F20F6">
            <w:pPr>
              <w:spacing w:before="20" w:after="20" w:line="276" w:lineRule="auto"/>
              <w:jc w:val="right"/>
              <w:rPr>
                <w:noProof/>
                <w:sz w:val="20"/>
              </w:rPr>
            </w:pPr>
          </w:p>
        </w:tc>
        <w:tc>
          <w:tcPr>
            <w:tcW w:w="1445" w:type="dxa"/>
            <w:tcBorders>
              <w:top w:val="single" w:sz="4" w:space="0" w:color="auto"/>
              <w:left w:val="single" w:sz="4" w:space="0" w:color="auto"/>
              <w:bottom w:val="single" w:sz="4" w:space="0" w:color="auto"/>
              <w:right w:val="single" w:sz="4" w:space="0" w:color="auto"/>
            </w:tcBorders>
            <w:vAlign w:val="center"/>
          </w:tcPr>
          <w:p w14:paraId="16098E0B" w14:textId="77777777" w:rsidR="005F20F6" w:rsidRPr="008C52C9" w:rsidRDefault="005F20F6">
            <w:pPr>
              <w:spacing w:before="20" w:after="20" w:line="276" w:lineRule="auto"/>
              <w:jc w:val="right"/>
              <w:rPr>
                <w:b/>
                <w:noProof/>
                <w:sz w:val="20"/>
              </w:rPr>
            </w:pPr>
          </w:p>
        </w:tc>
      </w:tr>
      <w:tr w:rsidR="005F20F6" w:rsidRPr="008C52C9" w14:paraId="74520B16" w14:textId="77777777" w:rsidTr="005F20F6">
        <w:trPr>
          <w:trHeight w:val="319"/>
        </w:trPr>
        <w:tc>
          <w:tcPr>
            <w:tcW w:w="3960" w:type="dxa"/>
            <w:tcBorders>
              <w:top w:val="single" w:sz="4" w:space="0" w:color="auto"/>
              <w:left w:val="single" w:sz="4" w:space="0" w:color="auto"/>
              <w:bottom w:val="single" w:sz="4" w:space="0" w:color="auto"/>
              <w:right w:val="single" w:sz="4" w:space="0" w:color="auto"/>
            </w:tcBorders>
            <w:vAlign w:val="center"/>
            <w:hideMark/>
          </w:tcPr>
          <w:p w14:paraId="5CA874B9" w14:textId="77777777" w:rsidR="005F20F6" w:rsidRPr="008C52C9" w:rsidRDefault="005F20F6">
            <w:pPr>
              <w:spacing w:before="60" w:after="60" w:line="276" w:lineRule="auto"/>
              <w:rPr>
                <w:noProof/>
              </w:rPr>
            </w:pPr>
            <w:r w:rsidRPr="008C52C9">
              <w:rPr>
                <w:noProof/>
                <w:sz w:val="20"/>
              </w:rPr>
              <w:t>Titolo 3:</w:t>
            </w:r>
          </w:p>
        </w:tc>
        <w:tc>
          <w:tcPr>
            <w:tcW w:w="1362" w:type="dxa"/>
            <w:tcBorders>
              <w:top w:val="single" w:sz="4" w:space="0" w:color="auto"/>
              <w:left w:val="single" w:sz="4" w:space="0" w:color="auto"/>
              <w:bottom w:val="single" w:sz="4" w:space="0" w:color="auto"/>
              <w:right w:val="single" w:sz="4" w:space="0" w:color="auto"/>
            </w:tcBorders>
            <w:vAlign w:val="center"/>
            <w:hideMark/>
          </w:tcPr>
          <w:p w14:paraId="4592D1CC" w14:textId="77777777" w:rsidR="005F20F6" w:rsidRPr="008C52C9" w:rsidRDefault="005F20F6">
            <w:pPr>
              <w:spacing w:before="40" w:after="40" w:line="276" w:lineRule="auto"/>
              <w:rPr>
                <w:noProof/>
                <w:sz w:val="18"/>
              </w:rPr>
            </w:pPr>
            <w:r w:rsidRPr="008C52C9">
              <w:rPr>
                <w:noProof/>
                <w:sz w:val="18"/>
              </w:rPr>
              <w:t>Impegni</w:t>
            </w:r>
          </w:p>
        </w:tc>
        <w:tc>
          <w:tcPr>
            <w:tcW w:w="732" w:type="dxa"/>
            <w:tcBorders>
              <w:top w:val="single" w:sz="4" w:space="0" w:color="auto"/>
              <w:left w:val="single" w:sz="4" w:space="0" w:color="auto"/>
              <w:bottom w:val="single" w:sz="4" w:space="0" w:color="auto"/>
              <w:right w:val="single" w:sz="4" w:space="0" w:color="auto"/>
            </w:tcBorders>
            <w:vAlign w:val="center"/>
            <w:hideMark/>
          </w:tcPr>
          <w:p w14:paraId="2C874ADD" w14:textId="77777777" w:rsidR="005F20F6" w:rsidRPr="008C52C9" w:rsidRDefault="005F20F6">
            <w:pPr>
              <w:spacing w:before="40" w:after="40" w:line="276" w:lineRule="auto"/>
              <w:jc w:val="center"/>
              <w:rPr>
                <w:noProof/>
                <w:sz w:val="14"/>
              </w:rPr>
            </w:pPr>
            <w:r w:rsidRPr="008C52C9">
              <w:rPr>
                <w:noProof/>
                <w:sz w:val="14"/>
              </w:rPr>
              <w:t>(3a)</w:t>
            </w:r>
          </w:p>
        </w:tc>
        <w:tc>
          <w:tcPr>
            <w:tcW w:w="868" w:type="dxa"/>
            <w:tcBorders>
              <w:top w:val="single" w:sz="4" w:space="0" w:color="auto"/>
              <w:left w:val="single" w:sz="4" w:space="0" w:color="auto"/>
              <w:bottom w:val="single" w:sz="4" w:space="0" w:color="auto"/>
              <w:right w:val="single" w:sz="4" w:space="0" w:color="auto"/>
            </w:tcBorders>
            <w:vAlign w:val="center"/>
            <w:hideMark/>
          </w:tcPr>
          <w:p w14:paraId="5D4FCC43" w14:textId="77777777" w:rsidR="005F20F6" w:rsidRPr="008C52C9" w:rsidRDefault="005F20F6">
            <w:pPr>
              <w:spacing w:before="40" w:after="40" w:line="276" w:lineRule="auto"/>
              <w:jc w:val="right"/>
              <w:rPr>
                <w:b/>
                <w:noProof/>
                <w:sz w:val="20"/>
              </w:rPr>
            </w:pPr>
            <w:r w:rsidRPr="008C52C9">
              <w:rPr>
                <w:noProof/>
                <w:sz w:val="20"/>
              </w:rPr>
              <w:t>6,450</w:t>
            </w:r>
          </w:p>
        </w:tc>
        <w:tc>
          <w:tcPr>
            <w:tcW w:w="868" w:type="dxa"/>
            <w:tcBorders>
              <w:top w:val="single" w:sz="4" w:space="0" w:color="auto"/>
              <w:left w:val="single" w:sz="4" w:space="0" w:color="auto"/>
              <w:bottom w:val="single" w:sz="4" w:space="0" w:color="auto"/>
              <w:right w:val="single" w:sz="4" w:space="0" w:color="auto"/>
            </w:tcBorders>
            <w:vAlign w:val="center"/>
            <w:hideMark/>
          </w:tcPr>
          <w:p w14:paraId="595C0739" w14:textId="77777777" w:rsidR="005F20F6" w:rsidRPr="008C52C9" w:rsidRDefault="005F20F6">
            <w:pPr>
              <w:spacing w:before="40" w:after="40" w:line="276" w:lineRule="auto"/>
              <w:jc w:val="right"/>
              <w:rPr>
                <w:b/>
                <w:noProof/>
                <w:sz w:val="20"/>
              </w:rPr>
            </w:pPr>
            <w:r w:rsidRPr="008C52C9">
              <w:rPr>
                <w:noProof/>
                <w:sz w:val="20"/>
              </w:rPr>
              <w:t>7,050</w:t>
            </w:r>
          </w:p>
        </w:tc>
        <w:tc>
          <w:tcPr>
            <w:tcW w:w="868" w:type="dxa"/>
            <w:tcBorders>
              <w:top w:val="single" w:sz="4" w:space="0" w:color="auto"/>
              <w:left w:val="single" w:sz="4" w:space="0" w:color="auto"/>
              <w:bottom w:val="single" w:sz="4" w:space="0" w:color="auto"/>
              <w:right w:val="single" w:sz="4" w:space="0" w:color="auto"/>
            </w:tcBorders>
            <w:vAlign w:val="center"/>
            <w:hideMark/>
          </w:tcPr>
          <w:p w14:paraId="3A8DEA3A" w14:textId="77777777" w:rsidR="005F20F6" w:rsidRPr="008C52C9" w:rsidRDefault="005F20F6">
            <w:pPr>
              <w:spacing w:before="40" w:after="40" w:line="276" w:lineRule="auto"/>
              <w:jc w:val="right"/>
              <w:rPr>
                <w:b/>
                <w:noProof/>
                <w:sz w:val="20"/>
              </w:rPr>
            </w:pPr>
            <w:r w:rsidRPr="008C52C9">
              <w:rPr>
                <w:noProof/>
                <w:sz w:val="20"/>
              </w:rPr>
              <w:t>7,250</w:t>
            </w:r>
          </w:p>
        </w:tc>
        <w:tc>
          <w:tcPr>
            <w:tcW w:w="1200" w:type="dxa"/>
            <w:tcBorders>
              <w:top w:val="single" w:sz="4" w:space="0" w:color="auto"/>
              <w:left w:val="single" w:sz="4" w:space="0" w:color="auto"/>
              <w:bottom w:val="single" w:sz="4" w:space="0" w:color="auto"/>
              <w:right w:val="single" w:sz="4" w:space="0" w:color="auto"/>
            </w:tcBorders>
            <w:vAlign w:val="center"/>
            <w:hideMark/>
          </w:tcPr>
          <w:p w14:paraId="715F88B6" w14:textId="77777777" w:rsidR="005F20F6" w:rsidRPr="008C52C9" w:rsidRDefault="005F20F6">
            <w:pPr>
              <w:spacing w:before="40" w:after="40" w:line="276" w:lineRule="auto"/>
              <w:jc w:val="right"/>
              <w:rPr>
                <w:b/>
                <w:noProof/>
                <w:sz w:val="20"/>
              </w:rPr>
            </w:pPr>
            <w:r w:rsidRPr="008C52C9">
              <w:rPr>
                <w:noProof/>
                <w:sz w:val="20"/>
              </w:rPr>
              <w:t>46,650</w:t>
            </w:r>
          </w:p>
        </w:tc>
        <w:tc>
          <w:tcPr>
            <w:tcW w:w="1445" w:type="dxa"/>
            <w:tcBorders>
              <w:top w:val="single" w:sz="4" w:space="0" w:color="auto"/>
              <w:left w:val="single" w:sz="4" w:space="0" w:color="auto"/>
              <w:bottom w:val="single" w:sz="4" w:space="0" w:color="auto"/>
              <w:right w:val="single" w:sz="4" w:space="0" w:color="auto"/>
            </w:tcBorders>
            <w:vAlign w:val="center"/>
            <w:hideMark/>
          </w:tcPr>
          <w:p w14:paraId="790C9F8E" w14:textId="77777777" w:rsidR="005F20F6" w:rsidRPr="008C52C9" w:rsidRDefault="005F20F6">
            <w:pPr>
              <w:spacing w:before="40" w:after="40" w:line="276" w:lineRule="auto"/>
              <w:jc w:val="right"/>
              <w:rPr>
                <w:b/>
                <w:noProof/>
                <w:sz w:val="20"/>
              </w:rPr>
            </w:pPr>
            <w:r w:rsidRPr="008C52C9">
              <w:rPr>
                <w:b/>
                <w:noProof/>
                <w:sz w:val="20"/>
              </w:rPr>
              <w:t>67,400</w:t>
            </w:r>
          </w:p>
        </w:tc>
      </w:tr>
      <w:tr w:rsidR="005F20F6" w:rsidRPr="008C52C9" w14:paraId="3C6BD3D2" w14:textId="77777777" w:rsidTr="005F20F6">
        <w:trPr>
          <w:trHeight w:val="319"/>
        </w:trPr>
        <w:tc>
          <w:tcPr>
            <w:tcW w:w="3960" w:type="dxa"/>
            <w:tcBorders>
              <w:top w:val="single" w:sz="4" w:space="0" w:color="auto"/>
              <w:left w:val="single" w:sz="4" w:space="0" w:color="auto"/>
              <w:bottom w:val="single" w:sz="4" w:space="0" w:color="auto"/>
              <w:right w:val="single" w:sz="4" w:space="0" w:color="auto"/>
            </w:tcBorders>
            <w:vAlign w:val="center"/>
          </w:tcPr>
          <w:p w14:paraId="0A80389E" w14:textId="77777777" w:rsidR="005F20F6" w:rsidRPr="008C52C9" w:rsidRDefault="005F20F6">
            <w:pPr>
              <w:spacing w:before="60" w:after="60" w:line="276" w:lineRule="auto"/>
              <w:rPr>
                <w:b/>
                <w:noProof/>
                <w:sz w:val="20"/>
              </w:rPr>
            </w:pPr>
          </w:p>
        </w:tc>
        <w:tc>
          <w:tcPr>
            <w:tcW w:w="1362" w:type="dxa"/>
            <w:tcBorders>
              <w:top w:val="single" w:sz="4" w:space="0" w:color="auto"/>
              <w:left w:val="single" w:sz="4" w:space="0" w:color="auto"/>
              <w:bottom w:val="single" w:sz="4" w:space="0" w:color="auto"/>
              <w:right w:val="single" w:sz="4" w:space="0" w:color="auto"/>
            </w:tcBorders>
            <w:vAlign w:val="center"/>
            <w:hideMark/>
          </w:tcPr>
          <w:p w14:paraId="7408AEFB" w14:textId="77777777" w:rsidR="005F20F6" w:rsidRPr="008C52C9" w:rsidRDefault="005F20F6">
            <w:pPr>
              <w:spacing w:before="40" w:after="40" w:line="276" w:lineRule="auto"/>
              <w:rPr>
                <w:noProof/>
                <w:sz w:val="18"/>
              </w:rPr>
            </w:pPr>
            <w:r w:rsidRPr="008C52C9">
              <w:rPr>
                <w:noProof/>
                <w:sz w:val="18"/>
              </w:rPr>
              <w:t>Pagamenti</w:t>
            </w:r>
          </w:p>
        </w:tc>
        <w:tc>
          <w:tcPr>
            <w:tcW w:w="732" w:type="dxa"/>
            <w:tcBorders>
              <w:top w:val="single" w:sz="4" w:space="0" w:color="auto"/>
              <w:left w:val="single" w:sz="4" w:space="0" w:color="auto"/>
              <w:bottom w:val="single" w:sz="4" w:space="0" w:color="auto"/>
              <w:right w:val="single" w:sz="4" w:space="0" w:color="auto"/>
            </w:tcBorders>
            <w:vAlign w:val="center"/>
            <w:hideMark/>
          </w:tcPr>
          <w:p w14:paraId="0C2DCC1F" w14:textId="77777777" w:rsidR="005F20F6" w:rsidRPr="008C52C9" w:rsidRDefault="005F20F6">
            <w:pPr>
              <w:spacing w:before="40" w:after="40" w:line="276" w:lineRule="auto"/>
              <w:jc w:val="center"/>
              <w:rPr>
                <w:noProof/>
                <w:sz w:val="14"/>
              </w:rPr>
            </w:pPr>
            <w:r w:rsidRPr="008C52C9">
              <w:rPr>
                <w:noProof/>
                <w:sz w:val="14"/>
              </w:rPr>
              <w:t>(3b)</w:t>
            </w:r>
          </w:p>
        </w:tc>
        <w:tc>
          <w:tcPr>
            <w:tcW w:w="868" w:type="dxa"/>
            <w:tcBorders>
              <w:top w:val="single" w:sz="4" w:space="0" w:color="auto"/>
              <w:left w:val="single" w:sz="4" w:space="0" w:color="auto"/>
              <w:bottom w:val="single" w:sz="4" w:space="0" w:color="auto"/>
              <w:right w:val="single" w:sz="4" w:space="0" w:color="auto"/>
            </w:tcBorders>
            <w:vAlign w:val="center"/>
            <w:hideMark/>
          </w:tcPr>
          <w:p w14:paraId="53FC7B55" w14:textId="77777777" w:rsidR="005F20F6" w:rsidRPr="008C52C9" w:rsidRDefault="005F20F6">
            <w:pPr>
              <w:spacing w:before="40" w:after="40" w:line="276" w:lineRule="auto"/>
              <w:jc w:val="right"/>
              <w:rPr>
                <w:b/>
                <w:noProof/>
                <w:sz w:val="20"/>
              </w:rPr>
            </w:pPr>
            <w:r w:rsidRPr="008C52C9">
              <w:rPr>
                <w:noProof/>
                <w:sz w:val="20"/>
              </w:rPr>
              <w:t>6,450</w:t>
            </w:r>
          </w:p>
        </w:tc>
        <w:tc>
          <w:tcPr>
            <w:tcW w:w="868" w:type="dxa"/>
            <w:tcBorders>
              <w:top w:val="single" w:sz="4" w:space="0" w:color="auto"/>
              <w:left w:val="single" w:sz="4" w:space="0" w:color="auto"/>
              <w:bottom w:val="single" w:sz="4" w:space="0" w:color="auto"/>
              <w:right w:val="single" w:sz="4" w:space="0" w:color="auto"/>
            </w:tcBorders>
            <w:vAlign w:val="center"/>
            <w:hideMark/>
          </w:tcPr>
          <w:p w14:paraId="18143CF4" w14:textId="77777777" w:rsidR="005F20F6" w:rsidRPr="008C52C9" w:rsidRDefault="005F20F6">
            <w:pPr>
              <w:spacing w:before="40" w:after="40" w:line="276" w:lineRule="auto"/>
              <w:jc w:val="right"/>
              <w:rPr>
                <w:b/>
                <w:noProof/>
                <w:sz w:val="20"/>
              </w:rPr>
            </w:pPr>
            <w:r w:rsidRPr="008C52C9">
              <w:rPr>
                <w:noProof/>
                <w:sz w:val="20"/>
              </w:rPr>
              <w:t>7,050</w:t>
            </w:r>
          </w:p>
        </w:tc>
        <w:tc>
          <w:tcPr>
            <w:tcW w:w="868" w:type="dxa"/>
            <w:tcBorders>
              <w:top w:val="single" w:sz="4" w:space="0" w:color="auto"/>
              <w:left w:val="single" w:sz="4" w:space="0" w:color="auto"/>
              <w:bottom w:val="single" w:sz="4" w:space="0" w:color="auto"/>
              <w:right w:val="single" w:sz="4" w:space="0" w:color="auto"/>
            </w:tcBorders>
            <w:vAlign w:val="center"/>
            <w:hideMark/>
          </w:tcPr>
          <w:p w14:paraId="5B7324A5" w14:textId="77777777" w:rsidR="005F20F6" w:rsidRPr="008C52C9" w:rsidRDefault="005F20F6">
            <w:pPr>
              <w:spacing w:before="40" w:after="40" w:line="276" w:lineRule="auto"/>
              <w:jc w:val="right"/>
              <w:rPr>
                <w:b/>
                <w:noProof/>
                <w:sz w:val="20"/>
              </w:rPr>
            </w:pPr>
            <w:r w:rsidRPr="008C52C9">
              <w:rPr>
                <w:noProof/>
                <w:sz w:val="20"/>
              </w:rPr>
              <w:t>7,250</w:t>
            </w:r>
          </w:p>
        </w:tc>
        <w:tc>
          <w:tcPr>
            <w:tcW w:w="1200" w:type="dxa"/>
            <w:tcBorders>
              <w:top w:val="single" w:sz="4" w:space="0" w:color="auto"/>
              <w:left w:val="single" w:sz="4" w:space="0" w:color="auto"/>
              <w:bottom w:val="single" w:sz="4" w:space="0" w:color="auto"/>
              <w:right w:val="single" w:sz="4" w:space="0" w:color="auto"/>
            </w:tcBorders>
            <w:vAlign w:val="center"/>
            <w:hideMark/>
          </w:tcPr>
          <w:p w14:paraId="6B51BD22" w14:textId="77777777" w:rsidR="005F20F6" w:rsidRPr="008C52C9" w:rsidRDefault="005F20F6">
            <w:pPr>
              <w:spacing w:before="40" w:after="40" w:line="276" w:lineRule="auto"/>
              <w:jc w:val="right"/>
              <w:rPr>
                <w:b/>
                <w:noProof/>
                <w:sz w:val="20"/>
              </w:rPr>
            </w:pPr>
            <w:r w:rsidRPr="008C52C9">
              <w:rPr>
                <w:noProof/>
                <w:sz w:val="20"/>
              </w:rPr>
              <w:t>46,650</w:t>
            </w:r>
          </w:p>
        </w:tc>
        <w:tc>
          <w:tcPr>
            <w:tcW w:w="1445" w:type="dxa"/>
            <w:tcBorders>
              <w:top w:val="single" w:sz="4" w:space="0" w:color="auto"/>
              <w:left w:val="single" w:sz="4" w:space="0" w:color="auto"/>
              <w:bottom w:val="single" w:sz="4" w:space="0" w:color="auto"/>
              <w:right w:val="single" w:sz="4" w:space="0" w:color="auto"/>
            </w:tcBorders>
            <w:vAlign w:val="center"/>
            <w:hideMark/>
          </w:tcPr>
          <w:p w14:paraId="39D1B079" w14:textId="77777777" w:rsidR="005F20F6" w:rsidRPr="008C52C9" w:rsidRDefault="005F20F6">
            <w:pPr>
              <w:spacing w:before="40" w:after="40" w:line="276" w:lineRule="auto"/>
              <w:jc w:val="right"/>
              <w:rPr>
                <w:b/>
                <w:noProof/>
                <w:sz w:val="20"/>
              </w:rPr>
            </w:pPr>
            <w:r w:rsidRPr="008C52C9">
              <w:rPr>
                <w:b/>
                <w:noProof/>
                <w:sz w:val="20"/>
              </w:rPr>
              <w:t>67,400</w:t>
            </w:r>
          </w:p>
        </w:tc>
      </w:tr>
      <w:tr w:rsidR="005F20F6" w:rsidRPr="008C52C9" w14:paraId="56D5FF27" w14:textId="77777777" w:rsidTr="005F20F6">
        <w:tc>
          <w:tcPr>
            <w:tcW w:w="3960" w:type="dxa"/>
            <w:vMerge w:val="restart"/>
            <w:tcBorders>
              <w:top w:val="single" w:sz="4" w:space="0" w:color="auto"/>
              <w:left w:val="single" w:sz="4" w:space="0" w:color="auto"/>
              <w:bottom w:val="single" w:sz="4" w:space="0" w:color="auto"/>
              <w:right w:val="single" w:sz="4" w:space="0" w:color="auto"/>
            </w:tcBorders>
            <w:vAlign w:val="center"/>
            <w:hideMark/>
          </w:tcPr>
          <w:p w14:paraId="0FA9EC2B" w14:textId="77777777" w:rsidR="005F20F6" w:rsidRPr="008C52C9" w:rsidRDefault="005F20F6">
            <w:pPr>
              <w:spacing w:line="276" w:lineRule="auto"/>
              <w:jc w:val="center"/>
              <w:rPr>
                <w:noProof/>
              </w:rPr>
            </w:pPr>
            <w:r w:rsidRPr="008C52C9">
              <w:rPr>
                <w:b/>
                <w:noProof/>
                <w:sz w:val="22"/>
              </w:rPr>
              <w:t>TOTALE stanziamenti</w:t>
            </w:r>
            <w:r w:rsidRPr="008C52C9">
              <w:rPr>
                <w:noProof/>
              </w:rPr>
              <w:t xml:space="preserve"> </w:t>
            </w:r>
            <w:r w:rsidRPr="008C52C9">
              <w:rPr>
                <w:noProof/>
              </w:rPr>
              <w:br/>
            </w:r>
            <w:r w:rsidRPr="008C52C9">
              <w:rPr>
                <w:b/>
                <w:noProof/>
                <w:sz w:val="22"/>
              </w:rPr>
              <w:t>per l'EMSA</w:t>
            </w:r>
          </w:p>
        </w:tc>
        <w:tc>
          <w:tcPr>
            <w:tcW w:w="1362" w:type="dxa"/>
            <w:tcBorders>
              <w:top w:val="single" w:sz="4" w:space="0" w:color="auto"/>
              <w:left w:val="single" w:sz="4" w:space="0" w:color="auto"/>
              <w:bottom w:val="single" w:sz="4" w:space="0" w:color="auto"/>
              <w:right w:val="single" w:sz="4" w:space="0" w:color="auto"/>
            </w:tcBorders>
            <w:vAlign w:val="center"/>
            <w:hideMark/>
          </w:tcPr>
          <w:p w14:paraId="04D5EF0A" w14:textId="77777777" w:rsidR="005F20F6" w:rsidRPr="008C52C9" w:rsidRDefault="005F20F6">
            <w:pPr>
              <w:spacing w:line="276" w:lineRule="auto"/>
              <w:rPr>
                <w:noProof/>
                <w:sz w:val="18"/>
              </w:rPr>
            </w:pPr>
            <w:r w:rsidRPr="008C52C9">
              <w:rPr>
                <w:noProof/>
                <w:sz w:val="18"/>
              </w:rPr>
              <w:t>Impegni</w:t>
            </w:r>
          </w:p>
        </w:tc>
        <w:tc>
          <w:tcPr>
            <w:tcW w:w="732" w:type="dxa"/>
            <w:tcBorders>
              <w:top w:val="single" w:sz="4" w:space="0" w:color="auto"/>
              <w:left w:val="single" w:sz="4" w:space="0" w:color="auto"/>
              <w:bottom w:val="single" w:sz="4" w:space="0" w:color="auto"/>
              <w:right w:val="single" w:sz="4" w:space="0" w:color="auto"/>
            </w:tcBorders>
            <w:vAlign w:val="center"/>
            <w:hideMark/>
          </w:tcPr>
          <w:p w14:paraId="1E3FF5B4" w14:textId="77777777" w:rsidR="005F20F6" w:rsidRPr="008C52C9" w:rsidRDefault="005F20F6">
            <w:pPr>
              <w:spacing w:line="276" w:lineRule="auto"/>
              <w:jc w:val="center"/>
              <w:rPr>
                <w:noProof/>
                <w:sz w:val="14"/>
              </w:rPr>
            </w:pPr>
            <w:r w:rsidRPr="008C52C9">
              <w:rPr>
                <w:noProof/>
                <w:sz w:val="14"/>
              </w:rPr>
              <w:t>=1+1a +3a</w:t>
            </w:r>
          </w:p>
        </w:tc>
        <w:tc>
          <w:tcPr>
            <w:tcW w:w="868" w:type="dxa"/>
            <w:tcBorders>
              <w:top w:val="single" w:sz="4" w:space="0" w:color="auto"/>
              <w:left w:val="single" w:sz="4" w:space="0" w:color="auto"/>
              <w:bottom w:val="single" w:sz="4" w:space="0" w:color="auto"/>
              <w:right w:val="single" w:sz="4" w:space="0" w:color="auto"/>
            </w:tcBorders>
            <w:vAlign w:val="center"/>
            <w:hideMark/>
          </w:tcPr>
          <w:p w14:paraId="16C1AE2B" w14:textId="77777777" w:rsidR="005F20F6" w:rsidRPr="008C52C9" w:rsidRDefault="00C5644C">
            <w:pPr>
              <w:spacing w:before="20" w:after="20" w:line="276" w:lineRule="auto"/>
              <w:jc w:val="right"/>
              <w:rPr>
                <w:noProof/>
                <w:sz w:val="20"/>
              </w:rPr>
            </w:pPr>
            <w:r w:rsidRPr="008C52C9">
              <w:rPr>
                <w:noProof/>
                <w:sz w:val="20"/>
              </w:rPr>
              <w:t>6,963</w:t>
            </w:r>
          </w:p>
        </w:tc>
        <w:tc>
          <w:tcPr>
            <w:tcW w:w="868" w:type="dxa"/>
            <w:tcBorders>
              <w:top w:val="single" w:sz="4" w:space="0" w:color="auto"/>
              <w:left w:val="single" w:sz="4" w:space="0" w:color="auto"/>
              <w:bottom w:val="single" w:sz="4" w:space="0" w:color="auto"/>
              <w:right w:val="single" w:sz="4" w:space="0" w:color="auto"/>
            </w:tcBorders>
            <w:vAlign w:val="center"/>
            <w:hideMark/>
          </w:tcPr>
          <w:p w14:paraId="1F436ECE" w14:textId="77777777" w:rsidR="005F20F6" w:rsidRPr="008C52C9" w:rsidRDefault="005F20F6">
            <w:pPr>
              <w:spacing w:before="20" w:after="20" w:line="276" w:lineRule="auto"/>
              <w:jc w:val="right"/>
              <w:rPr>
                <w:noProof/>
                <w:sz w:val="20"/>
              </w:rPr>
            </w:pPr>
            <w:r w:rsidRPr="008C52C9">
              <w:rPr>
                <w:noProof/>
                <w:sz w:val="20"/>
              </w:rPr>
              <w:t>8,931</w:t>
            </w:r>
          </w:p>
        </w:tc>
        <w:tc>
          <w:tcPr>
            <w:tcW w:w="868" w:type="dxa"/>
            <w:tcBorders>
              <w:top w:val="single" w:sz="4" w:space="0" w:color="auto"/>
              <w:left w:val="single" w:sz="4" w:space="0" w:color="auto"/>
              <w:bottom w:val="single" w:sz="4" w:space="0" w:color="auto"/>
              <w:right w:val="single" w:sz="4" w:space="0" w:color="auto"/>
            </w:tcBorders>
            <w:vAlign w:val="center"/>
            <w:hideMark/>
          </w:tcPr>
          <w:p w14:paraId="78FE9DBD" w14:textId="77777777" w:rsidR="005F20F6" w:rsidRPr="008C52C9" w:rsidRDefault="005F20F6">
            <w:pPr>
              <w:spacing w:before="20" w:after="20" w:line="276" w:lineRule="auto"/>
              <w:jc w:val="right"/>
              <w:rPr>
                <w:noProof/>
                <w:sz w:val="20"/>
              </w:rPr>
            </w:pPr>
            <w:r w:rsidRPr="008C52C9">
              <w:rPr>
                <w:noProof/>
                <w:sz w:val="20"/>
              </w:rPr>
              <w:t>9,131</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AF651BF" w14:textId="77777777" w:rsidR="005F20F6" w:rsidRPr="008C52C9" w:rsidRDefault="005F20F6">
            <w:pPr>
              <w:spacing w:before="20" w:after="20" w:line="276" w:lineRule="auto"/>
              <w:jc w:val="right"/>
              <w:rPr>
                <w:noProof/>
                <w:sz w:val="20"/>
              </w:rPr>
            </w:pPr>
            <w:r w:rsidRPr="008C52C9">
              <w:rPr>
                <w:noProof/>
                <w:sz w:val="20"/>
              </w:rPr>
              <w:t>61,014</w:t>
            </w:r>
          </w:p>
        </w:tc>
        <w:tc>
          <w:tcPr>
            <w:tcW w:w="1445" w:type="dxa"/>
            <w:tcBorders>
              <w:top w:val="single" w:sz="4" w:space="0" w:color="auto"/>
              <w:left w:val="single" w:sz="4" w:space="0" w:color="auto"/>
              <w:bottom w:val="single" w:sz="4" w:space="0" w:color="auto"/>
              <w:right w:val="single" w:sz="4" w:space="0" w:color="auto"/>
            </w:tcBorders>
            <w:vAlign w:val="center"/>
            <w:hideMark/>
          </w:tcPr>
          <w:p w14:paraId="36AAF06B" w14:textId="77777777" w:rsidR="005F20F6" w:rsidRPr="008C52C9" w:rsidRDefault="0093494E">
            <w:pPr>
              <w:spacing w:before="20" w:after="20" w:line="276" w:lineRule="auto"/>
              <w:jc w:val="right"/>
              <w:rPr>
                <w:b/>
                <w:noProof/>
                <w:sz w:val="20"/>
              </w:rPr>
            </w:pPr>
            <w:r w:rsidRPr="008C52C9">
              <w:rPr>
                <w:b/>
                <w:noProof/>
                <w:sz w:val="20"/>
              </w:rPr>
              <w:t>86,039</w:t>
            </w:r>
          </w:p>
        </w:tc>
      </w:tr>
      <w:tr w:rsidR="005F20F6" w:rsidRPr="008C52C9" w14:paraId="6CEA11E2" w14:textId="77777777" w:rsidTr="005F20F6">
        <w:tc>
          <w:tcPr>
            <w:tcW w:w="3960" w:type="dxa"/>
            <w:vMerge/>
            <w:tcBorders>
              <w:top w:val="single" w:sz="4" w:space="0" w:color="auto"/>
              <w:left w:val="single" w:sz="4" w:space="0" w:color="auto"/>
              <w:bottom w:val="single" w:sz="4" w:space="0" w:color="auto"/>
              <w:right w:val="single" w:sz="4" w:space="0" w:color="auto"/>
            </w:tcBorders>
            <w:vAlign w:val="center"/>
            <w:hideMark/>
          </w:tcPr>
          <w:p w14:paraId="6AAA638A" w14:textId="77777777" w:rsidR="005F20F6" w:rsidRPr="008C52C9" w:rsidRDefault="005F20F6">
            <w:pPr>
              <w:spacing w:before="0" w:after="0" w:line="276" w:lineRule="auto"/>
              <w:jc w:val="left"/>
              <w:rPr>
                <w:noProof/>
              </w:rPr>
            </w:pPr>
          </w:p>
        </w:tc>
        <w:tc>
          <w:tcPr>
            <w:tcW w:w="1362" w:type="dxa"/>
            <w:tcBorders>
              <w:top w:val="single" w:sz="4" w:space="0" w:color="auto"/>
              <w:left w:val="single" w:sz="4" w:space="0" w:color="auto"/>
              <w:bottom w:val="single" w:sz="4" w:space="0" w:color="auto"/>
              <w:right w:val="single" w:sz="4" w:space="0" w:color="auto"/>
            </w:tcBorders>
            <w:vAlign w:val="center"/>
            <w:hideMark/>
          </w:tcPr>
          <w:p w14:paraId="25B9A650" w14:textId="77777777" w:rsidR="005F20F6" w:rsidRPr="008C52C9" w:rsidRDefault="005F20F6">
            <w:pPr>
              <w:spacing w:line="276" w:lineRule="auto"/>
              <w:rPr>
                <w:noProof/>
                <w:sz w:val="18"/>
              </w:rPr>
            </w:pPr>
            <w:r w:rsidRPr="008C52C9">
              <w:rPr>
                <w:noProof/>
                <w:sz w:val="18"/>
              </w:rPr>
              <w:t>Pagamenti</w:t>
            </w:r>
          </w:p>
        </w:tc>
        <w:tc>
          <w:tcPr>
            <w:tcW w:w="732" w:type="dxa"/>
            <w:tcBorders>
              <w:top w:val="single" w:sz="4" w:space="0" w:color="auto"/>
              <w:left w:val="single" w:sz="4" w:space="0" w:color="auto"/>
              <w:bottom w:val="single" w:sz="4" w:space="0" w:color="auto"/>
              <w:right w:val="single" w:sz="4" w:space="0" w:color="auto"/>
            </w:tcBorders>
            <w:vAlign w:val="center"/>
            <w:hideMark/>
          </w:tcPr>
          <w:p w14:paraId="5E2E043B" w14:textId="77777777" w:rsidR="005F20F6" w:rsidRPr="008C52C9" w:rsidRDefault="005F20F6">
            <w:pPr>
              <w:spacing w:line="276" w:lineRule="auto"/>
              <w:jc w:val="center"/>
              <w:rPr>
                <w:noProof/>
                <w:sz w:val="14"/>
              </w:rPr>
            </w:pPr>
            <w:r w:rsidRPr="008C52C9">
              <w:rPr>
                <w:noProof/>
                <w:sz w:val="14"/>
              </w:rPr>
              <w:t>=2+2a</w:t>
            </w:r>
          </w:p>
          <w:p w14:paraId="26653BFA" w14:textId="77777777" w:rsidR="005F20F6" w:rsidRPr="008C52C9" w:rsidRDefault="005F20F6">
            <w:pPr>
              <w:spacing w:line="276" w:lineRule="auto"/>
              <w:jc w:val="center"/>
              <w:rPr>
                <w:noProof/>
                <w:sz w:val="14"/>
              </w:rPr>
            </w:pPr>
            <w:r w:rsidRPr="008C52C9">
              <w:rPr>
                <w:noProof/>
                <w:sz w:val="14"/>
              </w:rPr>
              <w:t>+3b</w:t>
            </w:r>
          </w:p>
        </w:tc>
        <w:tc>
          <w:tcPr>
            <w:tcW w:w="868" w:type="dxa"/>
            <w:tcBorders>
              <w:top w:val="single" w:sz="4" w:space="0" w:color="auto"/>
              <w:left w:val="single" w:sz="4" w:space="0" w:color="auto"/>
              <w:bottom w:val="single" w:sz="4" w:space="0" w:color="auto"/>
              <w:right w:val="single" w:sz="4" w:space="0" w:color="auto"/>
            </w:tcBorders>
            <w:vAlign w:val="center"/>
            <w:hideMark/>
          </w:tcPr>
          <w:p w14:paraId="14BAB8EB" w14:textId="77777777" w:rsidR="005F20F6" w:rsidRPr="008C52C9" w:rsidRDefault="00C5644C">
            <w:pPr>
              <w:spacing w:before="20" w:after="20" w:line="276" w:lineRule="auto"/>
              <w:jc w:val="right"/>
              <w:rPr>
                <w:noProof/>
                <w:sz w:val="20"/>
              </w:rPr>
            </w:pPr>
            <w:r w:rsidRPr="008C52C9">
              <w:rPr>
                <w:noProof/>
                <w:sz w:val="20"/>
              </w:rPr>
              <w:t>6,963</w:t>
            </w:r>
          </w:p>
        </w:tc>
        <w:tc>
          <w:tcPr>
            <w:tcW w:w="868" w:type="dxa"/>
            <w:tcBorders>
              <w:top w:val="single" w:sz="4" w:space="0" w:color="auto"/>
              <w:left w:val="single" w:sz="4" w:space="0" w:color="auto"/>
              <w:bottom w:val="single" w:sz="4" w:space="0" w:color="auto"/>
              <w:right w:val="single" w:sz="4" w:space="0" w:color="auto"/>
            </w:tcBorders>
            <w:vAlign w:val="center"/>
            <w:hideMark/>
          </w:tcPr>
          <w:p w14:paraId="5A54D3B4" w14:textId="77777777" w:rsidR="005F20F6" w:rsidRPr="008C52C9" w:rsidRDefault="005F20F6">
            <w:pPr>
              <w:spacing w:before="20" w:after="20" w:line="276" w:lineRule="auto"/>
              <w:jc w:val="right"/>
              <w:rPr>
                <w:noProof/>
                <w:sz w:val="20"/>
              </w:rPr>
            </w:pPr>
            <w:r w:rsidRPr="008C52C9">
              <w:rPr>
                <w:noProof/>
                <w:sz w:val="20"/>
              </w:rPr>
              <w:t>8,931</w:t>
            </w:r>
          </w:p>
        </w:tc>
        <w:tc>
          <w:tcPr>
            <w:tcW w:w="868" w:type="dxa"/>
            <w:tcBorders>
              <w:top w:val="single" w:sz="4" w:space="0" w:color="auto"/>
              <w:left w:val="single" w:sz="4" w:space="0" w:color="auto"/>
              <w:bottom w:val="single" w:sz="4" w:space="0" w:color="auto"/>
              <w:right w:val="single" w:sz="4" w:space="0" w:color="auto"/>
            </w:tcBorders>
            <w:vAlign w:val="center"/>
            <w:hideMark/>
          </w:tcPr>
          <w:p w14:paraId="034A9369" w14:textId="77777777" w:rsidR="005F20F6" w:rsidRPr="008C52C9" w:rsidRDefault="005F20F6">
            <w:pPr>
              <w:spacing w:before="20" w:after="20" w:line="276" w:lineRule="auto"/>
              <w:jc w:val="right"/>
              <w:rPr>
                <w:noProof/>
                <w:sz w:val="20"/>
              </w:rPr>
            </w:pPr>
            <w:r w:rsidRPr="008C52C9">
              <w:rPr>
                <w:noProof/>
                <w:sz w:val="20"/>
              </w:rPr>
              <w:t>9,131</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F05CFA6" w14:textId="77777777" w:rsidR="005F20F6" w:rsidRPr="008C52C9" w:rsidRDefault="005F20F6">
            <w:pPr>
              <w:spacing w:before="20" w:after="20" w:line="276" w:lineRule="auto"/>
              <w:jc w:val="right"/>
              <w:rPr>
                <w:noProof/>
                <w:sz w:val="20"/>
              </w:rPr>
            </w:pPr>
            <w:r w:rsidRPr="008C52C9">
              <w:rPr>
                <w:noProof/>
                <w:sz w:val="20"/>
              </w:rPr>
              <w:t>61,014</w:t>
            </w:r>
          </w:p>
        </w:tc>
        <w:tc>
          <w:tcPr>
            <w:tcW w:w="1445" w:type="dxa"/>
            <w:tcBorders>
              <w:top w:val="single" w:sz="4" w:space="0" w:color="auto"/>
              <w:left w:val="single" w:sz="4" w:space="0" w:color="auto"/>
              <w:bottom w:val="single" w:sz="4" w:space="0" w:color="auto"/>
              <w:right w:val="single" w:sz="4" w:space="0" w:color="auto"/>
            </w:tcBorders>
            <w:vAlign w:val="center"/>
            <w:hideMark/>
          </w:tcPr>
          <w:p w14:paraId="7CFC0F76" w14:textId="77777777" w:rsidR="005F20F6" w:rsidRPr="008C52C9" w:rsidRDefault="0093494E">
            <w:pPr>
              <w:spacing w:before="20" w:after="20" w:line="276" w:lineRule="auto"/>
              <w:jc w:val="right"/>
              <w:rPr>
                <w:b/>
                <w:noProof/>
                <w:sz w:val="20"/>
              </w:rPr>
            </w:pPr>
            <w:r w:rsidRPr="008C52C9">
              <w:rPr>
                <w:b/>
                <w:noProof/>
                <w:sz w:val="20"/>
              </w:rPr>
              <w:t>86,039</w:t>
            </w:r>
          </w:p>
        </w:tc>
      </w:tr>
    </w:tbl>
    <w:p w14:paraId="6ABCFA38" w14:textId="77777777" w:rsidR="002D24C0" w:rsidRPr="008C52C9" w:rsidRDefault="002D24C0" w:rsidP="005F20F6">
      <w:pPr>
        <w:rPr>
          <w:noProof/>
        </w:rPr>
      </w:pPr>
      <w:r w:rsidRPr="008C52C9">
        <w:rPr>
          <w:noProof/>
        </w:rPr>
        <w:t>L'incidenza sul bilancio al di là dell'attuale QFP rappresenta una panoramica indicativa, fatto salvo il futuro accordo sul QFP.</w:t>
      </w:r>
    </w:p>
    <w:p w14:paraId="6ED81E91" w14:textId="77777777" w:rsidR="005F20F6" w:rsidRPr="008C52C9" w:rsidRDefault="005F20F6" w:rsidP="005F20F6">
      <w:pPr>
        <w:rPr>
          <w:noProof/>
        </w:rPr>
      </w:pPr>
      <w:r w:rsidRPr="008C52C9">
        <w:rPr>
          <w:noProof/>
        </w:rPr>
        <w:t xml:space="preserve"> </w:t>
      </w:r>
      <w:r w:rsidRPr="008C52C9">
        <w:rPr>
          <w:noProof/>
        </w:rPr>
        <w:br/>
        <w:t xml:space="preserve"> </w:t>
      </w:r>
      <w:r w:rsidRPr="008C52C9">
        <w:rPr>
          <w:noProof/>
        </w:rPr>
        <w:br/>
      </w:r>
    </w:p>
    <w:p w14:paraId="741993EA" w14:textId="77777777" w:rsidR="005F20F6" w:rsidRPr="008C52C9" w:rsidRDefault="005F20F6" w:rsidP="005F20F6">
      <w:pPr>
        <w:rPr>
          <w:noProof/>
        </w:rPr>
      </w:pPr>
      <w:r w:rsidRPr="008C52C9">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5F20F6" w:rsidRPr="008C52C9" w14:paraId="57C8ACD9" w14:textId="77777777" w:rsidTr="005F20F6">
        <w:trPr>
          <w:jc w:val="center"/>
        </w:trPr>
        <w:tc>
          <w:tcPr>
            <w:tcW w:w="4744" w:type="dxa"/>
            <w:tcBorders>
              <w:top w:val="single" w:sz="4" w:space="0" w:color="auto"/>
              <w:left w:val="single" w:sz="4" w:space="0" w:color="auto"/>
              <w:bottom w:val="single" w:sz="4" w:space="0" w:color="auto"/>
              <w:right w:val="single" w:sz="4" w:space="0" w:color="auto"/>
            </w:tcBorders>
            <w:shd w:val="thinDiagStripe" w:color="C0C0C0" w:fill="auto"/>
            <w:vAlign w:val="center"/>
            <w:hideMark/>
          </w:tcPr>
          <w:p w14:paraId="144C5FF0" w14:textId="77777777" w:rsidR="005F20F6" w:rsidRPr="008C52C9" w:rsidRDefault="005F20F6">
            <w:pPr>
              <w:spacing w:before="60" w:after="60" w:line="276" w:lineRule="auto"/>
              <w:jc w:val="center"/>
              <w:rPr>
                <w:b/>
                <w:noProof/>
              </w:rPr>
            </w:pPr>
            <w:r w:rsidRPr="008C52C9">
              <w:rPr>
                <w:noProof/>
              </w:rPr>
              <w:lastRenderedPageBreak/>
              <w:br w:type="page"/>
            </w:r>
            <w:r w:rsidRPr="008C52C9">
              <w:rPr>
                <w:b/>
                <w:noProof/>
                <w:sz w:val="22"/>
              </w:rPr>
              <w:t xml:space="preserve">Rubrica del quadro finanziario </w:t>
            </w:r>
            <w:r w:rsidRPr="008C52C9">
              <w:rPr>
                <w:noProof/>
              </w:rPr>
              <w:br/>
            </w:r>
            <w:r w:rsidRPr="008C52C9">
              <w:rPr>
                <w:b/>
                <w:noProof/>
                <w:sz w:val="22"/>
              </w:rPr>
              <w:t xml:space="preserve">pluriennale </w:t>
            </w:r>
          </w:p>
        </w:tc>
        <w:tc>
          <w:tcPr>
            <w:tcW w:w="1080" w:type="dxa"/>
            <w:tcBorders>
              <w:top w:val="single" w:sz="4" w:space="0" w:color="auto"/>
              <w:left w:val="single" w:sz="4" w:space="0" w:color="auto"/>
              <w:bottom w:val="single" w:sz="4" w:space="0" w:color="auto"/>
              <w:right w:val="single" w:sz="4" w:space="0" w:color="auto"/>
            </w:tcBorders>
            <w:shd w:val="thinDiagStripe" w:color="C0C0C0" w:fill="auto"/>
            <w:vAlign w:val="center"/>
            <w:hideMark/>
          </w:tcPr>
          <w:p w14:paraId="51092B44" w14:textId="77777777" w:rsidR="005F20F6" w:rsidRPr="008C52C9" w:rsidRDefault="005F20F6">
            <w:pPr>
              <w:spacing w:before="60" w:after="60" w:line="276" w:lineRule="auto"/>
              <w:jc w:val="center"/>
              <w:rPr>
                <w:noProof/>
              </w:rPr>
            </w:pPr>
            <w:r w:rsidRPr="008C52C9">
              <w:rPr>
                <w:b/>
                <w:noProof/>
                <w:sz w:val="22"/>
              </w:rPr>
              <w:t>7</w:t>
            </w:r>
          </w:p>
        </w:tc>
        <w:tc>
          <w:tcPr>
            <w:tcW w:w="7817" w:type="dxa"/>
            <w:tcBorders>
              <w:top w:val="single" w:sz="4" w:space="0" w:color="auto"/>
              <w:left w:val="single" w:sz="4" w:space="0" w:color="auto"/>
              <w:bottom w:val="single" w:sz="4" w:space="0" w:color="auto"/>
              <w:right w:val="single" w:sz="4" w:space="0" w:color="auto"/>
            </w:tcBorders>
            <w:vAlign w:val="center"/>
            <w:hideMark/>
          </w:tcPr>
          <w:p w14:paraId="67CDA891" w14:textId="77777777" w:rsidR="005F20F6" w:rsidRPr="008C52C9" w:rsidRDefault="005F20F6">
            <w:pPr>
              <w:spacing w:before="60" w:after="60" w:line="276" w:lineRule="auto"/>
              <w:rPr>
                <w:noProof/>
              </w:rPr>
            </w:pPr>
            <w:r w:rsidRPr="008C52C9">
              <w:rPr>
                <w:noProof/>
                <w:sz w:val="22"/>
              </w:rPr>
              <w:t>"Spese amministrative"</w:t>
            </w:r>
          </w:p>
        </w:tc>
      </w:tr>
    </w:tbl>
    <w:p w14:paraId="489BE96F" w14:textId="77777777" w:rsidR="005F20F6" w:rsidRPr="008C52C9" w:rsidRDefault="005F20F6" w:rsidP="005F20F6">
      <w:pPr>
        <w:jc w:val="right"/>
        <w:rPr>
          <w:noProof/>
          <w:sz w:val="20"/>
        </w:rPr>
      </w:pPr>
      <w:r w:rsidRPr="008C52C9">
        <w:rPr>
          <w:noProof/>
          <w:sz w:val="20"/>
        </w:rPr>
        <w:t>Mio EUR (al terzo decimale)</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5F20F6" w:rsidRPr="008C52C9" w14:paraId="7E48EBD7" w14:textId="77777777" w:rsidTr="005F20F6">
        <w:tc>
          <w:tcPr>
            <w:tcW w:w="3960" w:type="dxa"/>
            <w:tcBorders>
              <w:top w:val="nil"/>
              <w:left w:val="nil"/>
              <w:bottom w:val="single" w:sz="4" w:space="0" w:color="auto"/>
              <w:right w:val="nil"/>
            </w:tcBorders>
            <w:vAlign w:val="center"/>
          </w:tcPr>
          <w:p w14:paraId="205710AE" w14:textId="77777777" w:rsidR="005F20F6" w:rsidRPr="008C52C9" w:rsidRDefault="005F20F6">
            <w:pPr>
              <w:spacing w:line="276" w:lineRule="auto"/>
              <w:jc w:val="center"/>
              <w:rPr>
                <w:noProof/>
              </w:rPr>
            </w:pPr>
          </w:p>
        </w:tc>
        <w:tc>
          <w:tcPr>
            <w:tcW w:w="1560" w:type="dxa"/>
            <w:tcBorders>
              <w:top w:val="nil"/>
              <w:left w:val="nil"/>
              <w:bottom w:val="single" w:sz="4" w:space="0" w:color="auto"/>
              <w:right w:val="nil"/>
            </w:tcBorders>
          </w:tcPr>
          <w:p w14:paraId="4727B662" w14:textId="77777777" w:rsidR="005F20F6" w:rsidRPr="008C52C9" w:rsidRDefault="005F20F6">
            <w:pPr>
              <w:spacing w:line="276" w:lineRule="auto"/>
              <w:rPr>
                <w:noProof/>
                <w:sz w:val="20"/>
              </w:rPr>
            </w:pPr>
          </w:p>
        </w:tc>
        <w:tc>
          <w:tcPr>
            <w:tcW w:w="534" w:type="dxa"/>
            <w:tcBorders>
              <w:top w:val="nil"/>
              <w:left w:val="nil"/>
              <w:bottom w:val="single" w:sz="4" w:space="0" w:color="auto"/>
              <w:right w:val="single" w:sz="4" w:space="0" w:color="auto"/>
            </w:tcBorders>
          </w:tcPr>
          <w:p w14:paraId="598C98E7" w14:textId="77777777" w:rsidR="005F20F6" w:rsidRPr="008C52C9" w:rsidRDefault="005F20F6">
            <w:pPr>
              <w:spacing w:line="276" w:lineRule="auto"/>
              <w:jc w:val="center"/>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1D2C4D1" w14:textId="77777777" w:rsidR="005F20F6" w:rsidRPr="008C52C9" w:rsidRDefault="005F20F6">
            <w:pPr>
              <w:spacing w:line="276" w:lineRule="auto"/>
              <w:jc w:val="center"/>
              <w:rPr>
                <w:noProof/>
                <w:sz w:val="20"/>
              </w:rPr>
            </w:pPr>
            <w:r w:rsidRPr="008C52C9">
              <w:rPr>
                <w:noProof/>
                <w:sz w:val="20"/>
              </w:rPr>
              <w:t>Anno</w:t>
            </w:r>
            <w:r w:rsidRPr="008C52C9">
              <w:rPr>
                <w:noProof/>
              </w:rPr>
              <w:t xml:space="preserve"> </w:t>
            </w:r>
            <w:r w:rsidRPr="008C52C9">
              <w:rPr>
                <w:noProof/>
              </w:rPr>
              <w:br/>
            </w:r>
            <w:r w:rsidRPr="008C52C9">
              <w:rPr>
                <w:b/>
                <w:noProof/>
                <w:sz w:val="20"/>
              </w:rPr>
              <w:t>N</w:t>
            </w:r>
          </w:p>
        </w:tc>
        <w:tc>
          <w:tcPr>
            <w:tcW w:w="868" w:type="dxa"/>
            <w:tcBorders>
              <w:top w:val="single" w:sz="4" w:space="0" w:color="auto"/>
              <w:left w:val="single" w:sz="4" w:space="0" w:color="auto"/>
              <w:bottom w:val="single" w:sz="4" w:space="0" w:color="auto"/>
              <w:right w:val="single" w:sz="4" w:space="0" w:color="auto"/>
            </w:tcBorders>
            <w:vAlign w:val="center"/>
            <w:hideMark/>
          </w:tcPr>
          <w:p w14:paraId="0DD532D0" w14:textId="77777777" w:rsidR="005F20F6" w:rsidRPr="008C52C9" w:rsidRDefault="005F20F6">
            <w:pPr>
              <w:spacing w:line="276" w:lineRule="auto"/>
              <w:jc w:val="center"/>
              <w:rPr>
                <w:noProof/>
                <w:sz w:val="20"/>
              </w:rPr>
            </w:pPr>
            <w:r w:rsidRPr="008C52C9">
              <w:rPr>
                <w:noProof/>
                <w:sz w:val="20"/>
              </w:rPr>
              <w:t>Anno</w:t>
            </w:r>
            <w:r w:rsidRPr="008C52C9">
              <w:rPr>
                <w:noProof/>
              </w:rPr>
              <w:t xml:space="preserve"> </w:t>
            </w:r>
            <w:r w:rsidRPr="008C52C9">
              <w:rPr>
                <w:noProof/>
              </w:rPr>
              <w:br/>
            </w:r>
            <w:r w:rsidRPr="008C52C9">
              <w:rPr>
                <w:b/>
                <w:noProof/>
                <w:sz w:val="20"/>
              </w:rPr>
              <w:t>N+1</w:t>
            </w:r>
          </w:p>
        </w:tc>
        <w:tc>
          <w:tcPr>
            <w:tcW w:w="868" w:type="dxa"/>
            <w:tcBorders>
              <w:top w:val="single" w:sz="4" w:space="0" w:color="auto"/>
              <w:left w:val="single" w:sz="4" w:space="0" w:color="auto"/>
              <w:bottom w:val="single" w:sz="4" w:space="0" w:color="auto"/>
              <w:right w:val="single" w:sz="4" w:space="0" w:color="auto"/>
            </w:tcBorders>
            <w:vAlign w:val="center"/>
            <w:hideMark/>
          </w:tcPr>
          <w:p w14:paraId="470B0179" w14:textId="77777777" w:rsidR="005F20F6" w:rsidRPr="008C52C9" w:rsidRDefault="005F20F6">
            <w:pPr>
              <w:spacing w:line="276" w:lineRule="auto"/>
              <w:jc w:val="center"/>
              <w:rPr>
                <w:noProof/>
                <w:sz w:val="20"/>
              </w:rPr>
            </w:pPr>
            <w:r w:rsidRPr="008C52C9">
              <w:rPr>
                <w:noProof/>
                <w:sz w:val="20"/>
              </w:rPr>
              <w:t>Anno</w:t>
            </w:r>
            <w:r w:rsidRPr="008C52C9">
              <w:rPr>
                <w:noProof/>
              </w:rPr>
              <w:t xml:space="preserve"> </w:t>
            </w:r>
            <w:r w:rsidRPr="008C52C9">
              <w:rPr>
                <w:noProof/>
              </w:rPr>
              <w:br/>
            </w:r>
            <w:r w:rsidRPr="008C52C9">
              <w:rPr>
                <w:b/>
                <w:noProof/>
                <w:sz w:val="20"/>
              </w:rPr>
              <w:t>N+2</w:t>
            </w:r>
          </w:p>
        </w:tc>
        <w:tc>
          <w:tcPr>
            <w:tcW w:w="868" w:type="dxa"/>
            <w:tcBorders>
              <w:top w:val="single" w:sz="4" w:space="0" w:color="auto"/>
              <w:left w:val="single" w:sz="4" w:space="0" w:color="auto"/>
              <w:bottom w:val="single" w:sz="4" w:space="0" w:color="auto"/>
              <w:right w:val="single" w:sz="4" w:space="0" w:color="auto"/>
            </w:tcBorders>
            <w:vAlign w:val="center"/>
            <w:hideMark/>
          </w:tcPr>
          <w:p w14:paraId="0C445A5F" w14:textId="77777777" w:rsidR="005F20F6" w:rsidRPr="008C52C9" w:rsidRDefault="005F20F6">
            <w:pPr>
              <w:spacing w:line="276" w:lineRule="auto"/>
              <w:jc w:val="center"/>
              <w:rPr>
                <w:noProof/>
                <w:sz w:val="20"/>
              </w:rPr>
            </w:pPr>
            <w:r w:rsidRPr="008C52C9">
              <w:rPr>
                <w:noProof/>
                <w:sz w:val="20"/>
              </w:rPr>
              <w:t>Anno</w:t>
            </w:r>
            <w:r w:rsidRPr="008C52C9">
              <w:rPr>
                <w:noProof/>
              </w:rPr>
              <w:t xml:space="preserve"> </w:t>
            </w:r>
            <w:r w:rsidRPr="008C52C9">
              <w:rPr>
                <w:noProof/>
              </w:rPr>
              <w:br/>
            </w:r>
            <w:r w:rsidRPr="008C52C9">
              <w:rPr>
                <w:b/>
                <w:noProof/>
                <w:sz w:val="20"/>
              </w:rPr>
              <w:t>N+3</w:t>
            </w:r>
          </w:p>
        </w:tc>
        <w:tc>
          <w:tcPr>
            <w:tcW w:w="2604" w:type="dxa"/>
            <w:gridSpan w:val="3"/>
            <w:tcBorders>
              <w:top w:val="single" w:sz="4" w:space="0" w:color="auto"/>
              <w:left w:val="single" w:sz="4" w:space="0" w:color="auto"/>
              <w:bottom w:val="single" w:sz="4" w:space="0" w:color="auto"/>
              <w:right w:val="single" w:sz="4" w:space="0" w:color="auto"/>
            </w:tcBorders>
            <w:vAlign w:val="center"/>
            <w:hideMark/>
          </w:tcPr>
          <w:p w14:paraId="354BB911" w14:textId="77777777" w:rsidR="005F20F6" w:rsidRPr="008C52C9" w:rsidRDefault="005F20F6">
            <w:pPr>
              <w:spacing w:line="276" w:lineRule="auto"/>
              <w:jc w:val="center"/>
              <w:rPr>
                <w:b/>
                <w:noProof/>
                <w:sz w:val="18"/>
              </w:rPr>
            </w:pPr>
            <w:r w:rsidRPr="008C52C9">
              <w:rPr>
                <w:noProof/>
                <w:sz w:val="18"/>
              </w:rPr>
              <w:t xml:space="preserve">Inserire gli anni necessari per evidenziare la durata dell'incidenza (cfr. punto 1.6) </w:t>
            </w:r>
          </w:p>
        </w:tc>
        <w:tc>
          <w:tcPr>
            <w:tcW w:w="1777" w:type="dxa"/>
            <w:tcBorders>
              <w:top w:val="single" w:sz="4" w:space="0" w:color="auto"/>
              <w:left w:val="single" w:sz="4" w:space="0" w:color="auto"/>
              <w:bottom w:val="single" w:sz="4" w:space="0" w:color="auto"/>
              <w:right w:val="single" w:sz="4" w:space="0" w:color="auto"/>
            </w:tcBorders>
            <w:vAlign w:val="center"/>
            <w:hideMark/>
          </w:tcPr>
          <w:p w14:paraId="350790C0" w14:textId="77777777" w:rsidR="005F20F6" w:rsidRPr="008C52C9" w:rsidRDefault="005F20F6">
            <w:pPr>
              <w:spacing w:line="276" w:lineRule="auto"/>
              <w:jc w:val="center"/>
              <w:rPr>
                <w:b/>
                <w:noProof/>
                <w:sz w:val="20"/>
              </w:rPr>
            </w:pPr>
            <w:r w:rsidRPr="008C52C9">
              <w:rPr>
                <w:b/>
                <w:noProof/>
                <w:sz w:val="20"/>
              </w:rPr>
              <w:t>TOTALE</w:t>
            </w:r>
          </w:p>
        </w:tc>
      </w:tr>
      <w:tr w:rsidR="005F20F6" w:rsidRPr="008C52C9" w14:paraId="00E376E7" w14:textId="77777777" w:rsidTr="005F20F6">
        <w:trPr>
          <w:gridAfter w:val="10"/>
          <w:wAfter w:w="9947" w:type="dxa"/>
        </w:trPr>
        <w:tc>
          <w:tcPr>
            <w:tcW w:w="3960" w:type="dxa"/>
            <w:tcBorders>
              <w:top w:val="single" w:sz="4" w:space="0" w:color="auto"/>
              <w:left w:val="single" w:sz="4" w:space="0" w:color="auto"/>
              <w:bottom w:val="single" w:sz="4" w:space="0" w:color="auto"/>
              <w:right w:val="single" w:sz="4" w:space="0" w:color="auto"/>
            </w:tcBorders>
            <w:vAlign w:val="center"/>
            <w:hideMark/>
          </w:tcPr>
          <w:p w14:paraId="4E8C8BFE" w14:textId="77777777" w:rsidR="005F20F6" w:rsidRPr="008C52C9" w:rsidRDefault="005F20F6">
            <w:pPr>
              <w:spacing w:before="60" w:after="60" w:line="276" w:lineRule="auto"/>
              <w:jc w:val="center"/>
              <w:rPr>
                <w:noProof/>
              </w:rPr>
            </w:pPr>
            <w:r w:rsidRPr="008C52C9">
              <w:rPr>
                <w:noProof/>
                <w:sz w:val="22"/>
              </w:rPr>
              <w:t xml:space="preserve">DG: </w:t>
            </w:r>
            <w:r w:rsidRPr="008C52C9">
              <w:rPr>
                <w:noProof/>
              </w:rPr>
              <w:t>&lt;…….&gt;</w:t>
            </w:r>
          </w:p>
        </w:tc>
      </w:tr>
      <w:tr w:rsidR="005F20F6" w:rsidRPr="008C52C9" w14:paraId="2A78ECAA" w14:textId="77777777" w:rsidTr="005F20F6">
        <w:trPr>
          <w:trHeight w:val="313"/>
        </w:trPr>
        <w:tc>
          <w:tcPr>
            <w:tcW w:w="6054" w:type="dxa"/>
            <w:gridSpan w:val="3"/>
            <w:tcBorders>
              <w:top w:val="single" w:sz="4" w:space="0" w:color="auto"/>
              <w:left w:val="single" w:sz="4" w:space="0" w:color="auto"/>
              <w:bottom w:val="single" w:sz="4" w:space="0" w:color="auto"/>
              <w:right w:val="single" w:sz="4" w:space="0" w:color="auto"/>
            </w:tcBorders>
            <w:vAlign w:val="center"/>
            <w:hideMark/>
          </w:tcPr>
          <w:p w14:paraId="3155376A" w14:textId="77777777" w:rsidR="005F20F6" w:rsidRPr="008C52C9" w:rsidRDefault="005F20F6">
            <w:pPr>
              <w:spacing w:before="20" w:after="20" w:line="276" w:lineRule="auto"/>
              <w:rPr>
                <w:noProof/>
              </w:rPr>
            </w:pPr>
            <w:r w:rsidRPr="008C52C9">
              <w:rPr>
                <w:noProof/>
                <w:sz w:val="22"/>
              </w:rPr>
              <w:sym w:font="Wingdings" w:char="F09F"/>
            </w:r>
            <w:r w:rsidRPr="008C52C9">
              <w:rPr>
                <w:noProof/>
                <w:sz w:val="22"/>
              </w:rPr>
              <w:t xml:space="preserve"> Risorse umane </w:t>
            </w:r>
          </w:p>
        </w:tc>
        <w:tc>
          <w:tcPr>
            <w:tcW w:w="868" w:type="dxa"/>
            <w:tcBorders>
              <w:top w:val="single" w:sz="4" w:space="0" w:color="auto"/>
              <w:left w:val="single" w:sz="4" w:space="0" w:color="auto"/>
              <w:bottom w:val="single" w:sz="4" w:space="0" w:color="auto"/>
              <w:right w:val="single" w:sz="4" w:space="0" w:color="auto"/>
            </w:tcBorders>
            <w:vAlign w:val="center"/>
          </w:tcPr>
          <w:p w14:paraId="2D3B9987" w14:textId="77777777" w:rsidR="005F20F6" w:rsidRPr="008C52C9" w:rsidRDefault="005F20F6">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627DA1FA" w14:textId="77777777" w:rsidR="005F20F6" w:rsidRPr="008C52C9" w:rsidRDefault="005F20F6">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08BBD26C" w14:textId="77777777" w:rsidR="005F20F6" w:rsidRPr="008C52C9" w:rsidRDefault="005F20F6">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288425E5" w14:textId="77777777" w:rsidR="005F20F6" w:rsidRPr="008C52C9" w:rsidRDefault="005F20F6">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70AE7F8E" w14:textId="77777777" w:rsidR="005F20F6" w:rsidRPr="008C52C9" w:rsidRDefault="005F20F6">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716061B8" w14:textId="77777777" w:rsidR="005F20F6" w:rsidRPr="008C52C9" w:rsidRDefault="005F20F6">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1991C8DB" w14:textId="77777777" w:rsidR="005F20F6" w:rsidRPr="008C52C9" w:rsidRDefault="005F20F6">
            <w:pPr>
              <w:spacing w:before="20" w:after="20" w:line="276" w:lineRule="auto"/>
              <w:jc w:val="right"/>
              <w:rPr>
                <w:b/>
                <w:noProof/>
                <w:sz w:val="20"/>
              </w:rPr>
            </w:pPr>
          </w:p>
        </w:tc>
        <w:tc>
          <w:tcPr>
            <w:tcW w:w="1777" w:type="dxa"/>
            <w:tcBorders>
              <w:top w:val="single" w:sz="4" w:space="0" w:color="auto"/>
              <w:left w:val="single" w:sz="4" w:space="0" w:color="auto"/>
              <w:bottom w:val="single" w:sz="4" w:space="0" w:color="auto"/>
              <w:right w:val="single" w:sz="4" w:space="0" w:color="auto"/>
            </w:tcBorders>
            <w:vAlign w:val="center"/>
          </w:tcPr>
          <w:p w14:paraId="08D33A86" w14:textId="77777777" w:rsidR="005F20F6" w:rsidRPr="008C52C9" w:rsidRDefault="005F20F6">
            <w:pPr>
              <w:spacing w:before="20" w:after="20" w:line="276" w:lineRule="auto"/>
              <w:jc w:val="right"/>
              <w:rPr>
                <w:b/>
                <w:noProof/>
                <w:sz w:val="20"/>
              </w:rPr>
            </w:pPr>
          </w:p>
        </w:tc>
      </w:tr>
      <w:tr w:rsidR="005F20F6" w:rsidRPr="008C52C9" w14:paraId="658DCEB9" w14:textId="77777777" w:rsidTr="005F20F6">
        <w:trPr>
          <w:trHeight w:val="351"/>
        </w:trPr>
        <w:tc>
          <w:tcPr>
            <w:tcW w:w="6054" w:type="dxa"/>
            <w:gridSpan w:val="3"/>
            <w:tcBorders>
              <w:top w:val="single" w:sz="4" w:space="0" w:color="auto"/>
              <w:left w:val="single" w:sz="4" w:space="0" w:color="auto"/>
              <w:bottom w:val="single" w:sz="4" w:space="0" w:color="auto"/>
              <w:right w:val="single" w:sz="4" w:space="0" w:color="auto"/>
            </w:tcBorders>
            <w:vAlign w:val="center"/>
            <w:hideMark/>
          </w:tcPr>
          <w:p w14:paraId="7C1C0242" w14:textId="77777777" w:rsidR="005F20F6" w:rsidRPr="008C52C9" w:rsidRDefault="005F20F6">
            <w:pPr>
              <w:spacing w:before="20" w:after="20" w:line="276" w:lineRule="auto"/>
              <w:rPr>
                <w:noProof/>
              </w:rPr>
            </w:pPr>
            <w:r w:rsidRPr="008C52C9">
              <w:rPr>
                <w:noProof/>
                <w:sz w:val="22"/>
              </w:rPr>
              <w:sym w:font="Wingdings" w:char="F09F"/>
            </w:r>
            <w:r w:rsidRPr="008C52C9">
              <w:rPr>
                <w:noProof/>
                <w:sz w:val="22"/>
              </w:rPr>
              <w:t xml:space="preserve"> Altre spese amministrative </w:t>
            </w:r>
          </w:p>
        </w:tc>
        <w:tc>
          <w:tcPr>
            <w:tcW w:w="868" w:type="dxa"/>
            <w:tcBorders>
              <w:top w:val="single" w:sz="4" w:space="0" w:color="auto"/>
              <w:left w:val="single" w:sz="4" w:space="0" w:color="auto"/>
              <w:bottom w:val="single" w:sz="4" w:space="0" w:color="auto"/>
              <w:right w:val="single" w:sz="4" w:space="0" w:color="auto"/>
            </w:tcBorders>
            <w:vAlign w:val="center"/>
          </w:tcPr>
          <w:p w14:paraId="598F8946" w14:textId="77777777" w:rsidR="005F20F6" w:rsidRPr="008C52C9" w:rsidRDefault="005F20F6">
            <w:pPr>
              <w:spacing w:before="20" w:after="2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72922076" w14:textId="77777777" w:rsidR="005F20F6" w:rsidRPr="008C52C9" w:rsidRDefault="005F20F6">
            <w:pPr>
              <w:spacing w:before="20" w:after="2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6AF44D7E" w14:textId="77777777" w:rsidR="005F20F6" w:rsidRPr="008C52C9" w:rsidRDefault="005F20F6">
            <w:pPr>
              <w:spacing w:before="20" w:after="2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394DDA14" w14:textId="77777777" w:rsidR="005F20F6" w:rsidRPr="008C52C9" w:rsidRDefault="005F20F6">
            <w:pPr>
              <w:spacing w:before="20" w:after="2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7AB3FC1E" w14:textId="77777777" w:rsidR="005F20F6" w:rsidRPr="008C52C9" w:rsidRDefault="005F20F6">
            <w:pPr>
              <w:spacing w:before="20" w:after="2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65DBF658" w14:textId="77777777" w:rsidR="005F20F6" w:rsidRPr="008C52C9" w:rsidRDefault="005F20F6">
            <w:pPr>
              <w:spacing w:before="20" w:after="2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42867A17" w14:textId="77777777" w:rsidR="005F20F6" w:rsidRPr="008C52C9" w:rsidRDefault="005F20F6">
            <w:pPr>
              <w:spacing w:before="20" w:after="20" w:line="276" w:lineRule="auto"/>
              <w:jc w:val="right"/>
              <w:rPr>
                <w:b/>
                <w:noProof/>
                <w:sz w:val="20"/>
              </w:rPr>
            </w:pPr>
          </w:p>
        </w:tc>
        <w:tc>
          <w:tcPr>
            <w:tcW w:w="1777" w:type="dxa"/>
            <w:tcBorders>
              <w:top w:val="single" w:sz="4" w:space="0" w:color="auto"/>
              <w:left w:val="single" w:sz="4" w:space="0" w:color="auto"/>
              <w:bottom w:val="single" w:sz="4" w:space="0" w:color="auto"/>
              <w:right w:val="single" w:sz="4" w:space="0" w:color="auto"/>
            </w:tcBorders>
            <w:vAlign w:val="center"/>
          </w:tcPr>
          <w:p w14:paraId="3C06A251" w14:textId="77777777" w:rsidR="005F20F6" w:rsidRPr="008C52C9" w:rsidRDefault="005F20F6">
            <w:pPr>
              <w:spacing w:before="20" w:after="20" w:line="276" w:lineRule="auto"/>
              <w:jc w:val="right"/>
              <w:rPr>
                <w:b/>
                <w:noProof/>
                <w:sz w:val="20"/>
              </w:rPr>
            </w:pPr>
          </w:p>
        </w:tc>
      </w:tr>
      <w:tr w:rsidR="005F20F6" w:rsidRPr="008C52C9" w14:paraId="411E0603" w14:textId="77777777" w:rsidTr="005F20F6">
        <w:tc>
          <w:tcPr>
            <w:tcW w:w="3960" w:type="dxa"/>
            <w:tcBorders>
              <w:top w:val="single" w:sz="4" w:space="0" w:color="auto"/>
              <w:left w:val="single" w:sz="4" w:space="0" w:color="auto"/>
              <w:bottom w:val="single" w:sz="4" w:space="0" w:color="auto"/>
              <w:right w:val="single" w:sz="4" w:space="0" w:color="auto"/>
            </w:tcBorders>
            <w:vAlign w:val="center"/>
            <w:hideMark/>
          </w:tcPr>
          <w:p w14:paraId="0C406C1F" w14:textId="77777777" w:rsidR="005F20F6" w:rsidRPr="008C52C9" w:rsidRDefault="005F20F6">
            <w:pPr>
              <w:spacing w:line="276" w:lineRule="auto"/>
              <w:jc w:val="center"/>
              <w:rPr>
                <w:b/>
                <w:noProof/>
              </w:rPr>
            </w:pPr>
            <w:r w:rsidRPr="008C52C9">
              <w:rPr>
                <w:b/>
                <w:noProof/>
                <w:sz w:val="22"/>
              </w:rPr>
              <w:t xml:space="preserve">TOTALE DG </w:t>
            </w:r>
            <w:r w:rsidRPr="008C52C9">
              <w:rPr>
                <w:noProof/>
              </w:rPr>
              <w:t>&lt;…….&gt;</w:t>
            </w:r>
          </w:p>
        </w:tc>
        <w:tc>
          <w:tcPr>
            <w:tcW w:w="2094" w:type="dxa"/>
            <w:gridSpan w:val="2"/>
            <w:tcBorders>
              <w:top w:val="single" w:sz="4" w:space="0" w:color="auto"/>
              <w:left w:val="single" w:sz="4" w:space="0" w:color="auto"/>
              <w:bottom w:val="single" w:sz="4" w:space="0" w:color="auto"/>
              <w:right w:val="single" w:sz="4" w:space="0" w:color="auto"/>
            </w:tcBorders>
            <w:vAlign w:val="center"/>
            <w:hideMark/>
          </w:tcPr>
          <w:p w14:paraId="1E809DBB" w14:textId="77777777" w:rsidR="005F20F6" w:rsidRPr="008C52C9" w:rsidRDefault="005F20F6">
            <w:pPr>
              <w:spacing w:line="276" w:lineRule="auto"/>
              <w:rPr>
                <w:noProof/>
                <w:sz w:val="14"/>
              </w:rPr>
            </w:pPr>
            <w:r w:rsidRPr="008C52C9">
              <w:rPr>
                <w:noProof/>
                <w:sz w:val="18"/>
              </w:rPr>
              <w:t xml:space="preserve">Stanziamenti </w:t>
            </w:r>
          </w:p>
        </w:tc>
        <w:tc>
          <w:tcPr>
            <w:tcW w:w="868" w:type="dxa"/>
            <w:tcBorders>
              <w:top w:val="single" w:sz="4" w:space="0" w:color="auto"/>
              <w:left w:val="single" w:sz="4" w:space="0" w:color="auto"/>
              <w:bottom w:val="single" w:sz="4" w:space="0" w:color="auto"/>
              <w:right w:val="single" w:sz="4" w:space="0" w:color="auto"/>
            </w:tcBorders>
            <w:vAlign w:val="center"/>
          </w:tcPr>
          <w:p w14:paraId="472FD8D0" w14:textId="77777777" w:rsidR="005F20F6" w:rsidRPr="008C52C9" w:rsidRDefault="005F20F6">
            <w:pPr>
              <w:spacing w:before="60" w:after="6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119D8127" w14:textId="77777777" w:rsidR="005F20F6" w:rsidRPr="008C52C9" w:rsidRDefault="005F20F6">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6270639F" w14:textId="77777777" w:rsidR="005F20F6" w:rsidRPr="008C52C9" w:rsidRDefault="005F20F6">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0CAABC48" w14:textId="77777777" w:rsidR="005F20F6" w:rsidRPr="008C52C9" w:rsidRDefault="005F20F6">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0D05D0C1" w14:textId="77777777" w:rsidR="005F20F6" w:rsidRPr="008C52C9" w:rsidRDefault="005F20F6">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3326313D" w14:textId="77777777" w:rsidR="005F20F6" w:rsidRPr="008C52C9" w:rsidRDefault="005F20F6">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5B3BC2AE" w14:textId="77777777" w:rsidR="005F20F6" w:rsidRPr="008C52C9" w:rsidRDefault="005F20F6">
            <w:pPr>
              <w:spacing w:before="20" w:after="20" w:line="276" w:lineRule="auto"/>
              <w:jc w:val="right"/>
              <w:rPr>
                <w:b/>
                <w:noProof/>
                <w:sz w:val="20"/>
              </w:rPr>
            </w:pPr>
          </w:p>
        </w:tc>
        <w:tc>
          <w:tcPr>
            <w:tcW w:w="1777" w:type="dxa"/>
            <w:tcBorders>
              <w:top w:val="single" w:sz="4" w:space="0" w:color="auto"/>
              <w:left w:val="single" w:sz="4" w:space="0" w:color="auto"/>
              <w:bottom w:val="single" w:sz="4" w:space="0" w:color="auto"/>
              <w:right w:val="single" w:sz="4" w:space="0" w:color="auto"/>
            </w:tcBorders>
            <w:vAlign w:val="center"/>
          </w:tcPr>
          <w:p w14:paraId="1EA87F08" w14:textId="77777777" w:rsidR="005F20F6" w:rsidRPr="008C52C9" w:rsidRDefault="005F20F6">
            <w:pPr>
              <w:spacing w:before="20" w:after="20" w:line="276" w:lineRule="auto"/>
              <w:jc w:val="right"/>
              <w:rPr>
                <w:b/>
                <w:noProof/>
                <w:sz w:val="20"/>
              </w:rPr>
            </w:pPr>
          </w:p>
        </w:tc>
      </w:tr>
    </w:tbl>
    <w:p w14:paraId="37D96C18" w14:textId="77777777" w:rsidR="005F20F6" w:rsidRPr="008C52C9" w:rsidRDefault="005F20F6" w:rsidP="005F20F6">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5F20F6" w:rsidRPr="008C52C9" w14:paraId="1877FCEF" w14:textId="77777777" w:rsidTr="005F20F6">
        <w:tc>
          <w:tcPr>
            <w:tcW w:w="3960" w:type="dxa"/>
            <w:tcBorders>
              <w:top w:val="single" w:sz="4" w:space="0" w:color="auto"/>
              <w:left w:val="single" w:sz="4" w:space="0" w:color="auto"/>
              <w:bottom w:val="single" w:sz="4" w:space="0" w:color="auto"/>
              <w:right w:val="single" w:sz="4" w:space="0" w:color="auto"/>
            </w:tcBorders>
            <w:shd w:val="thinDiagStripe" w:color="C0C0C0" w:fill="auto"/>
            <w:vAlign w:val="center"/>
            <w:hideMark/>
          </w:tcPr>
          <w:p w14:paraId="2B14A7BE" w14:textId="77777777" w:rsidR="005F20F6" w:rsidRPr="008C52C9" w:rsidRDefault="005F20F6">
            <w:pPr>
              <w:spacing w:line="276" w:lineRule="auto"/>
              <w:jc w:val="center"/>
              <w:rPr>
                <w:b/>
                <w:noProof/>
              </w:rPr>
            </w:pPr>
            <w:r w:rsidRPr="008C52C9">
              <w:rPr>
                <w:b/>
                <w:noProof/>
                <w:sz w:val="22"/>
              </w:rPr>
              <w:t>TOTALE stanziamenti</w:t>
            </w:r>
            <w:r w:rsidRPr="008C52C9">
              <w:rPr>
                <w:noProof/>
              </w:rPr>
              <w:t xml:space="preserve"> </w:t>
            </w:r>
            <w:r w:rsidRPr="008C52C9">
              <w:rPr>
                <w:noProof/>
              </w:rPr>
              <w:br/>
            </w:r>
            <w:r w:rsidRPr="008C52C9">
              <w:rPr>
                <w:b/>
                <w:noProof/>
                <w:sz w:val="22"/>
              </w:rPr>
              <w:t>per la RUBRICA 7</w:t>
            </w:r>
            <w:r w:rsidRPr="008C52C9">
              <w:rPr>
                <w:noProof/>
              </w:rPr>
              <w:t xml:space="preserve"> </w:t>
            </w:r>
            <w:r w:rsidRPr="008C52C9">
              <w:rPr>
                <w:noProof/>
              </w:rPr>
              <w:br/>
            </w:r>
            <w:r w:rsidRPr="008C52C9">
              <w:rPr>
                <w:noProof/>
                <w:sz w:val="22"/>
              </w:rPr>
              <w:t>del quadro finanziario pluriennale</w:t>
            </w:r>
            <w:r w:rsidRPr="008C52C9">
              <w:rPr>
                <w:b/>
                <w:noProof/>
                <w:sz w:val="22"/>
              </w:rPr>
              <w:t xml:space="preserve"> </w:t>
            </w:r>
          </w:p>
        </w:tc>
        <w:tc>
          <w:tcPr>
            <w:tcW w:w="2094" w:type="dxa"/>
            <w:tcBorders>
              <w:top w:val="single" w:sz="4" w:space="0" w:color="auto"/>
              <w:left w:val="single" w:sz="4" w:space="0" w:color="auto"/>
              <w:bottom w:val="single" w:sz="4" w:space="0" w:color="auto"/>
              <w:right w:val="single" w:sz="4" w:space="0" w:color="auto"/>
            </w:tcBorders>
            <w:vAlign w:val="center"/>
            <w:hideMark/>
          </w:tcPr>
          <w:p w14:paraId="5273E164" w14:textId="77777777" w:rsidR="005F20F6" w:rsidRPr="008C52C9" w:rsidRDefault="005F20F6">
            <w:pPr>
              <w:spacing w:before="40" w:after="40" w:line="276" w:lineRule="auto"/>
              <w:rPr>
                <w:noProof/>
              </w:rPr>
            </w:pPr>
            <w:r w:rsidRPr="008C52C9">
              <w:rPr>
                <w:noProof/>
                <w:sz w:val="18"/>
              </w:rPr>
              <w:t>(Totale impegni = Totale pagamenti)</w:t>
            </w:r>
          </w:p>
        </w:tc>
        <w:tc>
          <w:tcPr>
            <w:tcW w:w="868" w:type="dxa"/>
            <w:tcBorders>
              <w:top w:val="single" w:sz="4" w:space="0" w:color="auto"/>
              <w:left w:val="single" w:sz="4" w:space="0" w:color="auto"/>
              <w:bottom w:val="single" w:sz="4" w:space="0" w:color="auto"/>
              <w:right w:val="single" w:sz="4" w:space="0" w:color="auto"/>
            </w:tcBorders>
            <w:vAlign w:val="center"/>
          </w:tcPr>
          <w:p w14:paraId="429A8A1A" w14:textId="77777777" w:rsidR="005F20F6" w:rsidRPr="008C52C9" w:rsidRDefault="005F20F6">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3DB0D9F1" w14:textId="77777777" w:rsidR="005F20F6" w:rsidRPr="008C52C9" w:rsidRDefault="005F20F6">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44A5CBDE" w14:textId="77777777" w:rsidR="005F20F6" w:rsidRPr="008C52C9" w:rsidRDefault="005F20F6">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278ACAE8" w14:textId="77777777" w:rsidR="005F20F6" w:rsidRPr="008C52C9" w:rsidRDefault="005F20F6">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1296F628" w14:textId="77777777" w:rsidR="005F20F6" w:rsidRPr="008C52C9" w:rsidRDefault="005F20F6">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446E2822" w14:textId="77777777" w:rsidR="005F20F6" w:rsidRPr="008C52C9" w:rsidRDefault="005F20F6">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510684C1" w14:textId="77777777" w:rsidR="005F20F6" w:rsidRPr="008C52C9" w:rsidRDefault="005F20F6">
            <w:pPr>
              <w:spacing w:before="20" w:after="20" w:line="276" w:lineRule="auto"/>
              <w:jc w:val="right"/>
              <w:rPr>
                <w:b/>
                <w:noProof/>
                <w:sz w:val="20"/>
              </w:rPr>
            </w:pPr>
          </w:p>
        </w:tc>
        <w:tc>
          <w:tcPr>
            <w:tcW w:w="1777" w:type="dxa"/>
            <w:tcBorders>
              <w:top w:val="single" w:sz="4" w:space="0" w:color="auto"/>
              <w:left w:val="single" w:sz="4" w:space="0" w:color="auto"/>
              <w:bottom w:val="single" w:sz="4" w:space="0" w:color="auto"/>
              <w:right w:val="single" w:sz="4" w:space="0" w:color="auto"/>
            </w:tcBorders>
            <w:vAlign w:val="center"/>
          </w:tcPr>
          <w:p w14:paraId="021FC93E" w14:textId="77777777" w:rsidR="005F20F6" w:rsidRPr="008C52C9" w:rsidRDefault="005F20F6">
            <w:pPr>
              <w:spacing w:before="20" w:after="20" w:line="276" w:lineRule="auto"/>
              <w:jc w:val="right"/>
              <w:rPr>
                <w:b/>
                <w:noProof/>
                <w:sz w:val="20"/>
              </w:rPr>
            </w:pPr>
          </w:p>
        </w:tc>
      </w:tr>
    </w:tbl>
    <w:p w14:paraId="4E2F1326" w14:textId="77777777" w:rsidR="005F20F6" w:rsidRPr="008C52C9" w:rsidRDefault="005F20F6" w:rsidP="005F20F6">
      <w:pPr>
        <w:jc w:val="right"/>
        <w:rPr>
          <w:noProof/>
          <w:sz w:val="20"/>
        </w:rPr>
      </w:pPr>
      <w:r w:rsidRPr="008C52C9">
        <w:rPr>
          <w:noProof/>
          <w:sz w:val="20"/>
        </w:rPr>
        <w:t>Mio EUR (al terzo decimale)</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1200"/>
        <w:gridCol w:w="1445"/>
      </w:tblGrid>
      <w:tr w:rsidR="005F20F6" w:rsidRPr="008C52C9" w14:paraId="5F0A5073" w14:textId="77777777" w:rsidTr="005F20F6">
        <w:tc>
          <w:tcPr>
            <w:tcW w:w="3960" w:type="dxa"/>
            <w:tcBorders>
              <w:top w:val="nil"/>
              <w:left w:val="nil"/>
              <w:bottom w:val="single" w:sz="4" w:space="0" w:color="auto"/>
              <w:right w:val="nil"/>
            </w:tcBorders>
            <w:vAlign w:val="center"/>
          </w:tcPr>
          <w:p w14:paraId="7EFE7DBB" w14:textId="77777777" w:rsidR="005F20F6" w:rsidRPr="008C52C9" w:rsidRDefault="005F20F6">
            <w:pPr>
              <w:spacing w:line="276" w:lineRule="auto"/>
              <w:jc w:val="center"/>
              <w:rPr>
                <w:noProof/>
              </w:rPr>
            </w:pPr>
          </w:p>
        </w:tc>
        <w:tc>
          <w:tcPr>
            <w:tcW w:w="1560" w:type="dxa"/>
            <w:tcBorders>
              <w:top w:val="nil"/>
              <w:left w:val="nil"/>
              <w:bottom w:val="single" w:sz="4" w:space="0" w:color="auto"/>
              <w:right w:val="nil"/>
            </w:tcBorders>
          </w:tcPr>
          <w:p w14:paraId="042A627A" w14:textId="77777777" w:rsidR="005F20F6" w:rsidRPr="008C52C9" w:rsidRDefault="005F20F6">
            <w:pPr>
              <w:spacing w:line="276" w:lineRule="auto"/>
              <w:rPr>
                <w:noProof/>
                <w:sz w:val="20"/>
              </w:rPr>
            </w:pPr>
          </w:p>
        </w:tc>
        <w:tc>
          <w:tcPr>
            <w:tcW w:w="534" w:type="dxa"/>
            <w:tcBorders>
              <w:top w:val="nil"/>
              <w:left w:val="nil"/>
              <w:bottom w:val="single" w:sz="4" w:space="0" w:color="auto"/>
              <w:right w:val="single" w:sz="4" w:space="0" w:color="auto"/>
            </w:tcBorders>
          </w:tcPr>
          <w:p w14:paraId="69109964" w14:textId="77777777" w:rsidR="005F20F6" w:rsidRPr="008C52C9" w:rsidRDefault="005F20F6">
            <w:pPr>
              <w:spacing w:line="276" w:lineRule="auto"/>
              <w:jc w:val="center"/>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CD97E93" w14:textId="77777777" w:rsidR="005F20F6" w:rsidRPr="008C52C9" w:rsidRDefault="005F20F6">
            <w:pPr>
              <w:spacing w:line="276" w:lineRule="auto"/>
              <w:jc w:val="center"/>
              <w:rPr>
                <w:noProof/>
                <w:sz w:val="20"/>
              </w:rPr>
            </w:pPr>
            <w:r w:rsidRPr="008C52C9">
              <w:rPr>
                <w:noProof/>
                <w:sz w:val="20"/>
              </w:rPr>
              <w:t>Anno</w:t>
            </w:r>
            <w:r w:rsidRPr="008C52C9">
              <w:rPr>
                <w:noProof/>
              </w:rPr>
              <w:t xml:space="preserve"> </w:t>
            </w:r>
            <w:r w:rsidRPr="008C52C9">
              <w:rPr>
                <w:noProof/>
              </w:rPr>
              <w:br/>
            </w:r>
            <w:r w:rsidRPr="008C52C9">
              <w:rPr>
                <w:b/>
                <w:noProof/>
                <w:sz w:val="20"/>
              </w:rPr>
              <w:t>2025</w:t>
            </w:r>
          </w:p>
        </w:tc>
        <w:tc>
          <w:tcPr>
            <w:tcW w:w="868" w:type="dxa"/>
            <w:tcBorders>
              <w:top w:val="single" w:sz="4" w:space="0" w:color="auto"/>
              <w:left w:val="single" w:sz="4" w:space="0" w:color="auto"/>
              <w:bottom w:val="single" w:sz="4" w:space="0" w:color="auto"/>
              <w:right w:val="single" w:sz="4" w:space="0" w:color="auto"/>
            </w:tcBorders>
            <w:vAlign w:val="center"/>
            <w:hideMark/>
          </w:tcPr>
          <w:p w14:paraId="7ED9A0CB" w14:textId="77777777" w:rsidR="005F20F6" w:rsidRPr="008C52C9" w:rsidRDefault="005F20F6">
            <w:pPr>
              <w:spacing w:line="276" w:lineRule="auto"/>
              <w:jc w:val="center"/>
              <w:rPr>
                <w:noProof/>
                <w:sz w:val="20"/>
              </w:rPr>
            </w:pPr>
            <w:r w:rsidRPr="008C52C9">
              <w:rPr>
                <w:noProof/>
                <w:sz w:val="20"/>
              </w:rPr>
              <w:t>Anno</w:t>
            </w:r>
            <w:r w:rsidRPr="008C52C9">
              <w:rPr>
                <w:noProof/>
              </w:rPr>
              <w:t xml:space="preserve"> </w:t>
            </w:r>
            <w:r w:rsidRPr="008C52C9">
              <w:rPr>
                <w:noProof/>
              </w:rPr>
              <w:br/>
            </w:r>
            <w:r w:rsidRPr="008C52C9">
              <w:rPr>
                <w:b/>
                <w:noProof/>
                <w:sz w:val="20"/>
              </w:rPr>
              <w:t>2026</w:t>
            </w:r>
          </w:p>
        </w:tc>
        <w:tc>
          <w:tcPr>
            <w:tcW w:w="868" w:type="dxa"/>
            <w:tcBorders>
              <w:top w:val="single" w:sz="4" w:space="0" w:color="auto"/>
              <w:left w:val="single" w:sz="4" w:space="0" w:color="auto"/>
              <w:bottom w:val="single" w:sz="4" w:space="0" w:color="auto"/>
              <w:right w:val="single" w:sz="4" w:space="0" w:color="auto"/>
            </w:tcBorders>
            <w:vAlign w:val="center"/>
            <w:hideMark/>
          </w:tcPr>
          <w:p w14:paraId="7DFA9250" w14:textId="77777777" w:rsidR="005F20F6" w:rsidRPr="008C52C9" w:rsidRDefault="005F20F6">
            <w:pPr>
              <w:spacing w:line="276" w:lineRule="auto"/>
              <w:jc w:val="center"/>
              <w:rPr>
                <w:noProof/>
                <w:sz w:val="20"/>
              </w:rPr>
            </w:pPr>
            <w:r w:rsidRPr="008C52C9">
              <w:rPr>
                <w:noProof/>
                <w:sz w:val="20"/>
              </w:rPr>
              <w:t>Anno</w:t>
            </w:r>
            <w:r w:rsidRPr="008C52C9">
              <w:rPr>
                <w:noProof/>
              </w:rPr>
              <w:t xml:space="preserve"> </w:t>
            </w:r>
            <w:r w:rsidRPr="008C52C9">
              <w:rPr>
                <w:noProof/>
              </w:rPr>
              <w:br/>
            </w:r>
            <w:r w:rsidRPr="008C52C9">
              <w:rPr>
                <w:b/>
                <w:noProof/>
                <w:sz w:val="20"/>
              </w:rPr>
              <w:t>2027</w:t>
            </w:r>
          </w:p>
        </w:tc>
        <w:tc>
          <w:tcPr>
            <w:tcW w:w="1200" w:type="dxa"/>
            <w:tcBorders>
              <w:top w:val="single" w:sz="4" w:space="0" w:color="auto"/>
              <w:left w:val="single" w:sz="4" w:space="0" w:color="auto"/>
              <w:bottom w:val="single" w:sz="4" w:space="0" w:color="auto"/>
              <w:right w:val="single" w:sz="4" w:space="0" w:color="auto"/>
            </w:tcBorders>
            <w:hideMark/>
          </w:tcPr>
          <w:p w14:paraId="10CC0FF6" w14:textId="77777777" w:rsidR="005F20F6" w:rsidRPr="008C52C9" w:rsidRDefault="005F20F6">
            <w:pPr>
              <w:spacing w:line="276" w:lineRule="auto"/>
              <w:jc w:val="center"/>
              <w:rPr>
                <w:noProof/>
                <w:sz w:val="20"/>
              </w:rPr>
            </w:pPr>
            <w:r w:rsidRPr="008C52C9">
              <w:rPr>
                <w:noProof/>
                <w:sz w:val="20"/>
              </w:rPr>
              <w:t>Anno</w:t>
            </w:r>
            <w:r w:rsidRPr="008C52C9">
              <w:rPr>
                <w:noProof/>
              </w:rPr>
              <w:t xml:space="preserve"> </w:t>
            </w:r>
            <w:r w:rsidRPr="008C52C9">
              <w:rPr>
                <w:noProof/>
              </w:rPr>
              <w:br/>
            </w:r>
            <w:r w:rsidRPr="008C52C9">
              <w:rPr>
                <w:b/>
                <w:noProof/>
                <w:sz w:val="20"/>
              </w:rPr>
              <w:t>2028-2034</w:t>
            </w:r>
          </w:p>
        </w:tc>
        <w:tc>
          <w:tcPr>
            <w:tcW w:w="1445" w:type="dxa"/>
            <w:tcBorders>
              <w:top w:val="single" w:sz="4" w:space="0" w:color="auto"/>
              <w:left w:val="single" w:sz="4" w:space="0" w:color="auto"/>
              <w:bottom w:val="single" w:sz="4" w:space="0" w:color="auto"/>
              <w:right w:val="single" w:sz="4" w:space="0" w:color="auto"/>
            </w:tcBorders>
            <w:vAlign w:val="center"/>
            <w:hideMark/>
          </w:tcPr>
          <w:p w14:paraId="7F8CFE72" w14:textId="77777777" w:rsidR="005F20F6" w:rsidRPr="008C52C9" w:rsidRDefault="005F20F6">
            <w:pPr>
              <w:spacing w:line="276" w:lineRule="auto"/>
              <w:jc w:val="center"/>
              <w:rPr>
                <w:b/>
                <w:noProof/>
                <w:sz w:val="20"/>
              </w:rPr>
            </w:pPr>
            <w:r w:rsidRPr="008C52C9">
              <w:rPr>
                <w:b/>
                <w:noProof/>
                <w:sz w:val="20"/>
              </w:rPr>
              <w:t>TOTALE</w:t>
            </w:r>
          </w:p>
        </w:tc>
      </w:tr>
      <w:tr w:rsidR="005F20F6" w:rsidRPr="008C52C9" w14:paraId="54D74CC3" w14:textId="77777777" w:rsidTr="005F20F6">
        <w:tc>
          <w:tcPr>
            <w:tcW w:w="3960"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14:paraId="29BD417E" w14:textId="77777777" w:rsidR="005F20F6" w:rsidRPr="008C52C9" w:rsidRDefault="005F20F6">
            <w:pPr>
              <w:spacing w:line="276" w:lineRule="auto"/>
              <w:jc w:val="center"/>
              <w:rPr>
                <w:b/>
                <w:noProof/>
              </w:rPr>
            </w:pPr>
            <w:r w:rsidRPr="008C52C9">
              <w:rPr>
                <w:b/>
                <w:noProof/>
                <w:sz w:val="22"/>
              </w:rPr>
              <w:t xml:space="preserve">TOTALE stanziamenti </w:t>
            </w:r>
            <w:r w:rsidRPr="008C52C9">
              <w:rPr>
                <w:noProof/>
              </w:rPr>
              <w:br/>
            </w:r>
            <w:r w:rsidRPr="008C52C9">
              <w:rPr>
                <w:b/>
                <w:noProof/>
                <w:sz w:val="22"/>
              </w:rPr>
              <w:t>per le RUBRICHE da 1 a 7</w:t>
            </w:r>
            <w:r w:rsidRPr="008C52C9">
              <w:rPr>
                <w:noProof/>
              </w:rPr>
              <w:t xml:space="preserve"> </w:t>
            </w:r>
            <w:r w:rsidRPr="008C52C9">
              <w:rPr>
                <w:noProof/>
              </w:rPr>
              <w:br/>
            </w:r>
            <w:r w:rsidRPr="008C52C9">
              <w:rPr>
                <w:noProof/>
                <w:sz w:val="22"/>
              </w:rPr>
              <w:t>del quadro finanziario pluriennale</w:t>
            </w:r>
            <w:r w:rsidRPr="008C52C9">
              <w:rPr>
                <w:b/>
                <w:noProof/>
                <w:sz w:val="22"/>
              </w:rPr>
              <w:t xml:space="preserve"> </w:t>
            </w:r>
          </w:p>
        </w:tc>
        <w:tc>
          <w:tcPr>
            <w:tcW w:w="2094" w:type="dxa"/>
            <w:gridSpan w:val="2"/>
            <w:tcBorders>
              <w:top w:val="single" w:sz="4" w:space="0" w:color="auto"/>
              <w:left w:val="single" w:sz="4" w:space="0" w:color="auto"/>
              <w:bottom w:val="single" w:sz="4" w:space="0" w:color="auto"/>
              <w:right w:val="single" w:sz="4" w:space="0" w:color="auto"/>
            </w:tcBorders>
            <w:vAlign w:val="center"/>
            <w:hideMark/>
          </w:tcPr>
          <w:p w14:paraId="5C863FF6" w14:textId="77777777" w:rsidR="005F20F6" w:rsidRPr="008C52C9" w:rsidRDefault="005F20F6">
            <w:pPr>
              <w:spacing w:line="276" w:lineRule="auto"/>
              <w:rPr>
                <w:noProof/>
                <w:sz w:val="14"/>
              </w:rPr>
            </w:pPr>
            <w:r w:rsidRPr="008C52C9">
              <w:rPr>
                <w:noProof/>
                <w:sz w:val="18"/>
              </w:rPr>
              <w:t>Impegni</w:t>
            </w:r>
          </w:p>
        </w:tc>
        <w:tc>
          <w:tcPr>
            <w:tcW w:w="868" w:type="dxa"/>
            <w:tcBorders>
              <w:top w:val="single" w:sz="4" w:space="0" w:color="auto"/>
              <w:left w:val="single" w:sz="4" w:space="0" w:color="auto"/>
              <w:bottom w:val="single" w:sz="4" w:space="0" w:color="auto"/>
              <w:right w:val="single" w:sz="4" w:space="0" w:color="auto"/>
            </w:tcBorders>
            <w:vAlign w:val="center"/>
            <w:hideMark/>
          </w:tcPr>
          <w:p w14:paraId="25509B42" w14:textId="77777777" w:rsidR="005F20F6" w:rsidRPr="008C52C9" w:rsidRDefault="00C5644C">
            <w:pPr>
              <w:spacing w:before="60" w:after="60" w:line="276" w:lineRule="auto"/>
              <w:jc w:val="right"/>
              <w:rPr>
                <w:noProof/>
                <w:sz w:val="20"/>
              </w:rPr>
            </w:pPr>
            <w:r w:rsidRPr="008C52C9">
              <w:rPr>
                <w:noProof/>
                <w:sz w:val="20"/>
              </w:rPr>
              <w:t>6,963</w:t>
            </w:r>
          </w:p>
        </w:tc>
        <w:tc>
          <w:tcPr>
            <w:tcW w:w="868" w:type="dxa"/>
            <w:tcBorders>
              <w:top w:val="single" w:sz="4" w:space="0" w:color="auto"/>
              <w:left w:val="single" w:sz="4" w:space="0" w:color="auto"/>
              <w:bottom w:val="single" w:sz="4" w:space="0" w:color="auto"/>
              <w:right w:val="single" w:sz="4" w:space="0" w:color="auto"/>
            </w:tcBorders>
            <w:vAlign w:val="center"/>
            <w:hideMark/>
          </w:tcPr>
          <w:p w14:paraId="2060F31E" w14:textId="77777777" w:rsidR="005F20F6" w:rsidRPr="008C52C9" w:rsidRDefault="005F20F6">
            <w:pPr>
              <w:spacing w:before="60" w:after="60" w:line="276" w:lineRule="auto"/>
              <w:jc w:val="right"/>
              <w:rPr>
                <w:noProof/>
                <w:sz w:val="20"/>
              </w:rPr>
            </w:pPr>
            <w:r w:rsidRPr="008C52C9">
              <w:rPr>
                <w:noProof/>
                <w:sz w:val="20"/>
              </w:rPr>
              <w:t>8,931</w:t>
            </w:r>
          </w:p>
        </w:tc>
        <w:tc>
          <w:tcPr>
            <w:tcW w:w="868" w:type="dxa"/>
            <w:tcBorders>
              <w:top w:val="single" w:sz="4" w:space="0" w:color="auto"/>
              <w:left w:val="single" w:sz="4" w:space="0" w:color="auto"/>
              <w:bottom w:val="single" w:sz="4" w:space="0" w:color="auto"/>
              <w:right w:val="single" w:sz="4" w:space="0" w:color="auto"/>
            </w:tcBorders>
            <w:vAlign w:val="center"/>
            <w:hideMark/>
          </w:tcPr>
          <w:p w14:paraId="425B8BF5" w14:textId="77777777" w:rsidR="005F20F6" w:rsidRPr="008C52C9" w:rsidRDefault="005F20F6">
            <w:pPr>
              <w:spacing w:before="60" w:after="60" w:line="276" w:lineRule="auto"/>
              <w:jc w:val="right"/>
              <w:rPr>
                <w:noProof/>
                <w:sz w:val="20"/>
              </w:rPr>
            </w:pPr>
            <w:r w:rsidRPr="008C52C9">
              <w:rPr>
                <w:noProof/>
                <w:sz w:val="20"/>
              </w:rPr>
              <w:t>9,131</w:t>
            </w:r>
          </w:p>
        </w:tc>
        <w:tc>
          <w:tcPr>
            <w:tcW w:w="1200" w:type="dxa"/>
            <w:tcBorders>
              <w:top w:val="single" w:sz="4" w:space="0" w:color="auto"/>
              <w:left w:val="single" w:sz="4" w:space="0" w:color="auto"/>
              <w:bottom w:val="single" w:sz="4" w:space="0" w:color="auto"/>
              <w:right w:val="single" w:sz="4" w:space="0" w:color="auto"/>
            </w:tcBorders>
            <w:vAlign w:val="center"/>
            <w:hideMark/>
          </w:tcPr>
          <w:p w14:paraId="4D150979" w14:textId="77777777" w:rsidR="005F20F6" w:rsidRPr="008C52C9" w:rsidRDefault="005F20F6">
            <w:pPr>
              <w:spacing w:before="60" w:after="60" w:line="276" w:lineRule="auto"/>
              <w:jc w:val="right"/>
              <w:rPr>
                <w:noProof/>
                <w:sz w:val="20"/>
              </w:rPr>
            </w:pPr>
            <w:r w:rsidRPr="008C52C9">
              <w:rPr>
                <w:noProof/>
                <w:sz w:val="20"/>
              </w:rPr>
              <w:t>61,014</w:t>
            </w:r>
          </w:p>
        </w:tc>
        <w:tc>
          <w:tcPr>
            <w:tcW w:w="1445" w:type="dxa"/>
            <w:tcBorders>
              <w:top w:val="single" w:sz="4" w:space="0" w:color="auto"/>
              <w:left w:val="single" w:sz="4" w:space="0" w:color="auto"/>
              <w:bottom w:val="single" w:sz="4" w:space="0" w:color="auto"/>
              <w:right w:val="single" w:sz="4" w:space="0" w:color="auto"/>
            </w:tcBorders>
            <w:vAlign w:val="center"/>
            <w:hideMark/>
          </w:tcPr>
          <w:p w14:paraId="3B194E22" w14:textId="77777777" w:rsidR="005F20F6" w:rsidRPr="008C52C9" w:rsidRDefault="00C5644C">
            <w:pPr>
              <w:spacing w:before="60" w:after="60" w:line="276" w:lineRule="auto"/>
              <w:jc w:val="right"/>
              <w:rPr>
                <w:b/>
                <w:noProof/>
                <w:sz w:val="20"/>
              </w:rPr>
            </w:pPr>
            <w:r w:rsidRPr="008C52C9">
              <w:rPr>
                <w:b/>
                <w:noProof/>
                <w:sz w:val="20"/>
              </w:rPr>
              <w:t>86,039</w:t>
            </w:r>
          </w:p>
        </w:tc>
      </w:tr>
      <w:tr w:rsidR="005F20F6" w:rsidRPr="008C52C9" w14:paraId="4B251C47" w14:textId="77777777" w:rsidTr="005F20F6">
        <w:tc>
          <w:tcPr>
            <w:tcW w:w="3960" w:type="dxa"/>
            <w:vMerge/>
            <w:tcBorders>
              <w:top w:val="single" w:sz="4" w:space="0" w:color="auto"/>
              <w:left w:val="single" w:sz="4" w:space="0" w:color="auto"/>
              <w:bottom w:val="single" w:sz="4" w:space="0" w:color="auto"/>
              <w:right w:val="single" w:sz="4" w:space="0" w:color="auto"/>
            </w:tcBorders>
            <w:vAlign w:val="center"/>
            <w:hideMark/>
          </w:tcPr>
          <w:p w14:paraId="62A8A995" w14:textId="77777777" w:rsidR="005F20F6" w:rsidRPr="008C52C9" w:rsidRDefault="005F20F6">
            <w:pPr>
              <w:spacing w:before="0" w:after="0" w:line="276" w:lineRule="auto"/>
              <w:jc w:val="left"/>
              <w:rPr>
                <w:b/>
                <w:noProof/>
              </w:rPr>
            </w:pPr>
          </w:p>
        </w:tc>
        <w:tc>
          <w:tcPr>
            <w:tcW w:w="2094" w:type="dxa"/>
            <w:gridSpan w:val="2"/>
            <w:tcBorders>
              <w:top w:val="single" w:sz="4" w:space="0" w:color="auto"/>
              <w:left w:val="single" w:sz="4" w:space="0" w:color="auto"/>
              <w:bottom w:val="single" w:sz="4" w:space="0" w:color="auto"/>
              <w:right w:val="single" w:sz="4" w:space="0" w:color="auto"/>
            </w:tcBorders>
            <w:vAlign w:val="center"/>
            <w:hideMark/>
          </w:tcPr>
          <w:p w14:paraId="7B7EA3AC" w14:textId="77777777" w:rsidR="005F20F6" w:rsidRPr="008C52C9" w:rsidRDefault="005F20F6">
            <w:pPr>
              <w:spacing w:line="276" w:lineRule="auto"/>
              <w:rPr>
                <w:noProof/>
                <w:sz w:val="14"/>
              </w:rPr>
            </w:pPr>
            <w:r w:rsidRPr="008C52C9">
              <w:rPr>
                <w:noProof/>
                <w:sz w:val="18"/>
              </w:rPr>
              <w:t>Pagamenti</w:t>
            </w:r>
          </w:p>
        </w:tc>
        <w:tc>
          <w:tcPr>
            <w:tcW w:w="868" w:type="dxa"/>
            <w:tcBorders>
              <w:top w:val="single" w:sz="4" w:space="0" w:color="auto"/>
              <w:left w:val="single" w:sz="4" w:space="0" w:color="auto"/>
              <w:bottom w:val="single" w:sz="4" w:space="0" w:color="auto"/>
              <w:right w:val="single" w:sz="4" w:space="0" w:color="auto"/>
            </w:tcBorders>
            <w:vAlign w:val="center"/>
            <w:hideMark/>
          </w:tcPr>
          <w:p w14:paraId="445A08ED" w14:textId="77777777" w:rsidR="005F20F6" w:rsidRPr="008C52C9" w:rsidRDefault="00C5644C">
            <w:pPr>
              <w:spacing w:before="60" w:after="60" w:line="276" w:lineRule="auto"/>
              <w:jc w:val="right"/>
              <w:rPr>
                <w:noProof/>
                <w:sz w:val="20"/>
              </w:rPr>
            </w:pPr>
            <w:r w:rsidRPr="008C52C9">
              <w:rPr>
                <w:noProof/>
                <w:sz w:val="20"/>
              </w:rPr>
              <w:t>6,963</w:t>
            </w:r>
          </w:p>
        </w:tc>
        <w:tc>
          <w:tcPr>
            <w:tcW w:w="868" w:type="dxa"/>
            <w:tcBorders>
              <w:top w:val="single" w:sz="4" w:space="0" w:color="auto"/>
              <w:left w:val="single" w:sz="4" w:space="0" w:color="auto"/>
              <w:bottom w:val="single" w:sz="4" w:space="0" w:color="auto"/>
              <w:right w:val="single" w:sz="4" w:space="0" w:color="auto"/>
            </w:tcBorders>
            <w:vAlign w:val="center"/>
            <w:hideMark/>
          </w:tcPr>
          <w:p w14:paraId="4D154749" w14:textId="77777777" w:rsidR="005F20F6" w:rsidRPr="008C52C9" w:rsidRDefault="005F20F6">
            <w:pPr>
              <w:spacing w:before="60" w:after="60" w:line="276" w:lineRule="auto"/>
              <w:jc w:val="right"/>
              <w:rPr>
                <w:noProof/>
                <w:sz w:val="20"/>
              </w:rPr>
            </w:pPr>
            <w:r w:rsidRPr="008C52C9">
              <w:rPr>
                <w:noProof/>
                <w:sz w:val="20"/>
              </w:rPr>
              <w:t>8,931</w:t>
            </w:r>
          </w:p>
        </w:tc>
        <w:tc>
          <w:tcPr>
            <w:tcW w:w="868" w:type="dxa"/>
            <w:tcBorders>
              <w:top w:val="single" w:sz="4" w:space="0" w:color="auto"/>
              <w:left w:val="single" w:sz="4" w:space="0" w:color="auto"/>
              <w:bottom w:val="single" w:sz="4" w:space="0" w:color="auto"/>
              <w:right w:val="single" w:sz="4" w:space="0" w:color="auto"/>
            </w:tcBorders>
            <w:vAlign w:val="center"/>
            <w:hideMark/>
          </w:tcPr>
          <w:p w14:paraId="445C9788" w14:textId="77777777" w:rsidR="005F20F6" w:rsidRPr="008C52C9" w:rsidRDefault="005F20F6">
            <w:pPr>
              <w:spacing w:before="60" w:after="60" w:line="276" w:lineRule="auto"/>
              <w:jc w:val="right"/>
              <w:rPr>
                <w:noProof/>
                <w:sz w:val="20"/>
              </w:rPr>
            </w:pPr>
            <w:r w:rsidRPr="008C52C9">
              <w:rPr>
                <w:noProof/>
                <w:sz w:val="20"/>
              </w:rPr>
              <w:t>9,131</w:t>
            </w:r>
          </w:p>
        </w:tc>
        <w:tc>
          <w:tcPr>
            <w:tcW w:w="1200" w:type="dxa"/>
            <w:tcBorders>
              <w:top w:val="single" w:sz="4" w:space="0" w:color="auto"/>
              <w:left w:val="single" w:sz="4" w:space="0" w:color="auto"/>
              <w:bottom w:val="single" w:sz="4" w:space="0" w:color="auto"/>
              <w:right w:val="single" w:sz="4" w:space="0" w:color="auto"/>
            </w:tcBorders>
            <w:vAlign w:val="center"/>
            <w:hideMark/>
          </w:tcPr>
          <w:p w14:paraId="2F2E1858" w14:textId="77777777" w:rsidR="005F20F6" w:rsidRPr="008C52C9" w:rsidRDefault="005F20F6">
            <w:pPr>
              <w:spacing w:before="60" w:after="60" w:line="276" w:lineRule="auto"/>
              <w:jc w:val="right"/>
              <w:rPr>
                <w:noProof/>
                <w:sz w:val="20"/>
              </w:rPr>
            </w:pPr>
            <w:r w:rsidRPr="008C52C9">
              <w:rPr>
                <w:noProof/>
                <w:sz w:val="20"/>
              </w:rPr>
              <w:t>61,014</w:t>
            </w:r>
          </w:p>
        </w:tc>
        <w:tc>
          <w:tcPr>
            <w:tcW w:w="1445" w:type="dxa"/>
            <w:tcBorders>
              <w:top w:val="single" w:sz="4" w:space="0" w:color="auto"/>
              <w:left w:val="single" w:sz="4" w:space="0" w:color="auto"/>
              <w:bottom w:val="single" w:sz="4" w:space="0" w:color="auto"/>
              <w:right w:val="single" w:sz="4" w:space="0" w:color="auto"/>
            </w:tcBorders>
            <w:vAlign w:val="center"/>
            <w:hideMark/>
          </w:tcPr>
          <w:p w14:paraId="1668BCF1" w14:textId="77777777" w:rsidR="005F20F6" w:rsidRPr="008C52C9" w:rsidRDefault="00C5644C">
            <w:pPr>
              <w:spacing w:before="60" w:after="60" w:line="276" w:lineRule="auto"/>
              <w:jc w:val="right"/>
              <w:rPr>
                <w:b/>
                <w:noProof/>
                <w:sz w:val="20"/>
              </w:rPr>
            </w:pPr>
            <w:r w:rsidRPr="008C52C9">
              <w:rPr>
                <w:b/>
                <w:noProof/>
                <w:sz w:val="20"/>
              </w:rPr>
              <w:t>86,039</w:t>
            </w:r>
          </w:p>
        </w:tc>
      </w:tr>
    </w:tbl>
    <w:p w14:paraId="69BAA881" w14:textId="77777777" w:rsidR="005F20F6" w:rsidRPr="008C52C9" w:rsidRDefault="005F20F6" w:rsidP="005F20F6">
      <w:pPr>
        <w:spacing w:before="0" w:after="0"/>
        <w:jc w:val="left"/>
        <w:rPr>
          <w:noProof/>
        </w:rPr>
        <w:sectPr w:rsidR="005F20F6" w:rsidRPr="008C52C9" w:rsidSect="001A4546">
          <w:headerReference w:type="default" r:id="rId18"/>
          <w:footerReference w:type="default" r:id="rId19"/>
          <w:headerReference w:type="first" r:id="rId20"/>
          <w:footerReference w:type="first" r:id="rId21"/>
          <w:pgSz w:w="15840" w:h="12240" w:orient="landscape"/>
          <w:pgMar w:top="1134" w:right="1077" w:bottom="902" w:left="1247" w:header="709" w:footer="510" w:gutter="0"/>
          <w:cols w:space="720"/>
          <w:docGrid w:linePitch="326"/>
        </w:sectPr>
      </w:pPr>
    </w:p>
    <w:p w14:paraId="38DF5F77" w14:textId="77777777" w:rsidR="002D24C0" w:rsidRPr="008C52C9" w:rsidRDefault="002D24C0" w:rsidP="002D24C0">
      <w:pPr>
        <w:pStyle w:val="ManualHeading3"/>
        <w:rPr>
          <w:i w:val="0"/>
          <w:noProof/>
        </w:rPr>
      </w:pPr>
      <w:bookmarkStart w:id="64" w:name="_Toc514938687"/>
      <w:bookmarkStart w:id="65" w:name="_Toc520485446"/>
      <w:r w:rsidRPr="008C52C9">
        <w:rPr>
          <w:i w:val="0"/>
          <w:noProof/>
        </w:rPr>
        <w:lastRenderedPageBreak/>
        <w:t>L'incidenza sul bilancio al di là dell'attuale QFP rappresenta una panoramica indicativa, fatto salvo il futuro accordo sul QFP.</w:t>
      </w:r>
    </w:p>
    <w:p w14:paraId="6C5E22B5" w14:textId="77777777" w:rsidR="005F20F6" w:rsidRPr="008C52C9" w:rsidRDefault="005F20F6" w:rsidP="005F20F6">
      <w:pPr>
        <w:pStyle w:val="ManualHeading3"/>
        <w:rPr>
          <w:bCs/>
          <w:noProof/>
          <w:szCs w:val="24"/>
        </w:rPr>
      </w:pPr>
      <w:r w:rsidRPr="008C52C9">
        <w:rPr>
          <w:noProof/>
        </w:rPr>
        <w:t>3.2.2.</w:t>
      </w:r>
      <w:r w:rsidRPr="008C52C9">
        <w:rPr>
          <w:noProof/>
        </w:rPr>
        <w:tab/>
        <w:t>Incidenza prevista sugli stanziamenti dell'EMSA</w:t>
      </w:r>
      <w:bookmarkEnd w:id="64"/>
      <w:bookmarkEnd w:id="65"/>
      <w:r w:rsidRPr="008C52C9">
        <w:rPr>
          <w:noProof/>
        </w:rPr>
        <w:t xml:space="preserve"> </w:t>
      </w:r>
    </w:p>
    <w:p w14:paraId="726668B8" w14:textId="77777777" w:rsidR="005F20F6" w:rsidRPr="008C52C9" w:rsidRDefault="005F20F6" w:rsidP="00425994">
      <w:pPr>
        <w:pStyle w:val="ListDash1"/>
        <w:rPr>
          <w:noProof/>
        </w:rPr>
      </w:pPr>
      <w:r w:rsidRPr="008C52C9">
        <w:rPr>
          <w:noProof/>
        </w:rPr>
        <w:sym w:font="Wingdings" w:char="F0FE"/>
      </w:r>
      <w:r w:rsidRPr="008C52C9">
        <w:rPr>
          <w:noProof/>
        </w:rPr>
        <w:tab/>
        <w:t xml:space="preserve">La proposta/iniziativa non comporta l'utilizzo di stanziamenti operativi. </w:t>
      </w:r>
    </w:p>
    <w:p w14:paraId="5DCC5B7E" w14:textId="77777777" w:rsidR="005F20F6" w:rsidRPr="008C52C9" w:rsidRDefault="005F20F6" w:rsidP="00425994">
      <w:pPr>
        <w:pStyle w:val="ListDash1"/>
        <w:rPr>
          <w:noProof/>
        </w:rPr>
      </w:pPr>
      <w:r w:rsidRPr="008C52C9">
        <w:rPr>
          <w:noProof/>
        </w:rPr>
        <w:sym w:font="Wingdings" w:char="F0A8"/>
      </w:r>
      <w:r w:rsidRPr="008C52C9">
        <w:rPr>
          <w:noProof/>
        </w:rPr>
        <w:tab/>
        <w:t>La proposta/iniziativa comporta l'utilizzo di stanziamenti operativi, come spiegato di seguito:</w:t>
      </w:r>
    </w:p>
    <w:p w14:paraId="03DEEC56" w14:textId="77777777" w:rsidR="005F20F6" w:rsidRPr="008C52C9" w:rsidRDefault="005F20F6" w:rsidP="005F20F6">
      <w:pPr>
        <w:jc w:val="right"/>
        <w:rPr>
          <w:noProof/>
          <w:sz w:val="20"/>
        </w:rPr>
      </w:pPr>
      <w:r w:rsidRPr="008C52C9">
        <w:rPr>
          <w:noProof/>
          <w:sz w:val="20"/>
        </w:rPr>
        <w:t>Importi in Mio EUR (al terzo decimale)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31"/>
        <w:gridCol w:w="689"/>
        <w:gridCol w:w="540"/>
        <w:gridCol w:w="648"/>
        <w:gridCol w:w="432"/>
        <w:gridCol w:w="720"/>
        <w:gridCol w:w="540"/>
        <w:gridCol w:w="720"/>
        <w:gridCol w:w="720"/>
        <w:gridCol w:w="900"/>
      </w:tblGrid>
      <w:tr w:rsidR="005F20F6" w:rsidRPr="008C52C9" w14:paraId="72324BC0" w14:textId="77777777" w:rsidTr="005F20F6">
        <w:trPr>
          <w:jc w:val="center"/>
        </w:trPr>
        <w:tc>
          <w:tcPr>
            <w:tcW w:w="1423" w:type="dxa"/>
            <w:vMerge w:val="restart"/>
            <w:tcBorders>
              <w:top w:val="single" w:sz="4" w:space="0" w:color="auto"/>
              <w:left w:val="single" w:sz="4" w:space="0" w:color="auto"/>
              <w:bottom w:val="single" w:sz="4" w:space="0" w:color="auto"/>
              <w:right w:val="single" w:sz="4" w:space="0" w:color="auto"/>
            </w:tcBorders>
            <w:vAlign w:val="center"/>
          </w:tcPr>
          <w:p w14:paraId="1A1D4083" w14:textId="77777777" w:rsidR="005F20F6" w:rsidRPr="008C52C9" w:rsidRDefault="005F20F6">
            <w:pPr>
              <w:spacing w:line="276" w:lineRule="auto"/>
              <w:ind w:right="-29"/>
              <w:jc w:val="center"/>
              <w:rPr>
                <w:b/>
                <w:noProof/>
                <w:sz w:val="18"/>
              </w:rPr>
            </w:pPr>
            <w:r w:rsidRPr="008C52C9">
              <w:rPr>
                <w:b/>
                <w:noProof/>
                <w:sz w:val="18"/>
              </w:rPr>
              <w:t xml:space="preserve">Specificare gli obiettivi e i risultati </w:t>
            </w:r>
          </w:p>
          <w:p w14:paraId="6F40ADF0" w14:textId="77777777" w:rsidR="005F20F6" w:rsidRPr="008C52C9" w:rsidRDefault="005F20F6">
            <w:pPr>
              <w:spacing w:line="276" w:lineRule="auto"/>
              <w:ind w:right="-29"/>
              <w:jc w:val="center"/>
              <w:rPr>
                <w:b/>
                <w:noProof/>
                <w:sz w:val="18"/>
              </w:rPr>
            </w:pPr>
          </w:p>
          <w:p w14:paraId="1F5DD3EA" w14:textId="77777777" w:rsidR="005F20F6" w:rsidRPr="008C52C9" w:rsidRDefault="005F20F6">
            <w:pPr>
              <w:spacing w:line="276" w:lineRule="auto"/>
              <w:ind w:right="-29"/>
              <w:jc w:val="center"/>
              <w:rPr>
                <w:noProof/>
                <w:sz w:val="18"/>
              </w:rPr>
            </w:pPr>
            <w:r w:rsidRPr="008C52C9">
              <w:rPr>
                <w:noProof/>
                <w:sz w:val="18"/>
              </w:rPr>
              <w:sym w:font="Wingdings" w:char="F0F2"/>
            </w:r>
          </w:p>
        </w:tc>
        <w:tc>
          <w:tcPr>
            <w:tcW w:w="720" w:type="dxa"/>
            <w:tcBorders>
              <w:top w:val="single" w:sz="4" w:space="0" w:color="auto"/>
              <w:left w:val="single" w:sz="4" w:space="0" w:color="auto"/>
              <w:bottom w:val="single" w:sz="4" w:space="0" w:color="auto"/>
              <w:right w:val="single" w:sz="4" w:space="0" w:color="auto"/>
            </w:tcBorders>
            <w:vAlign w:val="center"/>
          </w:tcPr>
          <w:p w14:paraId="6D977812" w14:textId="77777777" w:rsidR="005F20F6" w:rsidRPr="008C52C9" w:rsidRDefault="005F20F6">
            <w:pPr>
              <w:spacing w:line="276" w:lineRule="auto"/>
              <w:ind w:right="-29"/>
              <w:jc w:val="center"/>
              <w:rPr>
                <w:noProof/>
                <w:sz w:val="18"/>
              </w:rPr>
            </w:pPr>
          </w:p>
        </w:tc>
        <w:tc>
          <w:tcPr>
            <w:tcW w:w="701" w:type="dxa"/>
            <w:tcBorders>
              <w:top w:val="single" w:sz="4" w:space="0" w:color="auto"/>
              <w:left w:val="single" w:sz="4" w:space="0" w:color="auto"/>
              <w:bottom w:val="single" w:sz="4" w:space="0" w:color="auto"/>
              <w:right w:val="single" w:sz="4" w:space="0" w:color="auto"/>
            </w:tcBorders>
            <w:vAlign w:val="center"/>
          </w:tcPr>
          <w:p w14:paraId="66E62FFD" w14:textId="77777777" w:rsidR="005F20F6" w:rsidRPr="008C52C9" w:rsidRDefault="005F20F6">
            <w:pPr>
              <w:spacing w:line="276" w:lineRule="auto"/>
              <w:ind w:right="-29"/>
              <w:jc w:val="center"/>
              <w:rPr>
                <w:noProof/>
                <w:sz w:val="18"/>
              </w:rPr>
            </w:pPr>
          </w:p>
        </w:tc>
        <w:tc>
          <w:tcPr>
            <w:tcW w:w="1224" w:type="dxa"/>
            <w:gridSpan w:val="2"/>
            <w:tcBorders>
              <w:top w:val="single" w:sz="4" w:space="0" w:color="auto"/>
              <w:left w:val="nil"/>
              <w:bottom w:val="single" w:sz="4" w:space="0" w:color="auto"/>
              <w:right w:val="single" w:sz="4" w:space="0" w:color="auto"/>
            </w:tcBorders>
            <w:vAlign w:val="center"/>
            <w:hideMark/>
          </w:tcPr>
          <w:p w14:paraId="27CBFB04" w14:textId="77777777" w:rsidR="005F20F6" w:rsidRPr="008C52C9" w:rsidRDefault="005F20F6">
            <w:pPr>
              <w:spacing w:line="276" w:lineRule="auto"/>
              <w:ind w:right="-29"/>
              <w:jc w:val="center"/>
              <w:rPr>
                <w:noProof/>
                <w:sz w:val="18"/>
              </w:rPr>
            </w:pPr>
            <w:r w:rsidRPr="008C52C9">
              <w:rPr>
                <w:noProof/>
                <w:sz w:val="18"/>
              </w:rPr>
              <w:t>Anno</w:t>
            </w:r>
            <w:r w:rsidRPr="008C52C9">
              <w:rPr>
                <w:noProof/>
              </w:rPr>
              <w:t xml:space="preserve"> </w:t>
            </w:r>
            <w:r w:rsidRPr="008C52C9">
              <w:rPr>
                <w:noProof/>
              </w:rPr>
              <w:br/>
            </w:r>
            <w:r w:rsidRPr="008C52C9">
              <w:rPr>
                <w:b/>
                <w:noProof/>
                <w:sz w:val="18"/>
              </w:rPr>
              <w:t>N</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576996D4" w14:textId="77777777" w:rsidR="005F20F6" w:rsidRPr="008C52C9" w:rsidRDefault="005F20F6">
            <w:pPr>
              <w:spacing w:line="276" w:lineRule="auto"/>
              <w:ind w:right="-29"/>
              <w:jc w:val="center"/>
              <w:rPr>
                <w:noProof/>
                <w:sz w:val="18"/>
              </w:rPr>
            </w:pPr>
            <w:r w:rsidRPr="008C52C9">
              <w:rPr>
                <w:noProof/>
                <w:sz w:val="18"/>
              </w:rPr>
              <w:t>Anno</w:t>
            </w:r>
            <w:r w:rsidRPr="008C52C9">
              <w:rPr>
                <w:noProof/>
              </w:rPr>
              <w:t xml:space="preserve"> </w:t>
            </w:r>
            <w:r w:rsidRPr="008C52C9">
              <w:rPr>
                <w:noProof/>
              </w:rPr>
              <w:br/>
            </w:r>
            <w:r w:rsidRPr="008C52C9">
              <w:rPr>
                <w:b/>
                <w:noProof/>
                <w:sz w:val="18"/>
              </w:rPr>
              <w:t>N+1</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08CC1CB5" w14:textId="77777777" w:rsidR="005F20F6" w:rsidRPr="008C52C9" w:rsidRDefault="005F20F6">
            <w:pPr>
              <w:spacing w:line="276" w:lineRule="auto"/>
              <w:ind w:right="-29"/>
              <w:jc w:val="center"/>
              <w:rPr>
                <w:noProof/>
                <w:sz w:val="18"/>
              </w:rPr>
            </w:pPr>
            <w:r w:rsidRPr="008C52C9">
              <w:rPr>
                <w:noProof/>
                <w:sz w:val="18"/>
              </w:rPr>
              <w:t>Anno</w:t>
            </w:r>
            <w:r w:rsidRPr="008C52C9">
              <w:rPr>
                <w:noProof/>
              </w:rPr>
              <w:t xml:space="preserve"> </w:t>
            </w:r>
            <w:r w:rsidRPr="008C52C9">
              <w:rPr>
                <w:noProof/>
              </w:rPr>
              <w:br/>
            </w:r>
            <w:r w:rsidRPr="008C52C9">
              <w:rPr>
                <w:b/>
                <w:noProof/>
                <w:sz w:val="18"/>
              </w:rPr>
              <w:t>N+2</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9760F7E" w14:textId="77777777" w:rsidR="005F20F6" w:rsidRPr="008C52C9" w:rsidRDefault="005F20F6">
            <w:pPr>
              <w:spacing w:line="276" w:lineRule="auto"/>
              <w:ind w:right="-29"/>
              <w:jc w:val="center"/>
              <w:rPr>
                <w:noProof/>
                <w:sz w:val="18"/>
              </w:rPr>
            </w:pPr>
            <w:r w:rsidRPr="008C52C9">
              <w:rPr>
                <w:noProof/>
                <w:sz w:val="18"/>
              </w:rPr>
              <w:t>Anno</w:t>
            </w:r>
            <w:r w:rsidRPr="008C52C9">
              <w:rPr>
                <w:noProof/>
              </w:rPr>
              <w:t xml:space="preserve"> </w:t>
            </w:r>
            <w:r w:rsidRPr="008C52C9">
              <w:rPr>
                <w:noProof/>
              </w:rPr>
              <w:br/>
            </w:r>
            <w:r w:rsidRPr="008C52C9">
              <w:rPr>
                <w:b/>
                <w:noProof/>
                <w:sz w:val="18"/>
              </w:rPr>
              <w:t>N+3</w:t>
            </w:r>
          </w:p>
        </w:tc>
        <w:tc>
          <w:tcPr>
            <w:tcW w:w="3600" w:type="dxa"/>
            <w:gridSpan w:val="6"/>
            <w:tcBorders>
              <w:top w:val="single" w:sz="4" w:space="0" w:color="auto"/>
              <w:left w:val="single" w:sz="4" w:space="0" w:color="auto"/>
              <w:bottom w:val="single" w:sz="4" w:space="0" w:color="auto"/>
              <w:right w:val="single" w:sz="4" w:space="0" w:color="auto"/>
            </w:tcBorders>
            <w:vAlign w:val="center"/>
            <w:hideMark/>
          </w:tcPr>
          <w:p w14:paraId="613D100A" w14:textId="77777777" w:rsidR="005F20F6" w:rsidRPr="008C52C9" w:rsidRDefault="005F20F6">
            <w:pPr>
              <w:spacing w:line="276" w:lineRule="auto"/>
              <w:jc w:val="center"/>
              <w:rPr>
                <w:b/>
                <w:noProof/>
                <w:sz w:val="18"/>
              </w:rPr>
            </w:pPr>
            <w:r w:rsidRPr="008C52C9">
              <w:rPr>
                <w:noProof/>
                <w:sz w:val="18"/>
              </w:rPr>
              <w:t>Inserire gli anni necessari per evidenziare la durata dell'incidenza (cfr. punto 1.6)</w:t>
            </w:r>
          </w:p>
        </w:tc>
        <w:tc>
          <w:tcPr>
            <w:tcW w:w="1620" w:type="dxa"/>
            <w:gridSpan w:val="2"/>
            <w:tcBorders>
              <w:top w:val="single" w:sz="4" w:space="0" w:color="auto"/>
              <w:left w:val="nil"/>
              <w:bottom w:val="nil"/>
              <w:right w:val="single" w:sz="4" w:space="0" w:color="auto"/>
            </w:tcBorders>
            <w:vAlign w:val="center"/>
            <w:hideMark/>
          </w:tcPr>
          <w:p w14:paraId="7E9D4378" w14:textId="77777777" w:rsidR="005F20F6" w:rsidRPr="008C52C9" w:rsidRDefault="005F20F6">
            <w:pPr>
              <w:spacing w:line="276" w:lineRule="auto"/>
              <w:ind w:right="-29"/>
              <w:jc w:val="center"/>
              <w:rPr>
                <w:noProof/>
                <w:sz w:val="18"/>
              </w:rPr>
            </w:pPr>
            <w:r w:rsidRPr="008C52C9">
              <w:rPr>
                <w:b/>
                <w:noProof/>
                <w:sz w:val="18"/>
              </w:rPr>
              <w:t>TOTALE</w:t>
            </w:r>
          </w:p>
        </w:tc>
      </w:tr>
      <w:tr w:rsidR="005F20F6" w:rsidRPr="008C52C9" w14:paraId="68401049" w14:textId="77777777" w:rsidTr="00951658">
        <w:trPr>
          <w:jc w:val="center"/>
        </w:trPr>
        <w:tc>
          <w:tcPr>
            <w:tcW w:w="1423" w:type="dxa"/>
            <w:vMerge/>
            <w:tcBorders>
              <w:top w:val="single" w:sz="4" w:space="0" w:color="auto"/>
              <w:left w:val="single" w:sz="4" w:space="0" w:color="auto"/>
              <w:bottom w:val="single" w:sz="4" w:space="0" w:color="auto"/>
              <w:right w:val="single" w:sz="4" w:space="0" w:color="auto"/>
            </w:tcBorders>
            <w:vAlign w:val="center"/>
            <w:hideMark/>
          </w:tcPr>
          <w:p w14:paraId="0E90FA04" w14:textId="77777777" w:rsidR="005F20F6" w:rsidRPr="008C52C9" w:rsidRDefault="005F20F6">
            <w:pPr>
              <w:spacing w:before="0" w:after="0" w:line="276" w:lineRule="auto"/>
              <w:jc w:val="left"/>
              <w:rPr>
                <w:noProof/>
                <w:sz w:val="18"/>
              </w:rPr>
            </w:pPr>
          </w:p>
        </w:tc>
        <w:tc>
          <w:tcPr>
            <w:tcW w:w="12185" w:type="dxa"/>
            <w:gridSpan w:val="18"/>
            <w:tcBorders>
              <w:top w:val="single" w:sz="4" w:space="0" w:color="auto"/>
              <w:left w:val="single" w:sz="4" w:space="0" w:color="auto"/>
              <w:bottom w:val="single" w:sz="4" w:space="0" w:color="auto"/>
              <w:right w:val="single" w:sz="4" w:space="0" w:color="auto"/>
            </w:tcBorders>
            <w:vAlign w:val="center"/>
            <w:hideMark/>
          </w:tcPr>
          <w:p w14:paraId="6AD42944" w14:textId="77777777" w:rsidR="005F20F6" w:rsidRPr="008C52C9" w:rsidRDefault="005F20F6">
            <w:pPr>
              <w:spacing w:before="60" w:after="60" w:line="276" w:lineRule="auto"/>
              <w:ind w:right="-29"/>
              <w:jc w:val="center"/>
              <w:rPr>
                <w:noProof/>
                <w:sz w:val="18"/>
              </w:rPr>
            </w:pPr>
            <w:r w:rsidRPr="008C52C9">
              <w:rPr>
                <w:b/>
                <w:noProof/>
                <w:sz w:val="18"/>
              </w:rPr>
              <w:t>RISULTATI</w:t>
            </w:r>
          </w:p>
        </w:tc>
      </w:tr>
      <w:tr w:rsidR="005F20F6" w:rsidRPr="008C52C9" w14:paraId="4D2F4A6A" w14:textId="77777777" w:rsidTr="00951658">
        <w:trPr>
          <w:cantSplit/>
          <w:trHeight w:val="1134"/>
          <w:jc w:val="center"/>
        </w:trPr>
        <w:tc>
          <w:tcPr>
            <w:tcW w:w="1423" w:type="dxa"/>
            <w:vMerge/>
            <w:tcBorders>
              <w:top w:val="single" w:sz="4" w:space="0" w:color="auto"/>
              <w:left w:val="single" w:sz="4" w:space="0" w:color="auto"/>
              <w:bottom w:val="single" w:sz="4" w:space="0" w:color="auto"/>
              <w:right w:val="single" w:sz="4" w:space="0" w:color="auto"/>
            </w:tcBorders>
            <w:vAlign w:val="center"/>
            <w:hideMark/>
          </w:tcPr>
          <w:p w14:paraId="7CBDA0A6" w14:textId="77777777" w:rsidR="005F20F6" w:rsidRPr="008C52C9" w:rsidRDefault="005F20F6">
            <w:pPr>
              <w:spacing w:before="0" w:after="0" w:line="276" w:lineRule="auto"/>
              <w:jc w:val="left"/>
              <w:rPr>
                <w:noProof/>
                <w:sz w:val="18"/>
              </w:rPr>
            </w:pPr>
          </w:p>
        </w:tc>
        <w:tc>
          <w:tcPr>
            <w:tcW w:w="720" w:type="dxa"/>
            <w:tcBorders>
              <w:top w:val="single" w:sz="4" w:space="0" w:color="auto"/>
              <w:left w:val="single" w:sz="4" w:space="0" w:color="auto"/>
              <w:bottom w:val="single" w:sz="4" w:space="0" w:color="auto"/>
              <w:right w:val="single" w:sz="4" w:space="0" w:color="auto"/>
            </w:tcBorders>
            <w:vAlign w:val="center"/>
            <w:hideMark/>
          </w:tcPr>
          <w:p w14:paraId="11C9023C" w14:textId="77777777" w:rsidR="005F20F6" w:rsidRPr="008C52C9" w:rsidRDefault="005F20F6">
            <w:pPr>
              <w:spacing w:line="276" w:lineRule="auto"/>
              <w:jc w:val="center"/>
              <w:rPr>
                <w:noProof/>
                <w:sz w:val="18"/>
              </w:rPr>
            </w:pPr>
            <w:r w:rsidRPr="008C52C9">
              <w:rPr>
                <w:noProof/>
                <w:sz w:val="18"/>
              </w:rPr>
              <w:t>Tipo</w:t>
            </w:r>
            <w:r w:rsidRPr="008C52C9">
              <w:rPr>
                <w:rStyle w:val="FootnoteReference"/>
                <w:noProof/>
                <w:sz w:val="18"/>
              </w:rPr>
              <w:footnoteReference w:id="50"/>
            </w:r>
          </w:p>
        </w:tc>
        <w:tc>
          <w:tcPr>
            <w:tcW w:w="701" w:type="dxa"/>
            <w:tcBorders>
              <w:top w:val="single" w:sz="4" w:space="0" w:color="auto"/>
              <w:left w:val="single" w:sz="4" w:space="0" w:color="auto"/>
              <w:bottom w:val="single" w:sz="4" w:space="0" w:color="auto"/>
              <w:right w:val="single" w:sz="4" w:space="0" w:color="auto"/>
            </w:tcBorders>
            <w:vAlign w:val="center"/>
            <w:hideMark/>
          </w:tcPr>
          <w:p w14:paraId="67676A12" w14:textId="77777777" w:rsidR="005F20F6" w:rsidRPr="008C52C9" w:rsidRDefault="005F20F6">
            <w:pPr>
              <w:spacing w:line="276" w:lineRule="auto"/>
              <w:jc w:val="center"/>
              <w:rPr>
                <w:noProof/>
              </w:rPr>
            </w:pPr>
            <w:r w:rsidRPr="008C52C9">
              <w:rPr>
                <w:noProof/>
                <w:sz w:val="18"/>
              </w:rPr>
              <w:t>Costo medio</w:t>
            </w:r>
          </w:p>
        </w:tc>
        <w:tc>
          <w:tcPr>
            <w:tcW w:w="504" w:type="dxa"/>
            <w:tcBorders>
              <w:top w:val="single" w:sz="4" w:space="0" w:color="auto"/>
              <w:left w:val="nil"/>
              <w:bottom w:val="single" w:sz="4" w:space="0" w:color="auto"/>
              <w:right w:val="dashSmallGap" w:sz="4" w:space="0" w:color="auto"/>
            </w:tcBorders>
            <w:shd w:val="pct10" w:color="auto" w:fill="auto"/>
            <w:textDirection w:val="btLr"/>
            <w:vAlign w:val="center"/>
            <w:hideMark/>
          </w:tcPr>
          <w:p w14:paraId="055D302D" w14:textId="77777777" w:rsidR="005F20F6" w:rsidRPr="008C52C9" w:rsidRDefault="005F20F6">
            <w:pPr>
              <w:spacing w:line="276" w:lineRule="auto"/>
              <w:ind w:left="113" w:right="113"/>
              <w:jc w:val="center"/>
              <w:rPr>
                <w:noProof/>
              </w:rPr>
            </w:pPr>
            <w:r w:rsidRPr="008C52C9">
              <w:rPr>
                <w:noProof/>
                <w:sz w:val="18"/>
              </w:rPr>
              <w:t>N.</w:t>
            </w:r>
          </w:p>
        </w:tc>
        <w:tc>
          <w:tcPr>
            <w:tcW w:w="720" w:type="dxa"/>
            <w:tcBorders>
              <w:top w:val="single" w:sz="4" w:space="0" w:color="auto"/>
              <w:left w:val="dashSmallGap" w:sz="4" w:space="0" w:color="auto"/>
              <w:bottom w:val="single" w:sz="4" w:space="0" w:color="auto"/>
              <w:right w:val="single" w:sz="4" w:space="0" w:color="auto"/>
            </w:tcBorders>
            <w:shd w:val="pct10" w:color="auto" w:fill="auto"/>
            <w:vAlign w:val="center"/>
            <w:hideMark/>
          </w:tcPr>
          <w:p w14:paraId="630DD695" w14:textId="77777777" w:rsidR="005F20F6" w:rsidRPr="008C52C9" w:rsidRDefault="005F20F6">
            <w:pPr>
              <w:spacing w:line="276" w:lineRule="auto"/>
              <w:jc w:val="center"/>
              <w:rPr>
                <w:noProof/>
                <w:sz w:val="18"/>
              </w:rPr>
            </w:pPr>
            <w:r w:rsidRPr="008C52C9">
              <w:rPr>
                <w:noProof/>
                <w:sz w:val="18"/>
              </w:rPr>
              <w:t>Costo</w:t>
            </w:r>
          </w:p>
        </w:tc>
        <w:tc>
          <w:tcPr>
            <w:tcW w:w="540" w:type="dxa"/>
            <w:tcBorders>
              <w:top w:val="single" w:sz="4" w:space="0" w:color="auto"/>
              <w:left w:val="single" w:sz="4" w:space="0" w:color="auto"/>
              <w:bottom w:val="single" w:sz="4" w:space="0" w:color="auto"/>
              <w:right w:val="dashSmallGap" w:sz="4" w:space="0" w:color="auto"/>
            </w:tcBorders>
            <w:shd w:val="pct10" w:color="auto" w:fill="auto"/>
            <w:textDirection w:val="btLr"/>
            <w:vAlign w:val="center"/>
            <w:hideMark/>
          </w:tcPr>
          <w:p w14:paraId="24EE00BA" w14:textId="77777777" w:rsidR="005F20F6" w:rsidRPr="008C52C9" w:rsidRDefault="005F20F6">
            <w:pPr>
              <w:spacing w:line="276" w:lineRule="auto"/>
              <w:ind w:left="113" w:right="113"/>
              <w:jc w:val="center"/>
              <w:rPr>
                <w:noProof/>
              </w:rPr>
            </w:pPr>
            <w:r w:rsidRPr="008C52C9">
              <w:rPr>
                <w:noProof/>
                <w:sz w:val="18"/>
              </w:rPr>
              <w:t>N.</w:t>
            </w:r>
          </w:p>
        </w:tc>
        <w:tc>
          <w:tcPr>
            <w:tcW w:w="720" w:type="dxa"/>
            <w:tcBorders>
              <w:top w:val="single" w:sz="4" w:space="0" w:color="auto"/>
              <w:left w:val="dashSmallGap" w:sz="4" w:space="0" w:color="auto"/>
              <w:bottom w:val="single" w:sz="4" w:space="0" w:color="auto"/>
              <w:right w:val="single" w:sz="4" w:space="0" w:color="auto"/>
            </w:tcBorders>
            <w:shd w:val="pct10" w:color="auto" w:fill="auto"/>
            <w:vAlign w:val="center"/>
            <w:hideMark/>
          </w:tcPr>
          <w:p w14:paraId="599E96F1" w14:textId="77777777" w:rsidR="005F20F6" w:rsidRPr="008C52C9" w:rsidRDefault="005F20F6">
            <w:pPr>
              <w:spacing w:line="276" w:lineRule="auto"/>
              <w:jc w:val="center"/>
              <w:rPr>
                <w:noProof/>
                <w:sz w:val="18"/>
              </w:rPr>
            </w:pPr>
            <w:r w:rsidRPr="008C52C9">
              <w:rPr>
                <w:noProof/>
                <w:sz w:val="18"/>
              </w:rPr>
              <w:t>Costo</w:t>
            </w:r>
          </w:p>
        </w:tc>
        <w:tc>
          <w:tcPr>
            <w:tcW w:w="720" w:type="dxa"/>
            <w:tcBorders>
              <w:top w:val="single" w:sz="4" w:space="0" w:color="auto"/>
              <w:left w:val="single" w:sz="4" w:space="0" w:color="auto"/>
              <w:bottom w:val="single" w:sz="4" w:space="0" w:color="auto"/>
              <w:right w:val="dashSmallGap" w:sz="4" w:space="0" w:color="auto"/>
            </w:tcBorders>
            <w:shd w:val="pct10" w:color="auto" w:fill="auto"/>
            <w:textDirection w:val="btLr"/>
            <w:vAlign w:val="center"/>
            <w:hideMark/>
          </w:tcPr>
          <w:p w14:paraId="34117E4F" w14:textId="77777777" w:rsidR="005F20F6" w:rsidRPr="008C52C9" w:rsidRDefault="005F20F6">
            <w:pPr>
              <w:spacing w:line="276" w:lineRule="auto"/>
              <w:ind w:left="113" w:right="113"/>
              <w:jc w:val="center"/>
              <w:rPr>
                <w:noProof/>
              </w:rPr>
            </w:pPr>
            <w:r w:rsidRPr="008C52C9">
              <w:rPr>
                <w:noProof/>
                <w:sz w:val="18"/>
              </w:rPr>
              <w:t>N.</w:t>
            </w:r>
          </w:p>
        </w:tc>
        <w:tc>
          <w:tcPr>
            <w:tcW w:w="720" w:type="dxa"/>
            <w:tcBorders>
              <w:top w:val="single" w:sz="4" w:space="0" w:color="auto"/>
              <w:left w:val="dashSmallGap" w:sz="4" w:space="0" w:color="auto"/>
              <w:bottom w:val="single" w:sz="4" w:space="0" w:color="auto"/>
              <w:right w:val="single" w:sz="4" w:space="0" w:color="auto"/>
            </w:tcBorders>
            <w:shd w:val="pct10" w:color="auto" w:fill="auto"/>
            <w:vAlign w:val="center"/>
            <w:hideMark/>
          </w:tcPr>
          <w:p w14:paraId="1E275F9D" w14:textId="77777777" w:rsidR="005F20F6" w:rsidRPr="008C52C9" w:rsidRDefault="005F20F6">
            <w:pPr>
              <w:spacing w:line="276" w:lineRule="auto"/>
              <w:jc w:val="center"/>
              <w:rPr>
                <w:noProof/>
                <w:sz w:val="18"/>
              </w:rPr>
            </w:pPr>
            <w:r w:rsidRPr="008C52C9">
              <w:rPr>
                <w:noProof/>
                <w:sz w:val="18"/>
              </w:rPr>
              <w:t>Costo</w:t>
            </w:r>
          </w:p>
        </w:tc>
        <w:tc>
          <w:tcPr>
            <w:tcW w:w="931" w:type="dxa"/>
            <w:tcBorders>
              <w:top w:val="single" w:sz="4" w:space="0" w:color="auto"/>
              <w:left w:val="single" w:sz="4" w:space="0" w:color="auto"/>
              <w:bottom w:val="single" w:sz="4" w:space="0" w:color="auto"/>
              <w:right w:val="dashSmallGap" w:sz="4" w:space="0" w:color="auto"/>
            </w:tcBorders>
            <w:shd w:val="pct10" w:color="auto" w:fill="auto"/>
            <w:textDirection w:val="btLr"/>
            <w:vAlign w:val="center"/>
            <w:hideMark/>
          </w:tcPr>
          <w:p w14:paraId="678BC560" w14:textId="77777777" w:rsidR="005F20F6" w:rsidRPr="008C52C9" w:rsidRDefault="005F20F6">
            <w:pPr>
              <w:spacing w:line="276" w:lineRule="auto"/>
              <w:ind w:left="113" w:right="113"/>
              <w:jc w:val="center"/>
              <w:rPr>
                <w:noProof/>
              </w:rPr>
            </w:pPr>
            <w:r w:rsidRPr="008C52C9">
              <w:rPr>
                <w:noProof/>
                <w:sz w:val="18"/>
              </w:rPr>
              <w:t>N.</w:t>
            </w:r>
          </w:p>
        </w:tc>
        <w:tc>
          <w:tcPr>
            <w:tcW w:w="689" w:type="dxa"/>
            <w:tcBorders>
              <w:top w:val="single" w:sz="4" w:space="0" w:color="auto"/>
              <w:left w:val="dashSmallGap" w:sz="4" w:space="0" w:color="auto"/>
              <w:bottom w:val="single" w:sz="4" w:space="0" w:color="auto"/>
              <w:right w:val="single" w:sz="4" w:space="0" w:color="auto"/>
            </w:tcBorders>
            <w:shd w:val="pct10" w:color="auto" w:fill="auto"/>
            <w:vAlign w:val="center"/>
            <w:hideMark/>
          </w:tcPr>
          <w:p w14:paraId="781FEEAE" w14:textId="77777777" w:rsidR="005F20F6" w:rsidRPr="008C52C9" w:rsidRDefault="005F20F6">
            <w:pPr>
              <w:spacing w:line="276" w:lineRule="auto"/>
              <w:jc w:val="center"/>
              <w:rPr>
                <w:noProof/>
                <w:sz w:val="18"/>
              </w:rPr>
            </w:pPr>
            <w:r w:rsidRPr="008C52C9">
              <w:rPr>
                <w:noProof/>
                <w:sz w:val="18"/>
              </w:rPr>
              <w:t>Costo</w:t>
            </w:r>
          </w:p>
        </w:tc>
        <w:tc>
          <w:tcPr>
            <w:tcW w:w="540" w:type="dxa"/>
            <w:tcBorders>
              <w:top w:val="single" w:sz="4" w:space="0" w:color="auto"/>
              <w:left w:val="single" w:sz="4" w:space="0" w:color="auto"/>
              <w:bottom w:val="single" w:sz="4" w:space="0" w:color="auto"/>
              <w:right w:val="dashSmallGap" w:sz="4" w:space="0" w:color="auto"/>
            </w:tcBorders>
            <w:shd w:val="pct10" w:color="auto" w:fill="auto"/>
            <w:textDirection w:val="btLr"/>
            <w:vAlign w:val="center"/>
            <w:hideMark/>
          </w:tcPr>
          <w:p w14:paraId="7C147E3F" w14:textId="77777777" w:rsidR="005F20F6" w:rsidRPr="008C52C9" w:rsidRDefault="005F20F6">
            <w:pPr>
              <w:spacing w:line="276" w:lineRule="auto"/>
              <w:ind w:left="113" w:right="113"/>
              <w:jc w:val="center"/>
              <w:rPr>
                <w:noProof/>
              </w:rPr>
            </w:pPr>
            <w:r w:rsidRPr="008C52C9">
              <w:rPr>
                <w:noProof/>
                <w:sz w:val="18"/>
              </w:rPr>
              <w:t>N.</w:t>
            </w:r>
          </w:p>
        </w:tc>
        <w:tc>
          <w:tcPr>
            <w:tcW w:w="648" w:type="dxa"/>
            <w:tcBorders>
              <w:top w:val="single" w:sz="4" w:space="0" w:color="auto"/>
              <w:left w:val="dashSmallGap" w:sz="4" w:space="0" w:color="auto"/>
              <w:bottom w:val="single" w:sz="4" w:space="0" w:color="auto"/>
              <w:right w:val="single" w:sz="4" w:space="0" w:color="auto"/>
            </w:tcBorders>
            <w:shd w:val="pct10" w:color="auto" w:fill="auto"/>
            <w:vAlign w:val="center"/>
            <w:hideMark/>
          </w:tcPr>
          <w:p w14:paraId="393C2C9A" w14:textId="77777777" w:rsidR="005F20F6" w:rsidRPr="008C52C9" w:rsidRDefault="005F20F6">
            <w:pPr>
              <w:spacing w:line="276" w:lineRule="auto"/>
              <w:jc w:val="center"/>
              <w:rPr>
                <w:noProof/>
                <w:sz w:val="18"/>
              </w:rPr>
            </w:pPr>
            <w:r w:rsidRPr="008C52C9">
              <w:rPr>
                <w:noProof/>
                <w:sz w:val="18"/>
              </w:rPr>
              <w:t>Costo</w:t>
            </w:r>
          </w:p>
        </w:tc>
        <w:tc>
          <w:tcPr>
            <w:tcW w:w="432" w:type="dxa"/>
            <w:tcBorders>
              <w:top w:val="single" w:sz="4" w:space="0" w:color="auto"/>
              <w:left w:val="single" w:sz="4" w:space="0" w:color="auto"/>
              <w:bottom w:val="single" w:sz="4" w:space="0" w:color="auto"/>
              <w:right w:val="dashSmallGap" w:sz="4" w:space="0" w:color="auto"/>
            </w:tcBorders>
            <w:shd w:val="pct10" w:color="auto" w:fill="auto"/>
            <w:textDirection w:val="btLr"/>
            <w:vAlign w:val="center"/>
            <w:hideMark/>
          </w:tcPr>
          <w:p w14:paraId="5487D135" w14:textId="77777777" w:rsidR="005F20F6" w:rsidRPr="008C52C9" w:rsidRDefault="005F20F6">
            <w:pPr>
              <w:spacing w:line="276" w:lineRule="auto"/>
              <w:ind w:left="113" w:right="113"/>
              <w:jc w:val="center"/>
              <w:rPr>
                <w:noProof/>
              </w:rPr>
            </w:pPr>
            <w:r w:rsidRPr="008C52C9">
              <w:rPr>
                <w:noProof/>
                <w:sz w:val="18"/>
              </w:rPr>
              <w:t>N.</w:t>
            </w:r>
          </w:p>
        </w:tc>
        <w:tc>
          <w:tcPr>
            <w:tcW w:w="720" w:type="dxa"/>
            <w:tcBorders>
              <w:top w:val="single" w:sz="4" w:space="0" w:color="auto"/>
              <w:left w:val="dashSmallGap" w:sz="4" w:space="0" w:color="auto"/>
              <w:bottom w:val="single" w:sz="4" w:space="0" w:color="auto"/>
              <w:right w:val="single" w:sz="4" w:space="0" w:color="auto"/>
            </w:tcBorders>
            <w:shd w:val="pct10" w:color="auto" w:fill="auto"/>
            <w:vAlign w:val="center"/>
            <w:hideMark/>
          </w:tcPr>
          <w:p w14:paraId="7971C01B" w14:textId="77777777" w:rsidR="005F20F6" w:rsidRPr="008C52C9" w:rsidRDefault="005F20F6">
            <w:pPr>
              <w:spacing w:line="276" w:lineRule="auto"/>
              <w:jc w:val="center"/>
              <w:rPr>
                <w:noProof/>
                <w:sz w:val="18"/>
              </w:rPr>
            </w:pPr>
            <w:r w:rsidRPr="008C52C9">
              <w:rPr>
                <w:noProof/>
                <w:sz w:val="18"/>
              </w:rPr>
              <w:t>Costo</w:t>
            </w:r>
          </w:p>
        </w:tc>
        <w:tc>
          <w:tcPr>
            <w:tcW w:w="540" w:type="dxa"/>
            <w:tcBorders>
              <w:top w:val="single" w:sz="4" w:space="0" w:color="auto"/>
              <w:left w:val="single" w:sz="4" w:space="0" w:color="auto"/>
              <w:bottom w:val="single" w:sz="4" w:space="0" w:color="auto"/>
              <w:right w:val="dashSmallGap" w:sz="4" w:space="0" w:color="auto"/>
            </w:tcBorders>
            <w:shd w:val="pct10" w:color="auto" w:fill="auto"/>
            <w:textDirection w:val="btLr"/>
            <w:vAlign w:val="center"/>
            <w:hideMark/>
          </w:tcPr>
          <w:p w14:paraId="1BE3D48E" w14:textId="77777777" w:rsidR="005F20F6" w:rsidRPr="008C52C9" w:rsidRDefault="005F20F6">
            <w:pPr>
              <w:spacing w:line="276" w:lineRule="auto"/>
              <w:ind w:left="113" w:right="113"/>
              <w:jc w:val="center"/>
              <w:rPr>
                <w:noProof/>
              </w:rPr>
            </w:pPr>
            <w:r w:rsidRPr="008C52C9">
              <w:rPr>
                <w:noProof/>
                <w:sz w:val="18"/>
              </w:rPr>
              <w:t>N.</w:t>
            </w:r>
          </w:p>
        </w:tc>
        <w:tc>
          <w:tcPr>
            <w:tcW w:w="720" w:type="dxa"/>
            <w:tcBorders>
              <w:top w:val="single" w:sz="4" w:space="0" w:color="auto"/>
              <w:left w:val="dashSmallGap" w:sz="4" w:space="0" w:color="auto"/>
              <w:bottom w:val="single" w:sz="4" w:space="0" w:color="auto"/>
              <w:right w:val="single" w:sz="4" w:space="0" w:color="auto"/>
            </w:tcBorders>
            <w:shd w:val="pct10" w:color="auto" w:fill="auto"/>
            <w:vAlign w:val="center"/>
            <w:hideMark/>
          </w:tcPr>
          <w:p w14:paraId="0E5E1219" w14:textId="77777777" w:rsidR="005F20F6" w:rsidRPr="008C52C9" w:rsidRDefault="005F20F6">
            <w:pPr>
              <w:spacing w:line="276" w:lineRule="auto"/>
              <w:jc w:val="center"/>
              <w:rPr>
                <w:noProof/>
                <w:sz w:val="18"/>
              </w:rPr>
            </w:pPr>
            <w:r w:rsidRPr="008C52C9">
              <w:rPr>
                <w:noProof/>
                <w:sz w:val="18"/>
              </w:rPr>
              <w:t>Costo</w:t>
            </w:r>
          </w:p>
        </w:tc>
        <w:tc>
          <w:tcPr>
            <w:tcW w:w="720" w:type="dxa"/>
            <w:tcBorders>
              <w:top w:val="single" w:sz="4" w:space="0" w:color="auto"/>
              <w:left w:val="single" w:sz="4" w:space="0" w:color="auto"/>
              <w:bottom w:val="single" w:sz="4" w:space="0" w:color="auto"/>
              <w:right w:val="dashSmallGap" w:sz="4" w:space="0" w:color="auto"/>
            </w:tcBorders>
            <w:shd w:val="pct10" w:color="auto" w:fill="auto"/>
            <w:vAlign w:val="center"/>
            <w:hideMark/>
          </w:tcPr>
          <w:p w14:paraId="49E8F9A3" w14:textId="77777777" w:rsidR="005F20F6" w:rsidRPr="008C52C9" w:rsidRDefault="005F20F6">
            <w:pPr>
              <w:spacing w:line="276" w:lineRule="auto"/>
              <w:jc w:val="center"/>
              <w:rPr>
                <w:noProof/>
                <w:sz w:val="18"/>
              </w:rPr>
            </w:pPr>
            <w:r w:rsidRPr="008C52C9">
              <w:rPr>
                <w:noProof/>
                <w:sz w:val="18"/>
              </w:rPr>
              <w:t>N. totale</w:t>
            </w:r>
          </w:p>
        </w:tc>
        <w:tc>
          <w:tcPr>
            <w:tcW w:w="900" w:type="dxa"/>
            <w:tcBorders>
              <w:top w:val="single" w:sz="4" w:space="0" w:color="auto"/>
              <w:left w:val="dashSmallGap" w:sz="4" w:space="0" w:color="auto"/>
              <w:bottom w:val="single" w:sz="4" w:space="0" w:color="auto"/>
              <w:right w:val="single" w:sz="4" w:space="0" w:color="auto"/>
            </w:tcBorders>
            <w:shd w:val="pct10" w:color="auto" w:fill="auto"/>
            <w:vAlign w:val="center"/>
            <w:hideMark/>
          </w:tcPr>
          <w:p w14:paraId="09BDB0AB" w14:textId="77777777" w:rsidR="005F20F6" w:rsidRPr="008C52C9" w:rsidRDefault="005F20F6">
            <w:pPr>
              <w:spacing w:line="276" w:lineRule="auto"/>
              <w:jc w:val="center"/>
              <w:rPr>
                <w:noProof/>
              </w:rPr>
            </w:pPr>
            <w:r w:rsidRPr="008C52C9">
              <w:rPr>
                <w:noProof/>
                <w:sz w:val="18"/>
              </w:rPr>
              <w:t>Costo totale</w:t>
            </w:r>
          </w:p>
        </w:tc>
      </w:tr>
      <w:tr w:rsidR="005F20F6" w:rsidRPr="008C52C9" w14:paraId="51386A8F" w14:textId="77777777" w:rsidTr="00951658">
        <w:trPr>
          <w:jc w:val="center"/>
        </w:trPr>
        <w:tc>
          <w:tcPr>
            <w:tcW w:w="2844" w:type="dxa"/>
            <w:gridSpan w:val="3"/>
            <w:tcBorders>
              <w:top w:val="single" w:sz="4" w:space="0" w:color="auto"/>
              <w:left w:val="single" w:sz="4" w:space="0" w:color="auto"/>
              <w:bottom w:val="single" w:sz="4" w:space="0" w:color="auto"/>
              <w:right w:val="single" w:sz="4" w:space="0" w:color="auto"/>
            </w:tcBorders>
            <w:vAlign w:val="center"/>
            <w:hideMark/>
          </w:tcPr>
          <w:p w14:paraId="2A46AA7D" w14:textId="77777777" w:rsidR="005F20F6" w:rsidRPr="008C52C9" w:rsidRDefault="005F20F6">
            <w:pPr>
              <w:spacing w:before="60" w:after="60" w:line="276" w:lineRule="auto"/>
              <w:ind w:right="-29"/>
              <w:jc w:val="center"/>
              <w:rPr>
                <w:noProof/>
                <w:sz w:val="18"/>
              </w:rPr>
            </w:pPr>
            <w:r w:rsidRPr="008C52C9">
              <w:rPr>
                <w:noProof/>
                <w:sz w:val="18"/>
              </w:rPr>
              <w:t>OBIETTIVO SPECIFICO 1</w:t>
            </w:r>
            <w:r w:rsidRPr="008C52C9">
              <w:rPr>
                <w:rStyle w:val="FootnoteReference"/>
                <w:noProof/>
                <w:sz w:val="18"/>
              </w:rPr>
              <w:footnoteReference w:id="51"/>
            </w:r>
            <w:r w:rsidRPr="008C52C9">
              <w:rPr>
                <w:noProof/>
                <w:sz w:val="18"/>
              </w:rPr>
              <w:t>…</w:t>
            </w:r>
          </w:p>
        </w:tc>
        <w:tc>
          <w:tcPr>
            <w:tcW w:w="504" w:type="dxa"/>
            <w:tcBorders>
              <w:top w:val="nil"/>
              <w:left w:val="nil"/>
              <w:bottom w:val="nil"/>
              <w:right w:val="nil"/>
            </w:tcBorders>
          </w:tcPr>
          <w:p w14:paraId="7407390D" w14:textId="77777777" w:rsidR="005F20F6" w:rsidRPr="008C52C9" w:rsidRDefault="005F20F6">
            <w:pPr>
              <w:spacing w:before="60" w:after="60" w:line="276" w:lineRule="auto"/>
              <w:ind w:right="-29"/>
              <w:jc w:val="center"/>
              <w:rPr>
                <w:noProof/>
                <w:sz w:val="18"/>
              </w:rPr>
            </w:pPr>
          </w:p>
        </w:tc>
        <w:tc>
          <w:tcPr>
            <w:tcW w:w="720" w:type="dxa"/>
            <w:tcBorders>
              <w:top w:val="nil"/>
              <w:left w:val="nil"/>
              <w:bottom w:val="nil"/>
              <w:right w:val="nil"/>
            </w:tcBorders>
          </w:tcPr>
          <w:p w14:paraId="5424980A" w14:textId="77777777" w:rsidR="005F20F6" w:rsidRPr="008C52C9" w:rsidRDefault="005F20F6">
            <w:pPr>
              <w:spacing w:before="60" w:after="60" w:line="276" w:lineRule="auto"/>
              <w:ind w:right="-29"/>
              <w:jc w:val="center"/>
              <w:rPr>
                <w:noProof/>
                <w:sz w:val="18"/>
              </w:rPr>
            </w:pPr>
          </w:p>
        </w:tc>
        <w:tc>
          <w:tcPr>
            <w:tcW w:w="540" w:type="dxa"/>
            <w:tcBorders>
              <w:top w:val="nil"/>
              <w:left w:val="nil"/>
              <w:bottom w:val="nil"/>
              <w:right w:val="nil"/>
            </w:tcBorders>
          </w:tcPr>
          <w:p w14:paraId="1AE99C44" w14:textId="77777777" w:rsidR="005F20F6" w:rsidRPr="008C52C9" w:rsidRDefault="005F20F6">
            <w:pPr>
              <w:spacing w:before="60" w:after="60" w:line="276" w:lineRule="auto"/>
              <w:ind w:right="-29"/>
              <w:jc w:val="center"/>
              <w:rPr>
                <w:noProof/>
                <w:sz w:val="18"/>
              </w:rPr>
            </w:pPr>
          </w:p>
        </w:tc>
        <w:tc>
          <w:tcPr>
            <w:tcW w:w="720" w:type="dxa"/>
            <w:tcBorders>
              <w:top w:val="nil"/>
              <w:left w:val="nil"/>
              <w:bottom w:val="nil"/>
              <w:right w:val="nil"/>
            </w:tcBorders>
          </w:tcPr>
          <w:p w14:paraId="0F1C8E02" w14:textId="77777777" w:rsidR="005F20F6" w:rsidRPr="008C52C9" w:rsidRDefault="005F20F6">
            <w:pPr>
              <w:spacing w:before="60" w:after="60" w:line="276" w:lineRule="auto"/>
              <w:ind w:right="-29"/>
              <w:jc w:val="center"/>
              <w:rPr>
                <w:noProof/>
                <w:sz w:val="18"/>
              </w:rPr>
            </w:pPr>
          </w:p>
        </w:tc>
        <w:tc>
          <w:tcPr>
            <w:tcW w:w="720" w:type="dxa"/>
            <w:tcBorders>
              <w:top w:val="nil"/>
              <w:left w:val="nil"/>
              <w:bottom w:val="nil"/>
              <w:right w:val="nil"/>
            </w:tcBorders>
          </w:tcPr>
          <w:p w14:paraId="5580AA22" w14:textId="77777777" w:rsidR="005F20F6" w:rsidRPr="008C52C9" w:rsidRDefault="005F20F6">
            <w:pPr>
              <w:spacing w:before="60" w:after="60" w:line="276" w:lineRule="auto"/>
              <w:ind w:right="-29"/>
              <w:jc w:val="center"/>
              <w:rPr>
                <w:noProof/>
                <w:sz w:val="18"/>
              </w:rPr>
            </w:pPr>
          </w:p>
        </w:tc>
        <w:tc>
          <w:tcPr>
            <w:tcW w:w="720" w:type="dxa"/>
            <w:tcBorders>
              <w:top w:val="nil"/>
              <w:left w:val="nil"/>
              <w:bottom w:val="nil"/>
              <w:right w:val="nil"/>
            </w:tcBorders>
          </w:tcPr>
          <w:p w14:paraId="440BB829" w14:textId="77777777" w:rsidR="005F20F6" w:rsidRPr="008C52C9" w:rsidRDefault="005F20F6">
            <w:pPr>
              <w:spacing w:before="60" w:after="60" w:line="276" w:lineRule="auto"/>
              <w:ind w:right="-29"/>
              <w:jc w:val="center"/>
              <w:rPr>
                <w:noProof/>
                <w:sz w:val="18"/>
              </w:rPr>
            </w:pPr>
          </w:p>
        </w:tc>
        <w:tc>
          <w:tcPr>
            <w:tcW w:w="931" w:type="dxa"/>
            <w:tcBorders>
              <w:top w:val="nil"/>
              <w:left w:val="nil"/>
              <w:bottom w:val="nil"/>
              <w:right w:val="nil"/>
            </w:tcBorders>
          </w:tcPr>
          <w:p w14:paraId="10A4E69F" w14:textId="77777777" w:rsidR="005F20F6" w:rsidRPr="008C52C9" w:rsidRDefault="005F20F6">
            <w:pPr>
              <w:spacing w:before="60" w:after="60" w:line="276" w:lineRule="auto"/>
              <w:ind w:right="-29"/>
              <w:jc w:val="center"/>
              <w:rPr>
                <w:noProof/>
                <w:sz w:val="18"/>
              </w:rPr>
            </w:pPr>
          </w:p>
        </w:tc>
        <w:tc>
          <w:tcPr>
            <w:tcW w:w="689" w:type="dxa"/>
            <w:tcBorders>
              <w:top w:val="nil"/>
              <w:left w:val="nil"/>
              <w:bottom w:val="nil"/>
              <w:right w:val="nil"/>
            </w:tcBorders>
          </w:tcPr>
          <w:p w14:paraId="2130208E" w14:textId="77777777" w:rsidR="005F20F6" w:rsidRPr="008C52C9" w:rsidRDefault="005F20F6">
            <w:pPr>
              <w:spacing w:before="60" w:after="60" w:line="276" w:lineRule="auto"/>
              <w:ind w:right="-29"/>
              <w:jc w:val="center"/>
              <w:rPr>
                <w:noProof/>
                <w:sz w:val="18"/>
              </w:rPr>
            </w:pPr>
          </w:p>
        </w:tc>
        <w:tc>
          <w:tcPr>
            <w:tcW w:w="540" w:type="dxa"/>
            <w:tcBorders>
              <w:top w:val="nil"/>
              <w:left w:val="nil"/>
              <w:bottom w:val="nil"/>
              <w:right w:val="nil"/>
            </w:tcBorders>
          </w:tcPr>
          <w:p w14:paraId="4E5DA34E" w14:textId="77777777" w:rsidR="005F20F6" w:rsidRPr="008C52C9" w:rsidRDefault="005F20F6">
            <w:pPr>
              <w:spacing w:before="60" w:after="60" w:line="276" w:lineRule="auto"/>
              <w:ind w:right="-29"/>
              <w:jc w:val="center"/>
              <w:rPr>
                <w:noProof/>
                <w:sz w:val="18"/>
              </w:rPr>
            </w:pPr>
          </w:p>
        </w:tc>
        <w:tc>
          <w:tcPr>
            <w:tcW w:w="648" w:type="dxa"/>
            <w:tcBorders>
              <w:top w:val="nil"/>
              <w:left w:val="nil"/>
              <w:bottom w:val="nil"/>
              <w:right w:val="nil"/>
            </w:tcBorders>
          </w:tcPr>
          <w:p w14:paraId="794EB841" w14:textId="77777777" w:rsidR="005F20F6" w:rsidRPr="008C52C9" w:rsidRDefault="005F20F6">
            <w:pPr>
              <w:spacing w:before="60" w:after="60" w:line="276" w:lineRule="auto"/>
              <w:ind w:right="-29"/>
              <w:jc w:val="center"/>
              <w:rPr>
                <w:noProof/>
                <w:sz w:val="18"/>
              </w:rPr>
            </w:pPr>
          </w:p>
        </w:tc>
        <w:tc>
          <w:tcPr>
            <w:tcW w:w="432" w:type="dxa"/>
            <w:tcBorders>
              <w:top w:val="nil"/>
              <w:left w:val="nil"/>
              <w:bottom w:val="nil"/>
              <w:right w:val="nil"/>
            </w:tcBorders>
          </w:tcPr>
          <w:p w14:paraId="5BFF9C68" w14:textId="77777777" w:rsidR="005F20F6" w:rsidRPr="008C52C9" w:rsidRDefault="005F20F6">
            <w:pPr>
              <w:spacing w:before="60" w:after="60" w:line="276" w:lineRule="auto"/>
              <w:ind w:right="-29"/>
              <w:jc w:val="center"/>
              <w:rPr>
                <w:noProof/>
                <w:sz w:val="18"/>
              </w:rPr>
            </w:pPr>
          </w:p>
        </w:tc>
        <w:tc>
          <w:tcPr>
            <w:tcW w:w="720" w:type="dxa"/>
            <w:tcBorders>
              <w:top w:val="nil"/>
              <w:left w:val="nil"/>
              <w:bottom w:val="nil"/>
              <w:right w:val="nil"/>
            </w:tcBorders>
          </w:tcPr>
          <w:p w14:paraId="7820394A" w14:textId="77777777" w:rsidR="005F20F6" w:rsidRPr="008C52C9" w:rsidRDefault="005F20F6">
            <w:pPr>
              <w:spacing w:before="60" w:after="60" w:line="276" w:lineRule="auto"/>
              <w:ind w:right="-29"/>
              <w:jc w:val="center"/>
              <w:rPr>
                <w:noProof/>
                <w:sz w:val="18"/>
              </w:rPr>
            </w:pPr>
          </w:p>
        </w:tc>
        <w:tc>
          <w:tcPr>
            <w:tcW w:w="540" w:type="dxa"/>
            <w:tcBorders>
              <w:top w:val="nil"/>
              <w:left w:val="nil"/>
              <w:bottom w:val="nil"/>
              <w:right w:val="nil"/>
            </w:tcBorders>
          </w:tcPr>
          <w:p w14:paraId="0742C139" w14:textId="77777777" w:rsidR="005F20F6" w:rsidRPr="008C52C9" w:rsidRDefault="005F20F6">
            <w:pPr>
              <w:spacing w:before="60" w:after="60" w:line="276" w:lineRule="auto"/>
              <w:ind w:right="-29"/>
              <w:jc w:val="center"/>
              <w:rPr>
                <w:noProof/>
                <w:sz w:val="18"/>
              </w:rPr>
            </w:pPr>
          </w:p>
        </w:tc>
        <w:tc>
          <w:tcPr>
            <w:tcW w:w="720" w:type="dxa"/>
            <w:tcBorders>
              <w:top w:val="nil"/>
              <w:left w:val="nil"/>
              <w:bottom w:val="nil"/>
              <w:right w:val="nil"/>
            </w:tcBorders>
          </w:tcPr>
          <w:p w14:paraId="26FB6C91" w14:textId="77777777" w:rsidR="005F20F6" w:rsidRPr="008C52C9" w:rsidRDefault="005F20F6">
            <w:pPr>
              <w:spacing w:before="60" w:after="60" w:line="276" w:lineRule="auto"/>
              <w:ind w:right="-29"/>
              <w:jc w:val="center"/>
              <w:rPr>
                <w:noProof/>
                <w:sz w:val="18"/>
              </w:rPr>
            </w:pPr>
          </w:p>
        </w:tc>
        <w:tc>
          <w:tcPr>
            <w:tcW w:w="720" w:type="dxa"/>
            <w:tcBorders>
              <w:top w:val="nil"/>
              <w:left w:val="nil"/>
              <w:bottom w:val="nil"/>
              <w:right w:val="nil"/>
            </w:tcBorders>
          </w:tcPr>
          <w:p w14:paraId="1680CDBF" w14:textId="77777777" w:rsidR="005F20F6" w:rsidRPr="008C52C9" w:rsidRDefault="005F20F6">
            <w:pPr>
              <w:spacing w:before="60" w:after="60" w:line="276" w:lineRule="auto"/>
              <w:ind w:right="-29"/>
              <w:jc w:val="center"/>
              <w:rPr>
                <w:noProof/>
                <w:sz w:val="18"/>
              </w:rPr>
            </w:pPr>
          </w:p>
        </w:tc>
        <w:tc>
          <w:tcPr>
            <w:tcW w:w="900" w:type="dxa"/>
            <w:tcBorders>
              <w:top w:val="nil"/>
              <w:left w:val="nil"/>
              <w:bottom w:val="nil"/>
              <w:right w:val="nil"/>
            </w:tcBorders>
          </w:tcPr>
          <w:p w14:paraId="6661CE68" w14:textId="77777777" w:rsidR="005F20F6" w:rsidRPr="008C52C9" w:rsidRDefault="005F20F6">
            <w:pPr>
              <w:spacing w:before="60" w:after="60" w:line="276" w:lineRule="auto"/>
              <w:ind w:right="-29"/>
              <w:jc w:val="center"/>
              <w:rPr>
                <w:noProof/>
                <w:sz w:val="18"/>
              </w:rPr>
            </w:pPr>
          </w:p>
        </w:tc>
      </w:tr>
      <w:tr w:rsidR="005F20F6" w:rsidRPr="008C52C9" w14:paraId="577B6249" w14:textId="77777777" w:rsidTr="00951658">
        <w:trPr>
          <w:trHeight w:hRule="exact" w:val="369"/>
          <w:jc w:val="center"/>
        </w:trPr>
        <w:tc>
          <w:tcPr>
            <w:tcW w:w="1423" w:type="dxa"/>
            <w:tcBorders>
              <w:top w:val="single" w:sz="4" w:space="0" w:color="auto"/>
              <w:left w:val="single" w:sz="4" w:space="0" w:color="auto"/>
              <w:bottom w:val="single" w:sz="4" w:space="0" w:color="auto"/>
              <w:right w:val="single" w:sz="4" w:space="0" w:color="auto"/>
            </w:tcBorders>
            <w:hideMark/>
          </w:tcPr>
          <w:p w14:paraId="7C5CD6AC" w14:textId="77777777" w:rsidR="005F20F6" w:rsidRPr="008C52C9" w:rsidRDefault="005F20F6">
            <w:pPr>
              <w:spacing w:line="276" w:lineRule="auto"/>
              <w:ind w:right="-29"/>
              <w:jc w:val="center"/>
              <w:rPr>
                <w:noProof/>
                <w:sz w:val="18"/>
              </w:rPr>
            </w:pPr>
            <w:r w:rsidRPr="008C52C9">
              <w:rPr>
                <w:noProof/>
                <w:sz w:val="18"/>
              </w:rPr>
              <w:t>- Risultato</w:t>
            </w:r>
          </w:p>
        </w:tc>
        <w:tc>
          <w:tcPr>
            <w:tcW w:w="720" w:type="dxa"/>
            <w:tcBorders>
              <w:top w:val="single" w:sz="4" w:space="0" w:color="auto"/>
              <w:left w:val="single" w:sz="4" w:space="0" w:color="auto"/>
              <w:bottom w:val="single" w:sz="4" w:space="0" w:color="auto"/>
              <w:right w:val="single" w:sz="4" w:space="0" w:color="auto"/>
            </w:tcBorders>
          </w:tcPr>
          <w:p w14:paraId="10A485D0" w14:textId="77777777" w:rsidR="005F20F6" w:rsidRPr="008C52C9" w:rsidRDefault="005F20F6">
            <w:pPr>
              <w:spacing w:line="276" w:lineRule="auto"/>
              <w:ind w:right="-29"/>
              <w:jc w:val="center"/>
              <w:rPr>
                <w:noProof/>
                <w:sz w:val="18"/>
              </w:rPr>
            </w:pPr>
          </w:p>
        </w:tc>
        <w:tc>
          <w:tcPr>
            <w:tcW w:w="701" w:type="dxa"/>
            <w:tcBorders>
              <w:top w:val="single" w:sz="4" w:space="0" w:color="auto"/>
              <w:left w:val="single" w:sz="4" w:space="0" w:color="auto"/>
              <w:bottom w:val="single" w:sz="4" w:space="0" w:color="auto"/>
              <w:right w:val="single" w:sz="4" w:space="0" w:color="auto"/>
            </w:tcBorders>
          </w:tcPr>
          <w:p w14:paraId="12AE43D3" w14:textId="77777777" w:rsidR="005F20F6" w:rsidRPr="008C52C9" w:rsidRDefault="005F20F6">
            <w:pPr>
              <w:spacing w:line="276" w:lineRule="auto"/>
              <w:ind w:right="-29"/>
              <w:jc w:val="center"/>
              <w:rPr>
                <w:noProof/>
                <w:sz w:val="18"/>
              </w:rPr>
            </w:pPr>
          </w:p>
        </w:tc>
        <w:tc>
          <w:tcPr>
            <w:tcW w:w="504" w:type="dxa"/>
            <w:tcBorders>
              <w:top w:val="single" w:sz="4" w:space="0" w:color="auto"/>
              <w:left w:val="single" w:sz="4" w:space="0" w:color="auto"/>
              <w:bottom w:val="single" w:sz="4" w:space="0" w:color="auto"/>
              <w:right w:val="dashSmallGap" w:sz="4" w:space="0" w:color="auto"/>
            </w:tcBorders>
          </w:tcPr>
          <w:p w14:paraId="426C9F2A" w14:textId="77777777" w:rsidR="005F20F6" w:rsidRPr="008C52C9" w:rsidRDefault="005F20F6">
            <w:pPr>
              <w:spacing w:line="276" w:lineRule="auto"/>
              <w:ind w:right="-29"/>
              <w:jc w:val="center"/>
              <w:rPr>
                <w:noProof/>
                <w:sz w:val="18"/>
              </w:rPr>
            </w:pPr>
          </w:p>
        </w:tc>
        <w:tc>
          <w:tcPr>
            <w:tcW w:w="720" w:type="dxa"/>
            <w:tcBorders>
              <w:top w:val="single" w:sz="4" w:space="0" w:color="auto"/>
              <w:left w:val="dashSmallGap" w:sz="4" w:space="0" w:color="auto"/>
              <w:bottom w:val="single" w:sz="4" w:space="0" w:color="auto"/>
              <w:right w:val="single" w:sz="4" w:space="0" w:color="auto"/>
            </w:tcBorders>
          </w:tcPr>
          <w:p w14:paraId="5C22D9DC" w14:textId="77777777" w:rsidR="005F20F6" w:rsidRPr="008C52C9" w:rsidRDefault="005F20F6">
            <w:pPr>
              <w:spacing w:line="276" w:lineRule="auto"/>
              <w:ind w:right="-29"/>
              <w:jc w:val="center"/>
              <w:rPr>
                <w:noProof/>
                <w:sz w:val="18"/>
              </w:rPr>
            </w:pPr>
          </w:p>
        </w:tc>
        <w:tc>
          <w:tcPr>
            <w:tcW w:w="540" w:type="dxa"/>
            <w:tcBorders>
              <w:top w:val="single" w:sz="4" w:space="0" w:color="auto"/>
              <w:left w:val="single" w:sz="4" w:space="0" w:color="auto"/>
              <w:bottom w:val="single" w:sz="4" w:space="0" w:color="auto"/>
              <w:right w:val="dashSmallGap" w:sz="4" w:space="0" w:color="auto"/>
            </w:tcBorders>
          </w:tcPr>
          <w:p w14:paraId="400CB153" w14:textId="77777777" w:rsidR="005F20F6" w:rsidRPr="008C52C9" w:rsidRDefault="005F20F6">
            <w:pPr>
              <w:spacing w:line="276" w:lineRule="auto"/>
              <w:ind w:right="-29"/>
              <w:jc w:val="center"/>
              <w:rPr>
                <w:noProof/>
                <w:sz w:val="18"/>
              </w:rPr>
            </w:pPr>
          </w:p>
        </w:tc>
        <w:tc>
          <w:tcPr>
            <w:tcW w:w="720" w:type="dxa"/>
            <w:tcBorders>
              <w:top w:val="single" w:sz="4" w:space="0" w:color="auto"/>
              <w:left w:val="dashSmallGap" w:sz="4" w:space="0" w:color="auto"/>
              <w:bottom w:val="single" w:sz="4" w:space="0" w:color="auto"/>
              <w:right w:val="single" w:sz="4" w:space="0" w:color="auto"/>
            </w:tcBorders>
          </w:tcPr>
          <w:p w14:paraId="41FBA647" w14:textId="77777777" w:rsidR="005F20F6" w:rsidRPr="008C52C9" w:rsidRDefault="005F20F6">
            <w:pPr>
              <w:spacing w:line="276" w:lineRule="auto"/>
              <w:ind w:right="-29"/>
              <w:jc w:val="center"/>
              <w:rPr>
                <w:noProof/>
                <w:sz w:val="18"/>
              </w:rPr>
            </w:pPr>
          </w:p>
        </w:tc>
        <w:tc>
          <w:tcPr>
            <w:tcW w:w="720" w:type="dxa"/>
            <w:tcBorders>
              <w:top w:val="single" w:sz="4" w:space="0" w:color="auto"/>
              <w:left w:val="single" w:sz="4" w:space="0" w:color="auto"/>
              <w:bottom w:val="single" w:sz="4" w:space="0" w:color="auto"/>
              <w:right w:val="dashSmallGap" w:sz="4" w:space="0" w:color="auto"/>
            </w:tcBorders>
          </w:tcPr>
          <w:p w14:paraId="6E26C58F" w14:textId="77777777" w:rsidR="005F20F6" w:rsidRPr="008C52C9" w:rsidRDefault="005F20F6">
            <w:pPr>
              <w:spacing w:line="276" w:lineRule="auto"/>
              <w:ind w:right="-29"/>
              <w:jc w:val="center"/>
              <w:rPr>
                <w:noProof/>
                <w:sz w:val="18"/>
              </w:rPr>
            </w:pPr>
          </w:p>
        </w:tc>
        <w:tc>
          <w:tcPr>
            <w:tcW w:w="720" w:type="dxa"/>
            <w:tcBorders>
              <w:top w:val="single" w:sz="4" w:space="0" w:color="auto"/>
              <w:left w:val="dashSmallGap" w:sz="4" w:space="0" w:color="auto"/>
              <w:bottom w:val="single" w:sz="4" w:space="0" w:color="auto"/>
              <w:right w:val="single" w:sz="4" w:space="0" w:color="auto"/>
            </w:tcBorders>
          </w:tcPr>
          <w:p w14:paraId="607601FF" w14:textId="77777777" w:rsidR="005F20F6" w:rsidRPr="008C52C9" w:rsidRDefault="005F20F6">
            <w:pPr>
              <w:spacing w:line="276" w:lineRule="auto"/>
              <w:ind w:right="-29"/>
              <w:jc w:val="center"/>
              <w:rPr>
                <w:noProof/>
                <w:sz w:val="18"/>
              </w:rPr>
            </w:pPr>
          </w:p>
        </w:tc>
        <w:tc>
          <w:tcPr>
            <w:tcW w:w="931" w:type="dxa"/>
            <w:tcBorders>
              <w:top w:val="single" w:sz="4" w:space="0" w:color="auto"/>
              <w:left w:val="single" w:sz="4" w:space="0" w:color="auto"/>
              <w:bottom w:val="single" w:sz="4" w:space="0" w:color="auto"/>
              <w:right w:val="dashSmallGap" w:sz="4" w:space="0" w:color="auto"/>
            </w:tcBorders>
          </w:tcPr>
          <w:p w14:paraId="2A378801" w14:textId="77777777" w:rsidR="005F20F6" w:rsidRPr="008C52C9" w:rsidRDefault="005F20F6">
            <w:pPr>
              <w:spacing w:line="276" w:lineRule="auto"/>
              <w:ind w:right="-29"/>
              <w:jc w:val="center"/>
              <w:rPr>
                <w:noProof/>
                <w:sz w:val="18"/>
              </w:rPr>
            </w:pPr>
          </w:p>
        </w:tc>
        <w:tc>
          <w:tcPr>
            <w:tcW w:w="689" w:type="dxa"/>
            <w:tcBorders>
              <w:top w:val="single" w:sz="4" w:space="0" w:color="auto"/>
              <w:left w:val="dashSmallGap" w:sz="4" w:space="0" w:color="auto"/>
              <w:bottom w:val="single" w:sz="4" w:space="0" w:color="auto"/>
              <w:right w:val="single" w:sz="4" w:space="0" w:color="auto"/>
            </w:tcBorders>
          </w:tcPr>
          <w:p w14:paraId="2F694536" w14:textId="77777777" w:rsidR="005F20F6" w:rsidRPr="008C52C9" w:rsidRDefault="005F20F6">
            <w:pPr>
              <w:spacing w:line="276" w:lineRule="auto"/>
              <w:ind w:right="-29"/>
              <w:jc w:val="center"/>
              <w:rPr>
                <w:noProof/>
                <w:sz w:val="18"/>
              </w:rPr>
            </w:pPr>
          </w:p>
        </w:tc>
        <w:tc>
          <w:tcPr>
            <w:tcW w:w="540" w:type="dxa"/>
            <w:tcBorders>
              <w:top w:val="single" w:sz="4" w:space="0" w:color="auto"/>
              <w:left w:val="single" w:sz="4" w:space="0" w:color="auto"/>
              <w:bottom w:val="single" w:sz="4" w:space="0" w:color="auto"/>
              <w:right w:val="dashSmallGap" w:sz="4" w:space="0" w:color="auto"/>
            </w:tcBorders>
          </w:tcPr>
          <w:p w14:paraId="749100F4" w14:textId="77777777" w:rsidR="005F20F6" w:rsidRPr="008C52C9" w:rsidRDefault="005F20F6">
            <w:pPr>
              <w:spacing w:line="276" w:lineRule="auto"/>
              <w:ind w:right="-29"/>
              <w:jc w:val="center"/>
              <w:rPr>
                <w:noProof/>
                <w:sz w:val="18"/>
              </w:rPr>
            </w:pPr>
          </w:p>
        </w:tc>
        <w:tc>
          <w:tcPr>
            <w:tcW w:w="648" w:type="dxa"/>
            <w:tcBorders>
              <w:top w:val="single" w:sz="4" w:space="0" w:color="auto"/>
              <w:left w:val="dashSmallGap" w:sz="4" w:space="0" w:color="auto"/>
              <w:bottom w:val="single" w:sz="4" w:space="0" w:color="auto"/>
              <w:right w:val="single" w:sz="4" w:space="0" w:color="auto"/>
            </w:tcBorders>
          </w:tcPr>
          <w:p w14:paraId="79DE96C2" w14:textId="77777777" w:rsidR="005F20F6" w:rsidRPr="008C52C9" w:rsidRDefault="005F20F6">
            <w:pPr>
              <w:spacing w:line="276" w:lineRule="auto"/>
              <w:ind w:right="-29"/>
              <w:jc w:val="center"/>
              <w:rPr>
                <w:noProof/>
                <w:sz w:val="18"/>
              </w:rPr>
            </w:pPr>
          </w:p>
        </w:tc>
        <w:tc>
          <w:tcPr>
            <w:tcW w:w="432" w:type="dxa"/>
            <w:tcBorders>
              <w:top w:val="single" w:sz="4" w:space="0" w:color="auto"/>
              <w:left w:val="single" w:sz="4" w:space="0" w:color="auto"/>
              <w:bottom w:val="single" w:sz="4" w:space="0" w:color="auto"/>
              <w:right w:val="dashSmallGap" w:sz="4" w:space="0" w:color="auto"/>
            </w:tcBorders>
          </w:tcPr>
          <w:p w14:paraId="6B4A9612" w14:textId="77777777" w:rsidR="005F20F6" w:rsidRPr="008C52C9" w:rsidRDefault="005F20F6">
            <w:pPr>
              <w:spacing w:line="276" w:lineRule="auto"/>
              <w:ind w:right="-29"/>
              <w:jc w:val="center"/>
              <w:rPr>
                <w:noProof/>
                <w:sz w:val="18"/>
              </w:rPr>
            </w:pPr>
          </w:p>
        </w:tc>
        <w:tc>
          <w:tcPr>
            <w:tcW w:w="720" w:type="dxa"/>
            <w:tcBorders>
              <w:top w:val="single" w:sz="4" w:space="0" w:color="auto"/>
              <w:left w:val="dashSmallGap" w:sz="4" w:space="0" w:color="auto"/>
              <w:bottom w:val="single" w:sz="4" w:space="0" w:color="auto"/>
              <w:right w:val="single" w:sz="4" w:space="0" w:color="auto"/>
            </w:tcBorders>
          </w:tcPr>
          <w:p w14:paraId="276C2BA6" w14:textId="77777777" w:rsidR="005F20F6" w:rsidRPr="008C52C9" w:rsidRDefault="005F20F6">
            <w:pPr>
              <w:spacing w:line="276" w:lineRule="auto"/>
              <w:ind w:right="-29"/>
              <w:jc w:val="center"/>
              <w:rPr>
                <w:noProof/>
                <w:sz w:val="18"/>
              </w:rPr>
            </w:pPr>
          </w:p>
        </w:tc>
        <w:tc>
          <w:tcPr>
            <w:tcW w:w="540" w:type="dxa"/>
            <w:tcBorders>
              <w:top w:val="single" w:sz="4" w:space="0" w:color="auto"/>
              <w:left w:val="single" w:sz="4" w:space="0" w:color="auto"/>
              <w:bottom w:val="single" w:sz="4" w:space="0" w:color="auto"/>
              <w:right w:val="dashSmallGap" w:sz="4" w:space="0" w:color="auto"/>
            </w:tcBorders>
          </w:tcPr>
          <w:p w14:paraId="7BD34390" w14:textId="77777777" w:rsidR="005F20F6" w:rsidRPr="008C52C9" w:rsidRDefault="005F20F6">
            <w:pPr>
              <w:spacing w:line="276" w:lineRule="auto"/>
              <w:ind w:right="-29"/>
              <w:jc w:val="center"/>
              <w:rPr>
                <w:noProof/>
                <w:sz w:val="18"/>
              </w:rPr>
            </w:pPr>
          </w:p>
        </w:tc>
        <w:tc>
          <w:tcPr>
            <w:tcW w:w="720" w:type="dxa"/>
            <w:tcBorders>
              <w:top w:val="single" w:sz="4" w:space="0" w:color="auto"/>
              <w:left w:val="dashSmallGap" w:sz="4" w:space="0" w:color="auto"/>
              <w:bottom w:val="single" w:sz="4" w:space="0" w:color="auto"/>
              <w:right w:val="single" w:sz="4" w:space="0" w:color="auto"/>
            </w:tcBorders>
          </w:tcPr>
          <w:p w14:paraId="72D3D75B" w14:textId="77777777" w:rsidR="005F20F6" w:rsidRPr="008C52C9" w:rsidRDefault="005F20F6">
            <w:pPr>
              <w:spacing w:line="276" w:lineRule="auto"/>
              <w:ind w:right="-29"/>
              <w:jc w:val="center"/>
              <w:rPr>
                <w:noProof/>
                <w:sz w:val="18"/>
              </w:rPr>
            </w:pPr>
          </w:p>
        </w:tc>
        <w:tc>
          <w:tcPr>
            <w:tcW w:w="720" w:type="dxa"/>
            <w:tcBorders>
              <w:top w:val="single" w:sz="4" w:space="0" w:color="auto"/>
              <w:left w:val="single" w:sz="4" w:space="0" w:color="auto"/>
              <w:bottom w:val="single" w:sz="4" w:space="0" w:color="auto"/>
              <w:right w:val="single" w:sz="4" w:space="0" w:color="auto"/>
            </w:tcBorders>
          </w:tcPr>
          <w:p w14:paraId="43F9BB90" w14:textId="77777777" w:rsidR="005F20F6" w:rsidRPr="008C52C9" w:rsidRDefault="005F20F6">
            <w:pPr>
              <w:spacing w:line="276" w:lineRule="auto"/>
              <w:ind w:right="-29"/>
              <w:jc w:val="center"/>
              <w:rPr>
                <w:noProof/>
                <w:sz w:val="18"/>
              </w:rPr>
            </w:pPr>
          </w:p>
        </w:tc>
        <w:tc>
          <w:tcPr>
            <w:tcW w:w="900" w:type="dxa"/>
            <w:tcBorders>
              <w:top w:val="single" w:sz="4" w:space="0" w:color="auto"/>
              <w:left w:val="single" w:sz="4" w:space="0" w:color="auto"/>
              <w:bottom w:val="single" w:sz="4" w:space="0" w:color="auto"/>
              <w:right w:val="single" w:sz="4" w:space="0" w:color="auto"/>
            </w:tcBorders>
          </w:tcPr>
          <w:p w14:paraId="5E9D66BE" w14:textId="77777777" w:rsidR="005F20F6" w:rsidRPr="008C52C9" w:rsidRDefault="005F20F6">
            <w:pPr>
              <w:spacing w:line="276" w:lineRule="auto"/>
              <w:ind w:right="-29"/>
              <w:jc w:val="center"/>
              <w:rPr>
                <w:noProof/>
                <w:sz w:val="18"/>
              </w:rPr>
            </w:pPr>
          </w:p>
        </w:tc>
      </w:tr>
      <w:tr w:rsidR="005F20F6" w:rsidRPr="008C52C9" w14:paraId="3E258130" w14:textId="77777777" w:rsidTr="00951658">
        <w:trPr>
          <w:trHeight w:hRule="exact" w:val="369"/>
          <w:jc w:val="center"/>
        </w:trPr>
        <w:tc>
          <w:tcPr>
            <w:tcW w:w="1423" w:type="dxa"/>
            <w:tcBorders>
              <w:top w:val="single" w:sz="4" w:space="0" w:color="auto"/>
              <w:left w:val="single" w:sz="4" w:space="0" w:color="auto"/>
              <w:bottom w:val="single" w:sz="4" w:space="0" w:color="auto"/>
              <w:right w:val="single" w:sz="4" w:space="0" w:color="auto"/>
            </w:tcBorders>
            <w:hideMark/>
          </w:tcPr>
          <w:p w14:paraId="33766D80" w14:textId="77777777" w:rsidR="005F20F6" w:rsidRPr="008C52C9" w:rsidRDefault="005F20F6">
            <w:pPr>
              <w:spacing w:line="276" w:lineRule="auto"/>
              <w:ind w:right="-29"/>
              <w:jc w:val="center"/>
              <w:rPr>
                <w:noProof/>
                <w:sz w:val="18"/>
              </w:rPr>
            </w:pPr>
            <w:r w:rsidRPr="008C52C9">
              <w:rPr>
                <w:noProof/>
                <w:sz w:val="18"/>
              </w:rPr>
              <w:t>- Risultato</w:t>
            </w:r>
          </w:p>
        </w:tc>
        <w:tc>
          <w:tcPr>
            <w:tcW w:w="720" w:type="dxa"/>
            <w:tcBorders>
              <w:top w:val="single" w:sz="4" w:space="0" w:color="auto"/>
              <w:left w:val="single" w:sz="4" w:space="0" w:color="auto"/>
              <w:bottom w:val="single" w:sz="4" w:space="0" w:color="auto"/>
              <w:right w:val="single" w:sz="4" w:space="0" w:color="auto"/>
            </w:tcBorders>
          </w:tcPr>
          <w:p w14:paraId="61539F50" w14:textId="77777777" w:rsidR="005F20F6" w:rsidRPr="008C52C9" w:rsidRDefault="005F20F6">
            <w:pPr>
              <w:spacing w:line="276" w:lineRule="auto"/>
              <w:ind w:right="-29"/>
              <w:jc w:val="center"/>
              <w:rPr>
                <w:noProof/>
                <w:sz w:val="18"/>
              </w:rPr>
            </w:pPr>
          </w:p>
        </w:tc>
        <w:tc>
          <w:tcPr>
            <w:tcW w:w="701" w:type="dxa"/>
            <w:tcBorders>
              <w:top w:val="single" w:sz="4" w:space="0" w:color="auto"/>
              <w:left w:val="single" w:sz="4" w:space="0" w:color="auto"/>
              <w:bottom w:val="single" w:sz="4" w:space="0" w:color="auto"/>
              <w:right w:val="single" w:sz="4" w:space="0" w:color="auto"/>
            </w:tcBorders>
          </w:tcPr>
          <w:p w14:paraId="6013BBC4" w14:textId="77777777" w:rsidR="005F20F6" w:rsidRPr="008C52C9" w:rsidRDefault="005F20F6">
            <w:pPr>
              <w:spacing w:line="276" w:lineRule="auto"/>
              <w:ind w:right="-29"/>
              <w:jc w:val="center"/>
              <w:rPr>
                <w:noProof/>
                <w:sz w:val="18"/>
              </w:rPr>
            </w:pPr>
          </w:p>
        </w:tc>
        <w:tc>
          <w:tcPr>
            <w:tcW w:w="504" w:type="dxa"/>
            <w:tcBorders>
              <w:top w:val="single" w:sz="4" w:space="0" w:color="auto"/>
              <w:left w:val="single" w:sz="4" w:space="0" w:color="auto"/>
              <w:bottom w:val="single" w:sz="4" w:space="0" w:color="auto"/>
              <w:right w:val="dashSmallGap" w:sz="4" w:space="0" w:color="auto"/>
            </w:tcBorders>
          </w:tcPr>
          <w:p w14:paraId="70174A22" w14:textId="77777777" w:rsidR="005F20F6" w:rsidRPr="008C52C9" w:rsidRDefault="005F20F6">
            <w:pPr>
              <w:spacing w:line="276" w:lineRule="auto"/>
              <w:ind w:right="-29"/>
              <w:jc w:val="center"/>
              <w:rPr>
                <w:noProof/>
                <w:sz w:val="18"/>
              </w:rPr>
            </w:pPr>
          </w:p>
        </w:tc>
        <w:tc>
          <w:tcPr>
            <w:tcW w:w="720" w:type="dxa"/>
            <w:tcBorders>
              <w:top w:val="single" w:sz="4" w:space="0" w:color="auto"/>
              <w:left w:val="dashSmallGap" w:sz="4" w:space="0" w:color="auto"/>
              <w:bottom w:val="single" w:sz="4" w:space="0" w:color="auto"/>
              <w:right w:val="single" w:sz="4" w:space="0" w:color="auto"/>
            </w:tcBorders>
          </w:tcPr>
          <w:p w14:paraId="4883E4D3" w14:textId="77777777" w:rsidR="005F20F6" w:rsidRPr="008C52C9" w:rsidRDefault="005F20F6">
            <w:pPr>
              <w:spacing w:line="276" w:lineRule="auto"/>
              <w:ind w:right="-29"/>
              <w:jc w:val="center"/>
              <w:rPr>
                <w:noProof/>
                <w:sz w:val="18"/>
              </w:rPr>
            </w:pPr>
          </w:p>
        </w:tc>
        <w:tc>
          <w:tcPr>
            <w:tcW w:w="540" w:type="dxa"/>
            <w:tcBorders>
              <w:top w:val="single" w:sz="4" w:space="0" w:color="auto"/>
              <w:left w:val="single" w:sz="4" w:space="0" w:color="auto"/>
              <w:bottom w:val="single" w:sz="4" w:space="0" w:color="auto"/>
              <w:right w:val="dashSmallGap" w:sz="4" w:space="0" w:color="auto"/>
            </w:tcBorders>
          </w:tcPr>
          <w:p w14:paraId="06EE50D7" w14:textId="77777777" w:rsidR="005F20F6" w:rsidRPr="008C52C9" w:rsidRDefault="005F20F6">
            <w:pPr>
              <w:spacing w:line="276" w:lineRule="auto"/>
              <w:ind w:right="-29"/>
              <w:jc w:val="center"/>
              <w:rPr>
                <w:noProof/>
                <w:sz w:val="18"/>
              </w:rPr>
            </w:pPr>
          </w:p>
        </w:tc>
        <w:tc>
          <w:tcPr>
            <w:tcW w:w="720" w:type="dxa"/>
            <w:tcBorders>
              <w:top w:val="single" w:sz="4" w:space="0" w:color="auto"/>
              <w:left w:val="dashSmallGap" w:sz="4" w:space="0" w:color="auto"/>
              <w:bottom w:val="single" w:sz="4" w:space="0" w:color="auto"/>
              <w:right w:val="single" w:sz="4" w:space="0" w:color="auto"/>
            </w:tcBorders>
          </w:tcPr>
          <w:p w14:paraId="7FA007F1" w14:textId="77777777" w:rsidR="005F20F6" w:rsidRPr="008C52C9" w:rsidRDefault="005F20F6">
            <w:pPr>
              <w:spacing w:line="276" w:lineRule="auto"/>
              <w:ind w:right="-29"/>
              <w:jc w:val="center"/>
              <w:rPr>
                <w:noProof/>
                <w:sz w:val="18"/>
              </w:rPr>
            </w:pPr>
          </w:p>
        </w:tc>
        <w:tc>
          <w:tcPr>
            <w:tcW w:w="720" w:type="dxa"/>
            <w:tcBorders>
              <w:top w:val="single" w:sz="4" w:space="0" w:color="auto"/>
              <w:left w:val="single" w:sz="4" w:space="0" w:color="auto"/>
              <w:bottom w:val="single" w:sz="4" w:space="0" w:color="auto"/>
              <w:right w:val="dashSmallGap" w:sz="4" w:space="0" w:color="auto"/>
            </w:tcBorders>
          </w:tcPr>
          <w:p w14:paraId="395D9F76" w14:textId="77777777" w:rsidR="005F20F6" w:rsidRPr="008C52C9" w:rsidRDefault="005F20F6">
            <w:pPr>
              <w:spacing w:line="276" w:lineRule="auto"/>
              <w:ind w:right="-29"/>
              <w:jc w:val="center"/>
              <w:rPr>
                <w:noProof/>
                <w:sz w:val="18"/>
              </w:rPr>
            </w:pPr>
          </w:p>
        </w:tc>
        <w:tc>
          <w:tcPr>
            <w:tcW w:w="720" w:type="dxa"/>
            <w:tcBorders>
              <w:top w:val="single" w:sz="4" w:space="0" w:color="auto"/>
              <w:left w:val="dashSmallGap" w:sz="4" w:space="0" w:color="auto"/>
              <w:bottom w:val="single" w:sz="4" w:space="0" w:color="auto"/>
              <w:right w:val="single" w:sz="4" w:space="0" w:color="auto"/>
            </w:tcBorders>
          </w:tcPr>
          <w:p w14:paraId="57BB55E5" w14:textId="77777777" w:rsidR="005F20F6" w:rsidRPr="008C52C9" w:rsidRDefault="005F20F6">
            <w:pPr>
              <w:spacing w:line="276" w:lineRule="auto"/>
              <w:ind w:right="-29"/>
              <w:jc w:val="center"/>
              <w:rPr>
                <w:noProof/>
                <w:sz w:val="18"/>
              </w:rPr>
            </w:pPr>
          </w:p>
        </w:tc>
        <w:tc>
          <w:tcPr>
            <w:tcW w:w="931" w:type="dxa"/>
            <w:tcBorders>
              <w:top w:val="single" w:sz="4" w:space="0" w:color="auto"/>
              <w:left w:val="single" w:sz="4" w:space="0" w:color="auto"/>
              <w:bottom w:val="single" w:sz="4" w:space="0" w:color="auto"/>
              <w:right w:val="dashSmallGap" w:sz="4" w:space="0" w:color="auto"/>
            </w:tcBorders>
          </w:tcPr>
          <w:p w14:paraId="48DB1ED6" w14:textId="77777777" w:rsidR="005F20F6" w:rsidRPr="008C52C9" w:rsidRDefault="005F20F6">
            <w:pPr>
              <w:spacing w:line="276" w:lineRule="auto"/>
              <w:ind w:right="-29"/>
              <w:jc w:val="center"/>
              <w:rPr>
                <w:noProof/>
                <w:sz w:val="18"/>
              </w:rPr>
            </w:pPr>
          </w:p>
        </w:tc>
        <w:tc>
          <w:tcPr>
            <w:tcW w:w="689" w:type="dxa"/>
            <w:tcBorders>
              <w:top w:val="single" w:sz="4" w:space="0" w:color="auto"/>
              <w:left w:val="dashSmallGap" w:sz="4" w:space="0" w:color="auto"/>
              <w:bottom w:val="single" w:sz="4" w:space="0" w:color="auto"/>
              <w:right w:val="single" w:sz="4" w:space="0" w:color="auto"/>
            </w:tcBorders>
          </w:tcPr>
          <w:p w14:paraId="193AE01F" w14:textId="77777777" w:rsidR="005F20F6" w:rsidRPr="008C52C9" w:rsidRDefault="005F20F6">
            <w:pPr>
              <w:spacing w:line="276" w:lineRule="auto"/>
              <w:ind w:right="-29"/>
              <w:jc w:val="center"/>
              <w:rPr>
                <w:noProof/>
                <w:sz w:val="18"/>
              </w:rPr>
            </w:pPr>
          </w:p>
        </w:tc>
        <w:tc>
          <w:tcPr>
            <w:tcW w:w="540" w:type="dxa"/>
            <w:tcBorders>
              <w:top w:val="single" w:sz="4" w:space="0" w:color="auto"/>
              <w:left w:val="single" w:sz="4" w:space="0" w:color="auto"/>
              <w:bottom w:val="single" w:sz="4" w:space="0" w:color="auto"/>
              <w:right w:val="dashSmallGap" w:sz="4" w:space="0" w:color="auto"/>
            </w:tcBorders>
          </w:tcPr>
          <w:p w14:paraId="02B4B9B7" w14:textId="77777777" w:rsidR="005F20F6" w:rsidRPr="008C52C9" w:rsidRDefault="005F20F6">
            <w:pPr>
              <w:spacing w:line="276" w:lineRule="auto"/>
              <w:ind w:right="-29"/>
              <w:jc w:val="center"/>
              <w:rPr>
                <w:noProof/>
                <w:sz w:val="18"/>
              </w:rPr>
            </w:pPr>
          </w:p>
        </w:tc>
        <w:tc>
          <w:tcPr>
            <w:tcW w:w="648" w:type="dxa"/>
            <w:tcBorders>
              <w:top w:val="single" w:sz="4" w:space="0" w:color="auto"/>
              <w:left w:val="dashSmallGap" w:sz="4" w:space="0" w:color="auto"/>
              <w:bottom w:val="single" w:sz="4" w:space="0" w:color="auto"/>
              <w:right w:val="single" w:sz="4" w:space="0" w:color="auto"/>
            </w:tcBorders>
          </w:tcPr>
          <w:p w14:paraId="6A455AA6" w14:textId="77777777" w:rsidR="005F20F6" w:rsidRPr="008C52C9" w:rsidRDefault="005F20F6">
            <w:pPr>
              <w:spacing w:line="276" w:lineRule="auto"/>
              <w:ind w:right="-29"/>
              <w:jc w:val="center"/>
              <w:rPr>
                <w:noProof/>
                <w:sz w:val="18"/>
              </w:rPr>
            </w:pPr>
          </w:p>
        </w:tc>
        <w:tc>
          <w:tcPr>
            <w:tcW w:w="432" w:type="dxa"/>
            <w:tcBorders>
              <w:top w:val="single" w:sz="4" w:space="0" w:color="auto"/>
              <w:left w:val="single" w:sz="4" w:space="0" w:color="auto"/>
              <w:bottom w:val="single" w:sz="4" w:space="0" w:color="auto"/>
              <w:right w:val="dashSmallGap" w:sz="4" w:space="0" w:color="auto"/>
            </w:tcBorders>
          </w:tcPr>
          <w:p w14:paraId="01B382DA" w14:textId="77777777" w:rsidR="005F20F6" w:rsidRPr="008C52C9" w:rsidRDefault="005F20F6">
            <w:pPr>
              <w:spacing w:line="276" w:lineRule="auto"/>
              <w:ind w:right="-29"/>
              <w:jc w:val="center"/>
              <w:rPr>
                <w:noProof/>
                <w:sz w:val="18"/>
              </w:rPr>
            </w:pPr>
          </w:p>
        </w:tc>
        <w:tc>
          <w:tcPr>
            <w:tcW w:w="720" w:type="dxa"/>
            <w:tcBorders>
              <w:top w:val="single" w:sz="4" w:space="0" w:color="auto"/>
              <w:left w:val="dashSmallGap" w:sz="4" w:space="0" w:color="auto"/>
              <w:bottom w:val="single" w:sz="4" w:space="0" w:color="auto"/>
              <w:right w:val="single" w:sz="4" w:space="0" w:color="auto"/>
            </w:tcBorders>
          </w:tcPr>
          <w:p w14:paraId="5EAFA8EE" w14:textId="77777777" w:rsidR="005F20F6" w:rsidRPr="008C52C9" w:rsidRDefault="005F20F6">
            <w:pPr>
              <w:spacing w:line="276" w:lineRule="auto"/>
              <w:ind w:right="-29"/>
              <w:jc w:val="center"/>
              <w:rPr>
                <w:noProof/>
                <w:sz w:val="18"/>
              </w:rPr>
            </w:pPr>
          </w:p>
        </w:tc>
        <w:tc>
          <w:tcPr>
            <w:tcW w:w="540" w:type="dxa"/>
            <w:tcBorders>
              <w:top w:val="single" w:sz="4" w:space="0" w:color="auto"/>
              <w:left w:val="single" w:sz="4" w:space="0" w:color="auto"/>
              <w:bottom w:val="single" w:sz="4" w:space="0" w:color="auto"/>
              <w:right w:val="dashSmallGap" w:sz="4" w:space="0" w:color="auto"/>
            </w:tcBorders>
          </w:tcPr>
          <w:p w14:paraId="13F09419" w14:textId="77777777" w:rsidR="005F20F6" w:rsidRPr="008C52C9" w:rsidRDefault="005F20F6">
            <w:pPr>
              <w:spacing w:line="276" w:lineRule="auto"/>
              <w:ind w:right="-29"/>
              <w:jc w:val="center"/>
              <w:rPr>
                <w:noProof/>
                <w:sz w:val="18"/>
              </w:rPr>
            </w:pPr>
          </w:p>
        </w:tc>
        <w:tc>
          <w:tcPr>
            <w:tcW w:w="720" w:type="dxa"/>
            <w:tcBorders>
              <w:top w:val="single" w:sz="4" w:space="0" w:color="auto"/>
              <w:left w:val="dashSmallGap" w:sz="4" w:space="0" w:color="auto"/>
              <w:bottom w:val="single" w:sz="4" w:space="0" w:color="auto"/>
              <w:right w:val="single" w:sz="4" w:space="0" w:color="auto"/>
            </w:tcBorders>
          </w:tcPr>
          <w:p w14:paraId="0F6E4133" w14:textId="77777777" w:rsidR="005F20F6" w:rsidRPr="008C52C9" w:rsidRDefault="005F20F6">
            <w:pPr>
              <w:spacing w:line="276" w:lineRule="auto"/>
              <w:ind w:right="-29"/>
              <w:jc w:val="center"/>
              <w:rPr>
                <w:noProof/>
                <w:sz w:val="18"/>
              </w:rPr>
            </w:pPr>
          </w:p>
        </w:tc>
        <w:tc>
          <w:tcPr>
            <w:tcW w:w="720" w:type="dxa"/>
            <w:tcBorders>
              <w:top w:val="single" w:sz="4" w:space="0" w:color="auto"/>
              <w:left w:val="single" w:sz="4" w:space="0" w:color="auto"/>
              <w:bottom w:val="single" w:sz="4" w:space="0" w:color="auto"/>
              <w:right w:val="single" w:sz="4" w:space="0" w:color="auto"/>
            </w:tcBorders>
          </w:tcPr>
          <w:p w14:paraId="13C80B43" w14:textId="77777777" w:rsidR="005F20F6" w:rsidRPr="008C52C9" w:rsidRDefault="005F20F6">
            <w:pPr>
              <w:spacing w:line="276" w:lineRule="auto"/>
              <w:ind w:right="-29"/>
              <w:jc w:val="center"/>
              <w:rPr>
                <w:noProof/>
                <w:sz w:val="18"/>
              </w:rPr>
            </w:pPr>
          </w:p>
        </w:tc>
        <w:tc>
          <w:tcPr>
            <w:tcW w:w="900" w:type="dxa"/>
            <w:tcBorders>
              <w:top w:val="single" w:sz="4" w:space="0" w:color="auto"/>
              <w:left w:val="single" w:sz="4" w:space="0" w:color="auto"/>
              <w:bottom w:val="single" w:sz="4" w:space="0" w:color="auto"/>
              <w:right w:val="single" w:sz="4" w:space="0" w:color="auto"/>
            </w:tcBorders>
          </w:tcPr>
          <w:p w14:paraId="7C64B29F" w14:textId="77777777" w:rsidR="005F20F6" w:rsidRPr="008C52C9" w:rsidRDefault="005F20F6">
            <w:pPr>
              <w:spacing w:line="276" w:lineRule="auto"/>
              <w:ind w:right="-29"/>
              <w:jc w:val="center"/>
              <w:rPr>
                <w:noProof/>
                <w:sz w:val="18"/>
              </w:rPr>
            </w:pPr>
          </w:p>
        </w:tc>
      </w:tr>
      <w:tr w:rsidR="005F20F6" w:rsidRPr="008C52C9" w14:paraId="58092B46" w14:textId="77777777" w:rsidTr="00951658">
        <w:trPr>
          <w:trHeight w:hRule="exact" w:val="369"/>
          <w:jc w:val="center"/>
        </w:trPr>
        <w:tc>
          <w:tcPr>
            <w:tcW w:w="1423" w:type="dxa"/>
            <w:tcBorders>
              <w:top w:val="single" w:sz="4" w:space="0" w:color="auto"/>
              <w:left w:val="single" w:sz="4" w:space="0" w:color="auto"/>
              <w:bottom w:val="single" w:sz="4" w:space="0" w:color="auto"/>
              <w:right w:val="single" w:sz="4" w:space="0" w:color="auto"/>
            </w:tcBorders>
            <w:hideMark/>
          </w:tcPr>
          <w:p w14:paraId="3FD9D8FE" w14:textId="77777777" w:rsidR="005F20F6" w:rsidRPr="008C52C9" w:rsidRDefault="005F20F6">
            <w:pPr>
              <w:spacing w:line="276" w:lineRule="auto"/>
              <w:ind w:right="-29"/>
              <w:jc w:val="center"/>
              <w:rPr>
                <w:noProof/>
                <w:sz w:val="18"/>
              </w:rPr>
            </w:pPr>
            <w:r w:rsidRPr="008C52C9">
              <w:rPr>
                <w:noProof/>
                <w:sz w:val="18"/>
              </w:rPr>
              <w:t>- Risultato</w:t>
            </w:r>
          </w:p>
        </w:tc>
        <w:tc>
          <w:tcPr>
            <w:tcW w:w="720" w:type="dxa"/>
            <w:tcBorders>
              <w:top w:val="single" w:sz="4" w:space="0" w:color="auto"/>
              <w:left w:val="single" w:sz="4" w:space="0" w:color="auto"/>
              <w:bottom w:val="single" w:sz="4" w:space="0" w:color="auto"/>
              <w:right w:val="single" w:sz="4" w:space="0" w:color="auto"/>
            </w:tcBorders>
          </w:tcPr>
          <w:p w14:paraId="236657D9" w14:textId="77777777" w:rsidR="005F20F6" w:rsidRPr="008C52C9" w:rsidRDefault="005F20F6">
            <w:pPr>
              <w:spacing w:line="276" w:lineRule="auto"/>
              <w:ind w:right="-29"/>
              <w:jc w:val="center"/>
              <w:rPr>
                <w:noProof/>
                <w:sz w:val="18"/>
              </w:rPr>
            </w:pPr>
          </w:p>
        </w:tc>
        <w:tc>
          <w:tcPr>
            <w:tcW w:w="701" w:type="dxa"/>
            <w:tcBorders>
              <w:top w:val="single" w:sz="4" w:space="0" w:color="auto"/>
              <w:left w:val="single" w:sz="4" w:space="0" w:color="auto"/>
              <w:bottom w:val="single" w:sz="4" w:space="0" w:color="auto"/>
              <w:right w:val="single" w:sz="4" w:space="0" w:color="auto"/>
            </w:tcBorders>
          </w:tcPr>
          <w:p w14:paraId="2844F5ED" w14:textId="77777777" w:rsidR="005F20F6" w:rsidRPr="008C52C9" w:rsidRDefault="005F20F6">
            <w:pPr>
              <w:spacing w:line="276" w:lineRule="auto"/>
              <w:ind w:right="-29"/>
              <w:jc w:val="center"/>
              <w:rPr>
                <w:noProof/>
                <w:sz w:val="18"/>
              </w:rPr>
            </w:pPr>
          </w:p>
        </w:tc>
        <w:tc>
          <w:tcPr>
            <w:tcW w:w="504" w:type="dxa"/>
            <w:tcBorders>
              <w:top w:val="single" w:sz="4" w:space="0" w:color="auto"/>
              <w:left w:val="single" w:sz="4" w:space="0" w:color="auto"/>
              <w:bottom w:val="single" w:sz="4" w:space="0" w:color="auto"/>
              <w:right w:val="single" w:sz="4" w:space="0" w:color="auto"/>
            </w:tcBorders>
          </w:tcPr>
          <w:p w14:paraId="789B539F" w14:textId="77777777" w:rsidR="005F20F6" w:rsidRPr="008C52C9" w:rsidRDefault="005F20F6">
            <w:pPr>
              <w:spacing w:line="276" w:lineRule="auto"/>
              <w:ind w:right="-29"/>
              <w:jc w:val="center"/>
              <w:rPr>
                <w:noProof/>
                <w:sz w:val="18"/>
              </w:rPr>
            </w:pPr>
          </w:p>
        </w:tc>
        <w:tc>
          <w:tcPr>
            <w:tcW w:w="720" w:type="dxa"/>
            <w:tcBorders>
              <w:top w:val="single" w:sz="4" w:space="0" w:color="auto"/>
              <w:left w:val="single" w:sz="4" w:space="0" w:color="auto"/>
              <w:bottom w:val="single" w:sz="4" w:space="0" w:color="auto"/>
              <w:right w:val="single" w:sz="4" w:space="0" w:color="auto"/>
            </w:tcBorders>
          </w:tcPr>
          <w:p w14:paraId="79E3E262" w14:textId="77777777" w:rsidR="005F20F6" w:rsidRPr="008C52C9" w:rsidRDefault="005F20F6">
            <w:pPr>
              <w:spacing w:line="276" w:lineRule="auto"/>
              <w:ind w:right="-29"/>
              <w:jc w:val="center"/>
              <w:rPr>
                <w:noProof/>
                <w:sz w:val="18"/>
              </w:rPr>
            </w:pPr>
          </w:p>
        </w:tc>
        <w:tc>
          <w:tcPr>
            <w:tcW w:w="540" w:type="dxa"/>
            <w:tcBorders>
              <w:top w:val="single" w:sz="4" w:space="0" w:color="auto"/>
              <w:left w:val="single" w:sz="4" w:space="0" w:color="auto"/>
              <w:bottom w:val="single" w:sz="4" w:space="0" w:color="auto"/>
              <w:right w:val="single" w:sz="4" w:space="0" w:color="auto"/>
            </w:tcBorders>
          </w:tcPr>
          <w:p w14:paraId="3670D1E6" w14:textId="77777777" w:rsidR="005F20F6" w:rsidRPr="008C52C9" w:rsidRDefault="005F20F6">
            <w:pPr>
              <w:spacing w:line="276" w:lineRule="auto"/>
              <w:ind w:right="-29"/>
              <w:jc w:val="center"/>
              <w:rPr>
                <w:noProof/>
                <w:sz w:val="18"/>
              </w:rPr>
            </w:pPr>
          </w:p>
        </w:tc>
        <w:tc>
          <w:tcPr>
            <w:tcW w:w="720" w:type="dxa"/>
            <w:tcBorders>
              <w:top w:val="single" w:sz="4" w:space="0" w:color="auto"/>
              <w:left w:val="single" w:sz="4" w:space="0" w:color="auto"/>
              <w:bottom w:val="single" w:sz="4" w:space="0" w:color="auto"/>
              <w:right w:val="single" w:sz="4" w:space="0" w:color="auto"/>
            </w:tcBorders>
          </w:tcPr>
          <w:p w14:paraId="2131279E" w14:textId="77777777" w:rsidR="005F20F6" w:rsidRPr="008C52C9" w:rsidRDefault="005F20F6">
            <w:pPr>
              <w:spacing w:line="276" w:lineRule="auto"/>
              <w:ind w:right="-29"/>
              <w:jc w:val="center"/>
              <w:rPr>
                <w:noProof/>
                <w:sz w:val="18"/>
              </w:rPr>
            </w:pPr>
          </w:p>
        </w:tc>
        <w:tc>
          <w:tcPr>
            <w:tcW w:w="720" w:type="dxa"/>
            <w:tcBorders>
              <w:top w:val="single" w:sz="4" w:space="0" w:color="auto"/>
              <w:left w:val="single" w:sz="4" w:space="0" w:color="auto"/>
              <w:bottom w:val="single" w:sz="4" w:space="0" w:color="auto"/>
              <w:right w:val="single" w:sz="4" w:space="0" w:color="auto"/>
            </w:tcBorders>
          </w:tcPr>
          <w:p w14:paraId="75C9A1AD" w14:textId="77777777" w:rsidR="005F20F6" w:rsidRPr="008C52C9" w:rsidRDefault="005F20F6">
            <w:pPr>
              <w:spacing w:line="276" w:lineRule="auto"/>
              <w:ind w:right="-29"/>
              <w:jc w:val="center"/>
              <w:rPr>
                <w:noProof/>
                <w:sz w:val="18"/>
              </w:rPr>
            </w:pPr>
          </w:p>
        </w:tc>
        <w:tc>
          <w:tcPr>
            <w:tcW w:w="720" w:type="dxa"/>
            <w:tcBorders>
              <w:top w:val="single" w:sz="4" w:space="0" w:color="auto"/>
              <w:left w:val="single" w:sz="4" w:space="0" w:color="auto"/>
              <w:bottom w:val="single" w:sz="4" w:space="0" w:color="auto"/>
              <w:right w:val="single" w:sz="4" w:space="0" w:color="auto"/>
            </w:tcBorders>
          </w:tcPr>
          <w:p w14:paraId="534C5C6A" w14:textId="77777777" w:rsidR="005F20F6" w:rsidRPr="008C52C9" w:rsidRDefault="005F20F6">
            <w:pPr>
              <w:spacing w:line="276" w:lineRule="auto"/>
              <w:ind w:right="-29"/>
              <w:jc w:val="center"/>
              <w:rPr>
                <w:noProof/>
                <w:sz w:val="18"/>
              </w:rPr>
            </w:pPr>
          </w:p>
        </w:tc>
        <w:tc>
          <w:tcPr>
            <w:tcW w:w="931" w:type="dxa"/>
            <w:tcBorders>
              <w:top w:val="single" w:sz="4" w:space="0" w:color="auto"/>
              <w:left w:val="single" w:sz="4" w:space="0" w:color="auto"/>
              <w:bottom w:val="single" w:sz="4" w:space="0" w:color="auto"/>
              <w:right w:val="single" w:sz="4" w:space="0" w:color="auto"/>
            </w:tcBorders>
          </w:tcPr>
          <w:p w14:paraId="33821E02" w14:textId="77777777" w:rsidR="005F20F6" w:rsidRPr="008C52C9" w:rsidRDefault="005F20F6">
            <w:pPr>
              <w:spacing w:line="276" w:lineRule="auto"/>
              <w:ind w:right="-29"/>
              <w:jc w:val="center"/>
              <w:rPr>
                <w:noProof/>
                <w:sz w:val="18"/>
              </w:rPr>
            </w:pPr>
          </w:p>
        </w:tc>
        <w:tc>
          <w:tcPr>
            <w:tcW w:w="689" w:type="dxa"/>
            <w:tcBorders>
              <w:top w:val="single" w:sz="4" w:space="0" w:color="auto"/>
              <w:left w:val="single" w:sz="4" w:space="0" w:color="auto"/>
              <w:bottom w:val="single" w:sz="4" w:space="0" w:color="auto"/>
              <w:right w:val="single" w:sz="4" w:space="0" w:color="auto"/>
            </w:tcBorders>
          </w:tcPr>
          <w:p w14:paraId="21C601DA" w14:textId="77777777" w:rsidR="005F20F6" w:rsidRPr="008C52C9" w:rsidRDefault="005F20F6">
            <w:pPr>
              <w:spacing w:line="276" w:lineRule="auto"/>
              <w:ind w:right="-29"/>
              <w:jc w:val="center"/>
              <w:rPr>
                <w:noProof/>
                <w:sz w:val="18"/>
              </w:rPr>
            </w:pPr>
          </w:p>
        </w:tc>
        <w:tc>
          <w:tcPr>
            <w:tcW w:w="540" w:type="dxa"/>
            <w:tcBorders>
              <w:top w:val="single" w:sz="4" w:space="0" w:color="auto"/>
              <w:left w:val="single" w:sz="4" w:space="0" w:color="auto"/>
              <w:bottom w:val="single" w:sz="4" w:space="0" w:color="auto"/>
              <w:right w:val="single" w:sz="4" w:space="0" w:color="auto"/>
            </w:tcBorders>
          </w:tcPr>
          <w:p w14:paraId="4441DAD7" w14:textId="77777777" w:rsidR="005F20F6" w:rsidRPr="008C52C9" w:rsidRDefault="005F20F6">
            <w:pPr>
              <w:spacing w:line="276" w:lineRule="auto"/>
              <w:ind w:right="-29"/>
              <w:jc w:val="center"/>
              <w:rPr>
                <w:noProof/>
                <w:sz w:val="18"/>
              </w:rPr>
            </w:pPr>
          </w:p>
        </w:tc>
        <w:tc>
          <w:tcPr>
            <w:tcW w:w="648" w:type="dxa"/>
            <w:tcBorders>
              <w:top w:val="single" w:sz="4" w:space="0" w:color="auto"/>
              <w:left w:val="single" w:sz="4" w:space="0" w:color="auto"/>
              <w:bottom w:val="single" w:sz="4" w:space="0" w:color="auto"/>
              <w:right w:val="single" w:sz="4" w:space="0" w:color="auto"/>
            </w:tcBorders>
          </w:tcPr>
          <w:p w14:paraId="2D75515C" w14:textId="77777777" w:rsidR="005F20F6" w:rsidRPr="008C52C9" w:rsidRDefault="005F20F6">
            <w:pPr>
              <w:spacing w:line="276" w:lineRule="auto"/>
              <w:ind w:right="-29"/>
              <w:jc w:val="center"/>
              <w:rPr>
                <w:noProof/>
                <w:sz w:val="18"/>
              </w:rPr>
            </w:pPr>
          </w:p>
        </w:tc>
        <w:tc>
          <w:tcPr>
            <w:tcW w:w="432" w:type="dxa"/>
            <w:tcBorders>
              <w:top w:val="single" w:sz="4" w:space="0" w:color="auto"/>
              <w:left w:val="single" w:sz="4" w:space="0" w:color="auto"/>
              <w:bottom w:val="single" w:sz="4" w:space="0" w:color="auto"/>
              <w:right w:val="single" w:sz="4" w:space="0" w:color="auto"/>
            </w:tcBorders>
          </w:tcPr>
          <w:p w14:paraId="08BEF571" w14:textId="77777777" w:rsidR="005F20F6" w:rsidRPr="008C52C9" w:rsidRDefault="005F20F6">
            <w:pPr>
              <w:spacing w:line="276" w:lineRule="auto"/>
              <w:ind w:right="-29"/>
              <w:jc w:val="center"/>
              <w:rPr>
                <w:noProof/>
                <w:sz w:val="18"/>
              </w:rPr>
            </w:pPr>
          </w:p>
        </w:tc>
        <w:tc>
          <w:tcPr>
            <w:tcW w:w="720" w:type="dxa"/>
            <w:tcBorders>
              <w:top w:val="single" w:sz="4" w:space="0" w:color="auto"/>
              <w:left w:val="single" w:sz="4" w:space="0" w:color="auto"/>
              <w:bottom w:val="single" w:sz="4" w:space="0" w:color="auto"/>
              <w:right w:val="single" w:sz="4" w:space="0" w:color="auto"/>
            </w:tcBorders>
          </w:tcPr>
          <w:p w14:paraId="20DA9A50" w14:textId="77777777" w:rsidR="005F20F6" w:rsidRPr="008C52C9" w:rsidRDefault="005F20F6">
            <w:pPr>
              <w:spacing w:line="276" w:lineRule="auto"/>
              <w:ind w:right="-29"/>
              <w:jc w:val="center"/>
              <w:rPr>
                <w:noProof/>
                <w:sz w:val="18"/>
              </w:rPr>
            </w:pPr>
          </w:p>
        </w:tc>
        <w:tc>
          <w:tcPr>
            <w:tcW w:w="540" w:type="dxa"/>
            <w:tcBorders>
              <w:top w:val="single" w:sz="4" w:space="0" w:color="auto"/>
              <w:left w:val="single" w:sz="4" w:space="0" w:color="auto"/>
              <w:bottom w:val="single" w:sz="4" w:space="0" w:color="auto"/>
              <w:right w:val="single" w:sz="4" w:space="0" w:color="auto"/>
            </w:tcBorders>
          </w:tcPr>
          <w:p w14:paraId="7D5EB39E" w14:textId="77777777" w:rsidR="005F20F6" w:rsidRPr="008C52C9" w:rsidRDefault="005F20F6">
            <w:pPr>
              <w:spacing w:line="276" w:lineRule="auto"/>
              <w:ind w:right="-29"/>
              <w:jc w:val="center"/>
              <w:rPr>
                <w:noProof/>
                <w:sz w:val="18"/>
              </w:rPr>
            </w:pPr>
          </w:p>
        </w:tc>
        <w:tc>
          <w:tcPr>
            <w:tcW w:w="720" w:type="dxa"/>
            <w:tcBorders>
              <w:top w:val="single" w:sz="4" w:space="0" w:color="auto"/>
              <w:left w:val="single" w:sz="4" w:space="0" w:color="auto"/>
              <w:bottom w:val="single" w:sz="4" w:space="0" w:color="auto"/>
              <w:right w:val="single" w:sz="4" w:space="0" w:color="auto"/>
            </w:tcBorders>
          </w:tcPr>
          <w:p w14:paraId="351DBC52" w14:textId="77777777" w:rsidR="005F20F6" w:rsidRPr="008C52C9" w:rsidRDefault="005F20F6">
            <w:pPr>
              <w:spacing w:line="276" w:lineRule="auto"/>
              <w:ind w:right="-29"/>
              <w:jc w:val="center"/>
              <w:rPr>
                <w:noProof/>
                <w:sz w:val="18"/>
              </w:rPr>
            </w:pPr>
          </w:p>
        </w:tc>
        <w:tc>
          <w:tcPr>
            <w:tcW w:w="720" w:type="dxa"/>
            <w:tcBorders>
              <w:top w:val="single" w:sz="4" w:space="0" w:color="auto"/>
              <w:left w:val="single" w:sz="4" w:space="0" w:color="auto"/>
              <w:bottom w:val="single" w:sz="4" w:space="0" w:color="auto"/>
              <w:right w:val="single" w:sz="4" w:space="0" w:color="auto"/>
            </w:tcBorders>
          </w:tcPr>
          <w:p w14:paraId="50CE5C72" w14:textId="77777777" w:rsidR="005F20F6" w:rsidRPr="008C52C9" w:rsidRDefault="005F20F6">
            <w:pPr>
              <w:spacing w:line="276" w:lineRule="auto"/>
              <w:ind w:right="-29"/>
              <w:jc w:val="center"/>
              <w:rPr>
                <w:noProof/>
                <w:sz w:val="18"/>
              </w:rPr>
            </w:pPr>
          </w:p>
        </w:tc>
        <w:tc>
          <w:tcPr>
            <w:tcW w:w="900" w:type="dxa"/>
            <w:tcBorders>
              <w:top w:val="single" w:sz="4" w:space="0" w:color="auto"/>
              <w:left w:val="single" w:sz="4" w:space="0" w:color="auto"/>
              <w:bottom w:val="single" w:sz="4" w:space="0" w:color="auto"/>
              <w:right w:val="single" w:sz="4" w:space="0" w:color="auto"/>
            </w:tcBorders>
          </w:tcPr>
          <w:p w14:paraId="17BD6645" w14:textId="77777777" w:rsidR="005F20F6" w:rsidRPr="008C52C9" w:rsidRDefault="005F20F6">
            <w:pPr>
              <w:spacing w:line="276" w:lineRule="auto"/>
              <w:ind w:right="-29"/>
              <w:jc w:val="center"/>
              <w:rPr>
                <w:noProof/>
                <w:sz w:val="18"/>
              </w:rPr>
            </w:pPr>
          </w:p>
        </w:tc>
      </w:tr>
      <w:tr w:rsidR="005F20F6" w:rsidRPr="008C52C9" w14:paraId="26C24C42" w14:textId="77777777" w:rsidTr="00951658">
        <w:trPr>
          <w:jc w:val="center"/>
        </w:trPr>
        <w:tc>
          <w:tcPr>
            <w:tcW w:w="2844" w:type="dxa"/>
            <w:gridSpan w:val="3"/>
            <w:tcBorders>
              <w:top w:val="single" w:sz="4" w:space="0" w:color="auto"/>
              <w:left w:val="single" w:sz="4" w:space="0" w:color="auto"/>
              <w:bottom w:val="single" w:sz="12" w:space="0" w:color="auto"/>
              <w:right w:val="single" w:sz="4" w:space="0" w:color="auto"/>
            </w:tcBorders>
            <w:vAlign w:val="center"/>
            <w:hideMark/>
          </w:tcPr>
          <w:p w14:paraId="72CDFDD5" w14:textId="77777777" w:rsidR="005F20F6" w:rsidRPr="008C52C9" w:rsidRDefault="005F20F6">
            <w:pPr>
              <w:spacing w:line="276" w:lineRule="auto"/>
              <w:ind w:right="-29"/>
              <w:jc w:val="center"/>
              <w:rPr>
                <w:noProof/>
                <w:sz w:val="18"/>
              </w:rPr>
            </w:pPr>
            <w:r w:rsidRPr="008C52C9">
              <w:rPr>
                <w:noProof/>
                <w:sz w:val="18"/>
              </w:rPr>
              <w:t>Totale parziale obiettivo specifico 1</w:t>
            </w:r>
          </w:p>
        </w:tc>
        <w:tc>
          <w:tcPr>
            <w:tcW w:w="504" w:type="dxa"/>
            <w:tcBorders>
              <w:top w:val="single" w:sz="4" w:space="0" w:color="auto"/>
              <w:left w:val="single" w:sz="4" w:space="0" w:color="auto"/>
              <w:bottom w:val="single" w:sz="12" w:space="0" w:color="auto"/>
              <w:right w:val="single" w:sz="4" w:space="0" w:color="auto"/>
            </w:tcBorders>
          </w:tcPr>
          <w:p w14:paraId="638FD9AD" w14:textId="77777777" w:rsidR="005F20F6" w:rsidRPr="008C52C9" w:rsidRDefault="005F20F6">
            <w:pPr>
              <w:spacing w:line="276" w:lineRule="auto"/>
              <w:ind w:right="-29"/>
              <w:jc w:val="center"/>
              <w:rPr>
                <w:noProof/>
                <w:sz w:val="18"/>
              </w:rPr>
            </w:pPr>
          </w:p>
        </w:tc>
        <w:tc>
          <w:tcPr>
            <w:tcW w:w="720" w:type="dxa"/>
            <w:tcBorders>
              <w:top w:val="single" w:sz="4" w:space="0" w:color="auto"/>
              <w:left w:val="single" w:sz="4" w:space="0" w:color="auto"/>
              <w:bottom w:val="single" w:sz="12" w:space="0" w:color="auto"/>
              <w:right w:val="single" w:sz="4" w:space="0" w:color="auto"/>
            </w:tcBorders>
          </w:tcPr>
          <w:p w14:paraId="209EA115" w14:textId="77777777" w:rsidR="005F20F6" w:rsidRPr="008C52C9" w:rsidRDefault="005F20F6">
            <w:pPr>
              <w:spacing w:line="276" w:lineRule="auto"/>
              <w:ind w:right="-29"/>
              <w:jc w:val="center"/>
              <w:rPr>
                <w:noProof/>
                <w:sz w:val="18"/>
              </w:rPr>
            </w:pPr>
          </w:p>
        </w:tc>
        <w:tc>
          <w:tcPr>
            <w:tcW w:w="540" w:type="dxa"/>
            <w:tcBorders>
              <w:top w:val="single" w:sz="4" w:space="0" w:color="auto"/>
              <w:left w:val="single" w:sz="4" w:space="0" w:color="auto"/>
              <w:bottom w:val="single" w:sz="12" w:space="0" w:color="auto"/>
              <w:right w:val="single" w:sz="4" w:space="0" w:color="auto"/>
            </w:tcBorders>
          </w:tcPr>
          <w:p w14:paraId="0096774D" w14:textId="77777777" w:rsidR="005F20F6" w:rsidRPr="008C52C9" w:rsidRDefault="005F20F6">
            <w:pPr>
              <w:spacing w:line="276" w:lineRule="auto"/>
              <w:ind w:right="-29"/>
              <w:jc w:val="center"/>
              <w:rPr>
                <w:noProof/>
                <w:sz w:val="18"/>
              </w:rPr>
            </w:pPr>
          </w:p>
        </w:tc>
        <w:tc>
          <w:tcPr>
            <w:tcW w:w="720" w:type="dxa"/>
            <w:tcBorders>
              <w:top w:val="single" w:sz="4" w:space="0" w:color="auto"/>
              <w:left w:val="single" w:sz="4" w:space="0" w:color="auto"/>
              <w:bottom w:val="single" w:sz="12" w:space="0" w:color="auto"/>
              <w:right w:val="single" w:sz="4" w:space="0" w:color="auto"/>
            </w:tcBorders>
          </w:tcPr>
          <w:p w14:paraId="276B8231" w14:textId="77777777" w:rsidR="005F20F6" w:rsidRPr="008C52C9" w:rsidRDefault="005F20F6">
            <w:pPr>
              <w:spacing w:line="276" w:lineRule="auto"/>
              <w:ind w:right="-29"/>
              <w:jc w:val="center"/>
              <w:rPr>
                <w:noProof/>
                <w:sz w:val="18"/>
              </w:rPr>
            </w:pPr>
          </w:p>
        </w:tc>
        <w:tc>
          <w:tcPr>
            <w:tcW w:w="720" w:type="dxa"/>
            <w:tcBorders>
              <w:top w:val="single" w:sz="4" w:space="0" w:color="auto"/>
              <w:left w:val="single" w:sz="4" w:space="0" w:color="auto"/>
              <w:bottom w:val="single" w:sz="12" w:space="0" w:color="auto"/>
              <w:right w:val="single" w:sz="4" w:space="0" w:color="auto"/>
            </w:tcBorders>
          </w:tcPr>
          <w:p w14:paraId="626E54A3" w14:textId="77777777" w:rsidR="005F20F6" w:rsidRPr="008C52C9" w:rsidRDefault="005F20F6">
            <w:pPr>
              <w:spacing w:line="276" w:lineRule="auto"/>
              <w:ind w:right="-29"/>
              <w:jc w:val="center"/>
              <w:rPr>
                <w:noProof/>
                <w:sz w:val="18"/>
              </w:rPr>
            </w:pPr>
          </w:p>
        </w:tc>
        <w:tc>
          <w:tcPr>
            <w:tcW w:w="720" w:type="dxa"/>
            <w:tcBorders>
              <w:top w:val="single" w:sz="4" w:space="0" w:color="auto"/>
              <w:left w:val="single" w:sz="4" w:space="0" w:color="auto"/>
              <w:bottom w:val="single" w:sz="12" w:space="0" w:color="auto"/>
              <w:right w:val="single" w:sz="4" w:space="0" w:color="auto"/>
            </w:tcBorders>
          </w:tcPr>
          <w:p w14:paraId="3DB1D774" w14:textId="77777777" w:rsidR="005F20F6" w:rsidRPr="008C52C9" w:rsidRDefault="005F20F6">
            <w:pPr>
              <w:spacing w:line="276" w:lineRule="auto"/>
              <w:ind w:right="-29"/>
              <w:jc w:val="center"/>
              <w:rPr>
                <w:noProof/>
                <w:sz w:val="18"/>
              </w:rPr>
            </w:pPr>
          </w:p>
        </w:tc>
        <w:tc>
          <w:tcPr>
            <w:tcW w:w="931" w:type="dxa"/>
            <w:tcBorders>
              <w:top w:val="single" w:sz="4" w:space="0" w:color="auto"/>
              <w:left w:val="single" w:sz="4" w:space="0" w:color="auto"/>
              <w:bottom w:val="single" w:sz="12" w:space="0" w:color="auto"/>
              <w:right w:val="single" w:sz="4" w:space="0" w:color="auto"/>
            </w:tcBorders>
          </w:tcPr>
          <w:p w14:paraId="6AA36464" w14:textId="77777777" w:rsidR="005F20F6" w:rsidRPr="008C52C9" w:rsidRDefault="005F20F6">
            <w:pPr>
              <w:spacing w:line="276" w:lineRule="auto"/>
              <w:ind w:right="-29"/>
              <w:jc w:val="center"/>
              <w:rPr>
                <w:noProof/>
                <w:sz w:val="18"/>
              </w:rPr>
            </w:pPr>
          </w:p>
        </w:tc>
        <w:tc>
          <w:tcPr>
            <w:tcW w:w="689" w:type="dxa"/>
            <w:tcBorders>
              <w:top w:val="single" w:sz="4" w:space="0" w:color="auto"/>
              <w:left w:val="single" w:sz="4" w:space="0" w:color="auto"/>
              <w:bottom w:val="single" w:sz="12" w:space="0" w:color="auto"/>
              <w:right w:val="single" w:sz="4" w:space="0" w:color="auto"/>
            </w:tcBorders>
          </w:tcPr>
          <w:p w14:paraId="194F35B5" w14:textId="77777777" w:rsidR="005F20F6" w:rsidRPr="008C52C9" w:rsidRDefault="005F20F6">
            <w:pPr>
              <w:spacing w:line="276" w:lineRule="auto"/>
              <w:ind w:right="-29"/>
              <w:jc w:val="center"/>
              <w:rPr>
                <w:noProof/>
                <w:sz w:val="18"/>
              </w:rPr>
            </w:pPr>
          </w:p>
        </w:tc>
        <w:tc>
          <w:tcPr>
            <w:tcW w:w="540" w:type="dxa"/>
            <w:tcBorders>
              <w:top w:val="single" w:sz="4" w:space="0" w:color="auto"/>
              <w:left w:val="single" w:sz="4" w:space="0" w:color="auto"/>
              <w:bottom w:val="single" w:sz="12" w:space="0" w:color="auto"/>
              <w:right w:val="single" w:sz="4" w:space="0" w:color="auto"/>
            </w:tcBorders>
          </w:tcPr>
          <w:p w14:paraId="0ECC3161" w14:textId="77777777" w:rsidR="005F20F6" w:rsidRPr="008C52C9" w:rsidRDefault="005F20F6">
            <w:pPr>
              <w:spacing w:line="276" w:lineRule="auto"/>
              <w:ind w:right="-29"/>
              <w:jc w:val="center"/>
              <w:rPr>
                <w:noProof/>
                <w:sz w:val="18"/>
              </w:rPr>
            </w:pPr>
          </w:p>
        </w:tc>
        <w:tc>
          <w:tcPr>
            <w:tcW w:w="648" w:type="dxa"/>
            <w:tcBorders>
              <w:top w:val="single" w:sz="4" w:space="0" w:color="auto"/>
              <w:left w:val="single" w:sz="4" w:space="0" w:color="auto"/>
              <w:bottom w:val="single" w:sz="12" w:space="0" w:color="auto"/>
              <w:right w:val="single" w:sz="4" w:space="0" w:color="auto"/>
            </w:tcBorders>
          </w:tcPr>
          <w:p w14:paraId="4A8F1ACC" w14:textId="77777777" w:rsidR="005F20F6" w:rsidRPr="008C52C9" w:rsidRDefault="005F20F6">
            <w:pPr>
              <w:spacing w:line="276" w:lineRule="auto"/>
              <w:ind w:right="-29"/>
              <w:jc w:val="center"/>
              <w:rPr>
                <w:noProof/>
                <w:sz w:val="18"/>
              </w:rPr>
            </w:pPr>
          </w:p>
        </w:tc>
        <w:tc>
          <w:tcPr>
            <w:tcW w:w="432" w:type="dxa"/>
            <w:tcBorders>
              <w:top w:val="single" w:sz="4" w:space="0" w:color="auto"/>
              <w:left w:val="single" w:sz="4" w:space="0" w:color="auto"/>
              <w:bottom w:val="single" w:sz="12" w:space="0" w:color="auto"/>
              <w:right w:val="single" w:sz="4" w:space="0" w:color="auto"/>
            </w:tcBorders>
          </w:tcPr>
          <w:p w14:paraId="6F03E5AA" w14:textId="77777777" w:rsidR="005F20F6" w:rsidRPr="008C52C9" w:rsidRDefault="005F20F6">
            <w:pPr>
              <w:spacing w:line="276" w:lineRule="auto"/>
              <w:ind w:right="-29"/>
              <w:jc w:val="center"/>
              <w:rPr>
                <w:noProof/>
                <w:sz w:val="18"/>
              </w:rPr>
            </w:pPr>
          </w:p>
        </w:tc>
        <w:tc>
          <w:tcPr>
            <w:tcW w:w="720" w:type="dxa"/>
            <w:tcBorders>
              <w:top w:val="single" w:sz="4" w:space="0" w:color="auto"/>
              <w:left w:val="single" w:sz="4" w:space="0" w:color="auto"/>
              <w:bottom w:val="single" w:sz="12" w:space="0" w:color="auto"/>
              <w:right w:val="single" w:sz="4" w:space="0" w:color="auto"/>
            </w:tcBorders>
          </w:tcPr>
          <w:p w14:paraId="038E97A2" w14:textId="77777777" w:rsidR="005F20F6" w:rsidRPr="008C52C9" w:rsidRDefault="005F20F6">
            <w:pPr>
              <w:spacing w:line="276" w:lineRule="auto"/>
              <w:ind w:right="-29"/>
              <w:jc w:val="center"/>
              <w:rPr>
                <w:noProof/>
                <w:sz w:val="18"/>
              </w:rPr>
            </w:pPr>
          </w:p>
        </w:tc>
        <w:tc>
          <w:tcPr>
            <w:tcW w:w="540" w:type="dxa"/>
            <w:tcBorders>
              <w:top w:val="single" w:sz="4" w:space="0" w:color="auto"/>
              <w:left w:val="single" w:sz="4" w:space="0" w:color="auto"/>
              <w:bottom w:val="single" w:sz="12" w:space="0" w:color="auto"/>
              <w:right w:val="single" w:sz="4" w:space="0" w:color="auto"/>
            </w:tcBorders>
          </w:tcPr>
          <w:p w14:paraId="105BD27C" w14:textId="77777777" w:rsidR="005F20F6" w:rsidRPr="008C52C9" w:rsidRDefault="005F20F6">
            <w:pPr>
              <w:spacing w:line="276" w:lineRule="auto"/>
              <w:ind w:right="-29"/>
              <w:jc w:val="center"/>
              <w:rPr>
                <w:noProof/>
                <w:sz w:val="18"/>
              </w:rPr>
            </w:pPr>
          </w:p>
        </w:tc>
        <w:tc>
          <w:tcPr>
            <w:tcW w:w="720" w:type="dxa"/>
            <w:tcBorders>
              <w:top w:val="single" w:sz="4" w:space="0" w:color="auto"/>
              <w:left w:val="single" w:sz="4" w:space="0" w:color="auto"/>
              <w:bottom w:val="single" w:sz="12" w:space="0" w:color="auto"/>
              <w:right w:val="single" w:sz="4" w:space="0" w:color="auto"/>
            </w:tcBorders>
          </w:tcPr>
          <w:p w14:paraId="2DA68E1A" w14:textId="77777777" w:rsidR="005F20F6" w:rsidRPr="008C52C9" w:rsidRDefault="005F20F6">
            <w:pPr>
              <w:spacing w:line="276" w:lineRule="auto"/>
              <w:ind w:right="-29"/>
              <w:jc w:val="center"/>
              <w:rPr>
                <w:noProof/>
                <w:sz w:val="18"/>
              </w:rPr>
            </w:pPr>
          </w:p>
        </w:tc>
        <w:tc>
          <w:tcPr>
            <w:tcW w:w="720" w:type="dxa"/>
            <w:tcBorders>
              <w:top w:val="single" w:sz="4" w:space="0" w:color="auto"/>
              <w:left w:val="single" w:sz="4" w:space="0" w:color="auto"/>
              <w:bottom w:val="single" w:sz="12" w:space="0" w:color="auto"/>
              <w:right w:val="single" w:sz="4" w:space="0" w:color="auto"/>
            </w:tcBorders>
          </w:tcPr>
          <w:p w14:paraId="69A657FB" w14:textId="77777777" w:rsidR="005F20F6" w:rsidRPr="008C52C9" w:rsidRDefault="005F20F6">
            <w:pPr>
              <w:spacing w:line="276" w:lineRule="auto"/>
              <w:ind w:right="-29"/>
              <w:jc w:val="center"/>
              <w:rPr>
                <w:noProof/>
                <w:sz w:val="18"/>
              </w:rPr>
            </w:pPr>
          </w:p>
        </w:tc>
        <w:tc>
          <w:tcPr>
            <w:tcW w:w="900" w:type="dxa"/>
            <w:tcBorders>
              <w:top w:val="single" w:sz="4" w:space="0" w:color="auto"/>
              <w:left w:val="single" w:sz="4" w:space="0" w:color="auto"/>
              <w:bottom w:val="single" w:sz="12" w:space="0" w:color="auto"/>
              <w:right w:val="single" w:sz="4" w:space="0" w:color="auto"/>
            </w:tcBorders>
          </w:tcPr>
          <w:p w14:paraId="2D8A1E89" w14:textId="77777777" w:rsidR="005F20F6" w:rsidRPr="008C52C9" w:rsidRDefault="005F20F6">
            <w:pPr>
              <w:spacing w:line="276" w:lineRule="auto"/>
              <w:ind w:right="-29"/>
              <w:jc w:val="center"/>
              <w:rPr>
                <w:noProof/>
                <w:sz w:val="18"/>
              </w:rPr>
            </w:pPr>
          </w:p>
        </w:tc>
      </w:tr>
      <w:tr w:rsidR="005F20F6" w:rsidRPr="008C52C9" w14:paraId="4EDC522A" w14:textId="77777777" w:rsidTr="00951658">
        <w:trPr>
          <w:jc w:val="center"/>
        </w:trPr>
        <w:tc>
          <w:tcPr>
            <w:tcW w:w="2844" w:type="dxa"/>
            <w:gridSpan w:val="3"/>
            <w:tcBorders>
              <w:top w:val="single" w:sz="4" w:space="0" w:color="auto"/>
              <w:left w:val="single" w:sz="4" w:space="0" w:color="auto"/>
              <w:bottom w:val="single" w:sz="4" w:space="0" w:color="auto"/>
              <w:right w:val="single" w:sz="4" w:space="0" w:color="auto"/>
            </w:tcBorders>
            <w:vAlign w:val="center"/>
            <w:hideMark/>
          </w:tcPr>
          <w:p w14:paraId="06F43554" w14:textId="77777777" w:rsidR="005F20F6" w:rsidRPr="008C52C9" w:rsidRDefault="005F20F6">
            <w:pPr>
              <w:spacing w:before="60" w:after="60" w:line="276" w:lineRule="auto"/>
              <w:ind w:right="-29"/>
              <w:jc w:val="center"/>
              <w:rPr>
                <w:noProof/>
                <w:sz w:val="18"/>
              </w:rPr>
            </w:pPr>
            <w:r w:rsidRPr="008C52C9">
              <w:rPr>
                <w:noProof/>
                <w:sz w:val="18"/>
              </w:rPr>
              <w:t>OBIETTIVO SPECIFICO 2 …</w:t>
            </w:r>
          </w:p>
        </w:tc>
        <w:tc>
          <w:tcPr>
            <w:tcW w:w="504" w:type="dxa"/>
            <w:tcBorders>
              <w:top w:val="nil"/>
              <w:left w:val="nil"/>
              <w:bottom w:val="nil"/>
              <w:right w:val="nil"/>
            </w:tcBorders>
          </w:tcPr>
          <w:p w14:paraId="61AE9794" w14:textId="77777777" w:rsidR="005F20F6" w:rsidRPr="008C52C9" w:rsidRDefault="005F20F6">
            <w:pPr>
              <w:spacing w:before="60" w:after="60" w:line="276" w:lineRule="auto"/>
              <w:ind w:right="-29"/>
              <w:jc w:val="center"/>
              <w:rPr>
                <w:noProof/>
                <w:sz w:val="18"/>
              </w:rPr>
            </w:pPr>
          </w:p>
        </w:tc>
        <w:tc>
          <w:tcPr>
            <w:tcW w:w="720" w:type="dxa"/>
            <w:tcBorders>
              <w:top w:val="nil"/>
              <w:left w:val="nil"/>
              <w:bottom w:val="nil"/>
              <w:right w:val="nil"/>
            </w:tcBorders>
          </w:tcPr>
          <w:p w14:paraId="01F9EE39" w14:textId="77777777" w:rsidR="005F20F6" w:rsidRPr="008C52C9" w:rsidRDefault="005F20F6">
            <w:pPr>
              <w:spacing w:before="60" w:after="60" w:line="276" w:lineRule="auto"/>
              <w:ind w:right="-29"/>
              <w:jc w:val="center"/>
              <w:rPr>
                <w:noProof/>
                <w:sz w:val="18"/>
              </w:rPr>
            </w:pPr>
          </w:p>
        </w:tc>
        <w:tc>
          <w:tcPr>
            <w:tcW w:w="540" w:type="dxa"/>
            <w:tcBorders>
              <w:top w:val="nil"/>
              <w:left w:val="nil"/>
              <w:bottom w:val="nil"/>
              <w:right w:val="nil"/>
            </w:tcBorders>
          </w:tcPr>
          <w:p w14:paraId="6C34B1EF" w14:textId="77777777" w:rsidR="005F20F6" w:rsidRPr="008C52C9" w:rsidRDefault="005F20F6">
            <w:pPr>
              <w:spacing w:before="60" w:after="60" w:line="276" w:lineRule="auto"/>
              <w:ind w:right="-29"/>
              <w:jc w:val="center"/>
              <w:rPr>
                <w:noProof/>
                <w:sz w:val="18"/>
              </w:rPr>
            </w:pPr>
          </w:p>
        </w:tc>
        <w:tc>
          <w:tcPr>
            <w:tcW w:w="720" w:type="dxa"/>
            <w:tcBorders>
              <w:top w:val="nil"/>
              <w:left w:val="nil"/>
              <w:bottom w:val="nil"/>
              <w:right w:val="nil"/>
            </w:tcBorders>
          </w:tcPr>
          <w:p w14:paraId="3C9B04A1" w14:textId="77777777" w:rsidR="005F20F6" w:rsidRPr="008C52C9" w:rsidRDefault="005F20F6">
            <w:pPr>
              <w:spacing w:before="60" w:after="60" w:line="276" w:lineRule="auto"/>
              <w:ind w:right="-29"/>
              <w:jc w:val="center"/>
              <w:rPr>
                <w:noProof/>
                <w:sz w:val="18"/>
              </w:rPr>
            </w:pPr>
          </w:p>
        </w:tc>
        <w:tc>
          <w:tcPr>
            <w:tcW w:w="720" w:type="dxa"/>
            <w:tcBorders>
              <w:top w:val="nil"/>
              <w:left w:val="nil"/>
              <w:bottom w:val="nil"/>
              <w:right w:val="nil"/>
            </w:tcBorders>
          </w:tcPr>
          <w:p w14:paraId="220D6723" w14:textId="77777777" w:rsidR="005F20F6" w:rsidRPr="008C52C9" w:rsidRDefault="005F20F6">
            <w:pPr>
              <w:spacing w:before="60" w:after="60" w:line="276" w:lineRule="auto"/>
              <w:ind w:right="-29"/>
              <w:jc w:val="center"/>
              <w:rPr>
                <w:noProof/>
                <w:sz w:val="18"/>
              </w:rPr>
            </w:pPr>
          </w:p>
        </w:tc>
        <w:tc>
          <w:tcPr>
            <w:tcW w:w="720" w:type="dxa"/>
            <w:tcBorders>
              <w:top w:val="nil"/>
              <w:left w:val="nil"/>
              <w:bottom w:val="nil"/>
              <w:right w:val="nil"/>
            </w:tcBorders>
          </w:tcPr>
          <w:p w14:paraId="773A6A9A" w14:textId="77777777" w:rsidR="005F20F6" w:rsidRPr="008C52C9" w:rsidRDefault="005F20F6">
            <w:pPr>
              <w:spacing w:before="60" w:after="60" w:line="276" w:lineRule="auto"/>
              <w:ind w:right="-29"/>
              <w:jc w:val="center"/>
              <w:rPr>
                <w:noProof/>
                <w:sz w:val="18"/>
              </w:rPr>
            </w:pPr>
          </w:p>
        </w:tc>
        <w:tc>
          <w:tcPr>
            <w:tcW w:w="931" w:type="dxa"/>
            <w:tcBorders>
              <w:top w:val="nil"/>
              <w:left w:val="nil"/>
              <w:bottom w:val="nil"/>
              <w:right w:val="nil"/>
            </w:tcBorders>
          </w:tcPr>
          <w:p w14:paraId="17187B53" w14:textId="77777777" w:rsidR="005F20F6" w:rsidRPr="008C52C9" w:rsidRDefault="005F20F6">
            <w:pPr>
              <w:spacing w:before="60" w:after="60" w:line="276" w:lineRule="auto"/>
              <w:ind w:right="-29"/>
              <w:jc w:val="center"/>
              <w:rPr>
                <w:noProof/>
                <w:sz w:val="18"/>
              </w:rPr>
            </w:pPr>
          </w:p>
        </w:tc>
        <w:tc>
          <w:tcPr>
            <w:tcW w:w="689" w:type="dxa"/>
            <w:tcBorders>
              <w:top w:val="nil"/>
              <w:left w:val="nil"/>
              <w:bottom w:val="nil"/>
              <w:right w:val="nil"/>
            </w:tcBorders>
          </w:tcPr>
          <w:p w14:paraId="213FEFDA" w14:textId="77777777" w:rsidR="005F20F6" w:rsidRPr="008C52C9" w:rsidRDefault="005F20F6">
            <w:pPr>
              <w:spacing w:before="60" w:after="60" w:line="276" w:lineRule="auto"/>
              <w:ind w:right="-29"/>
              <w:jc w:val="center"/>
              <w:rPr>
                <w:noProof/>
                <w:sz w:val="18"/>
              </w:rPr>
            </w:pPr>
          </w:p>
        </w:tc>
        <w:tc>
          <w:tcPr>
            <w:tcW w:w="540" w:type="dxa"/>
            <w:tcBorders>
              <w:top w:val="nil"/>
              <w:left w:val="nil"/>
              <w:bottom w:val="nil"/>
              <w:right w:val="nil"/>
            </w:tcBorders>
          </w:tcPr>
          <w:p w14:paraId="2CE149B9" w14:textId="77777777" w:rsidR="005F20F6" w:rsidRPr="008C52C9" w:rsidRDefault="005F20F6">
            <w:pPr>
              <w:spacing w:before="60" w:after="60" w:line="276" w:lineRule="auto"/>
              <w:ind w:right="-29"/>
              <w:jc w:val="center"/>
              <w:rPr>
                <w:noProof/>
                <w:sz w:val="18"/>
              </w:rPr>
            </w:pPr>
          </w:p>
        </w:tc>
        <w:tc>
          <w:tcPr>
            <w:tcW w:w="648" w:type="dxa"/>
            <w:tcBorders>
              <w:top w:val="nil"/>
              <w:left w:val="nil"/>
              <w:bottom w:val="nil"/>
              <w:right w:val="nil"/>
            </w:tcBorders>
          </w:tcPr>
          <w:p w14:paraId="59D61BA4" w14:textId="77777777" w:rsidR="005F20F6" w:rsidRPr="008C52C9" w:rsidRDefault="005F20F6">
            <w:pPr>
              <w:spacing w:before="60" w:after="60" w:line="276" w:lineRule="auto"/>
              <w:ind w:right="-29"/>
              <w:jc w:val="center"/>
              <w:rPr>
                <w:noProof/>
                <w:sz w:val="18"/>
              </w:rPr>
            </w:pPr>
          </w:p>
        </w:tc>
        <w:tc>
          <w:tcPr>
            <w:tcW w:w="432" w:type="dxa"/>
            <w:tcBorders>
              <w:top w:val="nil"/>
              <w:left w:val="nil"/>
              <w:bottom w:val="nil"/>
              <w:right w:val="nil"/>
            </w:tcBorders>
          </w:tcPr>
          <w:p w14:paraId="05EF4FD4" w14:textId="77777777" w:rsidR="005F20F6" w:rsidRPr="008C52C9" w:rsidRDefault="005F20F6">
            <w:pPr>
              <w:spacing w:before="60" w:after="60" w:line="276" w:lineRule="auto"/>
              <w:ind w:right="-29"/>
              <w:jc w:val="center"/>
              <w:rPr>
                <w:noProof/>
                <w:sz w:val="18"/>
              </w:rPr>
            </w:pPr>
          </w:p>
        </w:tc>
        <w:tc>
          <w:tcPr>
            <w:tcW w:w="720" w:type="dxa"/>
            <w:tcBorders>
              <w:top w:val="nil"/>
              <w:left w:val="nil"/>
              <w:bottom w:val="nil"/>
              <w:right w:val="nil"/>
            </w:tcBorders>
          </w:tcPr>
          <w:p w14:paraId="48D6250C" w14:textId="77777777" w:rsidR="005F20F6" w:rsidRPr="008C52C9" w:rsidRDefault="005F20F6">
            <w:pPr>
              <w:spacing w:before="60" w:after="60" w:line="276" w:lineRule="auto"/>
              <w:ind w:right="-29"/>
              <w:jc w:val="center"/>
              <w:rPr>
                <w:noProof/>
                <w:sz w:val="18"/>
              </w:rPr>
            </w:pPr>
          </w:p>
        </w:tc>
        <w:tc>
          <w:tcPr>
            <w:tcW w:w="540" w:type="dxa"/>
            <w:tcBorders>
              <w:top w:val="nil"/>
              <w:left w:val="nil"/>
              <w:bottom w:val="nil"/>
              <w:right w:val="nil"/>
            </w:tcBorders>
          </w:tcPr>
          <w:p w14:paraId="5A581D91" w14:textId="77777777" w:rsidR="005F20F6" w:rsidRPr="008C52C9" w:rsidRDefault="005F20F6">
            <w:pPr>
              <w:spacing w:before="60" w:after="60" w:line="276" w:lineRule="auto"/>
              <w:ind w:right="-29"/>
              <w:jc w:val="center"/>
              <w:rPr>
                <w:noProof/>
                <w:sz w:val="18"/>
              </w:rPr>
            </w:pPr>
          </w:p>
        </w:tc>
        <w:tc>
          <w:tcPr>
            <w:tcW w:w="720" w:type="dxa"/>
            <w:tcBorders>
              <w:top w:val="nil"/>
              <w:left w:val="nil"/>
              <w:bottom w:val="nil"/>
              <w:right w:val="nil"/>
            </w:tcBorders>
          </w:tcPr>
          <w:p w14:paraId="01732636" w14:textId="77777777" w:rsidR="005F20F6" w:rsidRPr="008C52C9" w:rsidRDefault="005F20F6">
            <w:pPr>
              <w:spacing w:before="60" w:after="60" w:line="276" w:lineRule="auto"/>
              <w:ind w:right="-29"/>
              <w:jc w:val="center"/>
              <w:rPr>
                <w:noProof/>
                <w:sz w:val="18"/>
              </w:rPr>
            </w:pPr>
          </w:p>
        </w:tc>
        <w:tc>
          <w:tcPr>
            <w:tcW w:w="720" w:type="dxa"/>
            <w:tcBorders>
              <w:top w:val="nil"/>
              <w:left w:val="nil"/>
              <w:bottom w:val="nil"/>
              <w:right w:val="nil"/>
            </w:tcBorders>
          </w:tcPr>
          <w:p w14:paraId="398D93A0" w14:textId="77777777" w:rsidR="005F20F6" w:rsidRPr="008C52C9" w:rsidRDefault="005F20F6">
            <w:pPr>
              <w:spacing w:before="60" w:after="60" w:line="276" w:lineRule="auto"/>
              <w:ind w:right="-29"/>
              <w:jc w:val="center"/>
              <w:rPr>
                <w:noProof/>
                <w:sz w:val="18"/>
              </w:rPr>
            </w:pPr>
          </w:p>
        </w:tc>
        <w:tc>
          <w:tcPr>
            <w:tcW w:w="900" w:type="dxa"/>
            <w:tcBorders>
              <w:top w:val="nil"/>
              <w:left w:val="nil"/>
              <w:bottom w:val="nil"/>
              <w:right w:val="nil"/>
            </w:tcBorders>
          </w:tcPr>
          <w:p w14:paraId="076528D6" w14:textId="77777777" w:rsidR="005F20F6" w:rsidRPr="008C52C9" w:rsidRDefault="005F20F6">
            <w:pPr>
              <w:spacing w:before="60" w:after="60" w:line="276" w:lineRule="auto"/>
              <w:ind w:right="-29"/>
              <w:jc w:val="center"/>
              <w:rPr>
                <w:noProof/>
                <w:sz w:val="18"/>
              </w:rPr>
            </w:pPr>
          </w:p>
        </w:tc>
      </w:tr>
      <w:tr w:rsidR="005F20F6" w:rsidRPr="008C52C9" w14:paraId="007D35CF" w14:textId="77777777" w:rsidTr="00951658">
        <w:trPr>
          <w:trHeight w:hRule="exact" w:val="369"/>
          <w:jc w:val="center"/>
        </w:trPr>
        <w:tc>
          <w:tcPr>
            <w:tcW w:w="1423" w:type="dxa"/>
            <w:tcBorders>
              <w:top w:val="single" w:sz="4" w:space="0" w:color="auto"/>
              <w:left w:val="single" w:sz="4" w:space="0" w:color="auto"/>
              <w:bottom w:val="single" w:sz="4" w:space="0" w:color="auto"/>
              <w:right w:val="single" w:sz="4" w:space="0" w:color="auto"/>
            </w:tcBorders>
            <w:hideMark/>
          </w:tcPr>
          <w:p w14:paraId="7548E67A" w14:textId="77777777" w:rsidR="005F20F6" w:rsidRPr="008C52C9" w:rsidRDefault="005F20F6">
            <w:pPr>
              <w:spacing w:line="276" w:lineRule="auto"/>
              <w:ind w:right="-29"/>
              <w:jc w:val="center"/>
              <w:rPr>
                <w:noProof/>
                <w:sz w:val="18"/>
              </w:rPr>
            </w:pPr>
            <w:r w:rsidRPr="008C52C9">
              <w:rPr>
                <w:noProof/>
                <w:sz w:val="18"/>
              </w:rPr>
              <w:t>- Risultato</w:t>
            </w:r>
          </w:p>
        </w:tc>
        <w:tc>
          <w:tcPr>
            <w:tcW w:w="720" w:type="dxa"/>
            <w:tcBorders>
              <w:top w:val="single" w:sz="4" w:space="0" w:color="auto"/>
              <w:left w:val="single" w:sz="4" w:space="0" w:color="auto"/>
              <w:bottom w:val="single" w:sz="4" w:space="0" w:color="auto"/>
              <w:right w:val="single" w:sz="4" w:space="0" w:color="auto"/>
            </w:tcBorders>
          </w:tcPr>
          <w:p w14:paraId="08BED2A1" w14:textId="77777777" w:rsidR="005F20F6" w:rsidRPr="008C52C9" w:rsidRDefault="005F20F6">
            <w:pPr>
              <w:spacing w:line="276" w:lineRule="auto"/>
              <w:ind w:right="-29"/>
              <w:jc w:val="center"/>
              <w:rPr>
                <w:noProof/>
                <w:sz w:val="18"/>
              </w:rPr>
            </w:pPr>
          </w:p>
        </w:tc>
        <w:tc>
          <w:tcPr>
            <w:tcW w:w="701" w:type="dxa"/>
            <w:tcBorders>
              <w:top w:val="single" w:sz="4" w:space="0" w:color="auto"/>
              <w:left w:val="single" w:sz="4" w:space="0" w:color="auto"/>
              <w:bottom w:val="single" w:sz="4" w:space="0" w:color="auto"/>
              <w:right w:val="single" w:sz="4" w:space="0" w:color="auto"/>
            </w:tcBorders>
          </w:tcPr>
          <w:p w14:paraId="1BA32B27" w14:textId="77777777" w:rsidR="005F20F6" w:rsidRPr="008C52C9" w:rsidRDefault="005F20F6">
            <w:pPr>
              <w:spacing w:line="276" w:lineRule="auto"/>
              <w:ind w:right="-29"/>
              <w:jc w:val="center"/>
              <w:rPr>
                <w:noProof/>
                <w:sz w:val="18"/>
              </w:rPr>
            </w:pPr>
          </w:p>
        </w:tc>
        <w:tc>
          <w:tcPr>
            <w:tcW w:w="504" w:type="dxa"/>
            <w:tcBorders>
              <w:top w:val="single" w:sz="4" w:space="0" w:color="auto"/>
              <w:left w:val="single" w:sz="4" w:space="0" w:color="auto"/>
              <w:bottom w:val="single" w:sz="4" w:space="0" w:color="auto"/>
              <w:right w:val="single" w:sz="4" w:space="0" w:color="auto"/>
            </w:tcBorders>
          </w:tcPr>
          <w:p w14:paraId="5DBB47A4" w14:textId="77777777" w:rsidR="005F20F6" w:rsidRPr="008C52C9" w:rsidRDefault="005F20F6">
            <w:pPr>
              <w:spacing w:line="276" w:lineRule="auto"/>
              <w:ind w:right="-29"/>
              <w:jc w:val="center"/>
              <w:rPr>
                <w:noProof/>
                <w:sz w:val="18"/>
              </w:rPr>
            </w:pPr>
          </w:p>
        </w:tc>
        <w:tc>
          <w:tcPr>
            <w:tcW w:w="720" w:type="dxa"/>
            <w:tcBorders>
              <w:top w:val="single" w:sz="4" w:space="0" w:color="auto"/>
              <w:left w:val="single" w:sz="4" w:space="0" w:color="auto"/>
              <w:bottom w:val="single" w:sz="4" w:space="0" w:color="auto"/>
              <w:right w:val="single" w:sz="4" w:space="0" w:color="auto"/>
            </w:tcBorders>
          </w:tcPr>
          <w:p w14:paraId="74B83B90" w14:textId="77777777" w:rsidR="005F20F6" w:rsidRPr="008C52C9" w:rsidRDefault="005F20F6">
            <w:pPr>
              <w:spacing w:line="276" w:lineRule="auto"/>
              <w:ind w:right="-29"/>
              <w:jc w:val="center"/>
              <w:rPr>
                <w:noProof/>
                <w:sz w:val="18"/>
              </w:rPr>
            </w:pPr>
          </w:p>
        </w:tc>
        <w:tc>
          <w:tcPr>
            <w:tcW w:w="540" w:type="dxa"/>
            <w:tcBorders>
              <w:top w:val="single" w:sz="4" w:space="0" w:color="auto"/>
              <w:left w:val="single" w:sz="4" w:space="0" w:color="auto"/>
              <w:bottom w:val="single" w:sz="4" w:space="0" w:color="auto"/>
              <w:right w:val="single" w:sz="4" w:space="0" w:color="auto"/>
            </w:tcBorders>
          </w:tcPr>
          <w:p w14:paraId="5AD1ED1C" w14:textId="77777777" w:rsidR="005F20F6" w:rsidRPr="008C52C9" w:rsidRDefault="005F20F6">
            <w:pPr>
              <w:spacing w:line="276" w:lineRule="auto"/>
              <w:ind w:right="-29"/>
              <w:jc w:val="center"/>
              <w:rPr>
                <w:noProof/>
                <w:sz w:val="18"/>
              </w:rPr>
            </w:pPr>
          </w:p>
        </w:tc>
        <w:tc>
          <w:tcPr>
            <w:tcW w:w="720" w:type="dxa"/>
            <w:tcBorders>
              <w:top w:val="single" w:sz="4" w:space="0" w:color="auto"/>
              <w:left w:val="single" w:sz="4" w:space="0" w:color="auto"/>
              <w:bottom w:val="single" w:sz="4" w:space="0" w:color="auto"/>
              <w:right w:val="single" w:sz="4" w:space="0" w:color="auto"/>
            </w:tcBorders>
          </w:tcPr>
          <w:p w14:paraId="4282374B" w14:textId="77777777" w:rsidR="005F20F6" w:rsidRPr="008C52C9" w:rsidRDefault="005F20F6">
            <w:pPr>
              <w:spacing w:line="276" w:lineRule="auto"/>
              <w:ind w:right="-29"/>
              <w:jc w:val="center"/>
              <w:rPr>
                <w:noProof/>
                <w:sz w:val="18"/>
              </w:rPr>
            </w:pPr>
          </w:p>
        </w:tc>
        <w:tc>
          <w:tcPr>
            <w:tcW w:w="720" w:type="dxa"/>
            <w:tcBorders>
              <w:top w:val="single" w:sz="4" w:space="0" w:color="auto"/>
              <w:left w:val="single" w:sz="4" w:space="0" w:color="auto"/>
              <w:bottom w:val="single" w:sz="4" w:space="0" w:color="auto"/>
              <w:right w:val="single" w:sz="4" w:space="0" w:color="auto"/>
            </w:tcBorders>
          </w:tcPr>
          <w:p w14:paraId="18901635" w14:textId="77777777" w:rsidR="005F20F6" w:rsidRPr="008C52C9" w:rsidRDefault="005F20F6">
            <w:pPr>
              <w:spacing w:line="276" w:lineRule="auto"/>
              <w:ind w:right="-29"/>
              <w:jc w:val="center"/>
              <w:rPr>
                <w:noProof/>
                <w:sz w:val="18"/>
              </w:rPr>
            </w:pPr>
          </w:p>
        </w:tc>
        <w:tc>
          <w:tcPr>
            <w:tcW w:w="720" w:type="dxa"/>
            <w:tcBorders>
              <w:top w:val="single" w:sz="4" w:space="0" w:color="auto"/>
              <w:left w:val="single" w:sz="4" w:space="0" w:color="auto"/>
              <w:bottom w:val="single" w:sz="4" w:space="0" w:color="auto"/>
              <w:right w:val="single" w:sz="4" w:space="0" w:color="auto"/>
            </w:tcBorders>
          </w:tcPr>
          <w:p w14:paraId="6AB0C08C" w14:textId="77777777" w:rsidR="005F20F6" w:rsidRPr="008C52C9" w:rsidRDefault="005F20F6">
            <w:pPr>
              <w:spacing w:line="276" w:lineRule="auto"/>
              <w:ind w:right="-29"/>
              <w:jc w:val="center"/>
              <w:rPr>
                <w:noProof/>
                <w:sz w:val="18"/>
              </w:rPr>
            </w:pPr>
          </w:p>
        </w:tc>
        <w:tc>
          <w:tcPr>
            <w:tcW w:w="931" w:type="dxa"/>
            <w:tcBorders>
              <w:top w:val="single" w:sz="4" w:space="0" w:color="auto"/>
              <w:left w:val="single" w:sz="4" w:space="0" w:color="auto"/>
              <w:bottom w:val="single" w:sz="4" w:space="0" w:color="auto"/>
              <w:right w:val="single" w:sz="4" w:space="0" w:color="auto"/>
            </w:tcBorders>
          </w:tcPr>
          <w:p w14:paraId="19D7BE23" w14:textId="77777777" w:rsidR="005F20F6" w:rsidRPr="008C52C9" w:rsidRDefault="005F20F6">
            <w:pPr>
              <w:spacing w:line="276" w:lineRule="auto"/>
              <w:ind w:right="-29"/>
              <w:jc w:val="center"/>
              <w:rPr>
                <w:noProof/>
                <w:sz w:val="18"/>
              </w:rPr>
            </w:pPr>
          </w:p>
        </w:tc>
        <w:tc>
          <w:tcPr>
            <w:tcW w:w="689" w:type="dxa"/>
            <w:tcBorders>
              <w:top w:val="single" w:sz="4" w:space="0" w:color="auto"/>
              <w:left w:val="single" w:sz="4" w:space="0" w:color="auto"/>
              <w:bottom w:val="single" w:sz="4" w:space="0" w:color="auto"/>
              <w:right w:val="single" w:sz="4" w:space="0" w:color="auto"/>
            </w:tcBorders>
          </w:tcPr>
          <w:p w14:paraId="04A60130" w14:textId="77777777" w:rsidR="005F20F6" w:rsidRPr="008C52C9" w:rsidRDefault="005F20F6">
            <w:pPr>
              <w:spacing w:line="276" w:lineRule="auto"/>
              <w:ind w:right="-29"/>
              <w:jc w:val="center"/>
              <w:rPr>
                <w:noProof/>
                <w:sz w:val="18"/>
              </w:rPr>
            </w:pPr>
          </w:p>
        </w:tc>
        <w:tc>
          <w:tcPr>
            <w:tcW w:w="540" w:type="dxa"/>
            <w:tcBorders>
              <w:top w:val="single" w:sz="4" w:space="0" w:color="auto"/>
              <w:left w:val="single" w:sz="4" w:space="0" w:color="auto"/>
              <w:bottom w:val="single" w:sz="4" w:space="0" w:color="auto"/>
              <w:right w:val="single" w:sz="4" w:space="0" w:color="auto"/>
            </w:tcBorders>
          </w:tcPr>
          <w:p w14:paraId="6F8831F3" w14:textId="77777777" w:rsidR="005F20F6" w:rsidRPr="008C52C9" w:rsidRDefault="005F20F6">
            <w:pPr>
              <w:spacing w:line="276" w:lineRule="auto"/>
              <w:ind w:right="-29"/>
              <w:jc w:val="center"/>
              <w:rPr>
                <w:noProof/>
                <w:sz w:val="18"/>
              </w:rPr>
            </w:pPr>
          </w:p>
        </w:tc>
        <w:tc>
          <w:tcPr>
            <w:tcW w:w="648" w:type="dxa"/>
            <w:tcBorders>
              <w:top w:val="single" w:sz="4" w:space="0" w:color="auto"/>
              <w:left w:val="single" w:sz="4" w:space="0" w:color="auto"/>
              <w:bottom w:val="single" w:sz="4" w:space="0" w:color="auto"/>
              <w:right w:val="single" w:sz="4" w:space="0" w:color="auto"/>
            </w:tcBorders>
          </w:tcPr>
          <w:p w14:paraId="56F13B3A" w14:textId="77777777" w:rsidR="005F20F6" w:rsidRPr="008C52C9" w:rsidRDefault="005F20F6">
            <w:pPr>
              <w:spacing w:line="276" w:lineRule="auto"/>
              <w:ind w:right="-29"/>
              <w:jc w:val="center"/>
              <w:rPr>
                <w:noProof/>
                <w:sz w:val="18"/>
              </w:rPr>
            </w:pPr>
          </w:p>
        </w:tc>
        <w:tc>
          <w:tcPr>
            <w:tcW w:w="432" w:type="dxa"/>
            <w:tcBorders>
              <w:top w:val="single" w:sz="4" w:space="0" w:color="auto"/>
              <w:left w:val="single" w:sz="4" w:space="0" w:color="auto"/>
              <w:bottom w:val="single" w:sz="4" w:space="0" w:color="auto"/>
              <w:right w:val="single" w:sz="4" w:space="0" w:color="auto"/>
            </w:tcBorders>
          </w:tcPr>
          <w:p w14:paraId="7F79F4F6" w14:textId="77777777" w:rsidR="005F20F6" w:rsidRPr="008C52C9" w:rsidRDefault="005F20F6">
            <w:pPr>
              <w:spacing w:line="276" w:lineRule="auto"/>
              <w:ind w:right="-29"/>
              <w:jc w:val="center"/>
              <w:rPr>
                <w:noProof/>
                <w:sz w:val="18"/>
              </w:rPr>
            </w:pPr>
          </w:p>
        </w:tc>
        <w:tc>
          <w:tcPr>
            <w:tcW w:w="720" w:type="dxa"/>
            <w:tcBorders>
              <w:top w:val="single" w:sz="4" w:space="0" w:color="auto"/>
              <w:left w:val="single" w:sz="4" w:space="0" w:color="auto"/>
              <w:bottom w:val="single" w:sz="4" w:space="0" w:color="auto"/>
              <w:right w:val="single" w:sz="4" w:space="0" w:color="auto"/>
            </w:tcBorders>
          </w:tcPr>
          <w:p w14:paraId="04B779DB" w14:textId="77777777" w:rsidR="005F20F6" w:rsidRPr="008C52C9" w:rsidRDefault="005F20F6">
            <w:pPr>
              <w:spacing w:line="276" w:lineRule="auto"/>
              <w:ind w:right="-29"/>
              <w:jc w:val="center"/>
              <w:rPr>
                <w:noProof/>
                <w:sz w:val="18"/>
              </w:rPr>
            </w:pPr>
          </w:p>
        </w:tc>
        <w:tc>
          <w:tcPr>
            <w:tcW w:w="540" w:type="dxa"/>
            <w:tcBorders>
              <w:top w:val="single" w:sz="4" w:space="0" w:color="auto"/>
              <w:left w:val="single" w:sz="4" w:space="0" w:color="auto"/>
              <w:bottom w:val="single" w:sz="4" w:space="0" w:color="auto"/>
              <w:right w:val="single" w:sz="4" w:space="0" w:color="auto"/>
            </w:tcBorders>
          </w:tcPr>
          <w:p w14:paraId="0DCA7D09" w14:textId="77777777" w:rsidR="005F20F6" w:rsidRPr="008C52C9" w:rsidRDefault="005F20F6">
            <w:pPr>
              <w:spacing w:line="276" w:lineRule="auto"/>
              <w:ind w:right="-29"/>
              <w:jc w:val="center"/>
              <w:rPr>
                <w:noProof/>
                <w:sz w:val="18"/>
              </w:rPr>
            </w:pPr>
          </w:p>
        </w:tc>
        <w:tc>
          <w:tcPr>
            <w:tcW w:w="720" w:type="dxa"/>
            <w:tcBorders>
              <w:top w:val="single" w:sz="4" w:space="0" w:color="auto"/>
              <w:left w:val="single" w:sz="4" w:space="0" w:color="auto"/>
              <w:bottom w:val="single" w:sz="4" w:space="0" w:color="auto"/>
              <w:right w:val="single" w:sz="4" w:space="0" w:color="auto"/>
            </w:tcBorders>
          </w:tcPr>
          <w:p w14:paraId="2C2B77C5" w14:textId="77777777" w:rsidR="005F20F6" w:rsidRPr="008C52C9" w:rsidRDefault="005F20F6">
            <w:pPr>
              <w:spacing w:line="276" w:lineRule="auto"/>
              <w:ind w:right="-29"/>
              <w:jc w:val="center"/>
              <w:rPr>
                <w:noProof/>
                <w:sz w:val="18"/>
              </w:rPr>
            </w:pPr>
          </w:p>
        </w:tc>
        <w:tc>
          <w:tcPr>
            <w:tcW w:w="720" w:type="dxa"/>
            <w:tcBorders>
              <w:top w:val="single" w:sz="4" w:space="0" w:color="auto"/>
              <w:left w:val="single" w:sz="4" w:space="0" w:color="auto"/>
              <w:bottom w:val="single" w:sz="4" w:space="0" w:color="auto"/>
              <w:right w:val="single" w:sz="4" w:space="0" w:color="auto"/>
            </w:tcBorders>
          </w:tcPr>
          <w:p w14:paraId="1A9E8E92" w14:textId="77777777" w:rsidR="005F20F6" w:rsidRPr="008C52C9" w:rsidRDefault="005F20F6">
            <w:pPr>
              <w:spacing w:line="276" w:lineRule="auto"/>
              <w:ind w:right="-29"/>
              <w:jc w:val="center"/>
              <w:rPr>
                <w:noProof/>
                <w:sz w:val="18"/>
              </w:rPr>
            </w:pPr>
          </w:p>
        </w:tc>
        <w:tc>
          <w:tcPr>
            <w:tcW w:w="900" w:type="dxa"/>
            <w:tcBorders>
              <w:top w:val="single" w:sz="4" w:space="0" w:color="auto"/>
              <w:left w:val="single" w:sz="4" w:space="0" w:color="auto"/>
              <w:bottom w:val="single" w:sz="4" w:space="0" w:color="auto"/>
              <w:right w:val="single" w:sz="4" w:space="0" w:color="auto"/>
            </w:tcBorders>
          </w:tcPr>
          <w:p w14:paraId="4FD02DE3" w14:textId="77777777" w:rsidR="005F20F6" w:rsidRPr="008C52C9" w:rsidRDefault="005F20F6">
            <w:pPr>
              <w:spacing w:line="276" w:lineRule="auto"/>
              <w:ind w:right="-29"/>
              <w:jc w:val="center"/>
              <w:rPr>
                <w:noProof/>
                <w:sz w:val="18"/>
              </w:rPr>
            </w:pPr>
          </w:p>
        </w:tc>
      </w:tr>
      <w:tr w:rsidR="005F20F6" w:rsidRPr="008C52C9" w14:paraId="7A6C2994" w14:textId="77777777" w:rsidTr="00951658">
        <w:trPr>
          <w:jc w:val="center"/>
        </w:trPr>
        <w:tc>
          <w:tcPr>
            <w:tcW w:w="2844" w:type="dxa"/>
            <w:gridSpan w:val="3"/>
            <w:tcBorders>
              <w:top w:val="single" w:sz="4" w:space="0" w:color="auto"/>
              <w:left w:val="single" w:sz="4" w:space="0" w:color="auto"/>
              <w:bottom w:val="single" w:sz="12" w:space="0" w:color="auto"/>
              <w:right w:val="single" w:sz="4" w:space="0" w:color="auto"/>
            </w:tcBorders>
            <w:vAlign w:val="center"/>
            <w:hideMark/>
          </w:tcPr>
          <w:p w14:paraId="5E85FF98" w14:textId="77777777" w:rsidR="005F20F6" w:rsidRPr="008C52C9" w:rsidRDefault="005F20F6">
            <w:pPr>
              <w:spacing w:line="276" w:lineRule="auto"/>
              <w:jc w:val="center"/>
              <w:rPr>
                <w:noProof/>
                <w:sz w:val="18"/>
              </w:rPr>
            </w:pPr>
            <w:r w:rsidRPr="008C52C9">
              <w:rPr>
                <w:noProof/>
                <w:sz w:val="18"/>
              </w:rPr>
              <w:t>Totale parziale obiettivo specifico 2</w:t>
            </w:r>
          </w:p>
        </w:tc>
        <w:tc>
          <w:tcPr>
            <w:tcW w:w="504" w:type="dxa"/>
            <w:tcBorders>
              <w:top w:val="single" w:sz="4" w:space="0" w:color="auto"/>
              <w:left w:val="single" w:sz="4" w:space="0" w:color="auto"/>
              <w:bottom w:val="single" w:sz="12" w:space="0" w:color="auto"/>
              <w:right w:val="single" w:sz="4" w:space="0" w:color="auto"/>
            </w:tcBorders>
          </w:tcPr>
          <w:p w14:paraId="55AB494E" w14:textId="77777777" w:rsidR="005F20F6" w:rsidRPr="008C52C9" w:rsidRDefault="005F20F6">
            <w:pPr>
              <w:spacing w:line="276" w:lineRule="auto"/>
              <w:ind w:right="-29"/>
              <w:jc w:val="center"/>
              <w:rPr>
                <w:noProof/>
                <w:sz w:val="18"/>
              </w:rPr>
            </w:pPr>
          </w:p>
        </w:tc>
        <w:tc>
          <w:tcPr>
            <w:tcW w:w="720" w:type="dxa"/>
            <w:tcBorders>
              <w:top w:val="single" w:sz="4" w:space="0" w:color="auto"/>
              <w:left w:val="single" w:sz="4" w:space="0" w:color="auto"/>
              <w:bottom w:val="single" w:sz="12" w:space="0" w:color="auto"/>
              <w:right w:val="single" w:sz="4" w:space="0" w:color="auto"/>
            </w:tcBorders>
          </w:tcPr>
          <w:p w14:paraId="27280789" w14:textId="77777777" w:rsidR="005F20F6" w:rsidRPr="008C52C9" w:rsidRDefault="005F20F6">
            <w:pPr>
              <w:spacing w:line="276" w:lineRule="auto"/>
              <w:ind w:right="-29"/>
              <w:jc w:val="center"/>
              <w:rPr>
                <w:noProof/>
                <w:sz w:val="18"/>
              </w:rPr>
            </w:pPr>
          </w:p>
        </w:tc>
        <w:tc>
          <w:tcPr>
            <w:tcW w:w="540" w:type="dxa"/>
            <w:tcBorders>
              <w:top w:val="single" w:sz="4" w:space="0" w:color="auto"/>
              <w:left w:val="single" w:sz="4" w:space="0" w:color="auto"/>
              <w:bottom w:val="single" w:sz="12" w:space="0" w:color="auto"/>
              <w:right w:val="single" w:sz="4" w:space="0" w:color="auto"/>
            </w:tcBorders>
          </w:tcPr>
          <w:p w14:paraId="45B5D036" w14:textId="77777777" w:rsidR="005F20F6" w:rsidRPr="008C52C9" w:rsidRDefault="005F20F6">
            <w:pPr>
              <w:spacing w:line="276" w:lineRule="auto"/>
              <w:ind w:right="-29"/>
              <w:jc w:val="center"/>
              <w:rPr>
                <w:noProof/>
                <w:sz w:val="18"/>
              </w:rPr>
            </w:pPr>
          </w:p>
        </w:tc>
        <w:tc>
          <w:tcPr>
            <w:tcW w:w="720" w:type="dxa"/>
            <w:tcBorders>
              <w:top w:val="single" w:sz="4" w:space="0" w:color="auto"/>
              <w:left w:val="single" w:sz="4" w:space="0" w:color="auto"/>
              <w:bottom w:val="single" w:sz="12" w:space="0" w:color="auto"/>
              <w:right w:val="single" w:sz="4" w:space="0" w:color="auto"/>
            </w:tcBorders>
          </w:tcPr>
          <w:p w14:paraId="6B017F5B" w14:textId="77777777" w:rsidR="005F20F6" w:rsidRPr="008C52C9" w:rsidRDefault="005F20F6">
            <w:pPr>
              <w:spacing w:line="276" w:lineRule="auto"/>
              <w:ind w:right="-29"/>
              <w:jc w:val="center"/>
              <w:rPr>
                <w:noProof/>
                <w:sz w:val="18"/>
              </w:rPr>
            </w:pPr>
          </w:p>
        </w:tc>
        <w:tc>
          <w:tcPr>
            <w:tcW w:w="720" w:type="dxa"/>
            <w:tcBorders>
              <w:top w:val="single" w:sz="4" w:space="0" w:color="auto"/>
              <w:left w:val="single" w:sz="4" w:space="0" w:color="auto"/>
              <w:bottom w:val="single" w:sz="12" w:space="0" w:color="auto"/>
              <w:right w:val="single" w:sz="4" w:space="0" w:color="auto"/>
            </w:tcBorders>
          </w:tcPr>
          <w:p w14:paraId="337FBACC" w14:textId="77777777" w:rsidR="005F20F6" w:rsidRPr="008C52C9" w:rsidRDefault="005F20F6">
            <w:pPr>
              <w:spacing w:line="276" w:lineRule="auto"/>
              <w:ind w:right="-29"/>
              <w:jc w:val="center"/>
              <w:rPr>
                <w:noProof/>
                <w:sz w:val="18"/>
              </w:rPr>
            </w:pPr>
          </w:p>
        </w:tc>
        <w:tc>
          <w:tcPr>
            <w:tcW w:w="720" w:type="dxa"/>
            <w:tcBorders>
              <w:top w:val="single" w:sz="4" w:space="0" w:color="auto"/>
              <w:left w:val="single" w:sz="4" w:space="0" w:color="auto"/>
              <w:bottom w:val="single" w:sz="12" w:space="0" w:color="auto"/>
              <w:right w:val="single" w:sz="4" w:space="0" w:color="auto"/>
            </w:tcBorders>
          </w:tcPr>
          <w:p w14:paraId="462DFDF3" w14:textId="77777777" w:rsidR="005F20F6" w:rsidRPr="008C52C9" w:rsidRDefault="005F20F6">
            <w:pPr>
              <w:spacing w:line="276" w:lineRule="auto"/>
              <w:ind w:right="-29"/>
              <w:jc w:val="center"/>
              <w:rPr>
                <w:noProof/>
                <w:sz w:val="18"/>
              </w:rPr>
            </w:pPr>
          </w:p>
        </w:tc>
        <w:tc>
          <w:tcPr>
            <w:tcW w:w="931" w:type="dxa"/>
            <w:tcBorders>
              <w:top w:val="single" w:sz="4" w:space="0" w:color="auto"/>
              <w:left w:val="single" w:sz="4" w:space="0" w:color="auto"/>
              <w:bottom w:val="single" w:sz="12" w:space="0" w:color="auto"/>
              <w:right w:val="single" w:sz="4" w:space="0" w:color="auto"/>
            </w:tcBorders>
          </w:tcPr>
          <w:p w14:paraId="6D7424F2" w14:textId="77777777" w:rsidR="005F20F6" w:rsidRPr="008C52C9" w:rsidRDefault="005F20F6">
            <w:pPr>
              <w:spacing w:line="276" w:lineRule="auto"/>
              <w:ind w:right="-29"/>
              <w:jc w:val="center"/>
              <w:rPr>
                <w:noProof/>
                <w:sz w:val="18"/>
              </w:rPr>
            </w:pPr>
          </w:p>
        </w:tc>
        <w:tc>
          <w:tcPr>
            <w:tcW w:w="689" w:type="dxa"/>
            <w:tcBorders>
              <w:top w:val="single" w:sz="4" w:space="0" w:color="auto"/>
              <w:left w:val="single" w:sz="4" w:space="0" w:color="auto"/>
              <w:bottom w:val="single" w:sz="12" w:space="0" w:color="auto"/>
              <w:right w:val="single" w:sz="4" w:space="0" w:color="auto"/>
            </w:tcBorders>
          </w:tcPr>
          <w:p w14:paraId="1BBA57AB" w14:textId="77777777" w:rsidR="005F20F6" w:rsidRPr="008C52C9" w:rsidRDefault="005F20F6">
            <w:pPr>
              <w:spacing w:line="276" w:lineRule="auto"/>
              <w:ind w:right="-29"/>
              <w:jc w:val="center"/>
              <w:rPr>
                <w:noProof/>
                <w:sz w:val="18"/>
              </w:rPr>
            </w:pPr>
          </w:p>
        </w:tc>
        <w:tc>
          <w:tcPr>
            <w:tcW w:w="540" w:type="dxa"/>
            <w:tcBorders>
              <w:top w:val="single" w:sz="4" w:space="0" w:color="auto"/>
              <w:left w:val="single" w:sz="4" w:space="0" w:color="auto"/>
              <w:bottom w:val="single" w:sz="12" w:space="0" w:color="auto"/>
              <w:right w:val="single" w:sz="4" w:space="0" w:color="auto"/>
            </w:tcBorders>
          </w:tcPr>
          <w:p w14:paraId="56C2096C" w14:textId="77777777" w:rsidR="005F20F6" w:rsidRPr="008C52C9" w:rsidRDefault="005F20F6">
            <w:pPr>
              <w:spacing w:line="276" w:lineRule="auto"/>
              <w:ind w:right="-29"/>
              <w:jc w:val="center"/>
              <w:rPr>
                <w:noProof/>
                <w:sz w:val="18"/>
              </w:rPr>
            </w:pPr>
          </w:p>
        </w:tc>
        <w:tc>
          <w:tcPr>
            <w:tcW w:w="648" w:type="dxa"/>
            <w:tcBorders>
              <w:top w:val="single" w:sz="4" w:space="0" w:color="auto"/>
              <w:left w:val="single" w:sz="4" w:space="0" w:color="auto"/>
              <w:bottom w:val="single" w:sz="12" w:space="0" w:color="auto"/>
              <w:right w:val="single" w:sz="4" w:space="0" w:color="auto"/>
            </w:tcBorders>
          </w:tcPr>
          <w:p w14:paraId="6CF046F4" w14:textId="77777777" w:rsidR="005F20F6" w:rsidRPr="008C52C9" w:rsidRDefault="005F20F6">
            <w:pPr>
              <w:spacing w:line="276" w:lineRule="auto"/>
              <w:ind w:right="-29"/>
              <w:jc w:val="center"/>
              <w:rPr>
                <w:noProof/>
                <w:sz w:val="18"/>
              </w:rPr>
            </w:pPr>
          </w:p>
        </w:tc>
        <w:tc>
          <w:tcPr>
            <w:tcW w:w="432" w:type="dxa"/>
            <w:tcBorders>
              <w:top w:val="single" w:sz="4" w:space="0" w:color="auto"/>
              <w:left w:val="single" w:sz="4" w:space="0" w:color="auto"/>
              <w:bottom w:val="single" w:sz="12" w:space="0" w:color="auto"/>
              <w:right w:val="single" w:sz="4" w:space="0" w:color="auto"/>
            </w:tcBorders>
          </w:tcPr>
          <w:p w14:paraId="58DEECDC" w14:textId="77777777" w:rsidR="005F20F6" w:rsidRPr="008C52C9" w:rsidRDefault="005F20F6">
            <w:pPr>
              <w:spacing w:line="276" w:lineRule="auto"/>
              <w:ind w:right="-29"/>
              <w:jc w:val="center"/>
              <w:rPr>
                <w:noProof/>
                <w:sz w:val="18"/>
              </w:rPr>
            </w:pPr>
          </w:p>
        </w:tc>
        <w:tc>
          <w:tcPr>
            <w:tcW w:w="720" w:type="dxa"/>
            <w:tcBorders>
              <w:top w:val="single" w:sz="4" w:space="0" w:color="auto"/>
              <w:left w:val="single" w:sz="4" w:space="0" w:color="auto"/>
              <w:bottom w:val="single" w:sz="12" w:space="0" w:color="auto"/>
              <w:right w:val="single" w:sz="4" w:space="0" w:color="auto"/>
            </w:tcBorders>
          </w:tcPr>
          <w:p w14:paraId="7B319540" w14:textId="77777777" w:rsidR="005F20F6" w:rsidRPr="008C52C9" w:rsidRDefault="005F20F6">
            <w:pPr>
              <w:spacing w:line="276" w:lineRule="auto"/>
              <w:ind w:right="-29"/>
              <w:jc w:val="center"/>
              <w:rPr>
                <w:noProof/>
                <w:sz w:val="18"/>
              </w:rPr>
            </w:pPr>
          </w:p>
        </w:tc>
        <w:tc>
          <w:tcPr>
            <w:tcW w:w="540" w:type="dxa"/>
            <w:tcBorders>
              <w:top w:val="single" w:sz="4" w:space="0" w:color="auto"/>
              <w:left w:val="single" w:sz="4" w:space="0" w:color="auto"/>
              <w:bottom w:val="single" w:sz="12" w:space="0" w:color="auto"/>
              <w:right w:val="single" w:sz="4" w:space="0" w:color="auto"/>
            </w:tcBorders>
          </w:tcPr>
          <w:p w14:paraId="3837B694" w14:textId="77777777" w:rsidR="005F20F6" w:rsidRPr="008C52C9" w:rsidRDefault="005F20F6">
            <w:pPr>
              <w:spacing w:line="276" w:lineRule="auto"/>
              <w:ind w:right="-29"/>
              <w:jc w:val="center"/>
              <w:rPr>
                <w:noProof/>
                <w:sz w:val="18"/>
              </w:rPr>
            </w:pPr>
          </w:p>
        </w:tc>
        <w:tc>
          <w:tcPr>
            <w:tcW w:w="720" w:type="dxa"/>
            <w:tcBorders>
              <w:top w:val="single" w:sz="4" w:space="0" w:color="auto"/>
              <w:left w:val="single" w:sz="4" w:space="0" w:color="auto"/>
              <w:bottom w:val="single" w:sz="12" w:space="0" w:color="auto"/>
              <w:right w:val="single" w:sz="4" w:space="0" w:color="auto"/>
            </w:tcBorders>
          </w:tcPr>
          <w:p w14:paraId="4C642F32" w14:textId="77777777" w:rsidR="005F20F6" w:rsidRPr="008C52C9" w:rsidRDefault="005F20F6">
            <w:pPr>
              <w:spacing w:line="276" w:lineRule="auto"/>
              <w:ind w:right="-29"/>
              <w:jc w:val="center"/>
              <w:rPr>
                <w:noProof/>
                <w:sz w:val="18"/>
              </w:rPr>
            </w:pPr>
          </w:p>
        </w:tc>
        <w:tc>
          <w:tcPr>
            <w:tcW w:w="720" w:type="dxa"/>
            <w:tcBorders>
              <w:top w:val="single" w:sz="4" w:space="0" w:color="auto"/>
              <w:left w:val="single" w:sz="4" w:space="0" w:color="auto"/>
              <w:bottom w:val="single" w:sz="12" w:space="0" w:color="auto"/>
              <w:right w:val="single" w:sz="4" w:space="0" w:color="auto"/>
            </w:tcBorders>
          </w:tcPr>
          <w:p w14:paraId="3A736C6D" w14:textId="77777777" w:rsidR="005F20F6" w:rsidRPr="008C52C9" w:rsidRDefault="005F20F6">
            <w:pPr>
              <w:spacing w:line="276" w:lineRule="auto"/>
              <w:ind w:right="-29"/>
              <w:jc w:val="center"/>
              <w:rPr>
                <w:noProof/>
                <w:sz w:val="18"/>
              </w:rPr>
            </w:pPr>
          </w:p>
        </w:tc>
        <w:tc>
          <w:tcPr>
            <w:tcW w:w="900" w:type="dxa"/>
            <w:tcBorders>
              <w:top w:val="single" w:sz="4" w:space="0" w:color="auto"/>
              <w:left w:val="single" w:sz="4" w:space="0" w:color="auto"/>
              <w:bottom w:val="single" w:sz="12" w:space="0" w:color="auto"/>
              <w:right w:val="single" w:sz="4" w:space="0" w:color="auto"/>
            </w:tcBorders>
          </w:tcPr>
          <w:p w14:paraId="79137493" w14:textId="77777777" w:rsidR="005F20F6" w:rsidRPr="008C52C9" w:rsidRDefault="005F20F6">
            <w:pPr>
              <w:spacing w:line="276" w:lineRule="auto"/>
              <w:ind w:right="-29"/>
              <w:jc w:val="center"/>
              <w:rPr>
                <w:noProof/>
                <w:sz w:val="18"/>
              </w:rPr>
            </w:pPr>
          </w:p>
        </w:tc>
      </w:tr>
      <w:tr w:rsidR="005F20F6" w:rsidRPr="008C52C9" w14:paraId="42FB4B13" w14:textId="77777777" w:rsidTr="00951658">
        <w:trPr>
          <w:jc w:val="center"/>
        </w:trPr>
        <w:tc>
          <w:tcPr>
            <w:tcW w:w="2844" w:type="dxa"/>
            <w:gridSpan w:val="3"/>
            <w:tcBorders>
              <w:top w:val="single" w:sz="12" w:space="0" w:color="auto"/>
              <w:left w:val="single" w:sz="12" w:space="0" w:color="auto"/>
              <w:bottom w:val="single" w:sz="12" w:space="0" w:color="auto"/>
              <w:right w:val="single" w:sz="4" w:space="0" w:color="auto"/>
            </w:tcBorders>
            <w:vAlign w:val="center"/>
            <w:hideMark/>
          </w:tcPr>
          <w:p w14:paraId="22840E79" w14:textId="77777777" w:rsidR="005F20F6" w:rsidRPr="008C52C9" w:rsidRDefault="005F20F6">
            <w:pPr>
              <w:spacing w:line="276" w:lineRule="auto"/>
              <w:ind w:right="-29"/>
              <w:jc w:val="center"/>
              <w:rPr>
                <w:noProof/>
                <w:sz w:val="18"/>
              </w:rPr>
            </w:pPr>
            <w:r w:rsidRPr="008C52C9">
              <w:rPr>
                <w:b/>
                <w:noProof/>
                <w:sz w:val="18"/>
              </w:rPr>
              <w:t>COSTO TOTALE</w:t>
            </w:r>
          </w:p>
        </w:tc>
        <w:tc>
          <w:tcPr>
            <w:tcW w:w="504" w:type="dxa"/>
            <w:tcBorders>
              <w:top w:val="single" w:sz="12" w:space="0" w:color="auto"/>
              <w:left w:val="single" w:sz="4" w:space="0" w:color="auto"/>
              <w:bottom w:val="single" w:sz="12" w:space="0" w:color="auto"/>
              <w:right w:val="single" w:sz="4" w:space="0" w:color="auto"/>
            </w:tcBorders>
          </w:tcPr>
          <w:p w14:paraId="3F2C0D9A" w14:textId="77777777" w:rsidR="005F20F6" w:rsidRPr="008C52C9" w:rsidRDefault="005F20F6">
            <w:pPr>
              <w:spacing w:before="180" w:after="180" w:line="276" w:lineRule="auto"/>
              <w:ind w:right="-29"/>
              <w:jc w:val="center"/>
              <w:rPr>
                <w:noProof/>
                <w:sz w:val="18"/>
              </w:rPr>
            </w:pPr>
          </w:p>
        </w:tc>
        <w:tc>
          <w:tcPr>
            <w:tcW w:w="720" w:type="dxa"/>
            <w:tcBorders>
              <w:top w:val="single" w:sz="12" w:space="0" w:color="auto"/>
              <w:left w:val="single" w:sz="4" w:space="0" w:color="auto"/>
              <w:bottom w:val="single" w:sz="12" w:space="0" w:color="auto"/>
              <w:right w:val="single" w:sz="4" w:space="0" w:color="auto"/>
            </w:tcBorders>
          </w:tcPr>
          <w:p w14:paraId="18129807" w14:textId="77777777" w:rsidR="005F20F6" w:rsidRPr="008C52C9" w:rsidRDefault="005F20F6">
            <w:pPr>
              <w:spacing w:before="180" w:after="180" w:line="276" w:lineRule="auto"/>
              <w:ind w:right="-29"/>
              <w:jc w:val="center"/>
              <w:rPr>
                <w:noProof/>
                <w:sz w:val="18"/>
              </w:rPr>
            </w:pPr>
          </w:p>
        </w:tc>
        <w:tc>
          <w:tcPr>
            <w:tcW w:w="540" w:type="dxa"/>
            <w:tcBorders>
              <w:top w:val="single" w:sz="12" w:space="0" w:color="auto"/>
              <w:left w:val="single" w:sz="4" w:space="0" w:color="auto"/>
              <w:bottom w:val="single" w:sz="12" w:space="0" w:color="auto"/>
              <w:right w:val="single" w:sz="4" w:space="0" w:color="auto"/>
            </w:tcBorders>
          </w:tcPr>
          <w:p w14:paraId="1C5EF82C" w14:textId="77777777" w:rsidR="005F20F6" w:rsidRPr="008C52C9" w:rsidRDefault="005F20F6">
            <w:pPr>
              <w:spacing w:before="180" w:after="180" w:line="276" w:lineRule="auto"/>
              <w:ind w:right="-29"/>
              <w:jc w:val="center"/>
              <w:rPr>
                <w:noProof/>
                <w:sz w:val="18"/>
              </w:rPr>
            </w:pPr>
          </w:p>
        </w:tc>
        <w:tc>
          <w:tcPr>
            <w:tcW w:w="720" w:type="dxa"/>
            <w:tcBorders>
              <w:top w:val="single" w:sz="12" w:space="0" w:color="auto"/>
              <w:left w:val="single" w:sz="4" w:space="0" w:color="auto"/>
              <w:bottom w:val="single" w:sz="12" w:space="0" w:color="auto"/>
              <w:right w:val="single" w:sz="4" w:space="0" w:color="auto"/>
            </w:tcBorders>
          </w:tcPr>
          <w:p w14:paraId="0263693C" w14:textId="77777777" w:rsidR="005F20F6" w:rsidRPr="008C52C9" w:rsidRDefault="005F20F6">
            <w:pPr>
              <w:spacing w:before="180" w:after="180" w:line="276" w:lineRule="auto"/>
              <w:ind w:right="-29"/>
              <w:jc w:val="center"/>
              <w:rPr>
                <w:noProof/>
                <w:sz w:val="18"/>
              </w:rPr>
            </w:pPr>
          </w:p>
        </w:tc>
        <w:tc>
          <w:tcPr>
            <w:tcW w:w="720" w:type="dxa"/>
            <w:tcBorders>
              <w:top w:val="single" w:sz="12" w:space="0" w:color="auto"/>
              <w:left w:val="single" w:sz="4" w:space="0" w:color="auto"/>
              <w:bottom w:val="single" w:sz="12" w:space="0" w:color="auto"/>
              <w:right w:val="single" w:sz="4" w:space="0" w:color="auto"/>
            </w:tcBorders>
          </w:tcPr>
          <w:p w14:paraId="3AC8CD95" w14:textId="77777777" w:rsidR="005F20F6" w:rsidRPr="008C52C9" w:rsidRDefault="005F20F6">
            <w:pPr>
              <w:spacing w:before="180" w:after="180" w:line="276" w:lineRule="auto"/>
              <w:ind w:right="-29"/>
              <w:jc w:val="center"/>
              <w:rPr>
                <w:noProof/>
                <w:sz w:val="18"/>
              </w:rPr>
            </w:pPr>
          </w:p>
        </w:tc>
        <w:tc>
          <w:tcPr>
            <w:tcW w:w="720" w:type="dxa"/>
            <w:tcBorders>
              <w:top w:val="single" w:sz="12" w:space="0" w:color="auto"/>
              <w:left w:val="single" w:sz="4" w:space="0" w:color="auto"/>
              <w:bottom w:val="single" w:sz="12" w:space="0" w:color="auto"/>
              <w:right w:val="single" w:sz="4" w:space="0" w:color="auto"/>
            </w:tcBorders>
          </w:tcPr>
          <w:p w14:paraId="44839C1B" w14:textId="77777777" w:rsidR="005F20F6" w:rsidRPr="008C52C9" w:rsidRDefault="005F20F6">
            <w:pPr>
              <w:spacing w:before="180" w:after="180" w:line="276" w:lineRule="auto"/>
              <w:ind w:right="-29"/>
              <w:jc w:val="center"/>
              <w:rPr>
                <w:noProof/>
                <w:sz w:val="18"/>
              </w:rPr>
            </w:pPr>
          </w:p>
        </w:tc>
        <w:tc>
          <w:tcPr>
            <w:tcW w:w="931" w:type="dxa"/>
            <w:tcBorders>
              <w:top w:val="single" w:sz="12" w:space="0" w:color="auto"/>
              <w:left w:val="single" w:sz="4" w:space="0" w:color="auto"/>
              <w:bottom w:val="single" w:sz="12" w:space="0" w:color="auto"/>
              <w:right w:val="single" w:sz="4" w:space="0" w:color="auto"/>
            </w:tcBorders>
          </w:tcPr>
          <w:p w14:paraId="08089386" w14:textId="77777777" w:rsidR="005F20F6" w:rsidRPr="008C52C9" w:rsidRDefault="005F20F6">
            <w:pPr>
              <w:spacing w:before="180" w:after="180" w:line="276" w:lineRule="auto"/>
              <w:ind w:right="-29"/>
              <w:jc w:val="center"/>
              <w:rPr>
                <w:noProof/>
                <w:sz w:val="18"/>
              </w:rPr>
            </w:pPr>
          </w:p>
        </w:tc>
        <w:tc>
          <w:tcPr>
            <w:tcW w:w="689" w:type="dxa"/>
            <w:tcBorders>
              <w:top w:val="single" w:sz="12" w:space="0" w:color="auto"/>
              <w:left w:val="single" w:sz="4" w:space="0" w:color="auto"/>
              <w:bottom w:val="single" w:sz="12" w:space="0" w:color="auto"/>
              <w:right w:val="single" w:sz="4" w:space="0" w:color="auto"/>
            </w:tcBorders>
          </w:tcPr>
          <w:p w14:paraId="4C103BBE" w14:textId="77777777" w:rsidR="005F20F6" w:rsidRPr="008C52C9" w:rsidRDefault="005F20F6">
            <w:pPr>
              <w:spacing w:before="180" w:after="180" w:line="276" w:lineRule="auto"/>
              <w:ind w:right="-29"/>
              <w:jc w:val="center"/>
              <w:rPr>
                <w:noProof/>
                <w:sz w:val="18"/>
              </w:rPr>
            </w:pPr>
          </w:p>
        </w:tc>
        <w:tc>
          <w:tcPr>
            <w:tcW w:w="540" w:type="dxa"/>
            <w:tcBorders>
              <w:top w:val="single" w:sz="12" w:space="0" w:color="auto"/>
              <w:left w:val="single" w:sz="4" w:space="0" w:color="auto"/>
              <w:bottom w:val="single" w:sz="12" w:space="0" w:color="auto"/>
              <w:right w:val="single" w:sz="4" w:space="0" w:color="auto"/>
            </w:tcBorders>
          </w:tcPr>
          <w:p w14:paraId="25D0CD7A" w14:textId="77777777" w:rsidR="005F20F6" w:rsidRPr="008C52C9" w:rsidRDefault="005F20F6">
            <w:pPr>
              <w:spacing w:before="180" w:after="180" w:line="276" w:lineRule="auto"/>
              <w:ind w:right="-29"/>
              <w:jc w:val="center"/>
              <w:rPr>
                <w:noProof/>
                <w:sz w:val="18"/>
              </w:rPr>
            </w:pPr>
          </w:p>
        </w:tc>
        <w:tc>
          <w:tcPr>
            <w:tcW w:w="648" w:type="dxa"/>
            <w:tcBorders>
              <w:top w:val="single" w:sz="12" w:space="0" w:color="auto"/>
              <w:left w:val="single" w:sz="4" w:space="0" w:color="auto"/>
              <w:bottom w:val="single" w:sz="12" w:space="0" w:color="auto"/>
              <w:right w:val="single" w:sz="4" w:space="0" w:color="auto"/>
            </w:tcBorders>
          </w:tcPr>
          <w:p w14:paraId="566798E9" w14:textId="77777777" w:rsidR="005F20F6" w:rsidRPr="008C52C9" w:rsidRDefault="005F20F6">
            <w:pPr>
              <w:spacing w:before="180" w:after="180" w:line="276" w:lineRule="auto"/>
              <w:ind w:right="-29"/>
              <w:jc w:val="center"/>
              <w:rPr>
                <w:noProof/>
                <w:sz w:val="18"/>
              </w:rPr>
            </w:pPr>
          </w:p>
        </w:tc>
        <w:tc>
          <w:tcPr>
            <w:tcW w:w="432" w:type="dxa"/>
            <w:tcBorders>
              <w:top w:val="single" w:sz="12" w:space="0" w:color="auto"/>
              <w:left w:val="single" w:sz="4" w:space="0" w:color="auto"/>
              <w:bottom w:val="single" w:sz="12" w:space="0" w:color="auto"/>
              <w:right w:val="single" w:sz="4" w:space="0" w:color="auto"/>
            </w:tcBorders>
          </w:tcPr>
          <w:p w14:paraId="5F620972" w14:textId="77777777" w:rsidR="005F20F6" w:rsidRPr="008C52C9" w:rsidRDefault="005F20F6">
            <w:pPr>
              <w:spacing w:before="180" w:after="180" w:line="276" w:lineRule="auto"/>
              <w:ind w:right="-29"/>
              <w:jc w:val="center"/>
              <w:rPr>
                <w:noProof/>
                <w:sz w:val="18"/>
              </w:rPr>
            </w:pPr>
          </w:p>
        </w:tc>
        <w:tc>
          <w:tcPr>
            <w:tcW w:w="720" w:type="dxa"/>
            <w:tcBorders>
              <w:top w:val="single" w:sz="12" w:space="0" w:color="auto"/>
              <w:left w:val="single" w:sz="4" w:space="0" w:color="auto"/>
              <w:bottom w:val="single" w:sz="12" w:space="0" w:color="auto"/>
              <w:right w:val="single" w:sz="4" w:space="0" w:color="auto"/>
            </w:tcBorders>
          </w:tcPr>
          <w:p w14:paraId="4F113C58" w14:textId="77777777" w:rsidR="005F20F6" w:rsidRPr="008C52C9" w:rsidRDefault="005F20F6">
            <w:pPr>
              <w:spacing w:before="180" w:after="180" w:line="276" w:lineRule="auto"/>
              <w:ind w:right="-29"/>
              <w:jc w:val="center"/>
              <w:rPr>
                <w:noProof/>
                <w:sz w:val="18"/>
              </w:rPr>
            </w:pPr>
          </w:p>
        </w:tc>
        <w:tc>
          <w:tcPr>
            <w:tcW w:w="540" w:type="dxa"/>
            <w:tcBorders>
              <w:top w:val="single" w:sz="12" w:space="0" w:color="auto"/>
              <w:left w:val="single" w:sz="4" w:space="0" w:color="auto"/>
              <w:bottom w:val="single" w:sz="12" w:space="0" w:color="auto"/>
              <w:right w:val="single" w:sz="4" w:space="0" w:color="auto"/>
            </w:tcBorders>
          </w:tcPr>
          <w:p w14:paraId="6344E551" w14:textId="77777777" w:rsidR="005F20F6" w:rsidRPr="008C52C9" w:rsidRDefault="005F20F6">
            <w:pPr>
              <w:spacing w:before="180" w:after="180" w:line="276" w:lineRule="auto"/>
              <w:ind w:right="-29"/>
              <w:jc w:val="center"/>
              <w:rPr>
                <w:noProof/>
                <w:sz w:val="18"/>
              </w:rPr>
            </w:pPr>
          </w:p>
        </w:tc>
        <w:tc>
          <w:tcPr>
            <w:tcW w:w="720" w:type="dxa"/>
            <w:tcBorders>
              <w:top w:val="single" w:sz="12" w:space="0" w:color="auto"/>
              <w:left w:val="single" w:sz="4" w:space="0" w:color="auto"/>
              <w:bottom w:val="single" w:sz="12" w:space="0" w:color="auto"/>
              <w:right w:val="single" w:sz="4" w:space="0" w:color="auto"/>
            </w:tcBorders>
          </w:tcPr>
          <w:p w14:paraId="651E3D19" w14:textId="77777777" w:rsidR="005F20F6" w:rsidRPr="008C52C9" w:rsidRDefault="005F20F6">
            <w:pPr>
              <w:spacing w:before="180" w:after="180" w:line="276" w:lineRule="auto"/>
              <w:ind w:right="-29"/>
              <w:jc w:val="center"/>
              <w:rPr>
                <w:noProof/>
                <w:sz w:val="18"/>
              </w:rPr>
            </w:pPr>
          </w:p>
        </w:tc>
        <w:tc>
          <w:tcPr>
            <w:tcW w:w="720" w:type="dxa"/>
            <w:tcBorders>
              <w:top w:val="single" w:sz="12" w:space="0" w:color="auto"/>
              <w:left w:val="single" w:sz="4" w:space="0" w:color="auto"/>
              <w:bottom w:val="single" w:sz="12" w:space="0" w:color="auto"/>
              <w:right w:val="single" w:sz="4" w:space="0" w:color="auto"/>
            </w:tcBorders>
          </w:tcPr>
          <w:p w14:paraId="541ADEC4" w14:textId="77777777" w:rsidR="005F20F6" w:rsidRPr="008C52C9" w:rsidRDefault="005F20F6">
            <w:pPr>
              <w:spacing w:before="180" w:after="180" w:line="276" w:lineRule="auto"/>
              <w:ind w:right="-29"/>
              <w:jc w:val="center"/>
              <w:rPr>
                <w:noProof/>
                <w:sz w:val="18"/>
              </w:rPr>
            </w:pPr>
          </w:p>
        </w:tc>
        <w:tc>
          <w:tcPr>
            <w:tcW w:w="900" w:type="dxa"/>
            <w:tcBorders>
              <w:top w:val="single" w:sz="12" w:space="0" w:color="auto"/>
              <w:left w:val="single" w:sz="4" w:space="0" w:color="auto"/>
              <w:bottom w:val="single" w:sz="12" w:space="0" w:color="auto"/>
              <w:right w:val="single" w:sz="12" w:space="0" w:color="auto"/>
            </w:tcBorders>
          </w:tcPr>
          <w:p w14:paraId="25E0FA9E" w14:textId="77777777" w:rsidR="005F20F6" w:rsidRPr="008C52C9" w:rsidRDefault="005F20F6">
            <w:pPr>
              <w:spacing w:before="180" w:after="180" w:line="276" w:lineRule="auto"/>
              <w:ind w:right="-29"/>
              <w:jc w:val="center"/>
              <w:rPr>
                <w:noProof/>
                <w:sz w:val="18"/>
              </w:rPr>
            </w:pPr>
          </w:p>
        </w:tc>
      </w:tr>
    </w:tbl>
    <w:p w14:paraId="3D7C0346" w14:textId="77777777" w:rsidR="005F20F6" w:rsidRPr="008C52C9" w:rsidRDefault="005F20F6" w:rsidP="005F20F6">
      <w:pPr>
        <w:jc w:val="left"/>
        <w:rPr>
          <w:noProof/>
          <w:sz w:val="20"/>
          <w:szCs w:val="20"/>
        </w:rPr>
      </w:pPr>
      <w:r w:rsidRPr="008C52C9">
        <w:rPr>
          <w:noProof/>
          <w:sz w:val="20"/>
        </w:rPr>
        <w:lastRenderedPageBreak/>
        <w:t>Se del caso, gli importi riflettono la somma del contributo dell'Unione all'agenzia e di altre entrate dell'agenzia (diritti e oneri).</w:t>
      </w:r>
    </w:p>
    <w:p w14:paraId="5996796F" w14:textId="77777777" w:rsidR="005F20F6" w:rsidRPr="008C52C9" w:rsidRDefault="005F20F6" w:rsidP="005F20F6">
      <w:pPr>
        <w:spacing w:before="0" w:after="0"/>
        <w:jc w:val="left"/>
        <w:rPr>
          <w:noProof/>
          <w:sz w:val="20"/>
          <w:szCs w:val="20"/>
        </w:rPr>
        <w:sectPr w:rsidR="005F20F6" w:rsidRPr="008C52C9" w:rsidSect="001A4546">
          <w:pgSz w:w="15840" w:h="12240" w:orient="landscape"/>
          <w:pgMar w:top="1418" w:right="902" w:bottom="902" w:left="567" w:header="709" w:footer="709" w:gutter="0"/>
          <w:cols w:space="720"/>
          <w:docGrid w:linePitch="326"/>
        </w:sectPr>
      </w:pPr>
    </w:p>
    <w:p w14:paraId="7CBD6B77" w14:textId="77777777" w:rsidR="005F20F6" w:rsidRPr="008C52C9" w:rsidRDefault="005F20F6" w:rsidP="005F20F6">
      <w:pPr>
        <w:pStyle w:val="ManualHeading3"/>
        <w:rPr>
          <w:bCs/>
          <w:noProof/>
          <w:szCs w:val="24"/>
        </w:rPr>
      </w:pPr>
      <w:bookmarkStart w:id="66" w:name="_Toc514938688"/>
      <w:bookmarkStart w:id="67" w:name="_Toc520485447"/>
      <w:r w:rsidRPr="008C52C9">
        <w:rPr>
          <w:noProof/>
        </w:rPr>
        <w:lastRenderedPageBreak/>
        <w:t>3.2.3.</w:t>
      </w:r>
      <w:r w:rsidRPr="008C52C9">
        <w:rPr>
          <w:noProof/>
        </w:rPr>
        <w:tab/>
        <w:t>Incidenza prevista sulle risorse umane dell'EMSA</w:t>
      </w:r>
      <w:bookmarkEnd w:id="66"/>
      <w:bookmarkEnd w:id="67"/>
      <w:r w:rsidRPr="008C52C9">
        <w:rPr>
          <w:noProof/>
        </w:rPr>
        <w:t xml:space="preserve"> </w:t>
      </w:r>
    </w:p>
    <w:p w14:paraId="09D0B3C3" w14:textId="77777777" w:rsidR="005F20F6" w:rsidRPr="008C52C9" w:rsidRDefault="005F20F6" w:rsidP="005F20F6">
      <w:pPr>
        <w:pStyle w:val="ManualHeading4"/>
        <w:rPr>
          <w:bCs/>
          <w:noProof/>
          <w:szCs w:val="24"/>
        </w:rPr>
      </w:pPr>
      <w:r w:rsidRPr="008C52C9">
        <w:rPr>
          <w:noProof/>
        </w:rPr>
        <w:t>3.2.3.1.</w:t>
      </w:r>
      <w:r w:rsidRPr="008C52C9">
        <w:rPr>
          <w:noProof/>
        </w:rPr>
        <w:tab/>
        <w:t xml:space="preserve">Sintesi </w:t>
      </w:r>
    </w:p>
    <w:p w14:paraId="268CF950" w14:textId="77777777" w:rsidR="005F20F6" w:rsidRPr="008C52C9" w:rsidRDefault="005F20F6" w:rsidP="00425994">
      <w:pPr>
        <w:pStyle w:val="ListDash1"/>
        <w:rPr>
          <w:noProof/>
        </w:rPr>
      </w:pPr>
      <w:r w:rsidRPr="008C52C9">
        <w:rPr>
          <w:noProof/>
        </w:rPr>
        <w:sym w:font="Wingdings" w:char="F0A8"/>
      </w:r>
      <w:r w:rsidRPr="008C52C9">
        <w:rPr>
          <w:noProof/>
        </w:rPr>
        <w:tab/>
        <w:t xml:space="preserve">La proposta/iniziativa non comporta l'utilizzo di stanziamenti amministrativi. </w:t>
      </w:r>
    </w:p>
    <w:p w14:paraId="094531C1" w14:textId="77777777" w:rsidR="005F20F6" w:rsidRPr="008C52C9" w:rsidRDefault="005F20F6" w:rsidP="00425994">
      <w:pPr>
        <w:pStyle w:val="ListDash1"/>
        <w:rPr>
          <w:noProof/>
        </w:rPr>
      </w:pPr>
      <w:r w:rsidRPr="008C52C9">
        <w:rPr>
          <w:noProof/>
        </w:rPr>
        <w:sym w:font="Wingdings" w:char="F0FE"/>
      </w:r>
      <w:r w:rsidRPr="008C52C9">
        <w:rPr>
          <w:noProof/>
        </w:rPr>
        <w:tab/>
        <w:t>La proposta/iniziativa comporta l'utilizzo di stanziamenti amministrativi, come spiegato di seguito:</w:t>
      </w:r>
    </w:p>
    <w:p w14:paraId="3E927BBA" w14:textId="77777777" w:rsidR="005F20F6" w:rsidRPr="008C52C9" w:rsidRDefault="005F20F6" w:rsidP="005F20F6">
      <w:pPr>
        <w:rPr>
          <w:noProof/>
          <w:sz w:val="20"/>
        </w:rPr>
      </w:pPr>
      <w:r w:rsidRPr="008C52C9">
        <w:rPr>
          <w:noProof/>
          <w:sz w:val="20"/>
        </w:rPr>
        <w:t>Mio EUR (al terzo decimale) Se del caso, gli importi riflettono la somma del contributo dell'Unione all'agenzia e di altre entrate dell'agenzia (diritti e oneri).</w:t>
      </w:r>
    </w:p>
    <w:tbl>
      <w:tblPr>
        <w:tblW w:w="0" w:type="auto"/>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170"/>
        <w:gridCol w:w="1134"/>
      </w:tblGrid>
      <w:tr w:rsidR="005F20F6" w:rsidRPr="008C52C9" w14:paraId="60542142" w14:textId="77777777" w:rsidTr="005F20F6">
        <w:trPr>
          <w:trHeight w:val="585"/>
        </w:trPr>
        <w:tc>
          <w:tcPr>
            <w:tcW w:w="1980" w:type="dxa"/>
            <w:tcBorders>
              <w:top w:val="single" w:sz="2" w:space="0" w:color="auto"/>
              <w:left w:val="single" w:sz="2" w:space="0" w:color="auto"/>
              <w:bottom w:val="single" w:sz="2" w:space="0" w:color="auto"/>
              <w:right w:val="single" w:sz="2" w:space="0" w:color="auto"/>
            </w:tcBorders>
          </w:tcPr>
          <w:p w14:paraId="14A15468" w14:textId="77777777" w:rsidR="005F20F6" w:rsidRPr="008C52C9" w:rsidRDefault="005F20F6">
            <w:pPr>
              <w:spacing w:before="60" w:after="60" w:line="276" w:lineRule="auto"/>
              <w:rPr>
                <w:noProof/>
                <w:sz w:val="20"/>
              </w:rPr>
            </w:pPr>
          </w:p>
        </w:tc>
        <w:tc>
          <w:tcPr>
            <w:tcW w:w="1080" w:type="dxa"/>
            <w:tcBorders>
              <w:top w:val="single" w:sz="2" w:space="0" w:color="auto"/>
              <w:left w:val="single" w:sz="2" w:space="0" w:color="auto"/>
              <w:bottom w:val="single" w:sz="2" w:space="0" w:color="auto"/>
              <w:right w:val="single" w:sz="2" w:space="0" w:color="auto"/>
            </w:tcBorders>
            <w:vAlign w:val="center"/>
            <w:hideMark/>
          </w:tcPr>
          <w:p w14:paraId="0C2FD85A" w14:textId="77777777" w:rsidR="005F20F6" w:rsidRPr="008C52C9" w:rsidRDefault="005F20F6">
            <w:pPr>
              <w:spacing w:before="60" w:after="60" w:line="276" w:lineRule="auto"/>
              <w:jc w:val="center"/>
              <w:rPr>
                <w:noProof/>
                <w:sz w:val="20"/>
              </w:rPr>
            </w:pPr>
            <w:r w:rsidRPr="008C52C9">
              <w:rPr>
                <w:noProof/>
                <w:sz w:val="20"/>
              </w:rPr>
              <w:t>Anno</w:t>
            </w:r>
            <w:r w:rsidRPr="008C52C9">
              <w:rPr>
                <w:noProof/>
              </w:rPr>
              <w:t xml:space="preserve"> </w:t>
            </w:r>
            <w:r w:rsidRPr="008C52C9">
              <w:rPr>
                <w:noProof/>
              </w:rPr>
              <w:br/>
            </w:r>
            <w:r w:rsidRPr="008C52C9">
              <w:rPr>
                <w:b/>
                <w:noProof/>
                <w:sz w:val="20"/>
              </w:rPr>
              <w:t>2025</w:t>
            </w:r>
          </w:p>
        </w:tc>
        <w:tc>
          <w:tcPr>
            <w:tcW w:w="1080" w:type="dxa"/>
            <w:tcBorders>
              <w:top w:val="single" w:sz="2" w:space="0" w:color="auto"/>
              <w:left w:val="single" w:sz="2" w:space="0" w:color="auto"/>
              <w:bottom w:val="single" w:sz="2" w:space="0" w:color="auto"/>
              <w:right w:val="single" w:sz="2" w:space="0" w:color="auto"/>
            </w:tcBorders>
            <w:vAlign w:val="center"/>
            <w:hideMark/>
          </w:tcPr>
          <w:p w14:paraId="228B9B83" w14:textId="77777777" w:rsidR="005F20F6" w:rsidRPr="008C52C9" w:rsidRDefault="005F20F6">
            <w:pPr>
              <w:spacing w:before="60" w:after="60" w:line="276" w:lineRule="auto"/>
              <w:jc w:val="center"/>
              <w:rPr>
                <w:noProof/>
                <w:sz w:val="20"/>
              </w:rPr>
            </w:pPr>
            <w:r w:rsidRPr="008C52C9">
              <w:rPr>
                <w:noProof/>
                <w:sz w:val="20"/>
              </w:rPr>
              <w:t>Anno</w:t>
            </w:r>
            <w:r w:rsidRPr="008C52C9">
              <w:rPr>
                <w:noProof/>
              </w:rPr>
              <w:t xml:space="preserve"> </w:t>
            </w:r>
            <w:r w:rsidRPr="008C52C9">
              <w:rPr>
                <w:noProof/>
              </w:rPr>
              <w:br/>
            </w:r>
            <w:r w:rsidRPr="008C52C9">
              <w:rPr>
                <w:b/>
                <w:noProof/>
                <w:sz w:val="20"/>
              </w:rPr>
              <w:t>2026</w:t>
            </w:r>
          </w:p>
        </w:tc>
        <w:tc>
          <w:tcPr>
            <w:tcW w:w="1080" w:type="dxa"/>
            <w:tcBorders>
              <w:top w:val="single" w:sz="2" w:space="0" w:color="auto"/>
              <w:left w:val="single" w:sz="2" w:space="0" w:color="auto"/>
              <w:bottom w:val="single" w:sz="2" w:space="0" w:color="auto"/>
              <w:right w:val="single" w:sz="2" w:space="0" w:color="auto"/>
            </w:tcBorders>
            <w:vAlign w:val="center"/>
            <w:hideMark/>
          </w:tcPr>
          <w:p w14:paraId="60D9A783" w14:textId="77777777" w:rsidR="005F20F6" w:rsidRPr="008C52C9" w:rsidRDefault="005F20F6">
            <w:pPr>
              <w:spacing w:before="60" w:after="60" w:line="276" w:lineRule="auto"/>
              <w:jc w:val="center"/>
              <w:rPr>
                <w:noProof/>
                <w:sz w:val="20"/>
              </w:rPr>
            </w:pPr>
            <w:r w:rsidRPr="008C52C9">
              <w:rPr>
                <w:noProof/>
                <w:sz w:val="20"/>
              </w:rPr>
              <w:t>Anno</w:t>
            </w:r>
            <w:r w:rsidRPr="008C52C9">
              <w:rPr>
                <w:noProof/>
              </w:rPr>
              <w:t xml:space="preserve"> </w:t>
            </w:r>
            <w:r w:rsidRPr="008C52C9">
              <w:rPr>
                <w:noProof/>
              </w:rPr>
              <w:br/>
            </w:r>
            <w:r w:rsidRPr="008C52C9">
              <w:rPr>
                <w:b/>
                <w:noProof/>
                <w:sz w:val="20"/>
              </w:rPr>
              <w:t>2027</w:t>
            </w:r>
          </w:p>
        </w:tc>
        <w:tc>
          <w:tcPr>
            <w:tcW w:w="1170" w:type="dxa"/>
            <w:tcBorders>
              <w:top w:val="single" w:sz="2" w:space="0" w:color="auto"/>
              <w:left w:val="single" w:sz="2" w:space="0" w:color="auto"/>
              <w:bottom w:val="single" w:sz="2" w:space="0" w:color="auto"/>
              <w:right w:val="single" w:sz="2" w:space="0" w:color="auto"/>
            </w:tcBorders>
            <w:hideMark/>
          </w:tcPr>
          <w:p w14:paraId="18FC2BE7" w14:textId="77777777" w:rsidR="005F20F6" w:rsidRPr="008C52C9" w:rsidRDefault="005F20F6">
            <w:pPr>
              <w:spacing w:before="60" w:after="60" w:line="276" w:lineRule="auto"/>
              <w:jc w:val="center"/>
              <w:rPr>
                <w:noProof/>
                <w:sz w:val="20"/>
              </w:rPr>
            </w:pPr>
            <w:r w:rsidRPr="008C52C9">
              <w:rPr>
                <w:noProof/>
                <w:sz w:val="20"/>
              </w:rPr>
              <w:t>Anno</w:t>
            </w:r>
            <w:r w:rsidRPr="008C52C9">
              <w:rPr>
                <w:noProof/>
              </w:rPr>
              <w:t xml:space="preserve"> </w:t>
            </w:r>
            <w:r w:rsidRPr="008C52C9">
              <w:rPr>
                <w:noProof/>
              </w:rPr>
              <w:br/>
            </w:r>
            <w:r w:rsidRPr="008C52C9">
              <w:rPr>
                <w:b/>
                <w:noProof/>
                <w:sz w:val="20"/>
              </w:rPr>
              <w:t>2028-2034</w:t>
            </w:r>
          </w:p>
        </w:tc>
        <w:tc>
          <w:tcPr>
            <w:tcW w:w="1134" w:type="dxa"/>
            <w:tcBorders>
              <w:top w:val="single" w:sz="2" w:space="0" w:color="auto"/>
              <w:left w:val="single" w:sz="2" w:space="0" w:color="auto"/>
              <w:bottom w:val="single" w:sz="2" w:space="0" w:color="auto"/>
              <w:right w:val="single" w:sz="2" w:space="0" w:color="auto"/>
            </w:tcBorders>
            <w:vAlign w:val="center"/>
            <w:hideMark/>
          </w:tcPr>
          <w:p w14:paraId="1D2CF232" w14:textId="77777777" w:rsidR="005F20F6" w:rsidRPr="008C52C9" w:rsidRDefault="005F20F6">
            <w:pPr>
              <w:spacing w:before="60" w:after="60" w:line="276" w:lineRule="auto"/>
              <w:jc w:val="center"/>
              <w:rPr>
                <w:b/>
                <w:noProof/>
                <w:sz w:val="20"/>
              </w:rPr>
            </w:pPr>
            <w:r w:rsidRPr="008C52C9">
              <w:rPr>
                <w:b/>
                <w:noProof/>
                <w:sz w:val="20"/>
              </w:rPr>
              <w:t>TOTALE</w:t>
            </w:r>
          </w:p>
        </w:tc>
      </w:tr>
    </w:tbl>
    <w:p w14:paraId="168CCA8E" w14:textId="77777777" w:rsidR="005F20F6" w:rsidRPr="008C52C9" w:rsidRDefault="005F20F6" w:rsidP="005F20F6">
      <w:pPr>
        <w:rPr>
          <w:noProof/>
          <w:sz w:val="20"/>
        </w:rPr>
      </w:pPr>
    </w:p>
    <w:tbl>
      <w:tblPr>
        <w:tblW w:w="753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1"/>
        <w:gridCol w:w="1081"/>
        <w:gridCol w:w="1081"/>
        <w:gridCol w:w="1081"/>
        <w:gridCol w:w="1171"/>
        <w:gridCol w:w="1135"/>
      </w:tblGrid>
      <w:tr w:rsidR="005F20F6" w:rsidRPr="008C52C9" w14:paraId="157DD968" w14:textId="77777777" w:rsidTr="005F20F6">
        <w:trPr>
          <w:trHeight w:val="585"/>
        </w:trPr>
        <w:tc>
          <w:tcPr>
            <w:tcW w:w="198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32435A71" w14:textId="77777777" w:rsidR="005F20F6" w:rsidRPr="008C52C9" w:rsidRDefault="005F20F6">
            <w:pPr>
              <w:spacing w:before="60" w:after="60" w:line="276" w:lineRule="auto"/>
              <w:jc w:val="center"/>
              <w:rPr>
                <w:noProof/>
              </w:rPr>
            </w:pPr>
            <w:r w:rsidRPr="008C52C9">
              <w:rPr>
                <w:noProof/>
                <w:sz w:val="18"/>
              </w:rPr>
              <w:t>Agenti temporanei (gradi AD)</w:t>
            </w:r>
          </w:p>
        </w:tc>
        <w:tc>
          <w:tcPr>
            <w:tcW w:w="1080" w:type="dxa"/>
            <w:tcBorders>
              <w:top w:val="single" w:sz="2" w:space="0" w:color="auto"/>
              <w:left w:val="single" w:sz="2" w:space="0" w:color="auto"/>
              <w:bottom w:val="single" w:sz="2" w:space="0" w:color="auto"/>
              <w:right w:val="single" w:sz="2" w:space="0" w:color="auto"/>
            </w:tcBorders>
            <w:hideMark/>
          </w:tcPr>
          <w:p w14:paraId="5CF16502" w14:textId="77777777" w:rsidR="005F20F6" w:rsidRPr="008C52C9" w:rsidRDefault="008A6580">
            <w:pPr>
              <w:spacing w:before="60" w:after="60" w:line="276" w:lineRule="auto"/>
              <w:jc w:val="right"/>
              <w:rPr>
                <w:noProof/>
                <w:sz w:val="20"/>
                <w:szCs w:val="20"/>
              </w:rPr>
            </w:pPr>
            <w:r w:rsidRPr="008C52C9">
              <w:rPr>
                <w:noProof/>
                <w:sz w:val="20"/>
              </w:rPr>
              <w:t>0,428</w:t>
            </w:r>
          </w:p>
        </w:tc>
        <w:tc>
          <w:tcPr>
            <w:tcW w:w="1080" w:type="dxa"/>
            <w:tcBorders>
              <w:top w:val="single" w:sz="2" w:space="0" w:color="auto"/>
              <w:left w:val="single" w:sz="2" w:space="0" w:color="auto"/>
              <w:bottom w:val="single" w:sz="2" w:space="0" w:color="auto"/>
              <w:right w:val="single" w:sz="2" w:space="0" w:color="auto"/>
            </w:tcBorders>
            <w:hideMark/>
          </w:tcPr>
          <w:p w14:paraId="33BCF444" w14:textId="77777777" w:rsidR="005F20F6" w:rsidRPr="008C52C9" w:rsidRDefault="005F20F6">
            <w:pPr>
              <w:spacing w:before="60" w:after="60" w:line="276" w:lineRule="auto"/>
              <w:jc w:val="right"/>
              <w:rPr>
                <w:noProof/>
                <w:sz w:val="20"/>
                <w:szCs w:val="20"/>
              </w:rPr>
            </w:pPr>
            <w:r w:rsidRPr="008C52C9">
              <w:rPr>
                <w:noProof/>
                <w:sz w:val="20"/>
              </w:rPr>
              <w:t>1,539</w:t>
            </w:r>
          </w:p>
        </w:tc>
        <w:tc>
          <w:tcPr>
            <w:tcW w:w="1080" w:type="dxa"/>
            <w:tcBorders>
              <w:top w:val="single" w:sz="2" w:space="0" w:color="auto"/>
              <w:left w:val="single" w:sz="2" w:space="0" w:color="auto"/>
              <w:bottom w:val="single" w:sz="2" w:space="0" w:color="auto"/>
              <w:right w:val="single" w:sz="2" w:space="0" w:color="auto"/>
            </w:tcBorders>
            <w:hideMark/>
          </w:tcPr>
          <w:p w14:paraId="72F395D0" w14:textId="77777777" w:rsidR="005F20F6" w:rsidRPr="008C52C9" w:rsidRDefault="005F20F6">
            <w:pPr>
              <w:spacing w:before="60" w:after="60" w:line="276" w:lineRule="auto"/>
              <w:jc w:val="right"/>
              <w:rPr>
                <w:noProof/>
                <w:sz w:val="20"/>
                <w:szCs w:val="20"/>
              </w:rPr>
            </w:pPr>
            <w:r w:rsidRPr="008C52C9">
              <w:rPr>
                <w:noProof/>
                <w:sz w:val="20"/>
              </w:rPr>
              <w:t>1,539</w:t>
            </w:r>
          </w:p>
        </w:tc>
        <w:tc>
          <w:tcPr>
            <w:tcW w:w="1170" w:type="dxa"/>
            <w:tcBorders>
              <w:top w:val="single" w:sz="2" w:space="0" w:color="auto"/>
              <w:left w:val="single" w:sz="2" w:space="0" w:color="auto"/>
              <w:bottom w:val="single" w:sz="2" w:space="0" w:color="auto"/>
              <w:right w:val="single" w:sz="2" w:space="0" w:color="auto"/>
            </w:tcBorders>
            <w:hideMark/>
          </w:tcPr>
          <w:p w14:paraId="05C746D9" w14:textId="77777777" w:rsidR="005F20F6" w:rsidRPr="008C52C9" w:rsidRDefault="005F20F6">
            <w:pPr>
              <w:spacing w:before="60" w:after="60" w:line="276" w:lineRule="auto"/>
              <w:jc w:val="right"/>
              <w:rPr>
                <w:noProof/>
                <w:sz w:val="20"/>
                <w:szCs w:val="20"/>
              </w:rPr>
            </w:pPr>
            <w:r w:rsidRPr="008C52C9">
              <w:rPr>
                <w:noProof/>
                <w:sz w:val="20"/>
              </w:rPr>
              <w:t>11,97</w:t>
            </w:r>
          </w:p>
        </w:tc>
        <w:tc>
          <w:tcPr>
            <w:tcW w:w="1134" w:type="dxa"/>
            <w:tcBorders>
              <w:top w:val="single" w:sz="2" w:space="0" w:color="auto"/>
              <w:left w:val="single" w:sz="2" w:space="0" w:color="auto"/>
              <w:bottom w:val="single" w:sz="2" w:space="0" w:color="auto"/>
              <w:right w:val="single" w:sz="2" w:space="0" w:color="auto"/>
            </w:tcBorders>
            <w:hideMark/>
          </w:tcPr>
          <w:p w14:paraId="48F5B717" w14:textId="77777777" w:rsidR="005F20F6" w:rsidRPr="008C52C9" w:rsidRDefault="00C5644C">
            <w:pPr>
              <w:spacing w:before="60" w:after="60" w:line="276" w:lineRule="auto"/>
              <w:jc w:val="right"/>
              <w:rPr>
                <w:noProof/>
                <w:sz w:val="20"/>
                <w:szCs w:val="20"/>
              </w:rPr>
            </w:pPr>
            <w:r w:rsidRPr="008C52C9">
              <w:rPr>
                <w:noProof/>
                <w:sz w:val="20"/>
              </w:rPr>
              <w:t>15,476</w:t>
            </w:r>
          </w:p>
        </w:tc>
      </w:tr>
      <w:tr w:rsidR="005F20F6" w:rsidRPr="008C52C9" w14:paraId="489B16D2" w14:textId="77777777" w:rsidTr="005F20F6">
        <w:trPr>
          <w:trHeight w:val="585"/>
        </w:trPr>
        <w:tc>
          <w:tcPr>
            <w:tcW w:w="1980"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hideMark/>
          </w:tcPr>
          <w:p w14:paraId="180A1B6A" w14:textId="77777777" w:rsidR="005F20F6" w:rsidRPr="008C52C9" w:rsidRDefault="005F20F6">
            <w:pPr>
              <w:spacing w:before="60" w:after="60" w:line="276" w:lineRule="auto"/>
              <w:ind w:left="72"/>
              <w:rPr>
                <w:noProof/>
              </w:rPr>
            </w:pPr>
            <w:r w:rsidRPr="008C52C9">
              <w:rPr>
                <w:noProof/>
                <w:sz w:val="20"/>
              </w:rPr>
              <w:t>Agenti temporanei (gradi AST)</w:t>
            </w:r>
          </w:p>
        </w:tc>
        <w:tc>
          <w:tcPr>
            <w:tcW w:w="1080" w:type="dxa"/>
            <w:tcBorders>
              <w:top w:val="single" w:sz="2" w:space="0" w:color="auto"/>
              <w:left w:val="single" w:sz="2" w:space="0" w:color="auto"/>
              <w:bottom w:val="single" w:sz="2" w:space="0" w:color="auto"/>
              <w:right w:val="single" w:sz="2" w:space="0" w:color="auto"/>
            </w:tcBorders>
            <w:hideMark/>
          </w:tcPr>
          <w:p w14:paraId="56CA6090" w14:textId="77777777" w:rsidR="005F20F6" w:rsidRPr="008C52C9" w:rsidRDefault="008A6580">
            <w:pPr>
              <w:spacing w:before="60" w:after="60" w:line="276" w:lineRule="auto"/>
              <w:jc w:val="right"/>
              <w:rPr>
                <w:noProof/>
                <w:sz w:val="20"/>
                <w:szCs w:val="20"/>
              </w:rPr>
            </w:pPr>
            <w:r w:rsidRPr="008C52C9">
              <w:rPr>
                <w:noProof/>
                <w:sz w:val="20"/>
              </w:rPr>
              <w:t>0,086</w:t>
            </w:r>
          </w:p>
        </w:tc>
        <w:tc>
          <w:tcPr>
            <w:tcW w:w="1080" w:type="dxa"/>
            <w:tcBorders>
              <w:top w:val="single" w:sz="2" w:space="0" w:color="auto"/>
              <w:left w:val="single" w:sz="2" w:space="0" w:color="auto"/>
              <w:bottom w:val="single" w:sz="2" w:space="0" w:color="auto"/>
              <w:right w:val="single" w:sz="2" w:space="0" w:color="auto"/>
            </w:tcBorders>
            <w:hideMark/>
          </w:tcPr>
          <w:p w14:paraId="2CE750DA" w14:textId="77777777" w:rsidR="005F20F6" w:rsidRPr="008C52C9" w:rsidRDefault="005F20F6">
            <w:pPr>
              <w:spacing w:before="60" w:after="60" w:line="276" w:lineRule="auto"/>
              <w:jc w:val="right"/>
              <w:rPr>
                <w:noProof/>
                <w:sz w:val="20"/>
                <w:szCs w:val="20"/>
              </w:rPr>
            </w:pPr>
            <w:r w:rsidRPr="008C52C9">
              <w:rPr>
                <w:noProof/>
                <w:sz w:val="20"/>
              </w:rPr>
              <w:t>0,342</w:t>
            </w:r>
          </w:p>
        </w:tc>
        <w:tc>
          <w:tcPr>
            <w:tcW w:w="1080" w:type="dxa"/>
            <w:tcBorders>
              <w:top w:val="single" w:sz="2" w:space="0" w:color="auto"/>
              <w:left w:val="single" w:sz="2" w:space="0" w:color="auto"/>
              <w:bottom w:val="single" w:sz="2" w:space="0" w:color="auto"/>
              <w:right w:val="single" w:sz="2" w:space="0" w:color="auto"/>
            </w:tcBorders>
            <w:hideMark/>
          </w:tcPr>
          <w:p w14:paraId="41157B2F" w14:textId="77777777" w:rsidR="005F20F6" w:rsidRPr="008C52C9" w:rsidRDefault="005F20F6">
            <w:pPr>
              <w:spacing w:before="60" w:after="60" w:line="276" w:lineRule="auto"/>
              <w:jc w:val="right"/>
              <w:rPr>
                <w:noProof/>
                <w:sz w:val="20"/>
                <w:szCs w:val="20"/>
              </w:rPr>
            </w:pPr>
            <w:r w:rsidRPr="008C52C9">
              <w:rPr>
                <w:noProof/>
                <w:sz w:val="20"/>
              </w:rPr>
              <w:t>0,342</w:t>
            </w:r>
          </w:p>
        </w:tc>
        <w:tc>
          <w:tcPr>
            <w:tcW w:w="1170" w:type="dxa"/>
            <w:tcBorders>
              <w:top w:val="single" w:sz="2" w:space="0" w:color="auto"/>
              <w:left w:val="single" w:sz="2" w:space="0" w:color="auto"/>
              <w:bottom w:val="single" w:sz="2" w:space="0" w:color="auto"/>
              <w:right w:val="single" w:sz="2" w:space="0" w:color="auto"/>
            </w:tcBorders>
            <w:hideMark/>
          </w:tcPr>
          <w:p w14:paraId="7023988E" w14:textId="77777777" w:rsidR="005F20F6" w:rsidRPr="008C52C9" w:rsidRDefault="005F20F6">
            <w:pPr>
              <w:spacing w:before="60" w:after="60" w:line="276" w:lineRule="auto"/>
              <w:jc w:val="right"/>
              <w:rPr>
                <w:noProof/>
                <w:sz w:val="20"/>
                <w:szCs w:val="20"/>
              </w:rPr>
            </w:pPr>
            <w:r w:rsidRPr="008C52C9">
              <w:rPr>
                <w:noProof/>
                <w:sz w:val="20"/>
              </w:rPr>
              <w:t>2,394</w:t>
            </w:r>
          </w:p>
        </w:tc>
        <w:tc>
          <w:tcPr>
            <w:tcW w:w="1134" w:type="dxa"/>
            <w:tcBorders>
              <w:top w:val="single" w:sz="2" w:space="0" w:color="auto"/>
              <w:left w:val="single" w:sz="2" w:space="0" w:color="auto"/>
              <w:bottom w:val="single" w:sz="2" w:space="0" w:color="auto"/>
              <w:right w:val="single" w:sz="2" w:space="0" w:color="auto"/>
            </w:tcBorders>
            <w:hideMark/>
          </w:tcPr>
          <w:p w14:paraId="20A081AA" w14:textId="77777777" w:rsidR="005F20F6" w:rsidRPr="008C52C9" w:rsidRDefault="009E2A05">
            <w:pPr>
              <w:spacing w:before="60" w:after="60" w:line="276" w:lineRule="auto"/>
              <w:jc w:val="right"/>
              <w:rPr>
                <w:noProof/>
                <w:sz w:val="20"/>
                <w:szCs w:val="20"/>
              </w:rPr>
            </w:pPr>
            <w:r w:rsidRPr="008C52C9">
              <w:rPr>
                <w:noProof/>
                <w:sz w:val="20"/>
              </w:rPr>
              <w:t>3,164</w:t>
            </w:r>
          </w:p>
        </w:tc>
      </w:tr>
      <w:tr w:rsidR="005F20F6" w:rsidRPr="008C52C9" w14:paraId="1F0242A3" w14:textId="77777777" w:rsidTr="005F20F6">
        <w:trPr>
          <w:trHeight w:val="585"/>
        </w:trPr>
        <w:tc>
          <w:tcPr>
            <w:tcW w:w="1980"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hideMark/>
          </w:tcPr>
          <w:p w14:paraId="00C75BBF" w14:textId="77777777" w:rsidR="005F20F6" w:rsidRPr="008C52C9" w:rsidRDefault="005F20F6">
            <w:pPr>
              <w:spacing w:before="60" w:after="60" w:line="276" w:lineRule="auto"/>
              <w:ind w:left="72"/>
              <w:rPr>
                <w:noProof/>
              </w:rPr>
            </w:pPr>
            <w:r w:rsidRPr="008C52C9">
              <w:rPr>
                <w:noProof/>
                <w:sz w:val="20"/>
              </w:rPr>
              <w:t>Agenti contrattuali</w:t>
            </w:r>
          </w:p>
        </w:tc>
        <w:tc>
          <w:tcPr>
            <w:tcW w:w="1080"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7B175F9D" w14:textId="77777777" w:rsidR="005F20F6" w:rsidRPr="008C52C9" w:rsidRDefault="005F20F6">
            <w:pPr>
              <w:spacing w:before="60" w:after="60" w:line="276" w:lineRule="auto"/>
              <w:jc w:val="right"/>
              <w:rPr>
                <w:noProof/>
                <w:sz w:val="20"/>
              </w:rPr>
            </w:pPr>
          </w:p>
        </w:tc>
        <w:tc>
          <w:tcPr>
            <w:tcW w:w="1080"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4ABBF0D6" w14:textId="77777777" w:rsidR="005F20F6" w:rsidRPr="008C52C9" w:rsidRDefault="005F20F6">
            <w:pPr>
              <w:spacing w:before="60" w:after="60" w:line="276" w:lineRule="auto"/>
              <w:jc w:val="right"/>
              <w:rPr>
                <w:noProof/>
                <w:sz w:val="20"/>
              </w:rPr>
            </w:pPr>
          </w:p>
        </w:tc>
        <w:tc>
          <w:tcPr>
            <w:tcW w:w="1080"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27132F37" w14:textId="77777777" w:rsidR="005F20F6" w:rsidRPr="008C52C9" w:rsidRDefault="005F20F6">
            <w:pPr>
              <w:spacing w:before="60" w:after="60" w:line="276" w:lineRule="auto"/>
              <w:jc w:val="right"/>
              <w:rPr>
                <w:noProof/>
                <w:sz w:val="20"/>
              </w:rPr>
            </w:pPr>
          </w:p>
        </w:tc>
        <w:tc>
          <w:tcPr>
            <w:tcW w:w="1170"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260712EB" w14:textId="77777777" w:rsidR="005F20F6" w:rsidRPr="008C52C9" w:rsidRDefault="005F20F6">
            <w:pPr>
              <w:spacing w:before="60" w:after="60" w:line="276" w:lineRule="auto"/>
              <w:jc w:val="right"/>
              <w:rPr>
                <w:noProof/>
                <w:sz w:val="20"/>
              </w:rPr>
            </w:pPr>
          </w:p>
        </w:tc>
        <w:tc>
          <w:tcPr>
            <w:tcW w:w="1134"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786D9536" w14:textId="77777777" w:rsidR="005F20F6" w:rsidRPr="008C52C9" w:rsidRDefault="005F20F6">
            <w:pPr>
              <w:spacing w:before="60" w:after="60" w:line="276" w:lineRule="auto"/>
              <w:jc w:val="right"/>
              <w:rPr>
                <w:noProof/>
                <w:sz w:val="20"/>
              </w:rPr>
            </w:pPr>
          </w:p>
        </w:tc>
      </w:tr>
      <w:tr w:rsidR="005F20F6" w:rsidRPr="008C52C9" w14:paraId="7ED981BC" w14:textId="77777777" w:rsidTr="005F20F6">
        <w:trPr>
          <w:trHeight w:val="585"/>
        </w:trPr>
        <w:tc>
          <w:tcPr>
            <w:tcW w:w="1980" w:type="dxa"/>
            <w:tcBorders>
              <w:top w:val="single" w:sz="2" w:space="0" w:color="auto"/>
              <w:left w:val="single" w:sz="2" w:space="0" w:color="auto"/>
              <w:bottom w:val="single" w:sz="2" w:space="0" w:color="auto"/>
              <w:right w:val="single" w:sz="2" w:space="0" w:color="auto"/>
            </w:tcBorders>
            <w:shd w:val="clear" w:color="auto" w:fill="CCCCCC"/>
            <w:vAlign w:val="center"/>
            <w:hideMark/>
          </w:tcPr>
          <w:p w14:paraId="34C3312C" w14:textId="77777777" w:rsidR="005F20F6" w:rsidRPr="008C52C9" w:rsidRDefault="005F20F6">
            <w:pPr>
              <w:spacing w:before="60" w:after="60" w:line="276" w:lineRule="auto"/>
              <w:jc w:val="center"/>
              <w:rPr>
                <w:noProof/>
              </w:rPr>
            </w:pPr>
            <w:r w:rsidRPr="008C52C9">
              <w:rPr>
                <w:noProof/>
                <w:sz w:val="18"/>
              </w:rPr>
              <w:t>Esperti nazionali distaccati</w:t>
            </w:r>
          </w:p>
        </w:tc>
        <w:tc>
          <w:tcPr>
            <w:tcW w:w="1080" w:type="dxa"/>
            <w:tcBorders>
              <w:top w:val="single" w:sz="2" w:space="0" w:color="auto"/>
              <w:left w:val="single" w:sz="2" w:space="0" w:color="auto"/>
              <w:bottom w:val="single" w:sz="2" w:space="0" w:color="auto"/>
              <w:right w:val="single" w:sz="2" w:space="0" w:color="auto"/>
            </w:tcBorders>
            <w:vAlign w:val="center"/>
          </w:tcPr>
          <w:p w14:paraId="3F42232D" w14:textId="77777777" w:rsidR="005F20F6" w:rsidRPr="008C52C9" w:rsidRDefault="005F20F6">
            <w:pPr>
              <w:spacing w:before="60" w:after="60" w:line="276" w:lineRule="auto"/>
              <w:jc w:val="right"/>
              <w:rPr>
                <w:noProof/>
                <w:sz w:val="20"/>
              </w:rPr>
            </w:pPr>
          </w:p>
        </w:tc>
        <w:tc>
          <w:tcPr>
            <w:tcW w:w="1080" w:type="dxa"/>
            <w:tcBorders>
              <w:top w:val="single" w:sz="2" w:space="0" w:color="auto"/>
              <w:left w:val="single" w:sz="2" w:space="0" w:color="auto"/>
              <w:bottom w:val="single" w:sz="2" w:space="0" w:color="auto"/>
              <w:right w:val="single" w:sz="2" w:space="0" w:color="auto"/>
            </w:tcBorders>
            <w:vAlign w:val="center"/>
          </w:tcPr>
          <w:p w14:paraId="674C460B" w14:textId="77777777" w:rsidR="005F20F6" w:rsidRPr="008C52C9" w:rsidRDefault="005F20F6">
            <w:pPr>
              <w:spacing w:before="60" w:after="60" w:line="276" w:lineRule="auto"/>
              <w:jc w:val="right"/>
              <w:rPr>
                <w:noProof/>
                <w:sz w:val="20"/>
              </w:rPr>
            </w:pPr>
          </w:p>
        </w:tc>
        <w:tc>
          <w:tcPr>
            <w:tcW w:w="1080" w:type="dxa"/>
            <w:tcBorders>
              <w:top w:val="single" w:sz="2" w:space="0" w:color="auto"/>
              <w:left w:val="single" w:sz="2" w:space="0" w:color="auto"/>
              <w:bottom w:val="single" w:sz="2" w:space="0" w:color="auto"/>
              <w:right w:val="single" w:sz="2" w:space="0" w:color="auto"/>
            </w:tcBorders>
            <w:vAlign w:val="center"/>
          </w:tcPr>
          <w:p w14:paraId="742805E2" w14:textId="77777777" w:rsidR="005F20F6" w:rsidRPr="008C52C9" w:rsidRDefault="005F20F6">
            <w:pPr>
              <w:spacing w:before="60" w:after="60" w:line="276" w:lineRule="auto"/>
              <w:jc w:val="right"/>
              <w:rPr>
                <w:noProof/>
                <w:sz w:val="20"/>
              </w:rPr>
            </w:pPr>
          </w:p>
        </w:tc>
        <w:tc>
          <w:tcPr>
            <w:tcW w:w="1170" w:type="dxa"/>
            <w:tcBorders>
              <w:top w:val="single" w:sz="2" w:space="0" w:color="auto"/>
              <w:left w:val="single" w:sz="2" w:space="0" w:color="auto"/>
              <w:bottom w:val="single" w:sz="2" w:space="0" w:color="auto"/>
              <w:right w:val="single" w:sz="2" w:space="0" w:color="auto"/>
            </w:tcBorders>
            <w:vAlign w:val="center"/>
          </w:tcPr>
          <w:p w14:paraId="3E76B2E7" w14:textId="77777777" w:rsidR="005F20F6" w:rsidRPr="008C52C9" w:rsidRDefault="005F20F6">
            <w:pPr>
              <w:spacing w:before="60" w:after="60" w:line="276" w:lineRule="auto"/>
              <w:jc w:val="right"/>
              <w:rPr>
                <w:noProof/>
                <w:sz w:val="20"/>
              </w:rPr>
            </w:pPr>
          </w:p>
        </w:tc>
        <w:tc>
          <w:tcPr>
            <w:tcW w:w="1134" w:type="dxa"/>
            <w:tcBorders>
              <w:top w:val="single" w:sz="2" w:space="0" w:color="auto"/>
              <w:left w:val="single" w:sz="2" w:space="0" w:color="auto"/>
              <w:bottom w:val="single" w:sz="2" w:space="0" w:color="auto"/>
              <w:right w:val="single" w:sz="2" w:space="0" w:color="auto"/>
            </w:tcBorders>
            <w:vAlign w:val="center"/>
          </w:tcPr>
          <w:p w14:paraId="6ABA0EDF" w14:textId="77777777" w:rsidR="005F20F6" w:rsidRPr="008C52C9" w:rsidRDefault="005F20F6">
            <w:pPr>
              <w:spacing w:before="60" w:after="60" w:line="276" w:lineRule="auto"/>
              <w:jc w:val="right"/>
              <w:rPr>
                <w:noProof/>
                <w:sz w:val="20"/>
              </w:rPr>
            </w:pPr>
          </w:p>
        </w:tc>
      </w:tr>
    </w:tbl>
    <w:p w14:paraId="79530BBE" w14:textId="77777777" w:rsidR="005F20F6" w:rsidRPr="008C52C9" w:rsidRDefault="005F20F6" w:rsidP="005F20F6">
      <w:pPr>
        <w:rPr>
          <w:noProof/>
          <w:sz w:val="20"/>
        </w:rPr>
      </w:pPr>
    </w:p>
    <w:tbl>
      <w:tblPr>
        <w:tblW w:w="7530" w:type="dxa"/>
        <w:tblInd w:w="-612" w:type="dxa"/>
        <w:tblLayout w:type="fixed"/>
        <w:tblLook w:val="01E0" w:firstRow="1" w:lastRow="1" w:firstColumn="1" w:lastColumn="1" w:noHBand="0" w:noVBand="0"/>
      </w:tblPr>
      <w:tblGrid>
        <w:gridCol w:w="1981"/>
        <w:gridCol w:w="1081"/>
        <w:gridCol w:w="1081"/>
        <w:gridCol w:w="1081"/>
        <w:gridCol w:w="1171"/>
        <w:gridCol w:w="1135"/>
      </w:tblGrid>
      <w:tr w:rsidR="005F20F6" w:rsidRPr="008C52C9" w14:paraId="3183E9E9" w14:textId="77777777" w:rsidTr="002D24C0">
        <w:trPr>
          <w:trHeight w:val="585"/>
        </w:trPr>
        <w:tc>
          <w:tcPr>
            <w:tcW w:w="1981" w:type="dxa"/>
            <w:tcBorders>
              <w:top w:val="single" w:sz="12" w:space="0" w:color="auto"/>
              <w:left w:val="single" w:sz="12" w:space="0" w:color="auto"/>
              <w:bottom w:val="single" w:sz="12" w:space="0" w:color="auto"/>
              <w:right w:val="single" w:sz="2" w:space="0" w:color="auto"/>
            </w:tcBorders>
            <w:vAlign w:val="center"/>
            <w:hideMark/>
          </w:tcPr>
          <w:p w14:paraId="01F6815F" w14:textId="77777777" w:rsidR="005F20F6" w:rsidRPr="008C52C9" w:rsidRDefault="005F20F6">
            <w:pPr>
              <w:spacing w:before="60" w:after="60" w:line="276" w:lineRule="auto"/>
              <w:jc w:val="center"/>
              <w:rPr>
                <w:noProof/>
                <w:sz w:val="20"/>
              </w:rPr>
            </w:pPr>
            <w:r w:rsidRPr="008C52C9">
              <w:rPr>
                <w:b/>
                <w:noProof/>
                <w:sz w:val="20"/>
              </w:rPr>
              <w:t>TOTALE</w:t>
            </w:r>
          </w:p>
        </w:tc>
        <w:tc>
          <w:tcPr>
            <w:tcW w:w="1081" w:type="dxa"/>
            <w:tcBorders>
              <w:top w:val="single" w:sz="12" w:space="0" w:color="auto"/>
              <w:left w:val="single" w:sz="2" w:space="0" w:color="auto"/>
              <w:bottom w:val="single" w:sz="12" w:space="0" w:color="auto"/>
              <w:right w:val="single" w:sz="2" w:space="0" w:color="auto"/>
            </w:tcBorders>
            <w:vAlign w:val="center"/>
            <w:hideMark/>
          </w:tcPr>
          <w:p w14:paraId="68CDCB0A" w14:textId="77777777" w:rsidR="005F20F6" w:rsidRPr="008C52C9" w:rsidRDefault="0093494E">
            <w:pPr>
              <w:spacing w:before="60" w:after="60" w:line="276" w:lineRule="auto"/>
              <w:jc w:val="right"/>
              <w:rPr>
                <w:b/>
                <w:noProof/>
                <w:sz w:val="20"/>
              </w:rPr>
            </w:pPr>
            <w:r w:rsidRPr="008C52C9">
              <w:rPr>
                <w:b/>
                <w:noProof/>
                <w:sz w:val="20"/>
              </w:rPr>
              <w:t>0,514</w:t>
            </w:r>
          </w:p>
        </w:tc>
        <w:tc>
          <w:tcPr>
            <w:tcW w:w="1081" w:type="dxa"/>
            <w:tcBorders>
              <w:top w:val="single" w:sz="12" w:space="0" w:color="auto"/>
              <w:left w:val="single" w:sz="2" w:space="0" w:color="auto"/>
              <w:bottom w:val="single" w:sz="12" w:space="0" w:color="auto"/>
              <w:right w:val="single" w:sz="2" w:space="0" w:color="auto"/>
            </w:tcBorders>
            <w:vAlign w:val="center"/>
            <w:hideMark/>
          </w:tcPr>
          <w:p w14:paraId="39F31AF3" w14:textId="77777777" w:rsidR="005F20F6" w:rsidRPr="008C52C9" w:rsidRDefault="005F20F6">
            <w:pPr>
              <w:spacing w:before="60" w:after="60" w:line="276" w:lineRule="auto"/>
              <w:jc w:val="right"/>
              <w:rPr>
                <w:b/>
                <w:noProof/>
                <w:sz w:val="20"/>
              </w:rPr>
            </w:pPr>
            <w:r w:rsidRPr="008C52C9">
              <w:rPr>
                <w:b/>
                <w:noProof/>
                <w:sz w:val="20"/>
              </w:rPr>
              <w:t>1,881</w:t>
            </w:r>
          </w:p>
        </w:tc>
        <w:tc>
          <w:tcPr>
            <w:tcW w:w="1081" w:type="dxa"/>
            <w:tcBorders>
              <w:top w:val="single" w:sz="12" w:space="0" w:color="auto"/>
              <w:left w:val="single" w:sz="2" w:space="0" w:color="auto"/>
              <w:bottom w:val="single" w:sz="12" w:space="0" w:color="auto"/>
              <w:right w:val="single" w:sz="2" w:space="0" w:color="auto"/>
            </w:tcBorders>
            <w:vAlign w:val="center"/>
            <w:hideMark/>
          </w:tcPr>
          <w:p w14:paraId="3E5D9E5D" w14:textId="77777777" w:rsidR="005F20F6" w:rsidRPr="008C52C9" w:rsidRDefault="005F20F6">
            <w:pPr>
              <w:spacing w:before="60" w:after="60" w:line="276" w:lineRule="auto"/>
              <w:jc w:val="right"/>
              <w:rPr>
                <w:b/>
                <w:noProof/>
                <w:sz w:val="20"/>
              </w:rPr>
            </w:pPr>
            <w:r w:rsidRPr="008C52C9">
              <w:rPr>
                <w:b/>
                <w:noProof/>
                <w:sz w:val="20"/>
              </w:rPr>
              <w:t>1,881</w:t>
            </w:r>
          </w:p>
        </w:tc>
        <w:tc>
          <w:tcPr>
            <w:tcW w:w="1171" w:type="dxa"/>
            <w:tcBorders>
              <w:top w:val="single" w:sz="12" w:space="0" w:color="auto"/>
              <w:left w:val="single" w:sz="2" w:space="0" w:color="auto"/>
              <w:bottom w:val="single" w:sz="12" w:space="0" w:color="auto"/>
              <w:right w:val="single" w:sz="2" w:space="0" w:color="auto"/>
            </w:tcBorders>
            <w:vAlign w:val="center"/>
            <w:hideMark/>
          </w:tcPr>
          <w:p w14:paraId="28913791" w14:textId="77777777" w:rsidR="005F20F6" w:rsidRPr="008C52C9" w:rsidRDefault="005F20F6">
            <w:pPr>
              <w:spacing w:before="60" w:after="60" w:line="276" w:lineRule="auto"/>
              <w:jc w:val="right"/>
              <w:rPr>
                <w:b/>
                <w:noProof/>
                <w:sz w:val="20"/>
              </w:rPr>
            </w:pPr>
            <w:r w:rsidRPr="008C52C9">
              <w:rPr>
                <w:b/>
                <w:noProof/>
                <w:sz w:val="20"/>
              </w:rPr>
              <w:t>14,364</w:t>
            </w:r>
          </w:p>
        </w:tc>
        <w:tc>
          <w:tcPr>
            <w:tcW w:w="1135" w:type="dxa"/>
            <w:tcBorders>
              <w:top w:val="single" w:sz="12" w:space="0" w:color="auto"/>
              <w:left w:val="single" w:sz="2" w:space="0" w:color="auto"/>
              <w:bottom w:val="single" w:sz="12" w:space="0" w:color="auto"/>
              <w:right w:val="single" w:sz="12" w:space="0" w:color="auto"/>
            </w:tcBorders>
            <w:vAlign w:val="center"/>
            <w:hideMark/>
          </w:tcPr>
          <w:p w14:paraId="660D9116" w14:textId="77777777" w:rsidR="005F20F6" w:rsidRPr="008C52C9" w:rsidRDefault="009E2A05">
            <w:pPr>
              <w:spacing w:before="60" w:after="60" w:line="276" w:lineRule="auto"/>
              <w:jc w:val="right"/>
              <w:rPr>
                <w:b/>
                <w:noProof/>
                <w:sz w:val="20"/>
              </w:rPr>
            </w:pPr>
            <w:r w:rsidRPr="008C52C9">
              <w:rPr>
                <w:b/>
                <w:noProof/>
                <w:sz w:val="20"/>
              </w:rPr>
              <w:t>18,64</w:t>
            </w:r>
          </w:p>
        </w:tc>
      </w:tr>
    </w:tbl>
    <w:p w14:paraId="2CB15F38" w14:textId="77777777" w:rsidR="005F20F6" w:rsidRPr="008C52C9" w:rsidRDefault="002D24C0" w:rsidP="005F20F6">
      <w:pPr>
        <w:rPr>
          <w:noProof/>
          <w:sz w:val="20"/>
        </w:rPr>
      </w:pPr>
      <w:r w:rsidRPr="008C52C9">
        <w:rPr>
          <w:noProof/>
          <w:u w:val="single"/>
        </w:rPr>
        <w:t xml:space="preserve">L'incidenza sul bilancio al di là dell'attuale QFP rappresenta una panoramica indicativa, fatto salvo il futuro accordo sul QFP. </w:t>
      </w:r>
      <w:r w:rsidRPr="008C52C9">
        <w:rPr>
          <w:noProof/>
          <w:sz w:val="20"/>
        </w:rPr>
        <w:t>Fabbisogno di personale (ETP):</w:t>
      </w:r>
    </w:p>
    <w:tbl>
      <w:tblPr>
        <w:tblW w:w="0" w:type="auto"/>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170"/>
        <w:gridCol w:w="1134"/>
      </w:tblGrid>
      <w:tr w:rsidR="005F20F6" w:rsidRPr="008C52C9" w14:paraId="32A79BE7" w14:textId="77777777" w:rsidTr="005F20F6">
        <w:trPr>
          <w:trHeight w:val="585"/>
        </w:trPr>
        <w:tc>
          <w:tcPr>
            <w:tcW w:w="1980" w:type="dxa"/>
            <w:tcBorders>
              <w:top w:val="single" w:sz="2" w:space="0" w:color="auto"/>
              <w:left w:val="single" w:sz="2" w:space="0" w:color="auto"/>
              <w:bottom w:val="single" w:sz="2" w:space="0" w:color="auto"/>
              <w:right w:val="single" w:sz="2" w:space="0" w:color="auto"/>
            </w:tcBorders>
          </w:tcPr>
          <w:p w14:paraId="2B9EBD70" w14:textId="77777777" w:rsidR="005F20F6" w:rsidRPr="008C52C9" w:rsidRDefault="005F20F6">
            <w:pPr>
              <w:spacing w:before="60" w:after="60" w:line="276" w:lineRule="auto"/>
              <w:rPr>
                <w:noProof/>
                <w:sz w:val="20"/>
              </w:rPr>
            </w:pPr>
          </w:p>
        </w:tc>
        <w:tc>
          <w:tcPr>
            <w:tcW w:w="1080" w:type="dxa"/>
            <w:tcBorders>
              <w:top w:val="single" w:sz="2" w:space="0" w:color="auto"/>
              <w:left w:val="single" w:sz="2" w:space="0" w:color="auto"/>
              <w:bottom w:val="single" w:sz="2" w:space="0" w:color="auto"/>
              <w:right w:val="single" w:sz="2" w:space="0" w:color="auto"/>
            </w:tcBorders>
            <w:vAlign w:val="center"/>
            <w:hideMark/>
          </w:tcPr>
          <w:p w14:paraId="03D64037" w14:textId="77777777" w:rsidR="005F20F6" w:rsidRPr="008C52C9" w:rsidRDefault="005F20F6">
            <w:pPr>
              <w:spacing w:before="60" w:after="60" w:line="276" w:lineRule="auto"/>
              <w:jc w:val="center"/>
              <w:rPr>
                <w:noProof/>
                <w:sz w:val="20"/>
              </w:rPr>
            </w:pPr>
            <w:r w:rsidRPr="008C52C9">
              <w:rPr>
                <w:noProof/>
                <w:sz w:val="20"/>
              </w:rPr>
              <w:t>Anno</w:t>
            </w:r>
            <w:r w:rsidRPr="008C52C9">
              <w:rPr>
                <w:noProof/>
              </w:rPr>
              <w:t xml:space="preserve"> </w:t>
            </w:r>
            <w:r w:rsidRPr="008C52C9">
              <w:rPr>
                <w:noProof/>
              </w:rPr>
              <w:br/>
            </w:r>
            <w:r w:rsidRPr="008C52C9">
              <w:rPr>
                <w:b/>
                <w:noProof/>
                <w:sz w:val="20"/>
              </w:rPr>
              <w:t>2025</w:t>
            </w:r>
          </w:p>
        </w:tc>
        <w:tc>
          <w:tcPr>
            <w:tcW w:w="1080" w:type="dxa"/>
            <w:tcBorders>
              <w:top w:val="single" w:sz="2" w:space="0" w:color="auto"/>
              <w:left w:val="single" w:sz="2" w:space="0" w:color="auto"/>
              <w:bottom w:val="single" w:sz="2" w:space="0" w:color="auto"/>
              <w:right w:val="single" w:sz="2" w:space="0" w:color="auto"/>
            </w:tcBorders>
            <w:vAlign w:val="center"/>
            <w:hideMark/>
          </w:tcPr>
          <w:p w14:paraId="4D6A3F3E" w14:textId="77777777" w:rsidR="005F20F6" w:rsidRPr="008C52C9" w:rsidRDefault="005F20F6">
            <w:pPr>
              <w:spacing w:before="60" w:after="60" w:line="276" w:lineRule="auto"/>
              <w:jc w:val="center"/>
              <w:rPr>
                <w:noProof/>
                <w:sz w:val="20"/>
              </w:rPr>
            </w:pPr>
            <w:r w:rsidRPr="008C52C9">
              <w:rPr>
                <w:noProof/>
                <w:sz w:val="20"/>
              </w:rPr>
              <w:t>Anno</w:t>
            </w:r>
            <w:r w:rsidRPr="008C52C9">
              <w:rPr>
                <w:noProof/>
              </w:rPr>
              <w:t xml:space="preserve"> </w:t>
            </w:r>
            <w:r w:rsidRPr="008C52C9">
              <w:rPr>
                <w:noProof/>
              </w:rPr>
              <w:br/>
            </w:r>
            <w:r w:rsidRPr="008C52C9">
              <w:rPr>
                <w:b/>
                <w:noProof/>
                <w:sz w:val="20"/>
              </w:rPr>
              <w:t>2026</w:t>
            </w:r>
          </w:p>
        </w:tc>
        <w:tc>
          <w:tcPr>
            <w:tcW w:w="1080" w:type="dxa"/>
            <w:tcBorders>
              <w:top w:val="single" w:sz="2" w:space="0" w:color="auto"/>
              <w:left w:val="single" w:sz="2" w:space="0" w:color="auto"/>
              <w:bottom w:val="single" w:sz="2" w:space="0" w:color="auto"/>
              <w:right w:val="single" w:sz="2" w:space="0" w:color="auto"/>
            </w:tcBorders>
            <w:vAlign w:val="center"/>
            <w:hideMark/>
          </w:tcPr>
          <w:p w14:paraId="00090F62" w14:textId="77777777" w:rsidR="005F20F6" w:rsidRPr="008C52C9" w:rsidRDefault="005F20F6">
            <w:pPr>
              <w:spacing w:before="60" w:after="60" w:line="276" w:lineRule="auto"/>
              <w:jc w:val="center"/>
              <w:rPr>
                <w:noProof/>
                <w:sz w:val="20"/>
              </w:rPr>
            </w:pPr>
            <w:r w:rsidRPr="008C52C9">
              <w:rPr>
                <w:noProof/>
                <w:sz w:val="20"/>
              </w:rPr>
              <w:t>Anno</w:t>
            </w:r>
            <w:r w:rsidRPr="008C52C9">
              <w:rPr>
                <w:noProof/>
              </w:rPr>
              <w:t xml:space="preserve"> </w:t>
            </w:r>
            <w:r w:rsidRPr="008C52C9">
              <w:rPr>
                <w:noProof/>
              </w:rPr>
              <w:br/>
            </w:r>
            <w:r w:rsidRPr="008C52C9">
              <w:rPr>
                <w:b/>
                <w:noProof/>
                <w:sz w:val="20"/>
              </w:rPr>
              <w:t>2027</w:t>
            </w:r>
          </w:p>
        </w:tc>
        <w:tc>
          <w:tcPr>
            <w:tcW w:w="1170" w:type="dxa"/>
            <w:tcBorders>
              <w:top w:val="single" w:sz="2" w:space="0" w:color="auto"/>
              <w:left w:val="single" w:sz="2" w:space="0" w:color="auto"/>
              <w:bottom w:val="single" w:sz="2" w:space="0" w:color="auto"/>
              <w:right w:val="single" w:sz="2" w:space="0" w:color="auto"/>
            </w:tcBorders>
            <w:hideMark/>
          </w:tcPr>
          <w:p w14:paraId="769FDE9E" w14:textId="77777777" w:rsidR="005F20F6" w:rsidRPr="008C52C9" w:rsidRDefault="005F20F6">
            <w:pPr>
              <w:spacing w:before="60" w:after="60" w:line="276" w:lineRule="auto"/>
              <w:jc w:val="center"/>
              <w:rPr>
                <w:noProof/>
                <w:sz w:val="20"/>
              </w:rPr>
            </w:pPr>
            <w:r w:rsidRPr="008C52C9">
              <w:rPr>
                <w:noProof/>
                <w:sz w:val="20"/>
              </w:rPr>
              <w:t>Anno</w:t>
            </w:r>
            <w:r w:rsidRPr="008C52C9">
              <w:rPr>
                <w:noProof/>
              </w:rPr>
              <w:t xml:space="preserve"> </w:t>
            </w:r>
            <w:r w:rsidRPr="008C52C9">
              <w:rPr>
                <w:noProof/>
              </w:rPr>
              <w:br/>
            </w:r>
            <w:r w:rsidRPr="008C52C9">
              <w:rPr>
                <w:b/>
                <w:noProof/>
                <w:sz w:val="20"/>
              </w:rPr>
              <w:t>2028-2034</w:t>
            </w:r>
          </w:p>
        </w:tc>
        <w:tc>
          <w:tcPr>
            <w:tcW w:w="1134" w:type="dxa"/>
            <w:tcBorders>
              <w:top w:val="single" w:sz="2" w:space="0" w:color="auto"/>
              <w:left w:val="single" w:sz="2" w:space="0" w:color="auto"/>
              <w:bottom w:val="single" w:sz="2" w:space="0" w:color="auto"/>
              <w:right w:val="single" w:sz="2" w:space="0" w:color="auto"/>
            </w:tcBorders>
            <w:vAlign w:val="center"/>
            <w:hideMark/>
          </w:tcPr>
          <w:p w14:paraId="6E2C4031" w14:textId="77777777" w:rsidR="005F20F6" w:rsidRPr="008C52C9" w:rsidRDefault="005F20F6">
            <w:pPr>
              <w:spacing w:before="60" w:after="60" w:line="276" w:lineRule="auto"/>
              <w:jc w:val="center"/>
              <w:rPr>
                <w:b/>
                <w:noProof/>
                <w:sz w:val="20"/>
              </w:rPr>
            </w:pPr>
            <w:r w:rsidRPr="008C52C9">
              <w:rPr>
                <w:b/>
                <w:noProof/>
                <w:sz w:val="20"/>
              </w:rPr>
              <w:t>TOTALE</w:t>
            </w:r>
          </w:p>
        </w:tc>
      </w:tr>
    </w:tbl>
    <w:p w14:paraId="6314A962" w14:textId="77777777" w:rsidR="005F20F6" w:rsidRPr="008C52C9" w:rsidRDefault="005F20F6" w:rsidP="005F20F6">
      <w:pPr>
        <w:rPr>
          <w:noProof/>
          <w:sz w:val="20"/>
        </w:rPr>
      </w:pPr>
    </w:p>
    <w:tbl>
      <w:tblPr>
        <w:tblW w:w="753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1"/>
        <w:gridCol w:w="1081"/>
        <w:gridCol w:w="1081"/>
        <w:gridCol w:w="1081"/>
        <w:gridCol w:w="1171"/>
        <w:gridCol w:w="1135"/>
      </w:tblGrid>
      <w:tr w:rsidR="005F20F6" w:rsidRPr="008C52C9" w14:paraId="66F98F76" w14:textId="77777777" w:rsidTr="005F20F6">
        <w:trPr>
          <w:trHeight w:val="585"/>
        </w:trPr>
        <w:tc>
          <w:tcPr>
            <w:tcW w:w="198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2AB304D9" w14:textId="77777777" w:rsidR="005F20F6" w:rsidRPr="008C52C9" w:rsidRDefault="005F20F6">
            <w:pPr>
              <w:spacing w:before="60" w:after="60" w:line="276" w:lineRule="auto"/>
              <w:jc w:val="center"/>
              <w:rPr>
                <w:noProof/>
              </w:rPr>
            </w:pPr>
            <w:r w:rsidRPr="008C52C9">
              <w:rPr>
                <w:noProof/>
                <w:sz w:val="18"/>
              </w:rPr>
              <w:t>Agenti temporanei (gradi AD)</w:t>
            </w:r>
          </w:p>
        </w:tc>
        <w:tc>
          <w:tcPr>
            <w:tcW w:w="1080" w:type="dxa"/>
            <w:tcBorders>
              <w:top w:val="single" w:sz="2" w:space="0" w:color="auto"/>
              <w:left w:val="single" w:sz="2" w:space="0" w:color="auto"/>
              <w:bottom w:val="single" w:sz="2" w:space="0" w:color="auto"/>
              <w:right w:val="single" w:sz="2" w:space="0" w:color="auto"/>
            </w:tcBorders>
            <w:vAlign w:val="center"/>
            <w:hideMark/>
          </w:tcPr>
          <w:p w14:paraId="30CDB00E" w14:textId="77777777" w:rsidR="005F20F6" w:rsidRPr="008C52C9" w:rsidRDefault="005F20F6">
            <w:pPr>
              <w:spacing w:before="60" w:after="60" w:line="276" w:lineRule="auto"/>
              <w:jc w:val="right"/>
              <w:rPr>
                <w:noProof/>
                <w:sz w:val="20"/>
              </w:rPr>
            </w:pPr>
            <w:r w:rsidRPr="008C52C9">
              <w:rPr>
                <w:noProof/>
                <w:sz w:val="20"/>
              </w:rPr>
              <w:t>5</w:t>
            </w:r>
          </w:p>
        </w:tc>
        <w:tc>
          <w:tcPr>
            <w:tcW w:w="1080" w:type="dxa"/>
            <w:tcBorders>
              <w:top w:val="single" w:sz="2" w:space="0" w:color="auto"/>
              <w:left w:val="single" w:sz="2" w:space="0" w:color="auto"/>
              <w:bottom w:val="single" w:sz="2" w:space="0" w:color="auto"/>
              <w:right w:val="single" w:sz="2" w:space="0" w:color="auto"/>
            </w:tcBorders>
            <w:vAlign w:val="center"/>
            <w:hideMark/>
          </w:tcPr>
          <w:p w14:paraId="5DE7DDE7" w14:textId="77777777" w:rsidR="005F20F6" w:rsidRPr="008C52C9" w:rsidRDefault="005F20F6">
            <w:pPr>
              <w:spacing w:before="60" w:after="60" w:line="276" w:lineRule="auto"/>
              <w:jc w:val="right"/>
              <w:rPr>
                <w:noProof/>
                <w:sz w:val="20"/>
              </w:rPr>
            </w:pPr>
            <w:r w:rsidRPr="008C52C9">
              <w:rPr>
                <w:noProof/>
                <w:sz w:val="20"/>
              </w:rPr>
              <w:t>9</w:t>
            </w:r>
          </w:p>
        </w:tc>
        <w:tc>
          <w:tcPr>
            <w:tcW w:w="1080" w:type="dxa"/>
            <w:tcBorders>
              <w:top w:val="single" w:sz="2" w:space="0" w:color="auto"/>
              <w:left w:val="single" w:sz="2" w:space="0" w:color="auto"/>
              <w:bottom w:val="single" w:sz="2" w:space="0" w:color="auto"/>
              <w:right w:val="single" w:sz="2" w:space="0" w:color="auto"/>
            </w:tcBorders>
            <w:vAlign w:val="center"/>
            <w:hideMark/>
          </w:tcPr>
          <w:p w14:paraId="2338D870" w14:textId="77777777" w:rsidR="005F20F6" w:rsidRPr="008C52C9" w:rsidRDefault="005F20F6">
            <w:pPr>
              <w:spacing w:before="60" w:after="60" w:line="276" w:lineRule="auto"/>
              <w:jc w:val="right"/>
              <w:rPr>
                <w:noProof/>
                <w:sz w:val="20"/>
              </w:rPr>
            </w:pPr>
            <w:r w:rsidRPr="008C52C9">
              <w:rPr>
                <w:noProof/>
                <w:sz w:val="20"/>
              </w:rPr>
              <w:t>9</w:t>
            </w:r>
          </w:p>
        </w:tc>
        <w:tc>
          <w:tcPr>
            <w:tcW w:w="1170" w:type="dxa"/>
            <w:tcBorders>
              <w:top w:val="single" w:sz="2" w:space="0" w:color="auto"/>
              <w:left w:val="single" w:sz="2" w:space="0" w:color="auto"/>
              <w:bottom w:val="single" w:sz="2" w:space="0" w:color="auto"/>
              <w:right w:val="single" w:sz="2" w:space="0" w:color="auto"/>
            </w:tcBorders>
            <w:vAlign w:val="center"/>
            <w:hideMark/>
          </w:tcPr>
          <w:p w14:paraId="56D3FB48" w14:textId="77777777" w:rsidR="005F20F6" w:rsidRPr="008C52C9" w:rsidRDefault="005F20F6">
            <w:pPr>
              <w:spacing w:before="60" w:after="60" w:line="276" w:lineRule="auto"/>
              <w:jc w:val="right"/>
              <w:rPr>
                <w:noProof/>
                <w:sz w:val="20"/>
              </w:rPr>
            </w:pPr>
            <w:r w:rsidRPr="008C52C9">
              <w:rPr>
                <w:noProof/>
                <w:sz w:val="20"/>
              </w:rPr>
              <w:t>10</w:t>
            </w:r>
          </w:p>
        </w:tc>
        <w:tc>
          <w:tcPr>
            <w:tcW w:w="1134" w:type="dxa"/>
            <w:tcBorders>
              <w:top w:val="single" w:sz="2" w:space="0" w:color="auto"/>
              <w:left w:val="single" w:sz="2" w:space="0" w:color="auto"/>
              <w:bottom w:val="single" w:sz="2" w:space="0" w:color="auto"/>
              <w:right w:val="single" w:sz="2" w:space="0" w:color="auto"/>
            </w:tcBorders>
            <w:vAlign w:val="center"/>
            <w:hideMark/>
          </w:tcPr>
          <w:p w14:paraId="1D5BD4A5" w14:textId="77777777" w:rsidR="005F20F6" w:rsidRPr="008C52C9" w:rsidRDefault="005F20F6">
            <w:pPr>
              <w:spacing w:before="60" w:after="60" w:line="276" w:lineRule="auto"/>
              <w:jc w:val="right"/>
              <w:rPr>
                <w:noProof/>
                <w:sz w:val="20"/>
              </w:rPr>
            </w:pPr>
            <w:r w:rsidRPr="008C52C9">
              <w:rPr>
                <w:b/>
                <w:noProof/>
                <w:sz w:val="20"/>
              </w:rPr>
              <w:t>10</w:t>
            </w:r>
          </w:p>
        </w:tc>
      </w:tr>
      <w:tr w:rsidR="005F20F6" w:rsidRPr="008C52C9" w14:paraId="32745E59" w14:textId="77777777" w:rsidTr="005F20F6">
        <w:trPr>
          <w:trHeight w:val="585"/>
        </w:trPr>
        <w:tc>
          <w:tcPr>
            <w:tcW w:w="1980"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hideMark/>
          </w:tcPr>
          <w:p w14:paraId="0F0193B0" w14:textId="77777777" w:rsidR="005F20F6" w:rsidRPr="008C52C9" w:rsidRDefault="005F20F6">
            <w:pPr>
              <w:spacing w:before="60" w:after="60" w:line="276" w:lineRule="auto"/>
              <w:ind w:left="72"/>
              <w:rPr>
                <w:noProof/>
              </w:rPr>
            </w:pPr>
            <w:r w:rsidRPr="008C52C9">
              <w:rPr>
                <w:noProof/>
                <w:sz w:val="20"/>
              </w:rPr>
              <w:t>Agenti temporanei (gradi AST)</w:t>
            </w:r>
          </w:p>
        </w:tc>
        <w:tc>
          <w:tcPr>
            <w:tcW w:w="1080" w:type="dxa"/>
            <w:tcBorders>
              <w:top w:val="single" w:sz="2" w:space="0" w:color="auto"/>
              <w:left w:val="single" w:sz="2" w:space="0" w:color="auto"/>
              <w:bottom w:val="single" w:sz="2" w:space="0" w:color="auto"/>
              <w:right w:val="single" w:sz="2" w:space="0" w:color="auto"/>
            </w:tcBorders>
            <w:vAlign w:val="center"/>
            <w:hideMark/>
          </w:tcPr>
          <w:p w14:paraId="4A8B770B" w14:textId="77777777" w:rsidR="005F20F6" w:rsidRPr="008C52C9" w:rsidRDefault="005F20F6">
            <w:pPr>
              <w:spacing w:before="60" w:after="60" w:line="276" w:lineRule="auto"/>
              <w:jc w:val="right"/>
              <w:rPr>
                <w:noProof/>
                <w:sz w:val="20"/>
              </w:rPr>
            </w:pPr>
            <w:r w:rsidRPr="008C52C9">
              <w:rPr>
                <w:noProof/>
                <w:sz w:val="20"/>
              </w:rPr>
              <w:t>1</w:t>
            </w:r>
          </w:p>
        </w:tc>
        <w:tc>
          <w:tcPr>
            <w:tcW w:w="1080" w:type="dxa"/>
            <w:tcBorders>
              <w:top w:val="single" w:sz="2" w:space="0" w:color="auto"/>
              <w:left w:val="single" w:sz="2" w:space="0" w:color="auto"/>
              <w:bottom w:val="single" w:sz="2" w:space="0" w:color="auto"/>
              <w:right w:val="single" w:sz="2" w:space="0" w:color="auto"/>
            </w:tcBorders>
            <w:vAlign w:val="center"/>
            <w:hideMark/>
          </w:tcPr>
          <w:p w14:paraId="6362ABFF" w14:textId="77777777" w:rsidR="005F20F6" w:rsidRPr="008C52C9" w:rsidRDefault="005F20F6">
            <w:pPr>
              <w:spacing w:before="60" w:after="60" w:line="276" w:lineRule="auto"/>
              <w:jc w:val="right"/>
              <w:rPr>
                <w:noProof/>
                <w:sz w:val="20"/>
              </w:rPr>
            </w:pPr>
            <w:r w:rsidRPr="008C52C9">
              <w:rPr>
                <w:noProof/>
                <w:sz w:val="20"/>
              </w:rPr>
              <w:t>2</w:t>
            </w:r>
          </w:p>
        </w:tc>
        <w:tc>
          <w:tcPr>
            <w:tcW w:w="1080" w:type="dxa"/>
            <w:tcBorders>
              <w:top w:val="single" w:sz="2" w:space="0" w:color="auto"/>
              <w:left w:val="single" w:sz="2" w:space="0" w:color="auto"/>
              <w:bottom w:val="single" w:sz="2" w:space="0" w:color="auto"/>
              <w:right w:val="single" w:sz="2" w:space="0" w:color="auto"/>
            </w:tcBorders>
            <w:vAlign w:val="center"/>
            <w:hideMark/>
          </w:tcPr>
          <w:p w14:paraId="5B6D4F05" w14:textId="77777777" w:rsidR="005F20F6" w:rsidRPr="008C52C9" w:rsidRDefault="005F20F6">
            <w:pPr>
              <w:spacing w:before="60" w:after="60" w:line="276" w:lineRule="auto"/>
              <w:jc w:val="right"/>
              <w:rPr>
                <w:noProof/>
                <w:sz w:val="20"/>
              </w:rPr>
            </w:pPr>
            <w:r w:rsidRPr="008C52C9">
              <w:rPr>
                <w:noProof/>
                <w:sz w:val="20"/>
              </w:rPr>
              <w:t>2</w:t>
            </w:r>
          </w:p>
        </w:tc>
        <w:tc>
          <w:tcPr>
            <w:tcW w:w="1170" w:type="dxa"/>
            <w:tcBorders>
              <w:top w:val="single" w:sz="2" w:space="0" w:color="auto"/>
              <w:left w:val="single" w:sz="2" w:space="0" w:color="auto"/>
              <w:bottom w:val="single" w:sz="2" w:space="0" w:color="auto"/>
              <w:right w:val="single" w:sz="2" w:space="0" w:color="auto"/>
            </w:tcBorders>
            <w:vAlign w:val="center"/>
            <w:hideMark/>
          </w:tcPr>
          <w:p w14:paraId="0B7D568D" w14:textId="77777777" w:rsidR="005F20F6" w:rsidRPr="008C52C9" w:rsidRDefault="005F20F6">
            <w:pPr>
              <w:spacing w:before="60" w:after="60" w:line="276" w:lineRule="auto"/>
              <w:jc w:val="right"/>
              <w:rPr>
                <w:noProof/>
                <w:sz w:val="20"/>
              </w:rPr>
            </w:pPr>
            <w:r w:rsidRPr="008C52C9">
              <w:rPr>
                <w:noProof/>
                <w:sz w:val="20"/>
              </w:rPr>
              <w:t>2</w:t>
            </w:r>
          </w:p>
        </w:tc>
        <w:tc>
          <w:tcPr>
            <w:tcW w:w="1134" w:type="dxa"/>
            <w:tcBorders>
              <w:top w:val="single" w:sz="2" w:space="0" w:color="auto"/>
              <w:left w:val="single" w:sz="2" w:space="0" w:color="auto"/>
              <w:bottom w:val="single" w:sz="2" w:space="0" w:color="auto"/>
              <w:right w:val="single" w:sz="2" w:space="0" w:color="auto"/>
            </w:tcBorders>
            <w:vAlign w:val="center"/>
            <w:hideMark/>
          </w:tcPr>
          <w:p w14:paraId="626E09A1" w14:textId="77777777" w:rsidR="005F20F6" w:rsidRPr="008C52C9" w:rsidRDefault="005F20F6">
            <w:pPr>
              <w:spacing w:before="60" w:after="60" w:line="276" w:lineRule="auto"/>
              <w:jc w:val="right"/>
              <w:rPr>
                <w:noProof/>
                <w:sz w:val="20"/>
              </w:rPr>
            </w:pPr>
            <w:r w:rsidRPr="008C52C9">
              <w:rPr>
                <w:noProof/>
                <w:sz w:val="20"/>
              </w:rPr>
              <w:t>2</w:t>
            </w:r>
          </w:p>
        </w:tc>
      </w:tr>
      <w:tr w:rsidR="005F20F6" w:rsidRPr="008C52C9" w14:paraId="64F691DD" w14:textId="77777777" w:rsidTr="005F20F6">
        <w:trPr>
          <w:trHeight w:val="585"/>
        </w:trPr>
        <w:tc>
          <w:tcPr>
            <w:tcW w:w="1980"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hideMark/>
          </w:tcPr>
          <w:p w14:paraId="355455A6" w14:textId="77777777" w:rsidR="005F20F6" w:rsidRPr="008C52C9" w:rsidRDefault="005F20F6">
            <w:pPr>
              <w:spacing w:before="60" w:after="60" w:line="276" w:lineRule="auto"/>
              <w:ind w:left="72"/>
              <w:rPr>
                <w:noProof/>
              </w:rPr>
            </w:pPr>
            <w:r w:rsidRPr="008C52C9">
              <w:rPr>
                <w:noProof/>
                <w:sz w:val="20"/>
              </w:rPr>
              <w:t>Agenti contrattuali</w:t>
            </w:r>
          </w:p>
        </w:tc>
        <w:tc>
          <w:tcPr>
            <w:tcW w:w="1080"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7F66888F" w14:textId="77777777" w:rsidR="005F20F6" w:rsidRPr="008C52C9" w:rsidRDefault="005F20F6">
            <w:pPr>
              <w:spacing w:before="60" w:after="60" w:line="276" w:lineRule="auto"/>
              <w:jc w:val="right"/>
              <w:rPr>
                <w:noProof/>
                <w:sz w:val="20"/>
              </w:rPr>
            </w:pPr>
          </w:p>
        </w:tc>
        <w:tc>
          <w:tcPr>
            <w:tcW w:w="1080"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1B91CC30" w14:textId="77777777" w:rsidR="005F20F6" w:rsidRPr="008C52C9" w:rsidRDefault="005F20F6">
            <w:pPr>
              <w:spacing w:before="60" w:after="60" w:line="276" w:lineRule="auto"/>
              <w:jc w:val="right"/>
              <w:rPr>
                <w:noProof/>
                <w:sz w:val="20"/>
              </w:rPr>
            </w:pPr>
          </w:p>
        </w:tc>
        <w:tc>
          <w:tcPr>
            <w:tcW w:w="1080"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43531931" w14:textId="77777777" w:rsidR="005F20F6" w:rsidRPr="008C52C9" w:rsidRDefault="005F20F6">
            <w:pPr>
              <w:spacing w:before="60" w:after="60" w:line="276" w:lineRule="auto"/>
              <w:jc w:val="right"/>
              <w:rPr>
                <w:noProof/>
                <w:sz w:val="20"/>
              </w:rPr>
            </w:pPr>
          </w:p>
        </w:tc>
        <w:tc>
          <w:tcPr>
            <w:tcW w:w="1170"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65FA38C7" w14:textId="77777777" w:rsidR="005F20F6" w:rsidRPr="008C52C9" w:rsidRDefault="005F20F6">
            <w:pPr>
              <w:spacing w:before="60" w:after="60" w:line="276" w:lineRule="auto"/>
              <w:jc w:val="right"/>
              <w:rPr>
                <w:noProof/>
                <w:sz w:val="20"/>
              </w:rPr>
            </w:pPr>
          </w:p>
        </w:tc>
        <w:tc>
          <w:tcPr>
            <w:tcW w:w="1134"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4B610B2D" w14:textId="77777777" w:rsidR="005F20F6" w:rsidRPr="008C52C9" w:rsidRDefault="005F20F6">
            <w:pPr>
              <w:spacing w:before="60" w:after="60" w:line="276" w:lineRule="auto"/>
              <w:jc w:val="right"/>
              <w:rPr>
                <w:noProof/>
                <w:sz w:val="20"/>
              </w:rPr>
            </w:pPr>
          </w:p>
        </w:tc>
      </w:tr>
      <w:tr w:rsidR="005F20F6" w:rsidRPr="008C52C9" w14:paraId="317C4EAD" w14:textId="77777777" w:rsidTr="005F20F6">
        <w:trPr>
          <w:trHeight w:val="585"/>
        </w:trPr>
        <w:tc>
          <w:tcPr>
            <w:tcW w:w="1980" w:type="dxa"/>
            <w:tcBorders>
              <w:top w:val="single" w:sz="2" w:space="0" w:color="auto"/>
              <w:left w:val="single" w:sz="2" w:space="0" w:color="auto"/>
              <w:bottom w:val="single" w:sz="2" w:space="0" w:color="auto"/>
              <w:right w:val="single" w:sz="2" w:space="0" w:color="auto"/>
            </w:tcBorders>
            <w:shd w:val="clear" w:color="auto" w:fill="CCCCCC"/>
            <w:vAlign w:val="center"/>
            <w:hideMark/>
          </w:tcPr>
          <w:p w14:paraId="6246C74A" w14:textId="77777777" w:rsidR="005F20F6" w:rsidRPr="008C52C9" w:rsidRDefault="005F20F6">
            <w:pPr>
              <w:spacing w:before="60" w:after="60" w:line="276" w:lineRule="auto"/>
              <w:jc w:val="center"/>
              <w:rPr>
                <w:noProof/>
              </w:rPr>
            </w:pPr>
            <w:r w:rsidRPr="008C52C9">
              <w:rPr>
                <w:noProof/>
                <w:sz w:val="18"/>
              </w:rPr>
              <w:t>Esperti nazionali distaccati</w:t>
            </w:r>
          </w:p>
        </w:tc>
        <w:tc>
          <w:tcPr>
            <w:tcW w:w="1080" w:type="dxa"/>
            <w:tcBorders>
              <w:top w:val="single" w:sz="2" w:space="0" w:color="auto"/>
              <w:left w:val="single" w:sz="2" w:space="0" w:color="auto"/>
              <w:bottom w:val="single" w:sz="2" w:space="0" w:color="auto"/>
              <w:right w:val="single" w:sz="2" w:space="0" w:color="auto"/>
            </w:tcBorders>
            <w:vAlign w:val="center"/>
          </w:tcPr>
          <w:p w14:paraId="50585353" w14:textId="77777777" w:rsidR="005F20F6" w:rsidRPr="008C52C9" w:rsidRDefault="005F20F6">
            <w:pPr>
              <w:spacing w:before="60" w:after="60" w:line="276" w:lineRule="auto"/>
              <w:jc w:val="right"/>
              <w:rPr>
                <w:noProof/>
                <w:sz w:val="20"/>
              </w:rPr>
            </w:pPr>
          </w:p>
        </w:tc>
        <w:tc>
          <w:tcPr>
            <w:tcW w:w="1080" w:type="dxa"/>
            <w:tcBorders>
              <w:top w:val="single" w:sz="2" w:space="0" w:color="auto"/>
              <w:left w:val="single" w:sz="2" w:space="0" w:color="auto"/>
              <w:bottom w:val="single" w:sz="2" w:space="0" w:color="auto"/>
              <w:right w:val="single" w:sz="2" w:space="0" w:color="auto"/>
            </w:tcBorders>
            <w:vAlign w:val="center"/>
          </w:tcPr>
          <w:p w14:paraId="67817124" w14:textId="77777777" w:rsidR="005F20F6" w:rsidRPr="008C52C9" w:rsidRDefault="005F20F6">
            <w:pPr>
              <w:spacing w:before="60" w:after="60" w:line="276" w:lineRule="auto"/>
              <w:jc w:val="right"/>
              <w:rPr>
                <w:noProof/>
                <w:sz w:val="20"/>
              </w:rPr>
            </w:pPr>
          </w:p>
        </w:tc>
        <w:tc>
          <w:tcPr>
            <w:tcW w:w="1080" w:type="dxa"/>
            <w:tcBorders>
              <w:top w:val="single" w:sz="2" w:space="0" w:color="auto"/>
              <w:left w:val="single" w:sz="2" w:space="0" w:color="auto"/>
              <w:bottom w:val="single" w:sz="2" w:space="0" w:color="auto"/>
              <w:right w:val="single" w:sz="2" w:space="0" w:color="auto"/>
            </w:tcBorders>
            <w:vAlign w:val="center"/>
          </w:tcPr>
          <w:p w14:paraId="6BDE51AF" w14:textId="77777777" w:rsidR="005F20F6" w:rsidRPr="008C52C9" w:rsidRDefault="005F20F6">
            <w:pPr>
              <w:spacing w:before="60" w:after="60" w:line="276" w:lineRule="auto"/>
              <w:jc w:val="right"/>
              <w:rPr>
                <w:noProof/>
                <w:sz w:val="20"/>
              </w:rPr>
            </w:pPr>
          </w:p>
        </w:tc>
        <w:tc>
          <w:tcPr>
            <w:tcW w:w="1170" w:type="dxa"/>
            <w:tcBorders>
              <w:top w:val="single" w:sz="2" w:space="0" w:color="auto"/>
              <w:left w:val="single" w:sz="2" w:space="0" w:color="auto"/>
              <w:bottom w:val="single" w:sz="2" w:space="0" w:color="auto"/>
              <w:right w:val="single" w:sz="2" w:space="0" w:color="auto"/>
            </w:tcBorders>
            <w:vAlign w:val="center"/>
          </w:tcPr>
          <w:p w14:paraId="4AF09E16" w14:textId="77777777" w:rsidR="005F20F6" w:rsidRPr="008C52C9" w:rsidRDefault="005F20F6">
            <w:pPr>
              <w:spacing w:before="60" w:after="60" w:line="276" w:lineRule="auto"/>
              <w:jc w:val="right"/>
              <w:rPr>
                <w:noProof/>
                <w:sz w:val="20"/>
              </w:rPr>
            </w:pPr>
          </w:p>
        </w:tc>
        <w:tc>
          <w:tcPr>
            <w:tcW w:w="1134" w:type="dxa"/>
            <w:tcBorders>
              <w:top w:val="single" w:sz="2" w:space="0" w:color="auto"/>
              <w:left w:val="single" w:sz="2" w:space="0" w:color="auto"/>
              <w:bottom w:val="single" w:sz="2" w:space="0" w:color="auto"/>
              <w:right w:val="single" w:sz="2" w:space="0" w:color="auto"/>
            </w:tcBorders>
            <w:vAlign w:val="center"/>
          </w:tcPr>
          <w:p w14:paraId="0BED810C" w14:textId="77777777" w:rsidR="005F20F6" w:rsidRPr="008C52C9" w:rsidRDefault="005F20F6">
            <w:pPr>
              <w:spacing w:before="60" w:after="60" w:line="276" w:lineRule="auto"/>
              <w:jc w:val="right"/>
              <w:rPr>
                <w:noProof/>
                <w:sz w:val="20"/>
              </w:rPr>
            </w:pPr>
          </w:p>
        </w:tc>
      </w:tr>
    </w:tbl>
    <w:p w14:paraId="08E307DC" w14:textId="77777777" w:rsidR="005F20F6" w:rsidRPr="008C52C9" w:rsidRDefault="005F20F6" w:rsidP="005F20F6">
      <w:pPr>
        <w:rPr>
          <w:noProof/>
          <w:sz w:val="20"/>
        </w:rPr>
      </w:pPr>
    </w:p>
    <w:tbl>
      <w:tblPr>
        <w:tblW w:w="7530" w:type="dxa"/>
        <w:tblInd w:w="-612" w:type="dxa"/>
        <w:tblLayout w:type="fixed"/>
        <w:tblLook w:val="01E0" w:firstRow="1" w:lastRow="1" w:firstColumn="1" w:lastColumn="1" w:noHBand="0" w:noVBand="0"/>
      </w:tblPr>
      <w:tblGrid>
        <w:gridCol w:w="1981"/>
        <w:gridCol w:w="1081"/>
        <w:gridCol w:w="1081"/>
        <w:gridCol w:w="1081"/>
        <w:gridCol w:w="1171"/>
        <w:gridCol w:w="1135"/>
      </w:tblGrid>
      <w:tr w:rsidR="005F20F6" w:rsidRPr="008C52C9" w14:paraId="2F660F4C" w14:textId="77777777" w:rsidTr="002D24C0">
        <w:trPr>
          <w:trHeight w:val="585"/>
        </w:trPr>
        <w:tc>
          <w:tcPr>
            <w:tcW w:w="1981" w:type="dxa"/>
            <w:tcBorders>
              <w:top w:val="single" w:sz="12" w:space="0" w:color="auto"/>
              <w:left w:val="single" w:sz="12" w:space="0" w:color="auto"/>
              <w:bottom w:val="single" w:sz="12" w:space="0" w:color="auto"/>
              <w:right w:val="single" w:sz="2" w:space="0" w:color="auto"/>
            </w:tcBorders>
            <w:vAlign w:val="center"/>
            <w:hideMark/>
          </w:tcPr>
          <w:p w14:paraId="08B14191" w14:textId="77777777" w:rsidR="005F20F6" w:rsidRPr="008C52C9" w:rsidRDefault="005F20F6">
            <w:pPr>
              <w:spacing w:before="60" w:after="60" w:line="276" w:lineRule="auto"/>
              <w:jc w:val="center"/>
              <w:rPr>
                <w:noProof/>
                <w:sz w:val="20"/>
              </w:rPr>
            </w:pPr>
            <w:r w:rsidRPr="008C52C9">
              <w:rPr>
                <w:b/>
                <w:noProof/>
                <w:sz w:val="20"/>
              </w:rPr>
              <w:t>TOTALE</w:t>
            </w:r>
          </w:p>
        </w:tc>
        <w:tc>
          <w:tcPr>
            <w:tcW w:w="1081" w:type="dxa"/>
            <w:tcBorders>
              <w:top w:val="single" w:sz="12" w:space="0" w:color="auto"/>
              <w:left w:val="single" w:sz="2" w:space="0" w:color="auto"/>
              <w:bottom w:val="single" w:sz="12" w:space="0" w:color="auto"/>
              <w:right w:val="single" w:sz="2" w:space="0" w:color="auto"/>
            </w:tcBorders>
            <w:vAlign w:val="center"/>
            <w:hideMark/>
          </w:tcPr>
          <w:p w14:paraId="132D0576" w14:textId="77777777" w:rsidR="005F20F6" w:rsidRPr="008C52C9" w:rsidRDefault="005F20F6">
            <w:pPr>
              <w:spacing w:before="60" w:after="60" w:line="276" w:lineRule="auto"/>
              <w:jc w:val="right"/>
              <w:rPr>
                <w:b/>
                <w:noProof/>
                <w:sz w:val="20"/>
              </w:rPr>
            </w:pPr>
            <w:r w:rsidRPr="008C52C9">
              <w:rPr>
                <w:b/>
                <w:noProof/>
                <w:sz w:val="20"/>
              </w:rPr>
              <w:t>6</w:t>
            </w:r>
          </w:p>
        </w:tc>
        <w:tc>
          <w:tcPr>
            <w:tcW w:w="1081" w:type="dxa"/>
            <w:tcBorders>
              <w:top w:val="single" w:sz="12" w:space="0" w:color="auto"/>
              <w:left w:val="single" w:sz="2" w:space="0" w:color="auto"/>
              <w:bottom w:val="single" w:sz="12" w:space="0" w:color="auto"/>
              <w:right w:val="single" w:sz="2" w:space="0" w:color="auto"/>
            </w:tcBorders>
            <w:vAlign w:val="center"/>
            <w:hideMark/>
          </w:tcPr>
          <w:p w14:paraId="413732AB" w14:textId="77777777" w:rsidR="005F20F6" w:rsidRPr="008C52C9" w:rsidRDefault="005F20F6">
            <w:pPr>
              <w:spacing w:before="60" w:after="60" w:line="276" w:lineRule="auto"/>
              <w:jc w:val="right"/>
              <w:rPr>
                <w:b/>
                <w:noProof/>
                <w:sz w:val="20"/>
              </w:rPr>
            </w:pPr>
            <w:r w:rsidRPr="008C52C9">
              <w:rPr>
                <w:b/>
                <w:noProof/>
                <w:sz w:val="20"/>
              </w:rPr>
              <w:t>11</w:t>
            </w:r>
          </w:p>
        </w:tc>
        <w:tc>
          <w:tcPr>
            <w:tcW w:w="1081" w:type="dxa"/>
            <w:tcBorders>
              <w:top w:val="single" w:sz="12" w:space="0" w:color="auto"/>
              <w:left w:val="single" w:sz="2" w:space="0" w:color="auto"/>
              <w:bottom w:val="single" w:sz="12" w:space="0" w:color="auto"/>
              <w:right w:val="single" w:sz="2" w:space="0" w:color="auto"/>
            </w:tcBorders>
            <w:vAlign w:val="center"/>
            <w:hideMark/>
          </w:tcPr>
          <w:p w14:paraId="7D9FA9CD" w14:textId="77777777" w:rsidR="005F20F6" w:rsidRPr="008C52C9" w:rsidRDefault="005F20F6">
            <w:pPr>
              <w:spacing w:before="60" w:after="60" w:line="276" w:lineRule="auto"/>
              <w:jc w:val="right"/>
              <w:rPr>
                <w:b/>
                <w:noProof/>
                <w:sz w:val="20"/>
              </w:rPr>
            </w:pPr>
            <w:r w:rsidRPr="008C52C9">
              <w:rPr>
                <w:b/>
                <w:noProof/>
                <w:sz w:val="20"/>
              </w:rPr>
              <w:t>11</w:t>
            </w:r>
          </w:p>
        </w:tc>
        <w:tc>
          <w:tcPr>
            <w:tcW w:w="1171" w:type="dxa"/>
            <w:tcBorders>
              <w:top w:val="single" w:sz="12" w:space="0" w:color="auto"/>
              <w:left w:val="single" w:sz="2" w:space="0" w:color="auto"/>
              <w:bottom w:val="single" w:sz="12" w:space="0" w:color="auto"/>
              <w:right w:val="single" w:sz="2" w:space="0" w:color="auto"/>
            </w:tcBorders>
            <w:vAlign w:val="center"/>
            <w:hideMark/>
          </w:tcPr>
          <w:p w14:paraId="71421BF3" w14:textId="77777777" w:rsidR="005F20F6" w:rsidRPr="008C52C9" w:rsidRDefault="005F20F6">
            <w:pPr>
              <w:spacing w:before="60" w:after="60" w:line="276" w:lineRule="auto"/>
              <w:jc w:val="right"/>
              <w:rPr>
                <w:b/>
                <w:noProof/>
                <w:sz w:val="20"/>
              </w:rPr>
            </w:pPr>
            <w:r w:rsidRPr="008C52C9">
              <w:rPr>
                <w:b/>
                <w:noProof/>
                <w:sz w:val="20"/>
              </w:rPr>
              <w:t>12</w:t>
            </w:r>
          </w:p>
        </w:tc>
        <w:tc>
          <w:tcPr>
            <w:tcW w:w="1135" w:type="dxa"/>
            <w:tcBorders>
              <w:top w:val="single" w:sz="12" w:space="0" w:color="auto"/>
              <w:left w:val="single" w:sz="2" w:space="0" w:color="auto"/>
              <w:bottom w:val="single" w:sz="12" w:space="0" w:color="auto"/>
              <w:right w:val="single" w:sz="12" w:space="0" w:color="auto"/>
            </w:tcBorders>
            <w:vAlign w:val="center"/>
            <w:hideMark/>
          </w:tcPr>
          <w:p w14:paraId="10372A7F" w14:textId="77777777" w:rsidR="005F20F6" w:rsidRPr="008C52C9" w:rsidRDefault="005F20F6">
            <w:pPr>
              <w:spacing w:before="60" w:after="60" w:line="276" w:lineRule="auto"/>
              <w:jc w:val="right"/>
              <w:rPr>
                <w:b/>
                <w:noProof/>
                <w:sz w:val="20"/>
              </w:rPr>
            </w:pPr>
            <w:r w:rsidRPr="008C52C9">
              <w:rPr>
                <w:b/>
                <w:noProof/>
                <w:sz w:val="20"/>
              </w:rPr>
              <w:t>12</w:t>
            </w:r>
          </w:p>
        </w:tc>
      </w:tr>
    </w:tbl>
    <w:p w14:paraId="7965A32F" w14:textId="77777777" w:rsidR="005F20F6" w:rsidRPr="008C52C9" w:rsidRDefault="002D24C0" w:rsidP="005F20F6">
      <w:pPr>
        <w:rPr>
          <w:noProof/>
          <w:u w:val="single"/>
        </w:rPr>
      </w:pPr>
      <w:r w:rsidRPr="008C52C9">
        <w:rPr>
          <w:noProof/>
          <w:u w:val="single"/>
        </w:rPr>
        <w:t>L'incidenza sul bilancio al di là dell'attuale QFP rappresenta una panoramica indicativa, fatto salvo il futuro accordo sul QFP.</w:t>
      </w:r>
    </w:p>
    <w:p w14:paraId="4B323457" w14:textId="77777777" w:rsidR="005F20F6" w:rsidRPr="008C52C9" w:rsidRDefault="00776D08" w:rsidP="005F20F6">
      <w:pPr>
        <w:spacing w:before="0" w:after="0"/>
        <w:jc w:val="left"/>
        <w:rPr>
          <w:noProof/>
        </w:rPr>
        <w:sectPr w:rsidR="005F20F6" w:rsidRPr="008C52C9" w:rsidSect="001A4546">
          <w:headerReference w:type="default" r:id="rId22"/>
          <w:footerReference w:type="default" r:id="rId23"/>
          <w:headerReference w:type="first" r:id="rId24"/>
          <w:footerReference w:type="first" r:id="rId25"/>
          <w:pgSz w:w="11907" w:h="16839"/>
          <w:pgMar w:top="1134" w:right="1417" w:bottom="1134" w:left="1417" w:header="709" w:footer="709" w:gutter="0"/>
          <w:cols w:space="720"/>
          <w:docGrid w:linePitch="326"/>
        </w:sectPr>
      </w:pPr>
      <w:r w:rsidRPr="008C52C9">
        <w:rPr>
          <w:noProof/>
          <w:u w:val="single"/>
        </w:rPr>
        <w:lastRenderedPageBreak/>
        <w:t xml:space="preserve">L'EMSA inizierà a predisporre le assunzioni non appena la proposta sarà adottata. I costi sono stimati sulla base dell'ipotesi che i 6 ETP siano assunti a partire dal 1º luglio 2025. Pertanto solo il 50 % dei costi delle risorse umane è necessario per il primo anno. </w:t>
      </w:r>
    </w:p>
    <w:p w14:paraId="600EC798" w14:textId="77777777" w:rsidR="005F20F6" w:rsidRPr="008C52C9" w:rsidRDefault="005F20F6" w:rsidP="005F20F6">
      <w:pPr>
        <w:pStyle w:val="ManualHeading4"/>
        <w:rPr>
          <w:bCs/>
          <w:noProof/>
          <w:szCs w:val="24"/>
        </w:rPr>
      </w:pPr>
      <w:r w:rsidRPr="008C52C9">
        <w:rPr>
          <w:noProof/>
        </w:rPr>
        <w:lastRenderedPageBreak/>
        <w:t>3.2.3.2.</w:t>
      </w:r>
      <w:r w:rsidRPr="008C52C9">
        <w:rPr>
          <w:noProof/>
        </w:rPr>
        <w:tab/>
        <w:t>Fabbisogno previsto di risorse umane per la DG di riferimento</w:t>
      </w:r>
    </w:p>
    <w:p w14:paraId="320BF1D4" w14:textId="77777777" w:rsidR="005F20F6" w:rsidRPr="008C52C9" w:rsidRDefault="005F20F6" w:rsidP="00425994">
      <w:pPr>
        <w:pStyle w:val="ListDash1"/>
        <w:rPr>
          <w:noProof/>
        </w:rPr>
      </w:pPr>
      <w:r w:rsidRPr="008C52C9">
        <w:rPr>
          <w:noProof/>
        </w:rPr>
        <w:sym w:font="Wingdings" w:char="F0FE"/>
      </w:r>
      <w:r w:rsidRPr="008C52C9">
        <w:rPr>
          <w:noProof/>
        </w:rPr>
        <w:tab/>
        <w:t xml:space="preserve">La proposta/iniziativa non comporta l'utilizzo di risorse umane. </w:t>
      </w:r>
    </w:p>
    <w:p w14:paraId="0F49232B" w14:textId="77777777" w:rsidR="005F20F6" w:rsidRPr="008C52C9" w:rsidRDefault="005F20F6" w:rsidP="00425994">
      <w:pPr>
        <w:pStyle w:val="ListDash1"/>
        <w:rPr>
          <w:noProof/>
        </w:rPr>
      </w:pPr>
      <w:r w:rsidRPr="008C52C9">
        <w:rPr>
          <w:noProof/>
        </w:rPr>
        <w:sym w:font="Wingdings" w:char="F0A8"/>
      </w:r>
      <w:r w:rsidRPr="008C52C9">
        <w:rPr>
          <w:noProof/>
        </w:rPr>
        <w:tab/>
        <w:t>La proposta/iniziativa comporta l'utilizzo di risorse umane, come spiegato di seguito:</w:t>
      </w:r>
    </w:p>
    <w:p w14:paraId="03D6D13C" w14:textId="77777777" w:rsidR="005F20F6" w:rsidRPr="008C52C9" w:rsidRDefault="005F20F6" w:rsidP="005F20F6">
      <w:pPr>
        <w:spacing w:after="60"/>
        <w:jc w:val="right"/>
        <w:rPr>
          <w:i/>
          <w:noProof/>
          <w:sz w:val="20"/>
        </w:rPr>
      </w:pPr>
      <w:r w:rsidRPr="008C52C9">
        <w:rPr>
          <w:i/>
          <w:noProof/>
          <w:sz w:val="20"/>
        </w:rPr>
        <w:t>Stima da esprimere in numeri interi (o, al massimo, con un decimale)</w:t>
      </w:r>
    </w:p>
    <w:tbl>
      <w:tblPr>
        <w:tblW w:w="54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3052"/>
        <w:gridCol w:w="2586"/>
        <w:gridCol w:w="661"/>
        <w:gridCol w:w="661"/>
        <w:gridCol w:w="661"/>
        <w:gridCol w:w="661"/>
        <w:gridCol w:w="432"/>
        <w:gridCol w:w="630"/>
        <w:gridCol w:w="688"/>
      </w:tblGrid>
      <w:tr w:rsidR="005F20F6" w:rsidRPr="008C52C9" w14:paraId="5EA7D463" w14:textId="77777777" w:rsidTr="005F20F6">
        <w:trPr>
          <w:trHeight w:val="289"/>
          <w:jc w:val="center"/>
        </w:trPr>
        <w:tc>
          <w:tcPr>
            <w:tcW w:w="2043" w:type="pct"/>
            <w:gridSpan w:val="2"/>
            <w:tcBorders>
              <w:top w:val="single" w:sz="6" w:space="0" w:color="auto"/>
              <w:left w:val="single" w:sz="6" w:space="0" w:color="auto"/>
              <w:bottom w:val="single" w:sz="6" w:space="0" w:color="auto"/>
              <w:right w:val="single" w:sz="6" w:space="0" w:color="auto"/>
            </w:tcBorders>
          </w:tcPr>
          <w:p w14:paraId="6325AF81" w14:textId="77777777" w:rsidR="005F20F6" w:rsidRPr="008C52C9" w:rsidRDefault="005F20F6">
            <w:pPr>
              <w:pStyle w:val="Text1"/>
              <w:spacing w:before="40" w:after="40" w:line="276" w:lineRule="auto"/>
              <w:ind w:left="0"/>
              <w:jc w:val="center"/>
              <w:rPr>
                <w:i/>
                <w:noProof/>
                <w:sz w:val="20"/>
              </w:rPr>
            </w:pPr>
          </w:p>
        </w:tc>
        <w:tc>
          <w:tcPr>
            <w:tcW w:w="377" w:type="pct"/>
            <w:tcBorders>
              <w:top w:val="single" w:sz="6" w:space="0" w:color="auto"/>
              <w:left w:val="single" w:sz="6" w:space="0" w:color="auto"/>
              <w:bottom w:val="single" w:sz="6" w:space="0" w:color="auto"/>
              <w:right w:val="single" w:sz="6" w:space="0" w:color="auto"/>
            </w:tcBorders>
            <w:vAlign w:val="center"/>
            <w:hideMark/>
          </w:tcPr>
          <w:p w14:paraId="37CAD75B" w14:textId="77777777" w:rsidR="005F20F6" w:rsidRPr="008C52C9" w:rsidRDefault="005F20F6">
            <w:pPr>
              <w:spacing w:before="20" w:after="20" w:line="276" w:lineRule="auto"/>
              <w:jc w:val="center"/>
              <w:rPr>
                <w:noProof/>
                <w:sz w:val="20"/>
              </w:rPr>
            </w:pPr>
            <w:r w:rsidRPr="008C52C9">
              <w:rPr>
                <w:noProof/>
                <w:sz w:val="20"/>
              </w:rPr>
              <w:t>Anno</w:t>
            </w:r>
            <w:r w:rsidRPr="008C52C9">
              <w:rPr>
                <w:noProof/>
              </w:rPr>
              <w:t xml:space="preserve"> </w:t>
            </w:r>
            <w:r w:rsidRPr="008C52C9">
              <w:rPr>
                <w:noProof/>
              </w:rPr>
              <w:br/>
            </w:r>
            <w:r w:rsidRPr="008C52C9">
              <w:rPr>
                <w:b/>
                <w:noProof/>
                <w:sz w:val="20"/>
              </w:rPr>
              <w:t>N</w:t>
            </w:r>
          </w:p>
        </w:tc>
        <w:tc>
          <w:tcPr>
            <w:tcW w:w="377" w:type="pct"/>
            <w:tcBorders>
              <w:top w:val="single" w:sz="6" w:space="0" w:color="auto"/>
              <w:left w:val="single" w:sz="6" w:space="0" w:color="auto"/>
              <w:bottom w:val="single" w:sz="6" w:space="0" w:color="auto"/>
              <w:right w:val="single" w:sz="6" w:space="0" w:color="auto"/>
            </w:tcBorders>
            <w:vAlign w:val="center"/>
            <w:hideMark/>
          </w:tcPr>
          <w:p w14:paraId="7BB4A2AF" w14:textId="77777777" w:rsidR="005F20F6" w:rsidRPr="008C52C9" w:rsidRDefault="005F20F6">
            <w:pPr>
              <w:spacing w:before="20" w:after="20" w:line="276" w:lineRule="auto"/>
              <w:jc w:val="center"/>
              <w:rPr>
                <w:noProof/>
                <w:sz w:val="20"/>
              </w:rPr>
            </w:pPr>
            <w:r w:rsidRPr="008C52C9">
              <w:rPr>
                <w:noProof/>
                <w:sz w:val="20"/>
              </w:rPr>
              <w:t>Anno</w:t>
            </w:r>
            <w:r w:rsidRPr="008C52C9">
              <w:rPr>
                <w:noProof/>
              </w:rPr>
              <w:t xml:space="preserve"> </w:t>
            </w:r>
            <w:r w:rsidRPr="008C52C9">
              <w:rPr>
                <w:noProof/>
              </w:rPr>
              <w:br/>
            </w:r>
            <w:r w:rsidRPr="008C52C9">
              <w:rPr>
                <w:b/>
                <w:noProof/>
                <w:sz w:val="20"/>
              </w:rPr>
              <w:t>N+1</w:t>
            </w:r>
          </w:p>
        </w:tc>
        <w:tc>
          <w:tcPr>
            <w:tcW w:w="406" w:type="pct"/>
            <w:tcBorders>
              <w:top w:val="single" w:sz="6" w:space="0" w:color="auto"/>
              <w:left w:val="single" w:sz="6" w:space="0" w:color="auto"/>
              <w:bottom w:val="single" w:sz="6" w:space="0" w:color="auto"/>
              <w:right w:val="single" w:sz="6" w:space="0" w:color="auto"/>
            </w:tcBorders>
            <w:vAlign w:val="center"/>
            <w:hideMark/>
          </w:tcPr>
          <w:p w14:paraId="5BD2119A" w14:textId="77777777" w:rsidR="005F20F6" w:rsidRPr="008C52C9" w:rsidRDefault="005F20F6">
            <w:pPr>
              <w:spacing w:before="20" w:after="20" w:line="276" w:lineRule="auto"/>
              <w:jc w:val="center"/>
              <w:rPr>
                <w:noProof/>
                <w:sz w:val="20"/>
              </w:rPr>
            </w:pPr>
            <w:r w:rsidRPr="008C52C9">
              <w:rPr>
                <w:noProof/>
                <w:sz w:val="20"/>
              </w:rPr>
              <w:t xml:space="preserve">Anno </w:t>
            </w:r>
            <w:r w:rsidRPr="008C52C9">
              <w:rPr>
                <w:b/>
                <w:noProof/>
                <w:sz w:val="20"/>
              </w:rPr>
              <w:t>N+2</w:t>
            </w:r>
          </w:p>
        </w:tc>
        <w:tc>
          <w:tcPr>
            <w:tcW w:w="497" w:type="pct"/>
            <w:tcBorders>
              <w:top w:val="single" w:sz="6" w:space="0" w:color="auto"/>
              <w:left w:val="single" w:sz="6" w:space="0" w:color="auto"/>
              <w:bottom w:val="single" w:sz="6" w:space="0" w:color="auto"/>
              <w:right w:val="single" w:sz="6" w:space="0" w:color="auto"/>
            </w:tcBorders>
            <w:vAlign w:val="center"/>
            <w:hideMark/>
          </w:tcPr>
          <w:p w14:paraId="24FA2EDE" w14:textId="77777777" w:rsidR="005F20F6" w:rsidRPr="008C52C9" w:rsidRDefault="005F20F6">
            <w:pPr>
              <w:spacing w:before="20" w:after="20" w:line="276" w:lineRule="auto"/>
              <w:jc w:val="center"/>
              <w:rPr>
                <w:noProof/>
                <w:sz w:val="20"/>
              </w:rPr>
            </w:pPr>
            <w:r w:rsidRPr="008C52C9">
              <w:rPr>
                <w:noProof/>
                <w:sz w:val="20"/>
              </w:rPr>
              <w:t xml:space="preserve">Anno </w:t>
            </w:r>
            <w:r w:rsidRPr="008C52C9">
              <w:rPr>
                <w:b/>
                <w:noProof/>
                <w:sz w:val="20"/>
              </w:rPr>
              <w:t>N+3</w:t>
            </w:r>
          </w:p>
        </w:tc>
        <w:tc>
          <w:tcPr>
            <w:tcW w:w="1294" w:type="pct"/>
            <w:gridSpan w:val="3"/>
            <w:tcBorders>
              <w:top w:val="single" w:sz="6" w:space="0" w:color="auto"/>
              <w:left w:val="single" w:sz="6" w:space="0" w:color="auto"/>
              <w:bottom w:val="single" w:sz="6" w:space="0" w:color="auto"/>
              <w:right w:val="single" w:sz="6" w:space="0" w:color="auto"/>
            </w:tcBorders>
            <w:vAlign w:val="center"/>
            <w:hideMark/>
          </w:tcPr>
          <w:p w14:paraId="2CE4C009" w14:textId="77777777" w:rsidR="005F20F6" w:rsidRPr="008C52C9" w:rsidRDefault="005F20F6">
            <w:pPr>
              <w:tabs>
                <w:tab w:val="left" w:pos="685"/>
              </w:tabs>
              <w:spacing w:line="276" w:lineRule="auto"/>
              <w:jc w:val="center"/>
              <w:rPr>
                <w:b/>
                <w:noProof/>
                <w:sz w:val="20"/>
              </w:rPr>
            </w:pPr>
            <w:r w:rsidRPr="008C52C9">
              <w:rPr>
                <w:noProof/>
                <w:sz w:val="20"/>
              </w:rPr>
              <w:t>Inserire gli anni necessari per evidenziare la durata dell'incidenza (cfr. punto 1.6)</w:t>
            </w:r>
          </w:p>
        </w:tc>
      </w:tr>
      <w:tr w:rsidR="005F20F6" w:rsidRPr="008C52C9" w14:paraId="4B0C54A6" w14:textId="77777777" w:rsidTr="005F20F6">
        <w:trPr>
          <w:trHeight w:val="289"/>
          <w:jc w:val="center"/>
        </w:trPr>
        <w:tc>
          <w:tcPr>
            <w:tcW w:w="2043" w:type="pct"/>
            <w:gridSpan w:val="2"/>
            <w:tcBorders>
              <w:top w:val="single" w:sz="6" w:space="0" w:color="auto"/>
              <w:left w:val="single" w:sz="6" w:space="0" w:color="auto"/>
              <w:bottom w:val="single" w:sz="6" w:space="0" w:color="auto"/>
              <w:right w:val="single" w:sz="6" w:space="0" w:color="auto"/>
            </w:tcBorders>
            <w:vAlign w:val="center"/>
            <w:hideMark/>
          </w:tcPr>
          <w:p w14:paraId="678BBFDD" w14:textId="77777777" w:rsidR="005F20F6" w:rsidRPr="008C52C9" w:rsidRDefault="005F20F6" w:rsidP="00425994">
            <w:pPr>
              <w:pStyle w:val="Text1"/>
              <w:numPr>
                <w:ilvl w:val="0"/>
                <w:numId w:val="15"/>
              </w:numPr>
              <w:tabs>
                <w:tab w:val="left" w:pos="208"/>
              </w:tabs>
              <w:spacing w:beforeLines="20" w:before="48" w:afterLines="20" w:after="48" w:line="276" w:lineRule="auto"/>
              <w:ind w:left="1058" w:hanging="120"/>
              <w:jc w:val="left"/>
              <w:rPr>
                <w:b/>
                <w:noProof/>
                <w:sz w:val="20"/>
              </w:rPr>
            </w:pPr>
            <w:r w:rsidRPr="008C52C9">
              <w:rPr>
                <w:b/>
                <w:noProof/>
                <w:sz w:val="20"/>
              </w:rPr>
              <w:t>Posti della tabella dell'organico (funzionari e agenti temporanei)</w:t>
            </w:r>
          </w:p>
        </w:tc>
        <w:tc>
          <w:tcPr>
            <w:tcW w:w="377" w:type="pct"/>
            <w:tcBorders>
              <w:top w:val="single" w:sz="6" w:space="0" w:color="auto"/>
              <w:left w:val="single" w:sz="6" w:space="0" w:color="auto"/>
              <w:bottom w:val="single" w:sz="6" w:space="0" w:color="auto"/>
              <w:right w:val="single" w:sz="6" w:space="0" w:color="auto"/>
            </w:tcBorders>
            <w:vAlign w:val="center"/>
          </w:tcPr>
          <w:p w14:paraId="774C82AF" w14:textId="77777777" w:rsidR="005F20F6" w:rsidRPr="008C52C9" w:rsidRDefault="005F20F6">
            <w:pPr>
              <w:spacing w:beforeLines="20" w:before="48" w:afterLines="20" w:after="48" w:line="276" w:lineRule="auto"/>
              <w:jc w:val="center"/>
              <w:rPr>
                <w:noProof/>
                <w:sz w:val="20"/>
              </w:rPr>
            </w:pPr>
          </w:p>
        </w:tc>
        <w:tc>
          <w:tcPr>
            <w:tcW w:w="377" w:type="pct"/>
            <w:tcBorders>
              <w:top w:val="single" w:sz="6" w:space="0" w:color="auto"/>
              <w:left w:val="single" w:sz="6" w:space="0" w:color="auto"/>
              <w:bottom w:val="single" w:sz="6" w:space="0" w:color="auto"/>
              <w:right w:val="single" w:sz="6" w:space="0" w:color="auto"/>
            </w:tcBorders>
            <w:vAlign w:val="center"/>
          </w:tcPr>
          <w:p w14:paraId="4D3E6803" w14:textId="77777777" w:rsidR="005F20F6" w:rsidRPr="008C52C9" w:rsidRDefault="005F20F6">
            <w:pPr>
              <w:spacing w:beforeLines="20" w:before="48" w:afterLines="20" w:after="48" w:line="276" w:lineRule="auto"/>
              <w:jc w:val="center"/>
              <w:rPr>
                <w:noProof/>
                <w:sz w:val="20"/>
              </w:rPr>
            </w:pPr>
          </w:p>
        </w:tc>
        <w:tc>
          <w:tcPr>
            <w:tcW w:w="406" w:type="pct"/>
            <w:tcBorders>
              <w:top w:val="single" w:sz="6" w:space="0" w:color="auto"/>
              <w:left w:val="single" w:sz="6" w:space="0" w:color="auto"/>
              <w:bottom w:val="single" w:sz="6" w:space="0" w:color="auto"/>
              <w:right w:val="single" w:sz="6" w:space="0" w:color="auto"/>
            </w:tcBorders>
            <w:vAlign w:val="center"/>
          </w:tcPr>
          <w:p w14:paraId="6E291F6B" w14:textId="77777777" w:rsidR="005F20F6" w:rsidRPr="008C52C9" w:rsidRDefault="005F20F6">
            <w:pPr>
              <w:spacing w:beforeLines="20" w:before="48" w:afterLines="20" w:after="48" w:line="276" w:lineRule="auto"/>
              <w:jc w:val="center"/>
              <w:rPr>
                <w:noProof/>
                <w:sz w:val="20"/>
              </w:rPr>
            </w:pPr>
          </w:p>
        </w:tc>
        <w:tc>
          <w:tcPr>
            <w:tcW w:w="497" w:type="pct"/>
            <w:tcBorders>
              <w:top w:val="single" w:sz="6" w:space="0" w:color="auto"/>
              <w:left w:val="single" w:sz="6" w:space="0" w:color="auto"/>
              <w:bottom w:val="single" w:sz="6" w:space="0" w:color="auto"/>
              <w:right w:val="single" w:sz="6" w:space="0" w:color="auto"/>
            </w:tcBorders>
            <w:vAlign w:val="center"/>
          </w:tcPr>
          <w:p w14:paraId="3AA72E07" w14:textId="77777777" w:rsidR="005F20F6" w:rsidRPr="008C52C9" w:rsidRDefault="005F20F6">
            <w:pPr>
              <w:spacing w:beforeLines="20" w:before="48" w:afterLines="20" w:after="48" w:line="276" w:lineRule="auto"/>
              <w:jc w:val="center"/>
              <w:rPr>
                <w:noProof/>
                <w:sz w:val="20"/>
              </w:rPr>
            </w:pPr>
          </w:p>
        </w:tc>
        <w:tc>
          <w:tcPr>
            <w:tcW w:w="424" w:type="pct"/>
            <w:tcBorders>
              <w:top w:val="single" w:sz="6" w:space="0" w:color="auto"/>
              <w:left w:val="single" w:sz="6" w:space="0" w:color="auto"/>
              <w:bottom w:val="single" w:sz="6" w:space="0" w:color="auto"/>
              <w:right w:val="single" w:sz="6" w:space="0" w:color="auto"/>
            </w:tcBorders>
            <w:vAlign w:val="center"/>
          </w:tcPr>
          <w:p w14:paraId="3A9D9A96" w14:textId="77777777" w:rsidR="005F20F6" w:rsidRPr="008C52C9" w:rsidRDefault="005F20F6">
            <w:pPr>
              <w:spacing w:beforeLines="20" w:before="48" w:afterLines="20" w:after="48" w:line="276" w:lineRule="auto"/>
              <w:jc w:val="center"/>
              <w:rPr>
                <w:noProof/>
                <w:sz w:val="20"/>
              </w:rPr>
            </w:pPr>
          </w:p>
        </w:tc>
        <w:tc>
          <w:tcPr>
            <w:tcW w:w="423" w:type="pct"/>
            <w:tcBorders>
              <w:top w:val="single" w:sz="6" w:space="0" w:color="auto"/>
              <w:left w:val="single" w:sz="6" w:space="0" w:color="auto"/>
              <w:bottom w:val="single" w:sz="6" w:space="0" w:color="auto"/>
              <w:right w:val="single" w:sz="6" w:space="0" w:color="auto"/>
            </w:tcBorders>
            <w:vAlign w:val="center"/>
          </w:tcPr>
          <w:p w14:paraId="4B403060" w14:textId="77777777" w:rsidR="005F20F6" w:rsidRPr="008C52C9" w:rsidRDefault="005F20F6">
            <w:pPr>
              <w:spacing w:beforeLines="20" w:before="48" w:afterLines="20" w:after="48" w:line="276" w:lineRule="auto"/>
              <w:jc w:val="center"/>
              <w:rPr>
                <w:noProof/>
                <w:sz w:val="20"/>
              </w:rPr>
            </w:pPr>
          </w:p>
        </w:tc>
        <w:tc>
          <w:tcPr>
            <w:tcW w:w="452" w:type="pct"/>
            <w:tcBorders>
              <w:top w:val="single" w:sz="6" w:space="0" w:color="auto"/>
              <w:left w:val="single" w:sz="6" w:space="0" w:color="auto"/>
              <w:bottom w:val="single" w:sz="6" w:space="0" w:color="auto"/>
              <w:right w:val="single" w:sz="6" w:space="0" w:color="auto"/>
            </w:tcBorders>
            <w:vAlign w:val="center"/>
          </w:tcPr>
          <w:p w14:paraId="788CC271" w14:textId="77777777" w:rsidR="005F20F6" w:rsidRPr="008C52C9" w:rsidRDefault="005F20F6">
            <w:pPr>
              <w:spacing w:beforeLines="20" w:before="48" w:afterLines="20" w:after="48" w:line="276" w:lineRule="auto"/>
              <w:jc w:val="center"/>
              <w:rPr>
                <w:noProof/>
                <w:sz w:val="20"/>
              </w:rPr>
            </w:pPr>
          </w:p>
        </w:tc>
      </w:tr>
      <w:tr w:rsidR="005F20F6" w:rsidRPr="008C52C9" w14:paraId="1C1AAAAE" w14:textId="77777777" w:rsidTr="005F20F6">
        <w:trPr>
          <w:trHeight w:val="289"/>
          <w:jc w:val="center"/>
        </w:trPr>
        <w:tc>
          <w:tcPr>
            <w:tcW w:w="2043" w:type="pct"/>
            <w:gridSpan w:val="2"/>
            <w:tcBorders>
              <w:top w:val="single" w:sz="6" w:space="0" w:color="auto"/>
              <w:left w:val="single" w:sz="6" w:space="0" w:color="auto"/>
              <w:bottom w:val="single" w:sz="6" w:space="0" w:color="auto"/>
              <w:right w:val="single" w:sz="6" w:space="0" w:color="auto"/>
            </w:tcBorders>
            <w:vAlign w:val="center"/>
            <w:hideMark/>
          </w:tcPr>
          <w:p w14:paraId="331837DA" w14:textId="77777777" w:rsidR="005F20F6" w:rsidRPr="008C52C9" w:rsidRDefault="005F20F6">
            <w:pPr>
              <w:pStyle w:val="Text1"/>
              <w:spacing w:beforeLines="20" w:before="48" w:afterLines="20" w:after="48" w:line="276" w:lineRule="auto"/>
              <w:ind w:left="1834"/>
              <w:jc w:val="left"/>
              <w:rPr>
                <w:b/>
                <w:noProof/>
                <w:sz w:val="20"/>
              </w:rPr>
            </w:pPr>
            <w:r w:rsidRPr="008C52C9">
              <w:rPr>
                <w:noProof/>
                <w:sz w:val="20"/>
              </w:rPr>
              <w:t>20 01 02 01 e 20 01 02 02 (sede e uffici di rappresentanza della Commissione)</w:t>
            </w:r>
          </w:p>
        </w:tc>
        <w:tc>
          <w:tcPr>
            <w:tcW w:w="377" w:type="pct"/>
            <w:tcBorders>
              <w:top w:val="single" w:sz="6" w:space="0" w:color="auto"/>
              <w:left w:val="single" w:sz="6" w:space="0" w:color="auto"/>
              <w:bottom w:val="single" w:sz="6" w:space="0" w:color="auto"/>
              <w:right w:val="single" w:sz="6" w:space="0" w:color="auto"/>
            </w:tcBorders>
            <w:vAlign w:val="center"/>
          </w:tcPr>
          <w:p w14:paraId="43236DFA" w14:textId="77777777" w:rsidR="005F20F6" w:rsidRPr="008C52C9" w:rsidRDefault="005F20F6">
            <w:pPr>
              <w:spacing w:beforeLines="20" w:before="48" w:afterLines="20" w:after="48" w:line="276" w:lineRule="auto"/>
              <w:jc w:val="center"/>
              <w:rPr>
                <w:noProof/>
                <w:sz w:val="20"/>
              </w:rPr>
            </w:pPr>
          </w:p>
        </w:tc>
        <w:tc>
          <w:tcPr>
            <w:tcW w:w="377" w:type="pct"/>
            <w:tcBorders>
              <w:top w:val="single" w:sz="6" w:space="0" w:color="auto"/>
              <w:left w:val="single" w:sz="6" w:space="0" w:color="auto"/>
              <w:bottom w:val="single" w:sz="6" w:space="0" w:color="auto"/>
              <w:right w:val="single" w:sz="6" w:space="0" w:color="auto"/>
            </w:tcBorders>
            <w:vAlign w:val="center"/>
          </w:tcPr>
          <w:p w14:paraId="413EEA1C" w14:textId="77777777" w:rsidR="005F20F6" w:rsidRPr="008C52C9" w:rsidRDefault="005F20F6">
            <w:pPr>
              <w:spacing w:beforeLines="20" w:before="48" w:afterLines="20" w:after="48" w:line="276" w:lineRule="auto"/>
              <w:jc w:val="center"/>
              <w:rPr>
                <w:noProof/>
                <w:sz w:val="20"/>
              </w:rPr>
            </w:pPr>
          </w:p>
        </w:tc>
        <w:tc>
          <w:tcPr>
            <w:tcW w:w="406" w:type="pct"/>
            <w:tcBorders>
              <w:top w:val="single" w:sz="6" w:space="0" w:color="auto"/>
              <w:left w:val="single" w:sz="6" w:space="0" w:color="auto"/>
              <w:bottom w:val="single" w:sz="6" w:space="0" w:color="auto"/>
              <w:right w:val="single" w:sz="6" w:space="0" w:color="auto"/>
            </w:tcBorders>
            <w:vAlign w:val="center"/>
          </w:tcPr>
          <w:p w14:paraId="25A8094B" w14:textId="77777777" w:rsidR="005F20F6" w:rsidRPr="008C52C9" w:rsidRDefault="005F20F6">
            <w:pPr>
              <w:spacing w:beforeLines="20" w:before="48" w:afterLines="20" w:after="48" w:line="276" w:lineRule="auto"/>
              <w:jc w:val="center"/>
              <w:rPr>
                <w:noProof/>
                <w:sz w:val="20"/>
              </w:rPr>
            </w:pPr>
          </w:p>
        </w:tc>
        <w:tc>
          <w:tcPr>
            <w:tcW w:w="497" w:type="pct"/>
            <w:tcBorders>
              <w:top w:val="single" w:sz="6" w:space="0" w:color="auto"/>
              <w:left w:val="single" w:sz="6" w:space="0" w:color="auto"/>
              <w:bottom w:val="single" w:sz="6" w:space="0" w:color="auto"/>
              <w:right w:val="single" w:sz="6" w:space="0" w:color="auto"/>
            </w:tcBorders>
            <w:vAlign w:val="center"/>
          </w:tcPr>
          <w:p w14:paraId="3A7942E9" w14:textId="77777777" w:rsidR="005F20F6" w:rsidRPr="008C52C9" w:rsidRDefault="005F20F6">
            <w:pPr>
              <w:spacing w:beforeLines="20" w:before="48" w:afterLines="20" w:after="48" w:line="276" w:lineRule="auto"/>
              <w:jc w:val="center"/>
              <w:rPr>
                <w:noProof/>
                <w:sz w:val="20"/>
              </w:rPr>
            </w:pPr>
          </w:p>
        </w:tc>
        <w:tc>
          <w:tcPr>
            <w:tcW w:w="424" w:type="pct"/>
            <w:tcBorders>
              <w:top w:val="single" w:sz="6" w:space="0" w:color="auto"/>
              <w:left w:val="single" w:sz="6" w:space="0" w:color="auto"/>
              <w:bottom w:val="single" w:sz="6" w:space="0" w:color="auto"/>
              <w:right w:val="single" w:sz="6" w:space="0" w:color="auto"/>
            </w:tcBorders>
            <w:vAlign w:val="center"/>
          </w:tcPr>
          <w:p w14:paraId="5908B51E" w14:textId="77777777" w:rsidR="005F20F6" w:rsidRPr="008C52C9" w:rsidRDefault="005F20F6">
            <w:pPr>
              <w:spacing w:beforeLines="20" w:before="48" w:afterLines="20" w:after="48" w:line="276" w:lineRule="auto"/>
              <w:jc w:val="center"/>
              <w:rPr>
                <w:noProof/>
                <w:sz w:val="20"/>
              </w:rPr>
            </w:pPr>
          </w:p>
        </w:tc>
        <w:tc>
          <w:tcPr>
            <w:tcW w:w="423" w:type="pct"/>
            <w:tcBorders>
              <w:top w:val="single" w:sz="6" w:space="0" w:color="auto"/>
              <w:left w:val="single" w:sz="6" w:space="0" w:color="auto"/>
              <w:bottom w:val="single" w:sz="6" w:space="0" w:color="auto"/>
              <w:right w:val="single" w:sz="6" w:space="0" w:color="auto"/>
            </w:tcBorders>
            <w:vAlign w:val="center"/>
          </w:tcPr>
          <w:p w14:paraId="3E191CE3" w14:textId="77777777" w:rsidR="005F20F6" w:rsidRPr="008C52C9" w:rsidRDefault="005F20F6">
            <w:pPr>
              <w:spacing w:beforeLines="20" w:before="48" w:afterLines="20" w:after="48" w:line="276" w:lineRule="auto"/>
              <w:jc w:val="center"/>
              <w:rPr>
                <w:noProof/>
                <w:sz w:val="20"/>
              </w:rPr>
            </w:pPr>
          </w:p>
        </w:tc>
        <w:tc>
          <w:tcPr>
            <w:tcW w:w="452" w:type="pct"/>
            <w:tcBorders>
              <w:top w:val="single" w:sz="6" w:space="0" w:color="auto"/>
              <w:left w:val="single" w:sz="6" w:space="0" w:color="auto"/>
              <w:bottom w:val="single" w:sz="6" w:space="0" w:color="auto"/>
              <w:right w:val="single" w:sz="6" w:space="0" w:color="auto"/>
            </w:tcBorders>
            <w:vAlign w:val="center"/>
          </w:tcPr>
          <w:p w14:paraId="6475F3E6" w14:textId="77777777" w:rsidR="005F20F6" w:rsidRPr="008C52C9" w:rsidRDefault="005F20F6">
            <w:pPr>
              <w:spacing w:beforeLines="20" w:before="48" w:afterLines="20" w:after="48" w:line="276" w:lineRule="auto"/>
              <w:jc w:val="center"/>
              <w:rPr>
                <w:noProof/>
                <w:sz w:val="20"/>
              </w:rPr>
            </w:pPr>
          </w:p>
        </w:tc>
      </w:tr>
      <w:tr w:rsidR="005F20F6" w:rsidRPr="008C52C9" w14:paraId="342C99FE" w14:textId="77777777" w:rsidTr="005F20F6">
        <w:trPr>
          <w:trHeight w:val="289"/>
          <w:jc w:val="center"/>
        </w:trPr>
        <w:tc>
          <w:tcPr>
            <w:tcW w:w="2043" w:type="pct"/>
            <w:gridSpan w:val="2"/>
            <w:tcBorders>
              <w:top w:val="single" w:sz="6" w:space="0" w:color="auto"/>
              <w:left w:val="single" w:sz="6" w:space="0" w:color="auto"/>
              <w:bottom w:val="single" w:sz="6" w:space="0" w:color="auto"/>
              <w:right w:val="single" w:sz="6" w:space="0" w:color="auto"/>
            </w:tcBorders>
            <w:vAlign w:val="center"/>
            <w:hideMark/>
          </w:tcPr>
          <w:p w14:paraId="46128CCF" w14:textId="77777777" w:rsidR="005F20F6" w:rsidRPr="008C52C9" w:rsidRDefault="005F20F6">
            <w:pPr>
              <w:pStyle w:val="Text1"/>
              <w:spacing w:beforeLines="20" w:before="48" w:afterLines="20" w:after="48" w:line="276" w:lineRule="auto"/>
              <w:ind w:left="1834"/>
              <w:jc w:val="left"/>
              <w:rPr>
                <w:noProof/>
                <w:sz w:val="20"/>
              </w:rPr>
            </w:pPr>
            <w:r w:rsidRPr="008C52C9">
              <w:rPr>
                <w:noProof/>
                <w:sz w:val="20"/>
              </w:rPr>
              <w:t>20 01 02 03 (delegazioni)</w:t>
            </w:r>
          </w:p>
        </w:tc>
        <w:tc>
          <w:tcPr>
            <w:tcW w:w="377" w:type="pct"/>
            <w:tcBorders>
              <w:top w:val="single" w:sz="6" w:space="0" w:color="auto"/>
              <w:left w:val="single" w:sz="6" w:space="0" w:color="auto"/>
              <w:bottom w:val="single" w:sz="6" w:space="0" w:color="auto"/>
              <w:right w:val="single" w:sz="6" w:space="0" w:color="auto"/>
            </w:tcBorders>
            <w:vAlign w:val="center"/>
          </w:tcPr>
          <w:p w14:paraId="50B0B27F" w14:textId="77777777" w:rsidR="005F20F6" w:rsidRPr="008C52C9" w:rsidRDefault="005F20F6">
            <w:pPr>
              <w:spacing w:beforeLines="20" w:before="48" w:afterLines="20" w:after="48" w:line="276" w:lineRule="auto"/>
              <w:jc w:val="center"/>
              <w:rPr>
                <w:noProof/>
                <w:sz w:val="20"/>
              </w:rPr>
            </w:pPr>
          </w:p>
        </w:tc>
        <w:tc>
          <w:tcPr>
            <w:tcW w:w="377" w:type="pct"/>
            <w:tcBorders>
              <w:top w:val="single" w:sz="6" w:space="0" w:color="auto"/>
              <w:left w:val="single" w:sz="6" w:space="0" w:color="auto"/>
              <w:bottom w:val="single" w:sz="6" w:space="0" w:color="auto"/>
              <w:right w:val="single" w:sz="6" w:space="0" w:color="auto"/>
            </w:tcBorders>
            <w:vAlign w:val="center"/>
          </w:tcPr>
          <w:p w14:paraId="25BC8F0D" w14:textId="77777777" w:rsidR="005F20F6" w:rsidRPr="008C52C9" w:rsidRDefault="005F20F6">
            <w:pPr>
              <w:spacing w:beforeLines="20" w:before="48" w:afterLines="20" w:after="48" w:line="276" w:lineRule="auto"/>
              <w:jc w:val="center"/>
              <w:rPr>
                <w:noProof/>
                <w:sz w:val="20"/>
              </w:rPr>
            </w:pPr>
          </w:p>
        </w:tc>
        <w:tc>
          <w:tcPr>
            <w:tcW w:w="406" w:type="pct"/>
            <w:tcBorders>
              <w:top w:val="single" w:sz="6" w:space="0" w:color="auto"/>
              <w:left w:val="single" w:sz="6" w:space="0" w:color="auto"/>
              <w:bottom w:val="single" w:sz="6" w:space="0" w:color="auto"/>
              <w:right w:val="single" w:sz="6" w:space="0" w:color="auto"/>
            </w:tcBorders>
            <w:vAlign w:val="center"/>
          </w:tcPr>
          <w:p w14:paraId="4DC8A230" w14:textId="77777777" w:rsidR="005F20F6" w:rsidRPr="008C52C9" w:rsidRDefault="005F20F6">
            <w:pPr>
              <w:spacing w:beforeLines="20" w:before="48" w:afterLines="20" w:after="48" w:line="276" w:lineRule="auto"/>
              <w:jc w:val="center"/>
              <w:rPr>
                <w:noProof/>
                <w:sz w:val="20"/>
              </w:rPr>
            </w:pPr>
          </w:p>
        </w:tc>
        <w:tc>
          <w:tcPr>
            <w:tcW w:w="497" w:type="pct"/>
            <w:tcBorders>
              <w:top w:val="single" w:sz="6" w:space="0" w:color="auto"/>
              <w:left w:val="single" w:sz="6" w:space="0" w:color="auto"/>
              <w:bottom w:val="single" w:sz="6" w:space="0" w:color="auto"/>
              <w:right w:val="single" w:sz="6" w:space="0" w:color="auto"/>
            </w:tcBorders>
            <w:vAlign w:val="center"/>
          </w:tcPr>
          <w:p w14:paraId="2502FBAF" w14:textId="77777777" w:rsidR="005F20F6" w:rsidRPr="008C52C9" w:rsidRDefault="005F20F6">
            <w:pPr>
              <w:spacing w:beforeLines="20" w:before="48" w:afterLines="20" w:after="48" w:line="276" w:lineRule="auto"/>
              <w:jc w:val="center"/>
              <w:rPr>
                <w:noProof/>
                <w:sz w:val="20"/>
              </w:rPr>
            </w:pPr>
          </w:p>
        </w:tc>
        <w:tc>
          <w:tcPr>
            <w:tcW w:w="424" w:type="pct"/>
            <w:tcBorders>
              <w:top w:val="single" w:sz="6" w:space="0" w:color="auto"/>
              <w:left w:val="single" w:sz="6" w:space="0" w:color="auto"/>
              <w:bottom w:val="single" w:sz="6" w:space="0" w:color="auto"/>
              <w:right w:val="single" w:sz="6" w:space="0" w:color="auto"/>
            </w:tcBorders>
            <w:vAlign w:val="center"/>
          </w:tcPr>
          <w:p w14:paraId="7E7E1FCB" w14:textId="77777777" w:rsidR="005F20F6" w:rsidRPr="008C52C9" w:rsidRDefault="005F20F6">
            <w:pPr>
              <w:spacing w:beforeLines="20" w:before="48" w:afterLines="20" w:after="48" w:line="276" w:lineRule="auto"/>
              <w:jc w:val="center"/>
              <w:rPr>
                <w:noProof/>
                <w:sz w:val="20"/>
              </w:rPr>
            </w:pPr>
          </w:p>
        </w:tc>
        <w:tc>
          <w:tcPr>
            <w:tcW w:w="423" w:type="pct"/>
            <w:tcBorders>
              <w:top w:val="single" w:sz="6" w:space="0" w:color="auto"/>
              <w:left w:val="single" w:sz="6" w:space="0" w:color="auto"/>
              <w:bottom w:val="single" w:sz="6" w:space="0" w:color="auto"/>
              <w:right w:val="single" w:sz="6" w:space="0" w:color="auto"/>
            </w:tcBorders>
            <w:vAlign w:val="center"/>
          </w:tcPr>
          <w:p w14:paraId="4796A9EE" w14:textId="77777777" w:rsidR="005F20F6" w:rsidRPr="008C52C9" w:rsidRDefault="005F20F6">
            <w:pPr>
              <w:spacing w:beforeLines="20" w:before="48" w:afterLines="20" w:after="48" w:line="276" w:lineRule="auto"/>
              <w:jc w:val="center"/>
              <w:rPr>
                <w:noProof/>
                <w:sz w:val="20"/>
              </w:rPr>
            </w:pPr>
          </w:p>
        </w:tc>
        <w:tc>
          <w:tcPr>
            <w:tcW w:w="452" w:type="pct"/>
            <w:tcBorders>
              <w:top w:val="single" w:sz="6" w:space="0" w:color="auto"/>
              <w:left w:val="single" w:sz="6" w:space="0" w:color="auto"/>
              <w:bottom w:val="single" w:sz="6" w:space="0" w:color="auto"/>
              <w:right w:val="single" w:sz="6" w:space="0" w:color="auto"/>
            </w:tcBorders>
            <w:vAlign w:val="center"/>
          </w:tcPr>
          <w:p w14:paraId="7A01DA9C" w14:textId="77777777" w:rsidR="005F20F6" w:rsidRPr="008C52C9" w:rsidRDefault="005F20F6">
            <w:pPr>
              <w:spacing w:beforeLines="20" w:before="48" w:afterLines="20" w:after="48" w:line="276" w:lineRule="auto"/>
              <w:jc w:val="center"/>
              <w:rPr>
                <w:noProof/>
                <w:sz w:val="20"/>
              </w:rPr>
            </w:pPr>
          </w:p>
        </w:tc>
      </w:tr>
      <w:tr w:rsidR="005F20F6" w:rsidRPr="008C52C9" w14:paraId="794E0903" w14:textId="77777777" w:rsidTr="005F20F6">
        <w:trPr>
          <w:trHeight w:val="953"/>
          <w:jc w:val="center"/>
        </w:trPr>
        <w:tc>
          <w:tcPr>
            <w:tcW w:w="2043" w:type="pct"/>
            <w:gridSpan w:val="2"/>
            <w:tcBorders>
              <w:top w:val="single" w:sz="6" w:space="0" w:color="auto"/>
              <w:left w:val="single" w:sz="6" w:space="0" w:color="auto"/>
              <w:bottom w:val="single" w:sz="6" w:space="0" w:color="auto"/>
              <w:right w:val="single" w:sz="6" w:space="0" w:color="auto"/>
            </w:tcBorders>
            <w:vAlign w:val="center"/>
            <w:hideMark/>
          </w:tcPr>
          <w:p w14:paraId="2E1C80EA" w14:textId="77777777" w:rsidR="005F20F6" w:rsidRPr="008C52C9" w:rsidRDefault="005F20F6">
            <w:pPr>
              <w:pStyle w:val="Text1"/>
              <w:spacing w:beforeLines="20" w:before="48" w:afterLines="20" w:after="48" w:line="276" w:lineRule="auto"/>
              <w:ind w:left="1834"/>
              <w:jc w:val="left"/>
              <w:rPr>
                <w:noProof/>
                <w:sz w:val="20"/>
              </w:rPr>
            </w:pPr>
            <w:r w:rsidRPr="008C52C9">
              <w:rPr>
                <w:noProof/>
                <w:sz w:val="20"/>
              </w:rPr>
              <w:t>01 01 01 01 (ricerca indiretta)</w:t>
            </w:r>
          </w:p>
        </w:tc>
        <w:tc>
          <w:tcPr>
            <w:tcW w:w="377" w:type="pct"/>
            <w:tcBorders>
              <w:top w:val="single" w:sz="6" w:space="0" w:color="auto"/>
              <w:left w:val="single" w:sz="6" w:space="0" w:color="auto"/>
              <w:bottom w:val="single" w:sz="6" w:space="0" w:color="auto"/>
              <w:right w:val="single" w:sz="6" w:space="0" w:color="auto"/>
            </w:tcBorders>
            <w:vAlign w:val="center"/>
          </w:tcPr>
          <w:p w14:paraId="168A4A1B" w14:textId="77777777" w:rsidR="005F20F6" w:rsidRPr="008C52C9" w:rsidRDefault="005F20F6">
            <w:pPr>
              <w:spacing w:beforeLines="20" w:before="48" w:afterLines="20" w:after="48" w:line="276" w:lineRule="auto"/>
              <w:jc w:val="center"/>
              <w:rPr>
                <w:noProof/>
                <w:sz w:val="20"/>
              </w:rPr>
            </w:pPr>
          </w:p>
        </w:tc>
        <w:tc>
          <w:tcPr>
            <w:tcW w:w="377" w:type="pct"/>
            <w:tcBorders>
              <w:top w:val="single" w:sz="6" w:space="0" w:color="auto"/>
              <w:left w:val="single" w:sz="6" w:space="0" w:color="auto"/>
              <w:bottom w:val="single" w:sz="6" w:space="0" w:color="auto"/>
              <w:right w:val="single" w:sz="6" w:space="0" w:color="auto"/>
            </w:tcBorders>
            <w:vAlign w:val="center"/>
          </w:tcPr>
          <w:p w14:paraId="5249B105" w14:textId="77777777" w:rsidR="005F20F6" w:rsidRPr="008C52C9" w:rsidRDefault="005F20F6">
            <w:pPr>
              <w:spacing w:beforeLines="20" w:before="48" w:afterLines="20" w:after="48" w:line="276" w:lineRule="auto"/>
              <w:jc w:val="center"/>
              <w:rPr>
                <w:noProof/>
                <w:sz w:val="20"/>
              </w:rPr>
            </w:pPr>
          </w:p>
        </w:tc>
        <w:tc>
          <w:tcPr>
            <w:tcW w:w="406" w:type="pct"/>
            <w:tcBorders>
              <w:top w:val="single" w:sz="6" w:space="0" w:color="auto"/>
              <w:left w:val="single" w:sz="6" w:space="0" w:color="auto"/>
              <w:bottom w:val="single" w:sz="6" w:space="0" w:color="auto"/>
              <w:right w:val="single" w:sz="6" w:space="0" w:color="auto"/>
            </w:tcBorders>
            <w:vAlign w:val="center"/>
          </w:tcPr>
          <w:p w14:paraId="7018E408" w14:textId="77777777" w:rsidR="005F20F6" w:rsidRPr="008C52C9" w:rsidRDefault="005F20F6">
            <w:pPr>
              <w:spacing w:beforeLines="20" w:before="48" w:afterLines="20" w:after="48" w:line="276" w:lineRule="auto"/>
              <w:jc w:val="center"/>
              <w:rPr>
                <w:noProof/>
                <w:sz w:val="20"/>
              </w:rPr>
            </w:pPr>
          </w:p>
        </w:tc>
        <w:tc>
          <w:tcPr>
            <w:tcW w:w="497" w:type="pct"/>
            <w:tcBorders>
              <w:top w:val="single" w:sz="6" w:space="0" w:color="auto"/>
              <w:left w:val="single" w:sz="6" w:space="0" w:color="auto"/>
              <w:bottom w:val="single" w:sz="6" w:space="0" w:color="auto"/>
              <w:right w:val="single" w:sz="6" w:space="0" w:color="auto"/>
            </w:tcBorders>
            <w:vAlign w:val="center"/>
          </w:tcPr>
          <w:p w14:paraId="05F0F13C" w14:textId="77777777" w:rsidR="005F20F6" w:rsidRPr="008C52C9" w:rsidRDefault="005F20F6">
            <w:pPr>
              <w:spacing w:beforeLines="20" w:before="48" w:afterLines="20" w:after="48" w:line="276" w:lineRule="auto"/>
              <w:jc w:val="center"/>
              <w:rPr>
                <w:noProof/>
                <w:sz w:val="20"/>
              </w:rPr>
            </w:pPr>
          </w:p>
        </w:tc>
        <w:tc>
          <w:tcPr>
            <w:tcW w:w="424" w:type="pct"/>
            <w:tcBorders>
              <w:top w:val="single" w:sz="6" w:space="0" w:color="auto"/>
              <w:left w:val="single" w:sz="6" w:space="0" w:color="auto"/>
              <w:bottom w:val="single" w:sz="6" w:space="0" w:color="auto"/>
              <w:right w:val="single" w:sz="6" w:space="0" w:color="auto"/>
            </w:tcBorders>
            <w:vAlign w:val="center"/>
          </w:tcPr>
          <w:p w14:paraId="076334B0" w14:textId="77777777" w:rsidR="005F20F6" w:rsidRPr="008C52C9" w:rsidRDefault="005F20F6">
            <w:pPr>
              <w:spacing w:beforeLines="20" w:before="48" w:afterLines="20" w:after="48" w:line="276" w:lineRule="auto"/>
              <w:jc w:val="center"/>
              <w:rPr>
                <w:noProof/>
                <w:sz w:val="20"/>
              </w:rPr>
            </w:pPr>
          </w:p>
        </w:tc>
        <w:tc>
          <w:tcPr>
            <w:tcW w:w="423" w:type="pct"/>
            <w:tcBorders>
              <w:top w:val="single" w:sz="6" w:space="0" w:color="auto"/>
              <w:left w:val="single" w:sz="6" w:space="0" w:color="auto"/>
              <w:bottom w:val="single" w:sz="6" w:space="0" w:color="auto"/>
              <w:right w:val="single" w:sz="6" w:space="0" w:color="auto"/>
            </w:tcBorders>
            <w:vAlign w:val="center"/>
          </w:tcPr>
          <w:p w14:paraId="03E8E5A9" w14:textId="77777777" w:rsidR="005F20F6" w:rsidRPr="008C52C9" w:rsidRDefault="005F20F6">
            <w:pPr>
              <w:spacing w:beforeLines="20" w:before="48" w:afterLines="20" w:after="48" w:line="276" w:lineRule="auto"/>
              <w:jc w:val="center"/>
              <w:rPr>
                <w:noProof/>
                <w:sz w:val="20"/>
              </w:rPr>
            </w:pPr>
          </w:p>
        </w:tc>
        <w:tc>
          <w:tcPr>
            <w:tcW w:w="452" w:type="pct"/>
            <w:tcBorders>
              <w:top w:val="single" w:sz="6" w:space="0" w:color="auto"/>
              <w:left w:val="single" w:sz="6" w:space="0" w:color="auto"/>
              <w:bottom w:val="single" w:sz="6" w:space="0" w:color="auto"/>
              <w:right w:val="single" w:sz="6" w:space="0" w:color="auto"/>
            </w:tcBorders>
            <w:vAlign w:val="center"/>
          </w:tcPr>
          <w:p w14:paraId="18BF2DD5" w14:textId="77777777" w:rsidR="005F20F6" w:rsidRPr="008C52C9" w:rsidRDefault="005F20F6">
            <w:pPr>
              <w:spacing w:beforeLines="20" w:before="48" w:afterLines="20" w:after="48" w:line="276" w:lineRule="auto"/>
              <w:jc w:val="center"/>
              <w:rPr>
                <w:noProof/>
                <w:sz w:val="20"/>
              </w:rPr>
            </w:pPr>
          </w:p>
        </w:tc>
      </w:tr>
      <w:tr w:rsidR="005F20F6" w:rsidRPr="008C52C9" w14:paraId="717D7E36" w14:textId="77777777" w:rsidTr="005F20F6">
        <w:trPr>
          <w:trHeight w:val="289"/>
          <w:jc w:val="center"/>
        </w:trPr>
        <w:tc>
          <w:tcPr>
            <w:tcW w:w="2043" w:type="pct"/>
            <w:gridSpan w:val="2"/>
            <w:tcBorders>
              <w:top w:val="single" w:sz="6" w:space="0" w:color="auto"/>
              <w:left w:val="single" w:sz="6" w:space="0" w:color="auto"/>
              <w:bottom w:val="single" w:sz="6" w:space="0" w:color="auto"/>
              <w:right w:val="single" w:sz="6" w:space="0" w:color="auto"/>
            </w:tcBorders>
            <w:vAlign w:val="center"/>
            <w:hideMark/>
          </w:tcPr>
          <w:p w14:paraId="41BCA09D" w14:textId="77777777" w:rsidR="005F20F6" w:rsidRPr="008C52C9" w:rsidRDefault="005F20F6">
            <w:pPr>
              <w:pStyle w:val="Text1"/>
              <w:spacing w:beforeLines="20" w:before="48" w:afterLines="20" w:after="48" w:line="276" w:lineRule="auto"/>
              <w:ind w:left="1834"/>
              <w:jc w:val="left"/>
              <w:rPr>
                <w:noProof/>
                <w:sz w:val="20"/>
              </w:rPr>
            </w:pPr>
            <w:r w:rsidRPr="008C52C9">
              <w:rPr>
                <w:noProof/>
                <w:sz w:val="20"/>
              </w:rPr>
              <w:t>10 01 05 01 (ricerca diretta)</w:t>
            </w:r>
          </w:p>
        </w:tc>
        <w:tc>
          <w:tcPr>
            <w:tcW w:w="377" w:type="pct"/>
            <w:tcBorders>
              <w:top w:val="single" w:sz="6" w:space="0" w:color="auto"/>
              <w:left w:val="single" w:sz="6" w:space="0" w:color="auto"/>
              <w:bottom w:val="single" w:sz="6" w:space="0" w:color="auto"/>
              <w:right w:val="single" w:sz="6" w:space="0" w:color="auto"/>
            </w:tcBorders>
            <w:vAlign w:val="center"/>
          </w:tcPr>
          <w:p w14:paraId="7C6A8FDB" w14:textId="77777777" w:rsidR="005F20F6" w:rsidRPr="008C52C9" w:rsidRDefault="005F20F6">
            <w:pPr>
              <w:spacing w:beforeLines="20" w:before="48" w:afterLines="20" w:after="48" w:line="276" w:lineRule="auto"/>
              <w:jc w:val="center"/>
              <w:rPr>
                <w:noProof/>
                <w:sz w:val="20"/>
              </w:rPr>
            </w:pPr>
          </w:p>
        </w:tc>
        <w:tc>
          <w:tcPr>
            <w:tcW w:w="377" w:type="pct"/>
            <w:tcBorders>
              <w:top w:val="single" w:sz="6" w:space="0" w:color="auto"/>
              <w:left w:val="single" w:sz="6" w:space="0" w:color="auto"/>
              <w:bottom w:val="single" w:sz="6" w:space="0" w:color="auto"/>
              <w:right w:val="single" w:sz="6" w:space="0" w:color="auto"/>
            </w:tcBorders>
            <w:vAlign w:val="center"/>
          </w:tcPr>
          <w:p w14:paraId="1F1DC92F" w14:textId="77777777" w:rsidR="005F20F6" w:rsidRPr="008C52C9" w:rsidRDefault="005F20F6">
            <w:pPr>
              <w:spacing w:beforeLines="20" w:before="48" w:afterLines="20" w:after="48" w:line="276" w:lineRule="auto"/>
              <w:jc w:val="center"/>
              <w:rPr>
                <w:noProof/>
                <w:sz w:val="20"/>
              </w:rPr>
            </w:pPr>
          </w:p>
        </w:tc>
        <w:tc>
          <w:tcPr>
            <w:tcW w:w="406" w:type="pct"/>
            <w:tcBorders>
              <w:top w:val="single" w:sz="6" w:space="0" w:color="auto"/>
              <w:left w:val="single" w:sz="6" w:space="0" w:color="auto"/>
              <w:bottom w:val="single" w:sz="6" w:space="0" w:color="auto"/>
              <w:right w:val="single" w:sz="6" w:space="0" w:color="auto"/>
            </w:tcBorders>
            <w:vAlign w:val="center"/>
          </w:tcPr>
          <w:p w14:paraId="54BBD708" w14:textId="77777777" w:rsidR="005F20F6" w:rsidRPr="008C52C9" w:rsidRDefault="005F20F6">
            <w:pPr>
              <w:spacing w:beforeLines="20" w:before="48" w:afterLines="20" w:after="48" w:line="276" w:lineRule="auto"/>
              <w:jc w:val="center"/>
              <w:rPr>
                <w:noProof/>
                <w:sz w:val="20"/>
              </w:rPr>
            </w:pPr>
          </w:p>
        </w:tc>
        <w:tc>
          <w:tcPr>
            <w:tcW w:w="497" w:type="pct"/>
            <w:tcBorders>
              <w:top w:val="single" w:sz="6" w:space="0" w:color="auto"/>
              <w:left w:val="single" w:sz="6" w:space="0" w:color="auto"/>
              <w:bottom w:val="single" w:sz="6" w:space="0" w:color="auto"/>
              <w:right w:val="single" w:sz="6" w:space="0" w:color="auto"/>
            </w:tcBorders>
            <w:vAlign w:val="center"/>
          </w:tcPr>
          <w:p w14:paraId="45352845" w14:textId="77777777" w:rsidR="005F20F6" w:rsidRPr="008C52C9" w:rsidRDefault="005F20F6">
            <w:pPr>
              <w:spacing w:beforeLines="20" w:before="48" w:afterLines="20" w:after="48" w:line="276" w:lineRule="auto"/>
              <w:jc w:val="center"/>
              <w:rPr>
                <w:noProof/>
                <w:sz w:val="20"/>
              </w:rPr>
            </w:pPr>
          </w:p>
        </w:tc>
        <w:tc>
          <w:tcPr>
            <w:tcW w:w="424" w:type="pct"/>
            <w:tcBorders>
              <w:top w:val="single" w:sz="6" w:space="0" w:color="auto"/>
              <w:left w:val="single" w:sz="6" w:space="0" w:color="auto"/>
              <w:bottom w:val="single" w:sz="6" w:space="0" w:color="auto"/>
              <w:right w:val="single" w:sz="6" w:space="0" w:color="auto"/>
            </w:tcBorders>
            <w:vAlign w:val="center"/>
          </w:tcPr>
          <w:p w14:paraId="2356BB28" w14:textId="77777777" w:rsidR="005F20F6" w:rsidRPr="008C52C9" w:rsidRDefault="005F20F6">
            <w:pPr>
              <w:spacing w:beforeLines="20" w:before="48" w:afterLines="20" w:after="48" w:line="276" w:lineRule="auto"/>
              <w:jc w:val="center"/>
              <w:rPr>
                <w:noProof/>
                <w:sz w:val="20"/>
              </w:rPr>
            </w:pPr>
          </w:p>
        </w:tc>
        <w:tc>
          <w:tcPr>
            <w:tcW w:w="423" w:type="pct"/>
            <w:tcBorders>
              <w:top w:val="single" w:sz="6" w:space="0" w:color="auto"/>
              <w:left w:val="single" w:sz="6" w:space="0" w:color="auto"/>
              <w:bottom w:val="single" w:sz="6" w:space="0" w:color="auto"/>
              <w:right w:val="single" w:sz="6" w:space="0" w:color="auto"/>
            </w:tcBorders>
            <w:vAlign w:val="center"/>
          </w:tcPr>
          <w:p w14:paraId="5156AA13" w14:textId="77777777" w:rsidR="005F20F6" w:rsidRPr="008C52C9" w:rsidRDefault="005F20F6">
            <w:pPr>
              <w:spacing w:beforeLines="20" w:before="48" w:afterLines="20" w:after="48" w:line="276" w:lineRule="auto"/>
              <w:jc w:val="center"/>
              <w:rPr>
                <w:noProof/>
                <w:sz w:val="20"/>
              </w:rPr>
            </w:pPr>
          </w:p>
        </w:tc>
        <w:tc>
          <w:tcPr>
            <w:tcW w:w="452" w:type="pct"/>
            <w:tcBorders>
              <w:top w:val="single" w:sz="6" w:space="0" w:color="auto"/>
              <w:left w:val="single" w:sz="6" w:space="0" w:color="auto"/>
              <w:bottom w:val="single" w:sz="6" w:space="0" w:color="auto"/>
              <w:right w:val="single" w:sz="6" w:space="0" w:color="auto"/>
            </w:tcBorders>
            <w:vAlign w:val="center"/>
          </w:tcPr>
          <w:p w14:paraId="04C76BC1" w14:textId="77777777" w:rsidR="005F20F6" w:rsidRPr="008C52C9" w:rsidRDefault="005F20F6">
            <w:pPr>
              <w:spacing w:beforeLines="20" w:before="48" w:afterLines="20" w:after="48" w:line="276" w:lineRule="auto"/>
              <w:jc w:val="center"/>
              <w:rPr>
                <w:noProof/>
                <w:sz w:val="20"/>
              </w:rPr>
            </w:pPr>
          </w:p>
        </w:tc>
      </w:tr>
      <w:tr w:rsidR="005F20F6" w:rsidRPr="008C52C9" w14:paraId="30E2C710" w14:textId="77777777" w:rsidTr="005F20F6">
        <w:trPr>
          <w:trHeight w:val="289"/>
          <w:jc w:val="center"/>
        </w:trPr>
        <w:tc>
          <w:tcPr>
            <w:tcW w:w="2043" w:type="pct"/>
            <w:gridSpan w:val="2"/>
            <w:tcBorders>
              <w:top w:val="single" w:sz="6" w:space="0" w:color="auto"/>
              <w:left w:val="single" w:sz="6" w:space="0" w:color="auto"/>
              <w:bottom w:val="single" w:sz="6" w:space="0" w:color="auto"/>
              <w:right w:val="single" w:sz="6" w:space="0" w:color="auto"/>
            </w:tcBorders>
            <w:vAlign w:val="center"/>
          </w:tcPr>
          <w:p w14:paraId="765FD92C" w14:textId="77777777" w:rsidR="005F20F6" w:rsidRPr="008C52C9" w:rsidRDefault="005F20F6">
            <w:pPr>
              <w:pStyle w:val="Text1"/>
              <w:spacing w:beforeLines="20" w:before="48" w:afterLines="20" w:after="48" w:line="276" w:lineRule="auto"/>
              <w:ind w:left="1834"/>
              <w:jc w:val="left"/>
              <w:rPr>
                <w:noProof/>
                <w:sz w:val="20"/>
              </w:rPr>
            </w:pPr>
          </w:p>
        </w:tc>
        <w:tc>
          <w:tcPr>
            <w:tcW w:w="377" w:type="pct"/>
            <w:tcBorders>
              <w:top w:val="single" w:sz="6" w:space="0" w:color="auto"/>
              <w:left w:val="single" w:sz="6" w:space="0" w:color="auto"/>
              <w:bottom w:val="single" w:sz="6" w:space="0" w:color="auto"/>
              <w:right w:val="single" w:sz="6" w:space="0" w:color="auto"/>
            </w:tcBorders>
            <w:vAlign w:val="center"/>
          </w:tcPr>
          <w:p w14:paraId="561B5B0E" w14:textId="77777777" w:rsidR="005F20F6" w:rsidRPr="008C52C9" w:rsidRDefault="005F20F6">
            <w:pPr>
              <w:spacing w:beforeLines="20" w:before="48" w:afterLines="20" w:after="48" w:line="276" w:lineRule="auto"/>
              <w:jc w:val="center"/>
              <w:rPr>
                <w:noProof/>
                <w:sz w:val="20"/>
              </w:rPr>
            </w:pPr>
          </w:p>
        </w:tc>
        <w:tc>
          <w:tcPr>
            <w:tcW w:w="377" w:type="pct"/>
            <w:tcBorders>
              <w:top w:val="single" w:sz="6" w:space="0" w:color="auto"/>
              <w:left w:val="single" w:sz="6" w:space="0" w:color="auto"/>
              <w:bottom w:val="single" w:sz="6" w:space="0" w:color="auto"/>
              <w:right w:val="single" w:sz="6" w:space="0" w:color="auto"/>
            </w:tcBorders>
            <w:vAlign w:val="center"/>
          </w:tcPr>
          <w:p w14:paraId="7280FB7A" w14:textId="77777777" w:rsidR="005F20F6" w:rsidRPr="008C52C9" w:rsidRDefault="005F20F6">
            <w:pPr>
              <w:spacing w:beforeLines="20" w:before="48" w:afterLines="20" w:after="48" w:line="276" w:lineRule="auto"/>
              <w:jc w:val="center"/>
              <w:rPr>
                <w:noProof/>
                <w:sz w:val="20"/>
              </w:rPr>
            </w:pPr>
          </w:p>
        </w:tc>
        <w:tc>
          <w:tcPr>
            <w:tcW w:w="406" w:type="pct"/>
            <w:tcBorders>
              <w:top w:val="single" w:sz="6" w:space="0" w:color="auto"/>
              <w:left w:val="single" w:sz="6" w:space="0" w:color="auto"/>
              <w:bottom w:val="single" w:sz="6" w:space="0" w:color="auto"/>
              <w:right w:val="single" w:sz="6" w:space="0" w:color="auto"/>
            </w:tcBorders>
            <w:vAlign w:val="center"/>
          </w:tcPr>
          <w:p w14:paraId="593C7DE4" w14:textId="77777777" w:rsidR="005F20F6" w:rsidRPr="008C52C9" w:rsidRDefault="005F20F6">
            <w:pPr>
              <w:spacing w:beforeLines="20" w:before="48" w:afterLines="20" w:after="48" w:line="276" w:lineRule="auto"/>
              <w:jc w:val="center"/>
              <w:rPr>
                <w:noProof/>
                <w:sz w:val="20"/>
              </w:rPr>
            </w:pPr>
          </w:p>
        </w:tc>
        <w:tc>
          <w:tcPr>
            <w:tcW w:w="497" w:type="pct"/>
            <w:tcBorders>
              <w:top w:val="single" w:sz="6" w:space="0" w:color="auto"/>
              <w:left w:val="single" w:sz="6" w:space="0" w:color="auto"/>
              <w:bottom w:val="single" w:sz="6" w:space="0" w:color="auto"/>
              <w:right w:val="single" w:sz="6" w:space="0" w:color="auto"/>
            </w:tcBorders>
            <w:vAlign w:val="center"/>
          </w:tcPr>
          <w:p w14:paraId="00B6765D" w14:textId="77777777" w:rsidR="005F20F6" w:rsidRPr="008C52C9" w:rsidRDefault="005F20F6">
            <w:pPr>
              <w:spacing w:beforeLines="20" w:before="48" w:afterLines="20" w:after="48" w:line="276" w:lineRule="auto"/>
              <w:jc w:val="center"/>
              <w:rPr>
                <w:noProof/>
                <w:sz w:val="20"/>
              </w:rPr>
            </w:pPr>
          </w:p>
        </w:tc>
        <w:tc>
          <w:tcPr>
            <w:tcW w:w="424" w:type="pct"/>
            <w:tcBorders>
              <w:top w:val="single" w:sz="6" w:space="0" w:color="auto"/>
              <w:left w:val="single" w:sz="6" w:space="0" w:color="auto"/>
              <w:bottom w:val="single" w:sz="6" w:space="0" w:color="auto"/>
              <w:right w:val="single" w:sz="6" w:space="0" w:color="auto"/>
            </w:tcBorders>
            <w:vAlign w:val="center"/>
          </w:tcPr>
          <w:p w14:paraId="72E77BCA" w14:textId="77777777" w:rsidR="005F20F6" w:rsidRPr="008C52C9" w:rsidRDefault="005F20F6">
            <w:pPr>
              <w:spacing w:beforeLines="20" w:before="48" w:afterLines="20" w:after="48" w:line="276" w:lineRule="auto"/>
              <w:jc w:val="center"/>
              <w:rPr>
                <w:noProof/>
                <w:sz w:val="20"/>
              </w:rPr>
            </w:pPr>
          </w:p>
        </w:tc>
        <w:tc>
          <w:tcPr>
            <w:tcW w:w="423" w:type="pct"/>
            <w:tcBorders>
              <w:top w:val="single" w:sz="6" w:space="0" w:color="auto"/>
              <w:left w:val="single" w:sz="6" w:space="0" w:color="auto"/>
              <w:bottom w:val="single" w:sz="6" w:space="0" w:color="auto"/>
              <w:right w:val="single" w:sz="6" w:space="0" w:color="auto"/>
            </w:tcBorders>
            <w:vAlign w:val="center"/>
          </w:tcPr>
          <w:p w14:paraId="3584E274" w14:textId="77777777" w:rsidR="005F20F6" w:rsidRPr="008C52C9" w:rsidRDefault="005F20F6">
            <w:pPr>
              <w:spacing w:beforeLines="20" w:before="48" w:afterLines="20" w:after="48" w:line="276" w:lineRule="auto"/>
              <w:jc w:val="center"/>
              <w:rPr>
                <w:noProof/>
                <w:sz w:val="20"/>
              </w:rPr>
            </w:pPr>
          </w:p>
        </w:tc>
        <w:tc>
          <w:tcPr>
            <w:tcW w:w="452" w:type="pct"/>
            <w:tcBorders>
              <w:top w:val="single" w:sz="6" w:space="0" w:color="auto"/>
              <w:left w:val="single" w:sz="6" w:space="0" w:color="auto"/>
              <w:bottom w:val="single" w:sz="6" w:space="0" w:color="auto"/>
              <w:right w:val="single" w:sz="6" w:space="0" w:color="auto"/>
            </w:tcBorders>
            <w:vAlign w:val="center"/>
          </w:tcPr>
          <w:p w14:paraId="45F05B13" w14:textId="77777777" w:rsidR="005F20F6" w:rsidRPr="008C52C9" w:rsidRDefault="005F20F6">
            <w:pPr>
              <w:spacing w:beforeLines="20" w:before="48" w:afterLines="20" w:after="48" w:line="276" w:lineRule="auto"/>
              <w:jc w:val="center"/>
              <w:rPr>
                <w:noProof/>
                <w:sz w:val="20"/>
              </w:rPr>
            </w:pPr>
          </w:p>
        </w:tc>
      </w:tr>
      <w:tr w:rsidR="005F20F6" w:rsidRPr="008C52C9" w14:paraId="1EF78AEA" w14:textId="77777777" w:rsidTr="005F20F6">
        <w:trPr>
          <w:trHeight w:val="289"/>
          <w:jc w:val="center"/>
        </w:trPr>
        <w:tc>
          <w:tcPr>
            <w:tcW w:w="2043" w:type="pct"/>
            <w:gridSpan w:val="2"/>
            <w:tcBorders>
              <w:top w:val="single" w:sz="6" w:space="0" w:color="auto"/>
              <w:left w:val="single" w:sz="6" w:space="0" w:color="auto"/>
              <w:bottom w:val="single" w:sz="6" w:space="0" w:color="auto"/>
              <w:right w:val="single" w:sz="6" w:space="0" w:color="auto"/>
            </w:tcBorders>
            <w:vAlign w:val="center"/>
            <w:hideMark/>
          </w:tcPr>
          <w:p w14:paraId="06FB7E84" w14:textId="77777777" w:rsidR="005F20F6" w:rsidRPr="008C52C9" w:rsidRDefault="005F20F6">
            <w:pPr>
              <w:pStyle w:val="Text1"/>
              <w:spacing w:beforeLines="20" w:before="48" w:afterLines="20" w:after="48" w:line="276" w:lineRule="auto"/>
              <w:ind w:left="1058" w:hanging="120"/>
              <w:jc w:val="left"/>
              <w:rPr>
                <w:noProof/>
                <w:sz w:val="20"/>
              </w:rPr>
            </w:pPr>
            <w:r w:rsidRPr="008C52C9">
              <w:rPr>
                <w:b/>
                <w:noProof/>
                <w:sz w:val="20"/>
              </w:rPr>
              <w:sym w:font="Wingdings" w:char="F09F"/>
            </w:r>
            <w:r w:rsidRPr="008C52C9">
              <w:rPr>
                <w:b/>
                <w:noProof/>
                <w:sz w:val="20"/>
              </w:rPr>
              <w:t xml:space="preserve"> Personale esterno (in equivalenti a tempo pieno: ETP)</w:t>
            </w:r>
            <w:r w:rsidRPr="008C52C9">
              <w:rPr>
                <w:rStyle w:val="FootnoteReference"/>
                <w:b/>
                <w:noProof/>
                <w:sz w:val="20"/>
              </w:rPr>
              <w:footnoteReference w:id="52"/>
            </w:r>
          </w:p>
        </w:tc>
        <w:tc>
          <w:tcPr>
            <w:tcW w:w="377" w:type="pct"/>
            <w:tcBorders>
              <w:top w:val="single" w:sz="6" w:space="0" w:color="auto"/>
              <w:left w:val="single" w:sz="6" w:space="0" w:color="auto"/>
              <w:bottom w:val="single" w:sz="6" w:space="0" w:color="auto"/>
              <w:right w:val="single" w:sz="6" w:space="0" w:color="auto"/>
            </w:tcBorders>
            <w:vAlign w:val="center"/>
          </w:tcPr>
          <w:p w14:paraId="79314F4A" w14:textId="77777777" w:rsidR="005F20F6" w:rsidRPr="008C52C9" w:rsidRDefault="005F20F6">
            <w:pPr>
              <w:spacing w:beforeLines="20" w:before="48" w:afterLines="20" w:after="48" w:line="276" w:lineRule="auto"/>
              <w:jc w:val="center"/>
              <w:rPr>
                <w:noProof/>
                <w:sz w:val="20"/>
              </w:rPr>
            </w:pPr>
          </w:p>
        </w:tc>
        <w:tc>
          <w:tcPr>
            <w:tcW w:w="377" w:type="pct"/>
            <w:tcBorders>
              <w:top w:val="single" w:sz="6" w:space="0" w:color="auto"/>
              <w:left w:val="single" w:sz="6" w:space="0" w:color="auto"/>
              <w:bottom w:val="single" w:sz="6" w:space="0" w:color="auto"/>
              <w:right w:val="single" w:sz="6" w:space="0" w:color="auto"/>
            </w:tcBorders>
            <w:vAlign w:val="center"/>
          </w:tcPr>
          <w:p w14:paraId="73BBB2B4" w14:textId="77777777" w:rsidR="005F20F6" w:rsidRPr="008C52C9" w:rsidRDefault="005F20F6">
            <w:pPr>
              <w:spacing w:beforeLines="20" w:before="48" w:afterLines="20" w:after="48" w:line="276" w:lineRule="auto"/>
              <w:jc w:val="center"/>
              <w:rPr>
                <w:noProof/>
                <w:sz w:val="20"/>
              </w:rPr>
            </w:pPr>
          </w:p>
        </w:tc>
        <w:tc>
          <w:tcPr>
            <w:tcW w:w="406" w:type="pct"/>
            <w:tcBorders>
              <w:top w:val="single" w:sz="6" w:space="0" w:color="auto"/>
              <w:left w:val="single" w:sz="6" w:space="0" w:color="auto"/>
              <w:bottom w:val="single" w:sz="6" w:space="0" w:color="auto"/>
              <w:right w:val="single" w:sz="6" w:space="0" w:color="auto"/>
            </w:tcBorders>
            <w:vAlign w:val="center"/>
          </w:tcPr>
          <w:p w14:paraId="02C3A818" w14:textId="77777777" w:rsidR="005F20F6" w:rsidRPr="008C52C9" w:rsidRDefault="005F20F6">
            <w:pPr>
              <w:spacing w:beforeLines="20" w:before="48" w:afterLines="20" w:after="48" w:line="276" w:lineRule="auto"/>
              <w:jc w:val="center"/>
              <w:rPr>
                <w:noProof/>
                <w:sz w:val="20"/>
              </w:rPr>
            </w:pPr>
          </w:p>
        </w:tc>
        <w:tc>
          <w:tcPr>
            <w:tcW w:w="497" w:type="pct"/>
            <w:tcBorders>
              <w:top w:val="single" w:sz="6" w:space="0" w:color="auto"/>
              <w:left w:val="single" w:sz="6" w:space="0" w:color="auto"/>
              <w:bottom w:val="single" w:sz="6" w:space="0" w:color="auto"/>
              <w:right w:val="single" w:sz="6" w:space="0" w:color="auto"/>
            </w:tcBorders>
            <w:vAlign w:val="center"/>
          </w:tcPr>
          <w:p w14:paraId="27144835" w14:textId="77777777" w:rsidR="005F20F6" w:rsidRPr="008C52C9" w:rsidRDefault="005F20F6">
            <w:pPr>
              <w:spacing w:beforeLines="20" w:before="48" w:afterLines="20" w:after="48" w:line="276" w:lineRule="auto"/>
              <w:jc w:val="center"/>
              <w:rPr>
                <w:noProof/>
                <w:sz w:val="20"/>
              </w:rPr>
            </w:pPr>
          </w:p>
        </w:tc>
        <w:tc>
          <w:tcPr>
            <w:tcW w:w="424" w:type="pct"/>
            <w:tcBorders>
              <w:top w:val="single" w:sz="6" w:space="0" w:color="auto"/>
              <w:left w:val="single" w:sz="6" w:space="0" w:color="auto"/>
              <w:bottom w:val="single" w:sz="6" w:space="0" w:color="auto"/>
              <w:right w:val="single" w:sz="6" w:space="0" w:color="auto"/>
            </w:tcBorders>
            <w:vAlign w:val="center"/>
          </w:tcPr>
          <w:p w14:paraId="5022E888" w14:textId="77777777" w:rsidR="005F20F6" w:rsidRPr="008C52C9" w:rsidRDefault="005F20F6">
            <w:pPr>
              <w:spacing w:beforeLines="20" w:before="48" w:afterLines="20" w:after="48" w:line="276" w:lineRule="auto"/>
              <w:jc w:val="center"/>
              <w:rPr>
                <w:noProof/>
                <w:sz w:val="20"/>
              </w:rPr>
            </w:pPr>
          </w:p>
        </w:tc>
        <w:tc>
          <w:tcPr>
            <w:tcW w:w="423" w:type="pct"/>
            <w:tcBorders>
              <w:top w:val="single" w:sz="6" w:space="0" w:color="auto"/>
              <w:left w:val="single" w:sz="6" w:space="0" w:color="auto"/>
              <w:bottom w:val="single" w:sz="6" w:space="0" w:color="auto"/>
              <w:right w:val="single" w:sz="6" w:space="0" w:color="auto"/>
            </w:tcBorders>
            <w:vAlign w:val="center"/>
          </w:tcPr>
          <w:p w14:paraId="663F7AA0" w14:textId="77777777" w:rsidR="005F20F6" w:rsidRPr="008C52C9" w:rsidRDefault="005F20F6">
            <w:pPr>
              <w:spacing w:beforeLines="20" w:before="48" w:afterLines="20" w:after="48" w:line="276" w:lineRule="auto"/>
              <w:jc w:val="center"/>
              <w:rPr>
                <w:noProof/>
                <w:sz w:val="20"/>
              </w:rPr>
            </w:pPr>
          </w:p>
        </w:tc>
        <w:tc>
          <w:tcPr>
            <w:tcW w:w="452" w:type="pct"/>
            <w:tcBorders>
              <w:top w:val="single" w:sz="6" w:space="0" w:color="auto"/>
              <w:left w:val="single" w:sz="6" w:space="0" w:color="auto"/>
              <w:bottom w:val="single" w:sz="6" w:space="0" w:color="auto"/>
              <w:right w:val="single" w:sz="6" w:space="0" w:color="auto"/>
            </w:tcBorders>
            <w:vAlign w:val="center"/>
          </w:tcPr>
          <w:p w14:paraId="2C50486F" w14:textId="77777777" w:rsidR="005F20F6" w:rsidRPr="008C52C9" w:rsidRDefault="005F20F6">
            <w:pPr>
              <w:spacing w:beforeLines="20" w:before="48" w:afterLines="20" w:after="48" w:line="276" w:lineRule="auto"/>
              <w:jc w:val="center"/>
              <w:rPr>
                <w:noProof/>
                <w:sz w:val="20"/>
              </w:rPr>
            </w:pPr>
          </w:p>
        </w:tc>
      </w:tr>
      <w:tr w:rsidR="005F20F6" w:rsidRPr="008C52C9" w14:paraId="297840F9" w14:textId="77777777" w:rsidTr="005F20F6">
        <w:trPr>
          <w:trHeight w:val="289"/>
          <w:jc w:val="center"/>
        </w:trPr>
        <w:tc>
          <w:tcPr>
            <w:tcW w:w="2043" w:type="pct"/>
            <w:gridSpan w:val="2"/>
            <w:tcBorders>
              <w:top w:val="single" w:sz="6" w:space="0" w:color="auto"/>
              <w:left w:val="single" w:sz="6" w:space="0" w:color="auto"/>
              <w:bottom w:val="single" w:sz="6" w:space="0" w:color="auto"/>
              <w:right w:val="single" w:sz="6" w:space="0" w:color="auto"/>
            </w:tcBorders>
            <w:vAlign w:val="center"/>
            <w:hideMark/>
          </w:tcPr>
          <w:p w14:paraId="1998FC84" w14:textId="77777777" w:rsidR="005F20F6" w:rsidRPr="008C52C9" w:rsidRDefault="005F20F6">
            <w:pPr>
              <w:pStyle w:val="Text1"/>
              <w:spacing w:beforeLines="20" w:before="48" w:afterLines="20" w:after="48" w:line="276" w:lineRule="auto"/>
              <w:ind w:left="1836"/>
              <w:jc w:val="left"/>
              <w:rPr>
                <w:b/>
                <w:noProof/>
                <w:sz w:val="20"/>
              </w:rPr>
            </w:pPr>
            <w:r w:rsidRPr="008C52C9">
              <w:rPr>
                <w:noProof/>
                <w:sz w:val="20"/>
              </w:rPr>
              <w:t>20 02 01 (AC, END, INT della dotazione globale)</w:t>
            </w:r>
          </w:p>
        </w:tc>
        <w:tc>
          <w:tcPr>
            <w:tcW w:w="377" w:type="pct"/>
            <w:tcBorders>
              <w:top w:val="single" w:sz="6" w:space="0" w:color="auto"/>
              <w:left w:val="single" w:sz="6" w:space="0" w:color="auto"/>
              <w:bottom w:val="single" w:sz="6" w:space="0" w:color="auto"/>
              <w:right w:val="single" w:sz="6" w:space="0" w:color="auto"/>
            </w:tcBorders>
            <w:vAlign w:val="center"/>
          </w:tcPr>
          <w:p w14:paraId="1D1C0EB3" w14:textId="77777777" w:rsidR="005F20F6" w:rsidRPr="008C52C9" w:rsidRDefault="005F20F6">
            <w:pPr>
              <w:spacing w:beforeLines="20" w:before="48" w:afterLines="20" w:after="48" w:line="276" w:lineRule="auto"/>
              <w:jc w:val="center"/>
              <w:rPr>
                <w:noProof/>
                <w:sz w:val="20"/>
              </w:rPr>
            </w:pPr>
          </w:p>
        </w:tc>
        <w:tc>
          <w:tcPr>
            <w:tcW w:w="377" w:type="pct"/>
            <w:tcBorders>
              <w:top w:val="single" w:sz="6" w:space="0" w:color="auto"/>
              <w:left w:val="single" w:sz="6" w:space="0" w:color="auto"/>
              <w:bottom w:val="single" w:sz="6" w:space="0" w:color="auto"/>
              <w:right w:val="single" w:sz="6" w:space="0" w:color="auto"/>
            </w:tcBorders>
            <w:vAlign w:val="center"/>
          </w:tcPr>
          <w:p w14:paraId="586CAC16" w14:textId="77777777" w:rsidR="005F20F6" w:rsidRPr="008C52C9" w:rsidRDefault="005F20F6">
            <w:pPr>
              <w:spacing w:beforeLines="20" w:before="48" w:afterLines="20" w:after="48" w:line="276" w:lineRule="auto"/>
              <w:jc w:val="center"/>
              <w:rPr>
                <w:noProof/>
                <w:sz w:val="20"/>
              </w:rPr>
            </w:pPr>
          </w:p>
        </w:tc>
        <w:tc>
          <w:tcPr>
            <w:tcW w:w="406" w:type="pct"/>
            <w:tcBorders>
              <w:top w:val="single" w:sz="6" w:space="0" w:color="auto"/>
              <w:left w:val="single" w:sz="6" w:space="0" w:color="auto"/>
              <w:bottom w:val="single" w:sz="6" w:space="0" w:color="auto"/>
              <w:right w:val="single" w:sz="6" w:space="0" w:color="auto"/>
            </w:tcBorders>
            <w:vAlign w:val="center"/>
          </w:tcPr>
          <w:p w14:paraId="5C12B7A2" w14:textId="77777777" w:rsidR="005F20F6" w:rsidRPr="008C52C9" w:rsidRDefault="005F20F6">
            <w:pPr>
              <w:spacing w:beforeLines="20" w:before="48" w:afterLines="20" w:after="48" w:line="276" w:lineRule="auto"/>
              <w:jc w:val="center"/>
              <w:rPr>
                <w:noProof/>
                <w:sz w:val="20"/>
              </w:rPr>
            </w:pPr>
          </w:p>
        </w:tc>
        <w:tc>
          <w:tcPr>
            <w:tcW w:w="497" w:type="pct"/>
            <w:tcBorders>
              <w:top w:val="single" w:sz="6" w:space="0" w:color="auto"/>
              <w:left w:val="single" w:sz="6" w:space="0" w:color="auto"/>
              <w:bottom w:val="single" w:sz="6" w:space="0" w:color="auto"/>
              <w:right w:val="single" w:sz="6" w:space="0" w:color="auto"/>
            </w:tcBorders>
            <w:vAlign w:val="center"/>
          </w:tcPr>
          <w:p w14:paraId="551BB46A" w14:textId="77777777" w:rsidR="005F20F6" w:rsidRPr="008C52C9" w:rsidRDefault="005F20F6">
            <w:pPr>
              <w:spacing w:beforeLines="20" w:before="48" w:afterLines="20" w:after="48" w:line="276" w:lineRule="auto"/>
              <w:jc w:val="center"/>
              <w:rPr>
                <w:noProof/>
                <w:sz w:val="20"/>
              </w:rPr>
            </w:pPr>
          </w:p>
        </w:tc>
        <w:tc>
          <w:tcPr>
            <w:tcW w:w="424" w:type="pct"/>
            <w:tcBorders>
              <w:top w:val="single" w:sz="6" w:space="0" w:color="auto"/>
              <w:left w:val="single" w:sz="6" w:space="0" w:color="auto"/>
              <w:bottom w:val="single" w:sz="6" w:space="0" w:color="auto"/>
              <w:right w:val="single" w:sz="6" w:space="0" w:color="auto"/>
            </w:tcBorders>
            <w:vAlign w:val="center"/>
          </w:tcPr>
          <w:p w14:paraId="22E53C4C" w14:textId="77777777" w:rsidR="005F20F6" w:rsidRPr="008C52C9" w:rsidRDefault="005F20F6">
            <w:pPr>
              <w:spacing w:beforeLines="20" w:before="48" w:afterLines="20" w:after="48" w:line="276" w:lineRule="auto"/>
              <w:jc w:val="center"/>
              <w:rPr>
                <w:noProof/>
                <w:sz w:val="20"/>
              </w:rPr>
            </w:pPr>
          </w:p>
        </w:tc>
        <w:tc>
          <w:tcPr>
            <w:tcW w:w="423" w:type="pct"/>
            <w:tcBorders>
              <w:top w:val="single" w:sz="6" w:space="0" w:color="auto"/>
              <w:left w:val="single" w:sz="6" w:space="0" w:color="auto"/>
              <w:bottom w:val="single" w:sz="6" w:space="0" w:color="auto"/>
              <w:right w:val="single" w:sz="6" w:space="0" w:color="auto"/>
            </w:tcBorders>
            <w:vAlign w:val="center"/>
          </w:tcPr>
          <w:p w14:paraId="4F46F7C4" w14:textId="77777777" w:rsidR="005F20F6" w:rsidRPr="008C52C9" w:rsidRDefault="005F20F6">
            <w:pPr>
              <w:spacing w:beforeLines="20" w:before="48" w:afterLines="20" w:after="48" w:line="276" w:lineRule="auto"/>
              <w:jc w:val="center"/>
              <w:rPr>
                <w:noProof/>
                <w:sz w:val="20"/>
              </w:rPr>
            </w:pPr>
          </w:p>
        </w:tc>
        <w:tc>
          <w:tcPr>
            <w:tcW w:w="452" w:type="pct"/>
            <w:tcBorders>
              <w:top w:val="single" w:sz="6" w:space="0" w:color="auto"/>
              <w:left w:val="single" w:sz="6" w:space="0" w:color="auto"/>
              <w:bottom w:val="single" w:sz="6" w:space="0" w:color="auto"/>
              <w:right w:val="single" w:sz="6" w:space="0" w:color="auto"/>
            </w:tcBorders>
            <w:vAlign w:val="center"/>
          </w:tcPr>
          <w:p w14:paraId="709BF0F8" w14:textId="77777777" w:rsidR="005F20F6" w:rsidRPr="008C52C9" w:rsidRDefault="005F20F6">
            <w:pPr>
              <w:spacing w:beforeLines="20" w:before="48" w:afterLines="20" w:after="48" w:line="276" w:lineRule="auto"/>
              <w:jc w:val="center"/>
              <w:rPr>
                <w:noProof/>
                <w:sz w:val="20"/>
              </w:rPr>
            </w:pPr>
          </w:p>
        </w:tc>
      </w:tr>
      <w:tr w:rsidR="005F20F6" w:rsidRPr="008C52C9" w14:paraId="1CCEBF2E" w14:textId="77777777" w:rsidTr="005F20F6">
        <w:trPr>
          <w:trHeight w:val="289"/>
          <w:jc w:val="center"/>
        </w:trPr>
        <w:tc>
          <w:tcPr>
            <w:tcW w:w="2043" w:type="pct"/>
            <w:gridSpan w:val="2"/>
            <w:tcBorders>
              <w:top w:val="single" w:sz="6" w:space="0" w:color="auto"/>
              <w:left w:val="single" w:sz="6" w:space="0" w:color="auto"/>
              <w:bottom w:val="single" w:sz="6" w:space="0" w:color="auto"/>
              <w:right w:val="single" w:sz="6" w:space="0" w:color="auto"/>
            </w:tcBorders>
            <w:vAlign w:val="center"/>
            <w:hideMark/>
          </w:tcPr>
          <w:p w14:paraId="05615312" w14:textId="77777777" w:rsidR="005F20F6" w:rsidRPr="008C52C9" w:rsidRDefault="005F20F6">
            <w:pPr>
              <w:pStyle w:val="Text1"/>
              <w:spacing w:beforeLines="20" w:before="48" w:afterLines="20" w:after="48" w:line="276" w:lineRule="auto"/>
              <w:ind w:left="1836"/>
              <w:jc w:val="left"/>
              <w:rPr>
                <w:noProof/>
                <w:sz w:val="20"/>
              </w:rPr>
            </w:pPr>
            <w:r w:rsidRPr="008C52C9">
              <w:rPr>
                <w:noProof/>
                <w:sz w:val="20"/>
              </w:rPr>
              <w:t>20 02 03 (AC, AL, END, INT e JPD nelle delegazioni)</w:t>
            </w:r>
          </w:p>
        </w:tc>
        <w:tc>
          <w:tcPr>
            <w:tcW w:w="377" w:type="pct"/>
            <w:tcBorders>
              <w:top w:val="single" w:sz="6" w:space="0" w:color="auto"/>
              <w:left w:val="single" w:sz="6" w:space="0" w:color="auto"/>
              <w:bottom w:val="single" w:sz="6" w:space="0" w:color="auto"/>
              <w:right w:val="single" w:sz="6" w:space="0" w:color="auto"/>
            </w:tcBorders>
            <w:vAlign w:val="center"/>
          </w:tcPr>
          <w:p w14:paraId="01BC9F60" w14:textId="77777777" w:rsidR="005F20F6" w:rsidRPr="008C52C9" w:rsidRDefault="005F20F6">
            <w:pPr>
              <w:spacing w:beforeLines="20" w:before="48" w:afterLines="20" w:after="48" w:line="276" w:lineRule="auto"/>
              <w:jc w:val="center"/>
              <w:rPr>
                <w:noProof/>
                <w:sz w:val="20"/>
              </w:rPr>
            </w:pPr>
          </w:p>
        </w:tc>
        <w:tc>
          <w:tcPr>
            <w:tcW w:w="377" w:type="pct"/>
            <w:tcBorders>
              <w:top w:val="single" w:sz="6" w:space="0" w:color="auto"/>
              <w:left w:val="single" w:sz="6" w:space="0" w:color="auto"/>
              <w:bottom w:val="single" w:sz="6" w:space="0" w:color="auto"/>
              <w:right w:val="single" w:sz="6" w:space="0" w:color="auto"/>
            </w:tcBorders>
            <w:vAlign w:val="center"/>
          </w:tcPr>
          <w:p w14:paraId="3C3AE471" w14:textId="77777777" w:rsidR="005F20F6" w:rsidRPr="008C52C9" w:rsidRDefault="005F20F6">
            <w:pPr>
              <w:spacing w:beforeLines="20" w:before="48" w:afterLines="20" w:after="48" w:line="276" w:lineRule="auto"/>
              <w:jc w:val="center"/>
              <w:rPr>
                <w:noProof/>
                <w:sz w:val="20"/>
              </w:rPr>
            </w:pPr>
          </w:p>
        </w:tc>
        <w:tc>
          <w:tcPr>
            <w:tcW w:w="406" w:type="pct"/>
            <w:tcBorders>
              <w:top w:val="single" w:sz="6" w:space="0" w:color="auto"/>
              <w:left w:val="single" w:sz="6" w:space="0" w:color="auto"/>
              <w:bottom w:val="single" w:sz="6" w:space="0" w:color="auto"/>
              <w:right w:val="single" w:sz="6" w:space="0" w:color="auto"/>
            </w:tcBorders>
            <w:vAlign w:val="center"/>
          </w:tcPr>
          <w:p w14:paraId="3A5A903B" w14:textId="77777777" w:rsidR="005F20F6" w:rsidRPr="008C52C9" w:rsidRDefault="005F20F6">
            <w:pPr>
              <w:spacing w:beforeLines="20" w:before="48" w:afterLines="20" w:after="48" w:line="276" w:lineRule="auto"/>
              <w:jc w:val="center"/>
              <w:rPr>
                <w:noProof/>
                <w:sz w:val="20"/>
              </w:rPr>
            </w:pPr>
          </w:p>
        </w:tc>
        <w:tc>
          <w:tcPr>
            <w:tcW w:w="497" w:type="pct"/>
            <w:tcBorders>
              <w:top w:val="single" w:sz="6" w:space="0" w:color="auto"/>
              <w:left w:val="single" w:sz="6" w:space="0" w:color="auto"/>
              <w:bottom w:val="single" w:sz="6" w:space="0" w:color="auto"/>
              <w:right w:val="single" w:sz="6" w:space="0" w:color="auto"/>
            </w:tcBorders>
            <w:vAlign w:val="center"/>
          </w:tcPr>
          <w:p w14:paraId="3F5BF55C" w14:textId="77777777" w:rsidR="005F20F6" w:rsidRPr="008C52C9" w:rsidRDefault="005F20F6">
            <w:pPr>
              <w:spacing w:beforeLines="20" w:before="48" w:afterLines="20" w:after="48" w:line="276" w:lineRule="auto"/>
              <w:jc w:val="center"/>
              <w:rPr>
                <w:noProof/>
                <w:sz w:val="20"/>
              </w:rPr>
            </w:pPr>
          </w:p>
        </w:tc>
        <w:tc>
          <w:tcPr>
            <w:tcW w:w="424" w:type="pct"/>
            <w:tcBorders>
              <w:top w:val="single" w:sz="6" w:space="0" w:color="auto"/>
              <w:left w:val="single" w:sz="6" w:space="0" w:color="auto"/>
              <w:bottom w:val="single" w:sz="6" w:space="0" w:color="auto"/>
              <w:right w:val="single" w:sz="6" w:space="0" w:color="auto"/>
            </w:tcBorders>
            <w:vAlign w:val="center"/>
          </w:tcPr>
          <w:p w14:paraId="45E0A0AA" w14:textId="77777777" w:rsidR="005F20F6" w:rsidRPr="008C52C9" w:rsidRDefault="005F20F6">
            <w:pPr>
              <w:spacing w:beforeLines="20" w:before="48" w:afterLines="20" w:after="48" w:line="276" w:lineRule="auto"/>
              <w:jc w:val="center"/>
              <w:rPr>
                <w:noProof/>
                <w:sz w:val="20"/>
              </w:rPr>
            </w:pPr>
          </w:p>
        </w:tc>
        <w:tc>
          <w:tcPr>
            <w:tcW w:w="423" w:type="pct"/>
            <w:tcBorders>
              <w:top w:val="single" w:sz="6" w:space="0" w:color="auto"/>
              <w:left w:val="single" w:sz="6" w:space="0" w:color="auto"/>
              <w:bottom w:val="single" w:sz="6" w:space="0" w:color="auto"/>
              <w:right w:val="single" w:sz="6" w:space="0" w:color="auto"/>
            </w:tcBorders>
            <w:vAlign w:val="center"/>
          </w:tcPr>
          <w:p w14:paraId="55807638" w14:textId="77777777" w:rsidR="005F20F6" w:rsidRPr="008C52C9" w:rsidRDefault="005F20F6">
            <w:pPr>
              <w:spacing w:beforeLines="20" w:before="48" w:afterLines="20" w:after="48" w:line="276" w:lineRule="auto"/>
              <w:jc w:val="center"/>
              <w:rPr>
                <w:noProof/>
                <w:sz w:val="20"/>
              </w:rPr>
            </w:pPr>
          </w:p>
        </w:tc>
        <w:tc>
          <w:tcPr>
            <w:tcW w:w="452" w:type="pct"/>
            <w:tcBorders>
              <w:top w:val="single" w:sz="6" w:space="0" w:color="auto"/>
              <w:left w:val="single" w:sz="6" w:space="0" w:color="auto"/>
              <w:bottom w:val="single" w:sz="6" w:space="0" w:color="auto"/>
              <w:right w:val="single" w:sz="6" w:space="0" w:color="auto"/>
            </w:tcBorders>
            <w:vAlign w:val="center"/>
          </w:tcPr>
          <w:p w14:paraId="3C4421BA" w14:textId="77777777" w:rsidR="005F20F6" w:rsidRPr="008C52C9" w:rsidRDefault="005F20F6">
            <w:pPr>
              <w:spacing w:beforeLines="20" w:before="48" w:afterLines="20" w:after="48" w:line="276" w:lineRule="auto"/>
              <w:jc w:val="center"/>
              <w:rPr>
                <w:noProof/>
                <w:sz w:val="20"/>
              </w:rPr>
            </w:pPr>
          </w:p>
        </w:tc>
      </w:tr>
      <w:tr w:rsidR="005F20F6" w:rsidRPr="008C52C9" w14:paraId="2C61749F" w14:textId="77777777" w:rsidTr="005F20F6">
        <w:trPr>
          <w:trHeight w:val="289"/>
          <w:jc w:val="center"/>
        </w:trPr>
        <w:tc>
          <w:tcPr>
            <w:tcW w:w="1018" w:type="pct"/>
            <w:vMerge w:val="restart"/>
            <w:tcBorders>
              <w:top w:val="single" w:sz="6" w:space="0" w:color="auto"/>
              <w:left w:val="single" w:sz="6" w:space="0" w:color="auto"/>
              <w:bottom w:val="single" w:sz="6" w:space="0" w:color="auto"/>
              <w:right w:val="single" w:sz="6" w:space="0" w:color="auto"/>
            </w:tcBorders>
            <w:vAlign w:val="center"/>
            <w:hideMark/>
          </w:tcPr>
          <w:p w14:paraId="4288FCAF" w14:textId="77777777" w:rsidR="005F20F6" w:rsidRPr="008C52C9" w:rsidRDefault="005F20F6">
            <w:pPr>
              <w:pStyle w:val="Text1"/>
              <w:spacing w:beforeLines="20" w:before="48" w:afterLines="20" w:after="48" w:line="276" w:lineRule="auto"/>
              <w:ind w:left="1836"/>
              <w:jc w:val="left"/>
              <w:rPr>
                <w:b/>
                <w:noProof/>
                <w:sz w:val="20"/>
              </w:rPr>
            </w:pPr>
            <w:r w:rsidRPr="008C52C9">
              <w:rPr>
                <w:noProof/>
                <w:sz w:val="20"/>
              </w:rPr>
              <w:t>Linee di bilancio (specificare)</w:t>
            </w:r>
            <w:r w:rsidRPr="008C52C9">
              <w:rPr>
                <w:b/>
                <w:noProof/>
                <w:sz w:val="20"/>
              </w:rPr>
              <w:t xml:space="preserve"> </w:t>
            </w:r>
            <w:r w:rsidRPr="008C52C9">
              <w:rPr>
                <w:rStyle w:val="FootnoteReference"/>
                <w:b/>
                <w:noProof/>
                <w:sz w:val="20"/>
              </w:rPr>
              <w:footnoteReference w:id="53"/>
            </w:r>
          </w:p>
        </w:tc>
        <w:tc>
          <w:tcPr>
            <w:tcW w:w="1025" w:type="pct"/>
            <w:tcBorders>
              <w:top w:val="single" w:sz="6" w:space="0" w:color="auto"/>
              <w:left w:val="single" w:sz="6" w:space="0" w:color="auto"/>
              <w:bottom w:val="single" w:sz="6" w:space="0" w:color="auto"/>
              <w:right w:val="single" w:sz="6" w:space="0" w:color="auto"/>
            </w:tcBorders>
            <w:vAlign w:val="center"/>
            <w:hideMark/>
          </w:tcPr>
          <w:p w14:paraId="1C52AF86" w14:textId="77777777" w:rsidR="005F20F6" w:rsidRPr="008C52C9" w:rsidRDefault="005F20F6">
            <w:pPr>
              <w:pStyle w:val="Text1"/>
              <w:spacing w:beforeLines="20" w:before="48" w:afterLines="20" w:after="48" w:line="276" w:lineRule="auto"/>
              <w:ind w:left="1448"/>
              <w:jc w:val="left"/>
              <w:rPr>
                <w:b/>
                <w:noProof/>
                <w:sz w:val="20"/>
              </w:rPr>
            </w:pPr>
            <w:r w:rsidRPr="008C52C9">
              <w:rPr>
                <w:noProof/>
                <w:sz w:val="20"/>
              </w:rPr>
              <w:t>- in sede</w:t>
            </w:r>
            <w:r w:rsidRPr="008C52C9">
              <w:rPr>
                <w:rStyle w:val="FootnoteReference"/>
                <w:noProof/>
                <w:sz w:val="20"/>
              </w:rPr>
              <w:footnoteReference w:id="54"/>
            </w:r>
            <w:r w:rsidRPr="008C52C9">
              <w:rPr>
                <w:noProof/>
              </w:rPr>
              <w:t xml:space="preserve"> </w:t>
            </w:r>
            <w:r w:rsidRPr="008C52C9">
              <w:rPr>
                <w:noProof/>
              </w:rPr>
              <w:br/>
            </w:r>
          </w:p>
        </w:tc>
        <w:tc>
          <w:tcPr>
            <w:tcW w:w="377" w:type="pct"/>
            <w:tcBorders>
              <w:top w:val="single" w:sz="6" w:space="0" w:color="auto"/>
              <w:left w:val="single" w:sz="6" w:space="0" w:color="auto"/>
              <w:bottom w:val="single" w:sz="6" w:space="0" w:color="auto"/>
              <w:right w:val="single" w:sz="6" w:space="0" w:color="auto"/>
            </w:tcBorders>
            <w:vAlign w:val="center"/>
          </w:tcPr>
          <w:p w14:paraId="2B247B60" w14:textId="77777777" w:rsidR="005F20F6" w:rsidRPr="008C52C9" w:rsidRDefault="005F20F6">
            <w:pPr>
              <w:pStyle w:val="Text1"/>
              <w:spacing w:beforeLines="20" w:before="48" w:afterLines="20" w:after="48" w:line="276" w:lineRule="auto"/>
              <w:ind w:left="1700"/>
              <w:rPr>
                <w:noProof/>
                <w:sz w:val="20"/>
              </w:rPr>
            </w:pPr>
          </w:p>
        </w:tc>
        <w:tc>
          <w:tcPr>
            <w:tcW w:w="377" w:type="pct"/>
            <w:tcBorders>
              <w:top w:val="single" w:sz="6" w:space="0" w:color="auto"/>
              <w:left w:val="single" w:sz="6" w:space="0" w:color="auto"/>
              <w:bottom w:val="single" w:sz="6" w:space="0" w:color="auto"/>
              <w:right w:val="single" w:sz="6" w:space="0" w:color="auto"/>
            </w:tcBorders>
            <w:vAlign w:val="center"/>
          </w:tcPr>
          <w:p w14:paraId="319DE798" w14:textId="77777777" w:rsidR="005F20F6" w:rsidRPr="008C52C9" w:rsidRDefault="005F20F6">
            <w:pPr>
              <w:spacing w:beforeLines="20" w:before="48" w:afterLines="20" w:after="48" w:line="276" w:lineRule="auto"/>
              <w:jc w:val="center"/>
              <w:rPr>
                <w:noProof/>
                <w:sz w:val="20"/>
              </w:rPr>
            </w:pPr>
          </w:p>
        </w:tc>
        <w:tc>
          <w:tcPr>
            <w:tcW w:w="406" w:type="pct"/>
            <w:tcBorders>
              <w:top w:val="single" w:sz="6" w:space="0" w:color="auto"/>
              <w:left w:val="single" w:sz="6" w:space="0" w:color="auto"/>
              <w:bottom w:val="single" w:sz="6" w:space="0" w:color="auto"/>
              <w:right w:val="single" w:sz="6" w:space="0" w:color="auto"/>
            </w:tcBorders>
            <w:vAlign w:val="center"/>
          </w:tcPr>
          <w:p w14:paraId="11CA8445" w14:textId="77777777" w:rsidR="005F20F6" w:rsidRPr="008C52C9" w:rsidRDefault="005F20F6">
            <w:pPr>
              <w:spacing w:beforeLines="20" w:before="48" w:afterLines="20" w:after="48" w:line="276" w:lineRule="auto"/>
              <w:jc w:val="center"/>
              <w:rPr>
                <w:noProof/>
                <w:sz w:val="20"/>
              </w:rPr>
            </w:pPr>
          </w:p>
        </w:tc>
        <w:tc>
          <w:tcPr>
            <w:tcW w:w="497" w:type="pct"/>
            <w:tcBorders>
              <w:top w:val="single" w:sz="6" w:space="0" w:color="auto"/>
              <w:left w:val="single" w:sz="6" w:space="0" w:color="auto"/>
              <w:bottom w:val="single" w:sz="6" w:space="0" w:color="auto"/>
              <w:right w:val="single" w:sz="6" w:space="0" w:color="auto"/>
            </w:tcBorders>
            <w:vAlign w:val="center"/>
          </w:tcPr>
          <w:p w14:paraId="2140FA93" w14:textId="77777777" w:rsidR="005F20F6" w:rsidRPr="008C52C9" w:rsidRDefault="005F20F6">
            <w:pPr>
              <w:spacing w:beforeLines="20" w:before="48" w:afterLines="20" w:after="48" w:line="276" w:lineRule="auto"/>
              <w:jc w:val="center"/>
              <w:rPr>
                <w:noProof/>
                <w:sz w:val="20"/>
              </w:rPr>
            </w:pPr>
          </w:p>
        </w:tc>
        <w:tc>
          <w:tcPr>
            <w:tcW w:w="424" w:type="pct"/>
            <w:tcBorders>
              <w:top w:val="single" w:sz="6" w:space="0" w:color="auto"/>
              <w:left w:val="single" w:sz="6" w:space="0" w:color="auto"/>
              <w:bottom w:val="single" w:sz="6" w:space="0" w:color="auto"/>
              <w:right w:val="single" w:sz="6" w:space="0" w:color="auto"/>
            </w:tcBorders>
            <w:vAlign w:val="center"/>
          </w:tcPr>
          <w:p w14:paraId="54D99305" w14:textId="77777777" w:rsidR="005F20F6" w:rsidRPr="008C52C9" w:rsidRDefault="005F20F6">
            <w:pPr>
              <w:spacing w:beforeLines="20" w:before="48" w:afterLines="20" w:after="48" w:line="276" w:lineRule="auto"/>
              <w:jc w:val="center"/>
              <w:rPr>
                <w:noProof/>
                <w:sz w:val="20"/>
              </w:rPr>
            </w:pPr>
          </w:p>
        </w:tc>
        <w:tc>
          <w:tcPr>
            <w:tcW w:w="423" w:type="pct"/>
            <w:tcBorders>
              <w:top w:val="single" w:sz="6" w:space="0" w:color="auto"/>
              <w:left w:val="single" w:sz="6" w:space="0" w:color="auto"/>
              <w:bottom w:val="single" w:sz="6" w:space="0" w:color="auto"/>
              <w:right w:val="single" w:sz="6" w:space="0" w:color="auto"/>
            </w:tcBorders>
            <w:vAlign w:val="center"/>
          </w:tcPr>
          <w:p w14:paraId="39EA1ACE" w14:textId="77777777" w:rsidR="005F20F6" w:rsidRPr="008C52C9" w:rsidRDefault="005F20F6">
            <w:pPr>
              <w:spacing w:beforeLines="20" w:before="48" w:afterLines="20" w:after="48" w:line="276" w:lineRule="auto"/>
              <w:jc w:val="center"/>
              <w:rPr>
                <w:noProof/>
                <w:sz w:val="20"/>
              </w:rPr>
            </w:pPr>
          </w:p>
        </w:tc>
        <w:tc>
          <w:tcPr>
            <w:tcW w:w="452" w:type="pct"/>
            <w:tcBorders>
              <w:top w:val="single" w:sz="6" w:space="0" w:color="auto"/>
              <w:left w:val="single" w:sz="6" w:space="0" w:color="auto"/>
              <w:bottom w:val="single" w:sz="6" w:space="0" w:color="auto"/>
              <w:right w:val="single" w:sz="6" w:space="0" w:color="auto"/>
            </w:tcBorders>
            <w:vAlign w:val="center"/>
          </w:tcPr>
          <w:p w14:paraId="65133191" w14:textId="77777777" w:rsidR="005F20F6" w:rsidRPr="008C52C9" w:rsidRDefault="005F20F6">
            <w:pPr>
              <w:spacing w:beforeLines="20" w:before="48" w:afterLines="20" w:after="48" w:line="276" w:lineRule="auto"/>
              <w:jc w:val="center"/>
              <w:rPr>
                <w:noProof/>
                <w:sz w:val="20"/>
              </w:rPr>
            </w:pPr>
          </w:p>
        </w:tc>
      </w:tr>
      <w:tr w:rsidR="005F20F6" w:rsidRPr="008C52C9" w14:paraId="554B15E9" w14:textId="77777777" w:rsidTr="005F20F6">
        <w:trPr>
          <w:trHeight w:val="289"/>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1C3D5A6" w14:textId="77777777" w:rsidR="005F20F6" w:rsidRPr="008C52C9" w:rsidRDefault="005F20F6">
            <w:pPr>
              <w:spacing w:before="0" w:after="0" w:line="276" w:lineRule="auto"/>
              <w:jc w:val="left"/>
              <w:rPr>
                <w:b/>
                <w:noProof/>
                <w:sz w:val="20"/>
              </w:rPr>
            </w:pPr>
          </w:p>
        </w:tc>
        <w:tc>
          <w:tcPr>
            <w:tcW w:w="1025" w:type="pct"/>
            <w:tcBorders>
              <w:top w:val="single" w:sz="6" w:space="0" w:color="auto"/>
              <w:left w:val="single" w:sz="6" w:space="0" w:color="auto"/>
              <w:bottom w:val="single" w:sz="6" w:space="0" w:color="auto"/>
              <w:right w:val="single" w:sz="6" w:space="0" w:color="auto"/>
            </w:tcBorders>
            <w:vAlign w:val="center"/>
            <w:hideMark/>
          </w:tcPr>
          <w:p w14:paraId="40E80BA2" w14:textId="77777777" w:rsidR="005F20F6" w:rsidRPr="008C52C9" w:rsidRDefault="005F20F6">
            <w:pPr>
              <w:pStyle w:val="Text1"/>
              <w:spacing w:beforeLines="20" w:before="48" w:afterLines="20" w:after="48" w:line="276" w:lineRule="auto"/>
              <w:ind w:left="1448"/>
              <w:jc w:val="left"/>
              <w:rPr>
                <w:b/>
                <w:noProof/>
                <w:sz w:val="20"/>
              </w:rPr>
            </w:pPr>
            <w:r w:rsidRPr="008C52C9">
              <w:rPr>
                <w:noProof/>
                <w:sz w:val="20"/>
              </w:rPr>
              <w:t xml:space="preserve">- nelle delegazioni </w:t>
            </w:r>
          </w:p>
        </w:tc>
        <w:tc>
          <w:tcPr>
            <w:tcW w:w="377" w:type="pct"/>
            <w:tcBorders>
              <w:top w:val="single" w:sz="6" w:space="0" w:color="auto"/>
              <w:left w:val="single" w:sz="6" w:space="0" w:color="auto"/>
              <w:bottom w:val="single" w:sz="6" w:space="0" w:color="auto"/>
              <w:right w:val="single" w:sz="6" w:space="0" w:color="auto"/>
            </w:tcBorders>
            <w:vAlign w:val="center"/>
          </w:tcPr>
          <w:p w14:paraId="211326E3" w14:textId="77777777" w:rsidR="005F20F6" w:rsidRPr="008C52C9" w:rsidRDefault="005F20F6">
            <w:pPr>
              <w:pStyle w:val="Text1"/>
              <w:spacing w:beforeLines="20" w:before="48" w:afterLines="20" w:after="48" w:line="276" w:lineRule="auto"/>
              <w:ind w:left="1700"/>
              <w:rPr>
                <w:noProof/>
                <w:sz w:val="20"/>
              </w:rPr>
            </w:pPr>
          </w:p>
        </w:tc>
        <w:tc>
          <w:tcPr>
            <w:tcW w:w="377" w:type="pct"/>
            <w:tcBorders>
              <w:top w:val="single" w:sz="6" w:space="0" w:color="auto"/>
              <w:left w:val="single" w:sz="6" w:space="0" w:color="auto"/>
              <w:bottom w:val="single" w:sz="6" w:space="0" w:color="auto"/>
              <w:right w:val="single" w:sz="6" w:space="0" w:color="auto"/>
            </w:tcBorders>
            <w:vAlign w:val="center"/>
          </w:tcPr>
          <w:p w14:paraId="76C78E8E" w14:textId="77777777" w:rsidR="005F20F6" w:rsidRPr="008C52C9" w:rsidRDefault="005F20F6">
            <w:pPr>
              <w:spacing w:beforeLines="20" w:before="48" w:afterLines="20" w:after="48" w:line="276" w:lineRule="auto"/>
              <w:jc w:val="center"/>
              <w:rPr>
                <w:noProof/>
                <w:sz w:val="20"/>
              </w:rPr>
            </w:pPr>
          </w:p>
        </w:tc>
        <w:tc>
          <w:tcPr>
            <w:tcW w:w="406" w:type="pct"/>
            <w:tcBorders>
              <w:top w:val="single" w:sz="6" w:space="0" w:color="auto"/>
              <w:left w:val="single" w:sz="6" w:space="0" w:color="auto"/>
              <w:bottom w:val="single" w:sz="6" w:space="0" w:color="auto"/>
              <w:right w:val="single" w:sz="6" w:space="0" w:color="auto"/>
            </w:tcBorders>
            <w:vAlign w:val="center"/>
          </w:tcPr>
          <w:p w14:paraId="60B4D159" w14:textId="77777777" w:rsidR="005F20F6" w:rsidRPr="008C52C9" w:rsidRDefault="005F20F6">
            <w:pPr>
              <w:spacing w:beforeLines="20" w:before="48" w:afterLines="20" w:after="48" w:line="276" w:lineRule="auto"/>
              <w:jc w:val="center"/>
              <w:rPr>
                <w:noProof/>
                <w:sz w:val="20"/>
              </w:rPr>
            </w:pPr>
          </w:p>
        </w:tc>
        <w:tc>
          <w:tcPr>
            <w:tcW w:w="497" w:type="pct"/>
            <w:tcBorders>
              <w:top w:val="single" w:sz="6" w:space="0" w:color="auto"/>
              <w:left w:val="single" w:sz="6" w:space="0" w:color="auto"/>
              <w:bottom w:val="single" w:sz="6" w:space="0" w:color="auto"/>
              <w:right w:val="single" w:sz="6" w:space="0" w:color="auto"/>
            </w:tcBorders>
            <w:vAlign w:val="center"/>
          </w:tcPr>
          <w:p w14:paraId="13D0359A" w14:textId="77777777" w:rsidR="005F20F6" w:rsidRPr="008C52C9" w:rsidRDefault="005F20F6">
            <w:pPr>
              <w:spacing w:beforeLines="20" w:before="48" w:afterLines="20" w:after="48" w:line="276" w:lineRule="auto"/>
              <w:jc w:val="center"/>
              <w:rPr>
                <w:noProof/>
                <w:sz w:val="20"/>
              </w:rPr>
            </w:pPr>
          </w:p>
        </w:tc>
        <w:tc>
          <w:tcPr>
            <w:tcW w:w="424" w:type="pct"/>
            <w:tcBorders>
              <w:top w:val="single" w:sz="6" w:space="0" w:color="auto"/>
              <w:left w:val="single" w:sz="6" w:space="0" w:color="auto"/>
              <w:bottom w:val="single" w:sz="6" w:space="0" w:color="auto"/>
              <w:right w:val="single" w:sz="6" w:space="0" w:color="auto"/>
            </w:tcBorders>
            <w:vAlign w:val="center"/>
          </w:tcPr>
          <w:p w14:paraId="35A5087F" w14:textId="77777777" w:rsidR="005F20F6" w:rsidRPr="008C52C9" w:rsidRDefault="005F20F6">
            <w:pPr>
              <w:spacing w:beforeLines="20" w:before="48" w:afterLines="20" w:after="48" w:line="276" w:lineRule="auto"/>
              <w:jc w:val="center"/>
              <w:rPr>
                <w:noProof/>
                <w:sz w:val="20"/>
              </w:rPr>
            </w:pPr>
          </w:p>
        </w:tc>
        <w:tc>
          <w:tcPr>
            <w:tcW w:w="423" w:type="pct"/>
            <w:tcBorders>
              <w:top w:val="single" w:sz="6" w:space="0" w:color="auto"/>
              <w:left w:val="single" w:sz="6" w:space="0" w:color="auto"/>
              <w:bottom w:val="single" w:sz="6" w:space="0" w:color="auto"/>
              <w:right w:val="single" w:sz="6" w:space="0" w:color="auto"/>
            </w:tcBorders>
            <w:vAlign w:val="center"/>
          </w:tcPr>
          <w:p w14:paraId="1743C8C8" w14:textId="77777777" w:rsidR="005F20F6" w:rsidRPr="008C52C9" w:rsidRDefault="005F20F6">
            <w:pPr>
              <w:spacing w:beforeLines="20" w:before="48" w:afterLines="20" w:after="48" w:line="276" w:lineRule="auto"/>
              <w:jc w:val="center"/>
              <w:rPr>
                <w:noProof/>
                <w:sz w:val="20"/>
              </w:rPr>
            </w:pPr>
          </w:p>
        </w:tc>
        <w:tc>
          <w:tcPr>
            <w:tcW w:w="452" w:type="pct"/>
            <w:tcBorders>
              <w:top w:val="single" w:sz="6" w:space="0" w:color="auto"/>
              <w:left w:val="single" w:sz="6" w:space="0" w:color="auto"/>
              <w:bottom w:val="single" w:sz="6" w:space="0" w:color="auto"/>
              <w:right w:val="single" w:sz="6" w:space="0" w:color="auto"/>
            </w:tcBorders>
            <w:vAlign w:val="center"/>
          </w:tcPr>
          <w:p w14:paraId="1E7A4F90" w14:textId="77777777" w:rsidR="005F20F6" w:rsidRPr="008C52C9" w:rsidRDefault="005F20F6">
            <w:pPr>
              <w:spacing w:beforeLines="20" w:before="48" w:afterLines="20" w:after="48" w:line="276" w:lineRule="auto"/>
              <w:jc w:val="center"/>
              <w:rPr>
                <w:noProof/>
                <w:sz w:val="20"/>
              </w:rPr>
            </w:pPr>
          </w:p>
        </w:tc>
      </w:tr>
      <w:tr w:rsidR="005F20F6" w:rsidRPr="008C52C9" w14:paraId="6F8D04FA" w14:textId="77777777" w:rsidTr="005F20F6">
        <w:trPr>
          <w:trHeight w:val="289"/>
          <w:jc w:val="center"/>
        </w:trPr>
        <w:tc>
          <w:tcPr>
            <w:tcW w:w="2043" w:type="pct"/>
            <w:gridSpan w:val="2"/>
            <w:tcBorders>
              <w:top w:val="single" w:sz="6" w:space="0" w:color="auto"/>
              <w:left w:val="single" w:sz="6" w:space="0" w:color="auto"/>
              <w:bottom w:val="single" w:sz="6" w:space="0" w:color="auto"/>
              <w:right w:val="single" w:sz="6" w:space="0" w:color="auto"/>
            </w:tcBorders>
            <w:vAlign w:val="center"/>
            <w:hideMark/>
          </w:tcPr>
          <w:p w14:paraId="3C947A3D" w14:textId="77777777" w:rsidR="005F20F6" w:rsidRPr="008C52C9" w:rsidRDefault="005F20F6">
            <w:pPr>
              <w:pStyle w:val="Text1"/>
              <w:spacing w:beforeLines="20" w:before="48" w:afterLines="20" w:after="48" w:line="276" w:lineRule="auto"/>
              <w:ind w:left="1836"/>
              <w:jc w:val="left"/>
              <w:rPr>
                <w:noProof/>
                <w:sz w:val="20"/>
              </w:rPr>
            </w:pPr>
            <w:r w:rsidRPr="008C52C9">
              <w:rPr>
                <w:b/>
                <w:noProof/>
                <w:sz w:val="20"/>
              </w:rPr>
              <w:t>01 01 01 02</w:t>
            </w:r>
            <w:r w:rsidRPr="008C52C9">
              <w:rPr>
                <w:noProof/>
                <w:sz w:val="20"/>
              </w:rPr>
              <w:t xml:space="preserve"> (AC, END, INT - ricerca indiretta)</w:t>
            </w:r>
          </w:p>
        </w:tc>
        <w:tc>
          <w:tcPr>
            <w:tcW w:w="377" w:type="pct"/>
            <w:tcBorders>
              <w:top w:val="single" w:sz="6" w:space="0" w:color="auto"/>
              <w:left w:val="single" w:sz="6" w:space="0" w:color="auto"/>
              <w:bottom w:val="single" w:sz="6" w:space="0" w:color="auto"/>
              <w:right w:val="single" w:sz="6" w:space="0" w:color="auto"/>
            </w:tcBorders>
            <w:vAlign w:val="center"/>
          </w:tcPr>
          <w:p w14:paraId="272253E6" w14:textId="77777777" w:rsidR="005F20F6" w:rsidRPr="008C52C9" w:rsidRDefault="005F20F6">
            <w:pPr>
              <w:spacing w:beforeLines="20" w:before="48" w:afterLines="20" w:after="48" w:line="276" w:lineRule="auto"/>
              <w:jc w:val="center"/>
              <w:rPr>
                <w:noProof/>
                <w:sz w:val="20"/>
              </w:rPr>
            </w:pPr>
          </w:p>
        </w:tc>
        <w:tc>
          <w:tcPr>
            <w:tcW w:w="377" w:type="pct"/>
            <w:tcBorders>
              <w:top w:val="single" w:sz="6" w:space="0" w:color="auto"/>
              <w:left w:val="single" w:sz="6" w:space="0" w:color="auto"/>
              <w:bottom w:val="single" w:sz="6" w:space="0" w:color="auto"/>
              <w:right w:val="single" w:sz="6" w:space="0" w:color="auto"/>
            </w:tcBorders>
            <w:vAlign w:val="center"/>
          </w:tcPr>
          <w:p w14:paraId="6AF95AF2" w14:textId="77777777" w:rsidR="005F20F6" w:rsidRPr="008C52C9" w:rsidRDefault="005F20F6">
            <w:pPr>
              <w:spacing w:beforeLines="20" w:before="48" w:afterLines="20" w:after="48" w:line="276" w:lineRule="auto"/>
              <w:jc w:val="center"/>
              <w:rPr>
                <w:noProof/>
                <w:sz w:val="20"/>
              </w:rPr>
            </w:pPr>
          </w:p>
        </w:tc>
        <w:tc>
          <w:tcPr>
            <w:tcW w:w="406" w:type="pct"/>
            <w:tcBorders>
              <w:top w:val="single" w:sz="6" w:space="0" w:color="auto"/>
              <w:left w:val="single" w:sz="6" w:space="0" w:color="auto"/>
              <w:bottom w:val="single" w:sz="6" w:space="0" w:color="auto"/>
              <w:right w:val="single" w:sz="6" w:space="0" w:color="auto"/>
            </w:tcBorders>
            <w:vAlign w:val="center"/>
          </w:tcPr>
          <w:p w14:paraId="7B22DF2F" w14:textId="77777777" w:rsidR="005F20F6" w:rsidRPr="008C52C9" w:rsidRDefault="005F20F6">
            <w:pPr>
              <w:spacing w:beforeLines="20" w:before="48" w:afterLines="20" w:after="48" w:line="276" w:lineRule="auto"/>
              <w:jc w:val="center"/>
              <w:rPr>
                <w:noProof/>
                <w:sz w:val="20"/>
              </w:rPr>
            </w:pPr>
          </w:p>
        </w:tc>
        <w:tc>
          <w:tcPr>
            <w:tcW w:w="497" w:type="pct"/>
            <w:tcBorders>
              <w:top w:val="single" w:sz="6" w:space="0" w:color="auto"/>
              <w:left w:val="single" w:sz="6" w:space="0" w:color="auto"/>
              <w:bottom w:val="single" w:sz="6" w:space="0" w:color="auto"/>
              <w:right w:val="single" w:sz="6" w:space="0" w:color="auto"/>
            </w:tcBorders>
            <w:vAlign w:val="center"/>
          </w:tcPr>
          <w:p w14:paraId="03D91639" w14:textId="77777777" w:rsidR="005F20F6" w:rsidRPr="008C52C9" w:rsidRDefault="005F20F6">
            <w:pPr>
              <w:spacing w:beforeLines="20" w:before="48" w:afterLines="20" w:after="48" w:line="276" w:lineRule="auto"/>
              <w:jc w:val="center"/>
              <w:rPr>
                <w:noProof/>
                <w:sz w:val="20"/>
              </w:rPr>
            </w:pPr>
          </w:p>
        </w:tc>
        <w:tc>
          <w:tcPr>
            <w:tcW w:w="424" w:type="pct"/>
            <w:tcBorders>
              <w:top w:val="single" w:sz="6" w:space="0" w:color="auto"/>
              <w:left w:val="single" w:sz="6" w:space="0" w:color="auto"/>
              <w:bottom w:val="single" w:sz="6" w:space="0" w:color="auto"/>
              <w:right w:val="single" w:sz="6" w:space="0" w:color="auto"/>
            </w:tcBorders>
            <w:vAlign w:val="center"/>
          </w:tcPr>
          <w:p w14:paraId="3A363DD5" w14:textId="77777777" w:rsidR="005F20F6" w:rsidRPr="008C52C9" w:rsidRDefault="005F20F6">
            <w:pPr>
              <w:spacing w:beforeLines="20" w:before="48" w:afterLines="20" w:after="48" w:line="276" w:lineRule="auto"/>
              <w:jc w:val="center"/>
              <w:rPr>
                <w:noProof/>
                <w:sz w:val="20"/>
              </w:rPr>
            </w:pPr>
          </w:p>
        </w:tc>
        <w:tc>
          <w:tcPr>
            <w:tcW w:w="423" w:type="pct"/>
            <w:tcBorders>
              <w:top w:val="single" w:sz="6" w:space="0" w:color="auto"/>
              <w:left w:val="single" w:sz="6" w:space="0" w:color="auto"/>
              <w:bottom w:val="single" w:sz="6" w:space="0" w:color="auto"/>
              <w:right w:val="single" w:sz="6" w:space="0" w:color="auto"/>
            </w:tcBorders>
            <w:vAlign w:val="center"/>
          </w:tcPr>
          <w:p w14:paraId="4DEEE5E6" w14:textId="77777777" w:rsidR="005F20F6" w:rsidRPr="008C52C9" w:rsidRDefault="005F20F6">
            <w:pPr>
              <w:spacing w:beforeLines="20" w:before="48" w:afterLines="20" w:after="48" w:line="276" w:lineRule="auto"/>
              <w:jc w:val="center"/>
              <w:rPr>
                <w:noProof/>
                <w:sz w:val="20"/>
              </w:rPr>
            </w:pPr>
          </w:p>
        </w:tc>
        <w:tc>
          <w:tcPr>
            <w:tcW w:w="452" w:type="pct"/>
            <w:tcBorders>
              <w:top w:val="single" w:sz="6" w:space="0" w:color="auto"/>
              <w:left w:val="single" w:sz="6" w:space="0" w:color="auto"/>
              <w:bottom w:val="single" w:sz="6" w:space="0" w:color="auto"/>
              <w:right w:val="single" w:sz="6" w:space="0" w:color="auto"/>
            </w:tcBorders>
            <w:vAlign w:val="center"/>
          </w:tcPr>
          <w:p w14:paraId="60F69A5E" w14:textId="77777777" w:rsidR="005F20F6" w:rsidRPr="008C52C9" w:rsidRDefault="005F20F6">
            <w:pPr>
              <w:spacing w:beforeLines="20" w:before="48" w:afterLines="20" w:after="48" w:line="276" w:lineRule="auto"/>
              <w:jc w:val="center"/>
              <w:rPr>
                <w:noProof/>
                <w:sz w:val="20"/>
              </w:rPr>
            </w:pPr>
          </w:p>
        </w:tc>
      </w:tr>
      <w:tr w:rsidR="005F20F6" w:rsidRPr="008C52C9" w14:paraId="09BB9428" w14:textId="77777777" w:rsidTr="005F20F6">
        <w:trPr>
          <w:trHeight w:val="289"/>
          <w:jc w:val="center"/>
        </w:trPr>
        <w:tc>
          <w:tcPr>
            <w:tcW w:w="2043" w:type="pct"/>
            <w:gridSpan w:val="2"/>
            <w:tcBorders>
              <w:top w:val="single" w:sz="6" w:space="0" w:color="auto"/>
              <w:left w:val="single" w:sz="6" w:space="0" w:color="auto"/>
              <w:bottom w:val="single" w:sz="6" w:space="0" w:color="auto"/>
              <w:right w:val="single" w:sz="6" w:space="0" w:color="auto"/>
            </w:tcBorders>
            <w:vAlign w:val="center"/>
            <w:hideMark/>
          </w:tcPr>
          <w:p w14:paraId="1004DC31" w14:textId="77777777" w:rsidR="005F20F6" w:rsidRPr="008C52C9" w:rsidRDefault="005F20F6">
            <w:pPr>
              <w:pStyle w:val="Text1"/>
              <w:spacing w:beforeLines="20" w:before="48" w:afterLines="20" w:after="48" w:line="276" w:lineRule="auto"/>
              <w:ind w:left="1836"/>
              <w:jc w:val="left"/>
              <w:rPr>
                <w:noProof/>
                <w:sz w:val="20"/>
              </w:rPr>
            </w:pPr>
            <w:r w:rsidRPr="008C52C9">
              <w:rPr>
                <w:noProof/>
                <w:sz w:val="20"/>
              </w:rPr>
              <w:t>10 01 05 02 (AC, END, INT - ricerca diretta)</w:t>
            </w:r>
          </w:p>
        </w:tc>
        <w:tc>
          <w:tcPr>
            <w:tcW w:w="377" w:type="pct"/>
            <w:tcBorders>
              <w:top w:val="single" w:sz="6" w:space="0" w:color="auto"/>
              <w:left w:val="single" w:sz="6" w:space="0" w:color="auto"/>
              <w:bottom w:val="single" w:sz="6" w:space="0" w:color="auto"/>
              <w:right w:val="single" w:sz="6" w:space="0" w:color="auto"/>
            </w:tcBorders>
            <w:vAlign w:val="center"/>
          </w:tcPr>
          <w:p w14:paraId="257FF089" w14:textId="77777777" w:rsidR="005F20F6" w:rsidRPr="008C52C9" w:rsidRDefault="005F20F6">
            <w:pPr>
              <w:spacing w:beforeLines="20" w:before="48" w:afterLines="20" w:after="48" w:line="276" w:lineRule="auto"/>
              <w:jc w:val="center"/>
              <w:rPr>
                <w:noProof/>
                <w:sz w:val="20"/>
              </w:rPr>
            </w:pPr>
          </w:p>
        </w:tc>
        <w:tc>
          <w:tcPr>
            <w:tcW w:w="377" w:type="pct"/>
            <w:tcBorders>
              <w:top w:val="single" w:sz="6" w:space="0" w:color="auto"/>
              <w:left w:val="single" w:sz="6" w:space="0" w:color="auto"/>
              <w:bottom w:val="single" w:sz="6" w:space="0" w:color="auto"/>
              <w:right w:val="single" w:sz="6" w:space="0" w:color="auto"/>
            </w:tcBorders>
            <w:vAlign w:val="center"/>
          </w:tcPr>
          <w:p w14:paraId="383B7C1B" w14:textId="77777777" w:rsidR="005F20F6" w:rsidRPr="008C52C9" w:rsidRDefault="005F20F6">
            <w:pPr>
              <w:spacing w:beforeLines="20" w:before="48" w:afterLines="20" w:after="48" w:line="276" w:lineRule="auto"/>
              <w:jc w:val="center"/>
              <w:rPr>
                <w:noProof/>
                <w:sz w:val="20"/>
              </w:rPr>
            </w:pPr>
          </w:p>
        </w:tc>
        <w:tc>
          <w:tcPr>
            <w:tcW w:w="406" w:type="pct"/>
            <w:tcBorders>
              <w:top w:val="single" w:sz="6" w:space="0" w:color="auto"/>
              <w:left w:val="single" w:sz="6" w:space="0" w:color="auto"/>
              <w:bottom w:val="single" w:sz="6" w:space="0" w:color="auto"/>
              <w:right w:val="single" w:sz="6" w:space="0" w:color="auto"/>
            </w:tcBorders>
            <w:vAlign w:val="center"/>
          </w:tcPr>
          <w:p w14:paraId="5D14E475" w14:textId="77777777" w:rsidR="005F20F6" w:rsidRPr="008C52C9" w:rsidRDefault="005F20F6">
            <w:pPr>
              <w:spacing w:beforeLines="20" w:before="48" w:afterLines="20" w:after="48" w:line="276" w:lineRule="auto"/>
              <w:jc w:val="center"/>
              <w:rPr>
                <w:noProof/>
                <w:sz w:val="20"/>
              </w:rPr>
            </w:pPr>
          </w:p>
        </w:tc>
        <w:tc>
          <w:tcPr>
            <w:tcW w:w="497" w:type="pct"/>
            <w:tcBorders>
              <w:top w:val="single" w:sz="6" w:space="0" w:color="auto"/>
              <w:left w:val="single" w:sz="6" w:space="0" w:color="auto"/>
              <w:bottom w:val="single" w:sz="6" w:space="0" w:color="auto"/>
              <w:right w:val="single" w:sz="6" w:space="0" w:color="auto"/>
            </w:tcBorders>
            <w:vAlign w:val="center"/>
          </w:tcPr>
          <w:p w14:paraId="058D55BE" w14:textId="77777777" w:rsidR="005F20F6" w:rsidRPr="008C52C9" w:rsidRDefault="005F20F6">
            <w:pPr>
              <w:spacing w:beforeLines="20" w:before="48" w:afterLines="20" w:after="48" w:line="276" w:lineRule="auto"/>
              <w:jc w:val="center"/>
              <w:rPr>
                <w:noProof/>
                <w:sz w:val="20"/>
              </w:rPr>
            </w:pPr>
          </w:p>
        </w:tc>
        <w:tc>
          <w:tcPr>
            <w:tcW w:w="424" w:type="pct"/>
            <w:tcBorders>
              <w:top w:val="single" w:sz="6" w:space="0" w:color="auto"/>
              <w:left w:val="single" w:sz="6" w:space="0" w:color="auto"/>
              <w:bottom w:val="single" w:sz="6" w:space="0" w:color="auto"/>
              <w:right w:val="single" w:sz="6" w:space="0" w:color="auto"/>
            </w:tcBorders>
            <w:vAlign w:val="center"/>
          </w:tcPr>
          <w:p w14:paraId="1A1F0975" w14:textId="77777777" w:rsidR="005F20F6" w:rsidRPr="008C52C9" w:rsidRDefault="005F20F6">
            <w:pPr>
              <w:spacing w:beforeLines="20" w:before="48" w:afterLines="20" w:after="48" w:line="276" w:lineRule="auto"/>
              <w:jc w:val="center"/>
              <w:rPr>
                <w:noProof/>
                <w:sz w:val="20"/>
              </w:rPr>
            </w:pPr>
          </w:p>
        </w:tc>
        <w:tc>
          <w:tcPr>
            <w:tcW w:w="423" w:type="pct"/>
            <w:tcBorders>
              <w:top w:val="single" w:sz="6" w:space="0" w:color="auto"/>
              <w:left w:val="single" w:sz="6" w:space="0" w:color="auto"/>
              <w:bottom w:val="single" w:sz="6" w:space="0" w:color="auto"/>
              <w:right w:val="single" w:sz="6" w:space="0" w:color="auto"/>
            </w:tcBorders>
            <w:vAlign w:val="center"/>
          </w:tcPr>
          <w:p w14:paraId="33BA8028" w14:textId="77777777" w:rsidR="005F20F6" w:rsidRPr="008C52C9" w:rsidRDefault="005F20F6">
            <w:pPr>
              <w:spacing w:beforeLines="20" w:before="48" w:afterLines="20" w:after="48" w:line="276" w:lineRule="auto"/>
              <w:jc w:val="center"/>
              <w:rPr>
                <w:noProof/>
                <w:sz w:val="20"/>
              </w:rPr>
            </w:pPr>
          </w:p>
        </w:tc>
        <w:tc>
          <w:tcPr>
            <w:tcW w:w="452" w:type="pct"/>
            <w:tcBorders>
              <w:top w:val="single" w:sz="6" w:space="0" w:color="auto"/>
              <w:left w:val="single" w:sz="6" w:space="0" w:color="auto"/>
              <w:bottom w:val="single" w:sz="6" w:space="0" w:color="auto"/>
              <w:right w:val="single" w:sz="6" w:space="0" w:color="auto"/>
            </w:tcBorders>
            <w:vAlign w:val="center"/>
          </w:tcPr>
          <w:p w14:paraId="14D35048" w14:textId="77777777" w:rsidR="005F20F6" w:rsidRPr="008C52C9" w:rsidRDefault="005F20F6">
            <w:pPr>
              <w:spacing w:beforeLines="20" w:before="48" w:afterLines="20" w:after="48" w:line="276" w:lineRule="auto"/>
              <w:jc w:val="center"/>
              <w:rPr>
                <w:noProof/>
                <w:sz w:val="20"/>
              </w:rPr>
            </w:pPr>
          </w:p>
        </w:tc>
      </w:tr>
      <w:tr w:rsidR="005F20F6" w:rsidRPr="008C52C9" w14:paraId="5B27B991" w14:textId="77777777" w:rsidTr="005F20F6">
        <w:trPr>
          <w:trHeight w:val="289"/>
          <w:jc w:val="center"/>
        </w:trPr>
        <w:tc>
          <w:tcPr>
            <w:tcW w:w="2043" w:type="pct"/>
            <w:gridSpan w:val="2"/>
            <w:tcBorders>
              <w:top w:val="single" w:sz="6" w:space="0" w:color="auto"/>
              <w:left w:val="single" w:sz="6" w:space="0" w:color="auto"/>
              <w:bottom w:val="double" w:sz="4" w:space="0" w:color="auto"/>
              <w:right w:val="single" w:sz="6" w:space="0" w:color="auto"/>
            </w:tcBorders>
            <w:vAlign w:val="center"/>
            <w:hideMark/>
          </w:tcPr>
          <w:p w14:paraId="7C2F6645" w14:textId="77777777" w:rsidR="005F20F6" w:rsidRPr="008C52C9" w:rsidRDefault="005F20F6">
            <w:pPr>
              <w:pStyle w:val="Text1"/>
              <w:spacing w:beforeLines="20" w:before="48" w:afterLines="20" w:after="48" w:line="276" w:lineRule="auto"/>
              <w:ind w:left="1834"/>
              <w:jc w:val="left"/>
              <w:rPr>
                <w:noProof/>
                <w:sz w:val="20"/>
              </w:rPr>
            </w:pPr>
            <w:r w:rsidRPr="008C52C9">
              <w:rPr>
                <w:noProof/>
                <w:sz w:val="20"/>
              </w:rPr>
              <w:t>Altre linee di bilancio (specificare)</w:t>
            </w:r>
          </w:p>
        </w:tc>
        <w:tc>
          <w:tcPr>
            <w:tcW w:w="377" w:type="pct"/>
            <w:tcBorders>
              <w:top w:val="single" w:sz="6" w:space="0" w:color="auto"/>
              <w:left w:val="single" w:sz="6" w:space="0" w:color="auto"/>
              <w:bottom w:val="double" w:sz="4" w:space="0" w:color="auto"/>
              <w:right w:val="single" w:sz="6" w:space="0" w:color="auto"/>
            </w:tcBorders>
            <w:vAlign w:val="center"/>
          </w:tcPr>
          <w:p w14:paraId="4173578F" w14:textId="77777777" w:rsidR="005F20F6" w:rsidRPr="008C52C9" w:rsidRDefault="005F20F6">
            <w:pPr>
              <w:spacing w:beforeLines="20" w:before="48" w:afterLines="20" w:after="48" w:line="276" w:lineRule="auto"/>
              <w:jc w:val="center"/>
              <w:rPr>
                <w:noProof/>
                <w:sz w:val="20"/>
              </w:rPr>
            </w:pPr>
          </w:p>
        </w:tc>
        <w:tc>
          <w:tcPr>
            <w:tcW w:w="377" w:type="pct"/>
            <w:tcBorders>
              <w:top w:val="single" w:sz="6" w:space="0" w:color="auto"/>
              <w:left w:val="single" w:sz="6" w:space="0" w:color="auto"/>
              <w:bottom w:val="double" w:sz="4" w:space="0" w:color="auto"/>
              <w:right w:val="single" w:sz="6" w:space="0" w:color="auto"/>
            </w:tcBorders>
            <w:vAlign w:val="center"/>
          </w:tcPr>
          <w:p w14:paraId="00F2D169" w14:textId="77777777" w:rsidR="005F20F6" w:rsidRPr="008C52C9" w:rsidRDefault="005F20F6">
            <w:pPr>
              <w:spacing w:beforeLines="20" w:before="48" w:afterLines="20" w:after="48" w:line="276" w:lineRule="auto"/>
              <w:jc w:val="center"/>
              <w:rPr>
                <w:noProof/>
                <w:sz w:val="20"/>
              </w:rPr>
            </w:pPr>
          </w:p>
        </w:tc>
        <w:tc>
          <w:tcPr>
            <w:tcW w:w="406" w:type="pct"/>
            <w:tcBorders>
              <w:top w:val="single" w:sz="6" w:space="0" w:color="auto"/>
              <w:left w:val="single" w:sz="6" w:space="0" w:color="auto"/>
              <w:bottom w:val="double" w:sz="4" w:space="0" w:color="auto"/>
              <w:right w:val="single" w:sz="6" w:space="0" w:color="auto"/>
            </w:tcBorders>
            <w:vAlign w:val="center"/>
          </w:tcPr>
          <w:p w14:paraId="7E584F0E" w14:textId="77777777" w:rsidR="005F20F6" w:rsidRPr="008C52C9" w:rsidRDefault="005F20F6">
            <w:pPr>
              <w:spacing w:beforeLines="20" w:before="48" w:afterLines="20" w:after="48" w:line="276" w:lineRule="auto"/>
              <w:jc w:val="center"/>
              <w:rPr>
                <w:noProof/>
                <w:sz w:val="20"/>
              </w:rPr>
            </w:pPr>
          </w:p>
        </w:tc>
        <w:tc>
          <w:tcPr>
            <w:tcW w:w="497" w:type="pct"/>
            <w:tcBorders>
              <w:top w:val="single" w:sz="6" w:space="0" w:color="auto"/>
              <w:left w:val="single" w:sz="6" w:space="0" w:color="auto"/>
              <w:bottom w:val="double" w:sz="4" w:space="0" w:color="auto"/>
              <w:right w:val="single" w:sz="6" w:space="0" w:color="auto"/>
            </w:tcBorders>
            <w:vAlign w:val="center"/>
          </w:tcPr>
          <w:p w14:paraId="1CDDC8D8" w14:textId="77777777" w:rsidR="005F20F6" w:rsidRPr="008C52C9" w:rsidRDefault="005F20F6">
            <w:pPr>
              <w:spacing w:beforeLines="20" w:before="48" w:afterLines="20" w:after="48" w:line="276" w:lineRule="auto"/>
              <w:jc w:val="center"/>
              <w:rPr>
                <w:noProof/>
                <w:sz w:val="20"/>
              </w:rPr>
            </w:pPr>
          </w:p>
        </w:tc>
        <w:tc>
          <w:tcPr>
            <w:tcW w:w="424" w:type="pct"/>
            <w:tcBorders>
              <w:top w:val="single" w:sz="6" w:space="0" w:color="auto"/>
              <w:left w:val="single" w:sz="6" w:space="0" w:color="auto"/>
              <w:bottom w:val="double" w:sz="4" w:space="0" w:color="auto"/>
              <w:right w:val="single" w:sz="6" w:space="0" w:color="auto"/>
            </w:tcBorders>
            <w:vAlign w:val="center"/>
          </w:tcPr>
          <w:p w14:paraId="036ED61F" w14:textId="77777777" w:rsidR="005F20F6" w:rsidRPr="008C52C9" w:rsidRDefault="005F20F6">
            <w:pPr>
              <w:spacing w:beforeLines="20" w:before="48" w:afterLines="20" w:after="48" w:line="276" w:lineRule="auto"/>
              <w:jc w:val="center"/>
              <w:rPr>
                <w:noProof/>
                <w:sz w:val="20"/>
              </w:rPr>
            </w:pPr>
          </w:p>
        </w:tc>
        <w:tc>
          <w:tcPr>
            <w:tcW w:w="423" w:type="pct"/>
            <w:tcBorders>
              <w:top w:val="single" w:sz="6" w:space="0" w:color="auto"/>
              <w:left w:val="single" w:sz="6" w:space="0" w:color="auto"/>
              <w:bottom w:val="double" w:sz="4" w:space="0" w:color="auto"/>
              <w:right w:val="single" w:sz="6" w:space="0" w:color="auto"/>
            </w:tcBorders>
            <w:vAlign w:val="center"/>
          </w:tcPr>
          <w:p w14:paraId="4E1919F5" w14:textId="77777777" w:rsidR="005F20F6" w:rsidRPr="008C52C9" w:rsidRDefault="005F20F6">
            <w:pPr>
              <w:spacing w:beforeLines="20" w:before="48" w:afterLines="20" w:after="48" w:line="276" w:lineRule="auto"/>
              <w:jc w:val="center"/>
              <w:rPr>
                <w:noProof/>
                <w:sz w:val="20"/>
              </w:rPr>
            </w:pPr>
          </w:p>
        </w:tc>
        <w:tc>
          <w:tcPr>
            <w:tcW w:w="452" w:type="pct"/>
            <w:tcBorders>
              <w:top w:val="single" w:sz="6" w:space="0" w:color="auto"/>
              <w:left w:val="single" w:sz="6" w:space="0" w:color="auto"/>
              <w:bottom w:val="double" w:sz="4" w:space="0" w:color="auto"/>
              <w:right w:val="single" w:sz="6" w:space="0" w:color="auto"/>
            </w:tcBorders>
            <w:vAlign w:val="center"/>
          </w:tcPr>
          <w:p w14:paraId="3405BCC6" w14:textId="77777777" w:rsidR="005F20F6" w:rsidRPr="008C52C9" w:rsidRDefault="005F20F6">
            <w:pPr>
              <w:spacing w:beforeLines="20" w:before="48" w:afterLines="20" w:after="48" w:line="276" w:lineRule="auto"/>
              <w:jc w:val="center"/>
              <w:rPr>
                <w:noProof/>
                <w:sz w:val="20"/>
              </w:rPr>
            </w:pPr>
          </w:p>
        </w:tc>
      </w:tr>
      <w:tr w:rsidR="005F20F6" w:rsidRPr="008C52C9" w14:paraId="4B00BC4F" w14:textId="77777777" w:rsidTr="005F20F6">
        <w:trPr>
          <w:trHeight w:val="289"/>
          <w:jc w:val="center"/>
        </w:trPr>
        <w:tc>
          <w:tcPr>
            <w:tcW w:w="2043" w:type="pct"/>
            <w:gridSpan w:val="2"/>
            <w:tcBorders>
              <w:top w:val="double" w:sz="4" w:space="0" w:color="auto"/>
              <w:left w:val="single" w:sz="6" w:space="0" w:color="auto"/>
              <w:bottom w:val="single" w:sz="6" w:space="0" w:color="auto"/>
              <w:right w:val="single" w:sz="6" w:space="0" w:color="auto"/>
            </w:tcBorders>
            <w:vAlign w:val="center"/>
            <w:hideMark/>
          </w:tcPr>
          <w:p w14:paraId="1E06CE03" w14:textId="77777777" w:rsidR="005F20F6" w:rsidRPr="008C52C9" w:rsidRDefault="005F20F6">
            <w:pPr>
              <w:pStyle w:val="Text1"/>
              <w:spacing w:beforeLines="20" w:before="48" w:afterLines="20" w:after="48" w:line="276" w:lineRule="auto"/>
              <w:ind w:left="1836"/>
              <w:jc w:val="left"/>
              <w:rPr>
                <w:noProof/>
                <w:sz w:val="20"/>
              </w:rPr>
            </w:pPr>
            <w:r w:rsidRPr="008C52C9">
              <w:rPr>
                <w:b/>
                <w:noProof/>
                <w:sz w:val="20"/>
              </w:rPr>
              <w:t>TOTALE</w:t>
            </w:r>
          </w:p>
        </w:tc>
        <w:tc>
          <w:tcPr>
            <w:tcW w:w="377" w:type="pct"/>
            <w:tcBorders>
              <w:top w:val="double" w:sz="4" w:space="0" w:color="auto"/>
              <w:left w:val="single" w:sz="6" w:space="0" w:color="auto"/>
              <w:bottom w:val="single" w:sz="6" w:space="0" w:color="auto"/>
              <w:right w:val="single" w:sz="6" w:space="0" w:color="auto"/>
            </w:tcBorders>
            <w:vAlign w:val="center"/>
          </w:tcPr>
          <w:p w14:paraId="061A16DF" w14:textId="77777777" w:rsidR="005F20F6" w:rsidRPr="008C52C9" w:rsidRDefault="005F20F6">
            <w:pPr>
              <w:spacing w:beforeLines="20" w:before="48" w:afterLines="20" w:after="48" w:line="276" w:lineRule="auto"/>
              <w:jc w:val="center"/>
              <w:rPr>
                <w:b/>
                <w:noProof/>
                <w:sz w:val="20"/>
              </w:rPr>
            </w:pPr>
          </w:p>
        </w:tc>
        <w:tc>
          <w:tcPr>
            <w:tcW w:w="377" w:type="pct"/>
            <w:tcBorders>
              <w:top w:val="double" w:sz="4" w:space="0" w:color="auto"/>
              <w:left w:val="single" w:sz="6" w:space="0" w:color="auto"/>
              <w:bottom w:val="single" w:sz="6" w:space="0" w:color="auto"/>
              <w:right w:val="single" w:sz="6" w:space="0" w:color="auto"/>
            </w:tcBorders>
            <w:vAlign w:val="center"/>
          </w:tcPr>
          <w:p w14:paraId="31EC0AF5" w14:textId="77777777" w:rsidR="005F20F6" w:rsidRPr="008C52C9" w:rsidRDefault="005F20F6">
            <w:pPr>
              <w:spacing w:beforeLines="20" w:before="48" w:afterLines="20" w:after="48" w:line="276" w:lineRule="auto"/>
              <w:jc w:val="center"/>
              <w:rPr>
                <w:b/>
                <w:noProof/>
                <w:sz w:val="20"/>
              </w:rPr>
            </w:pPr>
          </w:p>
        </w:tc>
        <w:tc>
          <w:tcPr>
            <w:tcW w:w="406" w:type="pct"/>
            <w:tcBorders>
              <w:top w:val="double" w:sz="4" w:space="0" w:color="auto"/>
              <w:left w:val="single" w:sz="6" w:space="0" w:color="auto"/>
              <w:bottom w:val="single" w:sz="6" w:space="0" w:color="auto"/>
              <w:right w:val="single" w:sz="6" w:space="0" w:color="auto"/>
            </w:tcBorders>
            <w:vAlign w:val="center"/>
          </w:tcPr>
          <w:p w14:paraId="476D1758" w14:textId="77777777" w:rsidR="005F20F6" w:rsidRPr="008C52C9" w:rsidRDefault="005F20F6">
            <w:pPr>
              <w:spacing w:beforeLines="20" w:before="48" w:afterLines="20" w:after="48" w:line="276" w:lineRule="auto"/>
              <w:jc w:val="center"/>
              <w:rPr>
                <w:b/>
                <w:noProof/>
                <w:sz w:val="20"/>
              </w:rPr>
            </w:pPr>
          </w:p>
        </w:tc>
        <w:tc>
          <w:tcPr>
            <w:tcW w:w="497" w:type="pct"/>
            <w:tcBorders>
              <w:top w:val="double" w:sz="4" w:space="0" w:color="auto"/>
              <w:left w:val="single" w:sz="6" w:space="0" w:color="auto"/>
              <w:bottom w:val="single" w:sz="6" w:space="0" w:color="auto"/>
              <w:right w:val="single" w:sz="6" w:space="0" w:color="auto"/>
            </w:tcBorders>
            <w:vAlign w:val="center"/>
          </w:tcPr>
          <w:p w14:paraId="3F25699B" w14:textId="77777777" w:rsidR="005F20F6" w:rsidRPr="008C52C9" w:rsidRDefault="005F20F6">
            <w:pPr>
              <w:spacing w:beforeLines="20" w:before="48" w:afterLines="20" w:after="48" w:line="276" w:lineRule="auto"/>
              <w:jc w:val="center"/>
              <w:rPr>
                <w:b/>
                <w:noProof/>
                <w:sz w:val="20"/>
              </w:rPr>
            </w:pPr>
          </w:p>
        </w:tc>
        <w:tc>
          <w:tcPr>
            <w:tcW w:w="424" w:type="pct"/>
            <w:tcBorders>
              <w:top w:val="double" w:sz="4" w:space="0" w:color="auto"/>
              <w:left w:val="single" w:sz="6" w:space="0" w:color="auto"/>
              <w:bottom w:val="single" w:sz="6" w:space="0" w:color="auto"/>
              <w:right w:val="single" w:sz="6" w:space="0" w:color="auto"/>
            </w:tcBorders>
            <w:vAlign w:val="center"/>
          </w:tcPr>
          <w:p w14:paraId="19512299" w14:textId="77777777" w:rsidR="005F20F6" w:rsidRPr="008C52C9" w:rsidRDefault="005F20F6">
            <w:pPr>
              <w:spacing w:beforeLines="20" w:before="48" w:afterLines="20" w:after="48" w:line="276" w:lineRule="auto"/>
              <w:jc w:val="center"/>
              <w:rPr>
                <w:b/>
                <w:noProof/>
                <w:sz w:val="20"/>
              </w:rPr>
            </w:pPr>
          </w:p>
        </w:tc>
        <w:tc>
          <w:tcPr>
            <w:tcW w:w="423" w:type="pct"/>
            <w:tcBorders>
              <w:top w:val="double" w:sz="4" w:space="0" w:color="auto"/>
              <w:left w:val="single" w:sz="6" w:space="0" w:color="auto"/>
              <w:bottom w:val="single" w:sz="6" w:space="0" w:color="auto"/>
              <w:right w:val="single" w:sz="6" w:space="0" w:color="auto"/>
            </w:tcBorders>
            <w:vAlign w:val="center"/>
          </w:tcPr>
          <w:p w14:paraId="58A8FF67" w14:textId="77777777" w:rsidR="005F20F6" w:rsidRPr="008C52C9" w:rsidRDefault="005F20F6">
            <w:pPr>
              <w:spacing w:beforeLines="20" w:before="48" w:afterLines="20" w:after="48" w:line="276" w:lineRule="auto"/>
              <w:jc w:val="center"/>
              <w:rPr>
                <w:b/>
                <w:noProof/>
                <w:sz w:val="20"/>
              </w:rPr>
            </w:pPr>
          </w:p>
        </w:tc>
        <w:tc>
          <w:tcPr>
            <w:tcW w:w="452" w:type="pct"/>
            <w:tcBorders>
              <w:top w:val="double" w:sz="4" w:space="0" w:color="auto"/>
              <w:left w:val="single" w:sz="6" w:space="0" w:color="auto"/>
              <w:bottom w:val="single" w:sz="6" w:space="0" w:color="auto"/>
              <w:right w:val="single" w:sz="6" w:space="0" w:color="auto"/>
            </w:tcBorders>
            <w:vAlign w:val="center"/>
          </w:tcPr>
          <w:p w14:paraId="665AF89E" w14:textId="77777777" w:rsidR="005F20F6" w:rsidRPr="008C52C9" w:rsidRDefault="005F20F6">
            <w:pPr>
              <w:spacing w:beforeLines="20" w:before="48" w:afterLines="20" w:after="48" w:line="276" w:lineRule="auto"/>
              <w:jc w:val="center"/>
              <w:rPr>
                <w:b/>
                <w:noProof/>
                <w:sz w:val="20"/>
              </w:rPr>
            </w:pPr>
          </w:p>
        </w:tc>
      </w:tr>
    </w:tbl>
    <w:p w14:paraId="764506A7" w14:textId="77777777" w:rsidR="005F20F6" w:rsidRPr="008C52C9" w:rsidRDefault="005F20F6" w:rsidP="005F20F6">
      <w:pPr>
        <w:pStyle w:val="Text1"/>
        <w:rPr>
          <w:noProof/>
          <w:sz w:val="22"/>
        </w:rPr>
      </w:pPr>
      <w:r w:rsidRPr="008C52C9">
        <w:rPr>
          <w:noProof/>
          <w:sz w:val="22"/>
        </w:rPr>
        <w:lastRenderedPageBreak/>
        <w:t>Il fabbisogno di risorse umane è coperto dal personale della DG già assegnato alla gestione dell'azione e/o riassegnato all'interno della stessa DG, integrato dall'eventuale dotazione supplementare concessa alla DG responsabile nell'ambito della procedura annuale di assegnazione, tenendo conto dei vincoli di bilancio.</w:t>
      </w:r>
    </w:p>
    <w:p w14:paraId="511D1A58" w14:textId="77777777" w:rsidR="005F20F6" w:rsidRPr="008C52C9" w:rsidRDefault="005F20F6" w:rsidP="005F20F6">
      <w:pPr>
        <w:rPr>
          <w:noProof/>
          <w:sz w:val="20"/>
        </w:rPr>
      </w:pPr>
      <w:r w:rsidRPr="008C52C9">
        <w:rPr>
          <w:noProof/>
          <w:sz w:val="20"/>
        </w:rPr>
        <w:t>Descrizione dei compiti da svolgere:</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5F20F6" w:rsidRPr="008C52C9" w14:paraId="2399FE12" w14:textId="77777777" w:rsidTr="005F20F6">
        <w:tc>
          <w:tcPr>
            <w:tcW w:w="3240" w:type="dxa"/>
            <w:tcBorders>
              <w:top w:val="single" w:sz="2" w:space="0" w:color="auto"/>
              <w:left w:val="single" w:sz="2" w:space="0" w:color="auto"/>
              <w:bottom w:val="single" w:sz="2" w:space="0" w:color="auto"/>
              <w:right w:val="single" w:sz="2" w:space="0" w:color="auto"/>
            </w:tcBorders>
            <w:hideMark/>
          </w:tcPr>
          <w:p w14:paraId="64888E8A" w14:textId="77777777" w:rsidR="005F20F6" w:rsidRPr="008C52C9" w:rsidRDefault="005F20F6">
            <w:pPr>
              <w:spacing w:line="276" w:lineRule="auto"/>
              <w:rPr>
                <w:noProof/>
                <w:sz w:val="20"/>
              </w:rPr>
            </w:pPr>
            <w:r w:rsidRPr="008C52C9">
              <w:rPr>
                <w:noProof/>
                <w:sz w:val="20"/>
              </w:rPr>
              <w:t>Funzionari e agenti temporanei</w:t>
            </w:r>
          </w:p>
        </w:tc>
        <w:tc>
          <w:tcPr>
            <w:tcW w:w="7200" w:type="dxa"/>
            <w:tcBorders>
              <w:top w:val="single" w:sz="2" w:space="0" w:color="auto"/>
              <w:left w:val="single" w:sz="2" w:space="0" w:color="auto"/>
              <w:bottom w:val="single" w:sz="2" w:space="0" w:color="auto"/>
              <w:right w:val="single" w:sz="2" w:space="0" w:color="auto"/>
            </w:tcBorders>
          </w:tcPr>
          <w:p w14:paraId="65D1258A" w14:textId="77777777" w:rsidR="005F20F6" w:rsidRPr="008C52C9" w:rsidRDefault="005F20F6">
            <w:pPr>
              <w:spacing w:line="276" w:lineRule="auto"/>
              <w:rPr>
                <w:noProof/>
                <w:sz w:val="20"/>
              </w:rPr>
            </w:pPr>
          </w:p>
        </w:tc>
      </w:tr>
      <w:tr w:rsidR="005F20F6" w:rsidRPr="008C52C9" w14:paraId="1431EE41" w14:textId="77777777" w:rsidTr="005F20F6">
        <w:tc>
          <w:tcPr>
            <w:tcW w:w="3240" w:type="dxa"/>
            <w:tcBorders>
              <w:top w:val="single" w:sz="2" w:space="0" w:color="auto"/>
              <w:left w:val="single" w:sz="2" w:space="0" w:color="auto"/>
              <w:bottom w:val="single" w:sz="2" w:space="0" w:color="auto"/>
              <w:right w:val="single" w:sz="2" w:space="0" w:color="auto"/>
            </w:tcBorders>
            <w:hideMark/>
          </w:tcPr>
          <w:p w14:paraId="65B4B155" w14:textId="77777777" w:rsidR="005F20F6" w:rsidRPr="008C52C9" w:rsidRDefault="005F20F6">
            <w:pPr>
              <w:spacing w:before="60" w:after="60" w:line="276" w:lineRule="auto"/>
              <w:rPr>
                <w:noProof/>
                <w:sz w:val="20"/>
              </w:rPr>
            </w:pPr>
            <w:r w:rsidRPr="008C52C9">
              <w:rPr>
                <w:noProof/>
                <w:sz w:val="20"/>
              </w:rPr>
              <w:t>Personale esterno</w:t>
            </w:r>
          </w:p>
        </w:tc>
        <w:tc>
          <w:tcPr>
            <w:tcW w:w="7200" w:type="dxa"/>
            <w:tcBorders>
              <w:top w:val="single" w:sz="2" w:space="0" w:color="auto"/>
              <w:left w:val="single" w:sz="2" w:space="0" w:color="auto"/>
              <w:bottom w:val="single" w:sz="2" w:space="0" w:color="auto"/>
              <w:right w:val="single" w:sz="2" w:space="0" w:color="auto"/>
            </w:tcBorders>
          </w:tcPr>
          <w:p w14:paraId="6003FDF1" w14:textId="77777777" w:rsidR="005F20F6" w:rsidRPr="008C52C9" w:rsidRDefault="005F20F6">
            <w:pPr>
              <w:spacing w:line="276" w:lineRule="auto"/>
              <w:rPr>
                <w:noProof/>
                <w:sz w:val="20"/>
              </w:rPr>
            </w:pPr>
          </w:p>
        </w:tc>
      </w:tr>
    </w:tbl>
    <w:p w14:paraId="5A8DF613" w14:textId="77777777" w:rsidR="005F20F6" w:rsidRPr="008C52C9" w:rsidRDefault="005F20F6" w:rsidP="005F20F6">
      <w:pPr>
        <w:rPr>
          <w:noProof/>
        </w:rPr>
      </w:pPr>
    </w:p>
    <w:p w14:paraId="1326152A" w14:textId="77777777" w:rsidR="005F20F6" w:rsidRPr="008C52C9" w:rsidRDefault="005F20F6" w:rsidP="005F20F6">
      <w:pPr>
        <w:rPr>
          <w:noProof/>
        </w:rPr>
      </w:pPr>
      <w:r w:rsidRPr="008C52C9">
        <w:rPr>
          <w:noProof/>
        </w:rPr>
        <w:t xml:space="preserve">La descrizione del calcolo dei costi per ETP deve figurare nell'allegato V, sezione 3. </w:t>
      </w:r>
    </w:p>
    <w:p w14:paraId="3706B311" w14:textId="77777777" w:rsidR="005F20F6" w:rsidRPr="008C52C9" w:rsidRDefault="005F20F6" w:rsidP="005F20F6">
      <w:pPr>
        <w:spacing w:before="0" w:after="0"/>
        <w:jc w:val="left"/>
        <w:rPr>
          <w:noProof/>
        </w:rPr>
        <w:sectPr w:rsidR="005F20F6" w:rsidRPr="008C52C9" w:rsidSect="001A4546">
          <w:pgSz w:w="11907" w:h="16839"/>
          <w:pgMar w:top="1134" w:right="1417" w:bottom="1134" w:left="1417" w:header="709" w:footer="709" w:gutter="0"/>
          <w:cols w:space="720"/>
          <w:docGrid w:linePitch="326"/>
        </w:sectPr>
      </w:pPr>
    </w:p>
    <w:p w14:paraId="17105F9B" w14:textId="77777777" w:rsidR="005F20F6" w:rsidRPr="008C52C9" w:rsidRDefault="005F20F6" w:rsidP="005F20F6">
      <w:pPr>
        <w:pStyle w:val="ManualHeading3"/>
        <w:rPr>
          <w:bCs/>
          <w:noProof/>
          <w:szCs w:val="24"/>
        </w:rPr>
      </w:pPr>
      <w:bookmarkStart w:id="68" w:name="_Toc514938689"/>
      <w:bookmarkStart w:id="69" w:name="_Toc520485448"/>
      <w:r w:rsidRPr="008C52C9">
        <w:rPr>
          <w:noProof/>
        </w:rPr>
        <w:lastRenderedPageBreak/>
        <w:t>3.2.4.</w:t>
      </w:r>
      <w:r w:rsidRPr="008C52C9">
        <w:rPr>
          <w:noProof/>
        </w:rPr>
        <w:tab/>
        <w:t>Compatibilità con il quadro finanziario pluriennale attuale</w:t>
      </w:r>
      <w:bookmarkEnd w:id="68"/>
      <w:bookmarkEnd w:id="69"/>
      <w:r w:rsidRPr="008C52C9">
        <w:rPr>
          <w:noProof/>
        </w:rPr>
        <w:t xml:space="preserve"> </w:t>
      </w:r>
    </w:p>
    <w:p w14:paraId="6A307B46" w14:textId="77777777" w:rsidR="005F20F6" w:rsidRPr="008C52C9" w:rsidRDefault="005F20F6" w:rsidP="00425994">
      <w:pPr>
        <w:pStyle w:val="ListDash1"/>
        <w:rPr>
          <w:noProof/>
        </w:rPr>
      </w:pPr>
      <w:r w:rsidRPr="008C52C9">
        <w:rPr>
          <w:noProof/>
        </w:rPr>
        <w:sym w:font="Wingdings" w:char="F0FE"/>
      </w:r>
      <w:r w:rsidRPr="008C52C9">
        <w:rPr>
          <w:noProof/>
        </w:rPr>
        <w:tab/>
        <w:t>La proposta/iniziativa è compatibile con il quadro finanziario pluriennale attuale.</w:t>
      </w:r>
    </w:p>
    <w:p w14:paraId="60F60E96" w14:textId="77777777" w:rsidR="005F20F6" w:rsidRPr="008C52C9" w:rsidRDefault="005F20F6" w:rsidP="00425994">
      <w:pPr>
        <w:pStyle w:val="ListDash1"/>
        <w:rPr>
          <w:noProof/>
        </w:rPr>
      </w:pPr>
      <w:r w:rsidRPr="008C52C9">
        <w:rPr>
          <w:noProof/>
        </w:rPr>
        <w:sym w:font="Wingdings" w:char="F0FE"/>
      </w:r>
      <w:r w:rsidRPr="008C52C9">
        <w:rPr>
          <w:noProof/>
        </w:rPr>
        <w:tab/>
        <w:t>La proposta/iniziativa richiede una riprogrammazione della pertinente rubrica del quadro finanziario pluriennale.</w:t>
      </w:r>
    </w:p>
    <w:p w14:paraId="5A9A6862" w14:textId="77777777" w:rsidR="005F20F6" w:rsidRPr="008C52C9" w:rsidRDefault="005F20F6" w:rsidP="002D24C0">
      <w:pPr>
        <w:pStyle w:val="Text1"/>
        <w:pBdr>
          <w:top w:val="single" w:sz="4" w:space="1" w:color="auto"/>
          <w:left w:val="single" w:sz="4" w:space="4" w:color="auto"/>
          <w:bottom w:val="single" w:sz="4" w:space="1" w:color="auto"/>
          <w:right w:val="single" w:sz="4" w:space="4" w:color="auto"/>
        </w:pBdr>
        <w:rPr>
          <w:noProof/>
          <w:sz w:val="20"/>
        </w:rPr>
      </w:pPr>
      <w:r w:rsidRPr="008C52C9">
        <w:rPr>
          <w:noProof/>
        </w:rPr>
        <w:t>I compiti assegnati all'EMSA richiederanno una riprogrammazione della linea di bilancio relativa al contributo annuale all'Agenzia (02 10 02) nell'ambito dell'attuale quadro finanziario pluriennale. L'aumento degli stanziamenti per l'EMSA sarà controbilanciato da una riduzione compensativa della spesa programmata a titolo dell'MCE Trasporti (02 03 01)</w:t>
      </w:r>
      <w:r w:rsidRPr="008C52C9">
        <w:rPr>
          <w:noProof/>
          <w:sz w:val="20"/>
        </w:rPr>
        <w:t xml:space="preserve"> </w:t>
      </w:r>
      <w:r w:rsidRPr="008C52C9">
        <w:rPr>
          <w:noProof/>
        </w:rPr>
        <w:t>nell'ambito dell'attuale quadro finanziario pluriennale</w:t>
      </w:r>
      <w:r w:rsidRPr="008C52C9">
        <w:rPr>
          <w:noProof/>
          <w:sz w:val="20"/>
        </w:rPr>
        <w:t xml:space="preserve">. </w:t>
      </w:r>
      <w:r w:rsidRPr="008C52C9">
        <w:rPr>
          <w:noProof/>
        </w:rPr>
        <w:t>L'incidenza sul bilancio al di là dell'attuale QFP rappresenta una panoramica indicativa, fatto salvo il futuro accordo sul QFP.</w:t>
      </w:r>
    </w:p>
    <w:p w14:paraId="70A353E9" w14:textId="77777777" w:rsidR="005F20F6" w:rsidRPr="008C52C9" w:rsidRDefault="005F20F6" w:rsidP="00425994">
      <w:pPr>
        <w:pStyle w:val="ListDash1"/>
        <w:rPr>
          <w:noProof/>
        </w:rPr>
      </w:pPr>
      <w:r w:rsidRPr="008C52C9">
        <w:rPr>
          <w:noProof/>
        </w:rPr>
        <w:sym w:font="Wingdings" w:char="F0A8"/>
      </w:r>
      <w:r w:rsidRPr="008C52C9">
        <w:rPr>
          <w:noProof/>
        </w:rPr>
        <w:tab/>
        <w:t>La proposta/iniziativa richiede l'applicazione dello strumento di flessibilità o la revisione del quadro finanziario pluriennale</w:t>
      </w:r>
      <w:r w:rsidRPr="008C52C9">
        <w:rPr>
          <w:rStyle w:val="FootnoteReference"/>
          <w:noProof/>
        </w:rPr>
        <w:footnoteReference w:id="55"/>
      </w:r>
      <w:r w:rsidRPr="008C52C9">
        <w:rPr>
          <w:noProof/>
        </w:rPr>
        <w:t>.</w:t>
      </w:r>
    </w:p>
    <w:p w14:paraId="44D70974" w14:textId="77777777" w:rsidR="005F20F6" w:rsidRPr="008C52C9" w:rsidRDefault="005F20F6" w:rsidP="005F20F6">
      <w:pPr>
        <w:pStyle w:val="Text1"/>
        <w:pBdr>
          <w:top w:val="single" w:sz="4" w:space="1" w:color="auto"/>
          <w:left w:val="single" w:sz="4" w:space="4" w:color="auto"/>
          <w:bottom w:val="single" w:sz="4" w:space="1" w:color="auto"/>
          <w:right w:val="single" w:sz="4" w:space="4" w:color="auto"/>
        </w:pBdr>
        <w:rPr>
          <w:noProof/>
          <w:sz w:val="20"/>
        </w:rPr>
      </w:pPr>
      <w:r w:rsidRPr="008C52C9">
        <w:rPr>
          <w:noProof/>
          <w:sz w:val="20"/>
        </w:rPr>
        <w:t>Spiegare la necessità, precisando le rubriche e le linee di bilancio interessate e gli importi corrispondenti.</w:t>
      </w:r>
    </w:p>
    <w:p w14:paraId="08929211" w14:textId="77777777" w:rsidR="005F20F6" w:rsidRPr="008C52C9" w:rsidRDefault="005F20F6" w:rsidP="005F20F6">
      <w:pPr>
        <w:pStyle w:val="Text1"/>
        <w:pBdr>
          <w:top w:val="single" w:sz="4" w:space="1" w:color="auto"/>
          <w:left w:val="single" w:sz="4" w:space="4" w:color="auto"/>
          <w:bottom w:val="single" w:sz="4" w:space="1" w:color="auto"/>
          <w:right w:val="single" w:sz="4" w:space="4" w:color="auto"/>
        </w:pBdr>
        <w:rPr>
          <w:noProof/>
          <w:sz w:val="20"/>
        </w:rPr>
      </w:pPr>
    </w:p>
    <w:p w14:paraId="79FA515E" w14:textId="77777777" w:rsidR="005F20F6" w:rsidRPr="008C52C9" w:rsidRDefault="005F20F6" w:rsidP="005F20F6">
      <w:pPr>
        <w:pStyle w:val="ManualHeading3"/>
        <w:rPr>
          <w:bCs/>
          <w:noProof/>
          <w:szCs w:val="24"/>
        </w:rPr>
      </w:pPr>
      <w:bookmarkStart w:id="70" w:name="_Toc514938690"/>
      <w:bookmarkStart w:id="71" w:name="_Toc520485449"/>
      <w:r w:rsidRPr="008C52C9">
        <w:rPr>
          <w:noProof/>
        </w:rPr>
        <w:t>3.2.5.</w:t>
      </w:r>
      <w:r w:rsidRPr="008C52C9">
        <w:rPr>
          <w:noProof/>
        </w:rPr>
        <w:tab/>
        <w:t>Partecipazione di terzi al finanziamento</w:t>
      </w:r>
      <w:bookmarkEnd w:id="70"/>
      <w:bookmarkEnd w:id="71"/>
      <w:r w:rsidRPr="008C52C9">
        <w:rPr>
          <w:noProof/>
        </w:rPr>
        <w:t xml:space="preserve"> </w:t>
      </w:r>
    </w:p>
    <w:p w14:paraId="13107006" w14:textId="77777777" w:rsidR="005F20F6" w:rsidRPr="008C52C9" w:rsidRDefault="005F20F6" w:rsidP="00425994">
      <w:pPr>
        <w:pStyle w:val="ListDash1"/>
        <w:rPr>
          <w:noProof/>
        </w:rPr>
      </w:pPr>
      <w:r w:rsidRPr="008C52C9">
        <w:rPr>
          <w:noProof/>
        </w:rPr>
        <w:t xml:space="preserve">La proposta/iniziativa non prevede cofinanziamenti da terzi. </w:t>
      </w:r>
    </w:p>
    <w:p w14:paraId="78A646CE" w14:textId="77777777" w:rsidR="005F20F6" w:rsidRPr="008C52C9" w:rsidRDefault="005F20F6" w:rsidP="00425994">
      <w:pPr>
        <w:pStyle w:val="ListDash1"/>
        <w:rPr>
          <w:noProof/>
        </w:rPr>
      </w:pPr>
      <w:r w:rsidRPr="008C52C9">
        <w:rPr>
          <w:noProof/>
        </w:rPr>
        <w:t>La proposta/iniziativa prevede il cofinanziamento indicato di seguito:</w:t>
      </w:r>
    </w:p>
    <w:p w14:paraId="1DF7489F" w14:textId="77777777" w:rsidR="005F20F6" w:rsidRPr="008C52C9" w:rsidRDefault="005F20F6" w:rsidP="005F20F6">
      <w:pPr>
        <w:jc w:val="right"/>
        <w:rPr>
          <w:noProof/>
          <w:sz w:val="20"/>
        </w:rPr>
      </w:pPr>
      <w:r w:rsidRPr="008C52C9">
        <w:rPr>
          <w:noProof/>
          <w:sz w:val="20"/>
        </w:rPr>
        <w:t>Mio EUR (al terzo decimale)</w:t>
      </w:r>
    </w:p>
    <w:tbl>
      <w:tblPr>
        <w:tblW w:w="0" w:type="auto"/>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40"/>
        <w:gridCol w:w="964"/>
        <w:gridCol w:w="964"/>
        <w:gridCol w:w="964"/>
        <w:gridCol w:w="964"/>
        <w:gridCol w:w="964"/>
        <w:gridCol w:w="964"/>
        <w:gridCol w:w="964"/>
        <w:gridCol w:w="1158"/>
      </w:tblGrid>
      <w:tr w:rsidR="005F20F6" w:rsidRPr="008C52C9" w14:paraId="50A97162" w14:textId="77777777" w:rsidTr="005F20F6">
        <w:trPr>
          <w:cantSplit/>
        </w:trPr>
        <w:tc>
          <w:tcPr>
            <w:tcW w:w="2340" w:type="dxa"/>
            <w:tcBorders>
              <w:top w:val="single" w:sz="6" w:space="0" w:color="auto"/>
              <w:left w:val="single" w:sz="6" w:space="0" w:color="auto"/>
              <w:bottom w:val="single" w:sz="6" w:space="0" w:color="auto"/>
              <w:right w:val="single" w:sz="6" w:space="0" w:color="auto"/>
            </w:tcBorders>
          </w:tcPr>
          <w:p w14:paraId="32A9B1F0" w14:textId="77777777" w:rsidR="005F20F6" w:rsidRPr="008C52C9" w:rsidRDefault="005F20F6">
            <w:pPr>
              <w:spacing w:before="60" w:after="60" w:line="276" w:lineRule="auto"/>
              <w:rPr>
                <w:noProof/>
                <w:sz w:val="20"/>
              </w:rPr>
            </w:pPr>
          </w:p>
        </w:tc>
        <w:tc>
          <w:tcPr>
            <w:tcW w:w="964" w:type="dxa"/>
            <w:tcBorders>
              <w:top w:val="single" w:sz="6" w:space="0" w:color="auto"/>
              <w:left w:val="single" w:sz="6" w:space="0" w:color="auto"/>
              <w:bottom w:val="single" w:sz="6" w:space="0" w:color="auto"/>
              <w:right w:val="single" w:sz="6" w:space="0" w:color="auto"/>
            </w:tcBorders>
            <w:vAlign w:val="center"/>
            <w:hideMark/>
          </w:tcPr>
          <w:p w14:paraId="331C042D" w14:textId="77777777" w:rsidR="005F20F6" w:rsidRPr="008C52C9" w:rsidRDefault="005F20F6">
            <w:pPr>
              <w:spacing w:line="276" w:lineRule="auto"/>
              <w:jc w:val="center"/>
              <w:rPr>
                <w:noProof/>
                <w:sz w:val="20"/>
              </w:rPr>
            </w:pPr>
            <w:r w:rsidRPr="008C52C9">
              <w:rPr>
                <w:noProof/>
                <w:sz w:val="20"/>
              </w:rPr>
              <w:t>Anno</w:t>
            </w:r>
            <w:r w:rsidRPr="008C52C9">
              <w:rPr>
                <w:noProof/>
              </w:rPr>
              <w:t xml:space="preserve"> </w:t>
            </w:r>
            <w:r w:rsidRPr="008C52C9">
              <w:rPr>
                <w:noProof/>
              </w:rPr>
              <w:br/>
            </w:r>
            <w:r w:rsidRPr="008C52C9">
              <w:rPr>
                <w:b/>
                <w:noProof/>
                <w:sz w:val="20"/>
              </w:rPr>
              <w:t>N</w:t>
            </w:r>
          </w:p>
        </w:tc>
        <w:tc>
          <w:tcPr>
            <w:tcW w:w="964" w:type="dxa"/>
            <w:tcBorders>
              <w:top w:val="single" w:sz="6" w:space="0" w:color="auto"/>
              <w:left w:val="single" w:sz="6" w:space="0" w:color="auto"/>
              <w:bottom w:val="single" w:sz="6" w:space="0" w:color="auto"/>
              <w:right w:val="single" w:sz="6" w:space="0" w:color="auto"/>
            </w:tcBorders>
            <w:vAlign w:val="center"/>
            <w:hideMark/>
          </w:tcPr>
          <w:p w14:paraId="54D910D5" w14:textId="77777777" w:rsidR="005F20F6" w:rsidRPr="008C52C9" w:rsidRDefault="005F20F6">
            <w:pPr>
              <w:spacing w:line="276" w:lineRule="auto"/>
              <w:jc w:val="center"/>
              <w:rPr>
                <w:noProof/>
                <w:sz w:val="20"/>
              </w:rPr>
            </w:pPr>
            <w:r w:rsidRPr="008C52C9">
              <w:rPr>
                <w:noProof/>
                <w:sz w:val="20"/>
              </w:rPr>
              <w:t>Anno</w:t>
            </w:r>
            <w:r w:rsidRPr="008C52C9">
              <w:rPr>
                <w:noProof/>
              </w:rPr>
              <w:t xml:space="preserve"> </w:t>
            </w:r>
            <w:r w:rsidRPr="008C52C9">
              <w:rPr>
                <w:noProof/>
              </w:rPr>
              <w:br/>
            </w:r>
            <w:r w:rsidRPr="008C52C9">
              <w:rPr>
                <w:b/>
                <w:noProof/>
                <w:sz w:val="20"/>
              </w:rPr>
              <w:t>N+1</w:t>
            </w:r>
          </w:p>
        </w:tc>
        <w:tc>
          <w:tcPr>
            <w:tcW w:w="964" w:type="dxa"/>
            <w:tcBorders>
              <w:top w:val="single" w:sz="6" w:space="0" w:color="auto"/>
              <w:left w:val="single" w:sz="6" w:space="0" w:color="auto"/>
              <w:bottom w:val="single" w:sz="6" w:space="0" w:color="auto"/>
              <w:right w:val="single" w:sz="6" w:space="0" w:color="auto"/>
            </w:tcBorders>
            <w:vAlign w:val="center"/>
            <w:hideMark/>
          </w:tcPr>
          <w:p w14:paraId="26679718" w14:textId="77777777" w:rsidR="005F20F6" w:rsidRPr="008C52C9" w:rsidRDefault="005F20F6">
            <w:pPr>
              <w:spacing w:line="276" w:lineRule="auto"/>
              <w:jc w:val="center"/>
              <w:rPr>
                <w:noProof/>
                <w:sz w:val="20"/>
              </w:rPr>
            </w:pPr>
            <w:r w:rsidRPr="008C52C9">
              <w:rPr>
                <w:noProof/>
                <w:sz w:val="20"/>
              </w:rPr>
              <w:t>Anno</w:t>
            </w:r>
            <w:r w:rsidRPr="008C52C9">
              <w:rPr>
                <w:noProof/>
              </w:rPr>
              <w:t xml:space="preserve"> </w:t>
            </w:r>
            <w:r w:rsidRPr="008C52C9">
              <w:rPr>
                <w:noProof/>
              </w:rPr>
              <w:br/>
            </w:r>
            <w:r w:rsidRPr="008C52C9">
              <w:rPr>
                <w:b/>
                <w:noProof/>
                <w:sz w:val="20"/>
              </w:rPr>
              <w:t>N+2</w:t>
            </w:r>
          </w:p>
        </w:tc>
        <w:tc>
          <w:tcPr>
            <w:tcW w:w="964" w:type="dxa"/>
            <w:tcBorders>
              <w:top w:val="single" w:sz="6" w:space="0" w:color="auto"/>
              <w:left w:val="single" w:sz="6" w:space="0" w:color="auto"/>
              <w:bottom w:val="single" w:sz="6" w:space="0" w:color="auto"/>
              <w:right w:val="single" w:sz="6" w:space="0" w:color="auto"/>
            </w:tcBorders>
            <w:vAlign w:val="center"/>
            <w:hideMark/>
          </w:tcPr>
          <w:p w14:paraId="6F1C33C8" w14:textId="77777777" w:rsidR="005F20F6" w:rsidRPr="008C52C9" w:rsidRDefault="005F20F6">
            <w:pPr>
              <w:spacing w:line="276" w:lineRule="auto"/>
              <w:jc w:val="center"/>
              <w:rPr>
                <w:noProof/>
                <w:sz w:val="20"/>
              </w:rPr>
            </w:pPr>
            <w:r w:rsidRPr="008C52C9">
              <w:rPr>
                <w:noProof/>
                <w:sz w:val="20"/>
              </w:rPr>
              <w:t>Anno</w:t>
            </w:r>
            <w:r w:rsidRPr="008C52C9">
              <w:rPr>
                <w:noProof/>
              </w:rPr>
              <w:t xml:space="preserve"> </w:t>
            </w:r>
            <w:r w:rsidRPr="008C52C9">
              <w:rPr>
                <w:noProof/>
              </w:rPr>
              <w:br/>
            </w:r>
            <w:r w:rsidRPr="008C52C9">
              <w:rPr>
                <w:b/>
                <w:noProof/>
                <w:sz w:val="20"/>
              </w:rPr>
              <w:t>N+3</w:t>
            </w:r>
          </w:p>
        </w:tc>
        <w:tc>
          <w:tcPr>
            <w:tcW w:w="2892" w:type="dxa"/>
            <w:gridSpan w:val="3"/>
            <w:tcBorders>
              <w:top w:val="single" w:sz="6" w:space="0" w:color="auto"/>
              <w:left w:val="single" w:sz="6" w:space="0" w:color="auto"/>
              <w:bottom w:val="single" w:sz="6" w:space="0" w:color="auto"/>
              <w:right w:val="single" w:sz="6" w:space="0" w:color="auto"/>
            </w:tcBorders>
            <w:vAlign w:val="center"/>
            <w:hideMark/>
          </w:tcPr>
          <w:p w14:paraId="27FB651C" w14:textId="77777777" w:rsidR="005F20F6" w:rsidRPr="008C52C9" w:rsidRDefault="005F20F6">
            <w:pPr>
              <w:spacing w:line="276" w:lineRule="auto"/>
              <w:jc w:val="center"/>
              <w:rPr>
                <w:b/>
                <w:noProof/>
                <w:sz w:val="20"/>
              </w:rPr>
            </w:pPr>
            <w:r w:rsidRPr="008C52C9">
              <w:rPr>
                <w:noProof/>
                <w:sz w:val="20"/>
              </w:rPr>
              <w:t>Inserire gli anni necessari per evidenziare la durata dell'incidenza (cfr. punto 1.6)</w:t>
            </w:r>
          </w:p>
        </w:tc>
        <w:tc>
          <w:tcPr>
            <w:tcW w:w="1158" w:type="dxa"/>
            <w:tcBorders>
              <w:top w:val="single" w:sz="6" w:space="0" w:color="auto"/>
              <w:left w:val="single" w:sz="6" w:space="0" w:color="auto"/>
              <w:bottom w:val="single" w:sz="6" w:space="0" w:color="auto"/>
              <w:right w:val="single" w:sz="6" w:space="0" w:color="auto"/>
            </w:tcBorders>
            <w:vAlign w:val="center"/>
            <w:hideMark/>
          </w:tcPr>
          <w:p w14:paraId="7262BAE9" w14:textId="77777777" w:rsidR="005F20F6" w:rsidRPr="008C52C9" w:rsidRDefault="005F20F6">
            <w:pPr>
              <w:spacing w:before="60" w:after="60" w:line="276" w:lineRule="auto"/>
              <w:jc w:val="center"/>
              <w:rPr>
                <w:noProof/>
                <w:sz w:val="20"/>
              </w:rPr>
            </w:pPr>
            <w:r w:rsidRPr="008C52C9">
              <w:rPr>
                <w:noProof/>
                <w:sz w:val="20"/>
              </w:rPr>
              <w:t>Totale</w:t>
            </w:r>
          </w:p>
        </w:tc>
      </w:tr>
      <w:tr w:rsidR="005F20F6" w:rsidRPr="008C52C9" w14:paraId="6D88E1D9" w14:textId="77777777" w:rsidTr="005F20F6">
        <w:trPr>
          <w:cantSplit/>
        </w:trPr>
        <w:tc>
          <w:tcPr>
            <w:tcW w:w="2340" w:type="dxa"/>
            <w:tcBorders>
              <w:top w:val="single" w:sz="6" w:space="0" w:color="auto"/>
              <w:left w:val="single" w:sz="6" w:space="0" w:color="auto"/>
              <w:bottom w:val="single" w:sz="6" w:space="0" w:color="auto"/>
              <w:right w:val="single" w:sz="6" w:space="0" w:color="auto"/>
            </w:tcBorders>
            <w:hideMark/>
          </w:tcPr>
          <w:p w14:paraId="0F6F9672" w14:textId="77777777" w:rsidR="005F20F6" w:rsidRPr="008C52C9" w:rsidRDefault="005F20F6">
            <w:pPr>
              <w:spacing w:line="276" w:lineRule="auto"/>
              <w:rPr>
                <w:noProof/>
              </w:rPr>
            </w:pPr>
            <w:r w:rsidRPr="008C52C9">
              <w:rPr>
                <w:noProof/>
                <w:sz w:val="20"/>
              </w:rPr>
              <w:t>Specificare l'organismo di cofinanziamento</w:t>
            </w:r>
            <w:r w:rsidRPr="008C52C9">
              <w:rPr>
                <w:i/>
                <w:noProof/>
                <w:sz w:val="20"/>
              </w:rPr>
              <w:t xml:space="preserve"> </w:t>
            </w:r>
          </w:p>
        </w:tc>
        <w:tc>
          <w:tcPr>
            <w:tcW w:w="964" w:type="dxa"/>
            <w:tcBorders>
              <w:top w:val="single" w:sz="6" w:space="0" w:color="auto"/>
              <w:left w:val="single" w:sz="6" w:space="0" w:color="auto"/>
              <w:bottom w:val="single" w:sz="6" w:space="0" w:color="auto"/>
              <w:right w:val="single" w:sz="6" w:space="0" w:color="auto"/>
            </w:tcBorders>
            <w:vAlign w:val="center"/>
          </w:tcPr>
          <w:p w14:paraId="46EB3EB9" w14:textId="77777777" w:rsidR="005F20F6" w:rsidRPr="008C52C9" w:rsidRDefault="005F20F6">
            <w:pPr>
              <w:spacing w:before="60" w:after="60" w:line="276" w:lineRule="auto"/>
              <w:jc w:val="center"/>
              <w:rPr>
                <w:noProof/>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49D21899" w14:textId="77777777" w:rsidR="005F20F6" w:rsidRPr="008C52C9" w:rsidRDefault="005F20F6">
            <w:pPr>
              <w:spacing w:before="60" w:after="60" w:line="276" w:lineRule="auto"/>
              <w:jc w:val="center"/>
              <w:rPr>
                <w:noProof/>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1C0673CF" w14:textId="77777777" w:rsidR="005F20F6" w:rsidRPr="008C52C9" w:rsidRDefault="005F20F6">
            <w:pPr>
              <w:spacing w:before="60" w:after="60" w:line="276" w:lineRule="auto"/>
              <w:jc w:val="center"/>
              <w:rPr>
                <w:noProof/>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3E9597F4" w14:textId="77777777" w:rsidR="005F20F6" w:rsidRPr="008C52C9" w:rsidRDefault="005F20F6">
            <w:pPr>
              <w:spacing w:before="60" w:after="60" w:line="276" w:lineRule="auto"/>
              <w:jc w:val="center"/>
              <w:rPr>
                <w:noProof/>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0BF3379F" w14:textId="77777777" w:rsidR="005F20F6" w:rsidRPr="008C52C9" w:rsidRDefault="005F20F6">
            <w:pPr>
              <w:spacing w:before="60" w:after="60" w:line="276" w:lineRule="auto"/>
              <w:jc w:val="center"/>
              <w:rPr>
                <w:noProof/>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0CA98949" w14:textId="77777777" w:rsidR="005F20F6" w:rsidRPr="008C52C9" w:rsidRDefault="005F20F6">
            <w:pPr>
              <w:spacing w:before="60" w:after="60" w:line="276" w:lineRule="auto"/>
              <w:jc w:val="center"/>
              <w:rPr>
                <w:noProof/>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5F0463AC" w14:textId="77777777" w:rsidR="005F20F6" w:rsidRPr="008C52C9" w:rsidRDefault="005F20F6">
            <w:pPr>
              <w:spacing w:before="60" w:after="60" w:line="276" w:lineRule="auto"/>
              <w:jc w:val="center"/>
              <w:rPr>
                <w:noProof/>
                <w:sz w:val="20"/>
              </w:rPr>
            </w:pPr>
          </w:p>
        </w:tc>
        <w:tc>
          <w:tcPr>
            <w:tcW w:w="1158" w:type="dxa"/>
            <w:tcBorders>
              <w:top w:val="single" w:sz="6" w:space="0" w:color="auto"/>
              <w:left w:val="single" w:sz="6" w:space="0" w:color="auto"/>
              <w:bottom w:val="single" w:sz="6" w:space="0" w:color="auto"/>
              <w:right w:val="single" w:sz="6" w:space="0" w:color="auto"/>
            </w:tcBorders>
            <w:vAlign w:val="center"/>
          </w:tcPr>
          <w:p w14:paraId="4670B97E" w14:textId="77777777" w:rsidR="005F20F6" w:rsidRPr="008C52C9" w:rsidRDefault="005F20F6">
            <w:pPr>
              <w:spacing w:before="60" w:after="60" w:line="276" w:lineRule="auto"/>
              <w:jc w:val="center"/>
              <w:rPr>
                <w:noProof/>
                <w:sz w:val="20"/>
              </w:rPr>
            </w:pPr>
          </w:p>
        </w:tc>
      </w:tr>
      <w:tr w:rsidR="005F20F6" w:rsidRPr="008C52C9" w14:paraId="4C4469D2" w14:textId="77777777" w:rsidTr="005F20F6">
        <w:trPr>
          <w:cantSplit/>
        </w:trPr>
        <w:tc>
          <w:tcPr>
            <w:tcW w:w="2340" w:type="dxa"/>
            <w:tcBorders>
              <w:top w:val="single" w:sz="6" w:space="0" w:color="auto"/>
              <w:left w:val="single" w:sz="6" w:space="0" w:color="auto"/>
              <w:bottom w:val="single" w:sz="6" w:space="0" w:color="auto"/>
              <w:right w:val="single" w:sz="6" w:space="0" w:color="auto"/>
            </w:tcBorders>
            <w:hideMark/>
          </w:tcPr>
          <w:p w14:paraId="374D422F" w14:textId="77777777" w:rsidR="005F20F6" w:rsidRPr="008C52C9" w:rsidRDefault="005F20F6">
            <w:pPr>
              <w:spacing w:before="60" w:after="60" w:line="276" w:lineRule="auto"/>
              <w:rPr>
                <w:noProof/>
                <w:sz w:val="20"/>
              </w:rPr>
            </w:pPr>
            <w:r w:rsidRPr="008C52C9">
              <w:rPr>
                <w:noProof/>
                <w:sz w:val="20"/>
              </w:rPr>
              <w:t xml:space="preserve">TOTALE stanziamenti cofinanziati </w:t>
            </w:r>
          </w:p>
        </w:tc>
        <w:tc>
          <w:tcPr>
            <w:tcW w:w="964" w:type="dxa"/>
            <w:tcBorders>
              <w:top w:val="single" w:sz="6" w:space="0" w:color="auto"/>
              <w:left w:val="single" w:sz="6" w:space="0" w:color="auto"/>
              <w:bottom w:val="single" w:sz="6" w:space="0" w:color="auto"/>
              <w:right w:val="single" w:sz="6" w:space="0" w:color="auto"/>
            </w:tcBorders>
            <w:vAlign w:val="center"/>
          </w:tcPr>
          <w:p w14:paraId="29F0E4C2" w14:textId="77777777" w:rsidR="005F20F6" w:rsidRPr="008C52C9" w:rsidRDefault="005F20F6">
            <w:pPr>
              <w:spacing w:before="60" w:after="60" w:line="276" w:lineRule="auto"/>
              <w:jc w:val="center"/>
              <w:rPr>
                <w:noProof/>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1984BE98" w14:textId="77777777" w:rsidR="005F20F6" w:rsidRPr="008C52C9" w:rsidRDefault="005F20F6">
            <w:pPr>
              <w:spacing w:before="60" w:after="60" w:line="276" w:lineRule="auto"/>
              <w:jc w:val="center"/>
              <w:rPr>
                <w:noProof/>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14909813" w14:textId="77777777" w:rsidR="005F20F6" w:rsidRPr="008C52C9" w:rsidRDefault="005F20F6">
            <w:pPr>
              <w:spacing w:before="60" w:after="60" w:line="276" w:lineRule="auto"/>
              <w:jc w:val="center"/>
              <w:rPr>
                <w:noProof/>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0A26D5FD" w14:textId="77777777" w:rsidR="005F20F6" w:rsidRPr="008C52C9" w:rsidRDefault="005F20F6">
            <w:pPr>
              <w:spacing w:before="60" w:after="60" w:line="276" w:lineRule="auto"/>
              <w:jc w:val="center"/>
              <w:rPr>
                <w:noProof/>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0EEC1086" w14:textId="77777777" w:rsidR="005F20F6" w:rsidRPr="008C52C9" w:rsidRDefault="005F20F6">
            <w:pPr>
              <w:spacing w:before="60" w:after="60" w:line="276" w:lineRule="auto"/>
              <w:jc w:val="center"/>
              <w:rPr>
                <w:noProof/>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11428E58" w14:textId="77777777" w:rsidR="005F20F6" w:rsidRPr="008C52C9" w:rsidRDefault="005F20F6">
            <w:pPr>
              <w:spacing w:before="60" w:after="60" w:line="276" w:lineRule="auto"/>
              <w:jc w:val="center"/>
              <w:rPr>
                <w:noProof/>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415B7925" w14:textId="77777777" w:rsidR="005F20F6" w:rsidRPr="008C52C9" w:rsidRDefault="005F20F6">
            <w:pPr>
              <w:spacing w:before="60" w:after="60" w:line="276" w:lineRule="auto"/>
              <w:jc w:val="center"/>
              <w:rPr>
                <w:noProof/>
                <w:sz w:val="20"/>
              </w:rPr>
            </w:pPr>
          </w:p>
        </w:tc>
        <w:tc>
          <w:tcPr>
            <w:tcW w:w="1158" w:type="dxa"/>
            <w:tcBorders>
              <w:top w:val="single" w:sz="6" w:space="0" w:color="auto"/>
              <w:left w:val="single" w:sz="6" w:space="0" w:color="auto"/>
              <w:bottom w:val="single" w:sz="6" w:space="0" w:color="auto"/>
              <w:right w:val="single" w:sz="6" w:space="0" w:color="auto"/>
            </w:tcBorders>
            <w:vAlign w:val="center"/>
          </w:tcPr>
          <w:p w14:paraId="6D435C9A" w14:textId="77777777" w:rsidR="005F20F6" w:rsidRPr="008C52C9" w:rsidRDefault="005F20F6">
            <w:pPr>
              <w:spacing w:before="60" w:after="60" w:line="276" w:lineRule="auto"/>
              <w:jc w:val="center"/>
              <w:rPr>
                <w:noProof/>
                <w:sz w:val="20"/>
              </w:rPr>
            </w:pPr>
          </w:p>
        </w:tc>
      </w:tr>
    </w:tbl>
    <w:p w14:paraId="779C6A16" w14:textId="77777777" w:rsidR="005F20F6" w:rsidRPr="008C52C9" w:rsidRDefault="005F20F6" w:rsidP="005F20F6">
      <w:pPr>
        <w:rPr>
          <w:noProof/>
        </w:rPr>
      </w:pPr>
      <w:r w:rsidRPr="008C52C9">
        <w:rPr>
          <w:noProof/>
        </w:rPr>
        <w:t xml:space="preserve"> </w:t>
      </w:r>
      <w:r w:rsidRPr="008C52C9">
        <w:rPr>
          <w:noProof/>
        </w:rPr>
        <w:br/>
      </w:r>
    </w:p>
    <w:p w14:paraId="469ED52A" w14:textId="77777777" w:rsidR="005F20F6" w:rsidRPr="008C52C9" w:rsidRDefault="005F20F6" w:rsidP="005F20F6">
      <w:pPr>
        <w:pStyle w:val="ManualHeading2"/>
        <w:rPr>
          <w:bCs/>
          <w:noProof/>
          <w:szCs w:val="24"/>
        </w:rPr>
      </w:pPr>
      <w:r w:rsidRPr="008C52C9">
        <w:rPr>
          <w:noProof/>
        </w:rPr>
        <w:br w:type="page"/>
      </w:r>
      <w:bookmarkStart w:id="72" w:name="_Toc514938691"/>
      <w:bookmarkStart w:id="73" w:name="_Toc520485450"/>
      <w:r w:rsidRPr="008C52C9">
        <w:rPr>
          <w:noProof/>
        </w:rPr>
        <w:lastRenderedPageBreak/>
        <w:t>3.3.</w:t>
      </w:r>
      <w:r w:rsidRPr="008C52C9">
        <w:rPr>
          <w:noProof/>
        </w:rPr>
        <w:tab/>
        <w:t>Incidenza prevista sulle entrate</w:t>
      </w:r>
      <w:bookmarkEnd w:id="72"/>
      <w:bookmarkEnd w:id="73"/>
      <w:r w:rsidRPr="008C52C9">
        <w:rPr>
          <w:noProof/>
        </w:rPr>
        <w:t xml:space="preserve"> </w:t>
      </w:r>
    </w:p>
    <w:p w14:paraId="566479CF" w14:textId="77777777" w:rsidR="005F20F6" w:rsidRPr="008C52C9" w:rsidRDefault="005F20F6" w:rsidP="00425994">
      <w:pPr>
        <w:pStyle w:val="ListDash1"/>
        <w:rPr>
          <w:noProof/>
        </w:rPr>
      </w:pPr>
      <w:r w:rsidRPr="008C52C9">
        <w:rPr>
          <w:noProof/>
        </w:rPr>
        <w:sym w:font="Wingdings" w:char="F0FE"/>
      </w:r>
      <w:r w:rsidRPr="008C52C9">
        <w:rPr>
          <w:noProof/>
        </w:rPr>
        <w:tab/>
        <w:t>La proposta/iniziativa non ha incidenza finanziaria sulle entrate.</w:t>
      </w:r>
    </w:p>
    <w:p w14:paraId="67A1D3F6" w14:textId="77777777" w:rsidR="005F20F6" w:rsidRPr="008C52C9" w:rsidRDefault="005F20F6" w:rsidP="00425994">
      <w:pPr>
        <w:pStyle w:val="ListDash1"/>
        <w:rPr>
          <w:noProof/>
        </w:rPr>
      </w:pPr>
      <w:r w:rsidRPr="008C52C9">
        <w:rPr>
          <w:noProof/>
        </w:rPr>
        <w:sym w:font="Wingdings" w:char="F0A8"/>
      </w:r>
      <w:r w:rsidRPr="008C52C9">
        <w:rPr>
          <w:noProof/>
        </w:rPr>
        <w:tab/>
        <w:t>La proposta/iniziativa ha la seguente incidenza finanziaria:</w:t>
      </w:r>
    </w:p>
    <w:p w14:paraId="464D756F" w14:textId="77777777" w:rsidR="005F20F6" w:rsidRPr="008C52C9" w:rsidRDefault="005F20F6" w:rsidP="0019371E">
      <w:pPr>
        <w:pStyle w:val="ListNumberLevel3"/>
        <w:tabs>
          <w:tab w:val="clear" w:pos="2126"/>
        </w:tabs>
        <w:rPr>
          <w:noProof/>
        </w:rPr>
      </w:pPr>
      <w:r w:rsidRPr="008C52C9">
        <w:rPr>
          <w:noProof/>
        </w:rPr>
        <w:sym w:font="Wingdings" w:char="F0A8"/>
      </w:r>
      <w:r w:rsidRPr="008C52C9">
        <w:rPr>
          <w:noProof/>
        </w:rPr>
        <w:tab/>
        <w:t xml:space="preserve">sulle risorse proprie </w:t>
      </w:r>
    </w:p>
    <w:p w14:paraId="249F00D6" w14:textId="77777777" w:rsidR="005F20F6" w:rsidRPr="008C52C9" w:rsidRDefault="005F20F6" w:rsidP="0019371E">
      <w:pPr>
        <w:pStyle w:val="ListNumberLevel3"/>
        <w:tabs>
          <w:tab w:val="clear" w:pos="2126"/>
        </w:tabs>
        <w:rPr>
          <w:noProof/>
        </w:rPr>
      </w:pPr>
      <w:r w:rsidRPr="008C52C9">
        <w:rPr>
          <w:noProof/>
        </w:rPr>
        <w:sym w:font="Wingdings" w:char="F0A8"/>
      </w:r>
      <w:r w:rsidRPr="008C52C9">
        <w:rPr>
          <w:noProof/>
        </w:rPr>
        <w:tab/>
        <w:t xml:space="preserve">su altre entrate </w:t>
      </w:r>
    </w:p>
    <w:p w14:paraId="02EFDF99" w14:textId="77777777" w:rsidR="005F20F6" w:rsidRPr="008C52C9" w:rsidRDefault="005F20F6" w:rsidP="0019371E">
      <w:pPr>
        <w:pStyle w:val="ListNumberLevel3"/>
        <w:tabs>
          <w:tab w:val="clear" w:pos="2126"/>
        </w:tabs>
        <w:rPr>
          <w:noProof/>
        </w:rPr>
      </w:pPr>
      <w:r w:rsidRPr="008C52C9">
        <w:rPr>
          <w:noProof/>
        </w:rPr>
        <w:t xml:space="preserve"> indicare se le entrate sono destinate a linee di spesa specifiche </w:t>
      </w:r>
      <w:r w:rsidRPr="008C52C9">
        <w:rPr>
          <w:noProof/>
        </w:rPr>
        <w:sym w:font="Wingdings" w:char="F0A8"/>
      </w:r>
    </w:p>
    <w:p w14:paraId="4761997E" w14:textId="77777777" w:rsidR="005F20F6" w:rsidRPr="008C52C9" w:rsidRDefault="005F20F6" w:rsidP="005F20F6">
      <w:pPr>
        <w:jc w:val="right"/>
        <w:rPr>
          <w:i/>
          <w:noProof/>
          <w:sz w:val="20"/>
        </w:rPr>
      </w:pPr>
      <w:r w:rsidRPr="008C52C9">
        <w:rPr>
          <w:noProof/>
          <w:sz w:val="20"/>
        </w:rPr>
        <w:t>Mio EUR (al terzo decimale)</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4"/>
        <w:gridCol w:w="1276"/>
        <w:gridCol w:w="1080"/>
        <w:gridCol w:w="900"/>
        <w:gridCol w:w="900"/>
        <w:gridCol w:w="1080"/>
        <w:gridCol w:w="1080"/>
        <w:gridCol w:w="1080"/>
        <w:gridCol w:w="1080"/>
      </w:tblGrid>
      <w:tr w:rsidR="005F20F6" w:rsidRPr="008C52C9" w14:paraId="3947A580" w14:textId="77777777" w:rsidTr="005F20F6">
        <w:trPr>
          <w:trHeight w:val="388"/>
        </w:trPr>
        <w:tc>
          <w:tcPr>
            <w:tcW w:w="2144" w:type="dxa"/>
            <w:vMerge w:val="restart"/>
            <w:tcBorders>
              <w:top w:val="single" w:sz="4" w:space="0" w:color="auto"/>
              <w:left w:val="single" w:sz="4" w:space="0" w:color="auto"/>
              <w:bottom w:val="single" w:sz="4" w:space="0" w:color="auto"/>
              <w:right w:val="single" w:sz="4" w:space="0" w:color="auto"/>
            </w:tcBorders>
            <w:vAlign w:val="center"/>
            <w:hideMark/>
          </w:tcPr>
          <w:p w14:paraId="064A575D" w14:textId="77777777" w:rsidR="005F20F6" w:rsidRPr="008C52C9" w:rsidRDefault="005F20F6">
            <w:pPr>
              <w:spacing w:before="40" w:after="40" w:line="276" w:lineRule="auto"/>
              <w:rPr>
                <w:noProof/>
                <w:sz w:val="18"/>
              </w:rPr>
            </w:pPr>
            <w:r w:rsidRPr="008C52C9">
              <w:rPr>
                <w:noProof/>
                <w:sz w:val="18"/>
              </w:rPr>
              <w:t>Linea di bilancio delle entrate:</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6D063411" w14:textId="77777777" w:rsidR="005F20F6" w:rsidRPr="008C52C9" w:rsidRDefault="005F20F6">
            <w:pPr>
              <w:spacing w:line="276" w:lineRule="auto"/>
              <w:jc w:val="center"/>
              <w:rPr>
                <w:noProof/>
                <w:sz w:val="18"/>
              </w:rPr>
            </w:pPr>
            <w:r w:rsidRPr="008C52C9">
              <w:rPr>
                <w:noProof/>
                <w:sz w:val="18"/>
              </w:rPr>
              <w:t>Stanziamenti disponibili per l'esercizio in corso</w:t>
            </w:r>
          </w:p>
        </w:tc>
        <w:tc>
          <w:tcPr>
            <w:tcW w:w="7200" w:type="dxa"/>
            <w:gridSpan w:val="7"/>
            <w:tcBorders>
              <w:top w:val="single" w:sz="4" w:space="0" w:color="auto"/>
              <w:left w:val="single" w:sz="4" w:space="0" w:color="auto"/>
              <w:bottom w:val="single" w:sz="4" w:space="0" w:color="auto"/>
              <w:right w:val="single" w:sz="4" w:space="0" w:color="auto"/>
            </w:tcBorders>
            <w:vAlign w:val="center"/>
            <w:hideMark/>
          </w:tcPr>
          <w:p w14:paraId="2208739A" w14:textId="77777777" w:rsidR="005F20F6" w:rsidRPr="008C52C9" w:rsidRDefault="005F20F6">
            <w:pPr>
              <w:spacing w:line="276" w:lineRule="auto"/>
              <w:jc w:val="center"/>
              <w:rPr>
                <w:noProof/>
                <w:sz w:val="18"/>
              </w:rPr>
            </w:pPr>
            <w:r w:rsidRPr="008C52C9">
              <w:rPr>
                <w:noProof/>
                <w:sz w:val="18"/>
              </w:rPr>
              <w:t>Incidenza della proposta/iniziativa</w:t>
            </w:r>
            <w:r w:rsidRPr="008C52C9">
              <w:rPr>
                <w:rStyle w:val="FootnoteReference"/>
                <w:noProof/>
                <w:sz w:val="18"/>
              </w:rPr>
              <w:footnoteReference w:id="56"/>
            </w:r>
          </w:p>
        </w:tc>
      </w:tr>
      <w:tr w:rsidR="005F20F6" w:rsidRPr="008C52C9" w14:paraId="3B86F014" w14:textId="77777777" w:rsidTr="005F20F6">
        <w:trPr>
          <w:trHeight w:val="388"/>
        </w:trPr>
        <w:tc>
          <w:tcPr>
            <w:tcW w:w="2144" w:type="dxa"/>
            <w:vMerge/>
            <w:tcBorders>
              <w:top w:val="single" w:sz="4" w:space="0" w:color="auto"/>
              <w:left w:val="single" w:sz="4" w:space="0" w:color="auto"/>
              <w:bottom w:val="single" w:sz="4" w:space="0" w:color="auto"/>
              <w:right w:val="single" w:sz="4" w:space="0" w:color="auto"/>
            </w:tcBorders>
            <w:vAlign w:val="center"/>
            <w:hideMark/>
          </w:tcPr>
          <w:p w14:paraId="0CA4EF14" w14:textId="77777777" w:rsidR="005F20F6" w:rsidRPr="008C52C9" w:rsidRDefault="005F20F6">
            <w:pPr>
              <w:spacing w:before="0" w:after="0" w:line="276" w:lineRule="auto"/>
              <w:jc w:val="left"/>
              <w:rPr>
                <w:noProof/>
                <w:sz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E7481FF" w14:textId="77777777" w:rsidR="005F20F6" w:rsidRPr="008C52C9" w:rsidRDefault="005F20F6">
            <w:pPr>
              <w:spacing w:before="0" w:after="0" w:line="276" w:lineRule="auto"/>
              <w:jc w:val="left"/>
              <w:rPr>
                <w:noProof/>
                <w:sz w:val="18"/>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46ABE229" w14:textId="77777777" w:rsidR="005F20F6" w:rsidRPr="008C52C9" w:rsidRDefault="005F20F6">
            <w:pPr>
              <w:spacing w:line="276" w:lineRule="auto"/>
              <w:jc w:val="center"/>
              <w:rPr>
                <w:noProof/>
                <w:sz w:val="18"/>
              </w:rPr>
            </w:pPr>
            <w:r w:rsidRPr="008C52C9">
              <w:rPr>
                <w:noProof/>
                <w:sz w:val="18"/>
              </w:rPr>
              <w:t>Anno</w:t>
            </w:r>
            <w:r w:rsidRPr="008C52C9">
              <w:rPr>
                <w:noProof/>
              </w:rPr>
              <w:t xml:space="preserve"> </w:t>
            </w:r>
            <w:r w:rsidRPr="008C52C9">
              <w:rPr>
                <w:noProof/>
              </w:rPr>
              <w:br/>
            </w:r>
            <w:r w:rsidRPr="008C52C9">
              <w:rPr>
                <w:b/>
                <w:noProof/>
                <w:sz w:val="18"/>
              </w:rPr>
              <w:t>N</w:t>
            </w:r>
          </w:p>
        </w:tc>
        <w:tc>
          <w:tcPr>
            <w:tcW w:w="900" w:type="dxa"/>
            <w:tcBorders>
              <w:top w:val="single" w:sz="4" w:space="0" w:color="auto"/>
              <w:left w:val="single" w:sz="4" w:space="0" w:color="auto"/>
              <w:bottom w:val="single" w:sz="4" w:space="0" w:color="auto"/>
              <w:right w:val="single" w:sz="4" w:space="0" w:color="auto"/>
            </w:tcBorders>
            <w:vAlign w:val="center"/>
            <w:hideMark/>
          </w:tcPr>
          <w:p w14:paraId="4B102685" w14:textId="77777777" w:rsidR="005F20F6" w:rsidRPr="008C52C9" w:rsidRDefault="005F20F6">
            <w:pPr>
              <w:spacing w:line="276" w:lineRule="auto"/>
              <w:jc w:val="center"/>
              <w:rPr>
                <w:noProof/>
                <w:sz w:val="18"/>
              </w:rPr>
            </w:pPr>
            <w:r w:rsidRPr="008C52C9">
              <w:rPr>
                <w:noProof/>
                <w:sz w:val="18"/>
              </w:rPr>
              <w:t>Anno</w:t>
            </w:r>
            <w:r w:rsidRPr="008C52C9">
              <w:rPr>
                <w:noProof/>
              </w:rPr>
              <w:t xml:space="preserve"> </w:t>
            </w:r>
            <w:r w:rsidRPr="008C52C9">
              <w:rPr>
                <w:noProof/>
              </w:rPr>
              <w:br/>
            </w:r>
            <w:r w:rsidRPr="008C52C9">
              <w:rPr>
                <w:b/>
                <w:noProof/>
                <w:sz w:val="18"/>
              </w:rPr>
              <w:t>N+1</w:t>
            </w:r>
          </w:p>
        </w:tc>
        <w:tc>
          <w:tcPr>
            <w:tcW w:w="900" w:type="dxa"/>
            <w:tcBorders>
              <w:top w:val="single" w:sz="4" w:space="0" w:color="auto"/>
              <w:left w:val="single" w:sz="4" w:space="0" w:color="auto"/>
              <w:bottom w:val="single" w:sz="4" w:space="0" w:color="auto"/>
              <w:right w:val="single" w:sz="4" w:space="0" w:color="auto"/>
            </w:tcBorders>
            <w:vAlign w:val="center"/>
            <w:hideMark/>
          </w:tcPr>
          <w:p w14:paraId="45A29E2C" w14:textId="77777777" w:rsidR="005F20F6" w:rsidRPr="008C52C9" w:rsidRDefault="005F20F6">
            <w:pPr>
              <w:spacing w:line="276" w:lineRule="auto"/>
              <w:jc w:val="center"/>
              <w:rPr>
                <w:noProof/>
                <w:sz w:val="18"/>
              </w:rPr>
            </w:pPr>
            <w:r w:rsidRPr="008C52C9">
              <w:rPr>
                <w:noProof/>
                <w:sz w:val="18"/>
              </w:rPr>
              <w:t>Anno</w:t>
            </w:r>
            <w:r w:rsidRPr="008C52C9">
              <w:rPr>
                <w:noProof/>
              </w:rPr>
              <w:t xml:space="preserve"> </w:t>
            </w:r>
            <w:r w:rsidRPr="008C52C9">
              <w:rPr>
                <w:noProof/>
              </w:rPr>
              <w:br/>
            </w:r>
            <w:r w:rsidRPr="008C52C9">
              <w:rPr>
                <w:b/>
                <w:noProof/>
                <w:sz w:val="18"/>
              </w:rPr>
              <w:t>N+2</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A9AE05E" w14:textId="77777777" w:rsidR="005F20F6" w:rsidRPr="008C52C9" w:rsidRDefault="005F20F6">
            <w:pPr>
              <w:spacing w:line="276" w:lineRule="auto"/>
              <w:jc w:val="center"/>
              <w:rPr>
                <w:noProof/>
                <w:sz w:val="18"/>
              </w:rPr>
            </w:pPr>
            <w:r w:rsidRPr="008C52C9">
              <w:rPr>
                <w:noProof/>
                <w:sz w:val="18"/>
              </w:rPr>
              <w:t>Anno</w:t>
            </w:r>
            <w:r w:rsidRPr="008C52C9">
              <w:rPr>
                <w:noProof/>
              </w:rPr>
              <w:t xml:space="preserve"> </w:t>
            </w:r>
            <w:r w:rsidRPr="008C52C9">
              <w:rPr>
                <w:noProof/>
              </w:rPr>
              <w:br/>
            </w:r>
            <w:r w:rsidRPr="008C52C9">
              <w:rPr>
                <w:b/>
                <w:noProof/>
                <w:sz w:val="18"/>
              </w:rPr>
              <w:t>N+3</w:t>
            </w:r>
          </w:p>
        </w:tc>
        <w:tc>
          <w:tcPr>
            <w:tcW w:w="3240" w:type="dxa"/>
            <w:gridSpan w:val="3"/>
            <w:tcBorders>
              <w:top w:val="single" w:sz="4" w:space="0" w:color="auto"/>
              <w:left w:val="single" w:sz="4" w:space="0" w:color="auto"/>
              <w:bottom w:val="single" w:sz="4" w:space="0" w:color="auto"/>
              <w:right w:val="single" w:sz="4" w:space="0" w:color="auto"/>
            </w:tcBorders>
            <w:vAlign w:val="center"/>
            <w:hideMark/>
          </w:tcPr>
          <w:p w14:paraId="729E3C94" w14:textId="77777777" w:rsidR="005F20F6" w:rsidRPr="008C52C9" w:rsidRDefault="005F20F6">
            <w:pPr>
              <w:spacing w:line="276" w:lineRule="auto"/>
              <w:jc w:val="center"/>
              <w:rPr>
                <w:b/>
                <w:noProof/>
                <w:sz w:val="18"/>
              </w:rPr>
            </w:pPr>
            <w:r w:rsidRPr="008C52C9">
              <w:rPr>
                <w:noProof/>
                <w:sz w:val="18"/>
              </w:rPr>
              <w:t>Inserire gli anni necessari per evidenziare la durata dell'incidenza (cfr. punto 1.6)</w:t>
            </w:r>
          </w:p>
        </w:tc>
      </w:tr>
      <w:tr w:rsidR="005F20F6" w:rsidRPr="008C52C9" w14:paraId="752E8B1C" w14:textId="77777777" w:rsidTr="005F20F6">
        <w:trPr>
          <w:trHeight w:val="388"/>
        </w:trPr>
        <w:tc>
          <w:tcPr>
            <w:tcW w:w="2144" w:type="dxa"/>
            <w:tcBorders>
              <w:top w:val="single" w:sz="4" w:space="0" w:color="auto"/>
              <w:left w:val="single" w:sz="4" w:space="0" w:color="auto"/>
              <w:bottom w:val="single" w:sz="4" w:space="0" w:color="auto"/>
              <w:right w:val="single" w:sz="4" w:space="0" w:color="auto"/>
            </w:tcBorders>
            <w:vAlign w:val="center"/>
            <w:hideMark/>
          </w:tcPr>
          <w:p w14:paraId="42B501E9" w14:textId="77777777" w:rsidR="005F20F6" w:rsidRPr="008C52C9" w:rsidRDefault="005F20F6">
            <w:pPr>
              <w:spacing w:before="40" w:after="40" w:line="276" w:lineRule="auto"/>
              <w:rPr>
                <w:noProof/>
                <w:sz w:val="18"/>
              </w:rPr>
            </w:pPr>
            <w:r w:rsidRPr="008C52C9">
              <w:rPr>
                <w:noProof/>
                <w:sz w:val="18"/>
              </w:rPr>
              <w:t>Articolo ………….</w:t>
            </w:r>
          </w:p>
        </w:tc>
        <w:tc>
          <w:tcPr>
            <w:tcW w:w="1276" w:type="dxa"/>
            <w:tcBorders>
              <w:top w:val="single" w:sz="4" w:space="0" w:color="auto"/>
              <w:left w:val="single" w:sz="4" w:space="0" w:color="auto"/>
              <w:bottom w:val="single" w:sz="4" w:space="0" w:color="auto"/>
              <w:right w:val="single" w:sz="4" w:space="0" w:color="auto"/>
            </w:tcBorders>
          </w:tcPr>
          <w:p w14:paraId="35172EE6" w14:textId="77777777" w:rsidR="005F20F6" w:rsidRPr="008C52C9" w:rsidRDefault="005F20F6">
            <w:pPr>
              <w:spacing w:beforeLines="40" w:before="96" w:afterLines="40" w:after="96" w:line="276" w:lineRule="auto"/>
              <w:jc w:val="center"/>
              <w:rPr>
                <w:i/>
                <w:noProof/>
                <w:sz w:val="18"/>
              </w:rPr>
            </w:pPr>
          </w:p>
        </w:tc>
        <w:tc>
          <w:tcPr>
            <w:tcW w:w="1080" w:type="dxa"/>
            <w:tcBorders>
              <w:top w:val="single" w:sz="4" w:space="0" w:color="auto"/>
              <w:left w:val="single" w:sz="4" w:space="0" w:color="auto"/>
              <w:bottom w:val="single" w:sz="4" w:space="0" w:color="auto"/>
              <w:right w:val="single" w:sz="4" w:space="0" w:color="auto"/>
            </w:tcBorders>
          </w:tcPr>
          <w:p w14:paraId="556EEC92" w14:textId="77777777" w:rsidR="005F20F6" w:rsidRPr="008C52C9" w:rsidRDefault="005F20F6">
            <w:pPr>
              <w:spacing w:beforeLines="40" w:before="96" w:afterLines="40" w:after="96" w:line="276" w:lineRule="auto"/>
              <w:jc w:val="center"/>
              <w:rPr>
                <w:noProof/>
                <w:sz w:val="18"/>
              </w:rPr>
            </w:pPr>
          </w:p>
        </w:tc>
        <w:tc>
          <w:tcPr>
            <w:tcW w:w="900" w:type="dxa"/>
            <w:tcBorders>
              <w:top w:val="single" w:sz="4" w:space="0" w:color="auto"/>
              <w:left w:val="single" w:sz="4" w:space="0" w:color="auto"/>
              <w:bottom w:val="single" w:sz="4" w:space="0" w:color="auto"/>
              <w:right w:val="single" w:sz="4" w:space="0" w:color="auto"/>
            </w:tcBorders>
          </w:tcPr>
          <w:p w14:paraId="1B766DAA" w14:textId="77777777" w:rsidR="005F20F6" w:rsidRPr="008C52C9" w:rsidRDefault="005F20F6">
            <w:pPr>
              <w:spacing w:beforeLines="40" w:before="96" w:afterLines="40" w:after="96" w:line="276" w:lineRule="auto"/>
              <w:jc w:val="center"/>
              <w:rPr>
                <w:noProof/>
                <w:sz w:val="18"/>
              </w:rPr>
            </w:pPr>
          </w:p>
        </w:tc>
        <w:tc>
          <w:tcPr>
            <w:tcW w:w="900" w:type="dxa"/>
            <w:tcBorders>
              <w:top w:val="single" w:sz="4" w:space="0" w:color="auto"/>
              <w:left w:val="single" w:sz="4" w:space="0" w:color="auto"/>
              <w:bottom w:val="single" w:sz="4" w:space="0" w:color="auto"/>
              <w:right w:val="single" w:sz="4" w:space="0" w:color="auto"/>
            </w:tcBorders>
          </w:tcPr>
          <w:p w14:paraId="2959D752" w14:textId="77777777" w:rsidR="005F20F6" w:rsidRPr="008C52C9" w:rsidRDefault="005F20F6">
            <w:pPr>
              <w:spacing w:beforeLines="40" w:before="96" w:afterLines="40" w:after="96" w:line="276" w:lineRule="auto"/>
              <w:jc w:val="center"/>
              <w:rPr>
                <w:noProof/>
                <w:sz w:val="18"/>
              </w:rPr>
            </w:pPr>
          </w:p>
        </w:tc>
        <w:tc>
          <w:tcPr>
            <w:tcW w:w="1080" w:type="dxa"/>
            <w:tcBorders>
              <w:top w:val="single" w:sz="4" w:space="0" w:color="auto"/>
              <w:left w:val="single" w:sz="4" w:space="0" w:color="auto"/>
              <w:bottom w:val="single" w:sz="4" w:space="0" w:color="auto"/>
              <w:right w:val="single" w:sz="4" w:space="0" w:color="auto"/>
            </w:tcBorders>
          </w:tcPr>
          <w:p w14:paraId="76A61FFB" w14:textId="77777777" w:rsidR="005F20F6" w:rsidRPr="008C52C9" w:rsidRDefault="005F20F6">
            <w:pPr>
              <w:spacing w:beforeLines="40" w:before="96" w:afterLines="40" w:after="96" w:line="276" w:lineRule="auto"/>
              <w:jc w:val="center"/>
              <w:rPr>
                <w:noProof/>
                <w:sz w:val="18"/>
              </w:rPr>
            </w:pPr>
          </w:p>
        </w:tc>
        <w:tc>
          <w:tcPr>
            <w:tcW w:w="1080" w:type="dxa"/>
            <w:tcBorders>
              <w:top w:val="single" w:sz="4" w:space="0" w:color="auto"/>
              <w:left w:val="single" w:sz="4" w:space="0" w:color="auto"/>
              <w:bottom w:val="single" w:sz="4" w:space="0" w:color="auto"/>
              <w:right w:val="single" w:sz="4" w:space="0" w:color="auto"/>
            </w:tcBorders>
          </w:tcPr>
          <w:p w14:paraId="5E25CD0E" w14:textId="77777777" w:rsidR="005F20F6" w:rsidRPr="008C52C9" w:rsidRDefault="005F20F6">
            <w:pPr>
              <w:spacing w:beforeLines="40" w:before="96" w:afterLines="40" w:after="96" w:line="276" w:lineRule="auto"/>
              <w:jc w:val="center"/>
              <w:rPr>
                <w:noProof/>
                <w:sz w:val="18"/>
              </w:rPr>
            </w:pPr>
          </w:p>
        </w:tc>
        <w:tc>
          <w:tcPr>
            <w:tcW w:w="1080" w:type="dxa"/>
            <w:tcBorders>
              <w:top w:val="single" w:sz="4" w:space="0" w:color="auto"/>
              <w:left w:val="single" w:sz="4" w:space="0" w:color="auto"/>
              <w:bottom w:val="single" w:sz="4" w:space="0" w:color="auto"/>
              <w:right w:val="single" w:sz="4" w:space="0" w:color="auto"/>
            </w:tcBorders>
          </w:tcPr>
          <w:p w14:paraId="6B386913" w14:textId="77777777" w:rsidR="005F20F6" w:rsidRPr="008C52C9" w:rsidRDefault="005F20F6">
            <w:pPr>
              <w:spacing w:beforeLines="40" w:before="96" w:afterLines="40" w:after="96" w:line="276" w:lineRule="auto"/>
              <w:jc w:val="center"/>
              <w:rPr>
                <w:noProof/>
                <w:sz w:val="18"/>
              </w:rPr>
            </w:pPr>
          </w:p>
        </w:tc>
        <w:tc>
          <w:tcPr>
            <w:tcW w:w="1080" w:type="dxa"/>
            <w:tcBorders>
              <w:top w:val="single" w:sz="4" w:space="0" w:color="auto"/>
              <w:left w:val="single" w:sz="4" w:space="0" w:color="auto"/>
              <w:bottom w:val="single" w:sz="4" w:space="0" w:color="auto"/>
              <w:right w:val="single" w:sz="4" w:space="0" w:color="auto"/>
            </w:tcBorders>
          </w:tcPr>
          <w:p w14:paraId="6E23F9AE" w14:textId="77777777" w:rsidR="005F20F6" w:rsidRPr="008C52C9" w:rsidRDefault="005F20F6">
            <w:pPr>
              <w:spacing w:beforeLines="40" w:before="96" w:afterLines="40" w:after="96" w:line="276" w:lineRule="auto"/>
              <w:jc w:val="center"/>
              <w:rPr>
                <w:noProof/>
                <w:sz w:val="18"/>
              </w:rPr>
            </w:pPr>
          </w:p>
        </w:tc>
      </w:tr>
    </w:tbl>
    <w:p w14:paraId="159B979A" w14:textId="77777777" w:rsidR="005F20F6" w:rsidRPr="008C52C9" w:rsidRDefault="005F20F6" w:rsidP="005F20F6">
      <w:pPr>
        <w:pStyle w:val="Text1"/>
        <w:rPr>
          <w:noProof/>
          <w:sz w:val="20"/>
        </w:rPr>
      </w:pPr>
      <w:r w:rsidRPr="008C52C9">
        <w:rPr>
          <w:noProof/>
          <w:sz w:val="20"/>
        </w:rPr>
        <w:t>Per quanto riguarda le entrate varie con destinazione specifica, precisare la o le linee di spesa interessate.</w:t>
      </w:r>
    </w:p>
    <w:p w14:paraId="0D13AE1D" w14:textId="77777777" w:rsidR="005F20F6" w:rsidRPr="008C52C9" w:rsidRDefault="005F20F6" w:rsidP="005F20F6">
      <w:pPr>
        <w:pStyle w:val="Text1"/>
        <w:pBdr>
          <w:top w:val="single" w:sz="4" w:space="1" w:color="auto"/>
          <w:left w:val="single" w:sz="4" w:space="4" w:color="auto"/>
          <w:bottom w:val="single" w:sz="4" w:space="1" w:color="auto"/>
          <w:right w:val="single" w:sz="4" w:space="4" w:color="auto"/>
        </w:pBdr>
        <w:rPr>
          <w:noProof/>
        </w:rPr>
      </w:pPr>
    </w:p>
    <w:p w14:paraId="470B46BB" w14:textId="77777777" w:rsidR="005F20F6" w:rsidRPr="008C52C9" w:rsidRDefault="005F20F6" w:rsidP="005F20F6">
      <w:pPr>
        <w:pStyle w:val="Text1"/>
        <w:rPr>
          <w:noProof/>
          <w:sz w:val="20"/>
        </w:rPr>
      </w:pPr>
      <w:r w:rsidRPr="008C52C9">
        <w:rPr>
          <w:noProof/>
          <w:sz w:val="20"/>
        </w:rPr>
        <w:t>Precisare il metodo di calcolo dell'incidenza sulle entrate.</w:t>
      </w:r>
    </w:p>
    <w:p w14:paraId="16A5569E" w14:textId="77777777" w:rsidR="005F20F6" w:rsidRPr="008C52C9" w:rsidRDefault="005F20F6" w:rsidP="005F20F6">
      <w:pPr>
        <w:rPr>
          <w:noProof/>
        </w:rPr>
      </w:pPr>
    </w:p>
    <w:sectPr w:rsidR="005F20F6" w:rsidRPr="008C52C9" w:rsidSect="001A4546">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467F1" w14:textId="77777777" w:rsidR="003A6DE2" w:rsidRDefault="003A6DE2" w:rsidP="00EC7095">
      <w:pPr>
        <w:spacing w:before="0" w:after="0"/>
      </w:pPr>
      <w:r>
        <w:separator/>
      </w:r>
    </w:p>
  </w:endnote>
  <w:endnote w:type="continuationSeparator" w:id="0">
    <w:p w14:paraId="692813E9" w14:textId="77777777" w:rsidR="003A6DE2" w:rsidRDefault="003A6DE2" w:rsidP="00EC709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43744" w14:textId="1D16F0DF" w:rsidR="005B2534" w:rsidRPr="001A4546" w:rsidRDefault="001A4546" w:rsidP="001A4546">
    <w:pPr>
      <w:pStyle w:val="Footer"/>
      <w:rPr>
        <w:rFonts w:ascii="Arial" w:hAnsi="Arial" w:cs="Arial"/>
        <w:b/>
        <w:sz w:val="48"/>
      </w:rPr>
    </w:pPr>
    <w:r w:rsidRPr="001A4546">
      <w:rPr>
        <w:rFonts w:ascii="Arial" w:hAnsi="Arial" w:cs="Arial"/>
        <w:b/>
        <w:sz w:val="48"/>
      </w:rPr>
      <w:t>IT</w:t>
    </w:r>
    <w:r w:rsidRPr="001A4546">
      <w:rPr>
        <w:rFonts w:ascii="Arial" w:hAnsi="Arial" w:cs="Arial"/>
        <w:b/>
        <w:sz w:val="48"/>
      </w:rPr>
      <w:tab/>
    </w:r>
    <w:r w:rsidRPr="001A4546">
      <w:rPr>
        <w:rFonts w:ascii="Arial" w:hAnsi="Arial" w:cs="Arial"/>
        <w:b/>
        <w:sz w:val="48"/>
      </w:rPr>
      <w:tab/>
    </w:r>
    <w:r w:rsidRPr="001A4546">
      <w:tab/>
    </w:r>
    <w:r w:rsidRPr="001A4546">
      <w:rPr>
        <w:rFonts w:ascii="Arial" w:hAnsi="Arial" w:cs="Arial"/>
        <w:b/>
        <w:sz w:val="48"/>
      </w:rPr>
      <w:t>IT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541FE" w14:textId="0C457BCB" w:rsidR="008C52C9" w:rsidRPr="001A4546" w:rsidRDefault="001A4546" w:rsidP="001A4546">
    <w:pPr>
      <w:pStyle w:val="Footer"/>
      <w:rPr>
        <w:rFonts w:ascii="Arial" w:hAnsi="Arial" w:cs="Arial"/>
        <w:b/>
        <w:sz w:val="48"/>
      </w:rPr>
    </w:pPr>
    <w:r w:rsidRPr="001A4546">
      <w:rPr>
        <w:rFonts w:ascii="Arial" w:hAnsi="Arial" w:cs="Arial"/>
        <w:b/>
        <w:sz w:val="48"/>
      </w:rPr>
      <w:t>IT</w:t>
    </w:r>
    <w:r w:rsidRPr="001A4546">
      <w:rPr>
        <w:rFonts w:ascii="Arial" w:hAnsi="Arial" w:cs="Arial"/>
        <w:b/>
        <w:sz w:val="48"/>
      </w:rPr>
      <w:tab/>
    </w:r>
    <w:r w:rsidRPr="001A4546">
      <w:rPr>
        <w:rFonts w:ascii="Arial" w:hAnsi="Arial" w:cs="Arial"/>
        <w:b/>
        <w:sz w:val="48"/>
      </w:rPr>
      <w:tab/>
    </w:r>
    <w:r w:rsidRPr="001A4546">
      <w:tab/>
    </w:r>
    <w:r w:rsidRPr="001A4546">
      <w:rPr>
        <w:rFonts w:ascii="Arial" w:hAnsi="Arial" w:cs="Arial"/>
        <w:b/>
        <w:sz w:val="48"/>
      </w:rPr>
      <w:t>IT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75F51" w14:textId="77777777" w:rsidR="001A4546" w:rsidRPr="001A4546" w:rsidRDefault="001A4546" w:rsidP="001A45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E853" w14:textId="412BEDA6" w:rsidR="006F1C9D" w:rsidRPr="001A4546" w:rsidRDefault="001A4546" w:rsidP="001A4546">
    <w:pPr>
      <w:pStyle w:val="Footer"/>
      <w:rPr>
        <w:rFonts w:ascii="Arial" w:hAnsi="Arial" w:cs="Arial"/>
        <w:b/>
        <w:sz w:val="48"/>
      </w:rPr>
    </w:pPr>
    <w:r w:rsidRPr="001A4546">
      <w:rPr>
        <w:rFonts w:ascii="Arial" w:hAnsi="Arial" w:cs="Arial"/>
        <w:b/>
        <w:sz w:val="48"/>
      </w:rPr>
      <w:t>IT</w:t>
    </w:r>
    <w:r w:rsidRPr="001A4546">
      <w:rPr>
        <w:rFonts w:ascii="Arial" w:hAnsi="Arial" w:cs="Arial"/>
        <w:b/>
        <w:sz w:val="48"/>
      </w:rPr>
      <w:tab/>
    </w:r>
    <w:r>
      <w:fldChar w:fldCharType="begin"/>
    </w:r>
    <w:r>
      <w:instrText xml:space="preserve"> PAGE  \* MERGEFORMAT </w:instrText>
    </w:r>
    <w:r>
      <w:fldChar w:fldCharType="separate"/>
    </w:r>
    <w:r>
      <w:rPr>
        <w:noProof/>
      </w:rPr>
      <w:t>39</w:t>
    </w:r>
    <w:r>
      <w:fldChar w:fldCharType="end"/>
    </w:r>
    <w:r>
      <w:tab/>
    </w:r>
    <w:r w:rsidRPr="001A4546">
      <w:tab/>
    </w:r>
    <w:r w:rsidRPr="001A4546">
      <w:rPr>
        <w:rFonts w:ascii="Arial" w:hAnsi="Arial" w:cs="Arial"/>
        <w:b/>
        <w:sz w:val="48"/>
      </w:rPr>
      <w:t>IT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FE6E0" w14:textId="77777777" w:rsidR="001A4546" w:rsidRPr="001A4546" w:rsidRDefault="001A4546" w:rsidP="001A454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A2B11" w14:textId="3BB828BA" w:rsidR="007455AE" w:rsidRPr="001A4546" w:rsidRDefault="001A4546" w:rsidP="001A4546">
    <w:pPr>
      <w:pStyle w:val="FooterLandscape"/>
      <w:rPr>
        <w:rFonts w:ascii="Arial" w:hAnsi="Arial" w:cs="Arial"/>
        <w:b/>
        <w:sz w:val="48"/>
      </w:rPr>
    </w:pPr>
    <w:r w:rsidRPr="001A4546">
      <w:rPr>
        <w:rFonts w:ascii="Arial" w:hAnsi="Arial" w:cs="Arial"/>
        <w:b/>
        <w:sz w:val="48"/>
      </w:rPr>
      <w:t>IT</w:t>
    </w:r>
    <w:r w:rsidRPr="001A4546">
      <w:rPr>
        <w:rFonts w:ascii="Arial" w:hAnsi="Arial" w:cs="Arial"/>
        <w:b/>
        <w:sz w:val="48"/>
      </w:rPr>
      <w:tab/>
    </w:r>
    <w:r>
      <w:fldChar w:fldCharType="begin"/>
    </w:r>
    <w:r>
      <w:instrText xml:space="preserve"> PAGE  \* MERGEFORMAT </w:instrText>
    </w:r>
    <w:r>
      <w:fldChar w:fldCharType="separate"/>
    </w:r>
    <w:r>
      <w:rPr>
        <w:noProof/>
      </w:rPr>
      <w:t>43</w:t>
    </w:r>
    <w:r>
      <w:fldChar w:fldCharType="end"/>
    </w:r>
    <w:r>
      <w:tab/>
    </w:r>
    <w:r w:rsidRPr="001A4546">
      <w:tab/>
    </w:r>
    <w:r w:rsidRPr="001A4546">
      <w:rPr>
        <w:rFonts w:ascii="Arial" w:hAnsi="Arial" w:cs="Arial"/>
        <w:b/>
        <w:sz w:val="48"/>
      </w:rPr>
      <w:t>IT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220C0" w14:textId="77777777" w:rsidR="001A4546" w:rsidRPr="001A4546" w:rsidRDefault="001A4546" w:rsidP="001A4546">
    <w:pPr>
      <w:pStyle w:val="FooterLandscap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45ED6" w14:textId="1CB09882" w:rsidR="003053FE" w:rsidRPr="001A4546" w:rsidRDefault="001A4546" w:rsidP="001A4546">
    <w:pPr>
      <w:pStyle w:val="Footer"/>
      <w:rPr>
        <w:rFonts w:ascii="Arial" w:hAnsi="Arial" w:cs="Arial"/>
        <w:b/>
        <w:sz w:val="48"/>
      </w:rPr>
    </w:pPr>
    <w:r w:rsidRPr="001A4546">
      <w:rPr>
        <w:rFonts w:ascii="Arial" w:hAnsi="Arial" w:cs="Arial"/>
        <w:b/>
        <w:sz w:val="48"/>
      </w:rPr>
      <w:t>IT</w:t>
    </w:r>
    <w:r w:rsidRPr="001A4546">
      <w:rPr>
        <w:rFonts w:ascii="Arial" w:hAnsi="Arial" w:cs="Arial"/>
        <w:b/>
        <w:sz w:val="48"/>
      </w:rPr>
      <w:tab/>
    </w:r>
    <w:r>
      <w:fldChar w:fldCharType="begin"/>
    </w:r>
    <w:r>
      <w:instrText xml:space="preserve"> PAGE  \* MERGEFORMAT </w:instrText>
    </w:r>
    <w:r>
      <w:fldChar w:fldCharType="separate"/>
    </w:r>
    <w:r>
      <w:rPr>
        <w:noProof/>
      </w:rPr>
      <w:t>49</w:t>
    </w:r>
    <w:r>
      <w:fldChar w:fldCharType="end"/>
    </w:r>
    <w:r>
      <w:tab/>
    </w:r>
    <w:r w:rsidRPr="001A4546">
      <w:tab/>
    </w:r>
    <w:r w:rsidRPr="001A4546">
      <w:rPr>
        <w:rFonts w:ascii="Arial" w:hAnsi="Arial" w:cs="Arial"/>
        <w:b/>
        <w:sz w:val="48"/>
      </w:rPr>
      <w:t>IT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B0858" w14:textId="77777777" w:rsidR="001A4546" w:rsidRPr="001A4546" w:rsidRDefault="001A4546" w:rsidP="001A45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E29C5" w14:textId="77777777" w:rsidR="003A6DE2" w:rsidRDefault="003A6DE2" w:rsidP="00EC7095">
      <w:pPr>
        <w:spacing w:before="0" w:after="0"/>
      </w:pPr>
      <w:r>
        <w:separator/>
      </w:r>
    </w:p>
  </w:footnote>
  <w:footnote w:type="continuationSeparator" w:id="0">
    <w:p w14:paraId="7DD38E93" w14:textId="77777777" w:rsidR="003A6DE2" w:rsidRDefault="003A6DE2" w:rsidP="00EC7095">
      <w:pPr>
        <w:spacing w:before="0" w:after="0"/>
      </w:pPr>
      <w:r>
        <w:continuationSeparator/>
      </w:r>
    </w:p>
  </w:footnote>
  <w:footnote w:id="1">
    <w:p w14:paraId="166CF60B" w14:textId="77777777" w:rsidR="003A6DE2" w:rsidRPr="000D256C" w:rsidRDefault="003A6DE2" w:rsidP="00B61E59">
      <w:pPr>
        <w:pStyle w:val="FootnoteText"/>
        <w:ind w:left="240" w:hanging="240"/>
      </w:pPr>
      <w:r>
        <w:rPr>
          <w:rStyle w:val="FootnoteReference"/>
        </w:rPr>
        <w:footnoteRef/>
      </w:r>
      <w:r>
        <w:tab/>
        <w:t xml:space="preserve">GU L 255 del 30.9.2005, pag. 11. </w:t>
      </w:r>
    </w:p>
  </w:footnote>
  <w:footnote w:id="2">
    <w:p w14:paraId="6D27C16F" w14:textId="77777777" w:rsidR="003A6DE2" w:rsidRPr="000D256C" w:rsidRDefault="003A6DE2" w:rsidP="00B61E59">
      <w:pPr>
        <w:pStyle w:val="FootnoteText"/>
        <w:ind w:left="240" w:hanging="240"/>
      </w:pPr>
      <w:r>
        <w:rPr>
          <w:rStyle w:val="FootnoteReference"/>
        </w:rPr>
        <w:footnoteRef/>
      </w:r>
      <w:r>
        <w:tab/>
        <w:t>GU L 280 del 27.10.2009, pag. 52.</w:t>
      </w:r>
    </w:p>
  </w:footnote>
  <w:footnote w:id="3">
    <w:p w14:paraId="2934BD6E" w14:textId="77777777" w:rsidR="003A6DE2" w:rsidRPr="00DA5DF3" w:rsidRDefault="003A6DE2" w:rsidP="00B61E59">
      <w:pPr>
        <w:pStyle w:val="FootnoteText"/>
        <w:tabs>
          <w:tab w:val="left" w:pos="284"/>
        </w:tabs>
        <w:ind w:left="240" w:hanging="240"/>
      </w:pPr>
      <w:r>
        <w:rPr>
          <w:rStyle w:val="FootnoteReference"/>
        </w:rPr>
        <w:footnoteRef/>
      </w:r>
      <w:r>
        <w:tab/>
        <w:t>Incidente della MV Erika nel 1999, Francia (20 000 tonnellate di petrolio), incidente della MV Prestige nel 2002, Spagna (63 000 tonnellate di petrolio).</w:t>
      </w:r>
    </w:p>
  </w:footnote>
  <w:footnote w:id="4">
    <w:p w14:paraId="6753F369" w14:textId="77777777" w:rsidR="003A6DE2" w:rsidRPr="005B2534" w:rsidRDefault="003A6DE2" w:rsidP="00415532">
      <w:pPr>
        <w:pStyle w:val="FootnoteText"/>
      </w:pPr>
      <w:r>
        <w:rPr>
          <w:rStyle w:val="FootnoteReference"/>
        </w:rPr>
        <w:footnoteRef/>
      </w:r>
      <w:r w:rsidRPr="005B2534">
        <w:tab/>
        <w:t>COM(2020) 789 final.</w:t>
      </w:r>
    </w:p>
  </w:footnote>
  <w:footnote w:id="5">
    <w:p w14:paraId="1AADE3CE" w14:textId="77777777" w:rsidR="003A6DE2" w:rsidRPr="00D5792F" w:rsidRDefault="003A6DE2" w:rsidP="00415532">
      <w:pPr>
        <w:pStyle w:val="FootnoteText"/>
        <w:rPr>
          <w:lang w:val="en-IE"/>
        </w:rPr>
      </w:pPr>
      <w:r>
        <w:rPr>
          <w:rStyle w:val="FootnoteReference"/>
        </w:rPr>
        <w:footnoteRef/>
      </w:r>
      <w:r w:rsidRPr="00D5792F">
        <w:rPr>
          <w:lang w:val="en-IE"/>
        </w:rPr>
        <w:tab/>
      </w:r>
      <w:r w:rsidRPr="00D5792F">
        <w:rPr>
          <w:lang w:val="en-IE"/>
        </w:rPr>
        <w:t>COM(2021) 400 final.</w:t>
      </w:r>
    </w:p>
  </w:footnote>
  <w:footnote w:id="6">
    <w:p w14:paraId="1C091574" w14:textId="56519FC9" w:rsidR="003A6DE2" w:rsidRPr="00D5792F" w:rsidRDefault="003A6DE2" w:rsidP="00415532">
      <w:pPr>
        <w:pStyle w:val="FootnoteText"/>
        <w:rPr>
          <w:lang w:val="en-IE"/>
        </w:rPr>
      </w:pPr>
      <w:r>
        <w:rPr>
          <w:rStyle w:val="FootnoteReference"/>
        </w:rPr>
        <w:footnoteRef/>
      </w:r>
      <w:r w:rsidRPr="00D5792F">
        <w:rPr>
          <w:lang w:val="en-IE"/>
        </w:rPr>
        <w:tab/>
        <w:t xml:space="preserve">GU L </w:t>
      </w:r>
      <w:r w:rsidRPr="00D5792F">
        <w:rPr>
          <w:lang w:val="en-IE"/>
        </w:rPr>
        <w:t>xxxx.</w:t>
      </w:r>
    </w:p>
  </w:footnote>
  <w:footnote w:id="7">
    <w:p w14:paraId="2388BEC9" w14:textId="7B740EDA" w:rsidR="003A6DE2" w:rsidRPr="00AE374C" w:rsidRDefault="003A6DE2" w:rsidP="003B6952">
      <w:pPr>
        <w:pStyle w:val="FootnoteText"/>
      </w:pPr>
      <w:r>
        <w:rPr>
          <w:rStyle w:val="FootnoteReference"/>
        </w:rPr>
        <w:footnoteRef/>
      </w:r>
      <w:r>
        <w:tab/>
        <w:t xml:space="preserve">L'allegato III non è contemplato dalla direttiva (UE) 2019/883 in quanto le merci imballate non sono rifiuti. </w:t>
      </w:r>
      <w:r>
        <w:t>Tuttavia si propone di estendere l'ambito di applicazione della direttiva 2005/35/CE a tale allegato, poiché non è possibile escludere che le merci imballate possano essere gettate in mare illegalmente, e in tal caso si dovr</w:t>
      </w:r>
      <w:r w:rsidR="00DD6749">
        <w:t>ebbe applicare detta direttiva.</w:t>
      </w:r>
    </w:p>
  </w:footnote>
  <w:footnote w:id="8">
    <w:p w14:paraId="500BEEF9" w14:textId="4B0197C7" w:rsidR="003A6DE2" w:rsidRDefault="003A6DE2" w:rsidP="003B6952">
      <w:pPr>
        <w:pStyle w:val="FootnoteText"/>
        <w:tabs>
          <w:tab w:val="left" w:pos="142"/>
        </w:tabs>
      </w:pPr>
      <w:r>
        <w:rPr>
          <w:rStyle w:val="FootnoteReference"/>
        </w:rPr>
        <w:footnoteRef/>
      </w:r>
      <w:r>
        <w:tab/>
      </w:r>
      <w:r w:rsidR="003B6952">
        <w:tab/>
      </w:r>
      <w:r>
        <w:t>GU L 131 del 28.5.2009, pag. 57.</w:t>
      </w:r>
    </w:p>
  </w:footnote>
  <w:footnote w:id="9">
    <w:p w14:paraId="74DBAB02" w14:textId="77777777" w:rsidR="003A6DE2" w:rsidRPr="00C8711F" w:rsidRDefault="003A6DE2" w:rsidP="003B6952">
      <w:pPr>
        <w:pStyle w:val="FootnoteText"/>
      </w:pPr>
      <w:r>
        <w:rPr>
          <w:rStyle w:val="FootnoteReference"/>
        </w:rPr>
        <w:footnoteRef/>
      </w:r>
      <w:r>
        <w:tab/>
        <w:t>GU L 131 del 28.5.2009, pag. 114.</w:t>
      </w:r>
    </w:p>
  </w:footnote>
  <w:footnote w:id="10">
    <w:p w14:paraId="2A3C62CA" w14:textId="77777777" w:rsidR="003A6DE2" w:rsidRPr="008F410E" w:rsidRDefault="003A6DE2" w:rsidP="003B6952">
      <w:pPr>
        <w:pStyle w:val="FootnoteText"/>
      </w:pPr>
      <w:r>
        <w:rPr>
          <w:rStyle w:val="FootnoteReference"/>
        </w:rPr>
        <w:footnoteRef/>
      </w:r>
      <w:r>
        <w:tab/>
        <w:t>GU L 131 del 28.5.2009, pag. 132.</w:t>
      </w:r>
    </w:p>
  </w:footnote>
  <w:footnote w:id="11">
    <w:p w14:paraId="69A6AAFC" w14:textId="77777777" w:rsidR="003A6DE2" w:rsidRPr="00435996" w:rsidRDefault="003A6DE2" w:rsidP="003B6952">
      <w:pPr>
        <w:pStyle w:val="FootnoteText"/>
      </w:pPr>
      <w:r>
        <w:rPr>
          <w:rStyle w:val="FootnoteReference"/>
        </w:rPr>
        <w:footnoteRef/>
      </w:r>
      <w:r>
        <w:tab/>
        <w:t>GU L 328 del 6.12.2008, pag. 28.</w:t>
      </w:r>
    </w:p>
  </w:footnote>
  <w:footnote w:id="12">
    <w:p w14:paraId="39FA69F4" w14:textId="77777777" w:rsidR="003A6DE2" w:rsidRDefault="003A6DE2" w:rsidP="00415532">
      <w:pPr>
        <w:pStyle w:val="FootnoteText"/>
      </w:pPr>
      <w:r>
        <w:rPr>
          <w:rStyle w:val="FootnoteReference"/>
        </w:rPr>
        <w:footnoteRef/>
      </w:r>
      <w:r>
        <w:tab/>
        <w:t>GU L 164 del 25.6.2008, pag. 19.</w:t>
      </w:r>
    </w:p>
  </w:footnote>
  <w:footnote w:id="13">
    <w:p w14:paraId="56BF7867" w14:textId="77777777" w:rsidR="003A6DE2" w:rsidRPr="007E768A" w:rsidRDefault="003A6DE2" w:rsidP="00415532">
      <w:pPr>
        <w:pStyle w:val="FootnoteText"/>
      </w:pPr>
      <w:r>
        <w:rPr>
          <w:rStyle w:val="FootnoteReference"/>
        </w:rPr>
        <w:footnoteRef/>
      </w:r>
      <w:r>
        <w:tab/>
        <w:t xml:space="preserve">L'EMSA effettua tali visite, a norma dell'articolo 3 del regolamento (CE) n. 1406/2002 che istituisce un'Agenzia europea per la sicurezza marittima, nell'ambito dei suoi compiti principali; </w:t>
      </w:r>
      <w:r>
        <w:t>pertanto non si prevedono costi aggiuntivi.</w:t>
      </w:r>
    </w:p>
  </w:footnote>
  <w:footnote w:id="14">
    <w:p w14:paraId="0A7ADB31" w14:textId="77777777" w:rsidR="003A6DE2" w:rsidRPr="00F46D7A" w:rsidRDefault="003A6DE2">
      <w:pPr>
        <w:pStyle w:val="FootnoteText"/>
      </w:pPr>
      <w:r>
        <w:rPr>
          <w:rStyle w:val="FootnoteReference"/>
        </w:rPr>
        <w:footnoteRef/>
      </w:r>
      <w:r>
        <w:tab/>
        <w:t>Codice internazionale di gestione della sicurezza delle navi e della prevenzione dell'inquinamento adottato dall'Organizzazione marittima internazionale (IMO) con risoluzione dell'Assemblea A.741 (18) del 4 novembre 1993 e successive modifiche.</w:t>
      </w:r>
    </w:p>
  </w:footnote>
  <w:footnote w:id="15">
    <w:p w14:paraId="26379D20" w14:textId="77777777" w:rsidR="003A6DE2" w:rsidRPr="00F46D7A" w:rsidRDefault="003A6DE2">
      <w:pPr>
        <w:pStyle w:val="FootnoteText"/>
      </w:pPr>
      <w:r>
        <w:rPr>
          <w:rStyle w:val="FootnoteReference"/>
        </w:rPr>
        <w:footnoteRef/>
      </w:r>
      <w:r>
        <w:tab/>
        <w:t>Regolamento (CE) n. 336/2006 del Parlamento europeo e del Consiglio, del 15 febbraio 2006, sull'attuazione nella Comunità del codice internazionale di gestione della sicurezza e che abroga il regolamento (CE) n. 3051/95 del Consiglio.</w:t>
      </w:r>
    </w:p>
  </w:footnote>
  <w:footnote w:id="16">
    <w:p w14:paraId="3E93A28D" w14:textId="43B78463" w:rsidR="003A6DE2" w:rsidRPr="00547CC9" w:rsidRDefault="003A6DE2">
      <w:pPr>
        <w:pStyle w:val="FootnoteText"/>
      </w:pPr>
      <w:r>
        <w:rPr>
          <w:rStyle w:val="FootnoteReference"/>
        </w:rPr>
        <w:footnoteRef/>
      </w:r>
      <w:r>
        <w:tab/>
        <w:t>Gli articoli 5 e 7 della direttiva (UE) 2023/</w:t>
      </w:r>
      <w:r>
        <w:t>xxxx trattano le sanzioni non penali e tali prescrizioni devono essere prese in considerazione nell'applicazio</w:t>
      </w:r>
      <w:r w:rsidR="00DD6749">
        <w:t>ne della direttiva 2005/35/CE.</w:t>
      </w:r>
    </w:p>
  </w:footnote>
  <w:footnote w:id="17">
    <w:p w14:paraId="40CFD177" w14:textId="77777777" w:rsidR="003A6DE2" w:rsidRPr="00CA5179" w:rsidRDefault="003A6DE2" w:rsidP="00A16A59">
      <w:pPr>
        <w:pStyle w:val="FootnoteText"/>
      </w:pPr>
      <w:r>
        <w:rPr>
          <w:rStyle w:val="FootnoteReference"/>
        </w:rPr>
        <w:footnoteRef/>
      </w:r>
      <w:r>
        <w:tab/>
        <w:t>GU C 77 del 31.3.2009, pag. 69.</w:t>
      </w:r>
    </w:p>
  </w:footnote>
  <w:footnote w:id="18">
    <w:p w14:paraId="7FA39EB0" w14:textId="77777777" w:rsidR="003A6DE2" w:rsidRPr="00CA5179" w:rsidRDefault="003A6DE2" w:rsidP="00A16A59">
      <w:pPr>
        <w:pStyle w:val="FootnoteText"/>
      </w:pPr>
      <w:r>
        <w:rPr>
          <w:rStyle w:val="FootnoteReference"/>
        </w:rPr>
        <w:footnoteRef/>
      </w:r>
      <w:r>
        <w:tab/>
        <w:t>GU C 202 del 7.6.2016, pag. 177.</w:t>
      </w:r>
    </w:p>
  </w:footnote>
  <w:footnote w:id="19">
    <w:p w14:paraId="430BCBAF" w14:textId="77777777" w:rsidR="003A6DE2" w:rsidRPr="00A81BAA" w:rsidRDefault="003A6DE2">
      <w:pPr>
        <w:pStyle w:val="FootnoteText"/>
      </w:pPr>
      <w:r>
        <w:rPr>
          <w:rStyle w:val="FootnoteReference"/>
        </w:rPr>
        <w:footnoteRef/>
      </w:r>
      <w:r>
        <w:tab/>
        <w:t>Direttiva 2005/35/CE del Parlamento europeo e del Consiglio, del 7 settembre 2005, relativa all'inquinamento provocato dalle navi e all'introduzione di sanzioni per violazioni (GU L 255 del 30.9.2005, pag. 11).</w:t>
      </w:r>
    </w:p>
  </w:footnote>
  <w:footnote w:id="20">
    <w:p w14:paraId="3691DB41" w14:textId="77777777" w:rsidR="003A6DE2" w:rsidRPr="000210B8" w:rsidRDefault="003A6DE2">
      <w:pPr>
        <w:pStyle w:val="FootnoteText"/>
      </w:pPr>
      <w:r>
        <w:rPr>
          <w:rStyle w:val="FootnoteReference"/>
        </w:rPr>
        <w:footnoteRef/>
      </w:r>
      <w:r>
        <w:tab/>
        <w:t>Direttiva (UE) 2019/883 del Parlamento europeo e del Consiglio, del 17 aprile 2019, relativa agli impianti portuali di raccolta per il conferimento dei rifiuti delle navi, che modifica la direttiva 2010/65/UE e abroga la direttiva 2000/59/CE (GU L 151 del 7.6.2019, pag. 116).</w:t>
      </w:r>
    </w:p>
  </w:footnote>
  <w:footnote w:id="21">
    <w:p w14:paraId="14952EEC" w14:textId="77777777" w:rsidR="003A6DE2" w:rsidRPr="000210B8" w:rsidRDefault="003A6DE2" w:rsidP="005A3B90">
      <w:pPr>
        <w:pStyle w:val="FootnoteText"/>
      </w:pPr>
      <w:r>
        <w:rPr>
          <w:rStyle w:val="FootnoteReference"/>
        </w:rPr>
        <w:footnoteRef/>
      </w:r>
      <w:r>
        <w:tab/>
        <w:t>Direttiva (UE) 2016/802 del Parlamento europeo e del Consiglio, dell'11 maggio 2016, relativa alla riduzione del tenore di zolfo di alcuni combustibili liquidi (codificazione) (GU L 132 del 21.5.2016, pag. 58).</w:t>
      </w:r>
    </w:p>
  </w:footnote>
  <w:footnote w:id="22">
    <w:p w14:paraId="3A35D333" w14:textId="77777777" w:rsidR="003A6DE2" w:rsidRPr="000210B8" w:rsidRDefault="003A6DE2" w:rsidP="00F71240">
      <w:pPr>
        <w:pStyle w:val="FootnoteText"/>
      </w:pPr>
      <w:r>
        <w:rPr>
          <w:rStyle w:val="FootnoteReference"/>
        </w:rPr>
        <w:footnoteRef/>
      </w:r>
      <w:r>
        <w:tab/>
        <w:t xml:space="preserve">GU L </w:t>
      </w:r>
      <w:r>
        <w:t>xxxx.</w:t>
      </w:r>
    </w:p>
  </w:footnote>
  <w:footnote w:id="23">
    <w:p w14:paraId="3DF41F99" w14:textId="77777777" w:rsidR="003A6DE2" w:rsidRPr="00F46D7A" w:rsidRDefault="003A6DE2" w:rsidP="00F71240">
      <w:pPr>
        <w:pStyle w:val="FootnoteText"/>
      </w:pPr>
      <w:r>
        <w:rPr>
          <w:rStyle w:val="FootnoteReference"/>
        </w:rPr>
        <w:footnoteRef/>
      </w:r>
      <w:r>
        <w:tab/>
        <w:t>Direttiva 2009/123/CE del Parlamento europeo e del Consiglio, del 21 ottobre 2009, che modifica la direttiva 2005/35/CE relativa all'inquinamento provocato dalle navi e all'introduzione di sanzioni per violazioni (GU L 280 del 27.10.2009, pag. 52).</w:t>
      </w:r>
    </w:p>
  </w:footnote>
  <w:footnote w:id="24">
    <w:p w14:paraId="596D02C7" w14:textId="77777777" w:rsidR="003A6DE2" w:rsidRPr="00403C4E" w:rsidRDefault="003A6DE2" w:rsidP="00EC3391">
      <w:pPr>
        <w:pStyle w:val="FootnoteText"/>
      </w:pPr>
      <w:r>
        <w:rPr>
          <w:rStyle w:val="FootnoteReference"/>
        </w:rPr>
        <w:footnoteRef/>
      </w:r>
      <w:r>
        <w:tab/>
        <w:t>Codice internazionale di gestione della sicurezza delle navi e della prevenzione dell'inquinamento adottato dall'Organizzazione marittima internazionale (IMO) con risoluzione dell'Assemblea A.741 (18) del 4 novembre 1993 e successive modifiche.</w:t>
      </w:r>
    </w:p>
  </w:footnote>
  <w:footnote w:id="25">
    <w:p w14:paraId="46107019" w14:textId="77777777" w:rsidR="003A6DE2" w:rsidRPr="00403C4E" w:rsidRDefault="003A6DE2" w:rsidP="00EC3391">
      <w:pPr>
        <w:pStyle w:val="FootnoteText"/>
      </w:pPr>
      <w:r>
        <w:rPr>
          <w:rStyle w:val="FootnoteReference"/>
        </w:rPr>
        <w:footnoteRef/>
      </w:r>
      <w:r>
        <w:tab/>
        <w:t>Regolamento (CE) n. 336/2006 del Parlamento europeo e del Consiglio, del 15 febbraio 2006, sull'attuazione nella Comunità del codice internazionale di gestione della sicurezza e che abroga il regolamento (CE) n. 3051/95 del Consiglio (GU L 64 del 4.3.2006, pag.1).</w:t>
      </w:r>
    </w:p>
  </w:footnote>
  <w:footnote w:id="26">
    <w:p w14:paraId="7FA946D2" w14:textId="77777777" w:rsidR="003A6DE2" w:rsidRDefault="003A6DE2">
      <w:pPr>
        <w:pStyle w:val="FootnoteText"/>
      </w:pPr>
      <w:r>
        <w:rPr>
          <w:rStyle w:val="FootnoteReference"/>
        </w:rPr>
        <w:footnoteRef/>
      </w:r>
      <w:r>
        <w:tab/>
        <w:t>Regolamento (UE) n. 182/2011 del Parlamento europeo e del Consiglio, del 16 febbraio 2011, che stabilisce le regole e i principi generali relativi alle modalità di controllo da parte degli Stati membri dell'esercizio delle competenze di esecuzione attribuite alla Commissione (GU L 55 del 28.2.2011, pag. 13).</w:t>
      </w:r>
    </w:p>
  </w:footnote>
  <w:footnote w:id="27">
    <w:p w14:paraId="1C0EDB08" w14:textId="77777777" w:rsidR="003A6DE2" w:rsidRDefault="003A6DE2" w:rsidP="00C832B6">
      <w:pPr>
        <w:pStyle w:val="FootnoteText"/>
      </w:pPr>
      <w:r>
        <w:rPr>
          <w:rStyle w:val="FootnoteReference"/>
        </w:rPr>
        <w:footnoteRef/>
      </w:r>
      <w:r>
        <w:tab/>
        <w:t>Direttiva 2002/59/CE del Parlamento europeo e del Consiglio, del 27 giugno 2002, relativa all'istituzione di un sistema comunitario di monitoraggio del traffico navale e d'informazione e che abroga la direttiva 93/75/CEE del Consiglio (GU L 208 del 5.8.2002, pag. 10).</w:t>
      </w:r>
    </w:p>
  </w:footnote>
  <w:footnote w:id="28">
    <w:p w14:paraId="00F57563" w14:textId="77777777" w:rsidR="003A6DE2" w:rsidRDefault="003A6DE2" w:rsidP="00C832B6">
      <w:pPr>
        <w:pStyle w:val="FootnoteText"/>
      </w:pPr>
      <w:r>
        <w:rPr>
          <w:rStyle w:val="FootnoteReference"/>
        </w:rPr>
        <w:footnoteRef/>
      </w:r>
      <w:r>
        <w:tab/>
        <w:t>Direttiva 2009/16/CE del Parlamento europeo e del Consiglio, del 23 aprile 2009, relativa al controllo da parte dello Stato di approdo (rifusione) (GU L 131 del 28.5.2009, pag. 57).</w:t>
      </w:r>
    </w:p>
  </w:footnote>
  <w:footnote w:id="29">
    <w:p w14:paraId="63A50246" w14:textId="77777777" w:rsidR="003A6DE2" w:rsidRDefault="003A6DE2">
      <w:pPr>
        <w:pStyle w:val="FootnoteText"/>
      </w:pPr>
      <w:r>
        <w:rPr>
          <w:rStyle w:val="FootnoteReference"/>
        </w:rPr>
        <w:footnoteRef/>
      </w:r>
      <w:r>
        <w:tab/>
        <w:t xml:space="preserve">GU L </w:t>
      </w:r>
      <w:r>
        <w:t>xxxx.</w:t>
      </w:r>
    </w:p>
  </w:footnote>
  <w:footnote w:id="30">
    <w:p w14:paraId="4C5510D2" w14:textId="77777777" w:rsidR="003A6DE2" w:rsidRPr="00977D41" w:rsidRDefault="003A6DE2">
      <w:pPr>
        <w:pStyle w:val="FootnoteText"/>
      </w:pPr>
      <w:r>
        <w:rPr>
          <w:rStyle w:val="FootnoteReference"/>
        </w:rPr>
        <w:footnoteRef/>
      </w:r>
      <w:r>
        <w:tab/>
        <w:t>Direttiva 2003/4/CE del Parlamento europeo e del Consiglio, del 28 gennaio 2003, sull'accesso del pubblico all'informazione ambientale e che abroga la direttiva 90/313/CEE del Consiglio (GU L 41 del 14.2.2003, pag. 26).</w:t>
      </w:r>
    </w:p>
  </w:footnote>
  <w:footnote w:id="31">
    <w:p w14:paraId="767321FA" w14:textId="77777777" w:rsidR="003A6DE2" w:rsidRDefault="003A6DE2">
      <w:pPr>
        <w:pStyle w:val="FootnoteText"/>
      </w:pPr>
      <w:r>
        <w:rPr>
          <w:rStyle w:val="FootnoteReference"/>
        </w:rPr>
        <w:footnoteRef/>
      </w:r>
      <w:r>
        <w:tab/>
        <w:t>Direttiva (UE) 2019/1937 del Parlamento europeo e del Consiglio, del 23 ottobre 2019, riguardante la protezione delle persone che segnalano violazioni del diritto dell'Unione (GU L 305 del 26.11.2019, pag. 17).</w:t>
      </w:r>
    </w:p>
  </w:footnote>
  <w:footnote w:id="32">
    <w:p w14:paraId="39EB5DEB" w14:textId="77777777" w:rsidR="003A6DE2" w:rsidRPr="00DF4D64" w:rsidRDefault="003A6DE2" w:rsidP="002200E3">
      <w:pPr>
        <w:spacing w:before="0" w:after="0"/>
        <w:ind w:left="709" w:hanging="709"/>
      </w:pPr>
      <w:r>
        <w:rPr>
          <w:rStyle w:val="FootnoteReference"/>
        </w:rPr>
        <w:footnoteRef/>
      </w:r>
      <w:r>
        <w:tab/>
      </w:r>
      <w:r>
        <w:rPr>
          <w:sz w:val="20"/>
        </w:rPr>
        <w:t>Regolamento (UE) 2018/1725 del Parlamento europeo e del Consiglio, del 23 ottobre 2018, sulla tutela delle persone fisiche in relazione al trattamento dei dati personali da parte delle istituzioni, degli organi e degli organismi dell'Unione e sulla libera circolazione di tali dati, e che abroga il regolamento (CE) n. 45/2001 e la decisione n. 1247/2002/CE (GU L 295 del 21.11.2018, pag. 39).</w:t>
      </w:r>
    </w:p>
  </w:footnote>
  <w:footnote w:id="33">
    <w:p w14:paraId="157EE201" w14:textId="77777777" w:rsidR="003A6DE2" w:rsidRPr="00F46D7A" w:rsidRDefault="003A6DE2" w:rsidP="002200E3">
      <w:pPr>
        <w:pStyle w:val="FootnoteText"/>
      </w:pPr>
      <w:r>
        <w:rPr>
          <w:rStyle w:val="FootnoteReference"/>
        </w:rPr>
        <w:footnoteRef/>
      </w:r>
      <w:r>
        <w:tab/>
        <w:t xml:space="preserve">GU C </w:t>
      </w:r>
      <w:r>
        <w:t>xxxx.</w:t>
      </w:r>
    </w:p>
  </w:footnote>
  <w:footnote w:id="34">
    <w:p w14:paraId="3FB10DD7" w14:textId="77777777" w:rsidR="003A6DE2" w:rsidRPr="00F46D7A" w:rsidRDefault="003A6DE2">
      <w:pPr>
        <w:pStyle w:val="FootnoteText"/>
      </w:pPr>
      <w:r>
        <w:rPr>
          <w:rStyle w:val="FootnoteReference"/>
        </w:rPr>
        <w:footnoteRef/>
      </w:r>
      <w:r>
        <w:tab/>
        <w:t>Direttiva 2008/56/CE del Parlamento europeo e del Consiglio, del 17 giugno 2008, che istituisce un quadro per l'azione comunitaria nel campo della politica per l'ambiente marino (direttiva quadro sulla strategia per l'ambiente marino) (GU L 164 del 25.6.2008, pag. 19).</w:t>
      </w:r>
    </w:p>
  </w:footnote>
  <w:footnote w:id="35">
    <w:p w14:paraId="066CC3E8" w14:textId="77777777" w:rsidR="003A6DE2" w:rsidRPr="00615709" w:rsidRDefault="003A6DE2" w:rsidP="00597C35">
      <w:pPr>
        <w:pStyle w:val="FootnoteText"/>
      </w:pPr>
      <w:r>
        <w:rPr>
          <w:rStyle w:val="FootnoteReference"/>
        </w:rPr>
        <w:footnoteRef/>
      </w:r>
      <w:r>
        <w:tab/>
        <w:t xml:space="preserve">GU L </w:t>
      </w:r>
      <w:r>
        <w:t>xxxx.</w:t>
      </w:r>
    </w:p>
  </w:footnote>
  <w:footnote w:id="36">
    <w:p w14:paraId="15A443BF" w14:textId="77777777" w:rsidR="00B10FC6" w:rsidRDefault="00B10FC6">
      <w:pPr>
        <w:pStyle w:val="FootnoteText"/>
      </w:pPr>
      <w:r>
        <w:rPr>
          <w:rStyle w:val="FootnoteReference"/>
        </w:rPr>
        <w:footnoteRef/>
      </w:r>
      <w:r>
        <w:tab/>
        <w:t xml:space="preserve">GU L </w:t>
      </w:r>
      <w:r>
        <w:t>xxxx.</w:t>
      </w:r>
    </w:p>
  </w:footnote>
  <w:footnote w:id="37">
    <w:p w14:paraId="59C7AD28" w14:textId="77777777" w:rsidR="00B10FC6" w:rsidRDefault="00B10FC6">
      <w:pPr>
        <w:pStyle w:val="FootnoteText"/>
      </w:pPr>
      <w:r>
        <w:rPr>
          <w:rStyle w:val="FootnoteReference"/>
        </w:rPr>
        <w:footnoteRef/>
      </w:r>
      <w:r>
        <w:tab/>
        <w:t>Direttiva 2002/59/CE del Parlamento europeo e del Consiglio, del 27 giugno 2002, relativa all'istituzione di un sistema comunitario di monitoraggio del traffico navale e d'informazione e che abroga la direttiva 93/75/CEE del Consiglio (GU L 208 del 5.8.2002, pag. 10).</w:t>
      </w:r>
    </w:p>
  </w:footnote>
  <w:footnote w:id="38">
    <w:p w14:paraId="5C4ACF44" w14:textId="77777777" w:rsidR="00B10FC6" w:rsidRDefault="00B10FC6">
      <w:pPr>
        <w:pStyle w:val="FootnoteText"/>
      </w:pPr>
      <w:r>
        <w:rPr>
          <w:rStyle w:val="FootnoteReference"/>
        </w:rPr>
        <w:footnoteRef/>
      </w:r>
      <w:r>
        <w:tab/>
        <w:t>Decisione di esecuzione (UE) 2015/253 della Commissione, del 16 febbraio 2015, che stabilisce le norme concernenti il campionamento e le relazioni da presentare a norma della direttiva 1999/32/CE del Consiglio per quanto riguarda il tenore di zolfo dei combustibili per uso marittimo (GU L 41 del 17.2.2015, pag. 55).</w:t>
      </w:r>
    </w:p>
  </w:footnote>
  <w:footnote w:id="39">
    <w:p w14:paraId="3CFE4795" w14:textId="77777777" w:rsidR="003A6DE2" w:rsidRDefault="003A6DE2">
      <w:pPr>
        <w:pStyle w:val="FootnoteText"/>
      </w:pPr>
      <w:r>
        <w:rPr>
          <w:rStyle w:val="FootnoteReference"/>
        </w:rPr>
        <w:footnoteRef/>
      </w:r>
      <w:r>
        <w:tab/>
        <w:t>Direttiva 2003/4/CE del Parlamento europeo e del Consiglio, del 28 gennaio 2003, sull'accesso del pubblico all'informazione ambientale e che abroga la direttiva 90/313/CEE del Consiglio (GU L 41 del 14.2.2003, pag. 26).</w:t>
      </w:r>
    </w:p>
  </w:footnote>
  <w:footnote w:id="40">
    <w:p w14:paraId="020CFDD8" w14:textId="77777777" w:rsidR="00B10FC6" w:rsidRDefault="00B10FC6">
      <w:pPr>
        <w:pStyle w:val="FootnoteText"/>
      </w:pPr>
      <w:r>
        <w:rPr>
          <w:rStyle w:val="FootnoteReference"/>
        </w:rPr>
        <w:footnoteRef/>
      </w:r>
      <w:r>
        <w:tab/>
        <w:t>Direttiva (UE) 2019/1937 del Parlamento europeo e del Consiglio, del 23 ottobre 2019, riguardante la protezione delle persone che segnalano violazioni del diritto dell'Unione (GU L 305 del 26.11.2019, pag. 17).</w:t>
      </w:r>
    </w:p>
  </w:footnote>
  <w:footnote w:id="41">
    <w:p w14:paraId="4772EB5C" w14:textId="77777777" w:rsidR="00B10FC6" w:rsidRPr="00506550" w:rsidRDefault="00B10FC6" w:rsidP="00B10FC6">
      <w:pPr>
        <w:pStyle w:val="FootnoteText"/>
      </w:pPr>
      <w:r>
        <w:rPr>
          <w:rStyle w:val="FootnoteReference"/>
        </w:rPr>
        <w:footnoteRef/>
      </w:r>
      <w:r>
        <w:tab/>
        <w:t>Regolamento (UE) 2018/1725 del Parlamento europeo e del Consiglio, del 23 ottobre 2018, sulla tutela delle persone fisiche in relazione al trattamento dei dati personali da parte delle istituzioni, degli organi e degli organismi dell'Unione e sulla libera circolazione di tali dati, e che abroga il regolamento (CE) n. 45/2001 e la decisione n. 1247/2002/CE (GU L 295 del 21.11.2018, pag. 39).</w:t>
      </w:r>
    </w:p>
    <w:p w14:paraId="1EBC027E" w14:textId="77777777" w:rsidR="00B10FC6" w:rsidRDefault="00B10FC6">
      <w:pPr>
        <w:pStyle w:val="FootnoteText"/>
      </w:pPr>
    </w:p>
  </w:footnote>
  <w:footnote w:id="42">
    <w:p w14:paraId="2DB84CA1" w14:textId="77777777" w:rsidR="00B10FC6" w:rsidRPr="00F46D7A" w:rsidRDefault="00B10FC6" w:rsidP="00B10FC6">
      <w:pPr>
        <w:pStyle w:val="FootnoteText"/>
      </w:pPr>
      <w:r>
        <w:rPr>
          <w:rStyle w:val="FootnoteReference"/>
        </w:rPr>
        <w:footnoteRef/>
      </w:r>
      <w:r>
        <w:tab/>
        <w:t>Regolamento (CE) n. 2099/2002 del Parlamento europeo e del Consiglio, del 5 novembre 2002, che istituisce un comitato per la sicurezza marittima e la prevenzione dell'inquinamento provocato dalle navi (comitato COSS) e recante modifica dei regolamenti in materia di sicurezza marittima e di prevenzione dell'inquinamento provocato dalle navi (GU L 324 del 29.11.2002, pag. 1).</w:t>
      </w:r>
    </w:p>
    <w:p w14:paraId="12608074" w14:textId="77777777" w:rsidR="00B10FC6" w:rsidRDefault="00B10FC6">
      <w:pPr>
        <w:pStyle w:val="FootnoteText"/>
      </w:pPr>
    </w:p>
  </w:footnote>
  <w:footnote w:id="43">
    <w:p w14:paraId="1B2C8BF4" w14:textId="77777777" w:rsidR="00B10FC6" w:rsidRPr="00F46D7A" w:rsidRDefault="00B10FC6" w:rsidP="00B10FC6">
      <w:pPr>
        <w:pStyle w:val="FootnoteText"/>
      </w:pPr>
      <w:r>
        <w:rPr>
          <w:rStyle w:val="FootnoteReference"/>
        </w:rPr>
        <w:footnoteRef/>
      </w:r>
      <w:r>
        <w:tab/>
        <w:t>Regolamento (UE) n. 182/2011 del Parlamento europeo e del Consiglio, del 16 febbraio 2011, che stabilisce le regole e i principi generali relativi alle modalità di controllo da parte degli Stati membri dell'esercizio delle competenze di esecuzione attribuite alla Commissione (GU L 55 del 28.2.2011, pag. 13).</w:t>
      </w:r>
    </w:p>
    <w:p w14:paraId="1701D0C2" w14:textId="77777777" w:rsidR="00B10FC6" w:rsidRDefault="00B10FC6">
      <w:pPr>
        <w:pStyle w:val="FootnoteText"/>
      </w:pPr>
    </w:p>
  </w:footnote>
  <w:footnote w:id="44">
    <w:p w14:paraId="3BB25009" w14:textId="77777777" w:rsidR="00B10FC6" w:rsidRDefault="00B10FC6">
      <w:pPr>
        <w:pStyle w:val="FootnoteText"/>
      </w:pPr>
      <w:r>
        <w:rPr>
          <w:rStyle w:val="FootnoteReference"/>
        </w:rPr>
        <w:footnoteRef/>
      </w:r>
      <w:r>
        <w:tab/>
        <w:t xml:space="preserve">GU L </w:t>
      </w:r>
      <w:r>
        <w:t>xxxx.</w:t>
      </w:r>
    </w:p>
  </w:footnote>
  <w:footnote w:id="45">
    <w:p w14:paraId="42B52D88" w14:textId="77777777" w:rsidR="003A6DE2" w:rsidRDefault="003A6DE2" w:rsidP="005F20F6">
      <w:pPr>
        <w:pStyle w:val="FootnoteText"/>
        <w:rPr>
          <w:szCs w:val="24"/>
        </w:rPr>
      </w:pPr>
      <w:r>
        <w:rPr>
          <w:rStyle w:val="FootnoteReference"/>
        </w:rPr>
        <w:footnoteRef/>
      </w:r>
      <w:r>
        <w:tab/>
        <w:t>A norma dell'articolo 58, paragrafo 2, lettera a) o b), del regolamento finanziario.</w:t>
      </w:r>
    </w:p>
  </w:footnote>
  <w:footnote w:id="46">
    <w:p w14:paraId="2F20A2A7" w14:textId="3A84EC5C" w:rsidR="00951658" w:rsidRPr="00951658" w:rsidRDefault="003A6DE2" w:rsidP="00951658">
      <w:pPr>
        <w:pStyle w:val="FootnoteText"/>
        <w:rPr>
          <w:color w:val="0000FF"/>
          <w:szCs w:val="24"/>
          <w:u w:val="single"/>
        </w:rPr>
      </w:pPr>
      <w:r>
        <w:rPr>
          <w:rStyle w:val="FootnoteReference"/>
        </w:rPr>
        <w:footnoteRef/>
      </w:r>
      <w:r>
        <w:tab/>
        <w:t xml:space="preserve">Le spiegazioni dei metodi di esecuzione del bilancio e i riferimenti al regolamento finanziario sono disponibili sul sito </w:t>
      </w:r>
      <w:r>
        <w:t xml:space="preserve">BUDGpedia: </w:t>
      </w:r>
      <w:hyperlink r:id="rId1" w:history="1">
        <w:r>
          <w:rPr>
            <w:rStyle w:val="Hyperlink"/>
          </w:rPr>
          <w:t>https://myintracomm.ec.europa.eu/corp/budget/financial-rules/budget-implementation/Pages/implementation-methods.aspx</w:t>
        </w:r>
      </w:hyperlink>
    </w:p>
    <w:p w14:paraId="175EC95A" w14:textId="77777777" w:rsidR="003A6DE2" w:rsidRDefault="003A6DE2" w:rsidP="005F20F6">
      <w:pPr>
        <w:pStyle w:val="FootnoteText"/>
        <w:rPr>
          <w:szCs w:val="24"/>
        </w:rPr>
      </w:pPr>
    </w:p>
  </w:footnote>
  <w:footnote w:id="47">
    <w:p w14:paraId="2A5F30C0" w14:textId="77777777" w:rsidR="003A6DE2" w:rsidRDefault="003A6DE2" w:rsidP="005F20F6">
      <w:pPr>
        <w:pStyle w:val="FootnoteText"/>
        <w:rPr>
          <w:szCs w:val="24"/>
        </w:rPr>
      </w:pPr>
      <w:r>
        <w:rPr>
          <w:rStyle w:val="FootnoteReference"/>
        </w:rPr>
        <w:footnoteRef/>
      </w:r>
      <w:r>
        <w:tab/>
      </w:r>
      <w:r>
        <w:t>Diss. = stanziamenti dissociati / Non diss. = stanziamenti non dissociati.</w:t>
      </w:r>
    </w:p>
  </w:footnote>
  <w:footnote w:id="48">
    <w:p w14:paraId="20DE124A" w14:textId="77777777" w:rsidR="003A6DE2" w:rsidRDefault="003A6DE2" w:rsidP="005F20F6">
      <w:pPr>
        <w:pStyle w:val="FootnoteText"/>
        <w:rPr>
          <w:szCs w:val="24"/>
        </w:rPr>
      </w:pPr>
      <w:r>
        <w:rPr>
          <w:rStyle w:val="FootnoteReference"/>
        </w:rPr>
        <w:footnoteRef/>
      </w:r>
      <w:r>
        <w:tab/>
        <w:t xml:space="preserve">EFTA: Associazione europea di libero scambio. </w:t>
      </w:r>
    </w:p>
  </w:footnote>
  <w:footnote w:id="49">
    <w:p w14:paraId="027060E0" w14:textId="77777777" w:rsidR="003A6DE2" w:rsidRDefault="003A6DE2" w:rsidP="005F20F6">
      <w:pPr>
        <w:pStyle w:val="FootnoteText"/>
        <w:rPr>
          <w:szCs w:val="24"/>
        </w:rPr>
      </w:pPr>
      <w:r>
        <w:rPr>
          <w:rStyle w:val="FootnoteReference"/>
        </w:rPr>
        <w:footnoteRef/>
      </w:r>
      <w:r>
        <w:tab/>
        <w:t>Paesi candidati e, se del caso, potenziali candidati dei Balcani occidentali.</w:t>
      </w:r>
    </w:p>
  </w:footnote>
  <w:footnote w:id="50">
    <w:p w14:paraId="2C41297F" w14:textId="77777777" w:rsidR="003A6DE2" w:rsidRDefault="003A6DE2" w:rsidP="005F20F6">
      <w:pPr>
        <w:pStyle w:val="FootnoteText"/>
        <w:rPr>
          <w:szCs w:val="24"/>
        </w:rPr>
      </w:pPr>
      <w:r>
        <w:rPr>
          <w:rStyle w:val="FootnoteReference"/>
        </w:rPr>
        <w:footnoteRef/>
      </w:r>
      <w:r>
        <w:tab/>
        <w:t>I risultati sono i prodotti e i servizi da fornire (ad es.: numero di scambi di studenti finanziati, numero di km di strada costruiti ecc.).</w:t>
      </w:r>
    </w:p>
  </w:footnote>
  <w:footnote w:id="51">
    <w:p w14:paraId="5AE1C8DA" w14:textId="77777777" w:rsidR="003A6DE2" w:rsidRDefault="003A6DE2" w:rsidP="005F20F6">
      <w:pPr>
        <w:pStyle w:val="FootnoteText"/>
        <w:rPr>
          <w:szCs w:val="24"/>
        </w:rPr>
      </w:pPr>
      <w:r>
        <w:rPr>
          <w:rStyle w:val="FootnoteReference"/>
        </w:rPr>
        <w:footnoteRef/>
      </w:r>
      <w:r>
        <w:tab/>
        <w:t>Come descritto nella sezione 1.4.2. "Obiettivi specifici..."</w:t>
      </w:r>
    </w:p>
  </w:footnote>
  <w:footnote w:id="52">
    <w:p w14:paraId="22E32A44" w14:textId="77777777" w:rsidR="003A6DE2" w:rsidRDefault="003A6DE2" w:rsidP="005F20F6">
      <w:pPr>
        <w:pStyle w:val="FootnoteText"/>
        <w:rPr>
          <w:szCs w:val="24"/>
        </w:rPr>
      </w:pPr>
      <w:r>
        <w:rPr>
          <w:rStyle w:val="FootnoteReference"/>
        </w:rPr>
        <w:footnoteRef/>
      </w:r>
      <w:r>
        <w:tab/>
        <w:t>AC = agente contrattuale; AL = agente locale; END = esperto nazionale distaccato; INT = personale interinale (</w:t>
      </w:r>
      <w:r>
        <w:t xml:space="preserve">intérimaire); JPD = giovane professionista in delegazione. </w:t>
      </w:r>
    </w:p>
  </w:footnote>
  <w:footnote w:id="53">
    <w:p w14:paraId="7FD928B9" w14:textId="77777777" w:rsidR="003A6DE2" w:rsidRDefault="003A6DE2" w:rsidP="005F20F6">
      <w:pPr>
        <w:pStyle w:val="FootnoteText"/>
        <w:rPr>
          <w:szCs w:val="24"/>
        </w:rPr>
      </w:pPr>
      <w:r>
        <w:rPr>
          <w:rStyle w:val="FootnoteReference"/>
        </w:rPr>
        <w:footnoteRef/>
      </w:r>
      <w:r>
        <w:tab/>
      </w:r>
      <w:r>
        <w:t>Sottomassimale per il personale esterno previsto dagli stanziamenti operativi (ex linee "BA").</w:t>
      </w:r>
    </w:p>
  </w:footnote>
  <w:footnote w:id="54">
    <w:p w14:paraId="48FC3FFC" w14:textId="3B4C28F0" w:rsidR="003A6DE2" w:rsidRDefault="003A6DE2" w:rsidP="005F20F6">
      <w:pPr>
        <w:pStyle w:val="FootnoteText"/>
      </w:pPr>
      <w:r>
        <w:rPr>
          <w:rStyle w:val="FootnoteReference"/>
        </w:rPr>
        <w:footnoteRef/>
      </w:r>
      <w:r>
        <w:tab/>
        <w:t>Principalmente per i fondi della politica di coesione dell'UE, il Fondo europeo agricolo per lo sviluppo rurale (FEASR) e il Fondo europeo per gli affari marittimi, la p</w:t>
      </w:r>
      <w:r w:rsidR="00DD6749">
        <w:t>esca e l'acquacoltura (FEAMP).</w:t>
      </w:r>
    </w:p>
    <w:p w14:paraId="102F8D47" w14:textId="77777777" w:rsidR="003A6DE2" w:rsidRPr="00D5792F" w:rsidRDefault="003A6DE2" w:rsidP="005F20F6">
      <w:pPr>
        <w:pStyle w:val="FootnoteText"/>
        <w:rPr>
          <w:szCs w:val="24"/>
        </w:rPr>
      </w:pPr>
    </w:p>
  </w:footnote>
  <w:footnote w:id="55">
    <w:p w14:paraId="0B4B9165" w14:textId="3112644D" w:rsidR="003A6DE2" w:rsidRDefault="003A6DE2" w:rsidP="005F20F6">
      <w:pPr>
        <w:pStyle w:val="FootnoteText"/>
        <w:rPr>
          <w:szCs w:val="24"/>
        </w:rPr>
      </w:pPr>
      <w:r>
        <w:rPr>
          <w:rStyle w:val="FootnoteReference"/>
        </w:rPr>
        <w:footnoteRef/>
      </w:r>
      <w:r>
        <w:tab/>
        <w:t xml:space="preserve">Cfr. gli articoli 12 e 13 del regolamento (UE, </w:t>
      </w:r>
      <w:r>
        <w:t>Euratom) 2020/2093 del Consiglio, del 17 dicembre 2020, che stabilisce il quadro finanziario pluriennale per il periodo 2021-2027.</w:t>
      </w:r>
    </w:p>
  </w:footnote>
  <w:footnote w:id="56">
    <w:p w14:paraId="6D1596CC" w14:textId="77777777" w:rsidR="003A6DE2" w:rsidRDefault="003A6DE2" w:rsidP="005F20F6">
      <w:pPr>
        <w:pStyle w:val="FootnoteText"/>
        <w:rPr>
          <w:szCs w:val="24"/>
        </w:rPr>
      </w:pPr>
      <w:r>
        <w:rPr>
          <w:rStyle w:val="FootnoteReference"/>
        </w:rPr>
        <w:footnoteRef/>
      </w:r>
      <w:r>
        <w:tab/>
        <w:t>Per le risorse proprie tradizionali (dazi doganali, contributi zucchero), indicare gli importi netti, cioè gli importi lordi al netto del 20 % per spese di riscossione.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B9BD9" w14:textId="77777777" w:rsidR="001A4546" w:rsidRPr="001A4546" w:rsidRDefault="001A4546" w:rsidP="001A45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B0FAD" w14:textId="77777777" w:rsidR="001A4546" w:rsidRPr="001A4546" w:rsidRDefault="001A4546" w:rsidP="001A45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7101B" w14:textId="77777777" w:rsidR="001A4546" w:rsidRPr="001A4546" w:rsidRDefault="001A4546" w:rsidP="001A45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315CD" w14:textId="77777777" w:rsidR="007455AE" w:rsidRPr="007455AE" w:rsidRDefault="007455AE" w:rsidP="001A4546">
    <w:pPr>
      <w:pStyle w:val="HeaderLandscap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8B9C5" w14:textId="77777777" w:rsidR="001A4546" w:rsidRPr="001A4546" w:rsidRDefault="001A4546" w:rsidP="001A4546">
    <w:pPr>
      <w:pStyle w:val="HeaderLandscap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D989D" w14:textId="77777777" w:rsidR="003053FE" w:rsidRPr="007455AE" w:rsidRDefault="003053FE" w:rsidP="001A454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D04A6" w14:textId="77777777" w:rsidR="001A4546" w:rsidRPr="001A4546" w:rsidRDefault="001A4546" w:rsidP="001A45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1A50BD8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9DD6A0F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481CF004"/>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8ADA766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D0C537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7BF01D6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25C7994"/>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7382BBF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072619B"/>
    <w:multiLevelType w:val="multilevel"/>
    <w:tmpl w:val="4BA6B7F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96D67A1"/>
    <w:multiLevelType w:val="singleLevel"/>
    <w:tmpl w:val="9AC8831A"/>
    <w:name w:val="List Dash 2"/>
    <w:lvl w:ilvl="0">
      <w:start w:val="1"/>
      <w:numFmt w:val="bullet"/>
      <w:pStyle w:val="ListDash2"/>
      <w:lvlText w:val="–"/>
      <w:lvlJc w:val="left"/>
      <w:pPr>
        <w:tabs>
          <w:tab w:val="num" w:pos="1134"/>
        </w:tabs>
        <w:ind w:left="1134" w:hanging="283"/>
      </w:pPr>
      <w:rPr>
        <w:rFonts w:ascii="Times New Roman" w:hAnsi="Times New Roman"/>
      </w:rPr>
    </w:lvl>
  </w:abstractNum>
  <w:abstractNum w:abstractNumId="1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15:restartNumberingAfterBreak="0">
    <w:nsid w:val="608C30E1"/>
    <w:multiLevelType w:val="hybridMultilevel"/>
    <w:tmpl w:val="DD98B9F8"/>
    <w:lvl w:ilvl="0" w:tplc="08090001">
      <w:start w:val="1"/>
      <w:numFmt w:val="bullet"/>
      <w:lvlText w:val=""/>
      <w:lvlJc w:val="left"/>
      <w:pPr>
        <w:ind w:left="1044" w:hanging="360"/>
      </w:pPr>
      <w:rPr>
        <w:rFonts w:ascii="Symbol" w:hAnsi="Symbol" w:hint="default"/>
      </w:rPr>
    </w:lvl>
    <w:lvl w:ilvl="1" w:tplc="08090003">
      <w:start w:val="1"/>
      <w:numFmt w:val="bullet"/>
      <w:lvlText w:val="o"/>
      <w:lvlJc w:val="left"/>
      <w:pPr>
        <w:ind w:left="1764" w:hanging="360"/>
      </w:pPr>
      <w:rPr>
        <w:rFonts w:ascii="Courier New" w:hAnsi="Courier New" w:cs="Courier New" w:hint="default"/>
      </w:rPr>
    </w:lvl>
    <w:lvl w:ilvl="2" w:tplc="08090005">
      <w:start w:val="1"/>
      <w:numFmt w:val="bullet"/>
      <w:lvlText w:val=""/>
      <w:lvlJc w:val="left"/>
      <w:pPr>
        <w:ind w:left="2484" w:hanging="360"/>
      </w:pPr>
      <w:rPr>
        <w:rFonts w:ascii="Wingdings" w:hAnsi="Wingdings" w:hint="default"/>
      </w:rPr>
    </w:lvl>
    <w:lvl w:ilvl="3" w:tplc="08090001">
      <w:start w:val="1"/>
      <w:numFmt w:val="bullet"/>
      <w:lvlText w:val=""/>
      <w:lvlJc w:val="left"/>
      <w:pPr>
        <w:ind w:left="3204" w:hanging="360"/>
      </w:pPr>
      <w:rPr>
        <w:rFonts w:ascii="Symbol" w:hAnsi="Symbol" w:hint="default"/>
      </w:rPr>
    </w:lvl>
    <w:lvl w:ilvl="4" w:tplc="08090003">
      <w:start w:val="1"/>
      <w:numFmt w:val="bullet"/>
      <w:lvlText w:val="o"/>
      <w:lvlJc w:val="left"/>
      <w:pPr>
        <w:ind w:left="3924" w:hanging="360"/>
      </w:pPr>
      <w:rPr>
        <w:rFonts w:ascii="Courier New" w:hAnsi="Courier New" w:cs="Courier New" w:hint="default"/>
      </w:rPr>
    </w:lvl>
    <w:lvl w:ilvl="5" w:tplc="08090005">
      <w:start w:val="1"/>
      <w:numFmt w:val="bullet"/>
      <w:lvlText w:val=""/>
      <w:lvlJc w:val="left"/>
      <w:pPr>
        <w:ind w:left="4644" w:hanging="360"/>
      </w:pPr>
      <w:rPr>
        <w:rFonts w:ascii="Wingdings" w:hAnsi="Wingdings" w:hint="default"/>
      </w:rPr>
    </w:lvl>
    <w:lvl w:ilvl="6" w:tplc="08090001">
      <w:start w:val="1"/>
      <w:numFmt w:val="bullet"/>
      <w:lvlText w:val=""/>
      <w:lvlJc w:val="left"/>
      <w:pPr>
        <w:ind w:left="5364" w:hanging="360"/>
      </w:pPr>
      <w:rPr>
        <w:rFonts w:ascii="Symbol" w:hAnsi="Symbol" w:hint="default"/>
      </w:rPr>
    </w:lvl>
    <w:lvl w:ilvl="7" w:tplc="08090003">
      <w:start w:val="1"/>
      <w:numFmt w:val="bullet"/>
      <w:lvlText w:val="o"/>
      <w:lvlJc w:val="left"/>
      <w:pPr>
        <w:ind w:left="6084" w:hanging="360"/>
      </w:pPr>
      <w:rPr>
        <w:rFonts w:ascii="Courier New" w:hAnsi="Courier New" w:cs="Courier New" w:hint="default"/>
      </w:rPr>
    </w:lvl>
    <w:lvl w:ilvl="8" w:tplc="08090005">
      <w:start w:val="1"/>
      <w:numFmt w:val="bullet"/>
      <w:lvlText w:val=""/>
      <w:lvlJc w:val="left"/>
      <w:pPr>
        <w:ind w:left="6804" w:hanging="360"/>
      </w:pPr>
      <w:rPr>
        <w:rFonts w:ascii="Wingdings" w:hAnsi="Wingdings" w:hint="default"/>
      </w:rPr>
    </w:lvl>
  </w:abstractNum>
  <w:abstractNum w:abstractNumId="23" w15:restartNumberingAfterBreak="0">
    <w:nsid w:val="62A8042C"/>
    <w:multiLevelType w:val="singleLevel"/>
    <w:tmpl w:val="CCF20C06"/>
    <w:name w:val="List Dash 1"/>
    <w:lvl w:ilvl="0">
      <w:start w:val="1"/>
      <w:numFmt w:val="bullet"/>
      <w:pStyle w:val="ListDash1"/>
      <w:lvlText w:val="–"/>
      <w:lvlJc w:val="left"/>
      <w:pPr>
        <w:tabs>
          <w:tab w:val="num" w:pos="1134"/>
        </w:tabs>
        <w:ind w:left="1134" w:hanging="283"/>
      </w:pPr>
      <w:rPr>
        <w:rFonts w:ascii="Times New Roman" w:hAnsi="Times New Roman"/>
      </w:rPr>
    </w:lvl>
  </w:abstractNum>
  <w:abstractNum w:abstractNumId="24"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15:restartNumberingAfterBreak="0">
    <w:nsid w:val="6A6901C1"/>
    <w:multiLevelType w:val="singleLevel"/>
    <w:tmpl w:val="208841AE"/>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27"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206719770">
    <w:abstractNumId w:val="7"/>
  </w:num>
  <w:num w:numId="2" w16cid:durableId="2039817156">
    <w:abstractNumId w:val="5"/>
  </w:num>
  <w:num w:numId="3" w16cid:durableId="1591700799">
    <w:abstractNumId w:val="4"/>
  </w:num>
  <w:num w:numId="4" w16cid:durableId="442772927">
    <w:abstractNumId w:val="3"/>
  </w:num>
  <w:num w:numId="5" w16cid:durableId="1399210912">
    <w:abstractNumId w:val="16"/>
  </w:num>
  <w:num w:numId="6" w16cid:durableId="722483523">
    <w:abstractNumId w:val="6"/>
  </w:num>
  <w:num w:numId="7" w16cid:durableId="826675170">
    <w:abstractNumId w:val="2"/>
  </w:num>
  <w:num w:numId="8" w16cid:durableId="1744794920">
    <w:abstractNumId w:val="1"/>
  </w:num>
  <w:num w:numId="9" w16cid:durableId="1965891414">
    <w:abstractNumId w:val="0"/>
  </w:num>
  <w:num w:numId="10" w16cid:durableId="5410135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97100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1436154">
    <w:abstractNumId w:val="26"/>
  </w:num>
  <w:num w:numId="13" w16cid:durableId="1418821529">
    <w:abstractNumId w:val="23"/>
  </w:num>
  <w:num w:numId="14" w16cid:durableId="328221140">
    <w:abstractNumId w:val="18"/>
  </w:num>
  <w:num w:numId="15" w16cid:durableId="1717001907">
    <w:abstractNumId w:val="22"/>
  </w:num>
  <w:num w:numId="16" w16cid:durableId="872884315">
    <w:abstractNumId w:val="21"/>
  </w:num>
  <w:num w:numId="17" w16cid:durableId="1883786980">
    <w:abstractNumId w:val="12"/>
  </w:num>
  <w:num w:numId="18" w16cid:durableId="1666592941">
    <w:abstractNumId w:val="25"/>
  </w:num>
  <w:num w:numId="19" w16cid:durableId="1414090542">
    <w:abstractNumId w:val="11"/>
  </w:num>
  <w:num w:numId="20" w16cid:durableId="1150830624">
    <w:abstractNumId w:val="13"/>
  </w:num>
  <w:num w:numId="21" w16cid:durableId="43069629">
    <w:abstractNumId w:val="14"/>
  </w:num>
  <w:num w:numId="22" w16cid:durableId="164706488">
    <w:abstractNumId w:val="9"/>
  </w:num>
  <w:num w:numId="23" w16cid:durableId="2098164865">
    <w:abstractNumId w:val="24"/>
  </w:num>
  <w:num w:numId="24" w16cid:durableId="634411844">
    <w:abstractNumId w:val="8"/>
  </w:num>
  <w:num w:numId="25" w16cid:durableId="1364864278">
    <w:abstractNumId w:val="15"/>
  </w:num>
  <w:num w:numId="26" w16cid:durableId="1954240581">
    <w:abstractNumId w:val="19"/>
  </w:num>
  <w:num w:numId="27" w16cid:durableId="693724323">
    <w:abstractNumId w:val="20"/>
  </w:num>
  <w:num w:numId="28" w16cid:durableId="1149248423">
    <w:abstractNumId w:val="10"/>
  </w:num>
  <w:num w:numId="29" w16cid:durableId="1189485157">
    <w:abstractNumId w:val="17"/>
  </w:num>
  <w:num w:numId="30" w16cid:durableId="325981973">
    <w:abstractNumId w:val="27"/>
  </w:num>
  <w:num w:numId="31" w16cid:durableId="102385255">
    <w:abstractNumId w:val="21"/>
  </w:num>
  <w:num w:numId="32" w16cid:durableId="86579575">
    <w:abstractNumId w:val="12"/>
  </w:num>
  <w:num w:numId="33" w16cid:durableId="872235395">
    <w:abstractNumId w:val="25"/>
  </w:num>
  <w:num w:numId="34" w16cid:durableId="2011179641">
    <w:abstractNumId w:val="11"/>
  </w:num>
  <w:num w:numId="35" w16cid:durableId="170417106">
    <w:abstractNumId w:val="13"/>
  </w:num>
  <w:num w:numId="36" w16cid:durableId="21439015">
    <w:abstractNumId w:val="14"/>
  </w:num>
  <w:num w:numId="37" w16cid:durableId="1888954309">
    <w:abstractNumId w:val="9"/>
  </w:num>
  <w:num w:numId="38" w16cid:durableId="54747749">
    <w:abstractNumId w:val="24"/>
  </w:num>
  <w:num w:numId="39" w16cid:durableId="730151285">
    <w:abstractNumId w:val="8"/>
  </w:num>
  <w:num w:numId="40" w16cid:durableId="1869445489">
    <w:abstractNumId w:val="15"/>
  </w:num>
  <w:num w:numId="41" w16cid:durableId="1720276634">
    <w:abstractNumId w:val="19"/>
  </w:num>
  <w:num w:numId="42" w16cid:durableId="2115972641">
    <w:abstractNumId w:val="20"/>
  </w:num>
  <w:num w:numId="43" w16cid:durableId="192152684">
    <w:abstractNumId w:val="10"/>
  </w:num>
  <w:num w:numId="44" w16cid:durableId="35325070">
    <w:abstractNumId w:val="17"/>
  </w:num>
  <w:num w:numId="45" w16cid:durableId="422846613">
    <w:abstractNumId w:val="27"/>
  </w:num>
  <w:num w:numId="46" w16cid:durableId="2001737425">
    <w:abstractNumId w:val="27"/>
    <w:lvlOverride w:ilvl="0">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es-ES_tradnl"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n-IE" w:vendorID="64" w:dllVersion="4096" w:nlCheck="1" w:checkStyle="0"/>
  <w:activeWritingStyle w:appName="MSWord" w:lang="es-ES_tradnl" w:vendorID="64" w:dllVersion="0" w:nlCheck="1" w:checkStyle="0"/>
  <w:activeWritingStyle w:appName="MSWord" w:lang="en-IE" w:vendorID="64" w:dllVersion="0" w:nlCheck="1" w:checkStyle="0"/>
  <w:activeWritingStyle w:appName="MSWord" w:lang="pl-PL" w:vendorID="64" w:dllVersion="0" w:nlCheck="1" w:checkStyle="0"/>
  <w:activeWritingStyle w:appName="MSWord" w:lang="it-IT" w:vendorID="64" w:dllVersion="6" w:nlCheck="1" w:checkStyle="1"/>
  <w:activeWritingStyle w:appName="MSWord" w:lang="it-IT" w:vendorID="64" w:dllVersion="0" w:nlCheck="1" w:checkStyle="0"/>
  <w:proofState w:spelling="clean" w:grammar="clean"/>
  <w:attachedTemplate r:id="rId1"/>
  <w:defaultTabStop w:val="720"/>
  <w:hyphenationZone w:val="425"/>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R_RefLast" w:val="0"/>
    <w:docVar w:name="DQCDateTime" w:val="2023-07-05 08:05:36"/>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CORRIGENDUM" w:val="This document corrects document COM(2023) 273 final of 1.6.2023._x000b_Concerns the Italian language version._x000b_Insertion of the date, cote, interinstitutional reference and references to SEC and SWD linked files._x000b_The text shall read as follows:_x000b_"/>
    <w:docVar w:name="LW_COVERPAGE_EXISTS" w:val="True"/>
    <w:docVar w:name="LW_COVERPAGE_GUID" w:val="D39EBAC8-0E98-4C17-816D-D10640905017"/>
    <w:docVar w:name="LW_COVERPAGE_TYPE" w:val="1"/>
    <w:docVar w:name="LW_CROSSREFERENCE" w:val="{SEC(2023) 209 final} - {SWD(2023) 159 final} - {SWD(2023) 164 final}"/>
    <w:docVar w:name="LW_DocType" w:val="COM"/>
    <w:docVar w:name="LW_EMISSION" w:val="1.6.2023"/>
    <w:docVar w:name="LW_EMISSION_ISODATE" w:val="2023-06-01"/>
    <w:docVar w:name="LW_EMISSION_LOCATION" w:val="BRX"/>
    <w:docVar w:name="LW_EMISSION_PREFIX" w:val="Bruxelles, "/>
    <w:docVar w:name="LW_EMISSION_SUFFIX" w:val=" "/>
    <w:docVar w:name="LW_ID_DOCMODEL" w:val="SJ-024"/>
    <w:docVar w:name="LW_ID_DOCSIGNATURE" w:val="SJ-024"/>
    <w:docVar w:name="LW_ID_DOCSTRUCTURE" w:val="COM/PL/ORG"/>
    <w:docVar w:name="LW_ID_DOCTYPE" w:val="SJ-024"/>
    <w:docVar w:name="LW_ID_STATUT" w:val="SJ-024"/>
    <w:docVar w:name="LW_INSERT_EXP.MOTIFS.NEW" w:val="1"/>
    <w:docVar w:name="LW_INTERETEEE.CP" w:val="(Testo rilevante ai fini del SEE)"/>
    <w:docVar w:name="LW_LANGUE" w:val="IT"/>
    <w:docVar w:name="LW_LEVEL_OF_SENSITIVITY" w:val="Standard treatment"/>
    <w:docVar w:name="LW_NOM.INST" w:val="COMMISSIONE EUROPEA"/>
    <w:docVar w:name="LW_NOM.INST_JOINTDOC" w:val="&lt;EMPTY&gt;"/>
    <w:docVar w:name="LW_PART_NBR" w:val="1"/>
    <w:docVar w:name="LW_PART_NBR_TOTAL" w:val="1"/>
    <w:docVar w:name="LW_REF.II.NEW.CP" w:val="COD"/>
    <w:docVar w:name="LW_REF.II.NEW.CP_NUMBER" w:val="0171"/>
    <w:docVar w:name="LW_REF.II.NEW.CP_YEAR" w:val="2023"/>
    <w:docVar w:name="LW_REF.INST.NEW" w:val="COM"/>
    <w:docVar w:name="LW_REF.INST.NEW_ADOPTED" w:val="final/2"/>
    <w:docVar w:name="LW_REF.INST.NEW_TEXT" w:val="(2023) 273"/>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ta di"/>
    <w:docVar w:name="LW_SUPERTITRE" w:val="&lt;UNUSED&gt;"/>
    <w:docVar w:name="LW_TITRE.OBJ.CP" w:val="che modifica la direttiva 2005/35/CE relativa all'inquinamento provocato dalle navi e all'introduzione di sanzioni, anche penali, per i reati di inquinamento"/>
    <w:docVar w:name="LW_TYPE.DOC.CP" w:val="DIRETTIVA DEL PARLAMENTO EUROPEO E DEL CONSIGLIO"/>
    <w:docVar w:name="LwApiVersions" w:val="LW4CoDe 1.23.2.0; LW 8.0, Build 20211117"/>
  </w:docVars>
  <w:rsids>
    <w:rsidRoot w:val="00EC7095"/>
    <w:rsid w:val="00002A2B"/>
    <w:rsid w:val="00003C53"/>
    <w:rsid w:val="00004EB0"/>
    <w:rsid w:val="00006F1F"/>
    <w:rsid w:val="0000739B"/>
    <w:rsid w:val="00011AC1"/>
    <w:rsid w:val="000160B7"/>
    <w:rsid w:val="00017213"/>
    <w:rsid w:val="000210B8"/>
    <w:rsid w:val="00024522"/>
    <w:rsid w:val="000310B8"/>
    <w:rsid w:val="00031779"/>
    <w:rsid w:val="00033ADF"/>
    <w:rsid w:val="00036C1E"/>
    <w:rsid w:val="000379CF"/>
    <w:rsid w:val="000403C6"/>
    <w:rsid w:val="00041897"/>
    <w:rsid w:val="00041AEB"/>
    <w:rsid w:val="00041CC8"/>
    <w:rsid w:val="00041D1D"/>
    <w:rsid w:val="00041DE9"/>
    <w:rsid w:val="000515B7"/>
    <w:rsid w:val="00054737"/>
    <w:rsid w:val="000560FC"/>
    <w:rsid w:val="000603FB"/>
    <w:rsid w:val="00061436"/>
    <w:rsid w:val="00062046"/>
    <w:rsid w:val="00067B1F"/>
    <w:rsid w:val="00071531"/>
    <w:rsid w:val="00074EA2"/>
    <w:rsid w:val="00075C4A"/>
    <w:rsid w:val="000818D1"/>
    <w:rsid w:val="00081C50"/>
    <w:rsid w:val="00082068"/>
    <w:rsid w:val="0008387F"/>
    <w:rsid w:val="0008639F"/>
    <w:rsid w:val="00094342"/>
    <w:rsid w:val="00094614"/>
    <w:rsid w:val="000970A6"/>
    <w:rsid w:val="000A107D"/>
    <w:rsid w:val="000A1549"/>
    <w:rsid w:val="000A59CD"/>
    <w:rsid w:val="000B10FF"/>
    <w:rsid w:val="000B1B38"/>
    <w:rsid w:val="000B1B75"/>
    <w:rsid w:val="000B1F32"/>
    <w:rsid w:val="000B2BA4"/>
    <w:rsid w:val="000B5400"/>
    <w:rsid w:val="000B6B76"/>
    <w:rsid w:val="000B7680"/>
    <w:rsid w:val="000C2954"/>
    <w:rsid w:val="000C341A"/>
    <w:rsid w:val="000C4B07"/>
    <w:rsid w:val="000C79CA"/>
    <w:rsid w:val="000C7BE4"/>
    <w:rsid w:val="000D1B50"/>
    <w:rsid w:val="000D256C"/>
    <w:rsid w:val="000D2D68"/>
    <w:rsid w:val="000D380D"/>
    <w:rsid w:val="000D3BC5"/>
    <w:rsid w:val="000D6B2B"/>
    <w:rsid w:val="000D7284"/>
    <w:rsid w:val="000E09E8"/>
    <w:rsid w:val="000E2DAC"/>
    <w:rsid w:val="000E4915"/>
    <w:rsid w:val="000F0091"/>
    <w:rsid w:val="000F00E4"/>
    <w:rsid w:val="000F2155"/>
    <w:rsid w:val="000F3CFF"/>
    <w:rsid w:val="000F7138"/>
    <w:rsid w:val="0010315D"/>
    <w:rsid w:val="00103641"/>
    <w:rsid w:val="001051B8"/>
    <w:rsid w:val="001065F5"/>
    <w:rsid w:val="0011145D"/>
    <w:rsid w:val="001130AD"/>
    <w:rsid w:val="00114023"/>
    <w:rsid w:val="001143E8"/>
    <w:rsid w:val="00114E10"/>
    <w:rsid w:val="00121C4A"/>
    <w:rsid w:val="00122273"/>
    <w:rsid w:val="001238EF"/>
    <w:rsid w:val="00124536"/>
    <w:rsid w:val="00125BB4"/>
    <w:rsid w:val="00125D69"/>
    <w:rsid w:val="0012681F"/>
    <w:rsid w:val="001326F7"/>
    <w:rsid w:val="00135524"/>
    <w:rsid w:val="00136DFF"/>
    <w:rsid w:val="00137A04"/>
    <w:rsid w:val="0014462F"/>
    <w:rsid w:val="00145B54"/>
    <w:rsid w:val="0014671F"/>
    <w:rsid w:val="00151A2B"/>
    <w:rsid w:val="00152010"/>
    <w:rsid w:val="00153207"/>
    <w:rsid w:val="00155768"/>
    <w:rsid w:val="0015605E"/>
    <w:rsid w:val="00157CB7"/>
    <w:rsid w:val="00162A43"/>
    <w:rsid w:val="001652C8"/>
    <w:rsid w:val="0016599D"/>
    <w:rsid w:val="001840C3"/>
    <w:rsid w:val="00184467"/>
    <w:rsid w:val="00186A5E"/>
    <w:rsid w:val="00190DEB"/>
    <w:rsid w:val="00191DF8"/>
    <w:rsid w:val="0019371E"/>
    <w:rsid w:val="00195450"/>
    <w:rsid w:val="00197181"/>
    <w:rsid w:val="00197613"/>
    <w:rsid w:val="001A00FD"/>
    <w:rsid w:val="001A4546"/>
    <w:rsid w:val="001A4F85"/>
    <w:rsid w:val="001A5BFB"/>
    <w:rsid w:val="001A7320"/>
    <w:rsid w:val="001A7E9C"/>
    <w:rsid w:val="001B0779"/>
    <w:rsid w:val="001B16B0"/>
    <w:rsid w:val="001C08C2"/>
    <w:rsid w:val="001C2335"/>
    <w:rsid w:val="001C3C31"/>
    <w:rsid w:val="001C779B"/>
    <w:rsid w:val="001C7C37"/>
    <w:rsid w:val="001D06AE"/>
    <w:rsid w:val="001D105B"/>
    <w:rsid w:val="001D139F"/>
    <w:rsid w:val="001D1A9A"/>
    <w:rsid w:val="001D2B02"/>
    <w:rsid w:val="001E1093"/>
    <w:rsid w:val="001E182A"/>
    <w:rsid w:val="001E21CB"/>
    <w:rsid w:val="001E6BE1"/>
    <w:rsid w:val="001F2467"/>
    <w:rsid w:val="001F475E"/>
    <w:rsid w:val="001F7C86"/>
    <w:rsid w:val="002003DF"/>
    <w:rsid w:val="00203F75"/>
    <w:rsid w:val="00204B22"/>
    <w:rsid w:val="002067CC"/>
    <w:rsid w:val="00207707"/>
    <w:rsid w:val="00207F05"/>
    <w:rsid w:val="00214071"/>
    <w:rsid w:val="00215E24"/>
    <w:rsid w:val="00215F94"/>
    <w:rsid w:val="002200E3"/>
    <w:rsid w:val="0022124A"/>
    <w:rsid w:val="00230228"/>
    <w:rsid w:val="00231463"/>
    <w:rsid w:val="00231DE1"/>
    <w:rsid w:val="00232264"/>
    <w:rsid w:val="00233DC7"/>
    <w:rsid w:val="00234440"/>
    <w:rsid w:val="002368E2"/>
    <w:rsid w:val="00243AEC"/>
    <w:rsid w:val="00244351"/>
    <w:rsid w:val="00246EF1"/>
    <w:rsid w:val="00247779"/>
    <w:rsid w:val="0025344F"/>
    <w:rsid w:val="0025426C"/>
    <w:rsid w:val="002549BC"/>
    <w:rsid w:val="00254EA2"/>
    <w:rsid w:val="0025530B"/>
    <w:rsid w:val="002572AF"/>
    <w:rsid w:val="00257838"/>
    <w:rsid w:val="002617DE"/>
    <w:rsid w:val="00264290"/>
    <w:rsid w:val="00264FAD"/>
    <w:rsid w:val="0026605B"/>
    <w:rsid w:val="00267A01"/>
    <w:rsid w:val="00273F1A"/>
    <w:rsid w:val="00274D31"/>
    <w:rsid w:val="00276D97"/>
    <w:rsid w:val="00281159"/>
    <w:rsid w:val="00283AFF"/>
    <w:rsid w:val="00285BEE"/>
    <w:rsid w:val="0028655E"/>
    <w:rsid w:val="00290BF2"/>
    <w:rsid w:val="00291AA7"/>
    <w:rsid w:val="002938DF"/>
    <w:rsid w:val="0029533F"/>
    <w:rsid w:val="002A18B5"/>
    <w:rsid w:val="002A7B88"/>
    <w:rsid w:val="002B30AF"/>
    <w:rsid w:val="002B3702"/>
    <w:rsid w:val="002B599B"/>
    <w:rsid w:val="002B72C7"/>
    <w:rsid w:val="002C10A5"/>
    <w:rsid w:val="002C2560"/>
    <w:rsid w:val="002C38FB"/>
    <w:rsid w:val="002C50B0"/>
    <w:rsid w:val="002C518B"/>
    <w:rsid w:val="002D1597"/>
    <w:rsid w:val="002D24C0"/>
    <w:rsid w:val="002D6A69"/>
    <w:rsid w:val="002D6B37"/>
    <w:rsid w:val="002E0D57"/>
    <w:rsid w:val="002E29BD"/>
    <w:rsid w:val="002E33DD"/>
    <w:rsid w:val="002F02AB"/>
    <w:rsid w:val="002F4796"/>
    <w:rsid w:val="002F47BE"/>
    <w:rsid w:val="002F47DF"/>
    <w:rsid w:val="0030217E"/>
    <w:rsid w:val="003053FE"/>
    <w:rsid w:val="00306DFC"/>
    <w:rsid w:val="00307F3E"/>
    <w:rsid w:val="003102E8"/>
    <w:rsid w:val="00315975"/>
    <w:rsid w:val="00316D63"/>
    <w:rsid w:val="00322983"/>
    <w:rsid w:val="00325494"/>
    <w:rsid w:val="003254B1"/>
    <w:rsid w:val="00327A26"/>
    <w:rsid w:val="00327D9E"/>
    <w:rsid w:val="00330875"/>
    <w:rsid w:val="0033344A"/>
    <w:rsid w:val="00333921"/>
    <w:rsid w:val="00340614"/>
    <w:rsid w:val="00342DBE"/>
    <w:rsid w:val="00347EC7"/>
    <w:rsid w:val="00351B98"/>
    <w:rsid w:val="00354720"/>
    <w:rsid w:val="00355636"/>
    <w:rsid w:val="00355D36"/>
    <w:rsid w:val="003560CA"/>
    <w:rsid w:val="00356989"/>
    <w:rsid w:val="0036293D"/>
    <w:rsid w:val="00372341"/>
    <w:rsid w:val="003725D8"/>
    <w:rsid w:val="0038018A"/>
    <w:rsid w:val="0038030C"/>
    <w:rsid w:val="00381AEF"/>
    <w:rsid w:val="00383E7B"/>
    <w:rsid w:val="00385DBD"/>
    <w:rsid w:val="003916F5"/>
    <w:rsid w:val="00392BF2"/>
    <w:rsid w:val="00395666"/>
    <w:rsid w:val="00397B0E"/>
    <w:rsid w:val="003A0CC2"/>
    <w:rsid w:val="003A6DE2"/>
    <w:rsid w:val="003B1BFE"/>
    <w:rsid w:val="003B505B"/>
    <w:rsid w:val="003B6952"/>
    <w:rsid w:val="003C01A0"/>
    <w:rsid w:val="003C47D8"/>
    <w:rsid w:val="003C49CC"/>
    <w:rsid w:val="003C6386"/>
    <w:rsid w:val="003C64D4"/>
    <w:rsid w:val="003D066A"/>
    <w:rsid w:val="003D258B"/>
    <w:rsid w:val="003D2E7A"/>
    <w:rsid w:val="003D522B"/>
    <w:rsid w:val="003D5C31"/>
    <w:rsid w:val="003D73BA"/>
    <w:rsid w:val="003E15B6"/>
    <w:rsid w:val="003E1F56"/>
    <w:rsid w:val="003E3EFD"/>
    <w:rsid w:val="003E6A38"/>
    <w:rsid w:val="003E7482"/>
    <w:rsid w:val="003F1E5B"/>
    <w:rsid w:val="003F37B4"/>
    <w:rsid w:val="003F4883"/>
    <w:rsid w:val="003F49C0"/>
    <w:rsid w:val="003F4C14"/>
    <w:rsid w:val="003F4F07"/>
    <w:rsid w:val="003F7F7B"/>
    <w:rsid w:val="00403810"/>
    <w:rsid w:val="00406508"/>
    <w:rsid w:val="00406BF1"/>
    <w:rsid w:val="00413345"/>
    <w:rsid w:val="00415532"/>
    <w:rsid w:val="004255FD"/>
    <w:rsid w:val="00425994"/>
    <w:rsid w:val="0042648E"/>
    <w:rsid w:val="00430118"/>
    <w:rsid w:val="00433E14"/>
    <w:rsid w:val="00435996"/>
    <w:rsid w:val="004360DC"/>
    <w:rsid w:val="004378A9"/>
    <w:rsid w:val="004379C6"/>
    <w:rsid w:val="0044009B"/>
    <w:rsid w:val="00441719"/>
    <w:rsid w:val="00441FE9"/>
    <w:rsid w:val="00442A42"/>
    <w:rsid w:val="0045273A"/>
    <w:rsid w:val="004556DB"/>
    <w:rsid w:val="00456618"/>
    <w:rsid w:val="00457A61"/>
    <w:rsid w:val="004610C8"/>
    <w:rsid w:val="004619AA"/>
    <w:rsid w:val="00461C11"/>
    <w:rsid w:val="0046270E"/>
    <w:rsid w:val="00464497"/>
    <w:rsid w:val="0046799F"/>
    <w:rsid w:val="00473CFA"/>
    <w:rsid w:val="00475698"/>
    <w:rsid w:val="00481511"/>
    <w:rsid w:val="00485267"/>
    <w:rsid w:val="0048617E"/>
    <w:rsid w:val="004936D2"/>
    <w:rsid w:val="00495A24"/>
    <w:rsid w:val="00495F45"/>
    <w:rsid w:val="004963FC"/>
    <w:rsid w:val="00497D1F"/>
    <w:rsid w:val="004A010C"/>
    <w:rsid w:val="004A2950"/>
    <w:rsid w:val="004C2BBD"/>
    <w:rsid w:val="004C3147"/>
    <w:rsid w:val="004C386A"/>
    <w:rsid w:val="004C3B2C"/>
    <w:rsid w:val="004C3F48"/>
    <w:rsid w:val="004C68CB"/>
    <w:rsid w:val="004D373C"/>
    <w:rsid w:val="004D389A"/>
    <w:rsid w:val="004E1B4A"/>
    <w:rsid w:val="004E3F3E"/>
    <w:rsid w:val="004E428F"/>
    <w:rsid w:val="004E5670"/>
    <w:rsid w:val="004E5731"/>
    <w:rsid w:val="004E5BFE"/>
    <w:rsid w:val="004E6B2E"/>
    <w:rsid w:val="004E76A7"/>
    <w:rsid w:val="004F6DED"/>
    <w:rsid w:val="004F79BC"/>
    <w:rsid w:val="00500536"/>
    <w:rsid w:val="0050272A"/>
    <w:rsid w:val="00502A3C"/>
    <w:rsid w:val="00506550"/>
    <w:rsid w:val="00510352"/>
    <w:rsid w:val="00511731"/>
    <w:rsid w:val="00513B34"/>
    <w:rsid w:val="005140A6"/>
    <w:rsid w:val="0051415C"/>
    <w:rsid w:val="005164A2"/>
    <w:rsid w:val="005165C1"/>
    <w:rsid w:val="00520D04"/>
    <w:rsid w:val="005228B8"/>
    <w:rsid w:val="00526BBB"/>
    <w:rsid w:val="005319E9"/>
    <w:rsid w:val="00532A1D"/>
    <w:rsid w:val="0053462B"/>
    <w:rsid w:val="00540426"/>
    <w:rsid w:val="0054154C"/>
    <w:rsid w:val="00541BA6"/>
    <w:rsid w:val="0054297E"/>
    <w:rsid w:val="00547CC9"/>
    <w:rsid w:val="005603B1"/>
    <w:rsid w:val="00564F45"/>
    <w:rsid w:val="00564F71"/>
    <w:rsid w:val="00570A55"/>
    <w:rsid w:val="00571643"/>
    <w:rsid w:val="00574C73"/>
    <w:rsid w:val="0057554D"/>
    <w:rsid w:val="00585277"/>
    <w:rsid w:val="00585524"/>
    <w:rsid w:val="005911B1"/>
    <w:rsid w:val="0059380E"/>
    <w:rsid w:val="005941E5"/>
    <w:rsid w:val="00596359"/>
    <w:rsid w:val="00596AE1"/>
    <w:rsid w:val="00596E93"/>
    <w:rsid w:val="00597C35"/>
    <w:rsid w:val="005A1E27"/>
    <w:rsid w:val="005A3B90"/>
    <w:rsid w:val="005A6A47"/>
    <w:rsid w:val="005B1DCA"/>
    <w:rsid w:val="005B1EB6"/>
    <w:rsid w:val="005B2534"/>
    <w:rsid w:val="005B6ABB"/>
    <w:rsid w:val="005B72CE"/>
    <w:rsid w:val="005C0A65"/>
    <w:rsid w:val="005C15BE"/>
    <w:rsid w:val="005C35B0"/>
    <w:rsid w:val="005C6BFD"/>
    <w:rsid w:val="005C7C7C"/>
    <w:rsid w:val="005D154C"/>
    <w:rsid w:val="005D31CF"/>
    <w:rsid w:val="005D66EB"/>
    <w:rsid w:val="005E0B71"/>
    <w:rsid w:val="005F20F6"/>
    <w:rsid w:val="005F219D"/>
    <w:rsid w:val="005F63A7"/>
    <w:rsid w:val="005F6EEC"/>
    <w:rsid w:val="0060257E"/>
    <w:rsid w:val="00602AA7"/>
    <w:rsid w:val="00603F47"/>
    <w:rsid w:val="00603F99"/>
    <w:rsid w:val="00605BC2"/>
    <w:rsid w:val="0060764F"/>
    <w:rsid w:val="00627BF9"/>
    <w:rsid w:val="00631CA3"/>
    <w:rsid w:val="00640122"/>
    <w:rsid w:val="00640DF0"/>
    <w:rsid w:val="00642529"/>
    <w:rsid w:val="0064362B"/>
    <w:rsid w:val="00644A72"/>
    <w:rsid w:val="00645D8D"/>
    <w:rsid w:val="00646E71"/>
    <w:rsid w:val="006536DC"/>
    <w:rsid w:val="006609AA"/>
    <w:rsid w:val="00660DBB"/>
    <w:rsid w:val="0066415E"/>
    <w:rsid w:val="00664839"/>
    <w:rsid w:val="006768D7"/>
    <w:rsid w:val="006775B8"/>
    <w:rsid w:val="00687693"/>
    <w:rsid w:val="00692AEB"/>
    <w:rsid w:val="00692D0F"/>
    <w:rsid w:val="00692E17"/>
    <w:rsid w:val="00694172"/>
    <w:rsid w:val="006A181E"/>
    <w:rsid w:val="006A1927"/>
    <w:rsid w:val="006A19B4"/>
    <w:rsid w:val="006A2EDA"/>
    <w:rsid w:val="006A31EB"/>
    <w:rsid w:val="006A405E"/>
    <w:rsid w:val="006A4732"/>
    <w:rsid w:val="006A7C16"/>
    <w:rsid w:val="006B2F9B"/>
    <w:rsid w:val="006B3C9E"/>
    <w:rsid w:val="006B5E8C"/>
    <w:rsid w:val="006B76BB"/>
    <w:rsid w:val="006C59B6"/>
    <w:rsid w:val="006C7EBB"/>
    <w:rsid w:val="006D394B"/>
    <w:rsid w:val="006D4587"/>
    <w:rsid w:val="006D5AFC"/>
    <w:rsid w:val="006D67C7"/>
    <w:rsid w:val="006D7409"/>
    <w:rsid w:val="006E5696"/>
    <w:rsid w:val="006F1C9D"/>
    <w:rsid w:val="006F201A"/>
    <w:rsid w:val="006F3DE1"/>
    <w:rsid w:val="006F64AC"/>
    <w:rsid w:val="00700096"/>
    <w:rsid w:val="00702A44"/>
    <w:rsid w:val="007041BC"/>
    <w:rsid w:val="00704FB3"/>
    <w:rsid w:val="00706920"/>
    <w:rsid w:val="007118AF"/>
    <w:rsid w:val="00720850"/>
    <w:rsid w:val="00721ABB"/>
    <w:rsid w:val="0072218F"/>
    <w:rsid w:val="007258AA"/>
    <w:rsid w:val="00733EDE"/>
    <w:rsid w:val="007356C8"/>
    <w:rsid w:val="00735BD1"/>
    <w:rsid w:val="00735E00"/>
    <w:rsid w:val="00737FB1"/>
    <w:rsid w:val="007413E7"/>
    <w:rsid w:val="00742FC4"/>
    <w:rsid w:val="007455AE"/>
    <w:rsid w:val="007533AB"/>
    <w:rsid w:val="00754DCD"/>
    <w:rsid w:val="00756055"/>
    <w:rsid w:val="00760027"/>
    <w:rsid w:val="0076038E"/>
    <w:rsid w:val="0076046B"/>
    <w:rsid w:val="00762212"/>
    <w:rsid w:val="00763DDB"/>
    <w:rsid w:val="00765243"/>
    <w:rsid w:val="00765696"/>
    <w:rsid w:val="00766506"/>
    <w:rsid w:val="00767A8B"/>
    <w:rsid w:val="007700A4"/>
    <w:rsid w:val="0077194E"/>
    <w:rsid w:val="00773331"/>
    <w:rsid w:val="007750A5"/>
    <w:rsid w:val="007761F3"/>
    <w:rsid w:val="00776292"/>
    <w:rsid w:val="00776D08"/>
    <w:rsid w:val="00782A41"/>
    <w:rsid w:val="00782F24"/>
    <w:rsid w:val="0078307B"/>
    <w:rsid w:val="00785FB7"/>
    <w:rsid w:val="00791A36"/>
    <w:rsid w:val="007923B7"/>
    <w:rsid w:val="007926B3"/>
    <w:rsid w:val="007932EF"/>
    <w:rsid w:val="00794B01"/>
    <w:rsid w:val="00796BB6"/>
    <w:rsid w:val="00797207"/>
    <w:rsid w:val="00797222"/>
    <w:rsid w:val="007A095C"/>
    <w:rsid w:val="007A1D6D"/>
    <w:rsid w:val="007A22C5"/>
    <w:rsid w:val="007A2DE7"/>
    <w:rsid w:val="007A39A7"/>
    <w:rsid w:val="007A78AF"/>
    <w:rsid w:val="007B2E02"/>
    <w:rsid w:val="007B396D"/>
    <w:rsid w:val="007B490F"/>
    <w:rsid w:val="007C0F34"/>
    <w:rsid w:val="007C3A18"/>
    <w:rsid w:val="007C3EAB"/>
    <w:rsid w:val="007C5A82"/>
    <w:rsid w:val="007C6F4A"/>
    <w:rsid w:val="007D1DA8"/>
    <w:rsid w:val="007E05B0"/>
    <w:rsid w:val="007E157A"/>
    <w:rsid w:val="007E2892"/>
    <w:rsid w:val="007E4BC1"/>
    <w:rsid w:val="007E4C5E"/>
    <w:rsid w:val="007E555D"/>
    <w:rsid w:val="007E6D41"/>
    <w:rsid w:val="007E7627"/>
    <w:rsid w:val="007F2CD1"/>
    <w:rsid w:val="007F3AB8"/>
    <w:rsid w:val="007F565A"/>
    <w:rsid w:val="008038CB"/>
    <w:rsid w:val="008062B8"/>
    <w:rsid w:val="0081239E"/>
    <w:rsid w:val="0081769D"/>
    <w:rsid w:val="00817E9E"/>
    <w:rsid w:val="00820B4F"/>
    <w:rsid w:val="00820D31"/>
    <w:rsid w:val="00823D44"/>
    <w:rsid w:val="008244DF"/>
    <w:rsid w:val="00824DBB"/>
    <w:rsid w:val="00825F06"/>
    <w:rsid w:val="008307E2"/>
    <w:rsid w:val="00835D99"/>
    <w:rsid w:val="008469F9"/>
    <w:rsid w:val="00850707"/>
    <w:rsid w:val="00852EC5"/>
    <w:rsid w:val="008547C6"/>
    <w:rsid w:val="0085518E"/>
    <w:rsid w:val="00857441"/>
    <w:rsid w:val="00860A72"/>
    <w:rsid w:val="00865E72"/>
    <w:rsid w:val="00866B85"/>
    <w:rsid w:val="00870BF2"/>
    <w:rsid w:val="008716C8"/>
    <w:rsid w:val="00872429"/>
    <w:rsid w:val="008749E5"/>
    <w:rsid w:val="00874D22"/>
    <w:rsid w:val="00874EFD"/>
    <w:rsid w:val="00875F8D"/>
    <w:rsid w:val="0087732E"/>
    <w:rsid w:val="00880DF2"/>
    <w:rsid w:val="008810B5"/>
    <w:rsid w:val="008847E1"/>
    <w:rsid w:val="00890289"/>
    <w:rsid w:val="00890778"/>
    <w:rsid w:val="00892497"/>
    <w:rsid w:val="008927D0"/>
    <w:rsid w:val="0089742A"/>
    <w:rsid w:val="008A2914"/>
    <w:rsid w:val="008A42A3"/>
    <w:rsid w:val="008A6580"/>
    <w:rsid w:val="008B007D"/>
    <w:rsid w:val="008B2772"/>
    <w:rsid w:val="008B2B88"/>
    <w:rsid w:val="008B37BE"/>
    <w:rsid w:val="008B3841"/>
    <w:rsid w:val="008B625D"/>
    <w:rsid w:val="008B664B"/>
    <w:rsid w:val="008C13B2"/>
    <w:rsid w:val="008C24B8"/>
    <w:rsid w:val="008C3DFB"/>
    <w:rsid w:val="008C5224"/>
    <w:rsid w:val="008C52C9"/>
    <w:rsid w:val="008C7EE8"/>
    <w:rsid w:val="008D03C3"/>
    <w:rsid w:val="008D0582"/>
    <w:rsid w:val="008D1748"/>
    <w:rsid w:val="008D6435"/>
    <w:rsid w:val="008E10AA"/>
    <w:rsid w:val="008E4D8E"/>
    <w:rsid w:val="008E567F"/>
    <w:rsid w:val="008E7535"/>
    <w:rsid w:val="008F0EE4"/>
    <w:rsid w:val="008F17B2"/>
    <w:rsid w:val="0091222D"/>
    <w:rsid w:val="00913A67"/>
    <w:rsid w:val="00913FE8"/>
    <w:rsid w:val="00916C1B"/>
    <w:rsid w:val="00920C6D"/>
    <w:rsid w:val="00922871"/>
    <w:rsid w:val="00922DF3"/>
    <w:rsid w:val="0093494E"/>
    <w:rsid w:val="009430F1"/>
    <w:rsid w:val="009436C6"/>
    <w:rsid w:val="00951658"/>
    <w:rsid w:val="0096198C"/>
    <w:rsid w:val="00961C8F"/>
    <w:rsid w:val="00962F79"/>
    <w:rsid w:val="00973857"/>
    <w:rsid w:val="00975C13"/>
    <w:rsid w:val="009773D3"/>
    <w:rsid w:val="00977C6B"/>
    <w:rsid w:val="00977D41"/>
    <w:rsid w:val="00981455"/>
    <w:rsid w:val="0098433D"/>
    <w:rsid w:val="00985BC7"/>
    <w:rsid w:val="00990BF4"/>
    <w:rsid w:val="0099176C"/>
    <w:rsid w:val="00994646"/>
    <w:rsid w:val="0099501C"/>
    <w:rsid w:val="00995F53"/>
    <w:rsid w:val="00995FD7"/>
    <w:rsid w:val="009A174D"/>
    <w:rsid w:val="009A33B1"/>
    <w:rsid w:val="009A541F"/>
    <w:rsid w:val="009B091B"/>
    <w:rsid w:val="009B340E"/>
    <w:rsid w:val="009B544F"/>
    <w:rsid w:val="009B693C"/>
    <w:rsid w:val="009C4CB6"/>
    <w:rsid w:val="009C6FF5"/>
    <w:rsid w:val="009D1FA2"/>
    <w:rsid w:val="009D321E"/>
    <w:rsid w:val="009D495F"/>
    <w:rsid w:val="009D5BF2"/>
    <w:rsid w:val="009D78E8"/>
    <w:rsid w:val="009D7D94"/>
    <w:rsid w:val="009D7F26"/>
    <w:rsid w:val="009E05EE"/>
    <w:rsid w:val="009E10CC"/>
    <w:rsid w:val="009E2A05"/>
    <w:rsid w:val="009E2D94"/>
    <w:rsid w:val="009E32C5"/>
    <w:rsid w:val="009F29DC"/>
    <w:rsid w:val="009F3E5C"/>
    <w:rsid w:val="009F42FF"/>
    <w:rsid w:val="009F4645"/>
    <w:rsid w:val="009F556C"/>
    <w:rsid w:val="009F75FD"/>
    <w:rsid w:val="009F7A13"/>
    <w:rsid w:val="00A06D97"/>
    <w:rsid w:val="00A13895"/>
    <w:rsid w:val="00A14B15"/>
    <w:rsid w:val="00A16A59"/>
    <w:rsid w:val="00A230F2"/>
    <w:rsid w:val="00A231E2"/>
    <w:rsid w:val="00A23E1A"/>
    <w:rsid w:val="00A25F9B"/>
    <w:rsid w:val="00A31E6A"/>
    <w:rsid w:val="00A35B1E"/>
    <w:rsid w:val="00A377E3"/>
    <w:rsid w:val="00A37809"/>
    <w:rsid w:val="00A40AD8"/>
    <w:rsid w:val="00A43F48"/>
    <w:rsid w:val="00A4687E"/>
    <w:rsid w:val="00A517E6"/>
    <w:rsid w:val="00A54964"/>
    <w:rsid w:val="00A603DA"/>
    <w:rsid w:val="00A61CB8"/>
    <w:rsid w:val="00A65F01"/>
    <w:rsid w:val="00A716D5"/>
    <w:rsid w:val="00A7229F"/>
    <w:rsid w:val="00A72DA2"/>
    <w:rsid w:val="00A73D48"/>
    <w:rsid w:val="00A767D1"/>
    <w:rsid w:val="00A76C8E"/>
    <w:rsid w:val="00A81BAA"/>
    <w:rsid w:val="00A84017"/>
    <w:rsid w:val="00A84DB8"/>
    <w:rsid w:val="00A8644F"/>
    <w:rsid w:val="00A96B84"/>
    <w:rsid w:val="00AA34E6"/>
    <w:rsid w:val="00AA647E"/>
    <w:rsid w:val="00AA6840"/>
    <w:rsid w:val="00AB3DF1"/>
    <w:rsid w:val="00AB43A7"/>
    <w:rsid w:val="00AB5C85"/>
    <w:rsid w:val="00AC0E55"/>
    <w:rsid w:val="00AC18ED"/>
    <w:rsid w:val="00AC2C73"/>
    <w:rsid w:val="00AC47A5"/>
    <w:rsid w:val="00AC6310"/>
    <w:rsid w:val="00AC7188"/>
    <w:rsid w:val="00AD0F7A"/>
    <w:rsid w:val="00AD2C52"/>
    <w:rsid w:val="00AD7390"/>
    <w:rsid w:val="00AE02C5"/>
    <w:rsid w:val="00AE1D7A"/>
    <w:rsid w:val="00AE2CF6"/>
    <w:rsid w:val="00AE32F4"/>
    <w:rsid w:val="00AE374C"/>
    <w:rsid w:val="00AF02E9"/>
    <w:rsid w:val="00AF3C67"/>
    <w:rsid w:val="00AF4796"/>
    <w:rsid w:val="00B0120D"/>
    <w:rsid w:val="00B01CBF"/>
    <w:rsid w:val="00B030F2"/>
    <w:rsid w:val="00B0344F"/>
    <w:rsid w:val="00B060E2"/>
    <w:rsid w:val="00B10FC6"/>
    <w:rsid w:val="00B156E2"/>
    <w:rsid w:val="00B1761E"/>
    <w:rsid w:val="00B20268"/>
    <w:rsid w:val="00B211F5"/>
    <w:rsid w:val="00B22847"/>
    <w:rsid w:val="00B25937"/>
    <w:rsid w:val="00B262AE"/>
    <w:rsid w:val="00B331A8"/>
    <w:rsid w:val="00B34F6E"/>
    <w:rsid w:val="00B4211E"/>
    <w:rsid w:val="00B4262A"/>
    <w:rsid w:val="00B429E1"/>
    <w:rsid w:val="00B42C1D"/>
    <w:rsid w:val="00B42EC3"/>
    <w:rsid w:val="00B43638"/>
    <w:rsid w:val="00B5112F"/>
    <w:rsid w:val="00B5196B"/>
    <w:rsid w:val="00B536C5"/>
    <w:rsid w:val="00B57BEB"/>
    <w:rsid w:val="00B57C66"/>
    <w:rsid w:val="00B61E59"/>
    <w:rsid w:val="00B64B81"/>
    <w:rsid w:val="00B64E34"/>
    <w:rsid w:val="00B754DC"/>
    <w:rsid w:val="00B820B8"/>
    <w:rsid w:val="00B839D3"/>
    <w:rsid w:val="00B83AF7"/>
    <w:rsid w:val="00B85879"/>
    <w:rsid w:val="00B9027C"/>
    <w:rsid w:val="00B9158C"/>
    <w:rsid w:val="00B917DD"/>
    <w:rsid w:val="00B919DA"/>
    <w:rsid w:val="00B94E1E"/>
    <w:rsid w:val="00B973BE"/>
    <w:rsid w:val="00BA0BF8"/>
    <w:rsid w:val="00BA24A1"/>
    <w:rsid w:val="00BA2FF2"/>
    <w:rsid w:val="00BA31DA"/>
    <w:rsid w:val="00BA33EF"/>
    <w:rsid w:val="00BA47F3"/>
    <w:rsid w:val="00BA59C6"/>
    <w:rsid w:val="00BA6554"/>
    <w:rsid w:val="00BA72D2"/>
    <w:rsid w:val="00BA7D3B"/>
    <w:rsid w:val="00BB43DD"/>
    <w:rsid w:val="00BB4663"/>
    <w:rsid w:val="00BB4BAF"/>
    <w:rsid w:val="00BB7FFB"/>
    <w:rsid w:val="00BC2EA3"/>
    <w:rsid w:val="00BC7C60"/>
    <w:rsid w:val="00BD011D"/>
    <w:rsid w:val="00BD071C"/>
    <w:rsid w:val="00BD2B01"/>
    <w:rsid w:val="00BE1665"/>
    <w:rsid w:val="00BE2DAE"/>
    <w:rsid w:val="00BE39FE"/>
    <w:rsid w:val="00BE4B5F"/>
    <w:rsid w:val="00BE6F4B"/>
    <w:rsid w:val="00BF0709"/>
    <w:rsid w:val="00BF2131"/>
    <w:rsid w:val="00BF55B6"/>
    <w:rsid w:val="00BF5BFB"/>
    <w:rsid w:val="00BF62C7"/>
    <w:rsid w:val="00C01CD1"/>
    <w:rsid w:val="00C03D98"/>
    <w:rsid w:val="00C04EE7"/>
    <w:rsid w:val="00C07684"/>
    <w:rsid w:val="00C12301"/>
    <w:rsid w:val="00C129EE"/>
    <w:rsid w:val="00C13C4F"/>
    <w:rsid w:val="00C1412B"/>
    <w:rsid w:val="00C15551"/>
    <w:rsid w:val="00C201C3"/>
    <w:rsid w:val="00C2090B"/>
    <w:rsid w:val="00C214B2"/>
    <w:rsid w:val="00C22863"/>
    <w:rsid w:val="00C257B6"/>
    <w:rsid w:val="00C269C8"/>
    <w:rsid w:val="00C272F4"/>
    <w:rsid w:val="00C3236E"/>
    <w:rsid w:val="00C33C84"/>
    <w:rsid w:val="00C40DAC"/>
    <w:rsid w:val="00C421B7"/>
    <w:rsid w:val="00C44CC5"/>
    <w:rsid w:val="00C55022"/>
    <w:rsid w:val="00C5644C"/>
    <w:rsid w:val="00C613AF"/>
    <w:rsid w:val="00C614E6"/>
    <w:rsid w:val="00C657BC"/>
    <w:rsid w:val="00C70DE3"/>
    <w:rsid w:val="00C72E4C"/>
    <w:rsid w:val="00C74D94"/>
    <w:rsid w:val="00C76910"/>
    <w:rsid w:val="00C76E37"/>
    <w:rsid w:val="00C8246A"/>
    <w:rsid w:val="00C82931"/>
    <w:rsid w:val="00C832B6"/>
    <w:rsid w:val="00C85A64"/>
    <w:rsid w:val="00C86B81"/>
    <w:rsid w:val="00C87101"/>
    <w:rsid w:val="00C907BB"/>
    <w:rsid w:val="00C916EE"/>
    <w:rsid w:val="00C9392B"/>
    <w:rsid w:val="00C94F2F"/>
    <w:rsid w:val="00C95051"/>
    <w:rsid w:val="00C964C5"/>
    <w:rsid w:val="00C975CE"/>
    <w:rsid w:val="00CA0049"/>
    <w:rsid w:val="00CA4E0A"/>
    <w:rsid w:val="00CA74D8"/>
    <w:rsid w:val="00CA7E21"/>
    <w:rsid w:val="00CB00A2"/>
    <w:rsid w:val="00CB20B0"/>
    <w:rsid w:val="00CB21C1"/>
    <w:rsid w:val="00CB285C"/>
    <w:rsid w:val="00CC0AAD"/>
    <w:rsid w:val="00CC55F9"/>
    <w:rsid w:val="00CC57BE"/>
    <w:rsid w:val="00CC6797"/>
    <w:rsid w:val="00CD030A"/>
    <w:rsid w:val="00CD03B0"/>
    <w:rsid w:val="00CD261B"/>
    <w:rsid w:val="00CD32D8"/>
    <w:rsid w:val="00CD4E2A"/>
    <w:rsid w:val="00CE257F"/>
    <w:rsid w:val="00CE2A7B"/>
    <w:rsid w:val="00CF05E5"/>
    <w:rsid w:val="00CF1C38"/>
    <w:rsid w:val="00CF2C94"/>
    <w:rsid w:val="00CF4C32"/>
    <w:rsid w:val="00CF7563"/>
    <w:rsid w:val="00D00E30"/>
    <w:rsid w:val="00D04FC5"/>
    <w:rsid w:val="00D0588E"/>
    <w:rsid w:val="00D10507"/>
    <w:rsid w:val="00D10F46"/>
    <w:rsid w:val="00D1345A"/>
    <w:rsid w:val="00D14FCC"/>
    <w:rsid w:val="00D16DA6"/>
    <w:rsid w:val="00D20381"/>
    <w:rsid w:val="00D20AB7"/>
    <w:rsid w:val="00D22464"/>
    <w:rsid w:val="00D24E12"/>
    <w:rsid w:val="00D269E2"/>
    <w:rsid w:val="00D3600C"/>
    <w:rsid w:val="00D374AD"/>
    <w:rsid w:val="00D41032"/>
    <w:rsid w:val="00D42C31"/>
    <w:rsid w:val="00D43608"/>
    <w:rsid w:val="00D437A9"/>
    <w:rsid w:val="00D43B8F"/>
    <w:rsid w:val="00D511B2"/>
    <w:rsid w:val="00D51679"/>
    <w:rsid w:val="00D51E4C"/>
    <w:rsid w:val="00D5362E"/>
    <w:rsid w:val="00D5513E"/>
    <w:rsid w:val="00D55B35"/>
    <w:rsid w:val="00D55E25"/>
    <w:rsid w:val="00D5792F"/>
    <w:rsid w:val="00D60403"/>
    <w:rsid w:val="00D6195F"/>
    <w:rsid w:val="00D633C7"/>
    <w:rsid w:val="00D63EA7"/>
    <w:rsid w:val="00D67415"/>
    <w:rsid w:val="00D67A57"/>
    <w:rsid w:val="00D723FA"/>
    <w:rsid w:val="00D72D39"/>
    <w:rsid w:val="00D7795B"/>
    <w:rsid w:val="00D8035C"/>
    <w:rsid w:val="00D80EEA"/>
    <w:rsid w:val="00D87553"/>
    <w:rsid w:val="00D91874"/>
    <w:rsid w:val="00D923A2"/>
    <w:rsid w:val="00D96FEB"/>
    <w:rsid w:val="00DA0F64"/>
    <w:rsid w:val="00DA228E"/>
    <w:rsid w:val="00DA4572"/>
    <w:rsid w:val="00DA6818"/>
    <w:rsid w:val="00DB3808"/>
    <w:rsid w:val="00DB4DBD"/>
    <w:rsid w:val="00DB4FE0"/>
    <w:rsid w:val="00DB6EB2"/>
    <w:rsid w:val="00DC0871"/>
    <w:rsid w:val="00DC4A6C"/>
    <w:rsid w:val="00DC795C"/>
    <w:rsid w:val="00DC7B27"/>
    <w:rsid w:val="00DD6749"/>
    <w:rsid w:val="00DD6DC6"/>
    <w:rsid w:val="00DE1105"/>
    <w:rsid w:val="00DE2350"/>
    <w:rsid w:val="00DE3EF7"/>
    <w:rsid w:val="00DF1D11"/>
    <w:rsid w:val="00DF4593"/>
    <w:rsid w:val="00E04D94"/>
    <w:rsid w:val="00E06304"/>
    <w:rsid w:val="00E1106C"/>
    <w:rsid w:val="00E12F00"/>
    <w:rsid w:val="00E17417"/>
    <w:rsid w:val="00E213CE"/>
    <w:rsid w:val="00E2394C"/>
    <w:rsid w:val="00E24E7B"/>
    <w:rsid w:val="00E259F3"/>
    <w:rsid w:val="00E303FB"/>
    <w:rsid w:val="00E34094"/>
    <w:rsid w:val="00E34A87"/>
    <w:rsid w:val="00E37D59"/>
    <w:rsid w:val="00E41B07"/>
    <w:rsid w:val="00E4471E"/>
    <w:rsid w:val="00E503FC"/>
    <w:rsid w:val="00E52352"/>
    <w:rsid w:val="00E54828"/>
    <w:rsid w:val="00E562EC"/>
    <w:rsid w:val="00E6160F"/>
    <w:rsid w:val="00E72131"/>
    <w:rsid w:val="00E823CE"/>
    <w:rsid w:val="00E82687"/>
    <w:rsid w:val="00E82AE7"/>
    <w:rsid w:val="00E82C12"/>
    <w:rsid w:val="00E84770"/>
    <w:rsid w:val="00E85C5F"/>
    <w:rsid w:val="00E86AF5"/>
    <w:rsid w:val="00E9085D"/>
    <w:rsid w:val="00E918D9"/>
    <w:rsid w:val="00E93418"/>
    <w:rsid w:val="00E945BA"/>
    <w:rsid w:val="00E973CE"/>
    <w:rsid w:val="00EA198D"/>
    <w:rsid w:val="00EA1A8B"/>
    <w:rsid w:val="00EA2B44"/>
    <w:rsid w:val="00EB072D"/>
    <w:rsid w:val="00EB0DCC"/>
    <w:rsid w:val="00EB0FB0"/>
    <w:rsid w:val="00EB74A7"/>
    <w:rsid w:val="00EB7CC3"/>
    <w:rsid w:val="00EC04C2"/>
    <w:rsid w:val="00EC3391"/>
    <w:rsid w:val="00EC40B1"/>
    <w:rsid w:val="00EC6DF9"/>
    <w:rsid w:val="00EC7095"/>
    <w:rsid w:val="00ED0E22"/>
    <w:rsid w:val="00ED14DE"/>
    <w:rsid w:val="00ED6867"/>
    <w:rsid w:val="00ED7273"/>
    <w:rsid w:val="00ED7E54"/>
    <w:rsid w:val="00ED7EBD"/>
    <w:rsid w:val="00EE1D2E"/>
    <w:rsid w:val="00EE642A"/>
    <w:rsid w:val="00EF0E13"/>
    <w:rsid w:val="00EF1FB0"/>
    <w:rsid w:val="00EF279D"/>
    <w:rsid w:val="00EF2FFF"/>
    <w:rsid w:val="00EF3519"/>
    <w:rsid w:val="00EF5DF4"/>
    <w:rsid w:val="00F00D2B"/>
    <w:rsid w:val="00F02B7A"/>
    <w:rsid w:val="00F049A5"/>
    <w:rsid w:val="00F05FC1"/>
    <w:rsid w:val="00F06B63"/>
    <w:rsid w:val="00F06C18"/>
    <w:rsid w:val="00F10241"/>
    <w:rsid w:val="00F10A4C"/>
    <w:rsid w:val="00F10C2C"/>
    <w:rsid w:val="00F166FC"/>
    <w:rsid w:val="00F1727F"/>
    <w:rsid w:val="00F214EA"/>
    <w:rsid w:val="00F21981"/>
    <w:rsid w:val="00F24A9D"/>
    <w:rsid w:val="00F27B69"/>
    <w:rsid w:val="00F30073"/>
    <w:rsid w:val="00F3129D"/>
    <w:rsid w:val="00F3164F"/>
    <w:rsid w:val="00F31F65"/>
    <w:rsid w:val="00F338F4"/>
    <w:rsid w:val="00F365C4"/>
    <w:rsid w:val="00F37FEB"/>
    <w:rsid w:val="00F411C1"/>
    <w:rsid w:val="00F42B33"/>
    <w:rsid w:val="00F430F0"/>
    <w:rsid w:val="00F431AD"/>
    <w:rsid w:val="00F437BA"/>
    <w:rsid w:val="00F4499A"/>
    <w:rsid w:val="00F45EEA"/>
    <w:rsid w:val="00F46B4C"/>
    <w:rsid w:val="00F46D7A"/>
    <w:rsid w:val="00F47F4B"/>
    <w:rsid w:val="00F52B9F"/>
    <w:rsid w:val="00F5572C"/>
    <w:rsid w:val="00F61E45"/>
    <w:rsid w:val="00F6522E"/>
    <w:rsid w:val="00F71240"/>
    <w:rsid w:val="00F778E1"/>
    <w:rsid w:val="00F81666"/>
    <w:rsid w:val="00F822A2"/>
    <w:rsid w:val="00F82AC9"/>
    <w:rsid w:val="00F8530B"/>
    <w:rsid w:val="00F87E3F"/>
    <w:rsid w:val="00F937D3"/>
    <w:rsid w:val="00F93B5B"/>
    <w:rsid w:val="00FA2BF3"/>
    <w:rsid w:val="00FA3841"/>
    <w:rsid w:val="00FB17B5"/>
    <w:rsid w:val="00FB7209"/>
    <w:rsid w:val="00FB7853"/>
    <w:rsid w:val="00FC0CEA"/>
    <w:rsid w:val="00FC252D"/>
    <w:rsid w:val="00FC38F8"/>
    <w:rsid w:val="00FC4A7A"/>
    <w:rsid w:val="00FD1A1D"/>
    <w:rsid w:val="00FD6762"/>
    <w:rsid w:val="00FD71B8"/>
    <w:rsid w:val="00FD7603"/>
    <w:rsid w:val="00FF2F88"/>
    <w:rsid w:val="00FF3940"/>
    <w:rsid w:val="00FF5108"/>
    <w:rsid w:val="00FF63B4"/>
    <w:rsid w:val="00FF6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469D78A4"/>
  <w15:docId w15:val="{8FDF640F-905C-4F37-B9EE-42C212AC2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it-IT"/>
    </w:rPr>
  </w:style>
  <w:style w:type="paragraph" w:styleId="Heading1">
    <w:name w:val="heading 1"/>
    <w:basedOn w:val="Normal"/>
    <w:next w:val="Text1"/>
    <w:link w:val="Heading1Char"/>
    <w:uiPriority w:val="9"/>
    <w:qFormat/>
    <w:pPr>
      <w:keepNext/>
      <w:numPr>
        <w:numId w:val="3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C7095"/>
    <w:rPr>
      <w:color w:val="0000FF"/>
      <w:u w:val="single"/>
      <w:shd w:val="clear" w:color="auto" w:fill="auto"/>
    </w:rPr>
  </w:style>
  <w:style w:type="character" w:styleId="FollowedHyperlink">
    <w:name w:val="FollowedHyperlink"/>
    <w:basedOn w:val="DefaultParagraphFont"/>
    <w:semiHidden/>
    <w:unhideWhenUsed/>
    <w:rsid w:val="00351B98"/>
    <w:rPr>
      <w:color w:val="800080" w:themeColor="followedHyperlink"/>
      <w:u w:val="single"/>
    </w:rPr>
  </w:style>
  <w:style w:type="paragraph" w:customStyle="1" w:styleId="li">
    <w:name w:val="li"/>
    <w:basedOn w:val="Normal"/>
    <w:rsid w:val="001652C8"/>
    <w:pPr>
      <w:spacing w:before="100" w:beforeAutospacing="1" w:after="100" w:afterAutospacing="1"/>
      <w:jc w:val="left"/>
    </w:pPr>
    <w:rPr>
      <w:rFonts w:eastAsia="Times New Roman"/>
      <w:szCs w:val="24"/>
    </w:rPr>
  </w:style>
  <w:style w:type="character" w:styleId="CommentReference">
    <w:name w:val="annotation reference"/>
    <w:basedOn w:val="DefaultParagraphFont"/>
    <w:semiHidden/>
    <w:unhideWhenUsed/>
    <w:rsid w:val="00DB6EB2"/>
    <w:rPr>
      <w:sz w:val="16"/>
      <w:szCs w:val="16"/>
    </w:rPr>
  </w:style>
  <w:style w:type="paragraph" w:styleId="CommentText">
    <w:name w:val="annotation text"/>
    <w:basedOn w:val="Normal"/>
    <w:link w:val="CommentTextChar"/>
    <w:unhideWhenUsed/>
    <w:rsid w:val="00DB6EB2"/>
    <w:rPr>
      <w:sz w:val="20"/>
      <w:szCs w:val="20"/>
    </w:rPr>
  </w:style>
  <w:style w:type="character" w:customStyle="1" w:styleId="CommentTextChar">
    <w:name w:val="Comment Text Char"/>
    <w:basedOn w:val="DefaultParagraphFont"/>
    <w:link w:val="CommentText"/>
    <w:rsid w:val="00DB6EB2"/>
    <w:rPr>
      <w:rFonts w:ascii="Times New Roman" w:hAnsi="Times New Roman" w:cs="Times New Roman"/>
      <w:sz w:val="20"/>
      <w:szCs w:val="20"/>
      <w:lang w:val="it-IT"/>
    </w:rPr>
  </w:style>
  <w:style w:type="paragraph" w:styleId="CommentSubject">
    <w:name w:val="annotation subject"/>
    <w:basedOn w:val="CommentText"/>
    <w:next w:val="CommentText"/>
    <w:link w:val="CommentSubjectChar"/>
    <w:semiHidden/>
    <w:unhideWhenUsed/>
    <w:rsid w:val="00DB6EB2"/>
    <w:rPr>
      <w:b/>
      <w:bCs/>
    </w:rPr>
  </w:style>
  <w:style w:type="character" w:customStyle="1" w:styleId="CommentSubjectChar">
    <w:name w:val="Comment Subject Char"/>
    <w:basedOn w:val="CommentTextChar"/>
    <w:link w:val="CommentSubject"/>
    <w:semiHidden/>
    <w:rsid w:val="00DB6EB2"/>
    <w:rPr>
      <w:rFonts w:ascii="Times New Roman" w:hAnsi="Times New Roman" w:cs="Times New Roman"/>
      <w:b/>
      <w:bCs/>
      <w:sz w:val="20"/>
      <w:szCs w:val="20"/>
      <w:lang w:val="it-IT"/>
    </w:rPr>
  </w:style>
  <w:style w:type="paragraph" w:styleId="BalloonText">
    <w:name w:val="Balloon Text"/>
    <w:basedOn w:val="Normal"/>
    <w:link w:val="BalloonTextChar"/>
    <w:semiHidden/>
    <w:unhideWhenUsed/>
    <w:rsid w:val="00DB6EB2"/>
    <w:pPr>
      <w:spacing w:before="0" w:after="0"/>
    </w:pPr>
    <w:rPr>
      <w:rFonts w:ascii="Segoe UI" w:hAnsi="Segoe UI" w:cs="Segoe UI"/>
      <w:sz w:val="18"/>
      <w:szCs w:val="18"/>
    </w:rPr>
  </w:style>
  <w:style w:type="character" w:customStyle="1" w:styleId="BalloonTextChar">
    <w:name w:val="Balloon Text Char"/>
    <w:basedOn w:val="DefaultParagraphFont"/>
    <w:link w:val="BalloonText"/>
    <w:semiHidden/>
    <w:rsid w:val="00DB6EB2"/>
    <w:rPr>
      <w:rFonts w:ascii="Segoe UI" w:hAnsi="Segoe UI" w:cs="Segoe UI"/>
      <w:sz w:val="18"/>
      <w:szCs w:val="18"/>
      <w:lang w:val="it-IT"/>
    </w:rPr>
  </w:style>
  <w:style w:type="paragraph" w:styleId="ListParagraph">
    <w:name w:val="List Paragraph"/>
    <w:basedOn w:val="Normal"/>
    <w:uiPriority w:val="34"/>
    <w:qFormat/>
    <w:rsid w:val="003C6386"/>
    <w:pPr>
      <w:ind w:left="720"/>
      <w:contextualSpacing/>
    </w:pPr>
  </w:style>
  <w:style w:type="paragraph" w:styleId="ListBullet">
    <w:name w:val="List Bullet"/>
    <w:basedOn w:val="Normal"/>
    <w:semiHidden/>
    <w:unhideWhenUsed/>
    <w:rsid w:val="007E7627"/>
    <w:pPr>
      <w:numPr>
        <w:numId w:val="1"/>
      </w:numPr>
      <w:contextualSpacing/>
    </w:pPr>
  </w:style>
  <w:style w:type="paragraph" w:styleId="ListBullet2">
    <w:name w:val="List Bullet 2"/>
    <w:basedOn w:val="Normal"/>
    <w:semiHidden/>
    <w:unhideWhenUsed/>
    <w:rsid w:val="007E7627"/>
    <w:pPr>
      <w:numPr>
        <w:numId w:val="2"/>
      </w:numPr>
      <w:contextualSpacing/>
    </w:pPr>
  </w:style>
  <w:style w:type="paragraph" w:styleId="ListBullet3">
    <w:name w:val="List Bullet 3"/>
    <w:basedOn w:val="Normal"/>
    <w:semiHidden/>
    <w:unhideWhenUsed/>
    <w:rsid w:val="007E7627"/>
    <w:pPr>
      <w:numPr>
        <w:numId w:val="3"/>
      </w:numPr>
      <w:contextualSpacing/>
    </w:pPr>
  </w:style>
  <w:style w:type="paragraph" w:styleId="ListBullet4">
    <w:name w:val="List Bullet 4"/>
    <w:basedOn w:val="Normal"/>
    <w:semiHidden/>
    <w:unhideWhenUsed/>
    <w:rsid w:val="007E7627"/>
    <w:pPr>
      <w:numPr>
        <w:numId w:val="4"/>
      </w:numPr>
      <w:contextualSpacing/>
    </w:pPr>
  </w:style>
  <w:style w:type="paragraph" w:customStyle="1" w:styleId="typant">
    <w:name w:val="typant"/>
    <w:basedOn w:val="Considrant"/>
    <w:rsid w:val="00AF3C67"/>
    <w:pPr>
      <w:numPr>
        <w:numId w:val="0"/>
      </w:numPr>
      <w:ind w:left="709" w:hanging="709"/>
      <w:jc w:val="center"/>
    </w:pPr>
    <w:rPr>
      <w:b/>
    </w:rPr>
  </w:style>
  <w:style w:type="paragraph" w:customStyle="1" w:styleId="Typeacteprincipalt">
    <w:name w:val="Type acte principalt"/>
    <w:basedOn w:val="Considrant"/>
    <w:rsid w:val="00AF3C67"/>
    <w:pPr>
      <w:numPr>
        <w:numId w:val="0"/>
      </w:numPr>
      <w:ind w:left="709"/>
      <w:jc w:val="center"/>
    </w:pPr>
    <w:rPr>
      <w:b/>
    </w:rPr>
  </w:style>
  <w:style w:type="table" w:customStyle="1" w:styleId="TableGrid11">
    <w:name w:val="Table Grid11"/>
    <w:basedOn w:val="TableNormal"/>
    <w:next w:val="TableGrid"/>
    <w:uiPriority w:val="59"/>
    <w:rsid w:val="00AE0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E0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975CE"/>
    <w:pPr>
      <w:spacing w:after="0" w:line="240" w:lineRule="auto"/>
    </w:pPr>
    <w:rPr>
      <w:rFonts w:ascii="Times New Roman" w:hAnsi="Times New Roman" w:cs="Times New Roman"/>
      <w:sz w:val="24"/>
    </w:rPr>
  </w:style>
  <w:style w:type="paragraph" w:customStyle="1" w:styleId="xl73">
    <w:name w:val="xl73"/>
    <w:basedOn w:val="Normal"/>
    <w:rsid w:val="000D256C"/>
    <w:pPr>
      <w:spacing w:before="100" w:beforeAutospacing="1" w:after="100" w:afterAutospacing="1"/>
      <w:jc w:val="left"/>
    </w:pPr>
    <w:rPr>
      <w:rFonts w:eastAsia="Times New Roman"/>
      <w:b/>
      <w:bCs/>
      <w:i/>
      <w:iCs/>
      <w:sz w:val="16"/>
      <w:szCs w:val="16"/>
      <w:lang w:eastAsia="en-GB"/>
    </w:rPr>
  </w:style>
  <w:style w:type="paragraph" w:styleId="BodyText">
    <w:name w:val="Body Text"/>
    <w:basedOn w:val="Normal"/>
    <w:link w:val="BodyTextChar"/>
    <w:uiPriority w:val="1"/>
    <w:semiHidden/>
    <w:unhideWhenUsed/>
    <w:qFormat/>
    <w:rsid w:val="00DA6818"/>
    <w:pPr>
      <w:widowControl w:val="0"/>
      <w:autoSpaceDE w:val="0"/>
      <w:autoSpaceDN w:val="0"/>
      <w:spacing w:before="0" w:after="0"/>
      <w:jc w:val="left"/>
    </w:pPr>
    <w:rPr>
      <w:rFonts w:eastAsia="Times New Roman"/>
      <w:szCs w:val="24"/>
    </w:rPr>
  </w:style>
  <w:style w:type="character" w:customStyle="1" w:styleId="BodyTextChar">
    <w:name w:val="Body Text Char"/>
    <w:basedOn w:val="DefaultParagraphFont"/>
    <w:link w:val="BodyText"/>
    <w:uiPriority w:val="1"/>
    <w:semiHidden/>
    <w:rsid w:val="00DA6818"/>
    <w:rPr>
      <w:rFonts w:ascii="Times New Roman" w:eastAsia="Times New Roman" w:hAnsi="Times New Roman" w:cs="Times New Roman"/>
      <w:sz w:val="24"/>
      <w:szCs w:val="24"/>
    </w:rPr>
  </w:style>
  <w:style w:type="paragraph" w:customStyle="1" w:styleId="font5">
    <w:name w:val="font5"/>
    <w:basedOn w:val="Normal"/>
    <w:rsid w:val="000A59CD"/>
    <w:pPr>
      <w:spacing w:before="100" w:beforeAutospacing="1" w:after="100" w:afterAutospacing="1"/>
      <w:jc w:val="left"/>
    </w:pPr>
    <w:rPr>
      <w:rFonts w:ascii="Calibri" w:eastAsia="Times New Roman" w:hAnsi="Calibri" w:cs="Calibri"/>
      <w:b/>
      <w:bCs/>
      <w:color w:val="000000"/>
      <w:sz w:val="22"/>
      <w:lang w:eastAsia="en-GB"/>
    </w:rPr>
  </w:style>
  <w:style w:type="paragraph" w:customStyle="1" w:styleId="ListDash">
    <w:name w:val="List Dash"/>
    <w:basedOn w:val="Normal"/>
    <w:uiPriority w:val="1"/>
    <w:rsid w:val="004E6B2E"/>
    <w:pPr>
      <w:numPr>
        <w:numId w:val="5"/>
      </w:numPr>
      <w:spacing w:before="0" w:after="240"/>
    </w:pPr>
    <w:rPr>
      <w:rFonts w:eastAsia="Times New Roman"/>
      <w:szCs w:val="20"/>
      <w:lang w:eastAsia="en-IE"/>
    </w:rPr>
  </w:style>
  <w:style w:type="paragraph" w:customStyle="1" w:styleId="ListDashLevel2">
    <w:name w:val="List Dash (Level 2)"/>
    <w:basedOn w:val="Normal"/>
    <w:uiPriority w:val="1"/>
    <w:rsid w:val="004E6B2E"/>
    <w:pPr>
      <w:numPr>
        <w:ilvl w:val="1"/>
        <w:numId w:val="5"/>
      </w:numPr>
      <w:spacing w:before="0" w:after="240"/>
    </w:pPr>
    <w:rPr>
      <w:rFonts w:eastAsia="Times New Roman"/>
      <w:szCs w:val="20"/>
      <w:lang w:eastAsia="en-IE"/>
    </w:rPr>
  </w:style>
  <w:style w:type="paragraph" w:customStyle="1" w:styleId="ListDashLevel3">
    <w:name w:val="List Dash (Level 3)"/>
    <w:basedOn w:val="Normal"/>
    <w:uiPriority w:val="1"/>
    <w:semiHidden/>
    <w:unhideWhenUsed/>
    <w:rsid w:val="004E6B2E"/>
    <w:pPr>
      <w:numPr>
        <w:ilvl w:val="2"/>
        <w:numId w:val="5"/>
      </w:numPr>
      <w:spacing w:before="0" w:after="240"/>
    </w:pPr>
    <w:rPr>
      <w:rFonts w:eastAsia="Times New Roman"/>
      <w:szCs w:val="20"/>
      <w:lang w:eastAsia="en-IE"/>
    </w:rPr>
  </w:style>
  <w:style w:type="paragraph" w:customStyle="1" w:styleId="ListDashLevel4">
    <w:name w:val="List Dash (Level 4)"/>
    <w:basedOn w:val="Normal"/>
    <w:uiPriority w:val="1"/>
    <w:semiHidden/>
    <w:unhideWhenUsed/>
    <w:rsid w:val="004E6B2E"/>
    <w:pPr>
      <w:numPr>
        <w:ilvl w:val="3"/>
        <w:numId w:val="5"/>
      </w:numPr>
      <w:spacing w:before="0" w:after="240"/>
    </w:pPr>
    <w:rPr>
      <w:rFonts w:eastAsia="Times New Roman"/>
      <w:szCs w:val="20"/>
      <w:lang w:eastAsia="en-IE"/>
    </w:rPr>
  </w:style>
  <w:style w:type="paragraph" w:styleId="Caption">
    <w:name w:val="caption"/>
    <w:basedOn w:val="Normal"/>
    <w:next w:val="Normal"/>
    <w:semiHidden/>
    <w:unhideWhenUsed/>
    <w:qFormat/>
    <w:rsid w:val="00F8530B"/>
    <w:pPr>
      <w:spacing w:before="0" w:after="200"/>
    </w:pPr>
    <w:rPr>
      <w:i/>
      <w:iCs/>
      <w:color w:val="1F497D" w:themeColor="text2"/>
      <w:sz w:val="18"/>
      <w:szCs w:val="18"/>
    </w:rPr>
  </w:style>
  <w:style w:type="paragraph" w:styleId="TableofFigures">
    <w:name w:val="table of figures"/>
    <w:basedOn w:val="Normal"/>
    <w:next w:val="Normal"/>
    <w:semiHidden/>
    <w:unhideWhenUsed/>
    <w:rsid w:val="00F8530B"/>
    <w:pPr>
      <w:spacing w:after="0"/>
    </w:pPr>
  </w:style>
  <w:style w:type="paragraph" w:styleId="ListNumber">
    <w:name w:val="List Number"/>
    <w:basedOn w:val="Normal"/>
    <w:semiHidden/>
    <w:unhideWhenUsed/>
    <w:rsid w:val="00F8530B"/>
    <w:pPr>
      <w:numPr>
        <w:numId w:val="6"/>
      </w:numPr>
      <w:contextualSpacing/>
    </w:pPr>
  </w:style>
  <w:style w:type="paragraph" w:styleId="ListNumber2">
    <w:name w:val="List Number 2"/>
    <w:basedOn w:val="Normal"/>
    <w:semiHidden/>
    <w:unhideWhenUsed/>
    <w:rsid w:val="00F8530B"/>
    <w:pPr>
      <w:numPr>
        <w:numId w:val="7"/>
      </w:numPr>
      <w:contextualSpacing/>
    </w:pPr>
  </w:style>
  <w:style w:type="paragraph" w:styleId="ListNumber3">
    <w:name w:val="List Number 3"/>
    <w:basedOn w:val="Normal"/>
    <w:semiHidden/>
    <w:unhideWhenUsed/>
    <w:rsid w:val="00F8530B"/>
    <w:pPr>
      <w:numPr>
        <w:numId w:val="8"/>
      </w:numPr>
      <w:contextualSpacing/>
    </w:pPr>
  </w:style>
  <w:style w:type="paragraph" w:styleId="ListNumber4">
    <w:name w:val="List Number 4"/>
    <w:basedOn w:val="Normal"/>
    <w:semiHidden/>
    <w:unhideWhenUsed/>
    <w:rsid w:val="00F8530B"/>
    <w:pPr>
      <w:numPr>
        <w:numId w:val="9"/>
      </w:numPr>
      <w:contextualSpacing/>
    </w:pPr>
  </w:style>
  <w:style w:type="paragraph" w:customStyle="1" w:styleId="Article">
    <w:name w:val="Article"/>
    <w:basedOn w:val="Considrant"/>
    <w:rsid w:val="00704FB3"/>
  </w:style>
  <w:style w:type="paragraph" w:customStyle="1" w:styleId="Pint">
    <w:name w:val="Pint"/>
    <w:basedOn w:val="Point0number"/>
    <w:rsid w:val="00207F05"/>
  </w:style>
  <w:style w:type="paragraph" w:customStyle="1" w:styleId="Ititre">
    <w:name w:val="Ititre"/>
    <w:basedOn w:val="Considrant"/>
    <w:rsid w:val="00D96FEB"/>
    <w:rPr>
      <w:i/>
    </w:rPr>
  </w:style>
  <w:style w:type="character" w:customStyle="1" w:styleId="UnresolvedMention1">
    <w:name w:val="Unresolved Mention1"/>
    <w:basedOn w:val="DefaultParagraphFont"/>
    <w:uiPriority w:val="99"/>
    <w:semiHidden/>
    <w:unhideWhenUsed/>
    <w:rsid w:val="00283AFF"/>
    <w:rPr>
      <w:color w:val="605E5C"/>
      <w:shd w:val="clear" w:color="auto" w:fill="E1DFDD"/>
    </w:rPr>
  </w:style>
  <w:style w:type="paragraph" w:customStyle="1" w:styleId="msonormal0">
    <w:name w:val="msonormal"/>
    <w:basedOn w:val="Normal"/>
    <w:rsid w:val="005F20F6"/>
    <w:pPr>
      <w:spacing w:before="100" w:beforeAutospacing="1" w:after="100" w:afterAutospacing="1"/>
      <w:jc w:val="left"/>
    </w:pPr>
    <w:rPr>
      <w:rFonts w:eastAsia="Times New Roman"/>
      <w:szCs w:val="24"/>
      <w:lang w:eastAsia="en-IE"/>
    </w:rPr>
  </w:style>
  <w:style w:type="paragraph" w:customStyle="1" w:styleId="ListBullet1">
    <w:name w:val="List Bullet 1"/>
    <w:basedOn w:val="Normal"/>
    <w:rsid w:val="005F20F6"/>
    <w:pPr>
      <w:numPr>
        <w:numId w:val="12"/>
      </w:numPr>
    </w:pPr>
    <w:rPr>
      <w:lang w:eastAsia="en-GB"/>
    </w:rPr>
  </w:style>
  <w:style w:type="paragraph" w:customStyle="1" w:styleId="ListDash1">
    <w:name w:val="List Dash 1"/>
    <w:basedOn w:val="Normal"/>
    <w:rsid w:val="005F20F6"/>
    <w:pPr>
      <w:numPr>
        <w:numId w:val="13"/>
      </w:numPr>
    </w:pPr>
    <w:rPr>
      <w:lang w:eastAsia="en-GB"/>
    </w:rPr>
  </w:style>
  <w:style w:type="paragraph" w:customStyle="1" w:styleId="ListDash2">
    <w:name w:val="List Dash 2"/>
    <w:basedOn w:val="Normal"/>
    <w:rsid w:val="005F20F6"/>
    <w:pPr>
      <w:numPr>
        <w:numId w:val="14"/>
      </w:numPr>
    </w:pPr>
    <w:rPr>
      <w:lang w:eastAsia="en-GB"/>
    </w:rPr>
  </w:style>
  <w:style w:type="paragraph" w:customStyle="1" w:styleId="ListNumberLevel2">
    <w:name w:val="List Number (Level 2)"/>
    <w:basedOn w:val="Normal"/>
    <w:rsid w:val="005F20F6"/>
    <w:pPr>
      <w:tabs>
        <w:tab w:val="num" w:pos="1417"/>
      </w:tabs>
      <w:ind w:left="1417" w:hanging="708"/>
    </w:pPr>
    <w:rPr>
      <w:lang w:eastAsia="en-GB"/>
    </w:rPr>
  </w:style>
  <w:style w:type="paragraph" w:customStyle="1" w:styleId="ListNumberLevel3">
    <w:name w:val="List Number (Level 3)"/>
    <w:basedOn w:val="Normal"/>
    <w:rsid w:val="005F20F6"/>
    <w:pPr>
      <w:tabs>
        <w:tab w:val="num" w:pos="2126"/>
      </w:tabs>
      <w:ind w:left="2126" w:hanging="709"/>
    </w:pPr>
    <w:rPr>
      <w:lang w:eastAsia="en-GB"/>
    </w:rPr>
  </w:style>
  <w:style w:type="paragraph" w:customStyle="1" w:styleId="ListNumberLevel4">
    <w:name w:val="List Number (Level 4)"/>
    <w:basedOn w:val="Normal"/>
    <w:rsid w:val="005F20F6"/>
    <w:pPr>
      <w:tabs>
        <w:tab w:val="num" w:pos="2835"/>
      </w:tabs>
      <w:ind w:left="2835" w:hanging="709"/>
    </w:pPr>
    <w:rPr>
      <w:lang w:eastAsia="en-GB"/>
    </w:rPr>
  </w:style>
  <w:style w:type="paragraph" w:customStyle="1" w:styleId="Fichefinancirestandardtitre">
    <w:name w:val="Fiche financière (standard) titre"/>
    <w:basedOn w:val="Normal"/>
    <w:next w:val="Normal"/>
    <w:rsid w:val="005F20F6"/>
    <w:pPr>
      <w:jc w:val="center"/>
    </w:pPr>
    <w:rPr>
      <w:b/>
      <w:u w:val="single"/>
      <w:lang w:eastAsia="en-GB"/>
    </w:rPr>
  </w:style>
  <w:style w:type="paragraph" w:customStyle="1" w:styleId="Sous-titreobjet">
    <w:name w:val="Sous-titre objet"/>
    <w:basedOn w:val="Normal"/>
    <w:rsid w:val="005F20F6"/>
    <w:pPr>
      <w:spacing w:before="0" w:after="0"/>
      <w:jc w:val="center"/>
    </w:pPr>
    <w:rPr>
      <w:b/>
      <w:lang w:eastAsia="en-GB"/>
    </w:rPr>
  </w:style>
  <w:style w:type="paragraph" w:customStyle="1" w:styleId="Sous-titreobjetPagedecouverture">
    <w:name w:val="Sous-titre objet (Page de couverture)"/>
    <w:basedOn w:val="Sous-titreobjet"/>
    <w:rsid w:val="005F20F6"/>
  </w:style>
  <w:style w:type="character" w:customStyle="1" w:styleId="FooterCoverPageChar">
    <w:name w:val="Footer Cover Page Char"/>
    <w:basedOn w:val="TOCHeadingChar"/>
    <w:link w:val="FooterCoverPage"/>
    <w:locked/>
    <w:rsid w:val="005F20F6"/>
    <w:rPr>
      <w:rFonts w:ascii="Times New Roman" w:hAnsi="Times New Roman" w:cs="Times New Roman" w:hint="default"/>
      <w:b w:val="0"/>
      <w:bCs w:val="0"/>
      <w:sz w:val="24"/>
      <w:lang w:val="it-IT"/>
    </w:rPr>
  </w:style>
  <w:style w:type="paragraph" w:customStyle="1" w:styleId="FooterCoverPage">
    <w:name w:val="Footer Cover Page"/>
    <w:basedOn w:val="Normal"/>
    <w:link w:val="FooterCoverPageChar"/>
    <w:rsid w:val="005F20F6"/>
    <w:pPr>
      <w:tabs>
        <w:tab w:val="center" w:pos="4535"/>
        <w:tab w:val="right" w:pos="9071"/>
        <w:tab w:val="right" w:pos="9921"/>
      </w:tabs>
      <w:spacing w:before="360" w:after="0"/>
      <w:ind w:left="-850" w:right="-850"/>
      <w:jc w:val="left"/>
    </w:pPr>
  </w:style>
  <w:style w:type="character" w:customStyle="1" w:styleId="HeaderCoverPageChar">
    <w:name w:val="Header Cover Page Char"/>
    <w:basedOn w:val="TOCHeadingChar"/>
    <w:link w:val="HeaderCoverPage"/>
    <w:locked/>
    <w:rsid w:val="005F20F6"/>
    <w:rPr>
      <w:rFonts w:ascii="Times New Roman" w:hAnsi="Times New Roman" w:cs="Times New Roman" w:hint="default"/>
      <w:b w:val="0"/>
      <w:bCs w:val="0"/>
      <w:sz w:val="24"/>
      <w:lang w:val="it-IT" w:eastAsia="en-GB"/>
    </w:rPr>
  </w:style>
  <w:style w:type="paragraph" w:customStyle="1" w:styleId="HeaderCoverPage">
    <w:name w:val="Header Cover Page"/>
    <w:basedOn w:val="Normal"/>
    <w:link w:val="HeaderCoverPageChar"/>
    <w:rsid w:val="005F20F6"/>
    <w:pPr>
      <w:tabs>
        <w:tab w:val="center" w:pos="4535"/>
        <w:tab w:val="right" w:pos="9071"/>
      </w:tabs>
      <w:spacing w:before="0"/>
    </w:pPr>
    <w:rPr>
      <w:lang w:eastAsia="en-GB"/>
    </w:rPr>
  </w:style>
  <w:style w:type="character" w:customStyle="1" w:styleId="Text1Char">
    <w:name w:val="Text 1 Char"/>
    <w:locked/>
    <w:rsid w:val="005F20F6"/>
    <w:rPr>
      <w:rFonts w:ascii="Times New Roman" w:hAnsi="Times New Roman" w:cs="Times New Roman"/>
      <w:sz w:val="24"/>
      <w:lang w:val="it-IT"/>
    </w:rPr>
  </w:style>
  <w:style w:type="character" w:customStyle="1" w:styleId="TOCHeadingChar">
    <w:name w:val="TOC Heading Char"/>
    <w:basedOn w:val="DefaultParagraphFont"/>
    <w:uiPriority w:val="39"/>
    <w:rsid w:val="005F20F6"/>
    <w:rPr>
      <w:rFonts w:ascii="Times New Roman" w:hAnsi="Times New Roman" w:cs="Times New Roman" w:hint="default"/>
      <w:b/>
      <w:bCs w:val="0"/>
      <w:sz w:val="28"/>
      <w:lang w:val="it-IT"/>
    </w:rPr>
  </w:style>
  <w:style w:type="paragraph" w:styleId="EndnoteText">
    <w:name w:val="endnote text"/>
    <w:basedOn w:val="Normal"/>
    <w:link w:val="EndnoteTextChar"/>
    <w:uiPriority w:val="99"/>
    <w:semiHidden/>
    <w:unhideWhenUsed/>
    <w:rsid w:val="006B3C9E"/>
    <w:pPr>
      <w:spacing w:before="0" w:after="0"/>
    </w:pPr>
    <w:rPr>
      <w:sz w:val="20"/>
      <w:szCs w:val="20"/>
    </w:rPr>
  </w:style>
  <w:style w:type="character" w:customStyle="1" w:styleId="EndnoteTextChar">
    <w:name w:val="Endnote Text Char"/>
    <w:basedOn w:val="DefaultParagraphFont"/>
    <w:link w:val="EndnoteText"/>
    <w:uiPriority w:val="99"/>
    <w:semiHidden/>
    <w:rsid w:val="006B3C9E"/>
    <w:rPr>
      <w:rFonts w:ascii="Times New Roman" w:hAnsi="Times New Roman" w:cs="Times New Roman"/>
      <w:sz w:val="20"/>
      <w:szCs w:val="20"/>
      <w:lang w:val="it-IT"/>
    </w:rPr>
  </w:style>
  <w:style w:type="character" w:styleId="EndnoteReference">
    <w:name w:val="endnote reference"/>
    <w:basedOn w:val="DefaultParagraphFont"/>
    <w:uiPriority w:val="99"/>
    <w:semiHidden/>
    <w:unhideWhenUsed/>
    <w:rsid w:val="006B3C9E"/>
    <w:rPr>
      <w:vertAlign w:val="superscript"/>
    </w:rPr>
  </w:style>
  <w:style w:type="paragraph" w:customStyle="1" w:styleId="Expos">
    <w:name w:val="Expos"/>
    <w:basedOn w:val="Normal"/>
    <w:rsid w:val="00835D99"/>
    <w:pPr>
      <w:jc w:val="center"/>
    </w:pPr>
    <w:rPr>
      <w:b/>
      <w:u w:val="single"/>
    </w:rPr>
  </w:style>
  <w:style w:type="paragraph" w:styleId="Header">
    <w:name w:val="header"/>
    <w:basedOn w:val="Normal"/>
    <w:link w:val="HeaderChar"/>
    <w:uiPriority w:val="99"/>
    <w:unhideWhenUsed/>
    <w:rsid w:val="001A4546"/>
    <w:pPr>
      <w:tabs>
        <w:tab w:val="center" w:pos="4535"/>
        <w:tab w:val="right" w:pos="9071"/>
      </w:tabs>
      <w:spacing w:before="0"/>
    </w:pPr>
  </w:style>
  <w:style w:type="character" w:customStyle="1" w:styleId="HeaderChar">
    <w:name w:val="Header Char"/>
    <w:basedOn w:val="DefaultParagraphFont"/>
    <w:link w:val="Header"/>
    <w:uiPriority w:val="99"/>
    <w:rsid w:val="001A4546"/>
    <w:rPr>
      <w:rFonts w:ascii="Times New Roman" w:hAnsi="Times New Roman" w:cs="Times New Roman"/>
      <w:sz w:val="24"/>
      <w:lang w:val="it-IT"/>
    </w:rPr>
  </w:style>
  <w:style w:type="paragraph" w:styleId="Footer">
    <w:name w:val="footer"/>
    <w:basedOn w:val="Normal"/>
    <w:link w:val="FooterChar"/>
    <w:uiPriority w:val="99"/>
    <w:unhideWhenUsed/>
    <w:rsid w:val="001A454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1A4546"/>
    <w:rPr>
      <w:rFonts w:ascii="Times New Roman" w:hAnsi="Times New Roman" w:cs="Times New Roman"/>
      <w:sz w:val="24"/>
      <w:lang w:val="it-I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1A4546"/>
    <w:pPr>
      <w:tabs>
        <w:tab w:val="center" w:pos="7285"/>
        <w:tab w:val="right" w:pos="14003"/>
      </w:tabs>
      <w:spacing w:before="0"/>
    </w:pPr>
  </w:style>
  <w:style w:type="paragraph" w:customStyle="1" w:styleId="FooterLandscape">
    <w:name w:val="FooterLandscape"/>
    <w:basedOn w:val="Normal"/>
    <w:rsid w:val="001A454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1A4546"/>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1A4546"/>
    <w:pPr>
      <w:spacing w:before="0"/>
      <w:jc w:val="right"/>
    </w:pPr>
    <w:rPr>
      <w:sz w:val="28"/>
    </w:rPr>
  </w:style>
  <w:style w:type="paragraph" w:customStyle="1" w:styleId="FooterSensitivity">
    <w:name w:val="Footer Sensitivity"/>
    <w:basedOn w:val="Normal"/>
    <w:rsid w:val="001A4546"/>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1"/>
      </w:numPr>
    </w:pPr>
  </w:style>
  <w:style w:type="paragraph" w:customStyle="1" w:styleId="Tiret1">
    <w:name w:val="Tiret 1"/>
    <w:basedOn w:val="Point1"/>
    <w:pPr>
      <w:numPr>
        <w:numId w:val="32"/>
      </w:numPr>
    </w:pPr>
  </w:style>
  <w:style w:type="paragraph" w:customStyle="1" w:styleId="Tiret2">
    <w:name w:val="Tiret 2"/>
    <w:basedOn w:val="Point2"/>
    <w:pPr>
      <w:numPr>
        <w:numId w:val="33"/>
      </w:numPr>
    </w:pPr>
  </w:style>
  <w:style w:type="paragraph" w:customStyle="1" w:styleId="Tiret3">
    <w:name w:val="Tiret 3"/>
    <w:basedOn w:val="Point3"/>
    <w:pPr>
      <w:numPr>
        <w:numId w:val="34"/>
      </w:numPr>
    </w:pPr>
  </w:style>
  <w:style w:type="paragraph" w:customStyle="1" w:styleId="Tiret4">
    <w:name w:val="Tiret 4"/>
    <w:basedOn w:val="Point4"/>
    <w:pPr>
      <w:numPr>
        <w:numId w:val="35"/>
      </w:numPr>
    </w:pPr>
  </w:style>
  <w:style w:type="paragraph" w:customStyle="1" w:styleId="Tiret5">
    <w:name w:val="Tiret 5"/>
    <w:basedOn w:val="Point5"/>
    <w:pPr>
      <w:numPr>
        <w:numId w:val="3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7"/>
      </w:numPr>
    </w:pPr>
  </w:style>
  <w:style w:type="paragraph" w:customStyle="1" w:styleId="NumPar2">
    <w:name w:val="NumPar 2"/>
    <w:basedOn w:val="Normal"/>
    <w:next w:val="Text1"/>
    <w:pPr>
      <w:numPr>
        <w:ilvl w:val="1"/>
        <w:numId w:val="37"/>
      </w:numPr>
    </w:pPr>
  </w:style>
  <w:style w:type="paragraph" w:customStyle="1" w:styleId="NumPar3">
    <w:name w:val="NumPar 3"/>
    <w:basedOn w:val="Normal"/>
    <w:next w:val="Text1"/>
    <w:pPr>
      <w:numPr>
        <w:ilvl w:val="2"/>
        <w:numId w:val="37"/>
      </w:numPr>
    </w:pPr>
  </w:style>
  <w:style w:type="paragraph" w:customStyle="1" w:styleId="NumPar4">
    <w:name w:val="NumPar 4"/>
    <w:basedOn w:val="Normal"/>
    <w:next w:val="Text1"/>
    <w:pPr>
      <w:numPr>
        <w:ilvl w:val="3"/>
        <w:numId w:val="37"/>
      </w:numPr>
    </w:pPr>
  </w:style>
  <w:style w:type="paragraph" w:customStyle="1" w:styleId="NumPar5">
    <w:name w:val="NumPar 5"/>
    <w:basedOn w:val="Normal"/>
    <w:next w:val="Text2"/>
    <w:pPr>
      <w:numPr>
        <w:ilvl w:val="4"/>
        <w:numId w:val="37"/>
      </w:numPr>
    </w:pPr>
  </w:style>
  <w:style w:type="paragraph" w:customStyle="1" w:styleId="NumPar6">
    <w:name w:val="NumPar 6"/>
    <w:basedOn w:val="Normal"/>
    <w:next w:val="Text2"/>
    <w:pPr>
      <w:numPr>
        <w:ilvl w:val="5"/>
        <w:numId w:val="37"/>
      </w:numPr>
    </w:pPr>
  </w:style>
  <w:style w:type="paragraph" w:customStyle="1" w:styleId="NumPar7">
    <w:name w:val="NumPar 7"/>
    <w:basedOn w:val="Normal"/>
    <w:next w:val="Text2"/>
    <w:pPr>
      <w:numPr>
        <w:ilvl w:val="6"/>
        <w:numId w:val="3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9"/>
      </w:numPr>
    </w:pPr>
  </w:style>
  <w:style w:type="paragraph" w:customStyle="1" w:styleId="Point1number">
    <w:name w:val="Point 1 (number)"/>
    <w:basedOn w:val="Normal"/>
    <w:pPr>
      <w:numPr>
        <w:ilvl w:val="2"/>
        <w:numId w:val="39"/>
      </w:numPr>
    </w:pPr>
  </w:style>
  <w:style w:type="paragraph" w:customStyle="1" w:styleId="Point2number">
    <w:name w:val="Point 2 (number)"/>
    <w:basedOn w:val="Normal"/>
    <w:pPr>
      <w:numPr>
        <w:ilvl w:val="4"/>
        <w:numId w:val="39"/>
      </w:numPr>
    </w:pPr>
  </w:style>
  <w:style w:type="paragraph" w:customStyle="1" w:styleId="Point3number">
    <w:name w:val="Point 3 (number)"/>
    <w:basedOn w:val="Normal"/>
    <w:pPr>
      <w:numPr>
        <w:ilvl w:val="6"/>
        <w:numId w:val="39"/>
      </w:numPr>
    </w:pPr>
  </w:style>
  <w:style w:type="paragraph" w:customStyle="1" w:styleId="Point0letter">
    <w:name w:val="Point 0 (letter)"/>
    <w:basedOn w:val="Normal"/>
    <w:pPr>
      <w:numPr>
        <w:ilvl w:val="1"/>
        <w:numId w:val="39"/>
      </w:numPr>
    </w:pPr>
  </w:style>
  <w:style w:type="paragraph" w:customStyle="1" w:styleId="Point1letter">
    <w:name w:val="Point 1 (letter)"/>
    <w:basedOn w:val="Normal"/>
    <w:pPr>
      <w:numPr>
        <w:ilvl w:val="3"/>
        <w:numId w:val="39"/>
      </w:numPr>
    </w:pPr>
  </w:style>
  <w:style w:type="paragraph" w:customStyle="1" w:styleId="Point2letter">
    <w:name w:val="Point 2 (letter)"/>
    <w:basedOn w:val="Normal"/>
    <w:pPr>
      <w:numPr>
        <w:ilvl w:val="5"/>
        <w:numId w:val="39"/>
      </w:numPr>
    </w:pPr>
  </w:style>
  <w:style w:type="paragraph" w:customStyle="1" w:styleId="Point3letter">
    <w:name w:val="Point 3 (letter)"/>
    <w:basedOn w:val="Normal"/>
    <w:pPr>
      <w:numPr>
        <w:ilvl w:val="7"/>
        <w:numId w:val="39"/>
      </w:numPr>
    </w:pPr>
  </w:style>
  <w:style w:type="paragraph" w:customStyle="1" w:styleId="Point4letter">
    <w:name w:val="Point 4 (letter)"/>
    <w:basedOn w:val="Normal"/>
    <w:pPr>
      <w:numPr>
        <w:ilvl w:val="8"/>
        <w:numId w:val="39"/>
      </w:numPr>
    </w:pPr>
  </w:style>
  <w:style w:type="paragraph" w:customStyle="1" w:styleId="Bullet0">
    <w:name w:val="Bullet 0"/>
    <w:basedOn w:val="Normal"/>
    <w:pPr>
      <w:numPr>
        <w:numId w:val="40"/>
      </w:numPr>
    </w:pPr>
  </w:style>
  <w:style w:type="paragraph" w:customStyle="1" w:styleId="Bullet1">
    <w:name w:val="Bullet 1"/>
    <w:basedOn w:val="Normal"/>
    <w:pPr>
      <w:numPr>
        <w:numId w:val="41"/>
      </w:numPr>
    </w:pPr>
  </w:style>
  <w:style w:type="paragraph" w:customStyle="1" w:styleId="Bullet2">
    <w:name w:val="Bullet 2"/>
    <w:basedOn w:val="Normal"/>
    <w:pPr>
      <w:numPr>
        <w:numId w:val="42"/>
      </w:numPr>
    </w:pPr>
  </w:style>
  <w:style w:type="paragraph" w:customStyle="1" w:styleId="Bullet3">
    <w:name w:val="Bullet 3"/>
    <w:basedOn w:val="Normal"/>
    <w:pPr>
      <w:numPr>
        <w:numId w:val="43"/>
      </w:numPr>
    </w:pPr>
  </w:style>
  <w:style w:type="paragraph" w:customStyle="1" w:styleId="Bullet4">
    <w:name w:val="Bullet 4"/>
    <w:basedOn w:val="Normal"/>
    <w:pPr>
      <w:numPr>
        <w:numId w:val="4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05389">
      <w:bodyDiv w:val="1"/>
      <w:marLeft w:val="0"/>
      <w:marRight w:val="0"/>
      <w:marTop w:val="0"/>
      <w:marBottom w:val="0"/>
      <w:divBdr>
        <w:top w:val="none" w:sz="0" w:space="0" w:color="auto"/>
        <w:left w:val="none" w:sz="0" w:space="0" w:color="auto"/>
        <w:bottom w:val="none" w:sz="0" w:space="0" w:color="auto"/>
        <w:right w:val="none" w:sz="0" w:space="0" w:color="auto"/>
      </w:divBdr>
    </w:div>
    <w:div w:id="332296284">
      <w:bodyDiv w:val="1"/>
      <w:marLeft w:val="0"/>
      <w:marRight w:val="0"/>
      <w:marTop w:val="0"/>
      <w:marBottom w:val="0"/>
      <w:divBdr>
        <w:top w:val="none" w:sz="0" w:space="0" w:color="auto"/>
        <w:left w:val="none" w:sz="0" w:space="0" w:color="auto"/>
        <w:bottom w:val="none" w:sz="0" w:space="0" w:color="auto"/>
        <w:right w:val="none" w:sz="0" w:space="0" w:color="auto"/>
      </w:divBdr>
    </w:div>
    <w:div w:id="392392983">
      <w:bodyDiv w:val="1"/>
      <w:marLeft w:val="0"/>
      <w:marRight w:val="0"/>
      <w:marTop w:val="0"/>
      <w:marBottom w:val="0"/>
      <w:divBdr>
        <w:top w:val="none" w:sz="0" w:space="0" w:color="auto"/>
        <w:left w:val="none" w:sz="0" w:space="0" w:color="auto"/>
        <w:bottom w:val="none" w:sz="0" w:space="0" w:color="auto"/>
        <w:right w:val="none" w:sz="0" w:space="0" w:color="auto"/>
      </w:divBdr>
    </w:div>
    <w:div w:id="402877031">
      <w:bodyDiv w:val="1"/>
      <w:marLeft w:val="0"/>
      <w:marRight w:val="0"/>
      <w:marTop w:val="0"/>
      <w:marBottom w:val="0"/>
      <w:divBdr>
        <w:top w:val="none" w:sz="0" w:space="0" w:color="auto"/>
        <w:left w:val="none" w:sz="0" w:space="0" w:color="auto"/>
        <w:bottom w:val="none" w:sz="0" w:space="0" w:color="auto"/>
        <w:right w:val="none" w:sz="0" w:space="0" w:color="auto"/>
      </w:divBdr>
    </w:div>
    <w:div w:id="442768039">
      <w:bodyDiv w:val="1"/>
      <w:marLeft w:val="0"/>
      <w:marRight w:val="0"/>
      <w:marTop w:val="0"/>
      <w:marBottom w:val="0"/>
      <w:divBdr>
        <w:top w:val="none" w:sz="0" w:space="0" w:color="auto"/>
        <w:left w:val="none" w:sz="0" w:space="0" w:color="auto"/>
        <w:bottom w:val="none" w:sz="0" w:space="0" w:color="auto"/>
        <w:right w:val="none" w:sz="0" w:space="0" w:color="auto"/>
      </w:divBdr>
    </w:div>
    <w:div w:id="570123091">
      <w:bodyDiv w:val="1"/>
      <w:marLeft w:val="0"/>
      <w:marRight w:val="0"/>
      <w:marTop w:val="0"/>
      <w:marBottom w:val="0"/>
      <w:divBdr>
        <w:top w:val="none" w:sz="0" w:space="0" w:color="auto"/>
        <w:left w:val="none" w:sz="0" w:space="0" w:color="auto"/>
        <w:bottom w:val="none" w:sz="0" w:space="0" w:color="auto"/>
        <w:right w:val="none" w:sz="0" w:space="0" w:color="auto"/>
      </w:divBdr>
    </w:div>
    <w:div w:id="715659404">
      <w:bodyDiv w:val="1"/>
      <w:marLeft w:val="0"/>
      <w:marRight w:val="0"/>
      <w:marTop w:val="0"/>
      <w:marBottom w:val="0"/>
      <w:divBdr>
        <w:top w:val="none" w:sz="0" w:space="0" w:color="auto"/>
        <w:left w:val="none" w:sz="0" w:space="0" w:color="auto"/>
        <w:bottom w:val="none" w:sz="0" w:space="0" w:color="auto"/>
        <w:right w:val="none" w:sz="0" w:space="0" w:color="auto"/>
      </w:divBdr>
    </w:div>
    <w:div w:id="889340221">
      <w:bodyDiv w:val="1"/>
      <w:marLeft w:val="0"/>
      <w:marRight w:val="0"/>
      <w:marTop w:val="0"/>
      <w:marBottom w:val="0"/>
      <w:divBdr>
        <w:top w:val="none" w:sz="0" w:space="0" w:color="auto"/>
        <w:left w:val="none" w:sz="0" w:space="0" w:color="auto"/>
        <w:bottom w:val="none" w:sz="0" w:space="0" w:color="auto"/>
        <w:right w:val="none" w:sz="0" w:space="0" w:color="auto"/>
      </w:divBdr>
    </w:div>
    <w:div w:id="967011299">
      <w:bodyDiv w:val="1"/>
      <w:marLeft w:val="0"/>
      <w:marRight w:val="0"/>
      <w:marTop w:val="0"/>
      <w:marBottom w:val="0"/>
      <w:divBdr>
        <w:top w:val="none" w:sz="0" w:space="0" w:color="auto"/>
        <w:left w:val="none" w:sz="0" w:space="0" w:color="auto"/>
        <w:bottom w:val="none" w:sz="0" w:space="0" w:color="auto"/>
        <w:right w:val="none" w:sz="0" w:space="0" w:color="auto"/>
      </w:divBdr>
    </w:div>
    <w:div w:id="1003432868">
      <w:bodyDiv w:val="1"/>
      <w:marLeft w:val="0"/>
      <w:marRight w:val="0"/>
      <w:marTop w:val="0"/>
      <w:marBottom w:val="0"/>
      <w:divBdr>
        <w:top w:val="none" w:sz="0" w:space="0" w:color="auto"/>
        <w:left w:val="none" w:sz="0" w:space="0" w:color="auto"/>
        <w:bottom w:val="none" w:sz="0" w:space="0" w:color="auto"/>
        <w:right w:val="none" w:sz="0" w:space="0" w:color="auto"/>
      </w:divBdr>
    </w:div>
    <w:div w:id="1029182348">
      <w:bodyDiv w:val="1"/>
      <w:marLeft w:val="0"/>
      <w:marRight w:val="0"/>
      <w:marTop w:val="0"/>
      <w:marBottom w:val="0"/>
      <w:divBdr>
        <w:top w:val="none" w:sz="0" w:space="0" w:color="auto"/>
        <w:left w:val="none" w:sz="0" w:space="0" w:color="auto"/>
        <w:bottom w:val="none" w:sz="0" w:space="0" w:color="auto"/>
        <w:right w:val="none" w:sz="0" w:space="0" w:color="auto"/>
      </w:divBdr>
    </w:div>
    <w:div w:id="1074090391">
      <w:bodyDiv w:val="1"/>
      <w:marLeft w:val="0"/>
      <w:marRight w:val="0"/>
      <w:marTop w:val="0"/>
      <w:marBottom w:val="0"/>
      <w:divBdr>
        <w:top w:val="none" w:sz="0" w:space="0" w:color="auto"/>
        <w:left w:val="none" w:sz="0" w:space="0" w:color="auto"/>
        <w:bottom w:val="none" w:sz="0" w:space="0" w:color="auto"/>
        <w:right w:val="none" w:sz="0" w:space="0" w:color="auto"/>
      </w:divBdr>
    </w:div>
    <w:div w:id="1122453466">
      <w:bodyDiv w:val="1"/>
      <w:marLeft w:val="0"/>
      <w:marRight w:val="0"/>
      <w:marTop w:val="0"/>
      <w:marBottom w:val="0"/>
      <w:divBdr>
        <w:top w:val="none" w:sz="0" w:space="0" w:color="auto"/>
        <w:left w:val="none" w:sz="0" w:space="0" w:color="auto"/>
        <w:bottom w:val="none" w:sz="0" w:space="0" w:color="auto"/>
        <w:right w:val="none" w:sz="0" w:space="0" w:color="auto"/>
      </w:divBdr>
    </w:div>
    <w:div w:id="1246308135">
      <w:bodyDiv w:val="1"/>
      <w:marLeft w:val="0"/>
      <w:marRight w:val="0"/>
      <w:marTop w:val="0"/>
      <w:marBottom w:val="0"/>
      <w:divBdr>
        <w:top w:val="none" w:sz="0" w:space="0" w:color="auto"/>
        <w:left w:val="none" w:sz="0" w:space="0" w:color="auto"/>
        <w:bottom w:val="none" w:sz="0" w:space="0" w:color="auto"/>
        <w:right w:val="none" w:sz="0" w:space="0" w:color="auto"/>
      </w:divBdr>
    </w:div>
    <w:div w:id="1275331643">
      <w:bodyDiv w:val="1"/>
      <w:marLeft w:val="0"/>
      <w:marRight w:val="0"/>
      <w:marTop w:val="0"/>
      <w:marBottom w:val="0"/>
      <w:divBdr>
        <w:top w:val="none" w:sz="0" w:space="0" w:color="auto"/>
        <w:left w:val="none" w:sz="0" w:space="0" w:color="auto"/>
        <w:bottom w:val="none" w:sz="0" w:space="0" w:color="auto"/>
        <w:right w:val="none" w:sz="0" w:space="0" w:color="auto"/>
      </w:divBdr>
    </w:div>
    <w:div w:id="1299218353">
      <w:bodyDiv w:val="1"/>
      <w:marLeft w:val="0"/>
      <w:marRight w:val="0"/>
      <w:marTop w:val="0"/>
      <w:marBottom w:val="0"/>
      <w:divBdr>
        <w:top w:val="none" w:sz="0" w:space="0" w:color="auto"/>
        <w:left w:val="none" w:sz="0" w:space="0" w:color="auto"/>
        <w:bottom w:val="none" w:sz="0" w:space="0" w:color="auto"/>
        <w:right w:val="none" w:sz="0" w:space="0" w:color="auto"/>
      </w:divBdr>
    </w:div>
    <w:div w:id="1366715136">
      <w:bodyDiv w:val="1"/>
      <w:marLeft w:val="0"/>
      <w:marRight w:val="0"/>
      <w:marTop w:val="0"/>
      <w:marBottom w:val="0"/>
      <w:divBdr>
        <w:top w:val="none" w:sz="0" w:space="0" w:color="auto"/>
        <w:left w:val="none" w:sz="0" w:space="0" w:color="auto"/>
        <w:bottom w:val="none" w:sz="0" w:space="0" w:color="auto"/>
        <w:right w:val="none" w:sz="0" w:space="0" w:color="auto"/>
      </w:divBdr>
    </w:div>
    <w:div w:id="1548420296">
      <w:bodyDiv w:val="1"/>
      <w:marLeft w:val="0"/>
      <w:marRight w:val="0"/>
      <w:marTop w:val="0"/>
      <w:marBottom w:val="0"/>
      <w:divBdr>
        <w:top w:val="none" w:sz="0" w:space="0" w:color="auto"/>
        <w:left w:val="none" w:sz="0" w:space="0" w:color="auto"/>
        <w:bottom w:val="none" w:sz="0" w:space="0" w:color="auto"/>
        <w:right w:val="none" w:sz="0" w:space="0" w:color="auto"/>
      </w:divBdr>
    </w:div>
    <w:div w:id="1580406322">
      <w:bodyDiv w:val="1"/>
      <w:marLeft w:val="0"/>
      <w:marRight w:val="0"/>
      <w:marTop w:val="0"/>
      <w:marBottom w:val="0"/>
      <w:divBdr>
        <w:top w:val="none" w:sz="0" w:space="0" w:color="auto"/>
        <w:left w:val="none" w:sz="0" w:space="0" w:color="auto"/>
        <w:bottom w:val="none" w:sz="0" w:space="0" w:color="auto"/>
        <w:right w:val="none" w:sz="0" w:space="0" w:color="auto"/>
      </w:divBdr>
    </w:div>
    <w:div w:id="1623417989">
      <w:bodyDiv w:val="1"/>
      <w:marLeft w:val="0"/>
      <w:marRight w:val="0"/>
      <w:marTop w:val="0"/>
      <w:marBottom w:val="0"/>
      <w:divBdr>
        <w:top w:val="none" w:sz="0" w:space="0" w:color="auto"/>
        <w:left w:val="none" w:sz="0" w:space="0" w:color="auto"/>
        <w:bottom w:val="none" w:sz="0" w:space="0" w:color="auto"/>
        <w:right w:val="none" w:sz="0" w:space="0" w:color="auto"/>
      </w:divBdr>
    </w:div>
    <w:div w:id="1638993320">
      <w:bodyDiv w:val="1"/>
      <w:marLeft w:val="0"/>
      <w:marRight w:val="0"/>
      <w:marTop w:val="0"/>
      <w:marBottom w:val="0"/>
      <w:divBdr>
        <w:top w:val="none" w:sz="0" w:space="0" w:color="auto"/>
        <w:left w:val="none" w:sz="0" w:space="0" w:color="auto"/>
        <w:bottom w:val="none" w:sz="0" w:space="0" w:color="auto"/>
        <w:right w:val="none" w:sz="0" w:space="0" w:color="auto"/>
      </w:divBdr>
    </w:div>
    <w:div w:id="1825391685">
      <w:bodyDiv w:val="1"/>
      <w:marLeft w:val="0"/>
      <w:marRight w:val="0"/>
      <w:marTop w:val="0"/>
      <w:marBottom w:val="0"/>
      <w:divBdr>
        <w:top w:val="none" w:sz="0" w:space="0" w:color="auto"/>
        <w:left w:val="none" w:sz="0" w:space="0" w:color="auto"/>
        <w:bottom w:val="none" w:sz="0" w:space="0" w:color="auto"/>
        <w:right w:val="none" w:sz="0" w:space="0" w:color="auto"/>
      </w:divBdr>
    </w:div>
    <w:div w:id="1950626503">
      <w:bodyDiv w:val="1"/>
      <w:marLeft w:val="0"/>
      <w:marRight w:val="0"/>
      <w:marTop w:val="0"/>
      <w:marBottom w:val="0"/>
      <w:divBdr>
        <w:top w:val="none" w:sz="0" w:space="0" w:color="auto"/>
        <w:left w:val="none" w:sz="0" w:space="0" w:color="auto"/>
        <w:bottom w:val="none" w:sz="0" w:space="0" w:color="auto"/>
        <w:right w:val="none" w:sz="0" w:space="0" w:color="auto"/>
      </w:divBdr>
    </w:div>
    <w:div w:id="20080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https://eur-lex.europa.eu/legal-content/EN/TXT/?uri=CELEX%3A02005L0035-20091116" TargetMode="Externa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myintracomm.ec.europa.eu/corp/budget/financial-rules/budget-implementation/Pages/implementation-methods.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43760-8FA1-48A9-9F3B-5CFEEC360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50</Pages>
  <Words>17489</Words>
  <Characters>106159</Characters>
  <Application>Microsoft Office Word</Application>
  <DocSecurity>0</DocSecurity>
  <Lines>2307</Lines>
  <Paragraphs>797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 UNGUREANU Ana-Claudia (SG)</dc:creator>
  <cp:keywords/>
  <dc:description/>
  <cp:lastModifiedBy>TORRE UNGUREANU Ana-Claudia (SG)</cp:lastModifiedBy>
  <cp:revision>3</cp:revision>
  <cp:lastPrinted>2023-04-28T14:49:00Z</cp:lastPrinted>
  <dcterms:created xsi:type="dcterms:W3CDTF">2023-07-07T05:26:00Z</dcterms:created>
  <dcterms:modified xsi:type="dcterms:W3CDTF">2023-07-07T08:24:00Z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8.1, Build 20230124</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SJ-024</vt:lpwstr>
  </property>
  <property fmtid="{D5CDD505-2E9C-101B-9397-08002B2CF9AE}" pid="10" name="MSIP_Label_6bd9ddd1-4d20-43f6-abfa-fc3c07406f94_Enabled">
    <vt:lpwstr>true</vt:lpwstr>
  </property>
  <property fmtid="{D5CDD505-2E9C-101B-9397-08002B2CF9AE}" pid="11" name="MSIP_Label_6bd9ddd1-4d20-43f6-abfa-fc3c07406f94_SetDate">
    <vt:lpwstr>2023-03-09T09:07:35Z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3d0b349a-52db-4d29-b1f7-8b7be612f384</vt:lpwstr>
  </property>
  <property fmtid="{D5CDD505-2E9C-101B-9397-08002B2CF9AE}" pid="16" name="MSIP_Label_6bd9ddd1-4d20-43f6-abfa-fc3c07406f94_ContentBits">
    <vt:lpwstr>0</vt:lpwstr>
  </property>
  <property fmtid="{D5CDD505-2E9C-101B-9397-08002B2CF9AE}" pid="17" name="DQCStatus">
    <vt:lpwstr>Yellow (DQC version 03)</vt:lpwstr>
  </property>
</Properties>
</file>