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3F6D5" w14:textId="14CC2A5D" w:rsidR="00AF3AC4" w:rsidRPr="00F64058" w:rsidRDefault="00AD32D9" w:rsidP="00AD32D9">
      <w:pPr>
        <w:pStyle w:val="Pagedecouverture"/>
        <w:rPr>
          <w:noProof/>
        </w:rPr>
      </w:pPr>
      <w:r>
        <w:rPr>
          <w:noProof/>
        </w:rPr>
        <w:pict w14:anchorId="5BCCD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7417E49-2D89-4DD8-A6AE-B9CEFCBE5124" style="width:455.25pt;height:425.25pt">
            <v:imagedata r:id="rId7" o:title=""/>
          </v:shape>
        </w:pict>
      </w:r>
    </w:p>
    <w:p w14:paraId="7D6131C0" w14:textId="77777777" w:rsidR="00AF3AC4" w:rsidRPr="00F64058" w:rsidRDefault="00AF3AC4" w:rsidP="00AF3AC4">
      <w:pPr>
        <w:rPr>
          <w:noProof/>
        </w:rPr>
        <w:sectPr w:rsidR="00AF3AC4" w:rsidRPr="00F64058" w:rsidSect="00AD32D9">
          <w:footerReference w:type="default" r:id="rId8"/>
          <w:pgSz w:w="11907" w:h="16839"/>
          <w:pgMar w:top="1134" w:right="1417" w:bottom="1134" w:left="1417" w:header="709" w:footer="709" w:gutter="0"/>
          <w:pgNumType w:start="0"/>
          <w:cols w:space="720"/>
          <w:docGrid w:linePitch="360"/>
        </w:sectPr>
      </w:pPr>
    </w:p>
    <w:p w14:paraId="14BE9F65" w14:textId="77777777" w:rsidR="00AF3AC4" w:rsidRPr="00F64058" w:rsidRDefault="00AF3AC4" w:rsidP="00AA5DE7">
      <w:pPr>
        <w:pStyle w:val="Exposdesmotifstitre"/>
        <w:rPr>
          <w:noProof/>
        </w:rPr>
      </w:pPr>
      <w:bookmarkStart w:id="0" w:name="_GoBack"/>
      <w:bookmarkEnd w:id="0"/>
      <w:r w:rsidRPr="00F64058">
        <w:rPr>
          <w:noProof/>
        </w:rPr>
        <w:lastRenderedPageBreak/>
        <w:t>ОБЯСНИТЕЛЕН МЕМОРАНДУМ</w:t>
      </w:r>
    </w:p>
    <w:p w14:paraId="6FF596EB" w14:textId="3F631220" w:rsidR="00AF3AC4" w:rsidRPr="00F64058" w:rsidRDefault="00DE7C8C" w:rsidP="00DE7C8C">
      <w:pPr>
        <w:pStyle w:val="ManualHeading1"/>
        <w:rPr>
          <w:rFonts w:eastAsia="Arial Unicode MS"/>
          <w:noProof/>
        </w:rPr>
      </w:pPr>
      <w:r w:rsidRPr="00DE7C8C">
        <w:t>1.</w:t>
      </w:r>
      <w:r w:rsidRPr="00DE7C8C">
        <w:tab/>
      </w:r>
      <w:r w:rsidR="00AF3AC4" w:rsidRPr="00F64058">
        <w:rPr>
          <w:noProof/>
        </w:rPr>
        <w:t>Предмет на предложението</w:t>
      </w:r>
    </w:p>
    <w:p w14:paraId="3BAB9C2C" w14:textId="17591EF6" w:rsidR="00AF3AC4" w:rsidRPr="00F64058" w:rsidRDefault="00AF3AC4" w:rsidP="00AF3AC4">
      <w:pPr>
        <w:rPr>
          <w:rFonts w:eastAsia="Calibri"/>
          <w:noProof/>
        </w:rPr>
      </w:pPr>
      <w:r w:rsidRPr="00F64058">
        <w:rPr>
          <w:noProof/>
        </w:rPr>
        <w:t>Настоящото предложение се отнася до решението на Съвета за установяване на позицията, която трябва да се заеме от името на Съюза в рамките на Комитета за асоцииране ЕС-Украйна в състав „Търговия</w:t>
      </w:r>
      <w:r w:rsidR="00603B04" w:rsidRPr="00F64058">
        <w:rPr>
          <w:noProof/>
        </w:rPr>
        <w:t>“</w:t>
      </w:r>
      <w:r w:rsidRPr="00F64058">
        <w:rPr>
          <w:noProof/>
        </w:rPr>
        <w:t xml:space="preserve"> („Комитет по търговията“) във връзка с предвиденото приемане на две решения, с които се дава положителна оценка на изпълнението от страна на Украйна на етап 1 и етап 2 от приложение XXI-A към глава 8 от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r w:rsidRPr="00F64058">
        <w:rPr>
          <w:rStyle w:val="FootnoteReference"/>
          <w:noProof/>
        </w:rPr>
        <w:footnoteReference w:id="1"/>
      </w:r>
      <w:r w:rsidRPr="00F64058">
        <w:rPr>
          <w:noProof/>
        </w:rPr>
        <w:t xml:space="preserve"> („споразумението“). </w:t>
      </w:r>
    </w:p>
    <w:p w14:paraId="419325EA" w14:textId="77777777" w:rsidR="00AF3AC4" w:rsidRPr="00F64058" w:rsidRDefault="00AF3AC4" w:rsidP="00AF3AC4">
      <w:pPr>
        <w:rPr>
          <w:rFonts w:eastAsia="Calibri"/>
          <w:noProof/>
        </w:rPr>
      </w:pPr>
      <w:r w:rsidRPr="00F64058">
        <w:rPr>
          <w:noProof/>
        </w:rPr>
        <w:t xml:space="preserve">Освен това настоящото предложение се отнася до решението на Съвета за установяване на позицията, която трябва да се заеме от името на Съюза в рамките на Съвета за асоцииране ЕС-Украйна („Съвета за асоцииране“) във връзка с предвиденото приемане на две решения за предоставяне на реципрочен и допълнителен достъп до пазара, както е посочено в приложение XXI-A към споразумението, свързано с положителните оценки на Комитета по търговията, както е предвидено в дял IV от Споразумението за асоцииране (Търговия и свързани с търговията въпроси). </w:t>
      </w:r>
    </w:p>
    <w:p w14:paraId="45226B5B" w14:textId="57003E4E" w:rsidR="00AF3AC4" w:rsidRPr="00F64058" w:rsidRDefault="00DE7C8C" w:rsidP="00DE7C8C">
      <w:pPr>
        <w:pStyle w:val="ManualHeading1"/>
        <w:rPr>
          <w:noProof/>
        </w:rPr>
      </w:pPr>
      <w:r w:rsidRPr="00DE7C8C">
        <w:t>2.</w:t>
      </w:r>
      <w:r w:rsidRPr="00DE7C8C">
        <w:tab/>
      </w:r>
      <w:r w:rsidR="00AF3AC4" w:rsidRPr="00F64058">
        <w:rPr>
          <w:noProof/>
        </w:rPr>
        <w:t>Контекст на предложението</w:t>
      </w:r>
    </w:p>
    <w:p w14:paraId="547D6ABC" w14:textId="6A5EEEE9" w:rsidR="00AF3AC4" w:rsidRPr="00F64058" w:rsidRDefault="00DE7C8C" w:rsidP="00DE7C8C">
      <w:pPr>
        <w:pStyle w:val="ManualHeading2"/>
        <w:rPr>
          <w:noProof/>
        </w:rPr>
      </w:pPr>
      <w:r w:rsidRPr="00DE7C8C">
        <w:t>2.1.</w:t>
      </w:r>
      <w:r w:rsidRPr="00DE7C8C">
        <w:tab/>
      </w:r>
      <w:r w:rsidR="00AF3AC4" w:rsidRPr="00F64058">
        <w:rPr>
          <w:noProof/>
        </w:rPr>
        <w:t>Споразумение за асоцииране</w:t>
      </w:r>
    </w:p>
    <w:p w14:paraId="6A747E9E" w14:textId="77777777" w:rsidR="00AF3AC4" w:rsidRPr="00F64058" w:rsidRDefault="00AF3AC4" w:rsidP="00AA5DE7">
      <w:pPr>
        <w:rPr>
          <w:rFonts w:eastAsia="Calibri"/>
          <w:noProof/>
        </w:rPr>
      </w:pPr>
      <w:r w:rsidRPr="00F64058">
        <w:rPr>
          <w:noProof/>
        </w:rPr>
        <w:t>Със споразумението се създава задълбочена и всеобхватна зона за свободна търговия („ЗВЗСТ“), която има за цел да създаде условия за засилени икономически и търговски отношения. Това включва постепенното сближаване на законодателството в областта на обществените поръчки. Споразумението влезе изцяло в сила на 1 септември 2017 г.</w:t>
      </w:r>
    </w:p>
    <w:p w14:paraId="122A68D0" w14:textId="1AC74997" w:rsidR="0041175B" w:rsidRPr="00F64058" w:rsidRDefault="00DE7C8C" w:rsidP="00DE7C8C">
      <w:pPr>
        <w:pStyle w:val="ManualHeading2"/>
        <w:rPr>
          <w:noProof/>
        </w:rPr>
      </w:pPr>
      <w:r w:rsidRPr="00DE7C8C">
        <w:t>2.2.</w:t>
      </w:r>
      <w:r w:rsidRPr="00DE7C8C">
        <w:tab/>
      </w:r>
      <w:r w:rsidR="0041175B" w:rsidRPr="00F64058">
        <w:rPr>
          <w:noProof/>
        </w:rPr>
        <w:t>Комитетът за асоцииране в състав „Търговия“</w:t>
      </w:r>
    </w:p>
    <w:p w14:paraId="0003BF3F" w14:textId="77777777" w:rsidR="0041175B" w:rsidRPr="00F64058" w:rsidRDefault="0041175B" w:rsidP="0041175B">
      <w:pPr>
        <w:rPr>
          <w:rFonts w:eastAsia="Calibri"/>
          <w:noProof/>
        </w:rPr>
      </w:pPr>
      <w:r w:rsidRPr="00F64058">
        <w:rPr>
          <w:noProof/>
        </w:rPr>
        <w:t xml:space="preserve">Комитетът по търговията е създаден с член 465, параграф 4 от споразумението и изпълнява задачите, възложени му съгласно дял IV от споразумението. </w:t>
      </w:r>
    </w:p>
    <w:p w14:paraId="2ACC7289" w14:textId="77777777" w:rsidR="0041175B" w:rsidRPr="00F64058" w:rsidRDefault="0041175B" w:rsidP="0041175B">
      <w:pPr>
        <w:rPr>
          <w:rFonts w:eastAsia="Calibri"/>
          <w:noProof/>
        </w:rPr>
      </w:pPr>
      <w:r w:rsidRPr="00F64058">
        <w:rPr>
          <w:noProof/>
        </w:rPr>
        <w:t>Съгласно член 465, параграф 3 Комитетът по търговията разполага с правомощието да приема решения в случаите, предвидени в споразумението. Решенията на Комитета по търговията имат задължителна сила и страните предприемат необходимите мерки за изпълнението им. Комитетът по търговията приема своите решения въз основа на съгласие между страните, като взема под внимание съответните вътрешни процедури.</w:t>
      </w:r>
    </w:p>
    <w:p w14:paraId="0052B06A" w14:textId="5BCE7765" w:rsidR="0041175B" w:rsidRPr="00F64058" w:rsidRDefault="00DE7C8C" w:rsidP="00DE7C8C">
      <w:pPr>
        <w:pStyle w:val="ManualHeading2"/>
        <w:rPr>
          <w:noProof/>
        </w:rPr>
      </w:pPr>
      <w:r w:rsidRPr="00DE7C8C">
        <w:t>2.3.</w:t>
      </w:r>
      <w:r w:rsidRPr="00DE7C8C">
        <w:tab/>
      </w:r>
      <w:r w:rsidR="0041175B" w:rsidRPr="00F64058">
        <w:rPr>
          <w:noProof/>
        </w:rPr>
        <w:t>Съвет за асоцииране</w:t>
      </w:r>
    </w:p>
    <w:p w14:paraId="7F468E1C" w14:textId="77777777" w:rsidR="0041175B" w:rsidRPr="00F64058" w:rsidRDefault="0041175B" w:rsidP="0041175B">
      <w:pPr>
        <w:rPr>
          <w:rFonts w:eastAsia="Calibri"/>
          <w:noProof/>
        </w:rPr>
      </w:pPr>
      <w:r w:rsidRPr="00F64058">
        <w:rPr>
          <w:noProof/>
        </w:rPr>
        <w:t xml:space="preserve">Съветът за асоцииране е създаден с член 461 от споразумението. Той упражнява надзор и контрол над прилагането и изпълнението на споразумението и периодично прави преглед на функционирането му с оглед на неговите цели. Освен че упражнява надзор и контрол над прилагането и изпълнението на споразумението, Съветът за асоцииране разглежда всички важни въпроси, които възникват в рамките на споразумението, а също и всички други двустранни или международни въпроси от взаимен интерес. </w:t>
      </w:r>
    </w:p>
    <w:p w14:paraId="50C6C830" w14:textId="77777777" w:rsidR="0041175B" w:rsidRPr="00F64058" w:rsidRDefault="0041175B" w:rsidP="0041175B">
      <w:pPr>
        <w:rPr>
          <w:rFonts w:eastAsia="Calibri"/>
          <w:noProof/>
        </w:rPr>
      </w:pPr>
      <w:r w:rsidRPr="00F64058">
        <w:rPr>
          <w:noProof/>
        </w:rPr>
        <w:t>Съгласно член 463 от споразумението Съветът за асоцииране разполага с правомощието да взема решения в рамките на споразумението, които са задължителни за страните. По-специално в член 475, параграф 5 се посочва, че ако страните се споразумеят, че необходимите мерки, попадащи в обхвата на дял IV от споразумението, са изпълнени и се прилагат, Съветът за асоцииране, съгласно правомощията, предоставени му по член 463 от споразумението, се договаря за по-нататъшно отваряне на пазара, както е определено в дял IV от споразумението.</w:t>
      </w:r>
    </w:p>
    <w:p w14:paraId="74FABB5E" w14:textId="77777777" w:rsidR="0041175B" w:rsidRPr="00F64058" w:rsidRDefault="0041175B" w:rsidP="0041175B">
      <w:pPr>
        <w:rPr>
          <w:rFonts w:eastAsia="Calibri"/>
          <w:noProof/>
        </w:rPr>
      </w:pPr>
      <w:r w:rsidRPr="00F64058">
        <w:rPr>
          <w:noProof/>
        </w:rPr>
        <w:t>Решенията на Съвета за асоцииране са задължителни и страните предприемат необходимите мерки за изпълнението им. Той приема своите решения и препоръки въз основа на съгласие между страните след приключване на съответните им вътрешни процедури.</w:t>
      </w:r>
    </w:p>
    <w:p w14:paraId="51F2EE7F" w14:textId="3574C5A1" w:rsidR="00F96CA2" w:rsidRPr="00F64058" w:rsidRDefault="00DE7C8C" w:rsidP="00DE7C8C">
      <w:pPr>
        <w:pStyle w:val="ManualHeading2"/>
        <w:rPr>
          <w:noProof/>
        </w:rPr>
      </w:pPr>
      <w:r w:rsidRPr="00DE7C8C">
        <w:t>2.4.</w:t>
      </w:r>
      <w:r w:rsidRPr="00DE7C8C">
        <w:tab/>
      </w:r>
      <w:r w:rsidR="00F96CA2" w:rsidRPr="00F64058">
        <w:rPr>
          <w:noProof/>
        </w:rPr>
        <w:t>Предвидени актове на Комитета по търговията</w:t>
      </w:r>
    </w:p>
    <w:p w14:paraId="6FB466F5" w14:textId="77777777" w:rsidR="003B7EB0" w:rsidRPr="00F64058" w:rsidRDefault="00F96CA2" w:rsidP="00AA5DE7">
      <w:pPr>
        <w:rPr>
          <w:rFonts w:eastAsia="Calibri"/>
          <w:noProof/>
        </w:rPr>
      </w:pPr>
      <w:r w:rsidRPr="00F64058">
        <w:rPr>
          <w:noProof/>
        </w:rPr>
        <w:t xml:space="preserve">Целта на предвидените актове на Комитета по търговията е да даде положителна оценка на изпълнението от страна на Украйна на етап 1 и етап 2 от приложение XXI-А към глава 8 от споразумението (Ориентировъчен график за институционалната реформа, законодателното сближаване и достъпа до пазара) („приложение XXI-А“) съгласно член 153, параграф 2 от споразумението. </w:t>
      </w:r>
    </w:p>
    <w:p w14:paraId="76DEC9A0" w14:textId="77777777" w:rsidR="00F96CA2" w:rsidRPr="00F64058" w:rsidRDefault="00F96CA2" w:rsidP="00AA5DE7">
      <w:pPr>
        <w:rPr>
          <w:rFonts w:eastAsia="Calibri"/>
          <w:noProof/>
        </w:rPr>
      </w:pPr>
      <w:r w:rsidRPr="00F64058">
        <w:rPr>
          <w:noProof/>
        </w:rPr>
        <w:t xml:space="preserve">Като се има предвид, че член 153, параграф 3 от споразумението гласи, че „Комитетът по търговия пристъпва към оценяването на последващ етап едва когато мерките за осъществяване на предходния етап са изпълнени и одобрени“, е необходимо Комитетът по търговията да приеме две отделни и последователни решения, които дават положителна оценка на изпълнението съответно на етап 1 и етап 2 от приложение XXI-А. </w:t>
      </w:r>
    </w:p>
    <w:p w14:paraId="5BE9EC72" w14:textId="25D347C3" w:rsidR="00F96CA2" w:rsidRPr="00F64058" w:rsidRDefault="00DE7C8C" w:rsidP="00DE7C8C">
      <w:pPr>
        <w:pStyle w:val="ManualHeading3"/>
        <w:rPr>
          <w:rFonts w:eastAsia="Arial Unicode MS"/>
          <w:noProof/>
        </w:rPr>
      </w:pPr>
      <w:r w:rsidRPr="00DE7C8C">
        <w:t>2.4.1.</w:t>
      </w:r>
      <w:r w:rsidRPr="00DE7C8C">
        <w:tab/>
      </w:r>
      <w:r w:rsidR="000D7EDD" w:rsidRPr="00F64058">
        <w:rPr>
          <w:noProof/>
        </w:rPr>
        <w:t>Етап 1</w:t>
      </w:r>
    </w:p>
    <w:p w14:paraId="3820ABDA" w14:textId="77777777" w:rsidR="000D7EDD" w:rsidRPr="00F64058" w:rsidRDefault="000D7EDD" w:rsidP="000D7EDD">
      <w:pPr>
        <w:rPr>
          <w:rFonts w:eastAsia="Calibri"/>
          <w:noProof/>
        </w:rPr>
      </w:pPr>
      <w:r w:rsidRPr="00F64058">
        <w:rPr>
          <w:noProof/>
        </w:rPr>
        <w:t>Първото решение на Комитета по търговията има за цел да даде положителна оценка на изпълнението от страна на Украйна на етап 1 от приложение XXI-A.</w:t>
      </w:r>
    </w:p>
    <w:p w14:paraId="586DAD40" w14:textId="77777777" w:rsidR="000D7EDD" w:rsidRPr="00F64058" w:rsidRDefault="000D7EDD" w:rsidP="000D7EDD">
      <w:pPr>
        <w:autoSpaceDE w:val="0"/>
        <w:autoSpaceDN w:val="0"/>
        <w:adjustRightInd w:val="0"/>
        <w:spacing w:after="0"/>
        <w:rPr>
          <w:rFonts w:cstheme="minorBidi"/>
          <w:noProof/>
          <w:szCs w:val="24"/>
        </w:rPr>
      </w:pPr>
      <w:r w:rsidRPr="00F64058">
        <w:rPr>
          <w:noProof/>
        </w:rPr>
        <w:t>В съответствие с приложение XXI-А за изпълнението на етап 1 трябва да бъдат изпълнени следните изисквания:</w:t>
      </w:r>
    </w:p>
    <w:p w14:paraId="029C4F0A" w14:textId="77777777" w:rsidR="000D7EDD" w:rsidRPr="00F64058" w:rsidRDefault="000D7EDD" w:rsidP="00E41435">
      <w:pPr>
        <w:pStyle w:val="Bullet0"/>
        <w:numPr>
          <w:ilvl w:val="0"/>
          <w:numId w:val="9"/>
        </w:numPr>
        <w:rPr>
          <w:noProof/>
        </w:rPr>
      </w:pPr>
      <w:r w:rsidRPr="00F64058">
        <w:rPr>
          <w:noProof/>
        </w:rPr>
        <w:t xml:space="preserve">Прилагане на член 150, параграф 2 и член 151 от споразумението; както и </w:t>
      </w:r>
    </w:p>
    <w:p w14:paraId="4190DD7E" w14:textId="77777777" w:rsidR="000D7EDD" w:rsidRPr="00F64058" w:rsidRDefault="000D7EDD" w:rsidP="00C00C5C">
      <w:pPr>
        <w:pStyle w:val="Bullet0"/>
        <w:rPr>
          <w:noProof/>
        </w:rPr>
      </w:pPr>
      <w:r w:rsidRPr="00F64058">
        <w:rPr>
          <w:noProof/>
        </w:rPr>
        <w:t>Споразумение относно стратегията за реформи, определена в член 152 от споразумението.</w:t>
      </w:r>
    </w:p>
    <w:p w14:paraId="6D8E00B7" w14:textId="77777777" w:rsidR="000D7EDD" w:rsidRPr="00F64058" w:rsidRDefault="000D7EDD" w:rsidP="000D7EDD">
      <w:pPr>
        <w:rPr>
          <w:rFonts w:eastAsia="Calibri"/>
          <w:noProof/>
        </w:rPr>
      </w:pPr>
      <w:r w:rsidRPr="00F64058">
        <w:rPr>
          <w:noProof/>
        </w:rPr>
        <w:t>По отношение на първото изискване в член 150, параграф 2 от споразумението се предвижда, че Украйна определя по-специално:</w:t>
      </w:r>
    </w:p>
    <w:p w14:paraId="7BBE6A6E" w14:textId="52BA959C" w:rsidR="000D7EDD" w:rsidRPr="00F64058" w:rsidRDefault="003C0CAB" w:rsidP="003C0CAB">
      <w:pPr>
        <w:pStyle w:val="Point1"/>
        <w:rPr>
          <w:noProof/>
        </w:rPr>
      </w:pPr>
      <w:r>
        <w:rPr>
          <w:noProof/>
        </w:rPr>
        <w:t>а)</w:t>
      </w:r>
      <w:r>
        <w:rPr>
          <w:noProof/>
        </w:rPr>
        <w:tab/>
      </w:r>
      <w:r w:rsidR="00347E9C" w:rsidRPr="00F64058">
        <w:rPr>
          <w:noProof/>
        </w:rPr>
        <w:tab/>
        <w:t>централен изпълнителен орган, който да отговаря за икономическата политика и чиято задача е да гарантира последователността на политиката във всички области, свързани с обществените поръчки. Този орган способства и координира прилагането на глава 8 от Споразумението за обществените поръчки и ръководи процеса на законодателно сближаване; както и</w:t>
      </w:r>
    </w:p>
    <w:p w14:paraId="53060B33" w14:textId="3B9B358C" w:rsidR="000D7EDD" w:rsidRPr="00F64058" w:rsidRDefault="003C0CAB" w:rsidP="003C0CAB">
      <w:pPr>
        <w:pStyle w:val="Point1"/>
        <w:rPr>
          <w:noProof/>
        </w:rPr>
      </w:pPr>
      <w:r>
        <w:rPr>
          <w:noProof/>
        </w:rPr>
        <w:t>б)</w:t>
      </w:r>
      <w:r>
        <w:rPr>
          <w:noProof/>
        </w:rPr>
        <w:tab/>
      </w:r>
      <w:r w:rsidR="000D7EDD" w:rsidRPr="00F64058">
        <w:rPr>
          <w:noProof/>
        </w:rPr>
        <w:t>безпристрастен и независим орган, чиято задача е да осъществява контрол върху решенията, взети от възлагащите органи или от възложителите при възлагането на поръчките. В този контекст „независим“ означава, че този орган е публичен орган, който е разграничен от всички възложители и икономически оператори. Трябва да се осигури възможност взетите от този орган решения да подлежат на съдебен контрол.</w:t>
      </w:r>
    </w:p>
    <w:p w14:paraId="29E88C81" w14:textId="1E7C68F5" w:rsidR="000D7EDD" w:rsidRPr="00F64058" w:rsidRDefault="00DE7C8C" w:rsidP="00DE7C8C">
      <w:pPr>
        <w:pStyle w:val="ManualHeading4"/>
        <w:rPr>
          <w:noProof/>
        </w:rPr>
      </w:pPr>
      <w:r w:rsidRPr="00DE7C8C">
        <w:t>2.4.1.1.</w:t>
      </w:r>
      <w:r w:rsidRPr="00DE7C8C">
        <w:tab/>
      </w:r>
      <w:r w:rsidR="000D7EDD" w:rsidRPr="00F64058">
        <w:rPr>
          <w:noProof/>
        </w:rPr>
        <w:t>Изискване 1а):</w:t>
      </w:r>
    </w:p>
    <w:p w14:paraId="5962F6B2" w14:textId="77777777" w:rsidR="000D7EDD" w:rsidRPr="00F64058" w:rsidRDefault="000D7EDD" w:rsidP="00772766">
      <w:pPr>
        <w:autoSpaceDE w:val="0"/>
        <w:autoSpaceDN w:val="0"/>
        <w:adjustRightInd w:val="0"/>
        <w:spacing w:after="0"/>
        <w:rPr>
          <w:noProof/>
          <w:szCs w:val="24"/>
        </w:rPr>
      </w:pPr>
      <w:r w:rsidRPr="00F64058">
        <w:rPr>
          <w:noProof/>
        </w:rPr>
        <w:t xml:space="preserve">Изискването по член 150, параграф 2, буква а) от споразумението е изпълнено със Закон № 114-IX за обществените поръчки, приет от украинския парламент на 14 септември 2019 г. за отмяна на Закон № 922-VIII, изменен на 25 декември 2015 г. („Закон за обществените поръчки“). </w:t>
      </w:r>
    </w:p>
    <w:p w14:paraId="449EEF98" w14:textId="12272805" w:rsidR="000D7EDD" w:rsidRPr="00F64058" w:rsidRDefault="000D7EDD" w:rsidP="000D7EDD">
      <w:pPr>
        <w:autoSpaceDE w:val="0"/>
        <w:autoSpaceDN w:val="0"/>
        <w:adjustRightInd w:val="0"/>
        <w:spacing w:after="0"/>
        <w:rPr>
          <w:noProof/>
          <w:szCs w:val="24"/>
        </w:rPr>
      </w:pPr>
      <w:r w:rsidRPr="00F64058">
        <w:rPr>
          <w:noProof/>
        </w:rPr>
        <w:t>Централният изпълнителен орган, който има за задача гарантирането на съгласувана политика и нейното прилагане във всички области, свързани с обществените поръчки, е „оправомощеният орган“.</w:t>
      </w:r>
    </w:p>
    <w:p w14:paraId="205A6766" w14:textId="77777777" w:rsidR="000D7EDD" w:rsidRPr="00F64058" w:rsidRDefault="000D7EDD" w:rsidP="000D7EDD">
      <w:pPr>
        <w:autoSpaceDE w:val="0"/>
        <w:autoSpaceDN w:val="0"/>
        <w:adjustRightInd w:val="0"/>
        <w:spacing w:after="0"/>
        <w:rPr>
          <w:noProof/>
          <w:szCs w:val="24"/>
        </w:rPr>
      </w:pPr>
      <w:r w:rsidRPr="00F64058">
        <w:rPr>
          <w:noProof/>
        </w:rPr>
        <w:t>Член 7 от Закона за обществените поръчки определя оправомощения орган, който отговаря за регулирането и прилагането на държавната политика в областта на обществените поръчки в рамките на правомощията си, установени със Закона за обществените поръчки.</w:t>
      </w:r>
    </w:p>
    <w:p w14:paraId="473D6AFA" w14:textId="77777777" w:rsidR="000D7EDD" w:rsidRPr="00F64058" w:rsidRDefault="000D7EDD" w:rsidP="000D7EDD">
      <w:pPr>
        <w:autoSpaceDE w:val="0"/>
        <w:autoSpaceDN w:val="0"/>
        <w:adjustRightInd w:val="0"/>
        <w:spacing w:after="0"/>
        <w:rPr>
          <w:noProof/>
          <w:szCs w:val="24"/>
        </w:rPr>
      </w:pPr>
      <w:r w:rsidRPr="00F64058">
        <w:rPr>
          <w:noProof/>
        </w:rPr>
        <w:t xml:space="preserve">Член 9 от Закона за обществените поръчки определя основните функции на оправомощения орган, а именно: </w:t>
      </w:r>
    </w:p>
    <w:p w14:paraId="1A3DD822" w14:textId="0FBFBBD6" w:rsidR="000D7EDD" w:rsidRPr="00F64058" w:rsidRDefault="003C0CAB" w:rsidP="003C0CAB">
      <w:pPr>
        <w:pStyle w:val="Point1"/>
        <w:rPr>
          <w:noProof/>
        </w:rPr>
      </w:pPr>
      <w:r>
        <w:rPr>
          <w:noProof/>
        </w:rPr>
        <w:t>1)</w:t>
      </w:r>
      <w:r>
        <w:rPr>
          <w:noProof/>
        </w:rPr>
        <w:tab/>
      </w:r>
      <w:r w:rsidR="000D7EDD" w:rsidRPr="00F64058">
        <w:rPr>
          <w:noProof/>
        </w:rPr>
        <w:t>разработване и одобряване на наредби, необходими за прилагането на този закон и за регулиране на държавната политика в областта на възлагането на обществени поръчки;</w:t>
      </w:r>
    </w:p>
    <w:p w14:paraId="519945A0" w14:textId="4235F913" w:rsidR="000D7EDD" w:rsidRPr="00F64058" w:rsidRDefault="003C0CAB" w:rsidP="003C0CAB">
      <w:pPr>
        <w:pStyle w:val="Point1"/>
        <w:rPr>
          <w:noProof/>
        </w:rPr>
      </w:pPr>
      <w:r>
        <w:rPr>
          <w:noProof/>
        </w:rPr>
        <w:t>2)</w:t>
      </w:r>
      <w:r>
        <w:rPr>
          <w:noProof/>
        </w:rPr>
        <w:tab/>
      </w:r>
      <w:r w:rsidR="000D7EDD" w:rsidRPr="00F64058">
        <w:rPr>
          <w:noProof/>
        </w:rPr>
        <w:t>анализ на функционирането на системата за възлагане на обществени поръчки;</w:t>
      </w:r>
    </w:p>
    <w:p w14:paraId="0010EA96" w14:textId="121AE437" w:rsidR="000D7EDD" w:rsidRPr="00F64058" w:rsidRDefault="003C0CAB" w:rsidP="003C0CAB">
      <w:pPr>
        <w:pStyle w:val="Point1"/>
        <w:rPr>
          <w:noProof/>
        </w:rPr>
      </w:pPr>
      <w:r>
        <w:rPr>
          <w:noProof/>
        </w:rPr>
        <w:t>3)</w:t>
      </w:r>
      <w:r>
        <w:rPr>
          <w:noProof/>
        </w:rPr>
        <w:tab/>
      </w:r>
      <w:r w:rsidR="000D7EDD" w:rsidRPr="00F64058">
        <w:rPr>
          <w:noProof/>
        </w:rPr>
        <w:t>изготвяне и представяне, не по-късно от 1 април на годината, следваща отчетната бюджетна година, на Върховната рада на Украйна, Министерския съвет на Украйна и Сметната палата на годишния доклад, съдържащ анализ на функционирането на системата за възлагане на обществени поръчки (по отношение на количествените показатели и показателите за стойност във връзка с процедурите за възлагане на обществени поръчки и предмета на поръчката, равнището на конкуренция, броя на жалбите) и обща информация за резултатите от контрола в областта на обществените поръчки. Годишният доклад се публикува на официалната уебстраница на оправомощения орган;</w:t>
      </w:r>
    </w:p>
    <w:p w14:paraId="24043FB4" w14:textId="2D73CE08" w:rsidR="000D7EDD" w:rsidRPr="00F64058" w:rsidRDefault="003C0CAB" w:rsidP="003C0CAB">
      <w:pPr>
        <w:pStyle w:val="Point1"/>
        <w:rPr>
          <w:noProof/>
        </w:rPr>
      </w:pPr>
      <w:r>
        <w:rPr>
          <w:noProof/>
        </w:rPr>
        <w:t>4)</w:t>
      </w:r>
      <w:r>
        <w:rPr>
          <w:noProof/>
        </w:rPr>
        <w:tab/>
      </w:r>
      <w:r w:rsidR="000D7EDD" w:rsidRPr="00F64058">
        <w:rPr>
          <w:noProof/>
        </w:rPr>
        <w:t>обобщаване на практиките в областта на обществените поръчки, включително международните практики;</w:t>
      </w:r>
    </w:p>
    <w:p w14:paraId="520CB39C" w14:textId="277DD07D" w:rsidR="000D7EDD" w:rsidRPr="00F64058" w:rsidRDefault="003C0CAB" w:rsidP="003C0CAB">
      <w:pPr>
        <w:pStyle w:val="Point1"/>
        <w:rPr>
          <w:noProof/>
        </w:rPr>
      </w:pPr>
      <w:r>
        <w:rPr>
          <w:noProof/>
        </w:rPr>
        <w:t>5)</w:t>
      </w:r>
      <w:r>
        <w:rPr>
          <w:noProof/>
        </w:rPr>
        <w:tab/>
      </w:r>
      <w:r w:rsidR="000D7EDD" w:rsidRPr="00F64058">
        <w:rPr>
          <w:noProof/>
        </w:rPr>
        <w:t>проучване, обобщаване и разпространение на най-добрите международни практики в областта на обществените поръчки;</w:t>
      </w:r>
    </w:p>
    <w:p w14:paraId="4C533945" w14:textId="687E333A" w:rsidR="000D7EDD" w:rsidRPr="00F64058" w:rsidRDefault="003C0CAB" w:rsidP="003C0CAB">
      <w:pPr>
        <w:pStyle w:val="Point1"/>
        <w:rPr>
          <w:noProof/>
        </w:rPr>
      </w:pPr>
      <w:r>
        <w:rPr>
          <w:noProof/>
        </w:rPr>
        <w:t>6)</w:t>
      </w:r>
      <w:r>
        <w:rPr>
          <w:noProof/>
        </w:rPr>
        <w:tab/>
      </w:r>
      <w:r w:rsidR="000D7EDD" w:rsidRPr="00F64058">
        <w:rPr>
          <w:noProof/>
        </w:rPr>
        <w:t>осигуряване на функционирането на уебпортала на оправомощения орган и на информационния ресурс на оправомощения орган;</w:t>
      </w:r>
    </w:p>
    <w:p w14:paraId="2FC8DE7D" w14:textId="596EA590" w:rsidR="000D7EDD" w:rsidRPr="00F64058" w:rsidRDefault="003C0CAB" w:rsidP="003C0CAB">
      <w:pPr>
        <w:pStyle w:val="Point1"/>
        <w:rPr>
          <w:noProof/>
        </w:rPr>
      </w:pPr>
      <w:r>
        <w:rPr>
          <w:noProof/>
        </w:rPr>
        <w:t>7)</w:t>
      </w:r>
      <w:r>
        <w:rPr>
          <w:noProof/>
        </w:rPr>
        <w:tab/>
      </w:r>
      <w:r w:rsidR="000D7EDD" w:rsidRPr="00F64058">
        <w:rPr>
          <w:noProof/>
        </w:rPr>
        <w:t>управление на съдържанието на информационния ресурс на оправомощения орган;</w:t>
      </w:r>
    </w:p>
    <w:p w14:paraId="480C33C2" w14:textId="5BF94EB8" w:rsidR="000D7EDD" w:rsidRPr="00F64058" w:rsidRDefault="003C0CAB" w:rsidP="003C0CAB">
      <w:pPr>
        <w:pStyle w:val="Point1"/>
        <w:rPr>
          <w:noProof/>
        </w:rPr>
      </w:pPr>
      <w:r>
        <w:rPr>
          <w:noProof/>
        </w:rPr>
        <w:t>8)</w:t>
      </w:r>
      <w:r>
        <w:rPr>
          <w:noProof/>
        </w:rPr>
        <w:tab/>
      </w:r>
      <w:r w:rsidR="000D7EDD" w:rsidRPr="00F64058">
        <w:rPr>
          <w:noProof/>
        </w:rPr>
        <w:t>комуникация с обществеността във връзка с подобряването на системата за възлагане на обществени поръчки;</w:t>
      </w:r>
    </w:p>
    <w:p w14:paraId="172A64DB" w14:textId="016D0001" w:rsidR="000D7EDD" w:rsidRPr="00F64058" w:rsidRDefault="003C0CAB" w:rsidP="003C0CAB">
      <w:pPr>
        <w:pStyle w:val="Point1"/>
        <w:rPr>
          <w:noProof/>
        </w:rPr>
      </w:pPr>
      <w:r>
        <w:rPr>
          <w:noProof/>
        </w:rPr>
        <w:t>9)</w:t>
      </w:r>
      <w:r>
        <w:rPr>
          <w:noProof/>
        </w:rPr>
        <w:tab/>
      </w:r>
      <w:r w:rsidR="000D7EDD" w:rsidRPr="00F64058">
        <w:rPr>
          <w:noProof/>
        </w:rPr>
        <w:t>организиране на срещи и семинари, посветени на въпроси, свързани с възлагането на обществени поръчки;</w:t>
      </w:r>
    </w:p>
    <w:p w14:paraId="506BF50F" w14:textId="65024239" w:rsidR="000D7EDD" w:rsidRPr="00F64058" w:rsidRDefault="003C0CAB" w:rsidP="003C0CAB">
      <w:pPr>
        <w:pStyle w:val="Point1"/>
        <w:rPr>
          <w:noProof/>
        </w:rPr>
      </w:pPr>
      <w:r>
        <w:rPr>
          <w:noProof/>
        </w:rPr>
        <w:t>10)</w:t>
      </w:r>
      <w:r>
        <w:rPr>
          <w:noProof/>
        </w:rPr>
        <w:tab/>
      </w:r>
      <w:r w:rsidR="000D7EDD" w:rsidRPr="00F64058">
        <w:rPr>
          <w:noProof/>
        </w:rPr>
        <w:t>международно сътрудничество в областта на възлагането на обществени поръчки;</w:t>
      </w:r>
    </w:p>
    <w:p w14:paraId="58A50F93" w14:textId="2819C3C0" w:rsidR="000D7EDD" w:rsidRPr="00F64058" w:rsidRDefault="003C0CAB" w:rsidP="003C0CAB">
      <w:pPr>
        <w:pStyle w:val="Point1"/>
        <w:rPr>
          <w:noProof/>
        </w:rPr>
      </w:pPr>
      <w:r>
        <w:rPr>
          <w:noProof/>
        </w:rPr>
        <w:t>11)</w:t>
      </w:r>
      <w:r>
        <w:rPr>
          <w:noProof/>
        </w:rPr>
        <w:tab/>
      </w:r>
      <w:r w:rsidR="000D7EDD" w:rsidRPr="00F64058">
        <w:rPr>
          <w:noProof/>
        </w:rPr>
        <w:t>изготвяне и одобряване на следните документи:</w:t>
      </w:r>
    </w:p>
    <w:p w14:paraId="4F534D0C" w14:textId="77777777" w:rsidR="000D7EDD" w:rsidRPr="00F64058" w:rsidRDefault="000D7EDD" w:rsidP="00E41435">
      <w:pPr>
        <w:pStyle w:val="Tiret2"/>
        <w:numPr>
          <w:ilvl w:val="0"/>
          <w:numId w:val="6"/>
        </w:numPr>
        <w:rPr>
          <w:noProof/>
        </w:rPr>
      </w:pPr>
      <w:r w:rsidRPr="00F64058">
        <w:rPr>
          <w:noProof/>
        </w:rPr>
        <w:t>примерна документация за обществена поръчка;</w:t>
      </w:r>
    </w:p>
    <w:p w14:paraId="49BFAC9C" w14:textId="77777777" w:rsidR="000D7EDD" w:rsidRPr="00F64058" w:rsidRDefault="000D7EDD" w:rsidP="00C00C5C">
      <w:pPr>
        <w:pStyle w:val="Tiret2"/>
        <w:rPr>
          <w:noProof/>
        </w:rPr>
      </w:pPr>
      <w:r w:rsidRPr="00F64058">
        <w:rPr>
          <w:noProof/>
        </w:rPr>
        <w:t>примерни правила за упълномощено лице;</w:t>
      </w:r>
    </w:p>
    <w:p w14:paraId="594DC20C" w14:textId="77777777" w:rsidR="000D7EDD" w:rsidRPr="00F64058" w:rsidRDefault="000D7EDD" w:rsidP="00C00C5C">
      <w:pPr>
        <w:pStyle w:val="Tiret2"/>
        <w:rPr>
          <w:noProof/>
        </w:rPr>
      </w:pPr>
      <w:r w:rsidRPr="00F64058">
        <w:rPr>
          <w:noProof/>
        </w:rPr>
        <w:t>примерна методика за определяне на прогнозната стойност на предмета на поръчката;</w:t>
      </w:r>
    </w:p>
    <w:p w14:paraId="171A3D59" w14:textId="77777777" w:rsidR="000D7EDD" w:rsidRPr="00F64058" w:rsidRDefault="000D7EDD" w:rsidP="00C00C5C">
      <w:pPr>
        <w:pStyle w:val="Tiret2"/>
        <w:rPr>
          <w:noProof/>
        </w:rPr>
      </w:pPr>
      <w:r w:rsidRPr="00F64058">
        <w:rPr>
          <w:noProof/>
        </w:rPr>
        <w:t>примерна методика за определяне на разходите за целия жизнен цикъл;</w:t>
      </w:r>
    </w:p>
    <w:p w14:paraId="64B043E4" w14:textId="77777777" w:rsidR="000D7EDD" w:rsidRPr="00F64058" w:rsidRDefault="000D7EDD" w:rsidP="00C00C5C">
      <w:pPr>
        <w:pStyle w:val="Tiret2"/>
        <w:rPr>
          <w:noProof/>
        </w:rPr>
      </w:pPr>
      <w:r w:rsidRPr="00F64058">
        <w:rPr>
          <w:noProof/>
        </w:rPr>
        <w:t>процедура за идентифициране на предмета на поръчката;</w:t>
      </w:r>
    </w:p>
    <w:p w14:paraId="59296362" w14:textId="77777777" w:rsidR="000D7EDD" w:rsidRPr="00F64058" w:rsidRDefault="000D7EDD" w:rsidP="00C00C5C">
      <w:pPr>
        <w:pStyle w:val="Tiret2"/>
        <w:rPr>
          <w:noProof/>
        </w:rPr>
      </w:pPr>
      <w:r w:rsidRPr="00F64058">
        <w:rPr>
          <w:noProof/>
        </w:rPr>
        <w:t>процедура за публикуване на информация за обществени поръчки;</w:t>
      </w:r>
    </w:p>
    <w:p w14:paraId="23D69379" w14:textId="77777777" w:rsidR="000D7EDD" w:rsidRPr="00F64058" w:rsidRDefault="000D7EDD" w:rsidP="00C00C5C">
      <w:pPr>
        <w:pStyle w:val="Tiret2"/>
        <w:rPr>
          <w:noProof/>
        </w:rPr>
      </w:pPr>
      <w:r w:rsidRPr="00F64058">
        <w:rPr>
          <w:noProof/>
        </w:rPr>
        <w:t>процедура за сключване и изпълнение на рамкови споразумения;</w:t>
      </w:r>
    </w:p>
    <w:p w14:paraId="79E45FDF" w14:textId="77777777" w:rsidR="000D7EDD" w:rsidRPr="00F64058" w:rsidRDefault="000D7EDD" w:rsidP="00C00C5C">
      <w:pPr>
        <w:pStyle w:val="Tiret2"/>
        <w:rPr>
          <w:noProof/>
        </w:rPr>
      </w:pPr>
      <w:r w:rsidRPr="00F64058">
        <w:rPr>
          <w:noProof/>
        </w:rPr>
        <w:t>форма и изисквания относно сигурността на тръжните документи/офертата;</w:t>
      </w:r>
    </w:p>
    <w:p w14:paraId="493EE2D3" w14:textId="77777777" w:rsidR="000D7EDD" w:rsidRPr="00F64058" w:rsidRDefault="000D7EDD" w:rsidP="00C00C5C">
      <w:pPr>
        <w:pStyle w:val="Tiret2"/>
        <w:rPr>
          <w:noProof/>
        </w:rPr>
      </w:pPr>
      <w:r w:rsidRPr="00F64058">
        <w:rPr>
          <w:noProof/>
        </w:rPr>
        <w:t>процедура за организиране на проверка на упълномощените лица;</w:t>
      </w:r>
    </w:p>
    <w:p w14:paraId="0C909963" w14:textId="77777777" w:rsidR="000D7EDD" w:rsidRPr="00F64058" w:rsidRDefault="000D7EDD" w:rsidP="00C00C5C">
      <w:pPr>
        <w:pStyle w:val="Tiret2"/>
        <w:rPr>
          <w:noProof/>
        </w:rPr>
      </w:pPr>
      <w:r w:rsidRPr="00F64058">
        <w:rPr>
          <w:noProof/>
        </w:rPr>
        <w:t>списък на формалните грешки;</w:t>
      </w:r>
    </w:p>
    <w:p w14:paraId="2259318D" w14:textId="55D2EFCA" w:rsidR="000D7EDD" w:rsidRPr="00F64058" w:rsidRDefault="003C0CAB" w:rsidP="003C0CAB">
      <w:pPr>
        <w:pStyle w:val="Point1"/>
        <w:rPr>
          <w:noProof/>
        </w:rPr>
      </w:pPr>
      <w:r>
        <w:rPr>
          <w:noProof/>
        </w:rPr>
        <w:t>12)</w:t>
      </w:r>
      <w:r>
        <w:rPr>
          <w:noProof/>
        </w:rPr>
        <w:tab/>
      </w:r>
      <w:r w:rsidR="000D7EDD" w:rsidRPr="00F64058">
        <w:rPr>
          <w:noProof/>
        </w:rPr>
        <w:t>предоставяне на общи препоръки относно прилагането на законодателството в областта на обществените поръчки;</w:t>
      </w:r>
    </w:p>
    <w:p w14:paraId="52CEA5BE" w14:textId="332CB5A2" w:rsidR="000D7EDD" w:rsidRPr="00F64058" w:rsidRDefault="003C0CAB" w:rsidP="003C0CAB">
      <w:pPr>
        <w:pStyle w:val="Point1"/>
        <w:rPr>
          <w:noProof/>
        </w:rPr>
      </w:pPr>
      <w:r>
        <w:rPr>
          <w:noProof/>
        </w:rPr>
        <w:t>13)</w:t>
      </w:r>
      <w:r>
        <w:rPr>
          <w:noProof/>
        </w:rPr>
        <w:tab/>
      </w:r>
      <w:r w:rsidR="000D7EDD" w:rsidRPr="00F64058">
        <w:rPr>
          <w:noProof/>
        </w:rPr>
        <w:t>предоставяне на безплатни консултации с препоръчителен характер чрез информационния ресурс на оправомощения орган;</w:t>
      </w:r>
    </w:p>
    <w:p w14:paraId="5CB95AB7" w14:textId="38EDE77D" w:rsidR="000D7EDD" w:rsidRPr="00F64058" w:rsidRDefault="003C0CAB" w:rsidP="003C0CAB">
      <w:pPr>
        <w:pStyle w:val="Point1"/>
        <w:rPr>
          <w:noProof/>
        </w:rPr>
      </w:pPr>
      <w:r>
        <w:rPr>
          <w:noProof/>
        </w:rPr>
        <w:t>14)</w:t>
      </w:r>
      <w:r>
        <w:rPr>
          <w:noProof/>
        </w:rPr>
        <w:tab/>
      </w:r>
      <w:r w:rsidR="000D7EDD" w:rsidRPr="00F64058">
        <w:rPr>
          <w:noProof/>
        </w:rPr>
        <w:t>сътрудничество с публичноправни субекти и организации на гражданското общество по отношение на предотвратяването на корупционни практики в областта на обществените поръчки;</w:t>
      </w:r>
    </w:p>
    <w:p w14:paraId="4DD9FF83" w14:textId="26C6D868" w:rsidR="000D7EDD" w:rsidRPr="00F64058" w:rsidRDefault="003C0CAB" w:rsidP="003C0CAB">
      <w:pPr>
        <w:pStyle w:val="Point1"/>
        <w:rPr>
          <w:noProof/>
        </w:rPr>
      </w:pPr>
      <w:r>
        <w:rPr>
          <w:noProof/>
        </w:rPr>
        <w:t>15)</w:t>
      </w:r>
      <w:r>
        <w:rPr>
          <w:noProof/>
        </w:rPr>
        <w:tab/>
      </w:r>
      <w:r w:rsidR="000D7EDD" w:rsidRPr="00F64058">
        <w:rPr>
          <w:noProof/>
        </w:rPr>
        <w:t>съобщаване на политиката и правилата в областта на обществените поръчки на обществеността;</w:t>
      </w:r>
    </w:p>
    <w:p w14:paraId="3F2C270C" w14:textId="4014CA11" w:rsidR="000D7EDD" w:rsidRPr="00F64058" w:rsidRDefault="003C0CAB" w:rsidP="003C0CAB">
      <w:pPr>
        <w:pStyle w:val="Point1"/>
        <w:rPr>
          <w:noProof/>
        </w:rPr>
      </w:pPr>
      <w:r>
        <w:rPr>
          <w:noProof/>
        </w:rPr>
        <w:t>16)</w:t>
      </w:r>
      <w:r>
        <w:rPr>
          <w:noProof/>
        </w:rPr>
        <w:tab/>
      </w:r>
      <w:r w:rsidR="000D7EDD" w:rsidRPr="00F64058">
        <w:rPr>
          <w:noProof/>
        </w:rPr>
        <w:t>разрешаване и отмяна на разрешение за електронни платформи;</w:t>
      </w:r>
    </w:p>
    <w:p w14:paraId="1BE2C4C3" w14:textId="5D8CA85F" w:rsidR="000D7EDD" w:rsidRPr="00F64058" w:rsidRDefault="003C0CAB" w:rsidP="003C0CAB">
      <w:pPr>
        <w:pStyle w:val="Point1"/>
        <w:rPr>
          <w:noProof/>
        </w:rPr>
      </w:pPr>
      <w:r>
        <w:rPr>
          <w:noProof/>
        </w:rPr>
        <w:t>17)</w:t>
      </w:r>
      <w:r>
        <w:rPr>
          <w:noProof/>
        </w:rPr>
        <w:tab/>
      </w:r>
      <w:r w:rsidR="000D7EDD" w:rsidRPr="00F64058">
        <w:rPr>
          <w:noProof/>
        </w:rPr>
        <w:t>разглеждане на искания за определяне и/или създаване на централизирани организации за възлагане на обществени поръчки;</w:t>
      </w:r>
    </w:p>
    <w:p w14:paraId="65A338AA" w14:textId="1E06E739" w:rsidR="000D7EDD" w:rsidRPr="00F64058" w:rsidRDefault="003C0CAB" w:rsidP="003C0CAB">
      <w:pPr>
        <w:pStyle w:val="Point1"/>
        <w:rPr>
          <w:noProof/>
        </w:rPr>
      </w:pPr>
      <w:r>
        <w:rPr>
          <w:noProof/>
        </w:rPr>
        <w:t>18)</w:t>
      </w:r>
      <w:r>
        <w:rPr>
          <w:noProof/>
        </w:rPr>
        <w:tab/>
      </w:r>
      <w:r w:rsidR="000D7EDD" w:rsidRPr="00F64058">
        <w:rPr>
          <w:noProof/>
        </w:rPr>
        <w:t>разработване съвместно с други органи на насоки относно особеностите на обществените поръчки в различни сектори и публикуване на тези насоки в информационния ресурс на оправомощения орган.</w:t>
      </w:r>
    </w:p>
    <w:p w14:paraId="41C1CB11" w14:textId="77777777" w:rsidR="000D7EDD" w:rsidRPr="00F64058" w:rsidRDefault="000D7EDD" w:rsidP="000D7EDD">
      <w:pPr>
        <w:autoSpaceDE w:val="0"/>
        <w:autoSpaceDN w:val="0"/>
        <w:adjustRightInd w:val="0"/>
        <w:spacing w:after="0"/>
        <w:rPr>
          <w:noProof/>
          <w:szCs w:val="24"/>
        </w:rPr>
      </w:pPr>
      <w:r w:rsidRPr="00F64058">
        <w:rPr>
          <w:noProof/>
        </w:rPr>
        <w:t>Ролята на оправомощен орган се поема от отдел „Обществени поръчки и политика в областта на конкуренцията“, който е независимо структурно звено към Министерството на икономиката на Украйна. Подробната структура, отговорности и задачи на отдел „Обществени поръчки и политика в областта на конкуренцията“ са определени в правилника на отдел „Обществени поръчки и политика в областта на конкуренцията“, одобрен с Постановление № 3876 на Министерството на икономиката на Украйна от 18 октомври 2022 г.</w:t>
      </w:r>
    </w:p>
    <w:p w14:paraId="429827F0" w14:textId="51058467" w:rsidR="000D7EDD" w:rsidRPr="00F64058" w:rsidRDefault="000D7EDD" w:rsidP="000D7EDD">
      <w:pPr>
        <w:autoSpaceDE w:val="0"/>
        <w:autoSpaceDN w:val="0"/>
        <w:adjustRightInd w:val="0"/>
        <w:spacing w:after="0"/>
        <w:rPr>
          <w:noProof/>
          <w:szCs w:val="24"/>
        </w:rPr>
      </w:pPr>
      <w:r w:rsidRPr="00F64058">
        <w:rPr>
          <w:noProof/>
        </w:rPr>
        <w:t xml:space="preserve">По отношение на изискването по член 150, параграф 2, буква б) от споразумението, в съответствие с изменението на специален Закон № 1219-IX за Антимонополния комитет на Украйна („АМКУ“ и „Закон за АМКУ“), АМКУ, в качеството си на орган за разглеждане на жалби, създава комисия за разглеждане на жалби срещу нарушения на законодателството в областта на обществените поръчки и упражнява други правомощия, предвидени в Закона за обществените поръчки, Закона за защита на икономическата конкуренция на Украйна и Закона за АМКУ. </w:t>
      </w:r>
    </w:p>
    <w:p w14:paraId="6240F714" w14:textId="77777777" w:rsidR="000D7EDD" w:rsidRPr="00F64058" w:rsidRDefault="000D7EDD" w:rsidP="000D7EDD">
      <w:pPr>
        <w:autoSpaceDE w:val="0"/>
        <w:autoSpaceDN w:val="0"/>
        <w:adjustRightInd w:val="0"/>
        <w:spacing w:after="0"/>
        <w:rPr>
          <w:noProof/>
          <w:szCs w:val="24"/>
        </w:rPr>
      </w:pPr>
      <w:r w:rsidRPr="00F64058">
        <w:rPr>
          <w:noProof/>
        </w:rPr>
        <w:t xml:space="preserve">АМКУ е държавен орган със специален статут. АМКУ е независим орган, контролиран от президента на Украйна и подотчетен на Върховната рада на Украйна. Тази независимост е гарантирана на законодателно равнище от съответните разпоредби на украинския Закон за обществените поръчки и Закона за АМКУ. </w:t>
      </w:r>
    </w:p>
    <w:p w14:paraId="7153B2BF" w14:textId="734CD022" w:rsidR="000D7EDD" w:rsidRPr="00F64058" w:rsidRDefault="000D7EDD" w:rsidP="000D7EDD">
      <w:pPr>
        <w:autoSpaceDE w:val="0"/>
        <w:autoSpaceDN w:val="0"/>
        <w:adjustRightInd w:val="0"/>
        <w:spacing w:after="0"/>
        <w:rPr>
          <w:noProof/>
          <w:szCs w:val="24"/>
        </w:rPr>
      </w:pPr>
      <w:r w:rsidRPr="00F64058">
        <w:rPr>
          <w:noProof/>
        </w:rPr>
        <w:t>Всяка комисия за разглеждане на жалби относно нарушения на законодателството в областта на обществените поръчки следва да се състои от три лица, упълномощени да разглеждат жалби в областта на обществените поръчки.</w:t>
      </w:r>
    </w:p>
    <w:p w14:paraId="32FD4C96" w14:textId="0CEABADA" w:rsidR="000D7EDD" w:rsidRPr="00F64058" w:rsidRDefault="000D7EDD" w:rsidP="000D7EDD">
      <w:pPr>
        <w:autoSpaceDE w:val="0"/>
        <w:autoSpaceDN w:val="0"/>
        <w:adjustRightInd w:val="0"/>
        <w:spacing w:after="0"/>
        <w:rPr>
          <w:noProof/>
          <w:szCs w:val="24"/>
        </w:rPr>
      </w:pPr>
      <w:r w:rsidRPr="00F64058">
        <w:rPr>
          <w:noProof/>
        </w:rPr>
        <w:t xml:space="preserve">На 1 април 2021 г. АМКУ прие Наредба относно одобряването на процедурата за конкурентен подбор и назначаване на длъжности на упълномощените служители за разглеждане на жалби за нарушения на законодателството в областта на обществените поръчки, съгласно която членовете на комисията за разглеждане на жалби относно нарушения на законодателството в областта на обществените поръчки се назначават от председателя на АМКУ за срок от седем години с възможност за удължаване. Членовете на комисията за разглеждане на жалби относно нарушения на законодателството в областта на обществените поръчки подлежат на изискванията и ограниченията, установени от законодателството в областта на предотвратяването на корупцията, а Законът на Украйна за държавната администрация не се прилага. Членовете на комисията не са членове, нито са подчинени на правителството, законодателния орган или президента на Украйна. Съгласно член 6-1 от Закона за АМКУ членът на комисията за разглеждане на жалби относно нарушения на законодателството в областта на обществените поръчки, който е свързано лице с предмета на жалбата или с възлагащия орган, не може да участва в разглеждането и вземането на решение по такава жалба и за периода на разглеждане и вземане на решение по такава жалба се замества от друг член на комисията за разглеждане на жалби относно нарушения на законодателството в областта на обществените поръчки, който е определен от председателя на Антимонополния комитет на Украйна, или жалбата може да бъде прехвърлена за разглеждане на друга комисия за разглеждане на жалби срещу нарушения на закона. </w:t>
      </w:r>
    </w:p>
    <w:p w14:paraId="3A6FF26E" w14:textId="77777777" w:rsidR="000D7EDD" w:rsidRPr="00F64058" w:rsidRDefault="000D7EDD" w:rsidP="000D7EDD">
      <w:pPr>
        <w:autoSpaceDE w:val="0"/>
        <w:autoSpaceDN w:val="0"/>
        <w:adjustRightInd w:val="0"/>
        <w:spacing w:after="0"/>
        <w:rPr>
          <w:noProof/>
          <w:szCs w:val="24"/>
        </w:rPr>
      </w:pPr>
      <w:r w:rsidRPr="00F64058">
        <w:rPr>
          <w:noProof/>
        </w:rPr>
        <w:t xml:space="preserve">Членовете на комисията се назначават от председателя на Антимонополния комитет на Украйна след преминаване на специална проверка, предвидена в Закона на Украйна за предотвратяване на корупцията. </w:t>
      </w:r>
    </w:p>
    <w:p w14:paraId="73B43AED" w14:textId="77777777" w:rsidR="000D7EDD" w:rsidRPr="00F64058" w:rsidRDefault="000D7EDD" w:rsidP="000D7EDD">
      <w:pPr>
        <w:autoSpaceDE w:val="0"/>
        <w:autoSpaceDN w:val="0"/>
        <w:adjustRightInd w:val="0"/>
        <w:spacing w:after="0"/>
        <w:rPr>
          <w:noProof/>
          <w:szCs w:val="24"/>
        </w:rPr>
      </w:pPr>
      <w:r w:rsidRPr="00F64058">
        <w:rPr>
          <w:noProof/>
        </w:rPr>
        <w:t>Решенията на комисията за разглеждане на жалби относно нарушения на законодателството в областта на обществените поръчки се приемат от името на АМКУ и са задължителни.</w:t>
      </w:r>
    </w:p>
    <w:p w14:paraId="6445958C" w14:textId="77777777" w:rsidR="000D7EDD" w:rsidRPr="00F64058" w:rsidRDefault="000D7EDD" w:rsidP="000D7EDD">
      <w:pPr>
        <w:autoSpaceDE w:val="0"/>
        <w:autoSpaceDN w:val="0"/>
        <w:adjustRightInd w:val="0"/>
        <w:spacing w:after="0"/>
        <w:rPr>
          <w:noProof/>
          <w:szCs w:val="24"/>
        </w:rPr>
      </w:pPr>
      <w:r w:rsidRPr="00F64058">
        <w:rPr>
          <w:noProof/>
        </w:rPr>
        <w:t>Решенията на АМКУ могат да бъдат обжалвани в срок от 30 дни от датата на публикуването им в системата за електронни обществени поръчки.</w:t>
      </w:r>
    </w:p>
    <w:p w14:paraId="5C871B03" w14:textId="737E05D2" w:rsidR="000D7EDD" w:rsidRPr="00F64058" w:rsidRDefault="000D7EDD" w:rsidP="000D7EDD">
      <w:pPr>
        <w:rPr>
          <w:noProof/>
          <w:szCs w:val="24"/>
        </w:rPr>
      </w:pPr>
      <w:r w:rsidRPr="00F64058">
        <w:rPr>
          <w:noProof/>
        </w:rPr>
        <w:t xml:space="preserve">В съответствие със заключителните и преходните разпоредби на Закона за изменение и допълнение на Закона за обществените поръчки от 3 юни 2021 г. новите разпоредби относно упражняването на правомощията на АМКУ в областта на прегледа на обществените поръчки и дейността на комисията (комисиите) за разглеждане на жалби относно нарушения на законодателството в областта на обществените поръчки следва да влязат в сила в деня на </w:t>
      </w:r>
      <w:r w:rsidR="003C0CAB">
        <w:rPr>
          <w:noProof/>
        </w:rPr>
        <w:t>нейното</w:t>
      </w:r>
      <w:r w:rsidRPr="00F64058">
        <w:rPr>
          <w:noProof/>
        </w:rPr>
        <w:t xml:space="preserve"> (тяхното) </w:t>
      </w:r>
      <w:r w:rsidR="003C0CAB">
        <w:rPr>
          <w:noProof/>
        </w:rPr>
        <w:t>учредяване</w:t>
      </w:r>
      <w:r w:rsidRPr="00F64058">
        <w:rPr>
          <w:noProof/>
        </w:rPr>
        <w:t xml:space="preserve">. </w:t>
      </w:r>
    </w:p>
    <w:p w14:paraId="4624254B" w14:textId="2A944C13" w:rsidR="00A6651E" w:rsidRPr="00F64058" w:rsidRDefault="000D7EDD" w:rsidP="56CE222D">
      <w:pPr>
        <w:autoSpaceDE w:val="0"/>
        <w:autoSpaceDN w:val="0"/>
        <w:adjustRightInd w:val="0"/>
        <w:spacing w:after="0"/>
        <w:rPr>
          <w:noProof/>
        </w:rPr>
      </w:pPr>
      <w:r w:rsidRPr="00F64058">
        <w:rPr>
          <w:noProof/>
        </w:rPr>
        <w:t xml:space="preserve">АМКУ все още не е пристъпил към набиране на членове на комисията за разглеждане на жалби относно нарушения на законодателството в областта на обществените поръчки. Очаква се конкурсите да започнат в началото на 2022 г. Поради началото на пълномащабната война на Руската федерация срещу Украйна след 24 февруари АМКУ временно преустанови разглеждането на жалби в областта на обществените поръчки. След възобновяването на разглеждането на жалбите техният брой е намалял значително. След въвеждането на военното положение АМКУ разглежда жалбите относно нарушения на законодателството в областта на обществените поръчки в предишната си конфигурация. Процедурата за набиране на персонал на АМКУ започна през февруари 2023 г. </w:t>
      </w:r>
    </w:p>
    <w:p w14:paraId="73B79AF7" w14:textId="7CDBFCC1" w:rsidR="000D7EDD" w:rsidRPr="00F64058" w:rsidRDefault="00DE7C8C" w:rsidP="00DE7C8C">
      <w:pPr>
        <w:pStyle w:val="ManualHeading4"/>
        <w:rPr>
          <w:noProof/>
        </w:rPr>
      </w:pPr>
      <w:r w:rsidRPr="00DE7C8C">
        <w:t>2.4.1.2.</w:t>
      </w:r>
      <w:r w:rsidRPr="00DE7C8C">
        <w:tab/>
      </w:r>
      <w:r w:rsidR="000D7EDD" w:rsidRPr="00F64058">
        <w:rPr>
          <w:noProof/>
        </w:rPr>
        <w:t>Изискване 1б):</w:t>
      </w:r>
    </w:p>
    <w:p w14:paraId="65C0E512" w14:textId="77777777" w:rsidR="000D7EDD" w:rsidRPr="00F64058" w:rsidRDefault="000D7EDD" w:rsidP="000D7EDD">
      <w:pPr>
        <w:autoSpaceDE w:val="0"/>
        <w:autoSpaceDN w:val="0"/>
        <w:adjustRightInd w:val="0"/>
        <w:spacing w:after="0"/>
        <w:rPr>
          <w:noProof/>
          <w:szCs w:val="24"/>
        </w:rPr>
      </w:pPr>
      <w:r w:rsidRPr="00F64058">
        <w:rPr>
          <w:noProof/>
        </w:rPr>
        <w:t>По отношение на втората част от първото изискване, съгласно член 151 от споразумението страните спазват набор от основни стандарти за възлагането на всички поръчки, като тези стандарти са посочени в параграфи 2—15 от същия член и се отнасят до публикуването, възлагането на поръчки и съдебната защита. Тези основни стандарти произтичат пряко от правилата и принципите за обществените поръчки, уредени с достиженията на правото на Съюза в областта на обществените поръчки, включително принципите на недискриминация, равнопоставеност, прозрачност и пропорционалност.</w:t>
      </w:r>
    </w:p>
    <w:p w14:paraId="3420E0BF" w14:textId="77777777" w:rsidR="000D7EDD" w:rsidRPr="00F64058" w:rsidRDefault="000D7EDD" w:rsidP="000D7EDD">
      <w:pPr>
        <w:autoSpaceDE w:val="0"/>
        <w:autoSpaceDN w:val="0"/>
        <w:adjustRightInd w:val="0"/>
        <w:spacing w:after="0"/>
        <w:rPr>
          <w:noProof/>
          <w:szCs w:val="24"/>
        </w:rPr>
      </w:pPr>
      <w:r w:rsidRPr="00F64058">
        <w:rPr>
          <w:noProof/>
        </w:rPr>
        <w:t xml:space="preserve">Съгласно Закона за обществените поръчки на Украйна процедурите за възлагане на обществени поръчки в страната се провеждат в съответствие със следните принципи: 1) лоялна конкуренция между оферентите; 2) максимални икономии на разходи, ефективност и пропорционалност; 3) откритост и прозрачност на всички етапи от процеса на възлагане на обществени поръчки; 4) недискриминация и равно третиране на оферентите; 5) обективност и безпристрастност на оценката на предложенията/офертите и на възлагането; 6) предотвратяване на корупционни практики и злоупотреби. Законът за обществените поръчки предвижда участие в процедурите за възлагане на обществени поръчки при равни условия на местните и чуждестранните оференти, независимо от формата им на собственост и правно-организационната им структура. </w:t>
      </w:r>
    </w:p>
    <w:p w14:paraId="6C5AC6DE" w14:textId="4CD6D70B" w:rsidR="000D7EDD" w:rsidRPr="00F64058" w:rsidRDefault="000D7EDD" w:rsidP="00E61BE4">
      <w:pPr>
        <w:autoSpaceDE w:val="0"/>
        <w:autoSpaceDN w:val="0"/>
        <w:adjustRightInd w:val="0"/>
        <w:spacing w:after="0"/>
        <w:rPr>
          <w:noProof/>
        </w:rPr>
      </w:pPr>
      <w:r w:rsidRPr="00F64058">
        <w:rPr>
          <w:noProof/>
        </w:rPr>
        <w:t>С изменението на Закона за обществените поръчки, прието на 16 декември 2021 г. — Закон за изменение на Закона на Украйна за обществените поръчки с цел създаване на предпоставки за устойчиво развитие и модернизация на националната промишленост № 1977-IX — бяха въведени временни изисквания за национално съдържание за период от 10 години за обществените поръчки за избрани машини и оборудване. Тези изисквания не се прилагат за обществени поръчки, които попадат в обхвата на разпоредбите на Закона на Украйна относно присъединяването на Украйна към Споразумението за обществените поръчки, както и разпоредбите относно обществените поръчки на други международни договори на Украйна, одобрени от Върховната рада на Украйна. Следователно тези изисквания за вътрешно съдържание не се прилагат за оферти, предложени от икономически оператори от Европейския съюз — независимо дали са установени или не в Украйна — или обхващащи продукти, услуги или строителни работи с произход от Европейския съюз.</w:t>
      </w:r>
    </w:p>
    <w:p w14:paraId="718C176D" w14:textId="690493F1" w:rsidR="000D7EDD" w:rsidRPr="00F64058" w:rsidRDefault="000D7EDD" w:rsidP="000D7EDD">
      <w:pPr>
        <w:autoSpaceDE w:val="0"/>
        <w:autoSpaceDN w:val="0"/>
        <w:adjustRightInd w:val="0"/>
        <w:spacing w:after="0"/>
        <w:rPr>
          <w:noProof/>
          <w:szCs w:val="24"/>
        </w:rPr>
      </w:pPr>
      <w:r w:rsidRPr="00F64058">
        <w:rPr>
          <w:noProof/>
        </w:rPr>
        <w:t>От 1 август 2016 г. повечето от процедурите за възлагане на обществени поръчки в Украйна се провеждат изключително чрез системата за електронни обществени поръчки Prozorro. Цялата информация за обществените поръчки, включително тръжните документи, съдържащи изисквания за предмета на поръчката и оферентите, се публикува в системата за електронни обществени поръчки.</w:t>
      </w:r>
    </w:p>
    <w:p w14:paraId="266B9647" w14:textId="77777777" w:rsidR="000D7EDD" w:rsidRPr="00F64058" w:rsidRDefault="000D7EDD" w:rsidP="000D7EDD">
      <w:pPr>
        <w:autoSpaceDE w:val="0"/>
        <w:autoSpaceDN w:val="0"/>
        <w:adjustRightInd w:val="0"/>
        <w:spacing w:after="0"/>
        <w:rPr>
          <w:noProof/>
          <w:szCs w:val="24"/>
        </w:rPr>
      </w:pPr>
      <w:r w:rsidRPr="00F64058">
        <w:rPr>
          <w:noProof/>
        </w:rPr>
        <w:t xml:space="preserve">Предметът на поръчката се определя от националния класификатор „Общ терминологичен речник, свързан с обществените поръчки“ („CPV“), който е адаптиран към Общия терминологичен речник на ЕС, свързан с обществените поръчки. Националният класификатор „Общ терминологичен речник, свързан с обществените поръчки“ има за цел да стандартизира описанието на предмета на обществената поръчка, за да се гарантира по-голяма прозрачност и ефективна конкурентна среда. </w:t>
      </w:r>
    </w:p>
    <w:p w14:paraId="0870E801" w14:textId="77777777" w:rsidR="000D7EDD" w:rsidRPr="00F64058" w:rsidRDefault="000D7EDD" w:rsidP="00E61BE4">
      <w:pPr>
        <w:autoSpaceDE w:val="0"/>
        <w:autoSpaceDN w:val="0"/>
        <w:adjustRightInd w:val="0"/>
        <w:spacing w:after="0"/>
        <w:rPr>
          <w:noProof/>
          <w:szCs w:val="24"/>
        </w:rPr>
      </w:pPr>
      <w:r w:rsidRPr="00F64058">
        <w:rPr>
          <w:noProof/>
        </w:rPr>
        <w:t>Сроковете за заявяване на интерес и за подаване на оферти са определени в Закона за обществените поръчки и варират в зависимост от процедурата за възлагане на обществена поръчка:</w:t>
      </w:r>
    </w:p>
    <w:p w14:paraId="6E812967" w14:textId="77777777" w:rsidR="000D7EDD" w:rsidRPr="00F64058" w:rsidRDefault="000D7EDD" w:rsidP="00E41435">
      <w:pPr>
        <w:pStyle w:val="Tiret1"/>
        <w:numPr>
          <w:ilvl w:val="0"/>
          <w:numId w:val="8"/>
        </w:numPr>
        <w:rPr>
          <w:noProof/>
        </w:rPr>
      </w:pPr>
      <w:r w:rsidRPr="00F64058">
        <w:rPr>
          <w:noProof/>
        </w:rPr>
        <w:t>в случай на обявяване на открита тръжна процедура — най-малко 15 дни, ако прогнозната стойност не надвишава праговете, и най-малко 30 дни в случай на превишаване на праговете;</w:t>
      </w:r>
    </w:p>
    <w:p w14:paraId="6C1E59B7" w14:textId="77777777" w:rsidR="000D7EDD" w:rsidRPr="00F64058" w:rsidRDefault="000D7EDD" w:rsidP="00C00C5C">
      <w:pPr>
        <w:pStyle w:val="Tiret1"/>
        <w:rPr>
          <w:noProof/>
        </w:rPr>
      </w:pPr>
      <w:r w:rsidRPr="00F64058">
        <w:rPr>
          <w:noProof/>
        </w:rPr>
        <w:t>в случай на обявяване на процедура на състезателен диалог — най-малко 15 дни, ако прогнозната стойност не надвишава праговете, и най-малко 30 дни в случай на превишаване на праговете;</w:t>
      </w:r>
    </w:p>
    <w:p w14:paraId="6364A0B6" w14:textId="77777777" w:rsidR="000D7EDD" w:rsidRPr="00F64058" w:rsidRDefault="000D7EDD" w:rsidP="00C00C5C">
      <w:pPr>
        <w:pStyle w:val="Tiret1"/>
        <w:rPr>
          <w:noProof/>
        </w:rPr>
      </w:pPr>
      <w:r w:rsidRPr="00F64058">
        <w:rPr>
          <w:noProof/>
        </w:rPr>
        <w:t xml:space="preserve">в случай на обявяване на ограничената тръжна процедура — не по-късно от 30 дни преди крайния срок за получаване на документите, представени за подбор за квалификация. </w:t>
      </w:r>
    </w:p>
    <w:p w14:paraId="2676613A" w14:textId="031122AF" w:rsidR="000D7EDD" w:rsidRPr="00F64058" w:rsidRDefault="000D7EDD" w:rsidP="00E61BE4">
      <w:pPr>
        <w:shd w:val="clear" w:color="auto" w:fill="FFFFFF"/>
        <w:tabs>
          <w:tab w:val="left" w:pos="7440"/>
        </w:tabs>
        <w:spacing w:after="0"/>
        <w:rPr>
          <w:noProof/>
          <w:szCs w:val="24"/>
        </w:rPr>
      </w:pPr>
      <w:r w:rsidRPr="00F64058">
        <w:rPr>
          <w:noProof/>
        </w:rPr>
        <w:t>Праговете, посочени по-горе, са 133</w:t>
      </w:r>
      <w:r w:rsidR="003C0CAB">
        <w:rPr>
          <w:noProof/>
        </w:rPr>
        <w:t xml:space="preserve"> </w:t>
      </w:r>
      <w:r w:rsidRPr="00F64058">
        <w:rPr>
          <w:noProof/>
        </w:rPr>
        <w:t>000 EUR за стоки и услуги и 5 150 000 EUR за строителни работи. Ако прогнозната стойност на обществената поръчка надвишава праговете, обявяването на процедурата за възлагане на обществена поръчка трябва също да бъде оповестено публично на уебпортала на оправомощения орган на английски език.</w:t>
      </w:r>
    </w:p>
    <w:p w14:paraId="267CB242" w14:textId="431E0EF5" w:rsidR="000D7EDD" w:rsidRPr="00F64058" w:rsidRDefault="000D7EDD" w:rsidP="000D7EDD">
      <w:pPr>
        <w:autoSpaceDE w:val="0"/>
        <w:autoSpaceDN w:val="0"/>
        <w:adjustRightInd w:val="0"/>
        <w:spacing w:after="0"/>
        <w:rPr>
          <w:noProof/>
          <w:szCs w:val="24"/>
        </w:rPr>
      </w:pPr>
      <w:r w:rsidRPr="00F64058">
        <w:rPr>
          <w:noProof/>
        </w:rPr>
        <w:t xml:space="preserve">Законът за обществените поръчки изисква обществените поръчки да се възлагат по прозрачен начин в съответствие с предварително обявени критерии и правила. Информацията за спечелилия оферент се показва в системата за електронни обществени поръчки. Неуспелите оференти могат да поискат от възлагащия орган чрез системата за електронни обществени поръчки да предостави информация за офертата, подадена от спечелилия оферент, включително за нейните предимства в сравнение със собствената им оферта, и възлагащият орган е длъжен да отговори на това искане в срок от пет дни. </w:t>
      </w:r>
    </w:p>
    <w:p w14:paraId="18CF4CB2" w14:textId="77777777" w:rsidR="00E15552" w:rsidRPr="00F64058" w:rsidRDefault="000D7EDD" w:rsidP="00E15552">
      <w:pPr>
        <w:rPr>
          <w:noProof/>
          <w:szCs w:val="24"/>
        </w:rPr>
      </w:pPr>
      <w:r w:rsidRPr="00F64058">
        <w:rPr>
          <w:noProof/>
        </w:rPr>
        <w:t>След военната агресия на Русия срещу Украйна въз основа на действащото военно положение в Украйна и за периода, през който то е в действие, Украйна въведе временни дерогации от своето законодателство в областта на обществените поръчки. Оценката на изпълнението на етап 1 и етап 2 се основава на ангажимента на Украйна временните дерогации, произтичащи от въвеждането на военното положение, да бъдат оттеглени в срок от 90 дни от края на военното положение.</w:t>
      </w:r>
    </w:p>
    <w:p w14:paraId="63BDFD69" w14:textId="77777777" w:rsidR="000D7EDD" w:rsidRPr="00F64058" w:rsidRDefault="000D7EDD" w:rsidP="000D7EDD">
      <w:pPr>
        <w:autoSpaceDE w:val="0"/>
        <w:autoSpaceDN w:val="0"/>
        <w:adjustRightInd w:val="0"/>
        <w:spacing w:after="0"/>
        <w:rPr>
          <w:b/>
          <w:bCs/>
          <w:noProof/>
          <w:szCs w:val="24"/>
        </w:rPr>
      </w:pPr>
      <w:r w:rsidRPr="00F64058">
        <w:rPr>
          <w:b/>
          <w:noProof/>
        </w:rPr>
        <w:t>Изискване 2:</w:t>
      </w:r>
    </w:p>
    <w:p w14:paraId="0AAFA08E" w14:textId="77777777" w:rsidR="000D7EDD" w:rsidRPr="00F64058" w:rsidRDefault="000D7EDD" w:rsidP="000D7EDD">
      <w:pPr>
        <w:autoSpaceDE w:val="0"/>
        <w:autoSpaceDN w:val="0"/>
        <w:adjustRightInd w:val="0"/>
        <w:spacing w:after="0"/>
        <w:rPr>
          <w:noProof/>
          <w:szCs w:val="24"/>
        </w:rPr>
      </w:pPr>
      <w:r w:rsidRPr="00F64058">
        <w:rPr>
          <w:noProof/>
        </w:rPr>
        <w:t>По отношение на второто изискване за етап 1 е необходимо да се одобри пътна карта, както е посочено в член 152 от споразумението. В член 152, параграф 1 от споразумението се предвижда, че преди да започне постепенното сближаване, Украйна трябва да представи на Комитета за асоцииране в състав „Търговия“ подробна пътна карта за прилагането на дял IV, глава 8 от споразумението с графици и основни етапи. Тази пътна карта, която съгласно споразумението трябва да е съобразена с етапите и графиците, определени в приложение XXI-Б, трябва да включва всички реформи по отношение на сближаването с достиженията на правото на Съюза и изграждането на институционален капацитет.</w:t>
      </w:r>
    </w:p>
    <w:p w14:paraId="0EAF2149" w14:textId="73309F33" w:rsidR="000D7EDD" w:rsidRPr="00F64058" w:rsidRDefault="000D7EDD" w:rsidP="000D7EDD">
      <w:pPr>
        <w:autoSpaceDE w:val="0"/>
        <w:autoSpaceDN w:val="0"/>
        <w:adjustRightInd w:val="0"/>
        <w:spacing w:after="0"/>
        <w:rPr>
          <w:noProof/>
          <w:szCs w:val="24"/>
        </w:rPr>
      </w:pPr>
      <w:r w:rsidRPr="00F64058">
        <w:rPr>
          <w:noProof/>
        </w:rPr>
        <w:t xml:space="preserve">На 24 февруари 2016 г. с Резолюция № 175 Министерският съвет на Украйна прие „Стратегия за реформиране на системата за обществени поръчки (пътна карта)“. С Решение 1/2018 от 14 май 2018 г. Комитетът за асоцииране в състав „Търговия“ даде положително становище по пътната карта за прилагането на глава 8. </w:t>
      </w:r>
    </w:p>
    <w:p w14:paraId="6F9C9BBF" w14:textId="1E31F04A" w:rsidR="000D7EDD" w:rsidRPr="00F64058" w:rsidRDefault="00DE7C8C" w:rsidP="00DE7C8C">
      <w:pPr>
        <w:pStyle w:val="ManualHeading3"/>
        <w:rPr>
          <w:noProof/>
        </w:rPr>
      </w:pPr>
      <w:r w:rsidRPr="00DE7C8C">
        <w:t>2.4.2.</w:t>
      </w:r>
      <w:r w:rsidRPr="00DE7C8C">
        <w:tab/>
      </w:r>
      <w:r w:rsidR="000D7EDD" w:rsidRPr="00F64058">
        <w:rPr>
          <w:noProof/>
        </w:rPr>
        <w:t>Етап 2</w:t>
      </w:r>
    </w:p>
    <w:p w14:paraId="660FF15C" w14:textId="77777777" w:rsidR="003B7EB0" w:rsidRPr="00F64058" w:rsidRDefault="003B7EB0" w:rsidP="000D7EDD">
      <w:pPr>
        <w:rPr>
          <w:rFonts w:eastAsia="Calibri"/>
          <w:noProof/>
        </w:rPr>
      </w:pPr>
      <w:r w:rsidRPr="00F64058">
        <w:rPr>
          <w:noProof/>
        </w:rPr>
        <w:t>Второто решение на Комитета по търговията има за цел да даде положителна оценка на изпълнението от страна на Украйна на етап 2 от приложение XXI-A.</w:t>
      </w:r>
    </w:p>
    <w:p w14:paraId="0CAB43BF" w14:textId="77777777" w:rsidR="000D7EDD" w:rsidRPr="00F64058" w:rsidRDefault="003B7EB0" w:rsidP="00E61BE4">
      <w:pPr>
        <w:autoSpaceDE w:val="0"/>
        <w:autoSpaceDN w:val="0"/>
        <w:adjustRightInd w:val="0"/>
        <w:spacing w:after="0"/>
        <w:rPr>
          <w:noProof/>
          <w:szCs w:val="24"/>
        </w:rPr>
      </w:pPr>
      <w:r w:rsidRPr="00F64058">
        <w:rPr>
          <w:noProof/>
        </w:rPr>
        <w:t xml:space="preserve">За тази цел приложение XXI-A изисква „сближаване и прилагане на основните елементи на Директива 2014/24/ЕС и Директива 89/665/ЕИО“. </w:t>
      </w:r>
    </w:p>
    <w:p w14:paraId="2152AA64" w14:textId="7200A7CA" w:rsidR="000D7EDD" w:rsidRPr="00F64058" w:rsidRDefault="00DE7C8C" w:rsidP="00DE7C8C">
      <w:pPr>
        <w:pStyle w:val="ManualHeading4"/>
        <w:rPr>
          <w:noProof/>
        </w:rPr>
      </w:pPr>
      <w:r w:rsidRPr="00DE7C8C">
        <w:t>2.4.2.1.</w:t>
      </w:r>
      <w:r w:rsidRPr="00DE7C8C">
        <w:tab/>
      </w:r>
      <w:r w:rsidR="00AA5DE7" w:rsidRPr="00F64058">
        <w:rPr>
          <w:noProof/>
        </w:rPr>
        <w:t>Директива 2014/24/ЕС:</w:t>
      </w:r>
    </w:p>
    <w:p w14:paraId="7B5F740C" w14:textId="2B584B55" w:rsidR="000D7EDD" w:rsidRPr="00F64058" w:rsidRDefault="000D7EDD" w:rsidP="000D7EDD">
      <w:pPr>
        <w:autoSpaceDE w:val="0"/>
        <w:autoSpaceDN w:val="0"/>
        <w:adjustRightInd w:val="0"/>
        <w:spacing w:before="200" w:after="200"/>
        <w:rPr>
          <w:noProof/>
          <w:color w:val="000000"/>
          <w:szCs w:val="24"/>
        </w:rPr>
      </w:pPr>
      <w:r w:rsidRPr="00F64058">
        <w:rPr>
          <w:noProof/>
        </w:rPr>
        <w:t>Основните елементи на Директива 2014/24/ЕС са определени в приложение XXI-Б към споразумението.</w:t>
      </w:r>
    </w:p>
    <w:p w14:paraId="17F3F9A1" w14:textId="77777777" w:rsidR="000D7EDD" w:rsidRPr="00F64058" w:rsidRDefault="000D7EDD" w:rsidP="000D7EDD">
      <w:pPr>
        <w:autoSpaceDE w:val="0"/>
        <w:autoSpaceDN w:val="0"/>
        <w:adjustRightInd w:val="0"/>
        <w:spacing w:before="200" w:after="200"/>
        <w:rPr>
          <w:noProof/>
          <w:color w:val="000000"/>
          <w:szCs w:val="24"/>
        </w:rPr>
      </w:pPr>
      <w:r w:rsidRPr="00F64058">
        <w:rPr>
          <w:noProof/>
          <w:color w:val="000000"/>
        </w:rPr>
        <w:t>Законът за обществените поръчки има за цел да осигури сближаване с основните елементи на Директива 2014/24/ЕС.</w:t>
      </w:r>
    </w:p>
    <w:p w14:paraId="05BC6657" w14:textId="21179D8E" w:rsidR="000D7EDD" w:rsidRPr="00F64058" w:rsidRDefault="000D7EDD" w:rsidP="000D7EDD">
      <w:pPr>
        <w:autoSpaceDE w:val="0"/>
        <w:autoSpaceDN w:val="0"/>
        <w:adjustRightInd w:val="0"/>
        <w:spacing w:before="200" w:after="200"/>
        <w:rPr>
          <w:noProof/>
          <w:color w:val="000000"/>
          <w:szCs w:val="24"/>
        </w:rPr>
      </w:pPr>
      <w:r w:rsidRPr="00F64058">
        <w:rPr>
          <w:noProof/>
          <w:color w:val="000000"/>
        </w:rPr>
        <w:t xml:space="preserve">Законът за обществените поръчки определя приложното си поле по отношение на стоки, услуги и строителни работи, възложени от възлагащи органи. Възлагащите органи са допълнително определени в Закона за обществените поръчки, включително повечето от елементите, посочени в Директива 2014/24/ЕС. Освен това Законът за обществените поръчки съдържа различни определения, които по принцип биха могли да се считат за съвместими с Директива 2014/24/ЕС. Стойността на поръчката, над която се прилага Законът за обществените поръчки, е определена в член 3 от Закона за обществените поръчки на равнище, което е по-ниско от предвиденото в Директива 2014/24/ЕС. Постановление № 275 на Министерството на икономиката, търговията и земеделието на Украйна от 18.2.2020 г. относно одобряването на приблизителен метод за определяне на очакваната стойност на предмета на поръчката включва някои разпоредби относно методите за изчисляване на очакваната стойност на поръчката. </w:t>
      </w:r>
    </w:p>
    <w:p w14:paraId="27AECAB5" w14:textId="22042256" w:rsidR="000D7EDD" w:rsidRPr="00F64058" w:rsidRDefault="000D7EDD" w:rsidP="00E61BE4">
      <w:pPr>
        <w:autoSpaceDE w:val="0"/>
        <w:autoSpaceDN w:val="0"/>
        <w:adjustRightInd w:val="0"/>
        <w:spacing w:after="0"/>
        <w:rPr>
          <w:noProof/>
          <w:szCs w:val="24"/>
        </w:rPr>
      </w:pPr>
      <w:r w:rsidRPr="00F64058">
        <w:rPr>
          <w:noProof/>
        </w:rPr>
        <w:t xml:space="preserve">Съгласно Закона за обществените поръчки процедурите за възлагане на обществени поръчки в Украйна се провеждат в съответствие със следните принципи: 1) лоялна конкуренция между оферентите; 2) максимални икономии на разходи, ефективност и пропорционалност; 3) откритост и прозрачност на всички етапи от процеса на възлагане на обществени поръчки; 4) недискриминация и равно третиране на оферентите; 5) обективност и безпристрастност на оценката на предложенията/офертите и на възлагането; 6) предотвратяване на корупционни практики и злоупотреби. Законът за обществените поръчки предвижда участие в процедурите за възлагане на обществени поръчки при равни условия на местните и чуждестранните оференти, независимо от формата им на собственост и правно-организационната им структура. </w:t>
      </w:r>
    </w:p>
    <w:p w14:paraId="77A356F2" w14:textId="610AA943" w:rsidR="000D7EDD" w:rsidRPr="00F64058" w:rsidRDefault="000D7EDD" w:rsidP="000D7EDD">
      <w:pPr>
        <w:autoSpaceDE w:val="0"/>
        <w:autoSpaceDN w:val="0"/>
        <w:adjustRightInd w:val="0"/>
        <w:spacing w:after="0"/>
        <w:rPr>
          <w:b/>
          <w:iCs/>
          <w:noProof/>
          <w:szCs w:val="24"/>
          <w:shd w:val="clear" w:color="auto" w:fill="FFFFFF"/>
        </w:rPr>
      </w:pPr>
      <w:r w:rsidRPr="00F64058">
        <w:rPr>
          <w:noProof/>
        </w:rPr>
        <w:t>С изменението на Закона за обществените поръчки, прието на 16 декември 2021 г. — Закон за изменение на Закона на Украйна за обществените поръчки с цел създаване на предпоставки за устойчиво развитие и модернизация на националната промишленост № 1977-IX — бяха въведени временни изисквания за национално съдържание за период от 10 години за обществените поръчки за избрани машини и оборудване. Тези изисквания не се прилагат за обществени поръчки, които попадат в обхвата на разпоредбите на Закона на Украйна относно присъединяването на Украйна към Споразумението за обществените поръчки, както и разпоредбите относно обществените поръчки на други международни договори на Украйна, одобрени от Върховната рада на Украйна. Следователно тези изисквания за вътрешно съдържание не се прилагат за оферти, предложени от икономически оператори от Европейския съюз — независимо дали са установени или не в Украйна — или обхващащи продукти, услуги или строителни работи с произход от Европейския съюз.</w:t>
      </w:r>
    </w:p>
    <w:p w14:paraId="504B6FE8" w14:textId="710C61D4" w:rsidR="000D7EDD" w:rsidRPr="00F64058" w:rsidRDefault="000D7EDD" w:rsidP="000D7EDD">
      <w:pPr>
        <w:autoSpaceDE w:val="0"/>
        <w:autoSpaceDN w:val="0"/>
        <w:adjustRightInd w:val="0"/>
        <w:spacing w:before="200" w:after="200"/>
        <w:rPr>
          <w:noProof/>
          <w:szCs w:val="24"/>
        </w:rPr>
      </w:pPr>
      <w:r w:rsidRPr="00F64058">
        <w:rPr>
          <w:noProof/>
        </w:rPr>
        <w:t>Законът за обществените поръчки урежда следните процедури за възлагане на обществени поръчки: открита тръжна процедура; ограничена тръжна процедура; състезателен диалог. Общите принципи на този закон са съвместими с принципите, определени в Директива 2014/24/ЕС. Законът за обществените поръчки включва и възможността за прилагане на процедурата на договаряне; условията за нейното използване в много отношения са съвместими с тези в Директива 2014/24/ЕС.</w:t>
      </w:r>
    </w:p>
    <w:p w14:paraId="791109FE" w14:textId="0311F0D7" w:rsidR="000D7EDD" w:rsidRPr="00F64058" w:rsidRDefault="000D7EDD" w:rsidP="000D7EDD">
      <w:pPr>
        <w:autoSpaceDE w:val="0"/>
        <w:autoSpaceDN w:val="0"/>
        <w:adjustRightInd w:val="0"/>
        <w:spacing w:before="200" w:after="200"/>
        <w:rPr>
          <w:noProof/>
          <w:szCs w:val="24"/>
        </w:rPr>
      </w:pPr>
      <w:r w:rsidRPr="00F64058">
        <w:rPr>
          <w:noProof/>
        </w:rPr>
        <w:t>Разпоредбите относно етикетите, протоколите от изпитвания, сертифицирането и други доказателствени средства са приведени в съответствие с Директива 2014/24/ЕС.</w:t>
      </w:r>
    </w:p>
    <w:p w14:paraId="1DB95900" w14:textId="77777777" w:rsidR="000D7EDD" w:rsidRPr="00F64058" w:rsidRDefault="000D7EDD" w:rsidP="000D7EDD">
      <w:pPr>
        <w:autoSpaceDE w:val="0"/>
        <w:autoSpaceDN w:val="0"/>
        <w:adjustRightInd w:val="0"/>
        <w:spacing w:before="200" w:after="200"/>
        <w:rPr>
          <w:noProof/>
          <w:szCs w:val="24"/>
        </w:rPr>
      </w:pPr>
      <w:r w:rsidRPr="00F64058">
        <w:rPr>
          <w:noProof/>
        </w:rPr>
        <w:t>Съгласно Закона за обществените поръчки възлагащите органи публикуват обявления за конкурентни тръжни процедури, включително тръжни документи и проекти на договори, в системата за електронни обществени поръчки. Цялата информация, свързана с възлагането на обществени поръчки, се предоставя в системата за електронни обществени поръчки.</w:t>
      </w:r>
    </w:p>
    <w:p w14:paraId="6A981510" w14:textId="62510E18" w:rsidR="000D7EDD" w:rsidRPr="00F64058" w:rsidRDefault="000D7EDD" w:rsidP="000D7EDD">
      <w:pPr>
        <w:autoSpaceDE w:val="0"/>
        <w:autoSpaceDN w:val="0"/>
        <w:adjustRightInd w:val="0"/>
        <w:spacing w:after="0"/>
        <w:rPr>
          <w:noProof/>
          <w:szCs w:val="24"/>
        </w:rPr>
      </w:pPr>
      <w:r w:rsidRPr="00F64058">
        <w:rPr>
          <w:noProof/>
        </w:rPr>
        <w:t xml:space="preserve">Информацията за спечелилия оферент се показва в системата за електронни обществени поръчки. Неуспял оферент може да поиска от възлагащия орган чрез системата за електронни обществени поръчки да предостави информация за офертата, подадена от спечелилия оферент, включително за неговите предимства в сравнение със собствената му оферта, като възлагащият орган е длъжен да отговори на това искане в срок от пет дни. </w:t>
      </w:r>
    </w:p>
    <w:p w14:paraId="676CEC43" w14:textId="77777777" w:rsidR="000D7EDD" w:rsidRPr="00F64058" w:rsidRDefault="000D7EDD" w:rsidP="000D7EDD">
      <w:pPr>
        <w:autoSpaceDE w:val="0"/>
        <w:autoSpaceDN w:val="0"/>
        <w:adjustRightInd w:val="0"/>
        <w:spacing w:after="0"/>
        <w:rPr>
          <w:noProof/>
          <w:szCs w:val="24"/>
        </w:rPr>
      </w:pPr>
      <w:r w:rsidRPr="00F64058">
        <w:rPr>
          <w:noProof/>
        </w:rPr>
        <w:t xml:space="preserve">Общите принципи за подбор на участниците са определени в Закона за обществените поръчки; представени са и основанията за изключване, критериите за подбор, както и критериите за възлагане и тяхната оценка. Включени са разпоредби относно начините за разглеждане на необичайно ниските оферти. </w:t>
      </w:r>
    </w:p>
    <w:p w14:paraId="58B0C44B" w14:textId="5A968C15" w:rsidR="000D7EDD" w:rsidRPr="00F64058" w:rsidRDefault="000D7EDD" w:rsidP="000D7EDD">
      <w:pPr>
        <w:autoSpaceDE w:val="0"/>
        <w:autoSpaceDN w:val="0"/>
        <w:adjustRightInd w:val="0"/>
        <w:spacing w:after="0"/>
        <w:rPr>
          <w:noProof/>
          <w:szCs w:val="24"/>
        </w:rPr>
      </w:pPr>
      <w:r w:rsidRPr="00F64058">
        <w:rPr>
          <w:noProof/>
        </w:rPr>
        <w:t>Общите разпоредби относно изпълнението на договорите са включени в Закона за обществените поръчки.</w:t>
      </w:r>
    </w:p>
    <w:p w14:paraId="1067580D" w14:textId="77777777" w:rsidR="000D7EDD" w:rsidRPr="00F64058" w:rsidRDefault="000D7EDD" w:rsidP="000D7EDD">
      <w:pPr>
        <w:autoSpaceDE w:val="0"/>
        <w:autoSpaceDN w:val="0"/>
        <w:adjustRightInd w:val="0"/>
        <w:spacing w:after="0"/>
        <w:rPr>
          <w:noProof/>
          <w:szCs w:val="24"/>
        </w:rPr>
      </w:pPr>
      <w:r w:rsidRPr="00F64058">
        <w:rPr>
          <w:noProof/>
        </w:rPr>
        <w:t>При липсата на специални разпоредби за социални и други специфични услуги, процедурите за възлагане на обществени поръчки, приложими за всички други услуги, също са приложими в този случай.</w:t>
      </w:r>
    </w:p>
    <w:p w14:paraId="67A9A64A" w14:textId="77777777" w:rsidR="00E15552" w:rsidRPr="00F64058" w:rsidRDefault="000D7EDD" w:rsidP="00E15552">
      <w:pPr>
        <w:rPr>
          <w:noProof/>
          <w:szCs w:val="24"/>
        </w:rPr>
      </w:pPr>
      <w:r w:rsidRPr="00F64058">
        <w:rPr>
          <w:noProof/>
        </w:rPr>
        <w:t>След военната агресия, въз основа на действащото военно положение и за периода, през който то е в действие, Украйна въведе временни дерогации от своето законодателство в областта на обществените поръчки. Оценката на изпълнението на етап 1 и етап 2 се основава на ангажимента на Украйна временните дерогации, произтичащи от въвеждането на военното положение, да бъдат оттеглени в срок от 90 дни от края на военното положение.</w:t>
      </w:r>
    </w:p>
    <w:p w14:paraId="725D4E3B" w14:textId="7573AEAA" w:rsidR="000D7EDD" w:rsidRPr="00F64058" w:rsidRDefault="00DE7C8C" w:rsidP="00DE7C8C">
      <w:pPr>
        <w:pStyle w:val="ManualHeading4"/>
        <w:rPr>
          <w:noProof/>
        </w:rPr>
      </w:pPr>
      <w:r w:rsidRPr="00DE7C8C">
        <w:t>2.4.2.2.</w:t>
      </w:r>
      <w:r w:rsidRPr="00DE7C8C">
        <w:tab/>
      </w:r>
      <w:r w:rsidR="00AA5DE7" w:rsidRPr="00F64058">
        <w:rPr>
          <w:noProof/>
        </w:rPr>
        <w:t>Директива 89/665/EИО</w:t>
      </w:r>
    </w:p>
    <w:p w14:paraId="008F161D" w14:textId="77777777" w:rsidR="000D7EDD" w:rsidRPr="00F64058" w:rsidRDefault="000D7EDD" w:rsidP="000D7EDD">
      <w:pPr>
        <w:autoSpaceDE w:val="0"/>
        <w:autoSpaceDN w:val="0"/>
        <w:adjustRightInd w:val="0"/>
        <w:spacing w:after="0"/>
        <w:rPr>
          <w:noProof/>
          <w:szCs w:val="24"/>
        </w:rPr>
      </w:pPr>
      <w:r w:rsidRPr="00F64058">
        <w:rPr>
          <w:noProof/>
        </w:rPr>
        <w:t>Основните елементи на Директива 89/665/ЕИО са посочени в приложение XXI-В към споразумението.</w:t>
      </w:r>
    </w:p>
    <w:p w14:paraId="0C500093" w14:textId="5C88D88B" w:rsidR="000D7EDD" w:rsidRPr="00F64058" w:rsidRDefault="000D7EDD" w:rsidP="000D7EDD">
      <w:pPr>
        <w:autoSpaceDE w:val="0"/>
        <w:autoSpaceDN w:val="0"/>
        <w:adjustRightInd w:val="0"/>
        <w:spacing w:after="0"/>
        <w:rPr>
          <w:noProof/>
          <w:szCs w:val="24"/>
        </w:rPr>
      </w:pPr>
      <w:r w:rsidRPr="00F64058">
        <w:rPr>
          <w:noProof/>
        </w:rPr>
        <w:t>В съответствие със Закона за АМКУ комитетът, в качеството си на орган за разглеждане на жалби, създава комисия (комисии) за разглеждане на жалби относно нарушения на законодателството в областта на обществените поръчки и упражнява други правомощия, предвидени в Закона за обществените поръчки, Закона за защита на икономическата конкуренция на Украйна и Закона за АМКУ.</w:t>
      </w:r>
    </w:p>
    <w:p w14:paraId="58A58D82" w14:textId="634C6B2A" w:rsidR="000D7EDD" w:rsidRPr="00F64058" w:rsidRDefault="000D7EDD" w:rsidP="2CBF6608">
      <w:pPr>
        <w:autoSpaceDE w:val="0"/>
        <w:autoSpaceDN w:val="0"/>
        <w:adjustRightInd w:val="0"/>
        <w:spacing w:before="200" w:after="0"/>
        <w:rPr>
          <w:noProof/>
        </w:rPr>
      </w:pPr>
      <w:r w:rsidRPr="00F64058">
        <w:rPr>
          <w:noProof/>
        </w:rPr>
        <w:t>Комисиите за разглеждане на жалби относно нарушения на законодателството в областта на обществените поръчки следва да се състоят от трима членове, назначени от ръководителя на АМКУ. АМКУ все още не е пристъпил към набиране на членове на комисията за разглеждане на жалби относно нарушения на законодателството в областта на обществените поръчки. Очаква се конкурсите да започнат в началото на 2022 г. Поради началото на пълномащабната война на Руската федерация срещу Украйна след 24 февруари АМКУ временно преустанови разглеждането на жалби в областта на обществените поръчки. След възобновяването на разглеждането на жалбите техният брой е намалял значително. След въвеждането на военното положение АМКУ разглежда жалбите относно нарушения на законодателството в областта на обществените поръчки в предишната си конфигурация. Процедурата за набиране на персонал на АМКУ започна през февруари 2023 г. Законът за обществените поръчки и Законът за АМКУ включват задължението на органа за преглед на обществените поръчки да приема писмени решения, както и възможността за обжалване на решенията на АМКУ пред съда.</w:t>
      </w:r>
    </w:p>
    <w:p w14:paraId="6232885F" w14:textId="74251E4D" w:rsidR="000D7EDD" w:rsidRPr="00F64058" w:rsidRDefault="000D7EDD" w:rsidP="000D7EDD">
      <w:pPr>
        <w:autoSpaceDE w:val="0"/>
        <w:autoSpaceDN w:val="0"/>
        <w:adjustRightInd w:val="0"/>
        <w:spacing w:before="200" w:after="200"/>
        <w:rPr>
          <w:noProof/>
        </w:rPr>
      </w:pPr>
      <w:r w:rsidRPr="00F64058">
        <w:rPr>
          <w:noProof/>
        </w:rPr>
        <w:t xml:space="preserve">Разпоредбите относно обхвата и наличието на процедури за преразглеждане, определени в Закона за обществените поръчки, като цяло са в съответствие с Директива 89/665/ЕИО. Законът за обществените поръчки включва разпоредби относно спирането, както и срокове за подаване на молба за преразглеждане. Законът за обществените поръчки предвижда нищожност на договорите, когато са сключени в нарушение на Закона за обществените поръчки, и съдържа списък на основанията, поради които сключените договори се обявяват за недействителни. </w:t>
      </w:r>
    </w:p>
    <w:p w14:paraId="47A67DAD" w14:textId="1478B2E5" w:rsidR="00A6651E" w:rsidRPr="00F64058" w:rsidRDefault="00DE7C8C" w:rsidP="00DE7C8C">
      <w:pPr>
        <w:pStyle w:val="ManualHeading2"/>
        <w:rPr>
          <w:rFonts w:eastAsia="Calibri"/>
          <w:noProof/>
        </w:rPr>
      </w:pPr>
      <w:r w:rsidRPr="00DE7C8C">
        <w:t>2.5.</w:t>
      </w:r>
      <w:r w:rsidRPr="00DE7C8C">
        <w:tab/>
      </w:r>
      <w:r w:rsidR="00A6651E" w:rsidRPr="00F64058">
        <w:rPr>
          <w:noProof/>
        </w:rPr>
        <w:t>Предвидените решения на Съвета за асоцииране относно достъпа до пазара</w:t>
      </w:r>
    </w:p>
    <w:p w14:paraId="59303588" w14:textId="77777777" w:rsidR="00A6651E" w:rsidRPr="00F64058" w:rsidRDefault="00A6651E" w:rsidP="0069130B">
      <w:pPr>
        <w:rPr>
          <w:noProof/>
        </w:rPr>
      </w:pPr>
      <w:r w:rsidRPr="00F64058">
        <w:rPr>
          <w:noProof/>
        </w:rPr>
        <w:t xml:space="preserve">В член 153, параграф 2 от споразумението се посочва, че изпълнението на всеки етап от приложение XXI-А, формализирано с описаните по-горе решения на Комитета по търговията, „е свързано с взаимното предоставяне на достъп до пазара, както е посочено в приложение XXI-А“. Решенията за по-нататъшно отваряне на пазара се вземат от Съвета за асоцииране съгласно член 475, параграф 5 от споразумението. Следователно целта на предвидените актове е да се осигури допълнително реципрочно отваряне на пазара за страните, както е посочено в член 153, параграф 2 и член 475, параграф 5 от Споразумението за асоцииране и в приложение XXI-A към него. Съветът за асоцииране следва също така да приеме две отделни и последователни решения за етап 1 и етап 2 от приложение XXI-А. </w:t>
      </w:r>
    </w:p>
    <w:p w14:paraId="29827A86" w14:textId="42DF8832" w:rsidR="00C4614B" w:rsidRPr="00F64058" w:rsidRDefault="00DE7C8C" w:rsidP="00DE7C8C">
      <w:pPr>
        <w:pStyle w:val="ManualHeading3"/>
        <w:rPr>
          <w:noProof/>
        </w:rPr>
      </w:pPr>
      <w:r w:rsidRPr="00DE7C8C">
        <w:t>2.5.1.</w:t>
      </w:r>
      <w:r w:rsidRPr="00DE7C8C">
        <w:tab/>
      </w:r>
      <w:r w:rsidR="00C4614B" w:rsidRPr="00F64058">
        <w:rPr>
          <w:noProof/>
        </w:rPr>
        <w:t>Етап 1</w:t>
      </w:r>
    </w:p>
    <w:p w14:paraId="0DA33189" w14:textId="77777777" w:rsidR="00C4614B" w:rsidRPr="00F64058" w:rsidRDefault="00C4614B" w:rsidP="00C4614B">
      <w:pPr>
        <w:rPr>
          <w:rFonts w:eastAsia="Calibri"/>
          <w:noProof/>
        </w:rPr>
      </w:pPr>
      <w:r w:rsidRPr="00F64058">
        <w:rPr>
          <w:noProof/>
        </w:rPr>
        <w:t xml:space="preserve">Първото решение на Съвета за асоцииране, което е свързано с решението на Комитета по търговията относно изпълнението на етап 1, има за цел да предостави реципрочен достъп до пазара за възлагането на поръчки за доставки от централните  органи на изпълнителната власт, както е посочено в приложение XXI-А. </w:t>
      </w:r>
    </w:p>
    <w:p w14:paraId="48B019DA" w14:textId="2B504E7B" w:rsidR="00C4614B" w:rsidRPr="00F64058" w:rsidRDefault="00DE7C8C" w:rsidP="00DE7C8C">
      <w:pPr>
        <w:pStyle w:val="ManualHeading3"/>
        <w:rPr>
          <w:rFonts w:eastAsia="Calibri"/>
          <w:noProof/>
        </w:rPr>
      </w:pPr>
      <w:r w:rsidRPr="00DE7C8C">
        <w:t>2.5.2.</w:t>
      </w:r>
      <w:r w:rsidRPr="00DE7C8C">
        <w:tab/>
      </w:r>
      <w:r w:rsidR="00C4614B" w:rsidRPr="00F64058">
        <w:rPr>
          <w:noProof/>
        </w:rPr>
        <w:t>Етап 2</w:t>
      </w:r>
    </w:p>
    <w:p w14:paraId="26DCAC2B" w14:textId="77777777" w:rsidR="00C4614B" w:rsidRPr="00F64058" w:rsidRDefault="00C4614B" w:rsidP="0069130B">
      <w:pPr>
        <w:rPr>
          <w:noProof/>
        </w:rPr>
      </w:pPr>
      <w:r w:rsidRPr="00F64058">
        <w:rPr>
          <w:noProof/>
        </w:rPr>
        <w:t xml:space="preserve">Второто решение на Съвета за асоцииране, което е свързано с решението на Комитета по търговията във връзка с изпълнението на етап 2, има за цел да предостави реципрочен достъп до пазара за възлагане на обществени поръчки за доставки от държавни, регионални и местни органи и публичноправни организации. </w:t>
      </w:r>
    </w:p>
    <w:p w14:paraId="7AC5BDA4" w14:textId="066D5486" w:rsidR="00AF3AC4" w:rsidRPr="00F64058" w:rsidRDefault="00DE7C8C" w:rsidP="00DE7C8C">
      <w:pPr>
        <w:pStyle w:val="ManualHeading1"/>
        <w:rPr>
          <w:rFonts w:eastAsia="Arial Unicode MS"/>
          <w:noProof/>
        </w:rPr>
      </w:pPr>
      <w:r w:rsidRPr="00DE7C8C">
        <w:t>3.</w:t>
      </w:r>
      <w:r w:rsidRPr="00DE7C8C">
        <w:tab/>
      </w:r>
      <w:r w:rsidR="00AF3AC4" w:rsidRPr="00F64058">
        <w:rPr>
          <w:noProof/>
        </w:rPr>
        <w:t>Позиция, която трябва да се заеме от името на Съюза</w:t>
      </w:r>
    </w:p>
    <w:p w14:paraId="0F093C7C" w14:textId="77777777" w:rsidR="00240379" w:rsidRPr="00F64058" w:rsidRDefault="00240379" w:rsidP="00240379">
      <w:pPr>
        <w:rPr>
          <w:rFonts w:eastAsia="Calibri"/>
          <w:noProof/>
        </w:rPr>
      </w:pPr>
      <w:r w:rsidRPr="00F64058">
        <w:rPr>
          <w:noProof/>
        </w:rPr>
        <w:t xml:space="preserve">Позицията, която трябва да се заеме от името на Съюза в рамките на Комитета по търговията, има за цел да подкрепи приемането на решения, даващи положителна оценка на изпълнението от страна на Украйна на етап 1 и етап 2 от приложение XXI-A, тъй като, от една страна, Украйна е приела всеобхватна стратегия за реформи в съответствие с член 152 и е изпълнила член 150, параграф 2 и член 151 от споразумението, и от друга страна, е сближила законодателството си с основните елементи на Директива 2014/24/ЕС и Директива 89/665/ЕИО. </w:t>
      </w:r>
    </w:p>
    <w:p w14:paraId="706216EB" w14:textId="77777777" w:rsidR="00240379" w:rsidRPr="00F64058" w:rsidRDefault="00240379" w:rsidP="00240379">
      <w:pPr>
        <w:rPr>
          <w:rFonts w:eastAsia="Calibri"/>
          <w:noProof/>
        </w:rPr>
      </w:pPr>
      <w:r w:rsidRPr="00F64058">
        <w:rPr>
          <w:noProof/>
        </w:rPr>
        <w:t>Позицията, която трябва да се заеме от името на Съюза в рамките на Съвета за асоцииране, има за цел да подкрепи приемането на решения за предоставяне на допълнителен, реципрочен достъп до пазара, свързан с изпълнението на етап 1 и етап 2 от приложение XXI-А.</w:t>
      </w:r>
    </w:p>
    <w:p w14:paraId="7E162636" w14:textId="77777777" w:rsidR="00240379" w:rsidRPr="00F64058" w:rsidRDefault="00240379" w:rsidP="00E61BE4">
      <w:pPr>
        <w:rPr>
          <w:rFonts w:eastAsia="Calibri"/>
          <w:noProof/>
        </w:rPr>
      </w:pPr>
      <w:r w:rsidRPr="00F64058">
        <w:rPr>
          <w:noProof/>
        </w:rPr>
        <w:t>Тези решения следва да се разглеждат в по-широкия контекст на усилията на Украйна да сближи законодателството си с това на ЕС, включително в областта на обществените поръчки, за да се създадат условия за засилени икономически и търговски отношения.</w:t>
      </w:r>
    </w:p>
    <w:p w14:paraId="32C4D4BD" w14:textId="051B6138" w:rsidR="00AF3AC4" w:rsidRPr="00F64058" w:rsidRDefault="00DE7C8C" w:rsidP="00DE7C8C">
      <w:pPr>
        <w:pStyle w:val="ManualHeading1"/>
        <w:rPr>
          <w:noProof/>
        </w:rPr>
      </w:pPr>
      <w:r w:rsidRPr="00DE7C8C">
        <w:t>4.</w:t>
      </w:r>
      <w:r w:rsidRPr="00DE7C8C">
        <w:tab/>
      </w:r>
      <w:r w:rsidR="00AF3AC4" w:rsidRPr="00F64058">
        <w:rPr>
          <w:noProof/>
        </w:rPr>
        <w:t>Правно основание</w:t>
      </w:r>
    </w:p>
    <w:p w14:paraId="44221886" w14:textId="6F2F4FF5" w:rsidR="00AF3AC4" w:rsidRPr="00F64058" w:rsidRDefault="00DE7C8C" w:rsidP="00DE7C8C">
      <w:pPr>
        <w:pStyle w:val="ManualHeading2"/>
        <w:rPr>
          <w:noProof/>
        </w:rPr>
      </w:pPr>
      <w:r w:rsidRPr="00DE7C8C">
        <w:t>4.1.</w:t>
      </w:r>
      <w:r w:rsidRPr="00DE7C8C">
        <w:tab/>
      </w:r>
      <w:r w:rsidR="00AF3AC4" w:rsidRPr="00F64058">
        <w:rPr>
          <w:noProof/>
        </w:rPr>
        <w:t>Процесуалноправно основание</w:t>
      </w:r>
    </w:p>
    <w:p w14:paraId="6B13998E" w14:textId="20657467" w:rsidR="00AF3AC4" w:rsidRPr="00F64058" w:rsidRDefault="00DE7C8C" w:rsidP="00DE7C8C">
      <w:pPr>
        <w:pStyle w:val="ManualHeading3"/>
        <w:rPr>
          <w:noProof/>
        </w:rPr>
      </w:pPr>
      <w:r w:rsidRPr="00DE7C8C">
        <w:t>4.1.1.</w:t>
      </w:r>
      <w:r w:rsidRPr="00DE7C8C">
        <w:tab/>
      </w:r>
      <w:r w:rsidR="00AF3AC4" w:rsidRPr="00F64058">
        <w:rPr>
          <w:noProof/>
        </w:rPr>
        <w:t>Принципи</w:t>
      </w:r>
    </w:p>
    <w:p w14:paraId="69F6C45C" w14:textId="77777777" w:rsidR="00AA5DE7" w:rsidRPr="00F64058" w:rsidRDefault="00AA5DE7" w:rsidP="00AA5DE7">
      <w:pPr>
        <w:rPr>
          <w:rFonts w:eastAsia="Calibri"/>
          <w:noProof/>
        </w:rPr>
      </w:pPr>
      <w:r w:rsidRPr="00F64058">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14:paraId="3AD7ED4A" w14:textId="77777777" w:rsidR="00AA5DE7" w:rsidRPr="00F64058" w:rsidRDefault="00AA5DE7" w:rsidP="00AA5DE7">
      <w:pPr>
        <w:rPr>
          <w:rFonts w:eastAsia="Calibri"/>
          <w:noProof/>
        </w:rPr>
      </w:pPr>
      <w:r w:rsidRPr="00F64058">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sidRPr="00F64058">
        <w:rPr>
          <w:rStyle w:val="FootnoteReference"/>
          <w:noProof/>
        </w:rPr>
        <w:footnoteReference w:id="2"/>
      </w:r>
      <w:r w:rsidRPr="00F64058">
        <w:rPr>
          <w:noProof/>
        </w:rPr>
        <w:t>.</w:t>
      </w:r>
    </w:p>
    <w:p w14:paraId="08B710FE" w14:textId="6796D490" w:rsidR="00AF3AC4" w:rsidRPr="00F64058" w:rsidRDefault="00DE7C8C" w:rsidP="00DE7C8C">
      <w:pPr>
        <w:pStyle w:val="ManualHeading3"/>
        <w:rPr>
          <w:noProof/>
        </w:rPr>
      </w:pPr>
      <w:r w:rsidRPr="00DE7C8C">
        <w:t>4.1.2.</w:t>
      </w:r>
      <w:r w:rsidRPr="00DE7C8C">
        <w:tab/>
      </w:r>
      <w:r w:rsidR="00AF3AC4" w:rsidRPr="00F64058">
        <w:rPr>
          <w:noProof/>
        </w:rPr>
        <w:t>Приложение в конкретния случай</w:t>
      </w:r>
    </w:p>
    <w:p w14:paraId="7213A355" w14:textId="77777777" w:rsidR="00AA5DE7" w:rsidRPr="00F64058" w:rsidRDefault="00AA5DE7" w:rsidP="00AA5DE7">
      <w:pPr>
        <w:rPr>
          <w:rFonts w:eastAsia="Calibri"/>
          <w:noProof/>
        </w:rPr>
      </w:pPr>
      <w:r w:rsidRPr="00F64058">
        <w:rPr>
          <w:noProof/>
        </w:rPr>
        <w:t xml:space="preserve">Комитетът по търговията и Съветът за асоцииране са органи, създадени със споразумение, а именно със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w:t>
      </w:r>
    </w:p>
    <w:p w14:paraId="766DE385" w14:textId="13970D0A" w:rsidR="00AA5DE7" w:rsidRPr="00F64058" w:rsidRDefault="00AA5DE7" w:rsidP="00AA5DE7">
      <w:pPr>
        <w:rPr>
          <w:rFonts w:eastAsia="Calibri"/>
          <w:noProof/>
        </w:rPr>
      </w:pPr>
      <w:r w:rsidRPr="00F64058">
        <w:rPr>
          <w:noProof/>
        </w:rPr>
        <w:t xml:space="preserve">Предвидените актове, които Комитетът по търговията и Съветът за асоцииране имат за задача да приемат, представляват актове с правно действие. Предвидените актове ще бъдат обвързващи по силата на международното право в съответствие с член 463, параграф 1 и член 465, параграф 3 от споразумението. </w:t>
      </w:r>
    </w:p>
    <w:p w14:paraId="70BE5807" w14:textId="77777777" w:rsidR="00AA5DE7" w:rsidRPr="00F64058" w:rsidRDefault="00AA5DE7" w:rsidP="00AA5DE7">
      <w:pPr>
        <w:rPr>
          <w:rFonts w:eastAsia="Calibri"/>
          <w:noProof/>
        </w:rPr>
      </w:pPr>
      <w:r w:rsidRPr="00F64058">
        <w:rPr>
          <w:noProof/>
        </w:rPr>
        <w:t>Предвидените актове не допълват, нито изменят институционалната рамка на споразумението.</w:t>
      </w:r>
    </w:p>
    <w:p w14:paraId="51440857" w14:textId="77777777" w:rsidR="00AA5DE7" w:rsidRPr="00F64058" w:rsidRDefault="00AA5DE7" w:rsidP="00AA5DE7">
      <w:pPr>
        <w:rPr>
          <w:rFonts w:eastAsia="Calibri"/>
          <w:noProof/>
        </w:rPr>
      </w:pPr>
      <w:r w:rsidRPr="00F64058">
        <w:rPr>
          <w:noProof/>
        </w:rPr>
        <w:t>Поради това процесуалноправното основание за предложеното решение е член 218, параграф 9 от ДФЕС.</w:t>
      </w:r>
    </w:p>
    <w:p w14:paraId="3A00DEED" w14:textId="4CDD79CF" w:rsidR="00AF3AC4" w:rsidRPr="00F64058" w:rsidRDefault="00DE7C8C" w:rsidP="00DE7C8C">
      <w:pPr>
        <w:pStyle w:val="ManualHeading2"/>
        <w:rPr>
          <w:noProof/>
        </w:rPr>
      </w:pPr>
      <w:r w:rsidRPr="00DE7C8C">
        <w:t>4.2.</w:t>
      </w:r>
      <w:r w:rsidRPr="00DE7C8C">
        <w:tab/>
      </w:r>
      <w:r w:rsidR="00AF3AC4" w:rsidRPr="00F64058">
        <w:rPr>
          <w:noProof/>
        </w:rPr>
        <w:t>Материалноправно основание</w:t>
      </w:r>
    </w:p>
    <w:p w14:paraId="4E750476" w14:textId="36BB5CA2" w:rsidR="00AF3AC4" w:rsidRPr="00F64058" w:rsidRDefault="00DE7C8C" w:rsidP="00DE7C8C">
      <w:pPr>
        <w:pStyle w:val="ManualHeading3"/>
        <w:rPr>
          <w:noProof/>
        </w:rPr>
      </w:pPr>
      <w:r w:rsidRPr="00DE7C8C">
        <w:t>4.2.1.</w:t>
      </w:r>
      <w:r w:rsidRPr="00DE7C8C">
        <w:tab/>
      </w:r>
      <w:r w:rsidR="00AF3AC4" w:rsidRPr="00F64058">
        <w:rPr>
          <w:noProof/>
        </w:rPr>
        <w:t>Принципи</w:t>
      </w:r>
    </w:p>
    <w:p w14:paraId="7A38FEF3" w14:textId="77777777" w:rsidR="00AA5DE7" w:rsidRPr="00F64058" w:rsidRDefault="00AA5DE7" w:rsidP="00AA5DE7">
      <w:pPr>
        <w:rPr>
          <w:rFonts w:eastAsia="Calibri"/>
          <w:noProof/>
        </w:rPr>
      </w:pPr>
      <w:r w:rsidRPr="00F64058">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14:paraId="7799B98B" w14:textId="45E9D5C9" w:rsidR="00AF3AC4" w:rsidRPr="00F64058" w:rsidRDefault="00DE7C8C" w:rsidP="00DE7C8C">
      <w:pPr>
        <w:pStyle w:val="ManualHeading3"/>
        <w:rPr>
          <w:noProof/>
        </w:rPr>
      </w:pPr>
      <w:r w:rsidRPr="00DE7C8C">
        <w:t>4.2.2.</w:t>
      </w:r>
      <w:r w:rsidRPr="00DE7C8C">
        <w:tab/>
      </w:r>
      <w:r w:rsidR="00AF3AC4" w:rsidRPr="00F64058">
        <w:rPr>
          <w:noProof/>
        </w:rPr>
        <w:t>Приложение в конкретния случай</w:t>
      </w:r>
    </w:p>
    <w:p w14:paraId="5F7000B5" w14:textId="77777777" w:rsidR="00AA5DE7" w:rsidRPr="00F64058" w:rsidRDefault="00AA5DE7" w:rsidP="00AA5DE7">
      <w:pPr>
        <w:rPr>
          <w:rFonts w:eastAsia="Calibri"/>
          <w:noProof/>
        </w:rPr>
      </w:pPr>
      <w:r w:rsidRPr="00F64058">
        <w:rPr>
          <w:noProof/>
        </w:rPr>
        <w:t xml:space="preserve">Основната цел и съдържание на предвидения акт се отнасят до това да се гарантира прилагането на общата търговска политика на Съюза. </w:t>
      </w:r>
    </w:p>
    <w:p w14:paraId="66D7F94B" w14:textId="77777777" w:rsidR="00AA5DE7" w:rsidRPr="00F64058" w:rsidRDefault="00AA5DE7" w:rsidP="00AA5DE7">
      <w:pPr>
        <w:rPr>
          <w:rFonts w:eastAsia="Calibri"/>
          <w:noProof/>
        </w:rPr>
      </w:pPr>
      <w:r w:rsidRPr="00F64058">
        <w:rPr>
          <w:noProof/>
        </w:rPr>
        <w:t xml:space="preserve">Поради това материалноправното основание за предложеното решение е член 207 от ДФЕС. </w:t>
      </w:r>
    </w:p>
    <w:p w14:paraId="06838E69" w14:textId="3E9A70E5" w:rsidR="00AF3AC4" w:rsidRPr="00F64058" w:rsidRDefault="00DE7C8C" w:rsidP="00DE7C8C">
      <w:pPr>
        <w:pStyle w:val="ManualHeading2"/>
        <w:rPr>
          <w:noProof/>
        </w:rPr>
      </w:pPr>
      <w:r w:rsidRPr="00DE7C8C">
        <w:t>4.3.</w:t>
      </w:r>
      <w:r w:rsidRPr="00DE7C8C">
        <w:tab/>
      </w:r>
      <w:r w:rsidR="00AF3AC4" w:rsidRPr="00F64058">
        <w:rPr>
          <w:noProof/>
        </w:rPr>
        <w:t>Заключение</w:t>
      </w:r>
    </w:p>
    <w:p w14:paraId="7FFB15A7" w14:textId="77777777" w:rsidR="00AF3AC4" w:rsidRPr="00F64058" w:rsidRDefault="00AF3AC4" w:rsidP="00AA5DE7">
      <w:pPr>
        <w:rPr>
          <w:noProof/>
        </w:rPr>
      </w:pPr>
      <w:r w:rsidRPr="00F64058">
        <w:rPr>
          <w:noProof/>
        </w:rPr>
        <w:t>Правното основание за предложеното решение следва да бъде член 207 от ДФЕС във връзка с член 218, параграф 9 от ДФЕС.</w:t>
      </w:r>
    </w:p>
    <w:p w14:paraId="5E7A9AC2" w14:textId="6A9A5ACE" w:rsidR="00AF3AC4" w:rsidRPr="00F64058" w:rsidRDefault="00DE7C8C" w:rsidP="00DE7C8C">
      <w:pPr>
        <w:pStyle w:val="ManualHeading1"/>
        <w:rPr>
          <w:noProof/>
        </w:rPr>
      </w:pPr>
      <w:r w:rsidRPr="00DE7C8C">
        <w:t>5.</w:t>
      </w:r>
      <w:r w:rsidRPr="00DE7C8C">
        <w:tab/>
      </w:r>
      <w:r w:rsidR="00AF3AC4" w:rsidRPr="00F64058">
        <w:rPr>
          <w:noProof/>
        </w:rPr>
        <w:t>Публикуване на предвидения акт</w:t>
      </w:r>
    </w:p>
    <w:p w14:paraId="208FDE51" w14:textId="77777777" w:rsidR="00AA5DE7" w:rsidRPr="00F64058" w:rsidRDefault="00AA5DE7" w:rsidP="00AA5DE7">
      <w:pPr>
        <w:rPr>
          <w:rFonts w:eastAsia="Calibri"/>
          <w:noProof/>
        </w:rPr>
      </w:pPr>
      <w:r w:rsidRPr="00F64058">
        <w:rPr>
          <w:noProof/>
        </w:rPr>
        <w:t xml:space="preserve">Решенията на Съвета за асоцииране, с които се предоставя реципрочен достъп до пазара, ще породят права и задължения в Съюза и Украйна. Поради това е целесъобразно след приемането им актовете да бъдат публикувани в </w:t>
      </w:r>
      <w:r w:rsidRPr="00F64058">
        <w:rPr>
          <w:i/>
          <w:noProof/>
        </w:rPr>
        <w:t>Официален вестник на Европейския съюз.</w:t>
      </w:r>
      <w:r w:rsidRPr="00F64058">
        <w:rPr>
          <w:noProof/>
        </w:rPr>
        <w:t xml:space="preserve"> </w:t>
      </w:r>
    </w:p>
    <w:p w14:paraId="4A509B19" w14:textId="77777777" w:rsidR="00AF3AC4" w:rsidRPr="00F64058" w:rsidRDefault="00AF3AC4" w:rsidP="00AA5DE7">
      <w:pPr>
        <w:rPr>
          <w:noProof/>
        </w:rPr>
        <w:sectPr w:rsidR="00AF3AC4" w:rsidRPr="00F64058" w:rsidSect="00AD32D9">
          <w:footerReference w:type="default" r:id="rId9"/>
          <w:footerReference w:type="first" r:id="rId10"/>
          <w:pgSz w:w="11907" w:h="16839"/>
          <w:pgMar w:top="1134" w:right="1417" w:bottom="1134" w:left="1417" w:header="709" w:footer="709" w:gutter="0"/>
          <w:cols w:space="708"/>
          <w:docGrid w:linePitch="360"/>
        </w:sectPr>
      </w:pPr>
    </w:p>
    <w:p w14:paraId="13342616" w14:textId="1A02516B" w:rsidR="00987A7E" w:rsidRDefault="00987A7E" w:rsidP="00987A7E">
      <w:pPr>
        <w:pStyle w:val="Rfrenceinterinstitutionnelle"/>
        <w:rPr>
          <w:noProof/>
        </w:rPr>
      </w:pPr>
      <w:r w:rsidRPr="00987A7E">
        <w:t>2023/0233 (NLE)</w:t>
      </w:r>
    </w:p>
    <w:p w14:paraId="115AE77A" w14:textId="06BCC73D" w:rsidR="00AF3AC4" w:rsidRPr="00F64058" w:rsidRDefault="003C0CAB" w:rsidP="003C0CAB">
      <w:pPr>
        <w:pStyle w:val="Statut"/>
        <w:rPr>
          <w:noProof/>
        </w:rPr>
      </w:pPr>
      <w:r w:rsidRPr="003C0CAB">
        <w:rPr>
          <w:noProof/>
        </w:rPr>
        <w:t>Предложение за</w:t>
      </w:r>
    </w:p>
    <w:p w14:paraId="676EDB2E" w14:textId="61E8B1A2" w:rsidR="00AF3AC4" w:rsidRPr="00F64058" w:rsidRDefault="003C0CAB" w:rsidP="003C0CAB">
      <w:pPr>
        <w:pStyle w:val="Typedudocument"/>
        <w:rPr>
          <w:noProof/>
        </w:rPr>
      </w:pPr>
      <w:r w:rsidRPr="003C0CAB">
        <w:rPr>
          <w:noProof/>
        </w:rPr>
        <w:t>РЕШЕНИЕ НА СЪВЕТА</w:t>
      </w:r>
    </w:p>
    <w:p w14:paraId="22DB65D4" w14:textId="518E44E1" w:rsidR="00AF3AC4" w:rsidRPr="00F64058" w:rsidRDefault="003C0CAB" w:rsidP="003C0CAB">
      <w:pPr>
        <w:pStyle w:val="Titreobjet"/>
        <w:rPr>
          <w:noProof/>
        </w:rPr>
      </w:pPr>
      <w:r w:rsidRPr="003C0CAB">
        <w:rPr>
          <w:noProof/>
        </w:rPr>
        <w:t>относно позицията, която трябва да се заеме от името на Европейския съюз в рамките на Комитета за асоцииране в състав „Търговия“ и на Съвета за асоцииране, създадени със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по отношение на положителната оценка на изпълнението на етапи 1 и 2 от приложение XXI-A към Споразумението за асоцииране и свързания с това достъп до пазара</w:t>
      </w:r>
    </w:p>
    <w:p w14:paraId="55DE41FE" w14:textId="77777777" w:rsidR="00AF3AC4" w:rsidRPr="00F64058" w:rsidRDefault="00AF3AC4" w:rsidP="00AA5DE7">
      <w:pPr>
        <w:pStyle w:val="Institutionquiagit"/>
        <w:rPr>
          <w:noProof/>
        </w:rPr>
      </w:pPr>
      <w:r w:rsidRPr="00F64058">
        <w:rPr>
          <w:noProof/>
        </w:rPr>
        <w:t>СЪВЕТЪТ НА ЕВРОПЕЙСКИЯ СЪЮЗ,</w:t>
      </w:r>
    </w:p>
    <w:p w14:paraId="4A968E28" w14:textId="77777777" w:rsidR="00AF3AC4" w:rsidRPr="00F64058" w:rsidRDefault="00AF3AC4" w:rsidP="00AA5DE7">
      <w:pPr>
        <w:rPr>
          <w:noProof/>
        </w:rPr>
      </w:pPr>
      <w:r w:rsidRPr="00F64058">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14:paraId="0CD8690E" w14:textId="77777777" w:rsidR="00AF3AC4" w:rsidRPr="00F64058" w:rsidRDefault="00AF3AC4" w:rsidP="00AA5DE7">
      <w:pPr>
        <w:rPr>
          <w:noProof/>
        </w:rPr>
      </w:pPr>
      <w:r w:rsidRPr="00F64058">
        <w:rPr>
          <w:noProof/>
        </w:rPr>
        <w:t>като взе предвид предложението на Европейската комисия,</w:t>
      </w:r>
    </w:p>
    <w:p w14:paraId="6542ED5D" w14:textId="77777777" w:rsidR="00AF3AC4" w:rsidRPr="00F64058" w:rsidRDefault="00AF3AC4" w:rsidP="00AA5DE7">
      <w:pPr>
        <w:rPr>
          <w:noProof/>
        </w:rPr>
      </w:pPr>
      <w:r w:rsidRPr="00F64058">
        <w:rPr>
          <w:noProof/>
        </w:rPr>
        <w:t>като има предвид, че:</w:t>
      </w:r>
    </w:p>
    <w:p w14:paraId="5398FA3A" w14:textId="184D5AA0" w:rsidR="00A10503" w:rsidRPr="00F64058" w:rsidRDefault="00DE7C8C" w:rsidP="00DE7C8C">
      <w:pPr>
        <w:pStyle w:val="ManualConsidrant"/>
        <w:rPr>
          <w:noProof/>
        </w:rPr>
      </w:pPr>
      <w:r w:rsidRPr="00DE7C8C">
        <w:t>(1)</w:t>
      </w:r>
      <w:r w:rsidRPr="00DE7C8C">
        <w:tab/>
      </w:r>
      <w:r w:rsidR="00A10503" w:rsidRPr="00F64058">
        <w:rPr>
          <w:noProof/>
        </w:rPr>
        <w:t>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r w:rsidR="00A10503" w:rsidRPr="00F64058">
        <w:rPr>
          <w:rStyle w:val="FootnoteReference"/>
          <w:noProof/>
        </w:rPr>
        <w:footnoteReference w:id="3"/>
      </w:r>
      <w:r w:rsidR="00A10503" w:rsidRPr="00F64058">
        <w:rPr>
          <w:noProof/>
        </w:rPr>
        <w:t xml:space="preserve"> („споразумението“) бе сключено от Съюза с Решение (ЕС) </w:t>
      </w:r>
      <w:bookmarkStart w:id="1" w:name="_Hlk123662985"/>
      <w:r w:rsidR="00A10503" w:rsidRPr="00F64058">
        <w:rPr>
          <w:noProof/>
        </w:rPr>
        <w:t>2017/1247</w:t>
      </w:r>
      <w:r w:rsidR="00A10503" w:rsidRPr="00F64058">
        <w:rPr>
          <w:rStyle w:val="FootnoteReference"/>
          <w:noProof/>
        </w:rPr>
        <w:footnoteReference w:id="4"/>
      </w:r>
      <w:bookmarkEnd w:id="1"/>
      <w:r w:rsidR="00A10503" w:rsidRPr="00F64058">
        <w:rPr>
          <w:noProof/>
        </w:rPr>
        <w:t xml:space="preserve"> на Съвета и влезе в сила на 1 септември 2017 г.</w:t>
      </w:r>
    </w:p>
    <w:p w14:paraId="2EC45D10" w14:textId="7DBB5F8B" w:rsidR="00784D2D" w:rsidRPr="00F64058" w:rsidRDefault="00DE7C8C" w:rsidP="00DE7C8C">
      <w:pPr>
        <w:pStyle w:val="ManualConsidrant"/>
        <w:rPr>
          <w:noProof/>
        </w:rPr>
      </w:pPr>
      <w:r w:rsidRPr="00DE7C8C">
        <w:t>(2)</w:t>
      </w:r>
      <w:r w:rsidRPr="00DE7C8C">
        <w:tab/>
      </w:r>
      <w:r w:rsidR="00AF3AC4" w:rsidRPr="00F64058">
        <w:rPr>
          <w:noProof/>
        </w:rPr>
        <w:t xml:space="preserve">Съгласно член 153, параграф 2 от споразумението сближаването на законодателството с достиженията на правото на Съюза в областта на обществените поръчки се извършва на последователни етапи, както е посочено в графика в приложение XXI-A към споразумението. </w:t>
      </w:r>
    </w:p>
    <w:p w14:paraId="3E32E80F" w14:textId="21C78162" w:rsidR="00A10503" w:rsidRPr="00F64058" w:rsidRDefault="00DE7C8C" w:rsidP="00DE7C8C">
      <w:pPr>
        <w:pStyle w:val="ManualConsidrant"/>
        <w:rPr>
          <w:noProof/>
        </w:rPr>
      </w:pPr>
      <w:r w:rsidRPr="00DE7C8C">
        <w:t>(3)</w:t>
      </w:r>
      <w:r w:rsidRPr="00DE7C8C">
        <w:tab/>
      </w:r>
      <w:r w:rsidR="00A10503" w:rsidRPr="00F64058">
        <w:rPr>
          <w:noProof/>
        </w:rPr>
        <w:t>Изпълнението на всеки етап се оценява от Комитета за асоцииране в състав „Търговия“ и, след като Комитетът даде положително становище за него, се свързва с реципрочното гарантиране на достъп до пазара, както е определено в приложение XXI-A към споразумението.</w:t>
      </w:r>
    </w:p>
    <w:p w14:paraId="41FD5899" w14:textId="74E57507" w:rsidR="00AF3AC4" w:rsidRPr="00F64058" w:rsidRDefault="00DE7C8C" w:rsidP="00DE7C8C">
      <w:pPr>
        <w:pStyle w:val="ManualConsidrant"/>
        <w:rPr>
          <w:noProof/>
        </w:rPr>
      </w:pPr>
      <w:r w:rsidRPr="00DE7C8C">
        <w:t>(4)</w:t>
      </w:r>
      <w:r w:rsidRPr="00DE7C8C">
        <w:tab/>
      </w:r>
      <w:r w:rsidR="007A2393" w:rsidRPr="00F64058">
        <w:rPr>
          <w:noProof/>
        </w:rPr>
        <w:t>В съответствие с член 153, параграф 3 от споразумението Комитетът за асоцииране в състав „Търговия“ пристъпва към оценка на следващия етап едва след като мерките за изпълнение на предходния етап бъдат изпълнени и одобрени съгласно предходното съображение.</w:t>
      </w:r>
    </w:p>
    <w:p w14:paraId="2F3CB48F" w14:textId="122A1E9F" w:rsidR="007A2393" w:rsidRPr="00F64058" w:rsidRDefault="00DE7C8C" w:rsidP="00DE7C8C">
      <w:pPr>
        <w:pStyle w:val="ManualConsidrant"/>
        <w:rPr>
          <w:noProof/>
        </w:rPr>
      </w:pPr>
      <w:r w:rsidRPr="00DE7C8C">
        <w:t>(5)</w:t>
      </w:r>
      <w:r w:rsidRPr="00DE7C8C">
        <w:tab/>
      </w:r>
      <w:r w:rsidR="007A2393" w:rsidRPr="00F64058">
        <w:rPr>
          <w:noProof/>
        </w:rPr>
        <w:t>В съответствие с член 475, параграф 5 от споразумението Съветът за асоцииране взема решение относно реципрочното по-нататъшно отваряне на пазара, свързано с положителната оценка на Комитета за асоцииране в състав „Търговия“ за изпълнението на всеки етап, както е посочено в приложение XXI-А към споразумението.</w:t>
      </w:r>
    </w:p>
    <w:p w14:paraId="46E796A9" w14:textId="7D2F1449" w:rsidR="007A2393" w:rsidRPr="00F64058" w:rsidRDefault="00DE7C8C" w:rsidP="00DE7C8C">
      <w:pPr>
        <w:pStyle w:val="ManualConsidrant"/>
        <w:rPr>
          <w:noProof/>
        </w:rPr>
      </w:pPr>
      <w:r w:rsidRPr="00DE7C8C">
        <w:t>(6)</w:t>
      </w:r>
      <w:r w:rsidRPr="00DE7C8C">
        <w:tab/>
      </w:r>
      <w:r w:rsidR="007A2393" w:rsidRPr="00F64058">
        <w:rPr>
          <w:noProof/>
        </w:rPr>
        <w:t xml:space="preserve">Комитетът за асоцииране в състав „Търговия“ трябва да приеме две решения в съответствие с член 11, параграф 2 от приложение II към Решение № 1/2014 на Съвета за асоцииране ЕС-Украйна от 15 декември 2014 г. относно процедурния правилник, в които се дава положителна оценка на сближаването на украинското право с правото на Съюза при изпълнението съответно на етап 1 и етап 2, както е посочено в приложение XXI-A към споразумението. </w:t>
      </w:r>
    </w:p>
    <w:p w14:paraId="3D8B9A86" w14:textId="12D1296E" w:rsidR="00784D2D" w:rsidRPr="00F64058" w:rsidRDefault="00DE7C8C" w:rsidP="00DE7C8C">
      <w:pPr>
        <w:pStyle w:val="ManualConsidrant"/>
        <w:rPr>
          <w:noProof/>
        </w:rPr>
      </w:pPr>
      <w:r w:rsidRPr="00DE7C8C">
        <w:t>(7)</w:t>
      </w:r>
      <w:r w:rsidRPr="00DE7C8C">
        <w:tab/>
      </w:r>
      <w:r w:rsidR="00784D2D" w:rsidRPr="00F64058">
        <w:rPr>
          <w:noProof/>
        </w:rPr>
        <w:t xml:space="preserve">След тези решения на Комитета за асоцииране в състав „Търговия“ Съветът за асоцииране трябва да приеме две решения в съответствие с член 11, параграф 2 от приложение I към Решение № 1/2014 на Съвета за асоцииране ЕС-Украйна от 15 декември 2014 г. относно процедурния правилник за предоставяне на по-нататъшен реципрочен достъп до пазара, свързан с изпълнението на етапи 1 и 2, както е посочено в приложение XXI-А към споразумението. </w:t>
      </w:r>
    </w:p>
    <w:p w14:paraId="2FB3EB4F" w14:textId="5EF25C70" w:rsidR="00784D2D" w:rsidRPr="00F64058" w:rsidRDefault="00DE7C8C" w:rsidP="00DE7C8C">
      <w:pPr>
        <w:pStyle w:val="ManualConsidrant"/>
        <w:rPr>
          <w:noProof/>
        </w:rPr>
      </w:pPr>
      <w:r w:rsidRPr="00DE7C8C">
        <w:t>(8)</w:t>
      </w:r>
      <w:r w:rsidRPr="00DE7C8C">
        <w:tab/>
      </w:r>
      <w:r w:rsidR="00784D2D" w:rsidRPr="00F64058">
        <w:rPr>
          <w:noProof/>
        </w:rPr>
        <w:t xml:space="preserve">В резултат на общо четири решения, които предстои да бъдат приети, Съюзът и Украйна следва да предоставят реципрочен достъп до пазара на обществени поръчки за доставки от централни органи на изпълнителната власт, държавни, регионални и местни органи и публичноправни организации. </w:t>
      </w:r>
    </w:p>
    <w:p w14:paraId="24570D5E" w14:textId="4889864F" w:rsidR="007A2393" w:rsidRPr="00F64058" w:rsidRDefault="00DE7C8C" w:rsidP="00DE7C8C">
      <w:pPr>
        <w:pStyle w:val="ManualConsidrant"/>
        <w:rPr>
          <w:noProof/>
        </w:rPr>
      </w:pPr>
      <w:r w:rsidRPr="00DE7C8C">
        <w:t>(9)</w:t>
      </w:r>
      <w:r w:rsidRPr="00DE7C8C">
        <w:tab/>
      </w:r>
      <w:r w:rsidR="00784D2D" w:rsidRPr="00F64058">
        <w:rPr>
          <w:noProof/>
        </w:rPr>
        <w:t>Целесъобразно е да се установи позицията, която трябва да се заеме от името на Съюза в рамките на Комитета за асоцииране в състав „Търговия“, както и в рамките на Съвета за асоцииране, тъй като предвидените решения ще бъдат обвързващи за Съюза,</w:t>
      </w:r>
    </w:p>
    <w:p w14:paraId="3AA8968E" w14:textId="77777777" w:rsidR="00AF3AC4" w:rsidRPr="00F64058" w:rsidRDefault="00AF3AC4" w:rsidP="00AA5DE7">
      <w:pPr>
        <w:pStyle w:val="Formuledadoption"/>
        <w:rPr>
          <w:noProof/>
        </w:rPr>
      </w:pPr>
      <w:r w:rsidRPr="00F64058">
        <w:rPr>
          <w:noProof/>
        </w:rPr>
        <w:t>ПРИЕ НАСТОЯЩОТО РЕШЕНИЕ:</w:t>
      </w:r>
    </w:p>
    <w:p w14:paraId="70A4A365" w14:textId="77777777" w:rsidR="001620B5" w:rsidRPr="00F64058" w:rsidRDefault="001620B5" w:rsidP="00D5719B">
      <w:pPr>
        <w:pStyle w:val="Titrearticle"/>
        <w:rPr>
          <w:noProof/>
        </w:rPr>
      </w:pPr>
      <w:r w:rsidRPr="00F64058">
        <w:rPr>
          <w:noProof/>
        </w:rPr>
        <w:t>Член 1</w:t>
      </w:r>
    </w:p>
    <w:p w14:paraId="771D436A" w14:textId="77777777" w:rsidR="001620B5" w:rsidRPr="00F64058" w:rsidRDefault="001620B5" w:rsidP="001620B5">
      <w:pPr>
        <w:rPr>
          <w:rFonts w:eastAsia="Calibri"/>
          <w:noProof/>
        </w:rPr>
      </w:pPr>
      <w:r w:rsidRPr="00F64058">
        <w:rPr>
          <w:noProof/>
        </w:rPr>
        <w:t>Позицията, която трябва да се заеме от името на Съюза в рамките на Комитета за асоцииране в състав „Търговия“ по отношение на решенията относно изпълнението на етап 1 и етап 2, както е посочено в приложение XXI-А към споразумението, се основава на съответните проекти на решения на Комитета за асоцииране в състав „Търговия“ в приложения I и II към настоящото решение.</w:t>
      </w:r>
    </w:p>
    <w:p w14:paraId="38B01EBD" w14:textId="77777777" w:rsidR="001620B5" w:rsidRPr="00F64058" w:rsidRDefault="001620B5" w:rsidP="00D5719B">
      <w:pPr>
        <w:pStyle w:val="Titrearticle"/>
        <w:rPr>
          <w:noProof/>
        </w:rPr>
      </w:pPr>
      <w:r w:rsidRPr="00F64058">
        <w:rPr>
          <w:noProof/>
        </w:rPr>
        <w:t>Член 2</w:t>
      </w:r>
    </w:p>
    <w:p w14:paraId="5797FB6C" w14:textId="77777777" w:rsidR="001620B5" w:rsidRPr="00F64058" w:rsidRDefault="001620B5" w:rsidP="001620B5">
      <w:pPr>
        <w:rPr>
          <w:rFonts w:eastAsia="Calibri"/>
          <w:noProof/>
        </w:rPr>
      </w:pPr>
      <w:r w:rsidRPr="00F64058">
        <w:rPr>
          <w:noProof/>
        </w:rPr>
        <w:t>Позицията, която трябва да се заеме от името на Съюза в рамките на Съвета за асоцииране по отношение на решенията за предоставяне на реципрочен по-нататъшен достъп до пазара, както е посочено в приложение XXI-A към споразумението, свързани с изпълнението на етап 1 и етап 2, се основава на съответните проекти на решения на Съвета за асоцииране в приложения III и IV към настоящото решение.</w:t>
      </w:r>
    </w:p>
    <w:p w14:paraId="7C953200" w14:textId="77777777" w:rsidR="001620B5" w:rsidRPr="00F64058" w:rsidRDefault="001620B5" w:rsidP="00D5719B">
      <w:pPr>
        <w:pStyle w:val="Titrearticle"/>
        <w:rPr>
          <w:noProof/>
        </w:rPr>
      </w:pPr>
      <w:r w:rsidRPr="00F64058">
        <w:rPr>
          <w:noProof/>
        </w:rPr>
        <w:t>Член 3</w:t>
      </w:r>
    </w:p>
    <w:p w14:paraId="02AC2D0E" w14:textId="77777777" w:rsidR="001620B5" w:rsidRPr="00F64058" w:rsidRDefault="001620B5" w:rsidP="001620B5">
      <w:pPr>
        <w:rPr>
          <w:rFonts w:eastAsia="Calibri"/>
          <w:noProof/>
        </w:rPr>
      </w:pPr>
      <w:r w:rsidRPr="00F64058">
        <w:rPr>
          <w:noProof/>
        </w:rPr>
        <w:t xml:space="preserve">След приемането им решенията на Комитета за асоцииране в състав „Търговия“, посочени в член 1, и решенията на Съвета за асоцииране, посочени в член 2, се публикуват в </w:t>
      </w:r>
      <w:r w:rsidRPr="00F64058">
        <w:rPr>
          <w:i/>
          <w:noProof/>
        </w:rPr>
        <w:t>Официален вестник на Европейския съюз</w:t>
      </w:r>
      <w:r w:rsidRPr="00F64058">
        <w:rPr>
          <w:noProof/>
        </w:rPr>
        <w:t xml:space="preserve">. </w:t>
      </w:r>
    </w:p>
    <w:p w14:paraId="224919BA" w14:textId="77777777" w:rsidR="001620B5" w:rsidRPr="00F64058" w:rsidRDefault="001620B5" w:rsidP="009A0C7A">
      <w:pPr>
        <w:pStyle w:val="Titrearticle"/>
        <w:rPr>
          <w:noProof/>
        </w:rPr>
      </w:pPr>
      <w:r w:rsidRPr="00F64058">
        <w:rPr>
          <w:noProof/>
        </w:rPr>
        <w:t>Член 4</w:t>
      </w:r>
    </w:p>
    <w:p w14:paraId="696CAB6B" w14:textId="77777777" w:rsidR="001620B5" w:rsidRPr="00F64058" w:rsidRDefault="001620B5" w:rsidP="001620B5">
      <w:pPr>
        <w:keepNext/>
        <w:keepLines/>
        <w:rPr>
          <w:rFonts w:eastAsia="Calibri"/>
          <w:noProof/>
        </w:rPr>
      </w:pPr>
      <w:r w:rsidRPr="00F64058">
        <w:rPr>
          <w:noProof/>
        </w:rPr>
        <w:t>Адресат на настоящото решение е Комисията.</w:t>
      </w:r>
    </w:p>
    <w:p w14:paraId="08F91738" w14:textId="27427D9B" w:rsidR="00AF3AC4" w:rsidRPr="00F64058" w:rsidRDefault="004E720D" w:rsidP="009A0C7A">
      <w:pPr>
        <w:pStyle w:val="Fait"/>
        <w:rPr>
          <w:noProof/>
        </w:rPr>
      </w:pPr>
      <w:r w:rsidRPr="004E720D">
        <w:t xml:space="preserve">Съставено в Брюксел на </w:t>
      </w:r>
      <w:r w:rsidRPr="004E720D">
        <w:rPr>
          <w:rStyle w:val="Marker"/>
        </w:rPr>
        <w:t>[…]</w:t>
      </w:r>
      <w:r w:rsidRPr="004E720D">
        <w:t xml:space="preserve"> година.</w:t>
      </w:r>
    </w:p>
    <w:p w14:paraId="56FC6FAC" w14:textId="77777777" w:rsidR="00AF3AC4" w:rsidRPr="00F64058" w:rsidRDefault="00AF3AC4" w:rsidP="009A0C7A">
      <w:pPr>
        <w:pStyle w:val="Institutionquisigne"/>
        <w:rPr>
          <w:noProof/>
        </w:rPr>
      </w:pPr>
      <w:r w:rsidRPr="00F64058">
        <w:rPr>
          <w:noProof/>
        </w:rPr>
        <w:tab/>
        <w:t>За Съвета</w:t>
      </w:r>
    </w:p>
    <w:p w14:paraId="2D54F965" w14:textId="77777777" w:rsidR="00AF3AC4" w:rsidRPr="00F64058" w:rsidRDefault="00AF3AC4" w:rsidP="00AF3AC4">
      <w:pPr>
        <w:pStyle w:val="Personnequisigne"/>
        <w:rPr>
          <w:noProof/>
        </w:rPr>
      </w:pPr>
      <w:r w:rsidRPr="00F64058">
        <w:rPr>
          <w:noProof/>
        </w:rPr>
        <w:tab/>
        <w:t>Председател</w:t>
      </w:r>
    </w:p>
    <w:sectPr w:rsidR="00AF3AC4" w:rsidRPr="00F64058" w:rsidSect="00AD32D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FA28F" w14:textId="77777777" w:rsidR="005849C2" w:rsidRDefault="005849C2" w:rsidP="00AF3AC4">
      <w:pPr>
        <w:spacing w:before="0" w:after="0"/>
      </w:pPr>
      <w:r>
        <w:separator/>
      </w:r>
    </w:p>
  </w:endnote>
  <w:endnote w:type="continuationSeparator" w:id="0">
    <w:p w14:paraId="1D09A724" w14:textId="77777777" w:rsidR="005849C2" w:rsidRDefault="005849C2" w:rsidP="00AF3A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64C1" w14:textId="3BD37B93" w:rsidR="003C0CAB" w:rsidRPr="00AD32D9" w:rsidRDefault="00AD32D9" w:rsidP="00AD32D9">
    <w:pPr>
      <w:pStyle w:val="Footer"/>
      <w:rPr>
        <w:rFonts w:ascii="Arial" w:hAnsi="Arial" w:cs="Arial"/>
        <w:b/>
        <w:sz w:val="48"/>
      </w:rPr>
    </w:pPr>
    <w:r w:rsidRPr="00AD32D9">
      <w:rPr>
        <w:rFonts w:ascii="Arial" w:hAnsi="Arial" w:cs="Arial"/>
        <w:b/>
        <w:sz w:val="48"/>
      </w:rPr>
      <w:t>BG</w:t>
    </w:r>
    <w:r w:rsidRPr="00AD32D9">
      <w:rPr>
        <w:rFonts w:ascii="Arial" w:hAnsi="Arial" w:cs="Arial"/>
        <w:b/>
        <w:sz w:val="48"/>
      </w:rPr>
      <w:tab/>
    </w:r>
    <w:r w:rsidRPr="00AD32D9">
      <w:rPr>
        <w:rFonts w:ascii="Arial" w:hAnsi="Arial" w:cs="Arial"/>
        <w:b/>
        <w:sz w:val="48"/>
      </w:rPr>
      <w:tab/>
    </w:r>
    <w:r w:rsidRPr="00AD32D9">
      <w:tab/>
    </w:r>
    <w:r w:rsidRPr="00AD32D9">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57ABC" w14:textId="55E3F8BA" w:rsidR="00AD32D9" w:rsidRPr="00AD32D9" w:rsidRDefault="00AD32D9" w:rsidP="00AD32D9">
    <w:pPr>
      <w:pStyle w:val="Footer"/>
      <w:rPr>
        <w:rFonts w:ascii="Arial" w:hAnsi="Arial" w:cs="Arial"/>
        <w:b/>
        <w:sz w:val="48"/>
      </w:rPr>
    </w:pPr>
    <w:r w:rsidRPr="00AD32D9">
      <w:rPr>
        <w:rFonts w:ascii="Arial" w:hAnsi="Arial" w:cs="Arial"/>
        <w:b/>
        <w:sz w:val="48"/>
      </w:rPr>
      <w:t>BG</w:t>
    </w:r>
    <w:r w:rsidRPr="00AD32D9">
      <w:rPr>
        <w:rFonts w:ascii="Arial" w:hAnsi="Arial" w:cs="Arial"/>
        <w:b/>
        <w:sz w:val="48"/>
      </w:rPr>
      <w:tab/>
    </w:r>
    <w:r>
      <w:fldChar w:fldCharType="begin"/>
    </w:r>
    <w:r>
      <w:instrText xml:space="preserve"> PAGE  \* MERGEFORMAT </w:instrText>
    </w:r>
    <w:r>
      <w:fldChar w:fldCharType="separate"/>
    </w:r>
    <w:r w:rsidR="009A0C7A">
      <w:rPr>
        <w:noProof/>
      </w:rPr>
      <w:t>15</w:t>
    </w:r>
    <w:r>
      <w:fldChar w:fldCharType="end"/>
    </w:r>
    <w:r>
      <w:tab/>
    </w:r>
    <w:r w:rsidRPr="00AD32D9">
      <w:tab/>
    </w:r>
    <w:r w:rsidRPr="00AD32D9">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1F2F" w14:textId="77777777" w:rsidR="00AD32D9" w:rsidRPr="00AD32D9" w:rsidRDefault="00AD32D9" w:rsidP="00AD3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4CCF" w14:textId="77777777" w:rsidR="005849C2" w:rsidRDefault="005849C2" w:rsidP="00AF3AC4">
      <w:pPr>
        <w:spacing w:before="0" w:after="0"/>
      </w:pPr>
      <w:r>
        <w:separator/>
      </w:r>
    </w:p>
  </w:footnote>
  <w:footnote w:type="continuationSeparator" w:id="0">
    <w:p w14:paraId="41CBF4DE" w14:textId="77777777" w:rsidR="005849C2" w:rsidRDefault="005849C2" w:rsidP="00AF3AC4">
      <w:pPr>
        <w:spacing w:before="0" w:after="0"/>
      </w:pPr>
      <w:r>
        <w:continuationSeparator/>
      </w:r>
    </w:p>
  </w:footnote>
  <w:footnote w:id="1">
    <w:p w14:paraId="14280A67" w14:textId="38A0BB23" w:rsidR="00AA5DE7" w:rsidRPr="0006163B" w:rsidRDefault="00AA5DE7" w:rsidP="00B42285">
      <w:pPr>
        <w:pStyle w:val="FootnoteText"/>
        <w:rPr>
          <w:i/>
        </w:rPr>
      </w:pPr>
      <w:r>
        <w:rPr>
          <w:rStyle w:val="FootnoteReference"/>
        </w:rPr>
        <w:footnoteRef/>
      </w:r>
      <w:r>
        <w:tab/>
      </w:r>
      <w:r>
        <w:rPr>
          <w:rStyle w:val="Emphasis"/>
          <w:i w:val="0"/>
        </w:rPr>
        <w:t>ОВ L 161, 29.5.2014 г., стр. 3.</w:t>
      </w:r>
    </w:p>
  </w:footnote>
  <w:footnote w:id="2">
    <w:p w14:paraId="5F23CC16" w14:textId="77777777" w:rsidR="00AA5DE7" w:rsidRDefault="00AA5DE7" w:rsidP="00AA5DE7">
      <w:pPr>
        <w:pStyle w:val="FootnoteText"/>
        <w:rPr>
          <w:rFonts w:asciiTheme="minorHAnsi" w:hAnsiTheme="minorHAnsi" w:cstheme="minorBidi"/>
        </w:rPr>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3">
    <w:p w14:paraId="7B594A72" w14:textId="77777777" w:rsidR="00A10503" w:rsidRDefault="00A10503" w:rsidP="00A10503">
      <w:pPr>
        <w:pStyle w:val="FootnoteText"/>
        <w:rPr>
          <w:rFonts w:asciiTheme="minorHAnsi" w:hAnsiTheme="minorHAnsi" w:cstheme="minorBidi"/>
        </w:rPr>
      </w:pPr>
      <w:r>
        <w:rPr>
          <w:rStyle w:val="FootnoteReference"/>
        </w:rPr>
        <w:footnoteRef/>
      </w:r>
      <w:r>
        <w:tab/>
        <w:t>ОВ L 161, 29.5.2014 г., стр. 3.</w:t>
      </w:r>
    </w:p>
  </w:footnote>
  <w:footnote w:id="4">
    <w:p w14:paraId="2B89EB2E" w14:textId="77777777" w:rsidR="00A10503" w:rsidRDefault="00A10503" w:rsidP="00A10503">
      <w:pPr>
        <w:pStyle w:val="FootnoteText"/>
      </w:pPr>
      <w:r>
        <w:rPr>
          <w:rStyle w:val="FootnoteReference"/>
        </w:rPr>
        <w:footnoteRef/>
      </w:r>
      <w:r>
        <w:tab/>
      </w:r>
      <w:bookmarkStart w:id="2" w:name="_Hlk123663005"/>
      <w:r>
        <w:t>Решение (ЕС) 2017/1247 на Съвета от 11 юли 2017 г. за сключването, от името на Европейския съюз, на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 изключение на разпоредбите, отнасящи се до третирането на граждани на трети държави, които са законно наети като работници на територията на другата страна (ОВ L 181, 12.7.2017 г., стр. 1—3</w:t>
      </w:r>
      <w:r>
        <w:rPr>
          <w:i/>
        </w:rPr>
        <w:t xml:space="preserve"> </w:t>
      </w:r>
      <w:r>
        <w:t>).</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C74DD6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D6677A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0A02E7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1CCC6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num>
  <w:num w:numId="7">
    <w:abstractNumId w:val="18"/>
    <w:lvlOverride w:ilvl="0">
      <w:startOverride w:val="1"/>
    </w:lvlOverride>
  </w:num>
  <w:num w:numId="8">
    <w:abstractNumId w:val="8"/>
    <w:lvlOverride w:ilvl="0">
      <w:startOverride w:val="1"/>
    </w:lvlOverride>
  </w:num>
  <w:num w:numId="9">
    <w:abstractNumId w:val="11"/>
    <w:lvlOverride w:ilvl="0">
      <w:startOverride w:val="1"/>
    </w:lvlOverride>
  </w:num>
  <w:num w:numId="10">
    <w:abstractNumId w:val="15"/>
  </w:num>
  <w:num w:numId="11">
    <w:abstractNumId w:val="8"/>
  </w:num>
  <w:num w:numId="12">
    <w:abstractNumId w:val="17"/>
  </w:num>
  <w:num w:numId="13">
    <w:abstractNumId w:val="7"/>
  </w:num>
  <w:num w:numId="14">
    <w:abstractNumId w:val="9"/>
  </w:num>
  <w:num w:numId="15">
    <w:abstractNumId w:val="10"/>
  </w:num>
  <w:num w:numId="16">
    <w:abstractNumId w:val="5"/>
  </w:num>
  <w:num w:numId="17">
    <w:abstractNumId w:val="16"/>
  </w:num>
  <w:num w:numId="18">
    <w:abstractNumId w:val="4"/>
  </w:num>
  <w:num w:numId="19">
    <w:abstractNumId w:val="11"/>
  </w:num>
  <w:num w:numId="20">
    <w:abstractNumId w:val="13"/>
  </w:num>
  <w:num w:numId="21">
    <w:abstractNumId w:val="14"/>
  </w:num>
  <w:num w:numId="22">
    <w:abstractNumId w:val="6"/>
  </w:num>
  <w:num w:numId="23">
    <w:abstractNumId w:val="12"/>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3 09:46:5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7417E49-2D89-4DD8-A6AE-B9CEFCBE5124"/>
    <w:docVar w:name="LW_COVERPAGE_TYPE" w:val="1"/>
    <w:docVar w:name="LW_CROSSREFERENCE" w:val="&lt;UNUSED&gt;"/>
    <w:docVar w:name="LW_DocType" w:val="COM"/>
    <w:docVar w:name="LW_EMISSION" w:val="7.7.2023"/>
    <w:docVar w:name="LW_EMISSION_ISODATE" w:val="2023-07-07"/>
    <w:docVar w:name="LW_EMISSION_LOCATION" w:val="BRX"/>
    <w:docVar w:name="LW_EMISSION_PREFIX" w:val="\u1041?\u1088?\u1102?\u1082?\u1089?\u1077?\u1083?, "/>
    <w:docVar w:name="LW_EMISSION_SUFFIX" w:val=" \u1075?."/>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3"/>
    <w:docVar w:name="LW_REF.II.NEW.CP_YEAR" w:val="2023"/>
    <w:docVar w:name="LW_REF.INST.NEW" w:val="COM"/>
    <w:docVar w:name="LW_REF.INST.NEW_ADOPTED" w:val="final"/>
    <w:docVar w:name="LW_REF.INST.NEW_TEXT" w:val="(2023) 39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относно позицията, която трябва да се заеме от името на Европейския съюз в рамките на Комитета за асоцииране в състав „Търговия“ и на Съвета за асоцииране, създадени със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по отношение на положителната оценка на изпълнението на етапи 1 и 2 от приложение XXI-A към Споразумението за асоцииране и свързания с това достъп до пазара"/>
    <w:docVar w:name="LW_TYPE.DOC.CP" w:val="РЕШЕНИЕ НА СЪВЕТА"/>
    <w:docVar w:name="LwApiVersions" w:val="LW4CoDe 1.23.2.0; LW 8.0, Build 20211117"/>
  </w:docVars>
  <w:rsids>
    <w:rsidRoot w:val="00AF3AC4"/>
    <w:rsid w:val="0002612D"/>
    <w:rsid w:val="00035998"/>
    <w:rsid w:val="00051AD8"/>
    <w:rsid w:val="00056A1A"/>
    <w:rsid w:val="00056EAC"/>
    <w:rsid w:val="0006163B"/>
    <w:rsid w:val="00070486"/>
    <w:rsid w:val="000A2EED"/>
    <w:rsid w:val="000C4372"/>
    <w:rsid w:val="000D7EDD"/>
    <w:rsid w:val="000F36FB"/>
    <w:rsid w:val="001065F5"/>
    <w:rsid w:val="00114A6D"/>
    <w:rsid w:val="001238EF"/>
    <w:rsid w:val="001620B5"/>
    <w:rsid w:val="00180452"/>
    <w:rsid w:val="00187305"/>
    <w:rsid w:val="00197613"/>
    <w:rsid w:val="001A03E4"/>
    <w:rsid w:val="001C73A1"/>
    <w:rsid w:val="00233DC7"/>
    <w:rsid w:val="00240379"/>
    <w:rsid w:val="00247779"/>
    <w:rsid w:val="002703C8"/>
    <w:rsid w:val="00282E6F"/>
    <w:rsid w:val="00285BEE"/>
    <w:rsid w:val="0029533F"/>
    <w:rsid w:val="002B187D"/>
    <w:rsid w:val="002B30AF"/>
    <w:rsid w:val="002E2837"/>
    <w:rsid w:val="002E4704"/>
    <w:rsid w:val="0030364C"/>
    <w:rsid w:val="00306A9B"/>
    <w:rsid w:val="00326F95"/>
    <w:rsid w:val="0033344A"/>
    <w:rsid w:val="00337946"/>
    <w:rsid w:val="00347E9C"/>
    <w:rsid w:val="0036758A"/>
    <w:rsid w:val="0038353C"/>
    <w:rsid w:val="003B7EB0"/>
    <w:rsid w:val="003C0CAB"/>
    <w:rsid w:val="003E36C9"/>
    <w:rsid w:val="003E634C"/>
    <w:rsid w:val="0041175B"/>
    <w:rsid w:val="00412E87"/>
    <w:rsid w:val="00420671"/>
    <w:rsid w:val="00425AE6"/>
    <w:rsid w:val="0042648E"/>
    <w:rsid w:val="004839EA"/>
    <w:rsid w:val="004936D2"/>
    <w:rsid w:val="004B7F50"/>
    <w:rsid w:val="004D6538"/>
    <w:rsid w:val="004E720D"/>
    <w:rsid w:val="004F354F"/>
    <w:rsid w:val="00504C24"/>
    <w:rsid w:val="005460BA"/>
    <w:rsid w:val="005849C2"/>
    <w:rsid w:val="005972A3"/>
    <w:rsid w:val="005B1EB6"/>
    <w:rsid w:val="005E062A"/>
    <w:rsid w:val="00603B04"/>
    <w:rsid w:val="006063F9"/>
    <w:rsid w:val="00661043"/>
    <w:rsid w:val="0068482D"/>
    <w:rsid w:val="0069130B"/>
    <w:rsid w:val="006F6862"/>
    <w:rsid w:val="00772766"/>
    <w:rsid w:val="00773331"/>
    <w:rsid w:val="00784D2D"/>
    <w:rsid w:val="007932EF"/>
    <w:rsid w:val="00795D47"/>
    <w:rsid w:val="007A2393"/>
    <w:rsid w:val="007E05B0"/>
    <w:rsid w:val="007F0D4D"/>
    <w:rsid w:val="008277C8"/>
    <w:rsid w:val="00874D22"/>
    <w:rsid w:val="00890D60"/>
    <w:rsid w:val="008A2914"/>
    <w:rsid w:val="008B7586"/>
    <w:rsid w:val="008E4D8E"/>
    <w:rsid w:val="008F51F0"/>
    <w:rsid w:val="00903D6E"/>
    <w:rsid w:val="0091523F"/>
    <w:rsid w:val="00971D0D"/>
    <w:rsid w:val="00987A7E"/>
    <w:rsid w:val="009A0C7A"/>
    <w:rsid w:val="009C4504"/>
    <w:rsid w:val="009D2664"/>
    <w:rsid w:val="00A0053D"/>
    <w:rsid w:val="00A10503"/>
    <w:rsid w:val="00A13F91"/>
    <w:rsid w:val="00A306BF"/>
    <w:rsid w:val="00A5104B"/>
    <w:rsid w:val="00A6651E"/>
    <w:rsid w:val="00A75417"/>
    <w:rsid w:val="00A90C59"/>
    <w:rsid w:val="00A90DD6"/>
    <w:rsid w:val="00A9463C"/>
    <w:rsid w:val="00AA5DE7"/>
    <w:rsid w:val="00AD32D9"/>
    <w:rsid w:val="00AF3AC4"/>
    <w:rsid w:val="00B42285"/>
    <w:rsid w:val="00B703DC"/>
    <w:rsid w:val="00B77155"/>
    <w:rsid w:val="00BF5CC8"/>
    <w:rsid w:val="00C00C5C"/>
    <w:rsid w:val="00C12301"/>
    <w:rsid w:val="00C2167A"/>
    <w:rsid w:val="00C4614B"/>
    <w:rsid w:val="00C73F56"/>
    <w:rsid w:val="00C75CA7"/>
    <w:rsid w:val="00CD094C"/>
    <w:rsid w:val="00D074C4"/>
    <w:rsid w:val="00D20381"/>
    <w:rsid w:val="00D41A63"/>
    <w:rsid w:val="00D50D54"/>
    <w:rsid w:val="00D5719B"/>
    <w:rsid w:val="00DB37A2"/>
    <w:rsid w:val="00DE1D5D"/>
    <w:rsid w:val="00DE7C8C"/>
    <w:rsid w:val="00E15552"/>
    <w:rsid w:val="00E17DD8"/>
    <w:rsid w:val="00E41435"/>
    <w:rsid w:val="00E46E74"/>
    <w:rsid w:val="00E61BE4"/>
    <w:rsid w:val="00E9569B"/>
    <w:rsid w:val="00EA5487"/>
    <w:rsid w:val="00ED5FAC"/>
    <w:rsid w:val="00EF0272"/>
    <w:rsid w:val="00F23D7B"/>
    <w:rsid w:val="00F64058"/>
    <w:rsid w:val="00F72582"/>
    <w:rsid w:val="00F80000"/>
    <w:rsid w:val="00F96CA2"/>
    <w:rsid w:val="00FC38F8"/>
    <w:rsid w:val="00FD16E4"/>
    <w:rsid w:val="1C392FB3"/>
    <w:rsid w:val="29799899"/>
    <w:rsid w:val="2B089C4E"/>
    <w:rsid w:val="2CBF6608"/>
    <w:rsid w:val="3AB86C0F"/>
    <w:rsid w:val="56CE222D"/>
    <w:rsid w:val="56EBDD16"/>
    <w:rsid w:val="74677870"/>
    <w:rsid w:val="7A49D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89211AB"/>
  <w15:docId w15:val="{434DFAA0-CAF5-44B3-BE90-BE058354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2285"/>
    <w:rPr>
      <w:i/>
      <w:iCs/>
    </w:rPr>
  </w:style>
  <w:style w:type="paragraph" w:styleId="ListParagraph">
    <w:name w:val="List Paragraph"/>
    <w:basedOn w:val="Normal"/>
    <w:uiPriority w:val="34"/>
    <w:qFormat/>
    <w:rsid w:val="00F96CA2"/>
    <w:pPr>
      <w:ind w:left="720"/>
      <w:contextualSpacing/>
    </w:pPr>
  </w:style>
  <w:style w:type="paragraph" w:customStyle="1" w:styleId="CM1">
    <w:name w:val="CM1"/>
    <w:basedOn w:val="Normal"/>
    <w:next w:val="Normal"/>
    <w:uiPriority w:val="99"/>
    <w:rsid w:val="000D7EDD"/>
    <w:pPr>
      <w:autoSpaceDE w:val="0"/>
      <w:autoSpaceDN w:val="0"/>
      <w:adjustRightInd w:val="0"/>
      <w:spacing w:before="0" w:after="0"/>
      <w:jc w:val="left"/>
    </w:pPr>
    <w:rPr>
      <w:rFonts w:eastAsia="Times New Roman"/>
      <w:szCs w:val="24"/>
    </w:rPr>
  </w:style>
  <w:style w:type="paragraph" w:customStyle="1" w:styleId="a">
    <w:name w:val="Íîðìàëüíèé òåêñò"/>
    <w:basedOn w:val="Normal"/>
    <w:rsid w:val="000D7EDD"/>
    <w:pPr>
      <w:spacing w:after="0"/>
      <w:ind w:firstLine="567"/>
    </w:pPr>
    <w:rPr>
      <w:rFonts w:ascii="Antiqua" w:eastAsia="Times New Roman" w:hAnsi="Antiqua"/>
      <w:sz w:val="26"/>
      <w:szCs w:val="20"/>
      <w:lang w:eastAsia="ru-RU"/>
    </w:rPr>
  </w:style>
  <w:style w:type="paragraph" w:customStyle="1" w:styleId="Default">
    <w:name w:val="Default"/>
    <w:rsid w:val="000D7E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D7E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EDD"/>
    <w:rPr>
      <w:rFonts w:ascii="Segoe UI" w:hAnsi="Segoe UI" w:cs="Segoe UI"/>
      <w:sz w:val="18"/>
      <w:szCs w:val="18"/>
      <w:lang w:val="bg-BG"/>
    </w:rPr>
  </w:style>
  <w:style w:type="paragraph" w:styleId="ListBullet">
    <w:name w:val="List Bullet"/>
    <w:basedOn w:val="Normal"/>
    <w:uiPriority w:val="99"/>
    <w:semiHidden/>
    <w:unhideWhenUsed/>
    <w:rsid w:val="003B7EB0"/>
    <w:pPr>
      <w:numPr>
        <w:numId w:val="1"/>
      </w:numPr>
      <w:contextualSpacing/>
    </w:pPr>
  </w:style>
  <w:style w:type="paragraph" w:styleId="ListBullet2">
    <w:name w:val="List Bullet 2"/>
    <w:basedOn w:val="Normal"/>
    <w:uiPriority w:val="99"/>
    <w:semiHidden/>
    <w:unhideWhenUsed/>
    <w:rsid w:val="003B7EB0"/>
    <w:pPr>
      <w:numPr>
        <w:numId w:val="2"/>
      </w:numPr>
      <w:contextualSpacing/>
    </w:pPr>
  </w:style>
  <w:style w:type="paragraph" w:styleId="ListBullet3">
    <w:name w:val="List Bullet 3"/>
    <w:basedOn w:val="Normal"/>
    <w:uiPriority w:val="99"/>
    <w:semiHidden/>
    <w:unhideWhenUsed/>
    <w:rsid w:val="003B7EB0"/>
    <w:pPr>
      <w:numPr>
        <w:numId w:val="3"/>
      </w:numPr>
      <w:contextualSpacing/>
    </w:pPr>
  </w:style>
  <w:style w:type="paragraph" w:styleId="ListBullet4">
    <w:name w:val="List Bullet 4"/>
    <w:basedOn w:val="Normal"/>
    <w:uiPriority w:val="99"/>
    <w:semiHidden/>
    <w:unhideWhenUsed/>
    <w:rsid w:val="003B7EB0"/>
    <w:pPr>
      <w:numPr>
        <w:numId w:val="4"/>
      </w:numPr>
      <w:contextualSpacing/>
    </w:pPr>
  </w:style>
  <w:style w:type="character" w:styleId="CommentReference">
    <w:name w:val="annotation reference"/>
    <w:basedOn w:val="DefaultParagraphFont"/>
    <w:uiPriority w:val="99"/>
    <w:semiHidden/>
    <w:unhideWhenUsed/>
    <w:rsid w:val="00A6651E"/>
    <w:rPr>
      <w:sz w:val="16"/>
      <w:szCs w:val="16"/>
    </w:rPr>
  </w:style>
  <w:style w:type="paragraph" w:styleId="CommentText">
    <w:name w:val="annotation text"/>
    <w:basedOn w:val="Normal"/>
    <w:link w:val="CommentTextChar"/>
    <w:uiPriority w:val="99"/>
    <w:semiHidden/>
    <w:unhideWhenUsed/>
    <w:rsid w:val="00A6651E"/>
    <w:rPr>
      <w:sz w:val="20"/>
      <w:szCs w:val="20"/>
    </w:rPr>
  </w:style>
  <w:style w:type="character" w:customStyle="1" w:styleId="CommentTextChar">
    <w:name w:val="Comment Text Char"/>
    <w:basedOn w:val="DefaultParagraphFont"/>
    <w:link w:val="CommentText"/>
    <w:uiPriority w:val="99"/>
    <w:semiHidden/>
    <w:rsid w:val="00A6651E"/>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A6651E"/>
    <w:rPr>
      <w:b/>
      <w:bCs/>
    </w:rPr>
  </w:style>
  <w:style w:type="character" w:customStyle="1" w:styleId="CommentSubjectChar">
    <w:name w:val="Comment Subject Char"/>
    <w:basedOn w:val="CommentTextChar"/>
    <w:link w:val="CommentSubject"/>
    <w:uiPriority w:val="99"/>
    <w:semiHidden/>
    <w:rsid w:val="00A6651E"/>
    <w:rPr>
      <w:rFonts w:ascii="Times New Roman" w:hAnsi="Times New Roman" w:cs="Times New Roman"/>
      <w:b/>
      <w:bCs/>
      <w:sz w:val="20"/>
      <w:szCs w:val="20"/>
      <w:lang w:val="bg-BG"/>
    </w:rPr>
  </w:style>
  <w:style w:type="character" w:styleId="Hyperlink">
    <w:name w:val="Hyperlink"/>
    <w:basedOn w:val="DefaultParagraphFont"/>
    <w:uiPriority w:val="99"/>
    <w:semiHidden/>
    <w:unhideWhenUsed/>
    <w:rsid w:val="002B187D"/>
    <w:rPr>
      <w:color w:val="0000FF" w:themeColor="hyperlink"/>
      <w:u w:val="single"/>
    </w:rPr>
  </w:style>
  <w:style w:type="paragraph" w:styleId="Revision">
    <w:name w:val="Revision"/>
    <w:hidden/>
    <w:uiPriority w:val="99"/>
    <w:semiHidden/>
    <w:rsid w:val="002E4704"/>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AD32D9"/>
    <w:pPr>
      <w:tabs>
        <w:tab w:val="center" w:pos="4535"/>
        <w:tab w:val="right" w:pos="9071"/>
      </w:tabs>
      <w:spacing w:before="0"/>
    </w:pPr>
  </w:style>
  <w:style w:type="character" w:customStyle="1" w:styleId="HeaderChar">
    <w:name w:val="Header Char"/>
    <w:basedOn w:val="DefaultParagraphFont"/>
    <w:link w:val="Header"/>
    <w:uiPriority w:val="99"/>
    <w:rsid w:val="00AD32D9"/>
    <w:rPr>
      <w:rFonts w:ascii="Times New Roman" w:hAnsi="Times New Roman" w:cs="Times New Roman"/>
      <w:sz w:val="24"/>
      <w:lang w:val="bg-BG"/>
    </w:rPr>
  </w:style>
  <w:style w:type="paragraph" w:styleId="Footer">
    <w:name w:val="footer"/>
    <w:basedOn w:val="Normal"/>
    <w:link w:val="FooterChar"/>
    <w:uiPriority w:val="99"/>
    <w:unhideWhenUsed/>
    <w:rsid w:val="00AD32D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D32D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D32D9"/>
    <w:pPr>
      <w:tabs>
        <w:tab w:val="center" w:pos="7285"/>
        <w:tab w:val="right" w:pos="14003"/>
      </w:tabs>
      <w:spacing w:before="0"/>
    </w:pPr>
  </w:style>
  <w:style w:type="paragraph" w:customStyle="1" w:styleId="FooterLandscape">
    <w:name w:val="FooterLandscape"/>
    <w:basedOn w:val="Normal"/>
    <w:rsid w:val="00AD32D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D32D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D32D9"/>
    <w:pPr>
      <w:spacing w:before="0"/>
      <w:jc w:val="right"/>
    </w:pPr>
    <w:rPr>
      <w:sz w:val="28"/>
    </w:rPr>
  </w:style>
  <w:style w:type="paragraph" w:customStyle="1" w:styleId="FooterSensitivity">
    <w:name w:val="Footer Sensitivity"/>
    <w:basedOn w:val="Normal"/>
    <w:rsid w:val="00AD32D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0364C"/>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6748">
      <w:bodyDiv w:val="1"/>
      <w:marLeft w:val="0"/>
      <w:marRight w:val="0"/>
      <w:marTop w:val="0"/>
      <w:marBottom w:val="0"/>
      <w:divBdr>
        <w:top w:val="none" w:sz="0" w:space="0" w:color="auto"/>
        <w:left w:val="none" w:sz="0" w:space="0" w:color="auto"/>
        <w:bottom w:val="none" w:sz="0" w:space="0" w:color="auto"/>
        <w:right w:val="none" w:sz="0" w:space="0" w:color="auto"/>
      </w:divBdr>
    </w:div>
    <w:div w:id="182911539">
      <w:bodyDiv w:val="1"/>
      <w:marLeft w:val="0"/>
      <w:marRight w:val="0"/>
      <w:marTop w:val="0"/>
      <w:marBottom w:val="0"/>
      <w:divBdr>
        <w:top w:val="none" w:sz="0" w:space="0" w:color="auto"/>
        <w:left w:val="none" w:sz="0" w:space="0" w:color="auto"/>
        <w:bottom w:val="none" w:sz="0" w:space="0" w:color="auto"/>
        <w:right w:val="none" w:sz="0" w:space="0" w:color="auto"/>
      </w:divBdr>
    </w:div>
    <w:div w:id="192571769">
      <w:bodyDiv w:val="1"/>
      <w:marLeft w:val="0"/>
      <w:marRight w:val="0"/>
      <w:marTop w:val="0"/>
      <w:marBottom w:val="0"/>
      <w:divBdr>
        <w:top w:val="none" w:sz="0" w:space="0" w:color="auto"/>
        <w:left w:val="none" w:sz="0" w:space="0" w:color="auto"/>
        <w:bottom w:val="none" w:sz="0" w:space="0" w:color="auto"/>
        <w:right w:val="none" w:sz="0" w:space="0" w:color="auto"/>
      </w:divBdr>
    </w:div>
    <w:div w:id="328564414">
      <w:bodyDiv w:val="1"/>
      <w:marLeft w:val="0"/>
      <w:marRight w:val="0"/>
      <w:marTop w:val="0"/>
      <w:marBottom w:val="0"/>
      <w:divBdr>
        <w:top w:val="none" w:sz="0" w:space="0" w:color="auto"/>
        <w:left w:val="none" w:sz="0" w:space="0" w:color="auto"/>
        <w:bottom w:val="none" w:sz="0" w:space="0" w:color="auto"/>
        <w:right w:val="none" w:sz="0" w:space="0" w:color="auto"/>
      </w:divBdr>
    </w:div>
    <w:div w:id="389620214">
      <w:bodyDiv w:val="1"/>
      <w:marLeft w:val="0"/>
      <w:marRight w:val="0"/>
      <w:marTop w:val="0"/>
      <w:marBottom w:val="0"/>
      <w:divBdr>
        <w:top w:val="none" w:sz="0" w:space="0" w:color="auto"/>
        <w:left w:val="none" w:sz="0" w:space="0" w:color="auto"/>
        <w:bottom w:val="none" w:sz="0" w:space="0" w:color="auto"/>
        <w:right w:val="none" w:sz="0" w:space="0" w:color="auto"/>
      </w:divBdr>
    </w:div>
    <w:div w:id="500700451">
      <w:bodyDiv w:val="1"/>
      <w:marLeft w:val="0"/>
      <w:marRight w:val="0"/>
      <w:marTop w:val="0"/>
      <w:marBottom w:val="0"/>
      <w:divBdr>
        <w:top w:val="none" w:sz="0" w:space="0" w:color="auto"/>
        <w:left w:val="none" w:sz="0" w:space="0" w:color="auto"/>
        <w:bottom w:val="none" w:sz="0" w:space="0" w:color="auto"/>
        <w:right w:val="none" w:sz="0" w:space="0" w:color="auto"/>
      </w:divBdr>
    </w:div>
    <w:div w:id="565531470">
      <w:bodyDiv w:val="1"/>
      <w:marLeft w:val="0"/>
      <w:marRight w:val="0"/>
      <w:marTop w:val="0"/>
      <w:marBottom w:val="0"/>
      <w:divBdr>
        <w:top w:val="none" w:sz="0" w:space="0" w:color="auto"/>
        <w:left w:val="none" w:sz="0" w:space="0" w:color="auto"/>
        <w:bottom w:val="none" w:sz="0" w:space="0" w:color="auto"/>
        <w:right w:val="none" w:sz="0" w:space="0" w:color="auto"/>
      </w:divBdr>
    </w:div>
    <w:div w:id="587999520">
      <w:bodyDiv w:val="1"/>
      <w:marLeft w:val="0"/>
      <w:marRight w:val="0"/>
      <w:marTop w:val="0"/>
      <w:marBottom w:val="0"/>
      <w:divBdr>
        <w:top w:val="none" w:sz="0" w:space="0" w:color="auto"/>
        <w:left w:val="none" w:sz="0" w:space="0" w:color="auto"/>
        <w:bottom w:val="none" w:sz="0" w:space="0" w:color="auto"/>
        <w:right w:val="none" w:sz="0" w:space="0" w:color="auto"/>
      </w:divBdr>
    </w:div>
    <w:div w:id="602879425">
      <w:bodyDiv w:val="1"/>
      <w:marLeft w:val="0"/>
      <w:marRight w:val="0"/>
      <w:marTop w:val="0"/>
      <w:marBottom w:val="0"/>
      <w:divBdr>
        <w:top w:val="none" w:sz="0" w:space="0" w:color="auto"/>
        <w:left w:val="none" w:sz="0" w:space="0" w:color="auto"/>
        <w:bottom w:val="none" w:sz="0" w:space="0" w:color="auto"/>
        <w:right w:val="none" w:sz="0" w:space="0" w:color="auto"/>
      </w:divBdr>
    </w:div>
    <w:div w:id="625819474">
      <w:bodyDiv w:val="1"/>
      <w:marLeft w:val="0"/>
      <w:marRight w:val="0"/>
      <w:marTop w:val="0"/>
      <w:marBottom w:val="0"/>
      <w:divBdr>
        <w:top w:val="none" w:sz="0" w:space="0" w:color="auto"/>
        <w:left w:val="none" w:sz="0" w:space="0" w:color="auto"/>
        <w:bottom w:val="none" w:sz="0" w:space="0" w:color="auto"/>
        <w:right w:val="none" w:sz="0" w:space="0" w:color="auto"/>
      </w:divBdr>
    </w:div>
    <w:div w:id="738358476">
      <w:bodyDiv w:val="1"/>
      <w:marLeft w:val="0"/>
      <w:marRight w:val="0"/>
      <w:marTop w:val="0"/>
      <w:marBottom w:val="0"/>
      <w:divBdr>
        <w:top w:val="none" w:sz="0" w:space="0" w:color="auto"/>
        <w:left w:val="none" w:sz="0" w:space="0" w:color="auto"/>
        <w:bottom w:val="none" w:sz="0" w:space="0" w:color="auto"/>
        <w:right w:val="none" w:sz="0" w:space="0" w:color="auto"/>
      </w:divBdr>
    </w:div>
    <w:div w:id="850460791">
      <w:bodyDiv w:val="1"/>
      <w:marLeft w:val="0"/>
      <w:marRight w:val="0"/>
      <w:marTop w:val="0"/>
      <w:marBottom w:val="0"/>
      <w:divBdr>
        <w:top w:val="none" w:sz="0" w:space="0" w:color="auto"/>
        <w:left w:val="none" w:sz="0" w:space="0" w:color="auto"/>
        <w:bottom w:val="none" w:sz="0" w:space="0" w:color="auto"/>
        <w:right w:val="none" w:sz="0" w:space="0" w:color="auto"/>
      </w:divBdr>
    </w:div>
    <w:div w:id="1098408996">
      <w:bodyDiv w:val="1"/>
      <w:marLeft w:val="0"/>
      <w:marRight w:val="0"/>
      <w:marTop w:val="0"/>
      <w:marBottom w:val="0"/>
      <w:divBdr>
        <w:top w:val="none" w:sz="0" w:space="0" w:color="auto"/>
        <w:left w:val="none" w:sz="0" w:space="0" w:color="auto"/>
        <w:bottom w:val="none" w:sz="0" w:space="0" w:color="auto"/>
        <w:right w:val="none" w:sz="0" w:space="0" w:color="auto"/>
      </w:divBdr>
    </w:div>
    <w:div w:id="1216812625">
      <w:bodyDiv w:val="1"/>
      <w:marLeft w:val="0"/>
      <w:marRight w:val="0"/>
      <w:marTop w:val="0"/>
      <w:marBottom w:val="0"/>
      <w:divBdr>
        <w:top w:val="none" w:sz="0" w:space="0" w:color="auto"/>
        <w:left w:val="none" w:sz="0" w:space="0" w:color="auto"/>
        <w:bottom w:val="none" w:sz="0" w:space="0" w:color="auto"/>
        <w:right w:val="none" w:sz="0" w:space="0" w:color="auto"/>
      </w:divBdr>
    </w:div>
    <w:div w:id="1493764670">
      <w:bodyDiv w:val="1"/>
      <w:marLeft w:val="0"/>
      <w:marRight w:val="0"/>
      <w:marTop w:val="0"/>
      <w:marBottom w:val="0"/>
      <w:divBdr>
        <w:top w:val="none" w:sz="0" w:space="0" w:color="auto"/>
        <w:left w:val="none" w:sz="0" w:space="0" w:color="auto"/>
        <w:bottom w:val="none" w:sz="0" w:space="0" w:color="auto"/>
        <w:right w:val="none" w:sz="0" w:space="0" w:color="auto"/>
      </w:divBdr>
    </w:div>
    <w:div w:id="1747532376">
      <w:bodyDiv w:val="1"/>
      <w:marLeft w:val="0"/>
      <w:marRight w:val="0"/>
      <w:marTop w:val="0"/>
      <w:marBottom w:val="0"/>
      <w:divBdr>
        <w:top w:val="none" w:sz="0" w:space="0" w:color="auto"/>
        <w:left w:val="none" w:sz="0" w:space="0" w:color="auto"/>
        <w:bottom w:val="none" w:sz="0" w:space="0" w:color="auto"/>
        <w:right w:val="none" w:sz="0" w:space="0" w:color="auto"/>
      </w:divBdr>
    </w:div>
    <w:div w:id="1822886437">
      <w:bodyDiv w:val="1"/>
      <w:marLeft w:val="0"/>
      <w:marRight w:val="0"/>
      <w:marTop w:val="0"/>
      <w:marBottom w:val="0"/>
      <w:divBdr>
        <w:top w:val="none" w:sz="0" w:space="0" w:color="auto"/>
        <w:left w:val="none" w:sz="0" w:space="0" w:color="auto"/>
        <w:bottom w:val="none" w:sz="0" w:space="0" w:color="auto"/>
        <w:right w:val="none" w:sz="0" w:space="0" w:color="auto"/>
      </w:divBdr>
    </w:div>
    <w:div w:id="1927767024">
      <w:bodyDiv w:val="1"/>
      <w:marLeft w:val="0"/>
      <w:marRight w:val="0"/>
      <w:marTop w:val="0"/>
      <w:marBottom w:val="0"/>
      <w:divBdr>
        <w:top w:val="none" w:sz="0" w:space="0" w:color="auto"/>
        <w:left w:val="none" w:sz="0" w:space="0" w:color="auto"/>
        <w:bottom w:val="none" w:sz="0" w:space="0" w:color="auto"/>
        <w:right w:val="none" w:sz="0" w:space="0" w:color="auto"/>
      </w:divBdr>
    </w:div>
    <w:div w:id="1947997429">
      <w:bodyDiv w:val="1"/>
      <w:marLeft w:val="0"/>
      <w:marRight w:val="0"/>
      <w:marTop w:val="0"/>
      <w:marBottom w:val="0"/>
      <w:divBdr>
        <w:top w:val="none" w:sz="0" w:space="0" w:color="auto"/>
        <w:left w:val="none" w:sz="0" w:space="0" w:color="auto"/>
        <w:bottom w:val="none" w:sz="0" w:space="0" w:color="auto"/>
        <w:right w:val="none" w:sz="0" w:space="0" w:color="auto"/>
      </w:divBdr>
    </w:div>
    <w:div w:id="2011365456">
      <w:bodyDiv w:val="1"/>
      <w:marLeft w:val="0"/>
      <w:marRight w:val="0"/>
      <w:marTop w:val="0"/>
      <w:marBottom w:val="0"/>
      <w:divBdr>
        <w:top w:val="none" w:sz="0" w:space="0" w:color="auto"/>
        <w:left w:val="none" w:sz="0" w:space="0" w:color="auto"/>
        <w:bottom w:val="none" w:sz="0" w:space="0" w:color="auto"/>
        <w:right w:val="none" w:sz="0" w:space="0" w:color="auto"/>
      </w:divBdr>
    </w:div>
    <w:div w:id="201152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21</TotalTime>
  <Pages>16</Pages>
  <Words>5639</Words>
  <Characters>32882</Characters>
  <Application>Microsoft Office Word</Application>
  <DocSecurity>0</DocSecurity>
  <Lines>597</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dcterms:created xsi:type="dcterms:W3CDTF">2023-06-21T08:07:00Z</dcterms:created>
  <dcterms:modified xsi:type="dcterms:W3CDTF">2023-07-03T07:46:00Z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2023-04-21T15:58:05Z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30c706eb-e337-4a40-98fa-e73a1686ae94</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