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1AD64" w14:textId="311B378F" w:rsidR="00A94098" w:rsidRPr="006B72EC" w:rsidRDefault="003C3DF3" w:rsidP="003C3DF3">
      <w:pPr>
        <w:pStyle w:val="Pagedecouverture"/>
        <w:rPr>
          <w:noProof/>
        </w:rPr>
      </w:pPr>
      <w:r>
        <w:rPr>
          <w:noProof/>
        </w:rPr>
        <w:pict w14:anchorId="3020C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758F374A-13F5-4407-86BF-BD3528F6A7FE" style="width:455.25pt;height:369.75pt">
            <v:imagedata r:id="rId8" o:title=""/>
          </v:shape>
        </w:pict>
      </w:r>
    </w:p>
    <w:p w14:paraId="24759AA4" w14:textId="77777777" w:rsidR="0089598C" w:rsidRPr="006B72EC" w:rsidRDefault="0089598C" w:rsidP="0089598C">
      <w:pPr>
        <w:rPr>
          <w:noProof/>
        </w:rPr>
        <w:sectPr w:rsidR="0089598C" w:rsidRPr="006B72EC" w:rsidSect="003C3DF3">
          <w:footerReference w:type="default" r:id="rId9"/>
          <w:pgSz w:w="11907" w:h="16839"/>
          <w:pgMar w:top="1134" w:right="1417" w:bottom="1134" w:left="1417" w:header="709" w:footer="709" w:gutter="0"/>
          <w:pgNumType w:start="0"/>
          <w:cols w:space="720"/>
          <w:docGrid w:linePitch="360"/>
        </w:sectPr>
      </w:pPr>
    </w:p>
    <w:p w14:paraId="4EBA39BA" w14:textId="77777777" w:rsidR="00A94098" w:rsidRPr="006B72EC" w:rsidRDefault="00A94098" w:rsidP="00BB6B30">
      <w:pPr>
        <w:pStyle w:val="Exposdesmotifstitre"/>
        <w:rPr>
          <w:noProof/>
        </w:rPr>
      </w:pPr>
      <w:bookmarkStart w:id="0" w:name="_GoBack"/>
      <w:bookmarkEnd w:id="0"/>
      <w:r w:rsidRPr="006B72EC">
        <w:rPr>
          <w:noProof/>
        </w:rPr>
        <w:lastRenderedPageBreak/>
        <w:t>PERUSTELUT</w:t>
      </w:r>
    </w:p>
    <w:p w14:paraId="59457E98" w14:textId="77777777" w:rsidR="00A94098" w:rsidRPr="006B72EC" w:rsidRDefault="00A94098" w:rsidP="00BB6B30">
      <w:pPr>
        <w:pStyle w:val="ManualHeading1"/>
        <w:rPr>
          <w:noProof/>
        </w:rPr>
      </w:pPr>
      <w:r w:rsidRPr="006B72EC">
        <w:rPr>
          <w:noProof/>
        </w:rPr>
        <w:t>1.</w:t>
      </w:r>
      <w:r w:rsidRPr="006B72EC">
        <w:rPr>
          <w:noProof/>
        </w:rPr>
        <w:tab/>
        <w:t>EHDOTUKSEN TAUSTA</w:t>
      </w:r>
    </w:p>
    <w:p w14:paraId="5A1667E1" w14:textId="77777777" w:rsidR="00F45AE6" w:rsidRPr="006B72EC" w:rsidRDefault="00F45AE6" w:rsidP="00F45AE6">
      <w:pPr>
        <w:pStyle w:val="ManualHeading2"/>
        <w:rPr>
          <w:noProof/>
          <w:u w:color="000000"/>
          <w:bdr w:val="nil"/>
        </w:rPr>
      </w:pPr>
      <w:r w:rsidRPr="006B72EC">
        <w:rPr>
          <w:noProof/>
          <w:u w:color="000000"/>
          <w:bdr w:val="nil"/>
        </w:rPr>
        <w:t>•</w:t>
      </w:r>
      <w:r w:rsidRPr="006B72EC">
        <w:rPr>
          <w:noProof/>
        </w:rPr>
        <w:tab/>
        <w:t>Ehdotuksen perustelut ja tavoitteet</w:t>
      </w:r>
    </w:p>
    <w:p w14:paraId="289C1AB3" w14:textId="77777777" w:rsidR="00662D1A" w:rsidRPr="006B72EC" w:rsidRDefault="00662D1A" w:rsidP="00662D1A">
      <w:pPr>
        <w:pBdr>
          <w:top w:val="nil"/>
          <w:left w:val="nil"/>
          <w:bottom w:val="nil"/>
          <w:right w:val="nil"/>
          <w:between w:val="nil"/>
          <w:bar w:val="nil"/>
        </w:pBdr>
        <w:spacing w:before="0" w:after="240"/>
        <w:rPr>
          <w:noProof/>
        </w:rPr>
      </w:pPr>
      <w:r w:rsidRPr="006B72EC">
        <w:rPr>
          <w:noProof/>
        </w:rPr>
        <w:t>Tämän ehdotuksen tavoitteena on saada neuvostolta Euroopan komissiolle valtuudet allekirjoittaa Yhdistyneiden Kansakuntien merioikeusyleissopimuksen (UNCLOS) mukainen sopimus kansallisen lainkäyttövallan ulkopuolisten merialueiden biologisen monimuotoisuuden säilyttämisestä ja kestävästä käytöstä (BBNJ-sopimus) Euroopan unionin puolesta.</w:t>
      </w:r>
    </w:p>
    <w:p w14:paraId="07B91774" w14:textId="77777777" w:rsidR="00525BE3" w:rsidRPr="006B72EC" w:rsidRDefault="00525BE3" w:rsidP="00525BE3">
      <w:pPr>
        <w:spacing w:before="0" w:after="0"/>
        <w:rPr>
          <w:noProof/>
        </w:rPr>
      </w:pPr>
      <w:r w:rsidRPr="006B72EC">
        <w:rPr>
          <w:noProof/>
        </w:rPr>
        <w:t>Euroopan unioni ja sen jäsenvaltiot ovat vuodesta 2004 lähtien osallistuneet kansainväliseen prosessiin Yhdistyneissä Kansakunnissa (YK) kyseisen sopimuksen kehittämiseksi. Asianomaisten neuvotteluohjeiden</w:t>
      </w:r>
      <w:r w:rsidRPr="006B72EC">
        <w:rPr>
          <w:rStyle w:val="FootnoteReference"/>
          <w:noProof/>
        </w:rPr>
        <w:footnoteReference w:id="1"/>
      </w:r>
      <w:r w:rsidRPr="006B72EC">
        <w:rPr>
          <w:noProof/>
        </w:rPr>
        <w:t xml:space="preserve"> perusteella Euroopan komissio kävi vuosina 2016–2023 neuvotteluja BBNJ-sopimuksen tekemiseksi. BBNJ-sopimuksen lopullinen teksti hyväksyttiin hallitustenvälisessä BBNJ-konferenssissa 19.–20. kesäkuuta 2023. Allekirjoitusseremonia järjestetään 20. syyskuuta 2023 YK:n yleiskokouksen aikana.</w:t>
      </w:r>
    </w:p>
    <w:p w14:paraId="62C5691F" w14:textId="77777777" w:rsidR="00525BE3" w:rsidRPr="006B72EC" w:rsidRDefault="00525BE3" w:rsidP="00525BE3">
      <w:pPr>
        <w:spacing w:before="0" w:after="0"/>
        <w:rPr>
          <w:noProof/>
        </w:rPr>
      </w:pPr>
    </w:p>
    <w:p w14:paraId="4A5EBC01" w14:textId="77777777" w:rsidR="00525BE3" w:rsidRPr="006B72EC" w:rsidRDefault="00525BE3" w:rsidP="00525BE3">
      <w:pPr>
        <w:spacing w:before="0" w:after="0"/>
        <w:rPr>
          <w:noProof/>
        </w:rPr>
      </w:pPr>
      <w:r w:rsidRPr="006B72EC">
        <w:rPr>
          <w:noProof/>
        </w:rPr>
        <w:t>BBNJ-sopimus koskee kansallisen lainkäyttövallan ulkopuolisten merialueiden biologisen monimuotoisuuden säilyttämistä ja kestävää käyttöä. Tällaiset alueet kattavat lähes kaksi kolmasosaa maailman valtameristä ja noin 95 prosenttia niiden tilavuudesta, ja niihin kuuluvat aava meri ja kansainvälinen merenpohja-alue. BBNJ-sopimus mahdollistaa kansallisen lainkäyttövallan ulkopuolisten merialueiden biologisen monimuotoisuuden paremman suojelun ja hoidon. Sopimuksessa käsitellään erityisesti meren geenivaroihin liittyviä kysymyksiä</w:t>
      </w:r>
      <w:bookmarkStart w:id="1" w:name="_Hlk134778203"/>
      <w:r w:rsidRPr="006B72EC">
        <w:rPr>
          <w:noProof/>
        </w:rPr>
        <w:t>, kuten hyötyjen jakamista</w:t>
      </w:r>
      <w:bookmarkEnd w:id="1"/>
      <w:r w:rsidRPr="006B72EC">
        <w:rPr>
          <w:noProof/>
        </w:rPr>
        <w:t xml:space="preserve">, aluepohjaisten hoitovälineiden kaltaisia toimenpiteitä suojellut merialueet mukaan luettuna, ympäristövaikutusten arviointia, valmiuksien kehittämistä ja meriteknologian siirtoa. </w:t>
      </w:r>
    </w:p>
    <w:p w14:paraId="2F5F41DD" w14:textId="77777777" w:rsidR="00525BE3" w:rsidRPr="006B72EC" w:rsidRDefault="00525BE3" w:rsidP="00525BE3">
      <w:pPr>
        <w:spacing w:before="0" w:after="0"/>
        <w:rPr>
          <w:noProof/>
        </w:rPr>
      </w:pPr>
    </w:p>
    <w:p w14:paraId="746E8A68" w14:textId="77777777" w:rsidR="00525BE3" w:rsidRPr="006B72EC" w:rsidRDefault="00525BE3" w:rsidP="00525BE3">
      <w:pPr>
        <w:spacing w:before="0" w:after="0"/>
        <w:rPr>
          <w:noProof/>
        </w:rPr>
      </w:pPr>
      <w:r w:rsidRPr="006B72EC">
        <w:rPr>
          <w:noProof/>
        </w:rPr>
        <w:t>BBNJ-sopimus on kolmas merioikeusyleissopimuksen mukainen täytäntöönpanosopimus, jonka osapuolia EU ja sen jäsenvaltiot ovat. Sopimuksella sopeutetaan YK:n merioikeusyleissopimus (UNCLOS) kehitykseen ja haasteisiin, jotka ovat ilmenneet meriluonnon monimuotoisuuden alalla sen jälkeen, kun sopimus tehtiin vuonna 1982. Se tukee myös YK:n kestävän kehityksen Agenda 2030 -toimintaohjelman ja erityisesti sen kestävän kehityksen tavoitteen 14 (vedenalainen elämä) saavuttamista. BBNJ-sopimuksella edistetään myös maailmanlaajuisessa biologista monimuotoisuutta koskevassa kehyksessä asetettujen tavoitteiden saavuttamista ja erityisesti tavoitetta, jonka mukaan vuoteen 2030 mennessä vähintään 30 prosenttia maailman maa-alueista, sisävesistä, rannikkoalueista ja valtameristä on suojeltava ja hoidettava tehokkaasti. Lisäksi se tukee ilmastonmuutosta koskevan Yhdistyneiden Kansakuntien puitesopimuksen (UNFCCC) ja Pariisin sopimuksen täytäntöönpanoa.</w:t>
      </w:r>
    </w:p>
    <w:p w14:paraId="4FC0B0CA" w14:textId="77777777" w:rsidR="00525BE3" w:rsidRPr="006B72EC" w:rsidRDefault="00525BE3" w:rsidP="00525BE3">
      <w:pPr>
        <w:spacing w:before="0" w:after="0"/>
        <w:rPr>
          <w:noProof/>
        </w:rPr>
      </w:pPr>
    </w:p>
    <w:p w14:paraId="2E4B1CB6" w14:textId="77777777" w:rsidR="00A94098" w:rsidRPr="006B72EC" w:rsidRDefault="00A94098" w:rsidP="00044058">
      <w:pPr>
        <w:pStyle w:val="ManualHeading2"/>
        <w:rPr>
          <w:noProof/>
          <w:u w:color="000000"/>
          <w:bdr w:val="nil"/>
        </w:rPr>
      </w:pPr>
      <w:r w:rsidRPr="006B72EC">
        <w:rPr>
          <w:noProof/>
          <w:u w:color="000000"/>
          <w:bdr w:val="nil"/>
        </w:rPr>
        <w:t>•</w:t>
      </w:r>
      <w:r w:rsidRPr="006B72EC">
        <w:rPr>
          <w:noProof/>
        </w:rPr>
        <w:tab/>
        <w:t>Yhdenmukaisuus unionin muiden politiikkojen kanssa</w:t>
      </w:r>
    </w:p>
    <w:p w14:paraId="1299381A" w14:textId="77777777" w:rsidR="00F45AE6" w:rsidRPr="006B72EC" w:rsidRDefault="00F45AE6" w:rsidP="00F45AE6">
      <w:pPr>
        <w:pBdr>
          <w:top w:val="nil"/>
          <w:left w:val="nil"/>
          <w:bottom w:val="nil"/>
          <w:right w:val="nil"/>
          <w:between w:val="nil"/>
          <w:bar w:val="nil"/>
        </w:pBdr>
        <w:spacing w:before="0" w:after="240"/>
        <w:rPr>
          <w:noProof/>
        </w:rPr>
      </w:pPr>
      <w:r w:rsidRPr="006B72EC">
        <w:rPr>
          <w:noProof/>
        </w:rPr>
        <w:t>Euroopan komissio varmisti, että BBNJ-sopimuksen tekstistä käytävät neuvottelut vastasivat kaikilta osin asiaa koskevia Euroopan unionin sääntöjä ja politiikkoja aloilla, joita väline koskee (ympäristöpolitiikka, meriliikennepolitiikka, yhteinen kalastuspolitiikka, sisämarkkinapolitiikka, yhteinen kauppapolitiikka, tutkimusta ja teknologian kehittämistä koskeva politiikka, ilmastopolitiikka ja muut soveltuvat politiikat), sekä sellaisia asiaankuuluvia kahdenvälisiä ja monenvälisiä sopimuksia, joiden osapuoli Euroopan unioni on. BBNJ-sopimus edistää myös Euroopan vihreän kehityksen ohjelmaa, ja se on yksi EU:n kansainvälistä valtamerten hallinnointia koskevan ohjelman painopistealueista.</w:t>
      </w:r>
    </w:p>
    <w:p w14:paraId="1B0A09F3" w14:textId="77777777" w:rsidR="00A94098" w:rsidRPr="006B72EC" w:rsidRDefault="00F45AE6" w:rsidP="00F45AE6">
      <w:pPr>
        <w:pBdr>
          <w:top w:val="nil"/>
          <w:left w:val="nil"/>
          <w:bottom w:val="nil"/>
          <w:right w:val="nil"/>
          <w:between w:val="nil"/>
          <w:bar w:val="nil"/>
        </w:pBdr>
        <w:spacing w:before="0" w:after="240"/>
        <w:rPr>
          <w:noProof/>
        </w:rPr>
      </w:pPr>
      <w:r w:rsidRPr="006B72EC">
        <w:rPr>
          <w:noProof/>
        </w:rPr>
        <w:t xml:space="preserve">Koska BBNJ-sopimus on YK:n merioikeusyleissopimuksen täytäntöönpanosopimus ja kyseinen yleissopimus on jo osa unionin säännöstöä, komissio myös varmisti, että merioikeusyleissopimukseen sisältyviä ja Euroopan unionin säännöstössä toistettuja määräyksiä ja oikeuksien ja velvoitteiden tasapainoa noudatettiin ja että neuvottelutulos oli yhdenmukainen merioikeusyleissopimuksen kanssa. </w:t>
      </w:r>
    </w:p>
    <w:p w14:paraId="6B2C7436" w14:textId="77777777" w:rsidR="00E274B4" w:rsidRPr="006B72EC" w:rsidRDefault="00A94098" w:rsidP="00550536">
      <w:pPr>
        <w:pStyle w:val="ManualHeading1"/>
        <w:rPr>
          <w:noProof/>
        </w:rPr>
      </w:pPr>
      <w:r w:rsidRPr="006B72EC">
        <w:rPr>
          <w:noProof/>
        </w:rPr>
        <w:t>2.</w:t>
      </w:r>
      <w:r w:rsidRPr="006B72EC">
        <w:rPr>
          <w:noProof/>
        </w:rPr>
        <w:tab/>
        <w:t>SIDOSRYHMIEN KUULEMISTEN TULOKSET JA VAIKUTUSTENARVIOINNIT</w:t>
      </w:r>
    </w:p>
    <w:p w14:paraId="237319A7" w14:textId="77777777" w:rsidR="00E34C4E" w:rsidRPr="006B72EC" w:rsidRDefault="00662D1A" w:rsidP="00662D1A">
      <w:pPr>
        <w:pStyle w:val="text10"/>
        <w:jc w:val="both"/>
        <w:rPr>
          <w:noProof/>
        </w:rPr>
      </w:pPr>
      <w:r w:rsidRPr="006B72EC">
        <w:rPr>
          <w:noProof/>
        </w:rPr>
        <w:t>Euroopan komissio teki neuvottelujen aikana tiivistä yhteistyötä jäsenvaltioiden kanssa. Lisäksi kuultiin säännöllisesti asiaankuuluvia sidosryhmiä, erityisesti kansalaisjärjestöjä ja muita Yhdistyneissä Kansakunnissa edustettuina olevia järjestöjä.</w:t>
      </w:r>
    </w:p>
    <w:p w14:paraId="11ABF403" w14:textId="77777777" w:rsidR="00A94098" w:rsidRPr="006B72EC" w:rsidRDefault="00E274B4" w:rsidP="00550536">
      <w:pPr>
        <w:pStyle w:val="ManualHeading1"/>
        <w:rPr>
          <w:noProof/>
        </w:rPr>
      </w:pPr>
      <w:r w:rsidRPr="006B72EC">
        <w:rPr>
          <w:noProof/>
        </w:rPr>
        <w:t>3.</w:t>
      </w:r>
      <w:r w:rsidRPr="006B72EC">
        <w:rPr>
          <w:noProof/>
        </w:rPr>
        <w:tab/>
        <w:t>EHDOTUKSEN OIKEUDELLINEN SISÄLTÖ</w:t>
      </w:r>
    </w:p>
    <w:p w14:paraId="0CBCD07D" w14:textId="77777777" w:rsidR="00A94098" w:rsidRPr="006B72EC" w:rsidRDefault="00A94098" w:rsidP="00A4693B">
      <w:pPr>
        <w:pStyle w:val="ManualHeading2"/>
        <w:rPr>
          <w:noProof/>
          <w:u w:color="000000"/>
          <w:bdr w:val="nil"/>
        </w:rPr>
      </w:pPr>
      <w:r w:rsidRPr="006B72EC">
        <w:rPr>
          <w:noProof/>
          <w:u w:color="000000"/>
          <w:bdr w:val="nil"/>
        </w:rPr>
        <w:t>•</w:t>
      </w:r>
      <w:r w:rsidRPr="006B72EC">
        <w:rPr>
          <w:noProof/>
        </w:rPr>
        <w:tab/>
      </w:r>
      <w:r w:rsidRPr="006B72EC">
        <w:rPr>
          <w:noProof/>
          <w:u w:color="000000"/>
          <w:bdr w:val="nil"/>
        </w:rPr>
        <w:t>Oikeusperusta</w:t>
      </w:r>
    </w:p>
    <w:p w14:paraId="42970422" w14:textId="77777777" w:rsidR="00A94098" w:rsidRPr="006B72EC" w:rsidRDefault="00566525" w:rsidP="00FD12C9">
      <w:pPr>
        <w:pBdr>
          <w:top w:val="nil"/>
          <w:left w:val="nil"/>
          <w:bottom w:val="nil"/>
          <w:right w:val="nil"/>
          <w:between w:val="nil"/>
          <w:bar w:val="nil"/>
        </w:pBdr>
        <w:spacing w:before="0" w:after="240"/>
        <w:rPr>
          <w:noProof/>
        </w:rPr>
      </w:pPr>
      <w:r w:rsidRPr="006B72EC">
        <w:rPr>
          <w:noProof/>
        </w:rPr>
        <w:t>Ehdotuksen oikeusperustana on Euroopan unionin toiminnasta tehdyn sopimuksen (SEUT) 192 artiklan 1 kohta yhdessä sen 218 artiklan 5 kohdan kanssa. SEUT-sopimuksen 218 artiklassa säädetään Euroopan unionin ja unionin ulkopuolisten maiden tai kansainvälisten järjestöjen välisiä sopimuksia koskevissa neuvotteluissa noudatettavasta menettelystä ja tällaisten sopimusten tekemisestä. Mainitun artiklan 5 kohdassa määrätään erityisesti, että neuvosto hyväksyy neuvottelijana toimivan Euroopan komission ehdotuksesta päätöksen sopimuksen allekirjoittamisesta Euroopan unionin puolesta.</w:t>
      </w:r>
    </w:p>
    <w:p w14:paraId="36865316" w14:textId="77777777" w:rsidR="005E5F53" w:rsidRPr="006B72EC" w:rsidRDefault="005E5F53" w:rsidP="00FD12C9">
      <w:pPr>
        <w:pBdr>
          <w:top w:val="nil"/>
          <w:left w:val="nil"/>
          <w:bottom w:val="nil"/>
          <w:right w:val="nil"/>
          <w:between w:val="nil"/>
          <w:bar w:val="nil"/>
        </w:pBdr>
        <w:spacing w:before="0" w:after="240"/>
        <w:rPr>
          <w:noProof/>
        </w:rPr>
      </w:pPr>
      <w:r w:rsidRPr="006B72EC">
        <w:rPr>
          <w:noProof/>
        </w:rPr>
        <w:t>SEUT-sopimuksen 191 artiklan ja 192 artiklan 1 kohdan mukaisesti Euroopan unioni edistää muun muassa seuraavien tavoitteiden saavuttamista: ympäristön laadun säilyttäminen, suojelu ja parantaminen; ihmisten terveyden suojelu; luonnonvarojen harkittu ja järkevä käyttö; sekä sellaisten toimenpiteiden edistäminen kansainvälisellä tasolla, joilla puututaan alueellisiin tai maailmanlaajuisiin ympäristöongelmiin, ja erityisesti ilmastonmuutoksen torjuminen.</w:t>
      </w:r>
    </w:p>
    <w:p w14:paraId="5A2E3873" w14:textId="77777777" w:rsidR="00A94098" w:rsidRPr="006B72EC" w:rsidRDefault="00A94098" w:rsidP="00550536">
      <w:pPr>
        <w:pStyle w:val="ManualHeading1"/>
        <w:rPr>
          <w:noProof/>
        </w:rPr>
      </w:pPr>
      <w:r w:rsidRPr="006B72EC">
        <w:rPr>
          <w:noProof/>
        </w:rPr>
        <w:t>4.</w:t>
      </w:r>
      <w:r w:rsidRPr="006B72EC">
        <w:rPr>
          <w:noProof/>
        </w:rPr>
        <w:tab/>
        <w:t>TALOUSARVIOVAIKUTUKSET</w:t>
      </w:r>
    </w:p>
    <w:p w14:paraId="3A387C3A" w14:textId="77777777" w:rsidR="00043EE9" w:rsidRPr="006B72EC" w:rsidRDefault="005B12A1" w:rsidP="00043EE9">
      <w:pPr>
        <w:pBdr>
          <w:top w:val="nil"/>
          <w:left w:val="nil"/>
          <w:bottom w:val="nil"/>
          <w:right w:val="nil"/>
          <w:between w:val="nil"/>
          <w:bar w:val="nil"/>
        </w:pBdr>
        <w:spacing w:before="0" w:after="240"/>
        <w:rPr>
          <w:noProof/>
        </w:rPr>
      </w:pPr>
      <w:r w:rsidRPr="006B72EC">
        <w:rPr>
          <w:noProof/>
        </w:rPr>
        <w:t>BBNJ-sopimuksella luodaan erityinen institutionaalinen rakenne, johon kuuluu sihteeristö, tieteellinen ja tekninen elin, tiedonvälitysjärjestelmä, valmiuksien kehittämistä ja teknologian siirtoa käsittelevä komitea sekä saatavuutta ja hyötyjen jakamista käsittelevä komitea. Näiden instituutioiden kustannukset jaetaan kaikkien BBNJ-sopimuksen osapuolten kesken YK:n asteikon perusteella.</w:t>
      </w:r>
    </w:p>
    <w:p w14:paraId="24029EDB" w14:textId="77777777" w:rsidR="00043EE9" w:rsidRPr="006B72EC" w:rsidRDefault="00043EE9" w:rsidP="00043EE9">
      <w:pPr>
        <w:pBdr>
          <w:top w:val="nil"/>
          <w:left w:val="nil"/>
          <w:bottom w:val="nil"/>
          <w:right w:val="nil"/>
          <w:between w:val="nil"/>
          <w:bar w:val="nil"/>
        </w:pBdr>
        <w:spacing w:before="0" w:after="240"/>
        <w:rPr>
          <w:noProof/>
        </w:rPr>
      </w:pPr>
      <w:r w:rsidRPr="006B72EC">
        <w:rPr>
          <w:noProof/>
        </w:rPr>
        <w:t xml:space="preserve">BBNJ-sopimuksen täytäntöönpanosta Euroopan unionissa aiheutuvat institutionaaliset rahoituskustannukset tiedetään vasta ensimmäisen sopimuspuolten konferenssin jälkeen, jonka on määrä sopia BBNJ-sopimuksen ensimmäisestä talousarviosta. </w:t>
      </w:r>
    </w:p>
    <w:p w14:paraId="1394EC9C" w14:textId="77777777" w:rsidR="00043EE9" w:rsidRPr="006B72EC" w:rsidRDefault="00043EE9" w:rsidP="00043EE9">
      <w:pPr>
        <w:pBdr>
          <w:top w:val="nil"/>
          <w:left w:val="nil"/>
          <w:bottom w:val="nil"/>
          <w:right w:val="nil"/>
          <w:between w:val="nil"/>
          <w:bar w:val="nil"/>
        </w:pBdr>
        <w:spacing w:before="0" w:after="240"/>
        <w:rPr>
          <w:noProof/>
        </w:rPr>
      </w:pPr>
      <w:r w:rsidRPr="006B72EC">
        <w:rPr>
          <w:noProof/>
        </w:rPr>
        <w:t>Institutionaalisten kustannusten lisäksi BBNJ-sopimuksen täytäntöönpano synnyttää todennäköisesti rahoitustarpeita kehittyvien maiden valmiuksien kehittämiseksi ja meriteknologian siirron helpottamiseksi, mutta myös esimerkiksi sellaisen tieteellisen tiedon tuottamiseksi, jota tarvitaan suojeltujen merialueiden perustamiseen, seurantaan ja tarkasteluun. Mahdolliset kustannukset arvioidaan maailmanlaajuisesti BBNJ-sopimuksen mukaisesti ajallaan.</w:t>
      </w:r>
    </w:p>
    <w:p w14:paraId="5345E73A" w14:textId="77777777" w:rsidR="00A94098" w:rsidRPr="006B72EC" w:rsidRDefault="00A94098" w:rsidP="00FD40BA">
      <w:pPr>
        <w:rPr>
          <w:noProof/>
        </w:rPr>
        <w:sectPr w:rsidR="00A94098" w:rsidRPr="006B72EC" w:rsidSect="003C3DF3">
          <w:footerReference w:type="default" r:id="rId10"/>
          <w:footerReference w:type="first" r:id="rId11"/>
          <w:pgSz w:w="11907" w:h="16839"/>
          <w:pgMar w:top="1134" w:right="1417" w:bottom="1134" w:left="1417" w:header="709" w:footer="709" w:gutter="0"/>
          <w:cols w:space="708"/>
          <w:docGrid w:linePitch="360"/>
        </w:sectPr>
      </w:pPr>
    </w:p>
    <w:p w14:paraId="516B086D" w14:textId="27AC40C4" w:rsidR="008743C2" w:rsidRDefault="008743C2" w:rsidP="008743C2">
      <w:pPr>
        <w:pStyle w:val="Rfrenceinterinstitutionnelle"/>
        <w:rPr>
          <w:noProof/>
        </w:rPr>
      </w:pPr>
      <w:r w:rsidRPr="008743C2">
        <w:t>2023/0204 (NLE)</w:t>
      </w:r>
    </w:p>
    <w:p w14:paraId="3BC46BA5" w14:textId="7D701F3B" w:rsidR="00A94098" w:rsidRPr="006B72EC" w:rsidRDefault="006B72EC" w:rsidP="006B72EC">
      <w:pPr>
        <w:pStyle w:val="Statut"/>
        <w:rPr>
          <w:noProof/>
        </w:rPr>
      </w:pPr>
      <w:r w:rsidRPr="006B72EC">
        <w:rPr>
          <w:noProof/>
        </w:rPr>
        <w:t>Ehdotus</w:t>
      </w:r>
    </w:p>
    <w:p w14:paraId="79626F08" w14:textId="417BC14F" w:rsidR="00A94098" w:rsidRPr="006B72EC" w:rsidRDefault="006B72EC" w:rsidP="006B72EC">
      <w:pPr>
        <w:pStyle w:val="Typedudocument"/>
        <w:rPr>
          <w:noProof/>
        </w:rPr>
      </w:pPr>
      <w:r w:rsidRPr="006B72EC">
        <w:rPr>
          <w:noProof/>
        </w:rPr>
        <w:t>NEUVOSTON PÄÄTÖS</w:t>
      </w:r>
    </w:p>
    <w:p w14:paraId="504A7ACB" w14:textId="5B024831" w:rsidR="00A94098" w:rsidRPr="006B72EC" w:rsidRDefault="006B72EC" w:rsidP="006B72EC">
      <w:pPr>
        <w:pStyle w:val="Titreobjet"/>
        <w:rPr>
          <w:noProof/>
        </w:rPr>
      </w:pPr>
      <w:r w:rsidRPr="006B72EC">
        <w:rPr>
          <w:noProof/>
        </w:rPr>
        <w:t>Yhdistyneiden Kansakuntien merioikeusyleissopimuksen mukaisen meren biologisen monimuotoisuuden säilyttämistä ja kestävää käyttöä koskevan sopimuksen allekirjoittamisesta Euroopan unionin puolesta</w:t>
      </w:r>
    </w:p>
    <w:p w14:paraId="5455A55F" w14:textId="77777777" w:rsidR="00A94098" w:rsidRPr="006B72EC" w:rsidRDefault="00A94098" w:rsidP="00197315">
      <w:pPr>
        <w:pStyle w:val="Institutionquiagit"/>
        <w:rPr>
          <w:noProof/>
        </w:rPr>
      </w:pPr>
      <w:r w:rsidRPr="006B72EC">
        <w:rPr>
          <w:noProof/>
        </w:rPr>
        <w:t>EUROOPAN YHTEISÖJEN NEUVOSTO, joka</w:t>
      </w:r>
    </w:p>
    <w:p w14:paraId="74B60F5D" w14:textId="77777777" w:rsidR="00A94098" w:rsidRPr="006B72EC" w:rsidRDefault="00A94098" w:rsidP="00197315">
      <w:pPr>
        <w:rPr>
          <w:noProof/>
        </w:rPr>
      </w:pPr>
      <w:r w:rsidRPr="006B72EC">
        <w:rPr>
          <w:noProof/>
        </w:rPr>
        <w:t>ottaa huomioon Euroopan unionin toiminnasta tehdyn sopimuksen ja erityisesti sen 192 artiklan 1 kohdan yhdessä 218 artiklan 5 kohdan kanssa,</w:t>
      </w:r>
    </w:p>
    <w:p w14:paraId="07786B88" w14:textId="77777777" w:rsidR="00A94098" w:rsidRPr="006B72EC" w:rsidRDefault="00A94098" w:rsidP="00197315">
      <w:pPr>
        <w:rPr>
          <w:noProof/>
        </w:rPr>
      </w:pPr>
      <w:r w:rsidRPr="006B72EC">
        <w:rPr>
          <w:noProof/>
        </w:rPr>
        <w:t>ottaa huomioon Euroopan komission ehdotuksen,</w:t>
      </w:r>
    </w:p>
    <w:p w14:paraId="31C206EA" w14:textId="77777777" w:rsidR="00A94098" w:rsidRPr="006B72EC" w:rsidRDefault="00A94098" w:rsidP="00197315">
      <w:pPr>
        <w:rPr>
          <w:noProof/>
        </w:rPr>
      </w:pPr>
      <w:r w:rsidRPr="006B72EC">
        <w:rPr>
          <w:noProof/>
        </w:rPr>
        <w:t>sekä katsoo seuraavaa:</w:t>
      </w:r>
    </w:p>
    <w:p w14:paraId="7B9015EC" w14:textId="45EB327C" w:rsidR="008D471D" w:rsidRPr="006B72EC" w:rsidRDefault="00945000" w:rsidP="00945000">
      <w:pPr>
        <w:pStyle w:val="ManualConsidrant"/>
        <w:rPr>
          <w:noProof/>
        </w:rPr>
      </w:pPr>
      <w:r w:rsidRPr="00945000">
        <w:t>(1)</w:t>
      </w:r>
      <w:r w:rsidRPr="00945000">
        <w:tab/>
      </w:r>
      <w:r w:rsidR="008D471D" w:rsidRPr="006B72EC">
        <w:rPr>
          <w:noProof/>
        </w:rPr>
        <w:t>Kansallisen lainkäyttövallan ulkopuoliset alueet kattavat lähes kaksi kolmasosaa maailman valtamerten pinnasta ja 95 prosenttia niiden tilavuudesta, ja niissä on rikas, sekä ekologisesti että sosioekonomisesti tärkeä merellinen biologinen monimuotoisuus, johon kohdistuu kasvavia paineita.</w:t>
      </w:r>
    </w:p>
    <w:p w14:paraId="61A5F38C" w14:textId="77C1190E" w:rsidR="00687DDD" w:rsidRPr="006B72EC" w:rsidRDefault="00945000" w:rsidP="00945000">
      <w:pPr>
        <w:pStyle w:val="ManualConsidrant"/>
        <w:rPr>
          <w:noProof/>
        </w:rPr>
      </w:pPr>
      <w:r w:rsidRPr="00945000">
        <w:t>(2)</w:t>
      </w:r>
      <w:r w:rsidRPr="00945000">
        <w:tab/>
      </w:r>
      <w:r w:rsidR="00687DDD" w:rsidRPr="006B72EC">
        <w:rPr>
          <w:noProof/>
        </w:rPr>
        <w:t>On tarpeen käsitellä johdonmukaisella ja yhteistyökykyisellä tavalla valtamerten ekosysteemien biologisen monimuotoisuuden häviämistä ja heikkenemistä erityisesti ilmastonmuutoksen aiheuttamien meriekosysteemeihin kohdistuvien vaikutusten, kuten lämpeneminen ja valtamerten happikato, sekä valtamerten happamoitumisen, pilaantumisen, mukaan lukien muovisaasteet, ja kestämättömän käytön vuoksi.</w:t>
      </w:r>
    </w:p>
    <w:p w14:paraId="367D2298" w14:textId="6F0040C1" w:rsidR="000209AB" w:rsidRPr="006B72EC" w:rsidRDefault="00945000" w:rsidP="00945000">
      <w:pPr>
        <w:pStyle w:val="ManualConsidrant"/>
        <w:rPr>
          <w:noProof/>
        </w:rPr>
      </w:pPr>
      <w:r w:rsidRPr="00945000">
        <w:t>(3)</w:t>
      </w:r>
      <w:r w:rsidRPr="00945000">
        <w:tab/>
      </w:r>
      <w:r w:rsidR="000209AB" w:rsidRPr="006B72EC">
        <w:rPr>
          <w:noProof/>
        </w:rPr>
        <w:t>Tarvitaan Yhdistyneiden Kansakuntien merioikeusyleissopimuksen (UNCLOS) mukainen laaja maailmanlaajuinen järjestelmä, jonka avulla voidaan paremmin huolehtia meren biologisen monimuotoisuuden säilyttämisestä.</w:t>
      </w:r>
    </w:p>
    <w:p w14:paraId="79A4E7CC" w14:textId="37811B47" w:rsidR="00A351F1" w:rsidRPr="006B72EC" w:rsidRDefault="00945000" w:rsidP="00945000">
      <w:pPr>
        <w:pStyle w:val="ManualConsidrant"/>
        <w:rPr>
          <w:noProof/>
        </w:rPr>
      </w:pPr>
      <w:r w:rsidRPr="00945000">
        <w:t>(4)</w:t>
      </w:r>
      <w:r w:rsidRPr="00945000">
        <w:tab/>
      </w:r>
      <w:r w:rsidR="00EB7C65" w:rsidRPr="006B72EC">
        <w:rPr>
          <w:noProof/>
        </w:rPr>
        <w:t>Euroopan unioni teki neuvoston päätöksellä 98/392/EY</w:t>
      </w:r>
      <w:r w:rsidR="00EB7C65" w:rsidRPr="006B72EC">
        <w:rPr>
          <w:rStyle w:val="FootnoteReference"/>
          <w:noProof/>
        </w:rPr>
        <w:footnoteReference w:id="2"/>
      </w:r>
      <w:r w:rsidR="00EB7C65" w:rsidRPr="006B72EC">
        <w:rPr>
          <w:noProof/>
        </w:rPr>
        <w:t xml:space="preserve"> Yhdistyneiden Kansakuntien merioikeusyleissopimuksen (UNCLOS) niiden sen soveltamisalaan kuuluvien asioiden osalta, joita koskevan toimivallan jäsenvaltiot ovat siirtäneet Euroopan unionille. Euroopan unioni on toistaiseksi ainoa kansainvälinen järjestö, joka on  merioikeusyleissopimuksen 305 artiklan 1 kohdan f alakohdan ja sen liitteessä IX olevan 1 artiklan mukainen merioikeusyleissopimuksen osapuoli.</w:t>
      </w:r>
    </w:p>
    <w:p w14:paraId="465D815C" w14:textId="1E9439FB" w:rsidR="0074232D" w:rsidRPr="006B72EC" w:rsidRDefault="00945000" w:rsidP="00945000">
      <w:pPr>
        <w:pStyle w:val="ManualConsidrant"/>
        <w:rPr>
          <w:noProof/>
        </w:rPr>
      </w:pPr>
      <w:r w:rsidRPr="00945000">
        <w:t>(5)</w:t>
      </w:r>
      <w:r w:rsidRPr="00945000">
        <w:tab/>
      </w:r>
      <w:r w:rsidR="0074232D" w:rsidRPr="006B72EC">
        <w:rPr>
          <w:noProof/>
        </w:rPr>
        <w:t>Merioikeusyleissopimuksen osapuolena Euroopan unioni on jäsenvaltioidensa ohella osallistunut YK:n tilapäiseen avoimeen epäviralliseen työryhmään, jäljempänä ’työryhmä’, joka kokoontui vuosina 2006–2015 tutkimaan meren biologisen monimuotoisuuden säilyttämiseen ja kestävään käyttöön liittyviä kysymyksiä kansalliseen lainkäyttövaltaan kuulumattomilla alueilla. Työryhmän viime kokouksessa suositeltiin meren biologisen monimuotoisuuden säilyttämistä ja kestävää käyttöä koskevan Yhdistyneiden Kansakuntien merioikeusyleissopimuksen mukaisen kansainvälisen oikeudellisesti sitovan välineen, jäljempänä ’väline’, kehittämistä.</w:t>
      </w:r>
    </w:p>
    <w:p w14:paraId="0C3870D4" w14:textId="1A49DC46" w:rsidR="00357F4A" w:rsidRPr="006B72EC" w:rsidRDefault="00945000" w:rsidP="00945000">
      <w:pPr>
        <w:pStyle w:val="ManualConsidrant"/>
        <w:rPr>
          <w:noProof/>
        </w:rPr>
      </w:pPr>
      <w:r w:rsidRPr="00945000">
        <w:t>(6)</w:t>
      </w:r>
      <w:r w:rsidRPr="00945000">
        <w:tab/>
      </w:r>
      <w:r w:rsidR="00357F4A" w:rsidRPr="006B72EC">
        <w:rPr>
          <w:noProof/>
        </w:rPr>
        <w:t>Työryhmän 23 päivänä tammikuuta 2015 hyväksymien suositusten perusteella YK:n yleiskokous hyväksyi 19 päivänä kesäkuuta 2015 päätöslauselman 69/292, jolla perustettiin ennen hallitustenvälisen konferenssin järjestämistä valmistelukomitea, joka on avoinna kaikille Yhdistyneiden Kansakuntien jäsenvaltioille, erityisjärjestöjen jäsenille ja UNCLOSin osapuolille ja jonka tehtävänä on esittää YK:n yleiskokoukselle välineluonnosta koskevia sisällöllisiä suosituksia. Euroopan unionin osallistumisoikeutta valmistelukomitean kokoukseen käsiteltiin edellä mainitun päätöslauselman 69/292 1 kohdan j alakohdassa.</w:t>
      </w:r>
    </w:p>
    <w:p w14:paraId="6C4D36A7" w14:textId="0197093B" w:rsidR="00721407" w:rsidRPr="006B72EC" w:rsidRDefault="00945000" w:rsidP="00945000">
      <w:pPr>
        <w:pStyle w:val="ManualConsidrant"/>
        <w:rPr>
          <w:noProof/>
        </w:rPr>
      </w:pPr>
      <w:r w:rsidRPr="00945000">
        <w:t>(7)</w:t>
      </w:r>
      <w:r w:rsidRPr="00945000">
        <w:tab/>
      </w:r>
      <w:r w:rsidR="00D549B8" w:rsidRPr="006B72EC">
        <w:rPr>
          <w:noProof/>
        </w:rPr>
        <w:t xml:space="preserve">Neuvosto valtuutti 22 päivänä maaliskuuta 2016 Euroopan komission aloittamaan Euroopan unionin puolesta neuvottelut </w:t>
      </w:r>
      <w:bookmarkStart w:id="2" w:name="_Hlk132996266"/>
      <w:r w:rsidR="00D549B8" w:rsidRPr="006B72EC">
        <w:rPr>
          <w:noProof/>
        </w:rPr>
        <w:t>meren biologisen monimuotoisuuden säilyttämistä ja kestävää käyttöä kansalliseen lainkäyttövaltaan kuulumattomilla alueilla koskevaan Yhdistyneiden Kansakuntien merioikeusyleissopimukseen liittyvän</w:t>
      </w:r>
      <w:bookmarkEnd w:id="2"/>
      <w:r w:rsidR="00D549B8" w:rsidRPr="006B72EC">
        <w:rPr>
          <w:noProof/>
        </w:rPr>
        <w:t xml:space="preserve">  oikeudellisesti sitovan kansainvälisen välineen tekstiluonnoksen kyseisen valtuutuksen lisäyksessä olevien neuvotteluohjeiden mukaisesti. </w:t>
      </w:r>
    </w:p>
    <w:p w14:paraId="69368300" w14:textId="4F0EB087" w:rsidR="00D549B8" w:rsidRPr="006B72EC" w:rsidRDefault="00945000" w:rsidP="00945000">
      <w:pPr>
        <w:pStyle w:val="ManualConsidrant"/>
        <w:rPr>
          <w:noProof/>
        </w:rPr>
      </w:pPr>
      <w:r w:rsidRPr="00945000">
        <w:t>(8)</w:t>
      </w:r>
      <w:r w:rsidRPr="00945000">
        <w:tab/>
      </w:r>
      <w:r w:rsidR="00721407" w:rsidRPr="006B72EC">
        <w:rPr>
          <w:noProof/>
        </w:rPr>
        <w:t>Euroopan unioni osallistui jäsenvaltioidensa ohella vuosien 2016 ja 2017 aikana neljään valmistelukomitean istuntoon; valmistelukomitea oli saanut tehtäväkseen antaa YK:n yleiskokoukselle sisällöllisiä suosituksia merioikeusyleissopimuksen mukaista kansainvälistä ja oikeudellisesti sitovaa, kansallisen lainkäyttövallan ulkopuolisten merialueiden biologisen monimuotoisuuden säilyttämistä ja kestävää käyttöä koskevaa välinettä varten.</w:t>
      </w:r>
    </w:p>
    <w:p w14:paraId="6B4C8B36" w14:textId="0D249256" w:rsidR="0074232D" w:rsidRPr="006B72EC" w:rsidRDefault="00945000" w:rsidP="00945000">
      <w:pPr>
        <w:pStyle w:val="ManualConsidrant"/>
        <w:rPr>
          <w:noProof/>
        </w:rPr>
      </w:pPr>
      <w:r w:rsidRPr="00945000">
        <w:t>(9)</w:t>
      </w:r>
      <w:r w:rsidRPr="00945000">
        <w:tab/>
      </w:r>
      <w:r w:rsidR="0074232D" w:rsidRPr="006B72EC">
        <w:rPr>
          <w:noProof/>
        </w:rPr>
        <w:t>Valmistelukomitea antoi raporttinsa 21 päivänä heinäkuuta 2017 ja suositti, että YK:n yleiskokous tarkastelee suosituksen pääkohtia ja tekee mahdollisimman pian päätöksen hallitustenvälisen konferenssin kutsumisesta koolle Yhdistyneiden Kansakuntien johdolla tarkastelemaan valmistelukomitean suosituksia ja laatimaan kansainvälistä ja oikeudellisesti sitovaa, merioikeusyleissopimukseen liittyvää välinettä koskevan tekstin.</w:t>
      </w:r>
    </w:p>
    <w:p w14:paraId="72858C40" w14:textId="20238150" w:rsidR="00CB348A" w:rsidRPr="006B72EC" w:rsidRDefault="00945000" w:rsidP="00945000">
      <w:pPr>
        <w:pStyle w:val="ManualConsidrant"/>
        <w:rPr>
          <w:noProof/>
        </w:rPr>
      </w:pPr>
      <w:r w:rsidRPr="00945000">
        <w:t>(10)</w:t>
      </w:r>
      <w:r w:rsidRPr="00945000">
        <w:tab/>
      </w:r>
      <w:r w:rsidR="00CB348A" w:rsidRPr="006B72EC">
        <w:rPr>
          <w:noProof/>
        </w:rPr>
        <w:t>Yhdistyneiden Kansakuntien yleiskokous päätti 24 päivänä joulukuuta 2017 antamassaan päätöslauselmassa 72/249 kutsua koolle Yhdistyneiden Kansakuntien alaisuudessa toimivan hallitustenvälisen konferenssin laatimaan kansallisen lainkäyttövallan ulkopuolisten merialueiden biologisen monimuotoisuuden säilyttämistä ja kestävää käyttöä koskevan kansainvälisen ja oikeudellisesti sitovan välineen tekstin.</w:t>
      </w:r>
    </w:p>
    <w:p w14:paraId="08627A59" w14:textId="4910AF57" w:rsidR="00D549B8" w:rsidRPr="006B72EC" w:rsidRDefault="00945000" w:rsidP="00945000">
      <w:pPr>
        <w:pStyle w:val="ManualConsidrant"/>
        <w:rPr>
          <w:noProof/>
        </w:rPr>
      </w:pPr>
      <w:r w:rsidRPr="00945000">
        <w:t>(11)</w:t>
      </w:r>
      <w:r w:rsidRPr="00945000">
        <w:tab/>
      </w:r>
      <w:r w:rsidR="00CB348A" w:rsidRPr="006B72EC">
        <w:rPr>
          <w:noProof/>
        </w:rPr>
        <w:t>Neuvosto valtuutti 19 päivänä maaliskuuta 2018 Euroopan komission aloittamaan Euroopan unionin puolesta neuvottelut asioista, jotka kuuluvat Euroopan unionin toimivaltaan ja joiden osalta Euroopan unioni on hyväksynyt säännöt Yhdistyneiden Kansakuntien merioikeusyleissopimukseen liittyvästä kansallisen lainkäyttövallan ulkopuolisten merialueiden biologisen monimuotoisuuden säilyttämistä ja kestävää käyttöä koskevasta kansainvälisestä ja oikeudellisesti sitovasta välineestä.</w:t>
      </w:r>
    </w:p>
    <w:p w14:paraId="44FC6EFD" w14:textId="6217E09C" w:rsidR="00661719" w:rsidRPr="006B72EC" w:rsidRDefault="00945000" w:rsidP="00945000">
      <w:pPr>
        <w:pStyle w:val="ManualConsidrant"/>
        <w:rPr>
          <w:noProof/>
        </w:rPr>
      </w:pPr>
      <w:r w:rsidRPr="00945000">
        <w:t>(12)</w:t>
      </w:r>
      <w:r w:rsidRPr="00945000">
        <w:tab/>
      </w:r>
      <w:r w:rsidR="0074232D" w:rsidRPr="006B72EC">
        <w:rPr>
          <w:noProof/>
        </w:rPr>
        <w:t>Euroopan unioni on jäsenvaltioidensa ohella osallistunut kyseisen välineen tekstiä koskeviin neuvotteluihin valtuutuksen lisäyksessä olevien neuvotteluohjeiden mukaisesti. Neuvotteluprosessi saatiin menestyksekkäästi päätökseen New Yorkissa 19ja 20 päivänä kesäkuuta 2023 pidetyssä hallitustenvälisen konferenssin viidennessä istunnossa, jossa hyväksyttiin kansallisen lainkäyttövallan ulkopuolisten merialueiden biologisen monimuotoisuuden säilyttämistä ja kestävää käyttöä koskeva Yhdistyneiden Kansakuntien merioikeusyleissopimuksen mukainen sopimus (BBNJ-sopimus).</w:t>
      </w:r>
    </w:p>
    <w:p w14:paraId="233AC4C4" w14:textId="51A5D637" w:rsidR="003A7523" w:rsidRPr="006B72EC" w:rsidRDefault="00945000" w:rsidP="00945000">
      <w:pPr>
        <w:pStyle w:val="ManualConsidrant"/>
        <w:rPr>
          <w:noProof/>
        </w:rPr>
      </w:pPr>
      <w:r w:rsidRPr="00945000">
        <w:t>(13)</w:t>
      </w:r>
      <w:r w:rsidRPr="00945000">
        <w:tab/>
      </w:r>
      <w:r w:rsidR="004F7AE2" w:rsidRPr="006B72EC">
        <w:rPr>
          <w:noProof/>
        </w:rPr>
        <w:t>Euroopan unioni on saavuttanut tavoitteensa neuvotteluissa ja antanut aktiivisen panoksensa tulokseen.</w:t>
      </w:r>
    </w:p>
    <w:p w14:paraId="209B596A" w14:textId="031B840F" w:rsidR="003A7523" w:rsidRPr="006B72EC" w:rsidRDefault="00945000" w:rsidP="00945000">
      <w:pPr>
        <w:pStyle w:val="ManualConsidrant"/>
        <w:rPr>
          <w:noProof/>
        </w:rPr>
      </w:pPr>
      <w:r w:rsidRPr="00945000">
        <w:t>(14)</w:t>
      </w:r>
      <w:r w:rsidRPr="00945000">
        <w:tab/>
      </w:r>
      <w:r w:rsidR="003A7523" w:rsidRPr="006B72EC">
        <w:rPr>
          <w:noProof/>
        </w:rPr>
        <w:t>BBNJ-sopimus kattaa neljä alaa: meren geenivarat ja hyötyjen jakaminen; aluekohtaiset välineet, kuten suojellut merialueet; ympäristövaikutusten arvioinnit; sekä valmiuksien kehittäminen ja meriteknologian siirtäminen. Se tukee myös YK:n kestävän kehityksen Agenda 2030 -toimintaohjelman ja erityisesti sen kestävän kehityksen tavoitteen 14 (vedenalainen elämä) saavuttamista. BBNJ-sopimus edistää myös joulukuussa 2022 sovitun vuoden 2020 jälkeisen maailmanlaajuisen biodiversiteettikehyksen tavoitteiden saavuttamista, mukaan luettuna sen tavoite suojella vähintään 30 prosenttia valtameristä vuoteen 2030 mennessä.</w:t>
      </w:r>
    </w:p>
    <w:p w14:paraId="02C1F28E" w14:textId="05A41738" w:rsidR="00DA4BA4" w:rsidRPr="006B72EC" w:rsidRDefault="00945000" w:rsidP="00945000">
      <w:pPr>
        <w:pStyle w:val="ManualConsidrant"/>
        <w:rPr>
          <w:noProof/>
        </w:rPr>
      </w:pPr>
      <w:r w:rsidRPr="00945000">
        <w:t>(15)</w:t>
      </w:r>
      <w:r w:rsidRPr="00945000">
        <w:tab/>
      </w:r>
      <w:r w:rsidR="00DA4BA4" w:rsidRPr="006B72EC">
        <w:rPr>
          <w:noProof/>
        </w:rPr>
        <w:t>BBNJ-sopimus on Euroopan unionin toiminnasta tehdyn sopimuksen 191 artiklassa tarkoitettujen Euroopan unionin ympäristötavoitteiden mukainen; ne ovat ympäristön laadun säilyttäminen, suojelu ja parantaminen; ihmisten terveyden suojelu; luonnonvarojen harkittu ja järkevä käyttö; sekä sellaisten toimenpiteiden edistäminen kansainvälisellä tasolla, joilla puututaan alueellisiin tai maailmanlaajuisiin ympäristöongelmiin, ja erityisesti ilmastonmuutoksen torjuminen.</w:t>
      </w:r>
    </w:p>
    <w:p w14:paraId="6582EA28" w14:textId="34A3A956" w:rsidR="004109ED" w:rsidRPr="006B72EC" w:rsidRDefault="00945000" w:rsidP="00945000">
      <w:pPr>
        <w:pStyle w:val="ManualConsidrant"/>
        <w:rPr>
          <w:noProof/>
        </w:rPr>
      </w:pPr>
      <w:r w:rsidRPr="00945000">
        <w:t>(16)</w:t>
      </w:r>
      <w:r w:rsidRPr="00945000">
        <w:tab/>
      </w:r>
      <w:r w:rsidR="004109ED" w:rsidRPr="006B72EC">
        <w:rPr>
          <w:noProof/>
        </w:rPr>
        <w:t>BBNJ-sopimuksen osapuoleksi tuleminen tuo yhdenmukaisuutta lähestymistapaan, jota Euroopan unioni soveltaa meren elollisten luonnonvarojen säilyttämiseen ja hoitoon valtamerillä, sekä lujittaa unionin sitoutumista meren elollisten luonnonvarojen pitkän aikavälin säilyttämiseen ja kestävään käyttöön maailmanlaajuisesti.</w:t>
      </w:r>
    </w:p>
    <w:p w14:paraId="6A5DDFB1" w14:textId="482E55F0" w:rsidR="00661719" w:rsidRPr="006B72EC" w:rsidRDefault="00945000" w:rsidP="00945000">
      <w:pPr>
        <w:pStyle w:val="ManualConsidrant"/>
        <w:rPr>
          <w:noProof/>
        </w:rPr>
      </w:pPr>
      <w:r w:rsidRPr="00945000">
        <w:t>(17)</w:t>
      </w:r>
      <w:r w:rsidRPr="00945000">
        <w:tab/>
      </w:r>
      <w:r w:rsidR="00661719" w:rsidRPr="006B72EC">
        <w:rPr>
          <w:noProof/>
        </w:rPr>
        <w:t>Sen vuoksi BBNJ-sopimus olisi allekirjoitettava Euroopan unionin puolesta.</w:t>
      </w:r>
    </w:p>
    <w:p w14:paraId="2E5B6E01" w14:textId="77B792E8" w:rsidR="00E22251" w:rsidRPr="006B72EC" w:rsidRDefault="00E22251" w:rsidP="00813399">
      <w:pPr>
        <w:rPr>
          <w:noProof/>
        </w:rPr>
      </w:pPr>
    </w:p>
    <w:p w14:paraId="0497FB00" w14:textId="77777777" w:rsidR="00A94098" w:rsidRPr="006B72EC" w:rsidRDefault="00A94098" w:rsidP="00197315">
      <w:pPr>
        <w:pStyle w:val="Formuledadoption"/>
        <w:rPr>
          <w:noProof/>
        </w:rPr>
      </w:pPr>
      <w:r w:rsidRPr="006B72EC">
        <w:rPr>
          <w:noProof/>
        </w:rPr>
        <w:t xml:space="preserve">ON HYVÄKSYNYT TÄMÄN PÄÄTÖKSEN: </w:t>
      </w:r>
    </w:p>
    <w:p w14:paraId="5584F249" w14:textId="77777777" w:rsidR="00A94098" w:rsidRPr="006B72EC" w:rsidRDefault="00A94098" w:rsidP="00197315">
      <w:pPr>
        <w:pStyle w:val="Titrearticle"/>
        <w:rPr>
          <w:noProof/>
        </w:rPr>
      </w:pPr>
      <w:r w:rsidRPr="006B72EC">
        <w:rPr>
          <w:noProof/>
        </w:rPr>
        <w:t>1 artikla</w:t>
      </w:r>
    </w:p>
    <w:p w14:paraId="684FB8B4" w14:textId="77777777" w:rsidR="00A94098" w:rsidRPr="006B72EC" w:rsidRDefault="00017AED" w:rsidP="00197315">
      <w:pPr>
        <w:rPr>
          <w:noProof/>
        </w:rPr>
      </w:pPr>
      <w:r w:rsidRPr="006B72EC">
        <w:rPr>
          <w:noProof/>
        </w:rPr>
        <w:t>Hyväksytään Yhdistyneiden Kansakuntien merioikeusyleissopimukseen mukaisen meren biologisen monimuotoisuuden säilyttämistä ja kestävää käyttöä koskevan sopimuksen allekirjoittaminen Euroopan unionin puolesta sillä varauksella, että mainitun sopimuksen tekeminen saatetaan päätökseen.</w:t>
      </w:r>
    </w:p>
    <w:p w14:paraId="556DB798" w14:textId="77777777" w:rsidR="00017AED" w:rsidRPr="006B72EC" w:rsidRDefault="00017AED" w:rsidP="00197315">
      <w:pPr>
        <w:rPr>
          <w:noProof/>
        </w:rPr>
      </w:pPr>
      <w:r w:rsidRPr="006B72EC">
        <w:rPr>
          <w:noProof/>
        </w:rPr>
        <w:t>Allekirjoitettavan sopimuksen teksti on liitetty tähän päätökseen.</w:t>
      </w:r>
    </w:p>
    <w:p w14:paraId="5BC1CD28" w14:textId="77777777" w:rsidR="004F7FDF" w:rsidRPr="006B72EC" w:rsidRDefault="004F7FDF" w:rsidP="00D024C0">
      <w:pPr>
        <w:pStyle w:val="Titrearticle"/>
        <w:rPr>
          <w:noProof/>
        </w:rPr>
      </w:pPr>
      <w:r w:rsidRPr="006B72EC">
        <w:rPr>
          <w:noProof/>
        </w:rPr>
        <w:t>2 artikla</w:t>
      </w:r>
    </w:p>
    <w:p w14:paraId="34E85D5C" w14:textId="77777777" w:rsidR="004F7FDF" w:rsidRPr="006B72EC" w:rsidRDefault="004F7FDF" w:rsidP="004F7FDF">
      <w:pPr>
        <w:rPr>
          <w:noProof/>
        </w:rPr>
      </w:pPr>
      <w:r w:rsidRPr="006B72EC">
        <w:rPr>
          <w:noProof/>
        </w:rPr>
        <w:t>Neuvoston pääsihteeristö laatii valtakirjan, jossa Euroopan komission nimeämä henkilö (nimeämät henkilöt) valtuutetaan allekirjoittamaan sopimus sillä varauksella, että sopimuksen tekeminen saatetaan päätökseen.</w:t>
      </w:r>
    </w:p>
    <w:p w14:paraId="5152667E" w14:textId="77777777" w:rsidR="00A94098" w:rsidRPr="006B72EC" w:rsidRDefault="00A94098" w:rsidP="00197315">
      <w:pPr>
        <w:pStyle w:val="Titrearticle"/>
        <w:keepNext w:val="0"/>
        <w:rPr>
          <w:noProof/>
        </w:rPr>
      </w:pPr>
      <w:r w:rsidRPr="006B72EC">
        <w:rPr>
          <w:noProof/>
        </w:rPr>
        <w:t>3 artikla</w:t>
      </w:r>
    </w:p>
    <w:p w14:paraId="6132C1F8" w14:textId="77777777" w:rsidR="00A94098" w:rsidRPr="006B72EC" w:rsidRDefault="00A94098" w:rsidP="00197315">
      <w:pPr>
        <w:keepLines/>
        <w:rPr>
          <w:noProof/>
        </w:rPr>
      </w:pPr>
      <w:r w:rsidRPr="006B72EC">
        <w:rPr>
          <w:noProof/>
        </w:rPr>
        <w:t>Tämä päätös tulee voimaan päivänä, jona se hyväksytään.</w:t>
      </w:r>
    </w:p>
    <w:p w14:paraId="73482AE5" w14:textId="77777777" w:rsidR="00A94098" w:rsidRPr="006B72EC" w:rsidRDefault="00A94098" w:rsidP="009E0B6A">
      <w:pPr>
        <w:keepNext/>
        <w:keepLines/>
        <w:rPr>
          <w:noProof/>
        </w:rPr>
      </w:pPr>
    </w:p>
    <w:p w14:paraId="32A2914C" w14:textId="529EB045" w:rsidR="00A94098" w:rsidRPr="006B72EC" w:rsidRDefault="00220E1E" w:rsidP="009E0B6A">
      <w:pPr>
        <w:pStyle w:val="Fait"/>
        <w:rPr>
          <w:noProof/>
        </w:rPr>
      </w:pPr>
      <w:r w:rsidRPr="00220E1E">
        <w:t>Tehty Brysselissä</w:t>
      </w:r>
    </w:p>
    <w:p w14:paraId="21ACDF10" w14:textId="77777777" w:rsidR="00A94098" w:rsidRPr="006B72EC" w:rsidRDefault="00A94098" w:rsidP="009E0B6A">
      <w:pPr>
        <w:pStyle w:val="Institutionquisigne"/>
        <w:rPr>
          <w:noProof/>
        </w:rPr>
      </w:pPr>
      <w:r w:rsidRPr="006B72EC">
        <w:rPr>
          <w:noProof/>
        </w:rPr>
        <w:tab/>
        <w:t>Neuvoston puolesta</w:t>
      </w:r>
    </w:p>
    <w:p w14:paraId="7FF6231A" w14:textId="77777777" w:rsidR="00A94098" w:rsidRPr="006B72EC" w:rsidRDefault="00A94098" w:rsidP="00A94098">
      <w:pPr>
        <w:pStyle w:val="Personnequisigne"/>
        <w:rPr>
          <w:noProof/>
        </w:rPr>
      </w:pPr>
      <w:r w:rsidRPr="006B72EC">
        <w:rPr>
          <w:noProof/>
        </w:rPr>
        <w:tab/>
        <w:t>Puheenjohtaja</w:t>
      </w:r>
    </w:p>
    <w:sectPr w:rsidR="00A94098" w:rsidRPr="006B72EC" w:rsidSect="003C3DF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1E424" w14:textId="77777777" w:rsidR="00A94098" w:rsidRDefault="00A94098" w:rsidP="00A94098">
      <w:pPr>
        <w:spacing w:before="0" w:after="0"/>
      </w:pPr>
      <w:r>
        <w:separator/>
      </w:r>
    </w:p>
  </w:endnote>
  <w:endnote w:type="continuationSeparator" w:id="0">
    <w:p w14:paraId="2832D331" w14:textId="77777777" w:rsidR="00A94098" w:rsidRDefault="00A94098" w:rsidP="00A940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A9A11" w14:textId="3AA9B1F9" w:rsidR="006B72EC" w:rsidRPr="003C3DF3" w:rsidRDefault="003C3DF3" w:rsidP="003C3DF3">
    <w:pPr>
      <w:pStyle w:val="Footer"/>
      <w:rPr>
        <w:rFonts w:ascii="Arial" w:hAnsi="Arial" w:cs="Arial"/>
        <w:b/>
        <w:sz w:val="48"/>
      </w:rPr>
    </w:pPr>
    <w:r w:rsidRPr="003C3DF3">
      <w:rPr>
        <w:rFonts w:ascii="Arial" w:hAnsi="Arial" w:cs="Arial"/>
        <w:b/>
        <w:sz w:val="48"/>
      </w:rPr>
      <w:t>FI</w:t>
    </w:r>
    <w:r w:rsidRPr="003C3DF3">
      <w:rPr>
        <w:rFonts w:ascii="Arial" w:hAnsi="Arial" w:cs="Arial"/>
        <w:b/>
        <w:sz w:val="48"/>
      </w:rPr>
      <w:tab/>
    </w:r>
    <w:r w:rsidRPr="003C3DF3">
      <w:rPr>
        <w:rFonts w:ascii="Arial" w:hAnsi="Arial" w:cs="Arial"/>
        <w:b/>
        <w:sz w:val="48"/>
      </w:rPr>
      <w:tab/>
    </w:r>
    <w:r w:rsidRPr="003C3DF3">
      <w:tab/>
    </w:r>
    <w:r w:rsidRPr="003C3DF3">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3621" w14:textId="75DD6CD1" w:rsidR="003C3DF3" w:rsidRPr="003C3DF3" w:rsidRDefault="003C3DF3" w:rsidP="003C3DF3">
    <w:pPr>
      <w:pStyle w:val="Footer"/>
      <w:rPr>
        <w:rFonts w:ascii="Arial" w:hAnsi="Arial" w:cs="Arial"/>
        <w:b/>
        <w:sz w:val="48"/>
      </w:rPr>
    </w:pPr>
    <w:r w:rsidRPr="003C3DF3">
      <w:rPr>
        <w:rFonts w:ascii="Arial" w:hAnsi="Arial" w:cs="Arial"/>
        <w:b/>
        <w:sz w:val="48"/>
      </w:rPr>
      <w:t>FI</w:t>
    </w:r>
    <w:r w:rsidRPr="003C3DF3">
      <w:rPr>
        <w:rFonts w:ascii="Arial" w:hAnsi="Arial" w:cs="Arial"/>
        <w:b/>
        <w:sz w:val="48"/>
      </w:rPr>
      <w:tab/>
    </w:r>
    <w:r>
      <w:fldChar w:fldCharType="begin"/>
    </w:r>
    <w:r>
      <w:instrText xml:space="preserve"> PAGE  \* MERGEFORMAT </w:instrText>
    </w:r>
    <w:r>
      <w:fldChar w:fldCharType="separate"/>
    </w:r>
    <w:r w:rsidR="009E0B6A">
      <w:rPr>
        <w:noProof/>
      </w:rPr>
      <w:t>6</w:t>
    </w:r>
    <w:r>
      <w:fldChar w:fldCharType="end"/>
    </w:r>
    <w:r>
      <w:tab/>
    </w:r>
    <w:r w:rsidRPr="003C3DF3">
      <w:tab/>
    </w:r>
    <w:r w:rsidRPr="003C3DF3">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2B9ED" w14:textId="77777777" w:rsidR="003C3DF3" w:rsidRPr="003C3DF3" w:rsidRDefault="003C3DF3" w:rsidP="003C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F6529" w14:textId="77777777" w:rsidR="00A94098" w:rsidRDefault="00A94098" w:rsidP="00A94098">
      <w:pPr>
        <w:spacing w:before="0" w:after="0"/>
      </w:pPr>
      <w:r>
        <w:separator/>
      </w:r>
    </w:p>
  </w:footnote>
  <w:footnote w:type="continuationSeparator" w:id="0">
    <w:p w14:paraId="295665B9" w14:textId="77777777" w:rsidR="00A94098" w:rsidRDefault="00A94098" w:rsidP="00A94098">
      <w:pPr>
        <w:spacing w:before="0" w:after="0"/>
      </w:pPr>
      <w:r>
        <w:continuationSeparator/>
      </w:r>
    </w:p>
  </w:footnote>
  <w:footnote w:id="1">
    <w:p w14:paraId="7C4776CD" w14:textId="17A82EF9" w:rsidR="00525BE3" w:rsidRPr="00D64D3D" w:rsidRDefault="00525BE3" w:rsidP="00525BE3">
      <w:pPr>
        <w:pStyle w:val="FootnoteText"/>
      </w:pPr>
      <w:r>
        <w:rPr>
          <w:rStyle w:val="FootnoteReference"/>
        </w:rPr>
        <w:footnoteRef/>
      </w:r>
      <w:r>
        <w:tab/>
        <w:t xml:space="preserve">Hyväksytty neuvostossa 22 päivänä maaliskuuta 2016 ja 19 päivänä maaliskuuta 2018. </w:t>
      </w:r>
    </w:p>
  </w:footnote>
  <w:footnote w:id="2">
    <w:p w14:paraId="5CA58810" w14:textId="631DF0DC" w:rsidR="00EB7C65" w:rsidRPr="00DA204B" w:rsidRDefault="00EB7C65" w:rsidP="00EB7C65">
      <w:pPr>
        <w:pStyle w:val="FootnoteText"/>
        <w:ind w:left="142" w:hanging="142"/>
      </w:pPr>
      <w:r>
        <w:rPr>
          <w:rStyle w:val="FootnoteReference"/>
        </w:rPr>
        <w:footnoteRef/>
      </w:r>
      <w:r>
        <w:tab/>
        <w:t>Neuvoston päätös 98/392/EY, tehty 23 päivänä maaliskuuta 1998, 10 päivänä joulukuuta 1982 tehdyn Yhdistyneiden Kansakuntien merioikeusyleissopimuksen ja sen XI osan soveltamiseen liittyvän 28 päivänä heinäkuuta 1994 tehdyn sopimuksen tekemisestä Euroopan yhteisön puolesta (EYVL L 179, 23.6.1998,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142AE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B4A37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7C893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C56EF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6 12:01: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58F374A-13F5-4407-86BF-BD3528F6A7FE"/>
    <w:docVar w:name="LW_COVERPAGE_TYPE" w:val="1"/>
    <w:docVar w:name="LW_CROSSREFERENCE" w:val="&lt;UNUSED&gt;"/>
    <w:docVar w:name="LW_DocType" w:val="COM"/>
    <w:docVar w:name="LW_EMISSION" w:val="30.6.2023"/>
    <w:docVar w:name="LW_EMISSION_ISODATE" w:val="2023-06-30"/>
    <w:docVar w:name="LW_EMISSION_LOCATION" w:val="BRX"/>
    <w:docVar w:name="LW_EMISSION_PREFIX" w:val="Bryssel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204"/>
    <w:docVar w:name="LW_REF.II.NEW.CP_YEAR" w:val="2023"/>
    <w:docVar w:name="LW_REF.INST.NEW" w:val="COM"/>
    <w:docVar w:name="LW_REF.INST.NEW_ADOPTED" w:val="final"/>
    <w:docVar w:name="LW_REF.INST.NEW_TEXT" w:val="(2023) 3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Yhdistyneiden Kansakuntien merioikeusyleissopimuksen mukaisen meren biologisen monimuotoisuuden säilyttämistä ja kestävää käyttöä koskevan sopimuksen allekirjoittamisesta Euroopan unionin puolesta"/>
    <w:docVar w:name="LW_TYPE.DOC.CP" w:val="NEUVOSTON PÄÄTÖS"/>
    <w:docVar w:name="LwApiVersions" w:val="LW4CoDe 1.23.2.0; LW 8.0, Build 20211117"/>
  </w:docVars>
  <w:rsids>
    <w:rsidRoot w:val="00A94098"/>
    <w:rsid w:val="000031EA"/>
    <w:rsid w:val="00017AED"/>
    <w:rsid w:val="000209AB"/>
    <w:rsid w:val="00043EE9"/>
    <w:rsid w:val="000515E2"/>
    <w:rsid w:val="00062054"/>
    <w:rsid w:val="00064969"/>
    <w:rsid w:val="00090774"/>
    <w:rsid w:val="000D27DD"/>
    <w:rsid w:val="000D72C7"/>
    <w:rsid w:val="000E594E"/>
    <w:rsid w:val="00102D97"/>
    <w:rsid w:val="0010397D"/>
    <w:rsid w:val="001065F5"/>
    <w:rsid w:val="001068B3"/>
    <w:rsid w:val="001238EF"/>
    <w:rsid w:val="0012539C"/>
    <w:rsid w:val="00180DEF"/>
    <w:rsid w:val="00182214"/>
    <w:rsid w:val="00183CE3"/>
    <w:rsid w:val="00197613"/>
    <w:rsid w:val="00197B7C"/>
    <w:rsid w:val="001B514E"/>
    <w:rsid w:val="001B58BE"/>
    <w:rsid w:val="001C5623"/>
    <w:rsid w:val="00220E1E"/>
    <w:rsid w:val="00233DC7"/>
    <w:rsid w:val="00247779"/>
    <w:rsid w:val="00261E36"/>
    <w:rsid w:val="00272F0E"/>
    <w:rsid w:val="00285BEE"/>
    <w:rsid w:val="00290717"/>
    <w:rsid w:val="002932E9"/>
    <w:rsid w:val="0029533F"/>
    <w:rsid w:val="002966E2"/>
    <w:rsid w:val="002B29BF"/>
    <w:rsid w:val="002B30AF"/>
    <w:rsid w:val="00317D80"/>
    <w:rsid w:val="00323584"/>
    <w:rsid w:val="0033344A"/>
    <w:rsid w:val="00357F4A"/>
    <w:rsid w:val="003A21E1"/>
    <w:rsid w:val="003A7523"/>
    <w:rsid w:val="003B3D05"/>
    <w:rsid w:val="003C3DF3"/>
    <w:rsid w:val="003C3EF1"/>
    <w:rsid w:val="003D6F6F"/>
    <w:rsid w:val="004109ED"/>
    <w:rsid w:val="004137C7"/>
    <w:rsid w:val="0042648E"/>
    <w:rsid w:val="00466FFB"/>
    <w:rsid w:val="00476056"/>
    <w:rsid w:val="004915BB"/>
    <w:rsid w:val="004936D2"/>
    <w:rsid w:val="00497958"/>
    <w:rsid w:val="004D1108"/>
    <w:rsid w:val="004E3F9B"/>
    <w:rsid w:val="004F5887"/>
    <w:rsid w:val="004F590D"/>
    <w:rsid w:val="004F7AE2"/>
    <w:rsid w:val="004F7FDF"/>
    <w:rsid w:val="00525BE3"/>
    <w:rsid w:val="00562044"/>
    <w:rsid w:val="00566525"/>
    <w:rsid w:val="00566DBA"/>
    <w:rsid w:val="00586858"/>
    <w:rsid w:val="005A7B9C"/>
    <w:rsid w:val="005B12A1"/>
    <w:rsid w:val="005B1EB6"/>
    <w:rsid w:val="005D166D"/>
    <w:rsid w:val="005E0921"/>
    <w:rsid w:val="005E5F53"/>
    <w:rsid w:val="006042CB"/>
    <w:rsid w:val="006238A6"/>
    <w:rsid w:val="00624C33"/>
    <w:rsid w:val="0064214B"/>
    <w:rsid w:val="00644475"/>
    <w:rsid w:val="00651D78"/>
    <w:rsid w:val="00661719"/>
    <w:rsid w:val="00662D1A"/>
    <w:rsid w:val="00687DDD"/>
    <w:rsid w:val="006B72EC"/>
    <w:rsid w:val="006C604B"/>
    <w:rsid w:val="0071115D"/>
    <w:rsid w:val="00711EC2"/>
    <w:rsid w:val="00721407"/>
    <w:rsid w:val="007220BA"/>
    <w:rsid w:val="0072374A"/>
    <w:rsid w:val="00724E05"/>
    <w:rsid w:val="0074232D"/>
    <w:rsid w:val="00755209"/>
    <w:rsid w:val="00756417"/>
    <w:rsid w:val="007700A6"/>
    <w:rsid w:val="00773331"/>
    <w:rsid w:val="007932EF"/>
    <w:rsid w:val="007C7595"/>
    <w:rsid w:val="007C7D51"/>
    <w:rsid w:val="007D0872"/>
    <w:rsid w:val="007E05B0"/>
    <w:rsid w:val="007E6A54"/>
    <w:rsid w:val="0080635A"/>
    <w:rsid w:val="00813399"/>
    <w:rsid w:val="00815333"/>
    <w:rsid w:val="008160D1"/>
    <w:rsid w:val="00817067"/>
    <w:rsid w:val="00817CB8"/>
    <w:rsid w:val="0082696B"/>
    <w:rsid w:val="008274A1"/>
    <w:rsid w:val="00843FBC"/>
    <w:rsid w:val="0086403E"/>
    <w:rsid w:val="00872574"/>
    <w:rsid w:val="008743C2"/>
    <w:rsid w:val="00874D22"/>
    <w:rsid w:val="00890C51"/>
    <w:rsid w:val="0089338B"/>
    <w:rsid w:val="0089598C"/>
    <w:rsid w:val="00896B0A"/>
    <w:rsid w:val="008A2914"/>
    <w:rsid w:val="008D341C"/>
    <w:rsid w:val="008D471D"/>
    <w:rsid w:val="008E4730"/>
    <w:rsid w:val="008E4D8E"/>
    <w:rsid w:val="00902B98"/>
    <w:rsid w:val="00926115"/>
    <w:rsid w:val="00945000"/>
    <w:rsid w:val="00946E41"/>
    <w:rsid w:val="00990198"/>
    <w:rsid w:val="009979AA"/>
    <w:rsid w:val="009C36CA"/>
    <w:rsid w:val="009C63F6"/>
    <w:rsid w:val="009E0B6A"/>
    <w:rsid w:val="009E2C61"/>
    <w:rsid w:val="009F0ACB"/>
    <w:rsid w:val="009F2BD6"/>
    <w:rsid w:val="00A13DE6"/>
    <w:rsid w:val="00A3116A"/>
    <w:rsid w:val="00A351F1"/>
    <w:rsid w:val="00A551E0"/>
    <w:rsid w:val="00A67259"/>
    <w:rsid w:val="00A84782"/>
    <w:rsid w:val="00A85E5E"/>
    <w:rsid w:val="00A93C14"/>
    <w:rsid w:val="00A94098"/>
    <w:rsid w:val="00AB3D09"/>
    <w:rsid w:val="00AB50D9"/>
    <w:rsid w:val="00AC5E07"/>
    <w:rsid w:val="00AD1C74"/>
    <w:rsid w:val="00AE7834"/>
    <w:rsid w:val="00B1529A"/>
    <w:rsid w:val="00B16CC4"/>
    <w:rsid w:val="00B17253"/>
    <w:rsid w:val="00B37F5E"/>
    <w:rsid w:val="00B56D6D"/>
    <w:rsid w:val="00B7175C"/>
    <w:rsid w:val="00B92641"/>
    <w:rsid w:val="00B945E6"/>
    <w:rsid w:val="00B94C9D"/>
    <w:rsid w:val="00BB2226"/>
    <w:rsid w:val="00C05A00"/>
    <w:rsid w:val="00C12301"/>
    <w:rsid w:val="00C24637"/>
    <w:rsid w:val="00C31161"/>
    <w:rsid w:val="00C3444F"/>
    <w:rsid w:val="00C4304F"/>
    <w:rsid w:val="00C558F3"/>
    <w:rsid w:val="00C7212A"/>
    <w:rsid w:val="00C764ED"/>
    <w:rsid w:val="00C9564F"/>
    <w:rsid w:val="00CA4360"/>
    <w:rsid w:val="00CB348A"/>
    <w:rsid w:val="00CB7131"/>
    <w:rsid w:val="00CE355B"/>
    <w:rsid w:val="00CE5DD9"/>
    <w:rsid w:val="00CF7F35"/>
    <w:rsid w:val="00D024C0"/>
    <w:rsid w:val="00D1150F"/>
    <w:rsid w:val="00D20381"/>
    <w:rsid w:val="00D2178E"/>
    <w:rsid w:val="00D34575"/>
    <w:rsid w:val="00D35D1B"/>
    <w:rsid w:val="00D549B8"/>
    <w:rsid w:val="00D9735C"/>
    <w:rsid w:val="00DA204B"/>
    <w:rsid w:val="00DA4BA4"/>
    <w:rsid w:val="00DB4B4C"/>
    <w:rsid w:val="00DC1316"/>
    <w:rsid w:val="00DE6134"/>
    <w:rsid w:val="00E22251"/>
    <w:rsid w:val="00E274B4"/>
    <w:rsid w:val="00E32ABC"/>
    <w:rsid w:val="00E34C4E"/>
    <w:rsid w:val="00E517F0"/>
    <w:rsid w:val="00E579D4"/>
    <w:rsid w:val="00E95F5B"/>
    <w:rsid w:val="00EB7BDE"/>
    <w:rsid w:val="00EB7C65"/>
    <w:rsid w:val="00ED0368"/>
    <w:rsid w:val="00EF5AA4"/>
    <w:rsid w:val="00F11259"/>
    <w:rsid w:val="00F13D5E"/>
    <w:rsid w:val="00F209A0"/>
    <w:rsid w:val="00F22389"/>
    <w:rsid w:val="00F33133"/>
    <w:rsid w:val="00F45640"/>
    <w:rsid w:val="00F45AE6"/>
    <w:rsid w:val="00F51C07"/>
    <w:rsid w:val="00F74055"/>
    <w:rsid w:val="00FA2610"/>
    <w:rsid w:val="00FB1721"/>
    <w:rsid w:val="00FB47A0"/>
    <w:rsid w:val="00FC38F8"/>
    <w:rsid w:val="00FD12C9"/>
    <w:rsid w:val="00FD1D36"/>
    <w:rsid w:val="00FE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9F1688"/>
  <w15:docId w15:val="{DD93CE3B-20A1-4327-B2BC-0C15B1B4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3D05"/>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017AED"/>
    <w:pPr>
      <w:numPr>
        <w:numId w:val="1"/>
      </w:numPr>
      <w:contextualSpacing/>
    </w:pPr>
  </w:style>
  <w:style w:type="paragraph" w:styleId="ListBullet2">
    <w:name w:val="List Bullet 2"/>
    <w:basedOn w:val="Normal"/>
    <w:uiPriority w:val="99"/>
    <w:semiHidden/>
    <w:unhideWhenUsed/>
    <w:rsid w:val="00017AED"/>
    <w:pPr>
      <w:numPr>
        <w:numId w:val="2"/>
      </w:numPr>
      <w:contextualSpacing/>
    </w:pPr>
  </w:style>
  <w:style w:type="paragraph" w:styleId="ListBullet3">
    <w:name w:val="List Bullet 3"/>
    <w:basedOn w:val="Normal"/>
    <w:uiPriority w:val="99"/>
    <w:semiHidden/>
    <w:unhideWhenUsed/>
    <w:rsid w:val="00017AED"/>
    <w:pPr>
      <w:numPr>
        <w:numId w:val="3"/>
      </w:numPr>
      <w:contextualSpacing/>
    </w:pPr>
  </w:style>
  <w:style w:type="paragraph" w:styleId="ListBullet4">
    <w:name w:val="List Bullet 4"/>
    <w:basedOn w:val="Normal"/>
    <w:uiPriority w:val="99"/>
    <w:semiHidden/>
    <w:unhideWhenUsed/>
    <w:rsid w:val="00017AED"/>
    <w:pPr>
      <w:numPr>
        <w:numId w:val="4"/>
      </w:numPr>
      <w:contextualSpacing/>
    </w:pPr>
  </w:style>
  <w:style w:type="character" w:styleId="CommentReference">
    <w:name w:val="annotation reference"/>
    <w:basedOn w:val="DefaultParagraphFont"/>
    <w:uiPriority w:val="99"/>
    <w:semiHidden/>
    <w:unhideWhenUsed/>
    <w:rsid w:val="004F7FDF"/>
    <w:rPr>
      <w:sz w:val="16"/>
    </w:rPr>
  </w:style>
  <w:style w:type="paragraph" w:styleId="CommentText">
    <w:name w:val="annotation text"/>
    <w:basedOn w:val="Normal"/>
    <w:link w:val="CommentTextChar"/>
    <w:uiPriority w:val="99"/>
    <w:semiHidden/>
    <w:unhideWhenUsed/>
    <w:rsid w:val="004F7FDF"/>
    <w:rPr>
      <w:sz w:val="20"/>
    </w:rPr>
  </w:style>
  <w:style w:type="character" w:customStyle="1" w:styleId="CommentTextChar">
    <w:name w:val="Comment Text Char"/>
    <w:basedOn w:val="DefaultParagraphFont"/>
    <w:link w:val="CommentText"/>
    <w:uiPriority w:val="99"/>
    <w:semiHidden/>
    <w:rsid w:val="004F7FD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4F7FDF"/>
    <w:rPr>
      <w:b/>
    </w:rPr>
  </w:style>
  <w:style w:type="character" w:customStyle="1" w:styleId="CommentSubjectChar">
    <w:name w:val="Comment Subject Char"/>
    <w:basedOn w:val="CommentTextChar"/>
    <w:link w:val="CommentSubject"/>
    <w:uiPriority w:val="99"/>
    <w:semiHidden/>
    <w:rsid w:val="004F7FDF"/>
    <w:rPr>
      <w:rFonts w:ascii="Times New Roman" w:hAnsi="Times New Roman" w:cs="Times New Roman"/>
      <w:b/>
      <w:sz w:val="20"/>
    </w:rPr>
  </w:style>
  <w:style w:type="paragraph" w:styleId="ListParagraph">
    <w:name w:val="List Paragraph"/>
    <w:basedOn w:val="Normal"/>
    <w:uiPriority w:val="34"/>
    <w:qFormat/>
    <w:rsid w:val="00B1529A"/>
    <w:pPr>
      <w:ind w:left="720"/>
      <w:contextualSpacing/>
    </w:pPr>
  </w:style>
  <w:style w:type="paragraph" w:customStyle="1" w:styleId="text10">
    <w:name w:val="text1"/>
    <w:basedOn w:val="Normal"/>
    <w:rsid w:val="00261E36"/>
    <w:pPr>
      <w:spacing w:before="100" w:beforeAutospacing="1" w:after="100" w:afterAutospacing="1"/>
      <w:jc w:val="left"/>
    </w:pPr>
  </w:style>
  <w:style w:type="paragraph" w:styleId="BalloonText">
    <w:name w:val="Balloon Text"/>
    <w:basedOn w:val="Normal"/>
    <w:link w:val="BalloonTextChar"/>
    <w:uiPriority w:val="99"/>
    <w:semiHidden/>
    <w:unhideWhenUsed/>
    <w:rsid w:val="001B514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1B514E"/>
    <w:rPr>
      <w:rFonts w:ascii="Segoe UI" w:hAnsi="Segoe UI" w:cs="Segoe UI"/>
      <w:sz w:val="18"/>
    </w:rPr>
  </w:style>
  <w:style w:type="character" w:styleId="Hyperlink">
    <w:name w:val="Hyperlink"/>
    <w:basedOn w:val="DefaultParagraphFont"/>
    <w:uiPriority w:val="99"/>
    <w:unhideWhenUsed/>
    <w:rsid w:val="00890C51"/>
    <w:rPr>
      <w:color w:val="0000FF" w:themeColor="hyperlink"/>
      <w:u w:val="single"/>
    </w:rPr>
  </w:style>
  <w:style w:type="character" w:customStyle="1" w:styleId="UnresolvedMention">
    <w:name w:val="Unresolved Mention"/>
    <w:basedOn w:val="DefaultParagraphFont"/>
    <w:uiPriority w:val="99"/>
    <w:semiHidden/>
    <w:unhideWhenUsed/>
    <w:rsid w:val="00A13DE6"/>
    <w:rPr>
      <w:color w:val="605E5C"/>
      <w:shd w:val="clear" w:color="auto" w:fill="E1DFDD"/>
    </w:rPr>
  </w:style>
  <w:style w:type="paragraph" w:styleId="Header">
    <w:name w:val="header"/>
    <w:basedOn w:val="Normal"/>
    <w:link w:val="HeaderChar"/>
    <w:uiPriority w:val="99"/>
    <w:unhideWhenUsed/>
    <w:rsid w:val="003C3DF3"/>
    <w:pPr>
      <w:tabs>
        <w:tab w:val="center" w:pos="4535"/>
        <w:tab w:val="right" w:pos="9071"/>
      </w:tabs>
      <w:spacing w:before="0"/>
    </w:pPr>
  </w:style>
  <w:style w:type="character" w:customStyle="1" w:styleId="HeaderChar">
    <w:name w:val="Header Char"/>
    <w:basedOn w:val="DefaultParagraphFont"/>
    <w:link w:val="Header"/>
    <w:uiPriority w:val="99"/>
    <w:rsid w:val="003C3DF3"/>
    <w:rPr>
      <w:rFonts w:ascii="Times New Roman" w:hAnsi="Times New Roman" w:cs="Times New Roman"/>
      <w:sz w:val="24"/>
      <w:lang w:val="fi-FI"/>
    </w:rPr>
  </w:style>
  <w:style w:type="paragraph" w:styleId="Footer">
    <w:name w:val="footer"/>
    <w:basedOn w:val="Normal"/>
    <w:link w:val="FooterChar"/>
    <w:uiPriority w:val="99"/>
    <w:unhideWhenUsed/>
    <w:rsid w:val="003C3DF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C3DF3"/>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C3DF3"/>
    <w:pPr>
      <w:tabs>
        <w:tab w:val="center" w:pos="7285"/>
        <w:tab w:val="right" w:pos="14003"/>
      </w:tabs>
      <w:spacing w:before="0"/>
    </w:pPr>
  </w:style>
  <w:style w:type="paragraph" w:customStyle="1" w:styleId="FooterLandscape">
    <w:name w:val="FooterLandscape"/>
    <w:basedOn w:val="Normal"/>
    <w:rsid w:val="003C3DF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C3D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C3DF3"/>
    <w:pPr>
      <w:spacing w:before="0"/>
      <w:jc w:val="right"/>
    </w:pPr>
    <w:rPr>
      <w:sz w:val="28"/>
    </w:rPr>
  </w:style>
  <w:style w:type="paragraph" w:customStyle="1" w:styleId="FooterSensitivity">
    <w:name w:val="Footer Sensitivity"/>
    <w:basedOn w:val="Normal"/>
    <w:rsid w:val="003C3D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7212A"/>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BEDC-66BA-426B-9DFE-0E39539D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7</Pages>
  <Words>1434</Words>
  <Characters>13043</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53</cp:revision>
  <dcterms:created xsi:type="dcterms:W3CDTF">2023-06-15T12:58:00Z</dcterms:created>
  <dcterms:modified xsi:type="dcterms:W3CDTF">2023-07-06T10:01:00Z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2023-04-14T00:18:23Z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0ede2adc-094f-4425-8c93-2bfd29e13aab</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