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A469D5" w14:textId="43014B57" w:rsidR="009C0E63" w:rsidRDefault="0004169F" w:rsidP="0004169F">
      <w:pPr>
        <w:pStyle w:val="Pagedecouverture"/>
        <w:rPr>
          <w:noProof/>
        </w:rPr>
      </w:pPr>
      <w:r>
        <w:rPr>
          <w:noProof/>
        </w:rPr>
        <w:pict w14:anchorId="7DA23C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8C680090-8D17-4236-B8F3-E91F804370F1" style="width:455.25pt;height:383.25pt">
            <v:imagedata r:id="rId11" o:title=""/>
          </v:shape>
        </w:pict>
      </w:r>
    </w:p>
    <w:p w14:paraId="157CF649" w14:textId="77777777" w:rsidR="009C0E63" w:rsidRDefault="009C0E63" w:rsidP="009C0E63">
      <w:pPr>
        <w:rPr>
          <w:noProof/>
        </w:rPr>
        <w:sectPr w:rsidR="009C0E63" w:rsidSect="0004169F">
          <w:footerReference w:type="default" r:id="rId12"/>
          <w:pgSz w:w="11907" w:h="16839"/>
          <w:pgMar w:top="1134" w:right="1417" w:bottom="1134" w:left="1417" w:header="709" w:footer="709" w:gutter="0"/>
          <w:pgNumType w:start="0"/>
          <w:cols w:space="720"/>
          <w:docGrid w:linePitch="360"/>
        </w:sectPr>
      </w:pPr>
    </w:p>
    <w:p w14:paraId="0A043775" w14:textId="77777777" w:rsidR="00F92B6D" w:rsidRPr="009C0E63" w:rsidRDefault="00F92B6D" w:rsidP="00F92B6D">
      <w:pPr>
        <w:rPr>
          <w:noProof/>
        </w:rPr>
        <w:sectPr w:rsidR="00F92B6D" w:rsidRPr="009C0E63" w:rsidSect="0004169F">
          <w:footerReference w:type="default" r:id="rId13"/>
          <w:footerReference w:type="first" r:id="rId14"/>
          <w:pgSz w:w="11907" w:h="16839"/>
          <w:pgMar w:top="1134" w:right="1417" w:bottom="1134" w:left="1417" w:header="709" w:footer="709" w:gutter="0"/>
          <w:pgNumType w:start="0"/>
          <w:cols w:space="720"/>
          <w:docGrid w:linePitch="360"/>
        </w:sectPr>
      </w:pPr>
      <w:bookmarkStart w:id="0" w:name="_GoBack"/>
      <w:bookmarkEnd w:id="0"/>
    </w:p>
    <w:p w14:paraId="5ED038B4" w14:textId="77777777" w:rsidR="00F92B6D" w:rsidRPr="009C0E63" w:rsidRDefault="00F92B6D" w:rsidP="00081E69">
      <w:pPr>
        <w:pStyle w:val="Exposdesmotifstitre"/>
        <w:rPr>
          <w:noProof/>
        </w:rPr>
      </w:pPr>
      <w:r w:rsidRPr="009C0E63">
        <w:rPr>
          <w:noProof/>
        </w:rPr>
        <w:t>EXPUNERE DE MOTIVE</w:t>
      </w:r>
    </w:p>
    <w:p w14:paraId="751C29E1" w14:textId="77777777" w:rsidR="00F92B6D" w:rsidRPr="009C0E63" w:rsidRDefault="00F92B6D" w:rsidP="00081E69">
      <w:pPr>
        <w:pStyle w:val="ManualHeading1"/>
        <w:rPr>
          <w:noProof/>
        </w:rPr>
      </w:pPr>
      <w:r w:rsidRPr="009C0E63">
        <w:rPr>
          <w:noProof/>
        </w:rPr>
        <w:t>1.</w:t>
      </w:r>
      <w:r w:rsidRPr="009C0E63">
        <w:rPr>
          <w:noProof/>
        </w:rPr>
        <w:tab/>
        <w:t>CONTEXTUL PROPUNERII</w:t>
      </w:r>
    </w:p>
    <w:p w14:paraId="547F8A6F" w14:textId="77777777" w:rsidR="00F92B6D" w:rsidRPr="009C0E63" w:rsidRDefault="00F92B6D" w:rsidP="0047008C">
      <w:pPr>
        <w:pStyle w:val="ManualHeading2"/>
        <w:rPr>
          <w:noProof/>
        </w:rPr>
      </w:pPr>
      <w:r w:rsidRPr="009C0E63">
        <w:rPr>
          <w:noProof/>
          <w:u w:color="000000"/>
          <w:bdr w:val="nil"/>
        </w:rPr>
        <w:t>•</w:t>
      </w:r>
      <w:r w:rsidRPr="009C0E63">
        <w:rPr>
          <w:noProof/>
        </w:rPr>
        <w:tab/>
        <w:t>Temeiurile și obiectivele propunerii</w:t>
      </w:r>
    </w:p>
    <w:p w14:paraId="3BEE9B2B" w14:textId="77777777" w:rsidR="00747949" w:rsidRPr="009C0E63" w:rsidRDefault="00747949" w:rsidP="003D630D">
      <w:pPr>
        <w:rPr>
          <w:noProof/>
        </w:rPr>
      </w:pPr>
      <w:r w:rsidRPr="009C0E63">
        <w:rPr>
          <w:noProof/>
        </w:rPr>
        <w:t>Prezenta inițiativă, împreună cu propunerea de Regulament al Parlamentului European și al Consiliului de instituire a Codului vamal al Uniunii, a Centrului de date vamale al Uniunii Europene și a Autorității vamale a Uniunii Europene și de abrogare a Regulamentului (UE) nr. 952/2013 („revizuirea CVU”)</w:t>
      </w:r>
      <w:r w:rsidRPr="009C0E63">
        <w:rPr>
          <w:rStyle w:val="FootnoteReference"/>
          <w:noProof/>
        </w:rPr>
        <w:footnoteReference w:id="2"/>
      </w:r>
      <w:r w:rsidRPr="009C0E63">
        <w:rPr>
          <w:noProof/>
        </w:rPr>
        <w:t xml:space="preserve"> și propunerea de Directivă a Consiliului de modificare a Directivei 2006/112/CE din 28 noiembrie 2006 privind sistemul comun al taxei pe valoarea adăugată („propunerea privind TVA”)</w:t>
      </w:r>
      <w:r w:rsidRPr="009C0E63">
        <w:rPr>
          <w:rStyle w:val="FootnoteReference"/>
          <w:noProof/>
        </w:rPr>
        <w:footnoteReference w:id="3"/>
      </w:r>
      <w:r w:rsidRPr="009C0E63">
        <w:rPr>
          <w:noProof/>
        </w:rPr>
        <w:t xml:space="preserve"> fac parte dintr-o reformă amplă și cuprinzătoare a Uniunii vamale pe care Comisia a adoptat-o astăzi. </w:t>
      </w:r>
    </w:p>
    <w:p w14:paraId="4BC3881A" w14:textId="77777777" w:rsidR="00081E69" w:rsidRPr="009C0E63" w:rsidRDefault="00F26470" w:rsidP="003D630D">
      <w:pPr>
        <w:rPr>
          <w:noProof/>
        </w:rPr>
      </w:pPr>
      <w:r w:rsidRPr="009C0E63">
        <w:rPr>
          <w:noProof/>
        </w:rPr>
        <w:t>Uniunea vamală este una dintre primele realizări ale Uniunii și este esențială pentru buna funcționare a pieței unice. Ea se bazează pe Tariful vamal comun, care stabilește taxele vamale care trebuie aplicate importurilor de mărfuri din afara Uniunii, precum și procedurile comune pentru mărfurile introduse sau scoase de pe teritoriul vamal al Uniunii. Taxele vamale rezultă din politicile în materie de schimburi comerciale și comerț. Alături de alte taxe aferente comerțului cu țări terțe, taxele vamale sunt denumite resurse proprii tradiționale (RPT), reprezentând 11 % din bugetul Uniunii pentru 2022. Statele membre sunt responsabile de colectarea taxelor vamale, în conformitate cu normele stabilite prin Regulamentul Consiliului de punere în aplicare a Deciziei privind resursele proprii</w:t>
      </w:r>
      <w:r w:rsidRPr="009C0E63">
        <w:rPr>
          <w:rStyle w:val="FootnoteReference"/>
          <w:noProof/>
        </w:rPr>
        <w:footnoteReference w:id="4"/>
      </w:r>
      <w:r w:rsidRPr="009C0E63">
        <w:rPr>
          <w:noProof/>
        </w:rPr>
        <w:t>.</w:t>
      </w:r>
    </w:p>
    <w:p w14:paraId="2749323A" w14:textId="77777777" w:rsidR="0047008C" w:rsidRPr="009C0E63" w:rsidRDefault="0047008C" w:rsidP="003D630D">
      <w:pPr>
        <w:rPr>
          <w:noProof/>
        </w:rPr>
      </w:pPr>
      <w:r w:rsidRPr="009C0E63">
        <w:rPr>
          <w:noProof/>
        </w:rPr>
        <w:t>În ultimii ani, modificarea modelelor comerciale și intensificarea comerțului electronic au devenit o provocare majoră pentru autoritățile vamale. În prezent, comerțul electronic reprezintă mai mult decât dublul numărului de tranzacții comerciale tradiționale pentru doar 0,5 % din valoare</w:t>
      </w:r>
      <w:r w:rsidRPr="009C0E63">
        <w:rPr>
          <w:rStyle w:val="FootnoteReference"/>
          <w:noProof/>
        </w:rPr>
        <w:footnoteReference w:id="5"/>
      </w:r>
      <w:r w:rsidRPr="009C0E63">
        <w:rPr>
          <w:noProof/>
        </w:rPr>
        <w:t xml:space="preserve">. Acest număr mare de tranzacții cu o valoare mică îngreunează atât supravegherea corespunzătoare de către autoritățile vamale a fluxurilor comerciale online, cât și respectarea de către operatori a obligațiilor multiple de raportare pentru fiecare colet. </w:t>
      </w:r>
    </w:p>
    <w:p w14:paraId="3E189A4F" w14:textId="77777777" w:rsidR="00291C67" w:rsidRPr="009C0E63" w:rsidRDefault="0047008C" w:rsidP="003D630D">
      <w:pPr>
        <w:rPr>
          <w:noProof/>
        </w:rPr>
      </w:pPr>
      <w:bookmarkStart w:id="1" w:name="_Hlk127203932"/>
      <w:r w:rsidRPr="009C0E63">
        <w:rPr>
          <w:noProof/>
        </w:rPr>
        <w:t>Coletele cu o valoare de maximum 150 EUR care sunt trimise direct dintr-o țară terță către un destinatar din UE sunt scutite de taxe vamale</w:t>
      </w:r>
      <w:r w:rsidRPr="009C0E63">
        <w:rPr>
          <w:rStyle w:val="FootnoteReference"/>
          <w:noProof/>
        </w:rPr>
        <w:footnoteReference w:id="6"/>
      </w:r>
      <w:r w:rsidRPr="009C0E63">
        <w:rPr>
          <w:noProof/>
        </w:rPr>
        <w:t>. Scutirea de taxe vamale pentru mărfurile cu valoare redusă a fost adoptată în 1983 și a fost extinsă în 1991 și în 2008. Până la 1 iulie 2021, a existat de asemenea o scutire de TVA pentru mărfurile importate cu valoare neglijabilă (sub 22 EUR). Ambele scutiri au fost justificate de sarcina administrativă disproporționată pe care o implică gestionarea declarațiilor vamale pentru perceperea unor taxe vamale reduse și a TVA-ului pentru mărfurile cu valoare mică.</w:t>
      </w:r>
    </w:p>
    <w:p w14:paraId="50E4AE3A" w14:textId="77777777" w:rsidR="00291C67" w:rsidRPr="009C0E63" w:rsidRDefault="0047008C" w:rsidP="003D630D">
      <w:pPr>
        <w:rPr>
          <w:noProof/>
        </w:rPr>
      </w:pPr>
      <w:r w:rsidRPr="009C0E63">
        <w:rPr>
          <w:noProof/>
        </w:rPr>
        <w:t>Cu toate acestea, în 2017, odată cu adoptarea pachetului privind TVA pentru comerțul electronic, statele membre au convenit să elimine scutirea de TVA pentru mărfurile importate cu valoare redusă cu scopul de a proteja veniturile fiscale ale statelor membre, de a crea condiții de concurență echitabile pentru întreprinderile în cauză și de a reduce la minimum sarcina impusă acestora</w:t>
      </w:r>
      <w:r w:rsidRPr="009C0E63">
        <w:rPr>
          <w:rStyle w:val="FootnoteReference"/>
          <w:noProof/>
        </w:rPr>
        <w:footnoteReference w:id="7"/>
      </w:r>
      <w:r w:rsidRPr="009C0E63">
        <w:rPr>
          <w:noProof/>
        </w:rPr>
        <w:t xml:space="preserve">. Directiva prevede, de asemenea, un ghișeu unic (IOSS) pentru intermediarii din sectorul comerțului electronic care vând mărfuri din țări terțe consumatorilor europeni, permițându-le să colecteze TVA-ul la import în momentul vânzării, în loc să îl colecteze atunci când mărfurile intră pe piața Uniunii. Pentru a verifica dacă TVA-ul a fost perceput în momentul vânzării sau dacă trebuie colectat la frontieră, toate coletele trebuie declarate în vamă la sosirea în UE. În consecință, începând din iulie 2021, toate mărfurile importate sunt supuse TVA-ului și fac obiectul unei declarații vamale digitale, inclusiv mărfurile cu o valoare de maximum 150 EUR pentru care nu sunt datorate taxe vamale. </w:t>
      </w:r>
      <w:bookmarkEnd w:id="1"/>
      <w:r w:rsidRPr="009C0E63">
        <w:rPr>
          <w:noProof/>
        </w:rPr>
        <w:t>Potrivit evaluării de către Comisie</w:t>
      </w:r>
      <w:r w:rsidRPr="009C0E63">
        <w:rPr>
          <w:rStyle w:val="FootnoteReference"/>
          <w:noProof/>
        </w:rPr>
        <w:footnoteReference w:id="8"/>
      </w:r>
      <w:r w:rsidRPr="009C0E63">
        <w:rPr>
          <w:noProof/>
        </w:rPr>
        <w:t xml:space="preserve"> a normelor în materie de TVA, eliminarea scutirii de TVA pentru importurile cu valoare mică a fost un succes. În primele șase luni, statele membre au colectat 1,9 miliarde EUR sub formă de TVA, iar atât autoritățile fiscale, cât și autoritățile vamale dispun în prezent de date privind tranzacțiile de comerț electronic. </w:t>
      </w:r>
    </w:p>
    <w:p w14:paraId="6FFCC5A1" w14:textId="77777777" w:rsidR="005D309A" w:rsidRPr="009C0E63" w:rsidRDefault="00291C67" w:rsidP="003D630D">
      <w:pPr>
        <w:rPr>
          <w:noProof/>
        </w:rPr>
      </w:pPr>
      <w:r w:rsidRPr="009C0E63">
        <w:rPr>
          <w:noProof/>
        </w:rPr>
        <w:t>Cu toate acestea, diferența dintre TVA și tratamentul vamal al mărfurilor provenite din comerțul electronic</w:t>
      </w:r>
      <w:r w:rsidRPr="009C0E63">
        <w:rPr>
          <w:b/>
          <w:noProof/>
        </w:rPr>
        <w:t xml:space="preserve"> </w:t>
      </w:r>
      <w:r w:rsidRPr="009C0E63">
        <w:rPr>
          <w:noProof/>
        </w:rPr>
        <w:t xml:space="preserve">face ca sistemul să fie foarte complex pentru părțile implicate. Situația actuală este următoarea: TVA-ul se aplică tuturor mărfurilor, în timp ce taxele vamale se aplică mărfurilor cu o valoare mai mare de 150 EUR; TVA-ul este colectat și declarat în momentul vânzării de către platformele online, dar este verificat la sosire atunci când operatorii poștali și expres declară mărfurile în vamă. </w:t>
      </w:r>
    </w:p>
    <w:p w14:paraId="4F36942B" w14:textId="77777777" w:rsidR="005D309A" w:rsidRPr="009C0E63" w:rsidRDefault="005D309A" w:rsidP="003D630D">
      <w:pPr>
        <w:rPr>
          <w:noProof/>
        </w:rPr>
      </w:pPr>
      <w:r w:rsidRPr="009C0E63">
        <w:rPr>
          <w:noProof/>
        </w:rPr>
        <w:t>În plus, în pofida faptului că, începând din iulie 2021, fiecare colet este declarat la vamă, verificarea conformității cu cerințele financiare rămâne o provocare pentru autoritățile vamale. În special, menținerea scutirii de taxe vamale pentru mărfurile cu o valoare de maximum 150 EUR a lăsat deschisă posibilitatea utilizării abuzive sistematice a acestui prag prin subevaluarea și divizarea trimiterilor. Există dovezi ale unui astfel de utilizare abuzivă a pragului de 150 EUR prin subevaluarea și divizarea trimiterilor. Un studiu realizat de Copenhagen Economics în 2016 a estimat că aproximativ 65 % din trimiterile aferente comerțului electronic sunt subevaluate în materie de taxe vamale</w:t>
      </w:r>
      <w:r w:rsidRPr="009C0E63">
        <w:rPr>
          <w:rStyle w:val="FootnoteReference"/>
          <w:noProof/>
        </w:rPr>
        <w:footnoteReference w:id="9"/>
      </w:r>
      <w:r w:rsidRPr="009C0E63">
        <w:rPr>
          <w:noProof/>
        </w:rPr>
        <w:t>. În plus, în raportul său special privind procedurile de import</w:t>
      </w:r>
      <w:r w:rsidRPr="009C0E63">
        <w:rPr>
          <w:rStyle w:val="FootnoteReference"/>
          <w:noProof/>
        </w:rPr>
        <w:footnoteReference w:id="10"/>
      </w:r>
      <w:r w:rsidRPr="009C0E63">
        <w:rPr>
          <w:noProof/>
        </w:rPr>
        <w:t xml:space="preserve">, Curtea de Conturi Europeană (CCE) a concluzionat că actualele sisteme informatice de vămuire nu pot împiedica importul de mărfuri care nu sunt eligibile pentru scutirea de taxe vamale, iar acest lucru nu este compensat de controale </w:t>
      </w:r>
      <w:r w:rsidRPr="009C0E63">
        <w:rPr>
          <w:i/>
          <w:iCs/>
          <w:noProof/>
        </w:rPr>
        <w:t>ex post</w:t>
      </w:r>
      <w:r w:rsidRPr="009C0E63">
        <w:rPr>
          <w:noProof/>
        </w:rPr>
        <w:t xml:space="preserve"> și planuri de anchetă</w:t>
      </w:r>
      <w:r w:rsidRPr="009C0E63">
        <w:rPr>
          <w:rStyle w:val="FootnoteReference"/>
          <w:noProof/>
        </w:rPr>
        <w:footnoteReference w:id="11"/>
      </w:r>
      <w:r w:rsidRPr="009C0E63">
        <w:rPr>
          <w:noProof/>
        </w:rPr>
        <w:t>.</w:t>
      </w:r>
    </w:p>
    <w:p w14:paraId="7BDF1800" w14:textId="77777777" w:rsidR="00291C67" w:rsidRPr="009C0E63" w:rsidRDefault="0047008C" w:rsidP="003D630D">
      <w:pPr>
        <w:rPr>
          <w:noProof/>
        </w:rPr>
      </w:pPr>
      <w:r w:rsidRPr="009C0E63">
        <w:rPr>
          <w:noProof/>
        </w:rPr>
        <w:t xml:space="preserve">Prin urmare, concurența este denaturată. Scutirea de taxe favorizează operatorii de comerț electronic din țări terțe în detrimentul celor din comerțul tradițional și al comercianților cu amănuntul din UE, care trebuie să plătească taxe vamale atunci când importă în vrac, și încurajează înființarea de centre de distribuție pentru comerțul electronic în afara UE. </w:t>
      </w:r>
    </w:p>
    <w:p w14:paraId="38A8A4CC" w14:textId="5F00E2CF" w:rsidR="0047008C" w:rsidRPr="009C0E63" w:rsidRDefault="0047008C" w:rsidP="003D630D">
      <w:pPr>
        <w:rPr>
          <w:i/>
          <w:noProof/>
          <w:highlight w:val="yellow"/>
        </w:rPr>
      </w:pPr>
      <w:r w:rsidRPr="009C0E63">
        <w:rPr>
          <w:noProof/>
        </w:rPr>
        <w:t xml:space="preserve">Prezenta propunere se bazează pe raportul </w:t>
      </w:r>
      <w:r w:rsidRPr="009C0E63">
        <w:rPr>
          <w:b/>
          <w:noProof/>
        </w:rPr>
        <w:t xml:space="preserve">Grupului de experți eminenți </w:t>
      </w:r>
      <w:r w:rsidRPr="009C0E63">
        <w:rPr>
          <w:noProof/>
        </w:rPr>
        <w:t>privind provocările cu care se confruntă uniunea vamală</w:t>
      </w:r>
      <w:r w:rsidRPr="009C0E63">
        <w:rPr>
          <w:rStyle w:val="FootnoteReference"/>
          <w:noProof/>
        </w:rPr>
        <w:footnoteReference w:id="12"/>
      </w:r>
      <w:r w:rsidRPr="009C0E63">
        <w:rPr>
          <w:noProof/>
        </w:rPr>
        <w:t>.</w:t>
      </w:r>
      <w:r w:rsidRPr="009C0E63">
        <w:rPr>
          <w:b/>
          <w:noProof/>
        </w:rPr>
        <w:t xml:space="preserve"> </w:t>
      </w:r>
      <w:r w:rsidRPr="009C0E63">
        <w:rPr>
          <w:noProof/>
        </w:rPr>
        <w:t>Grupul de experți eminenți a recomandat, printre altele, eliminarea pragului vamal de 150 EUR pentru comerțul electronic, întrucât, prin faptul că încurajează exportatorii către Uniune să împartă trimiterile în pachete mai mici, un astfel de prag oferă stimulente eronate atât în ceea ce privește comerțul (concurența neloială), cât și durabilitatea mediului (o amprentă mai mare a emisiilor).</w:t>
      </w:r>
    </w:p>
    <w:p w14:paraId="38C6F60F" w14:textId="7ACF5A9B" w:rsidR="00D35E1C" w:rsidRPr="009C0E63" w:rsidRDefault="005D309A" w:rsidP="003D630D">
      <w:pPr>
        <w:rPr>
          <w:noProof/>
        </w:rPr>
      </w:pPr>
      <w:r w:rsidRPr="009C0E63">
        <w:rPr>
          <w:noProof/>
        </w:rPr>
        <w:t>Pentru a aborda provocarea specifică pe care o reprezintă mărfurile provenite din comerțul electronic, prezenta propunere vine în completarea propunerii de revizuire a CVU, care a fost adoptată astăzi de Comisie prin: 1) eliminarea scutirii de taxe pentru importul de mărfuri cu o valoare de maximum 150 EUR; și 2) introducerea unui tratament tarifar simplificat pentru mărfurile importate în cadrul unei tranzacții de la întreprindere la consumator (</w:t>
      </w:r>
      <w:r w:rsidRPr="009C0E63">
        <w:rPr>
          <w:i/>
          <w:iCs/>
          <w:noProof/>
        </w:rPr>
        <w:t>business-to-consumer</w:t>
      </w:r>
      <w:r w:rsidRPr="009C0E63">
        <w:rPr>
          <w:noProof/>
        </w:rPr>
        <w:t xml:space="preserve"> - B2C) care se califică drept vânzare la distanță în scopuri de TVA. Propunerea de revizuire a CVU prevede simplificări suplimentare în ceea ce privește clasificarea tarifară, valoarea în vamă și originea în vederea stabilirii taxei vamale pentru mărfurile importate în cadrul vânzărilor la distanță. Tratamentul tarifar simplificat trebuie aplicat în mod voluntar de către (presupusul) importator. Prin urmare, în cazul în care importatorul (presupus) dorește să beneficieze de niveluri tarifare preferențiale prin dovedirea caracterului originar al mărfurilor sau de niveluri ale taxelor autonome mai reduse aplicabile ori de niveluri convenționale, o poate face prin aplicarea procedurilor standard.</w:t>
      </w:r>
    </w:p>
    <w:p w14:paraId="43DA7005" w14:textId="77777777" w:rsidR="00F92B6D" w:rsidRPr="009C0E63" w:rsidRDefault="0047008C" w:rsidP="003D630D">
      <w:pPr>
        <w:rPr>
          <w:noProof/>
        </w:rPr>
      </w:pPr>
      <w:r w:rsidRPr="009C0E63">
        <w:rPr>
          <w:noProof/>
        </w:rPr>
        <w:t xml:space="preserve">Se preconizează că facilitățile propuse pentru calcularea taxei vamale vor compensa efectele eliminării pragului pentru scutirea de taxe asupra sarcinii administrative a autorităților vamale și a întreprinderilor și vor simplifica procesele și procedurile pentru operatori. </w:t>
      </w:r>
    </w:p>
    <w:p w14:paraId="2E08501A" w14:textId="77777777" w:rsidR="00F92B6D" w:rsidRPr="009C0E63" w:rsidRDefault="00F92B6D" w:rsidP="00081E69">
      <w:pPr>
        <w:pStyle w:val="ManualHeading2"/>
        <w:rPr>
          <w:noProof/>
          <w:u w:color="000000"/>
          <w:bdr w:val="nil"/>
        </w:rPr>
      </w:pPr>
      <w:r w:rsidRPr="009C0E63">
        <w:rPr>
          <w:noProof/>
          <w:u w:color="000000"/>
          <w:bdr w:val="nil"/>
        </w:rPr>
        <w:t>•</w:t>
      </w:r>
      <w:r w:rsidRPr="009C0E63">
        <w:rPr>
          <w:noProof/>
        </w:rPr>
        <w:tab/>
        <w:t>Coerența cu dispozițiile deja existente în domeniul de politică vizat</w:t>
      </w:r>
    </w:p>
    <w:p w14:paraId="0FF5B896" w14:textId="77777777" w:rsidR="00F92B6D" w:rsidRPr="009C0E63" w:rsidRDefault="001C2B0B" w:rsidP="00291C67">
      <w:pPr>
        <w:rPr>
          <w:noProof/>
        </w:rPr>
      </w:pPr>
      <w:r w:rsidRPr="009C0E63">
        <w:rPr>
          <w:noProof/>
        </w:rPr>
        <w:t>Această inițiativă este în concordanță cu Planul de acțiune vamală din 2022</w:t>
      </w:r>
      <w:r w:rsidRPr="009C0E63">
        <w:rPr>
          <w:rStyle w:val="FootnoteReference"/>
          <w:noProof/>
        </w:rPr>
        <w:footnoteReference w:id="13"/>
      </w:r>
      <w:r w:rsidRPr="009C0E63">
        <w:rPr>
          <w:noProof/>
        </w:rPr>
        <w:t xml:space="preserve"> și este subsecventă acestui plan, în cadrul căruia Comisia a identificat o serie de acțiuni pentru a realiza trecerea uniunii vamale la un nivel superior. Acțiunile s-au axat pe patru domenii principale de intervenție: gestionarea riscurilor, comerțul electronic, conformitatea și uniunea vamală care acționează ca o entitate unică. În special, în cadrul acțiunii 9, Comisia s-a străduit să examineze efectele comerțului electronic asupra colectării taxelor vamale și asupra condițiilor de concurență echitabile pentru operatorii din UE, inclusiv posibilele modalități de colectare a taxelor vamale în concordanță cu noua abordare privind colectarea TVA în cadrul ghișeului unic pentru importuri (</w:t>
      </w:r>
      <w:r w:rsidRPr="009C0E63">
        <w:rPr>
          <w:i/>
          <w:iCs/>
          <w:noProof/>
        </w:rPr>
        <w:t>Import One-Stop Shop</w:t>
      </w:r>
      <w:r w:rsidRPr="009C0E63">
        <w:rPr>
          <w:noProof/>
        </w:rPr>
        <w:t xml:space="preserve"> – IOSS).</w:t>
      </w:r>
    </w:p>
    <w:p w14:paraId="60B6FC60" w14:textId="77777777" w:rsidR="00F92B6D" w:rsidRPr="009C0E63" w:rsidRDefault="00F92B6D" w:rsidP="00081E69">
      <w:pPr>
        <w:pStyle w:val="ManualHeading2"/>
        <w:rPr>
          <w:noProof/>
        </w:rPr>
      </w:pPr>
      <w:r w:rsidRPr="009C0E63">
        <w:rPr>
          <w:noProof/>
          <w:u w:color="000000"/>
          <w:bdr w:val="nil"/>
        </w:rPr>
        <w:t>•</w:t>
      </w:r>
      <w:r w:rsidRPr="009C0E63">
        <w:rPr>
          <w:noProof/>
        </w:rPr>
        <w:tab/>
        <w:t>Coerența cu alte politici ale Uniunii</w:t>
      </w:r>
    </w:p>
    <w:p w14:paraId="66FCDD51" w14:textId="77777777" w:rsidR="001C2B0B" w:rsidRPr="009C0E63" w:rsidRDefault="001C2B0B" w:rsidP="001C2B0B">
      <w:pPr>
        <w:rPr>
          <w:noProof/>
        </w:rPr>
      </w:pPr>
      <w:r w:rsidRPr="009C0E63">
        <w:rPr>
          <w:noProof/>
        </w:rPr>
        <w:t>Prezenta inițiativă este în concordanță cu propunerea privind TVA în era digitală (</w:t>
      </w:r>
      <w:r w:rsidRPr="009C0E63">
        <w:rPr>
          <w:i/>
          <w:iCs/>
          <w:noProof/>
        </w:rPr>
        <w:t>VAT in the Digital Age</w:t>
      </w:r>
      <w:r w:rsidRPr="009C0E63">
        <w:rPr>
          <w:noProof/>
        </w:rPr>
        <w:t xml:space="preserve"> - ViDA)</w:t>
      </w:r>
      <w:r w:rsidRPr="009C0E63">
        <w:rPr>
          <w:rStyle w:val="FootnoteReference"/>
          <w:noProof/>
        </w:rPr>
        <w:footnoteReference w:id="14"/>
      </w:r>
      <w:r w:rsidRPr="009C0E63">
        <w:rPr>
          <w:noProof/>
        </w:rPr>
        <w:t>, care a fost adoptată de Comisie la 8 decembrie 2022 și este în prezent discutată în cadrul Consiliului. Propunerea privind TVA în era digitală vizează modernizarea și reconfigurarea sistemului de TVA al UE pentru a-l adapta la era digitală. Ea reprezintă un pachet amplu și multilateral de reforme, cu trei obiective principale, printre care se numără consolidarea conceptului de înregistrare unică în scopuri de TVA (</w:t>
      </w:r>
      <w:r w:rsidRPr="009C0E63">
        <w:rPr>
          <w:i/>
          <w:iCs/>
          <w:noProof/>
        </w:rPr>
        <w:t>single VAT registration</w:t>
      </w:r>
      <w:r w:rsidRPr="009C0E63">
        <w:rPr>
          <w:noProof/>
        </w:rPr>
        <w:t xml:space="preserve">, SVR) în UE. Conceptul de înregistrare unică în scopuri de TVA (SVR) în UE urmărește să introducă măsuri pentru a reduce și mai mult cazurile în care o persoană impozabilă trebuie să se înregistreze în scopuri de TVA în mai multe state membre. </w:t>
      </w:r>
    </w:p>
    <w:p w14:paraId="0DC36297" w14:textId="77777777" w:rsidR="0069504D" w:rsidRPr="009C0E63" w:rsidRDefault="001C2B0B" w:rsidP="001C2B0B">
      <w:pPr>
        <w:rPr>
          <w:noProof/>
        </w:rPr>
      </w:pPr>
      <w:r w:rsidRPr="009C0E63">
        <w:rPr>
          <w:noProof/>
        </w:rPr>
        <w:t>Pe lângă propunerea privind TVA în era digitală, al treilea element al pachetului de reformă a uniunii vamale este o propunere de modificare a Directivei TVA</w:t>
      </w:r>
      <w:r w:rsidRPr="009C0E63">
        <w:rPr>
          <w:rStyle w:val="FootnoteReference"/>
          <w:noProof/>
        </w:rPr>
        <w:footnoteReference w:id="15"/>
      </w:r>
      <w:r w:rsidRPr="009C0E63">
        <w:rPr>
          <w:noProof/>
        </w:rPr>
        <w:t xml:space="preserve"> cu scopul de a elimina pragul de 150 EUR în vederea antrenării răspunderii persoanelor impozabile care facilitează vânzarea de mărfuri la distanță și aplicarea regimului special de TVA pentru vânzările la distanță de mărfuri importate din teritorii sau țări terțe și regimul special pentru declararea și plata TVA-ului la import. Eliminarea pragului de 150 EUR pentru scutirea de taxe vamale, coroborată cu eliminarea pragului de 150 EUR pentru utilizarea IOSS, ar trebui să contribuie la reducerea cazurilor de subevaluare, protejând astfel veniturile statelor membre.</w:t>
      </w:r>
    </w:p>
    <w:p w14:paraId="1BA9FF7E" w14:textId="77777777" w:rsidR="00F92B6D" w:rsidRPr="009C0E63" w:rsidRDefault="001C2B0B" w:rsidP="00250D52">
      <w:pPr>
        <w:rPr>
          <w:noProof/>
        </w:rPr>
      </w:pPr>
      <w:r w:rsidRPr="009C0E63">
        <w:rPr>
          <w:noProof/>
        </w:rPr>
        <w:t>Inițiativa sprijină strategia UE privind creșterea durabilă</w:t>
      </w:r>
      <w:r w:rsidRPr="009C0E63">
        <w:rPr>
          <w:rStyle w:val="FootnoteReference"/>
          <w:noProof/>
        </w:rPr>
        <w:footnoteReference w:id="16"/>
      </w:r>
      <w:r w:rsidRPr="009C0E63">
        <w:rPr>
          <w:noProof/>
        </w:rPr>
        <w:t>, care se referă la proceduri îmbunătățite de colectare a impozitelor, la reducerea fraudei fiscale, a evitării obligațiilor fiscale și a evaziunii fiscale, precum și la reducerea costurilor de asigurare a conformității pentru întreprinderi, persoane fizice și administrații fiscale. Îmbunătățirea sistemelor de impozitare pentru a favoriza o activitate economică mai sustenabilă și mai echitabilă face parte, de asemenea, din agenda UE privind sustenabilitatea competitivă.</w:t>
      </w:r>
    </w:p>
    <w:p w14:paraId="63BB46EF" w14:textId="77777777" w:rsidR="00F92B6D" w:rsidRPr="009C0E63" w:rsidRDefault="00F92B6D" w:rsidP="00081E69">
      <w:pPr>
        <w:pStyle w:val="ManualHeading1"/>
        <w:rPr>
          <w:noProof/>
        </w:rPr>
      </w:pPr>
      <w:r w:rsidRPr="009C0E63">
        <w:rPr>
          <w:noProof/>
        </w:rPr>
        <w:t>2.</w:t>
      </w:r>
      <w:r w:rsidRPr="009C0E63">
        <w:rPr>
          <w:noProof/>
        </w:rPr>
        <w:tab/>
        <w:t>TEMEI JURIDIC, SUBSIDIARITATE ȘI PROPORȚIONALITATE</w:t>
      </w:r>
    </w:p>
    <w:p w14:paraId="229D2793" w14:textId="77777777" w:rsidR="00F92B6D" w:rsidRPr="009C0E63" w:rsidRDefault="00F92B6D" w:rsidP="00081E69">
      <w:pPr>
        <w:pStyle w:val="ManualHeading2"/>
        <w:rPr>
          <w:noProof/>
          <w:u w:color="000000"/>
          <w:bdr w:val="nil"/>
        </w:rPr>
      </w:pPr>
      <w:r w:rsidRPr="009C0E63">
        <w:rPr>
          <w:noProof/>
          <w:u w:color="000000"/>
          <w:bdr w:val="nil"/>
        </w:rPr>
        <w:t>•</w:t>
      </w:r>
      <w:r w:rsidRPr="009C0E63">
        <w:rPr>
          <w:noProof/>
        </w:rPr>
        <w:tab/>
      </w:r>
      <w:r w:rsidRPr="009C0E63">
        <w:rPr>
          <w:noProof/>
          <w:u w:color="000000"/>
          <w:bdr w:val="nil"/>
        </w:rPr>
        <w:t>Temei juridic</w:t>
      </w:r>
    </w:p>
    <w:p w14:paraId="020409B3" w14:textId="77777777" w:rsidR="00EB7885" w:rsidRPr="009C0E63" w:rsidRDefault="00FD7C96" w:rsidP="006E74F6">
      <w:pPr>
        <w:rPr>
          <w:noProof/>
        </w:rPr>
      </w:pPr>
      <w:r w:rsidRPr="009C0E63">
        <w:rPr>
          <w:noProof/>
        </w:rPr>
        <w:t>Prezentul regulament modifică Regulamentul (CE) nr. 1186/2009 al Consiliului din 16 noiembrie 2009 de instituire a unui regim comunitar de scutiri de taxe vamale și Regulamentul (CEE) nr. 2658/87 al Consiliului din 23 iulie 1987 privind Nomenclatura tarifară și statistică și Tariful Vamal Comun.</w:t>
      </w:r>
    </w:p>
    <w:p w14:paraId="6FF4BC97" w14:textId="77777777" w:rsidR="00F92B6D" w:rsidRPr="009C0E63" w:rsidRDefault="00312793" w:rsidP="006E74F6">
      <w:pPr>
        <w:rPr>
          <w:noProof/>
        </w:rPr>
      </w:pPr>
      <w:r w:rsidRPr="009C0E63">
        <w:rPr>
          <w:noProof/>
        </w:rPr>
        <w:t xml:space="preserve">Ambele modificări se bazează pe articolul 31 din Tratatul privind funcționarea Uniunii Europene. Articolul respectiv prevede că taxele prevăzute de Tariful vamal comun se stabilesc de către Consiliu, la propunerea Comisiei. </w:t>
      </w:r>
    </w:p>
    <w:p w14:paraId="1AF3DF47" w14:textId="77777777" w:rsidR="00F92B6D" w:rsidRPr="009C0E63" w:rsidRDefault="00F92B6D" w:rsidP="00081E69">
      <w:pPr>
        <w:pStyle w:val="ManualHeading2"/>
        <w:rPr>
          <w:noProof/>
          <w:u w:color="000000"/>
          <w:bdr w:val="nil"/>
        </w:rPr>
      </w:pPr>
      <w:r w:rsidRPr="009C0E63">
        <w:rPr>
          <w:noProof/>
          <w:u w:color="000000"/>
          <w:bdr w:val="nil"/>
        </w:rPr>
        <w:t>•</w:t>
      </w:r>
      <w:r w:rsidRPr="009C0E63">
        <w:rPr>
          <w:noProof/>
        </w:rPr>
        <w:tab/>
      </w:r>
      <w:r w:rsidRPr="009C0E63">
        <w:rPr>
          <w:noProof/>
          <w:u w:color="000000"/>
          <w:bdr w:val="nil"/>
        </w:rPr>
        <w:t>Proporționalitatea</w:t>
      </w:r>
    </w:p>
    <w:p w14:paraId="18C958EC" w14:textId="77777777" w:rsidR="00FD7C96" w:rsidRPr="009C0E63" w:rsidRDefault="00FD7C96" w:rsidP="00FD7C96">
      <w:pPr>
        <w:rPr>
          <w:noProof/>
        </w:rPr>
      </w:pPr>
      <w:bookmarkStart w:id="2" w:name="_Hlk132732003"/>
      <w:r w:rsidRPr="009C0E63">
        <w:rPr>
          <w:noProof/>
        </w:rPr>
        <w:t xml:space="preserve">Propunerea este conformă cu principiul proporționalității și nu depășește ceea ce este necesar pentru atingerea obiectivelor tratatelor, în special buna funcționare a uniunii vamale și a pieței unice. </w:t>
      </w:r>
    </w:p>
    <w:p w14:paraId="7F651D10" w14:textId="77777777" w:rsidR="00FD7C96" w:rsidRPr="009C0E63" w:rsidRDefault="00FD7C96" w:rsidP="00FD7C96">
      <w:pPr>
        <w:rPr>
          <w:noProof/>
          <w:color w:val="FF0000"/>
        </w:rPr>
      </w:pPr>
      <w:r w:rsidRPr="009C0E63">
        <w:rPr>
          <w:noProof/>
        </w:rPr>
        <w:t>Proporționalitatea este asigurată de faptul că prezenta inițiativă elimină pragul pentru scutirea de taxe pentru importul de trimiteri cu valoare mică în UE și promovează o abordare mai eficace și mai simplă cu privire la colectarea taxelor vamale în legătură cu mărfurile importate în cadrul vânzărilor la distanță.</w:t>
      </w:r>
      <w:bookmarkEnd w:id="2"/>
      <w:r w:rsidRPr="009C0E63">
        <w:rPr>
          <w:noProof/>
        </w:rPr>
        <w:t xml:space="preserve"> </w:t>
      </w:r>
    </w:p>
    <w:p w14:paraId="6518EC04" w14:textId="77777777" w:rsidR="00F92B6D" w:rsidRPr="009C0E63" w:rsidRDefault="00F92B6D" w:rsidP="00081E69">
      <w:pPr>
        <w:pStyle w:val="ManualHeading2"/>
        <w:rPr>
          <w:noProof/>
          <w:u w:color="000000"/>
          <w:bdr w:val="nil"/>
        </w:rPr>
      </w:pPr>
      <w:r w:rsidRPr="009C0E63">
        <w:rPr>
          <w:noProof/>
          <w:u w:color="000000"/>
          <w:bdr w:val="nil"/>
        </w:rPr>
        <w:t>•</w:t>
      </w:r>
      <w:r w:rsidRPr="009C0E63">
        <w:rPr>
          <w:noProof/>
        </w:rPr>
        <w:tab/>
      </w:r>
      <w:r w:rsidRPr="009C0E63">
        <w:rPr>
          <w:noProof/>
          <w:u w:color="000000"/>
          <w:bdr w:val="nil"/>
        </w:rPr>
        <w:t>Alegerea instrumentului</w:t>
      </w:r>
    </w:p>
    <w:p w14:paraId="08234360" w14:textId="77777777" w:rsidR="00B716F6" w:rsidRPr="009C0E63" w:rsidRDefault="00B716F6" w:rsidP="00B716F6">
      <w:pPr>
        <w:rPr>
          <w:noProof/>
        </w:rPr>
      </w:pPr>
      <w:r w:rsidRPr="009C0E63">
        <w:rPr>
          <w:noProof/>
        </w:rPr>
        <w:t>Propunerea vizează modificarea Regulamentului (CE) nr. 1186/2009 al Consiliului din 16 noiembrie 2009 de instituire a unui regim comunitar de scutiri de taxe vamale („Regulamentul privind scutirea de taxe vamale”) și a Regulamentului (CEE) nr. 2658/87 al Consiliului din 23 iulie 1987 privind Nomenclatura tarifară și statistică și Tariful Vamal Comun (denumit în continuare „Tariful vamal comun”).</w:t>
      </w:r>
    </w:p>
    <w:p w14:paraId="4BDC7F42" w14:textId="77777777" w:rsidR="00F92B6D" w:rsidRPr="009C0E63" w:rsidRDefault="00F92B6D" w:rsidP="00081E69">
      <w:pPr>
        <w:pStyle w:val="ManualHeading1"/>
        <w:rPr>
          <w:noProof/>
        </w:rPr>
      </w:pPr>
      <w:r w:rsidRPr="009C0E63">
        <w:rPr>
          <w:noProof/>
        </w:rPr>
        <w:t>3.</w:t>
      </w:r>
      <w:r w:rsidRPr="009C0E63">
        <w:rPr>
          <w:noProof/>
        </w:rPr>
        <w:tab/>
        <w:t xml:space="preserve">REZULTATE ALE EVALUĂRILOR </w:t>
      </w:r>
      <w:r w:rsidRPr="009C0E63">
        <w:rPr>
          <w:i/>
          <w:iCs/>
          <w:noProof/>
        </w:rPr>
        <w:t>EX POST</w:t>
      </w:r>
      <w:r w:rsidRPr="009C0E63">
        <w:rPr>
          <w:noProof/>
        </w:rPr>
        <w:t>, CONSULTĂRILOR PĂRȚILOR INTERESATE ȘI EVALUĂRII IMPACTULUI</w:t>
      </w:r>
    </w:p>
    <w:p w14:paraId="650AE875" w14:textId="77777777" w:rsidR="00F92B6D" w:rsidRPr="009C0E63" w:rsidRDefault="00F92B6D" w:rsidP="00081E69">
      <w:pPr>
        <w:pStyle w:val="ManualHeading2"/>
        <w:rPr>
          <w:noProof/>
          <w:u w:color="000000"/>
          <w:bdr w:val="nil"/>
        </w:rPr>
      </w:pPr>
      <w:r w:rsidRPr="009C0E63">
        <w:rPr>
          <w:noProof/>
          <w:u w:color="000000"/>
          <w:bdr w:val="nil"/>
        </w:rPr>
        <w:t>•</w:t>
      </w:r>
      <w:r w:rsidRPr="009C0E63">
        <w:rPr>
          <w:noProof/>
        </w:rPr>
        <w:tab/>
      </w:r>
      <w:r w:rsidRPr="009C0E63">
        <w:rPr>
          <w:noProof/>
          <w:u w:color="000000"/>
          <w:bdr w:val="nil"/>
        </w:rPr>
        <w:t xml:space="preserve">Evaluările </w:t>
      </w:r>
      <w:r w:rsidRPr="009C0E63">
        <w:rPr>
          <w:i/>
          <w:iCs/>
          <w:noProof/>
          <w:u w:color="000000"/>
          <w:bdr w:val="nil"/>
        </w:rPr>
        <w:t>ex post</w:t>
      </w:r>
      <w:r w:rsidRPr="009C0E63">
        <w:rPr>
          <w:noProof/>
          <w:u w:color="000000"/>
          <w:bdr w:val="nil"/>
        </w:rPr>
        <w:t>/verificarea adecvării legislației existente</w:t>
      </w:r>
    </w:p>
    <w:p w14:paraId="6E84B667" w14:textId="77777777" w:rsidR="003633DC" w:rsidRPr="009C0E63" w:rsidRDefault="000A0EB0" w:rsidP="001931CF">
      <w:pPr>
        <w:rPr>
          <w:noProof/>
        </w:rPr>
      </w:pPr>
      <w:r w:rsidRPr="009C0E63">
        <w:rPr>
          <w:noProof/>
        </w:rPr>
        <w:t xml:space="preserve">Comisia nu a efectuat o evaluare </w:t>
      </w:r>
      <w:r w:rsidRPr="009C0E63">
        <w:rPr>
          <w:i/>
          <w:noProof/>
        </w:rPr>
        <w:t>ex post</w:t>
      </w:r>
      <w:r w:rsidRPr="009C0E63">
        <w:rPr>
          <w:noProof/>
        </w:rPr>
        <w:t xml:space="preserve"> a Regulamentului (CE) nr. 1186/2009 al Consiliului și a Regulamentului (CEE) nr. 2658/87 al Consiliului. </w:t>
      </w:r>
    </w:p>
    <w:p w14:paraId="74568ED1" w14:textId="77777777" w:rsidR="00FD18E4" w:rsidRPr="009C0E63" w:rsidRDefault="00E31809" w:rsidP="001931CF">
      <w:pPr>
        <w:rPr>
          <w:noProof/>
        </w:rPr>
      </w:pPr>
      <w:r w:rsidRPr="009C0E63">
        <w:rPr>
          <w:noProof/>
        </w:rPr>
        <w:t xml:space="preserve">Totuși, rezultatele evaluării </w:t>
      </w:r>
      <w:r w:rsidRPr="009C0E63">
        <w:rPr>
          <w:i/>
          <w:noProof/>
        </w:rPr>
        <w:t>ex post</w:t>
      </w:r>
      <w:r w:rsidRPr="009C0E63">
        <w:rPr>
          <w:noProof/>
        </w:rPr>
        <w:t xml:space="preserve"> a pachetului privind TVA pentru comerțul electronic sunt relevante pentru prezenta propunere, deoarece oferă o imagine de ansamblu a volumelor și a valorii importurilor de trimiteri cu valoare mică în UE. Aceste date erau complet invizibile la nivelul UE înainte de intrarea în vigoare, la 1 iulie 2021, a pachetului privind TVA pentru comerțul electronic, întrucât majoritatea coletelor erau lăsate să intre pe piața UE fără formalități vamale. Însă, având în vedere că pachetul privind TVA pentru comerțul electronic a eliminat scutirea de TVA la import pentru mărfurile cu o valoare mai mică de 22 EUR, a fost necesar să se introducă cerința unei declarații vamale oficiale pentru toate mărfurile importate începând cu data respectivă, pentru a se asigura respectarea obligațiilor de plată a TVA-ului.</w:t>
      </w:r>
    </w:p>
    <w:p w14:paraId="37B1DC71" w14:textId="77777777" w:rsidR="001931CF" w:rsidRPr="009C0E63" w:rsidRDefault="001931CF" w:rsidP="001931CF">
      <w:pPr>
        <w:rPr>
          <w:noProof/>
        </w:rPr>
      </w:pPr>
      <w:r w:rsidRPr="009C0E63">
        <w:rPr>
          <w:noProof/>
        </w:rPr>
        <w:t xml:space="preserve">Comisia a efectuat o evaluare </w:t>
      </w:r>
      <w:r w:rsidRPr="009C0E63">
        <w:rPr>
          <w:i/>
          <w:noProof/>
        </w:rPr>
        <w:t>ex post</w:t>
      </w:r>
      <w:r w:rsidRPr="009C0E63">
        <w:rPr>
          <w:noProof/>
        </w:rPr>
        <w:t xml:space="preserve"> a primelor șase luni de aplicare a pachetului privind TVA pentru comerțul electronic. Rezultatele inițiale sunt foarte încurajatoare și demonstrează succesul noilor măsuri. În ceea ce privește importurile, rezultatele inițiale evidențiază faptul că în primele șase luni au fost colectate aproximativ 2 miliarde EUR reprezentând TVA, în special în legătură cu importurile de trimiteri cu valoare mică având o valoare intrinsecă de maximum 150 EUR. Din cele 2 miliarde EUR colectate sub formă de TVA în primele șase luni în legătură cu importurile de mărfuri cu valoare mică, aproape 1,1 miliarde EUR au fost colectate prin intermediul ghișeului unic pentru importuri. </w:t>
      </w:r>
    </w:p>
    <w:p w14:paraId="3D629FE9" w14:textId="77777777" w:rsidR="001931CF" w:rsidRPr="009C0E63" w:rsidRDefault="001931CF" w:rsidP="001931CF">
      <w:pPr>
        <w:rPr>
          <w:noProof/>
        </w:rPr>
      </w:pPr>
      <w:r w:rsidRPr="009C0E63">
        <w:rPr>
          <w:noProof/>
        </w:rPr>
        <w:t xml:space="preserve">Punerea în aplicare a pachetului a contribuit, de asemenea, la combaterea fraudei în domeniul TVA. Analiza datelor vamale indică faptul că primii opt comercianți înregistrați în IOSS au reprezentat aproximativ 91 % din totalul tranzacțiilor declarate pentru import în UE prin intermediul IOSS. Această statistică este foarte încurajatoare, deoarece arată impactul pe care noua dispoziție privind „furnizorul presupus” pentru piețele online l-a avut asupra conformității, în măsura în care urmărirea subsecventă și auditarea acestui număr foarte limitat de persoane impozabile sunt suficiente pentru a se asigura colectarea TVA-ului pentru acest tip de tranzacție. </w:t>
      </w:r>
    </w:p>
    <w:p w14:paraId="0B9D84B7" w14:textId="77777777" w:rsidR="00F92B6D" w:rsidRPr="009C0E63" w:rsidRDefault="004020CF" w:rsidP="005777C3">
      <w:pPr>
        <w:rPr>
          <w:noProof/>
          <w:color w:val="FF0000"/>
        </w:rPr>
      </w:pPr>
      <w:r w:rsidRPr="009C0E63">
        <w:rPr>
          <w:noProof/>
        </w:rPr>
        <w:t xml:space="preserve">Având în vedere succesul pachetului privind TVA pentru comerțul electronic, propunerea de reformă a uniunii vamale introduce responsabilități clare pentru intermediarii din sectorul comerțului electronic în calitate de „importatori presupuși” în ceea ce privește produsele importate din țări terțe pe care le vând consumatorilor din UE. Acești importatori presupuși vor deveni răspunzători de colectarea și plata taxelor la import pentru mărfurile respective, în conformitate cu principiile ghișeului unic pentru importuri în scopuri de TVA. Prin urmare, efortul de asigurare a conformității se va concentra și mai mult asupra unui număr mult mai mic de actori mari de pe piață, care vor reprezenta majoritatea vânzărilor la distanță de mărfuri importate în UE. </w:t>
      </w:r>
    </w:p>
    <w:p w14:paraId="34F91681" w14:textId="77777777" w:rsidR="00F92B6D" w:rsidRPr="009C0E63" w:rsidRDefault="00F92B6D" w:rsidP="00081E69">
      <w:pPr>
        <w:pStyle w:val="ManualHeading2"/>
        <w:rPr>
          <w:noProof/>
          <w:u w:color="000000"/>
          <w:bdr w:val="nil"/>
        </w:rPr>
      </w:pPr>
      <w:r w:rsidRPr="009C0E63">
        <w:rPr>
          <w:noProof/>
          <w:u w:color="000000"/>
          <w:bdr w:val="nil"/>
        </w:rPr>
        <w:t>•</w:t>
      </w:r>
      <w:r w:rsidRPr="009C0E63">
        <w:rPr>
          <w:noProof/>
        </w:rPr>
        <w:tab/>
      </w:r>
      <w:r w:rsidRPr="009C0E63">
        <w:rPr>
          <w:noProof/>
          <w:u w:color="000000"/>
          <w:bdr w:val="nil"/>
        </w:rPr>
        <w:t>Consultările părților interesate</w:t>
      </w:r>
    </w:p>
    <w:p w14:paraId="52E12B47" w14:textId="77777777" w:rsidR="00667A09" w:rsidRPr="009C0E63" w:rsidRDefault="00667A09" w:rsidP="00667A09">
      <w:pPr>
        <w:rPr>
          <w:noProof/>
        </w:rPr>
      </w:pPr>
      <w:r w:rsidRPr="009C0E63">
        <w:rPr>
          <w:noProof/>
        </w:rPr>
        <w:t>S-a solicitat o contribuție din partea părților interesate cu privire la conținutul prezentei inițiative în contextul studiului intitulat „An integrated and innovative overhaul of EU rules governing e-commerce transactions from third countries from a customs and taxation perspective” (O revizuire integrată și inovatoare a normelor UE care reglementează din punct de vedere vamal și fiscal tranzacțiile de comerț electronic din țări terțe)</w:t>
      </w:r>
      <w:r w:rsidRPr="009C0E63">
        <w:rPr>
          <w:rStyle w:val="FootnoteReference"/>
          <w:noProof/>
        </w:rPr>
        <w:footnoteReference w:id="17"/>
      </w:r>
      <w:r w:rsidRPr="009C0E63">
        <w:rPr>
          <w:noProof/>
        </w:rPr>
        <w:t>. Consultarea s-a desfășurat în perioada 16 decembrie 2021 - 10 martie 2021 și a strâns în total 69 de răspunsuri</w:t>
      </w:r>
      <w:r w:rsidRPr="009C0E63">
        <w:rPr>
          <w:rStyle w:val="FootnoteReference"/>
          <w:noProof/>
        </w:rPr>
        <w:footnoteReference w:id="18"/>
      </w:r>
      <w:r w:rsidRPr="009C0E63">
        <w:rPr>
          <w:noProof/>
        </w:rPr>
        <w:t>. Majoritatea contribuțiilor au fost furnizate de operatori economici (întreprinderi și organizații de afaceri), însumând 33 de răspunsuri, și de consumatori (în total, 26 de răspunsuri și o contribuție suplimentară din partea unei asociații pentru protecția consumatorilor). În plus, 19 state membre au răspuns la chestionarul specific.</w:t>
      </w:r>
    </w:p>
    <w:p w14:paraId="23462986" w14:textId="77777777" w:rsidR="00F92B6D" w:rsidRPr="009C0E63" w:rsidRDefault="00667A09" w:rsidP="003C0F56">
      <w:pPr>
        <w:rPr>
          <w:noProof/>
          <w:u w:color="000000"/>
          <w:bdr w:val="nil"/>
        </w:rPr>
      </w:pPr>
      <w:r w:rsidRPr="009C0E63">
        <w:rPr>
          <w:noProof/>
        </w:rPr>
        <w:t xml:space="preserve">Rezultatul a arătat că aproximativ 65 % dintre respondenții din sectorul întreprinderilor (inclusiv platformele de comerț electronic) ar sprijini eliminarea pragului vamal </w:t>
      </w:r>
      <w:r w:rsidRPr="009C0E63">
        <w:rPr>
          <w:i/>
          <w:noProof/>
        </w:rPr>
        <w:t xml:space="preserve">de minimis </w:t>
      </w:r>
      <w:r w:rsidRPr="009C0E63">
        <w:rPr>
          <w:noProof/>
        </w:rPr>
        <w:t xml:space="preserve">cel puțin într-o măsură limitată, în timp ce opinia autorităților vamale din statele membre nu indică o preferință clară între eliminarea sau creșterea pragului de 150 EUR în răspunsurile lor la chestionar (44 % din respondenți susținând eliminarea pragului cel puțin într-o măsură limitată, iar 43 % preferând creșterea pragului cel puțin într-o măsură limitată). Totuși, respondenții nu au luat în considerare reducerea pragului ca fiind o opțiune viabilă (57 % din răspunsuri indică faptul că aceasta nu ar trebui considerată deloc o opțiune). </w:t>
      </w:r>
    </w:p>
    <w:p w14:paraId="55B3AE47" w14:textId="77777777" w:rsidR="003168DB" w:rsidRPr="009C0E63" w:rsidRDefault="003168DB" w:rsidP="0037615C">
      <w:pPr>
        <w:rPr>
          <w:noProof/>
        </w:rPr>
      </w:pPr>
      <w:r w:rsidRPr="009C0E63">
        <w:rPr>
          <w:noProof/>
        </w:rPr>
        <w:t>Pe lângă feedbackul susmenționat cu privire la consultarea publică, au fost organizate o serie de activități de consultare specifice în cursul lucrărilor privind evaluarea impactului reformei uniunii vamale pentru a colecta opiniile părților interesate din rândul experților. Aceste activități au inclus discuții în cadrul Grupului de reflecție, alcătuit din directorii generali ai administrațiilor vamale ale statelor membre și condus de Comisie, și al Grupului de contact pentru comerț, care este forumul principal de consultare a întreprinderilor la nivelul Uniunii cu privire la dezvoltarea și punerea în aplicare a aspectelor legate de domeniul vamal și a evoluțiilor politicii vamale.</w:t>
      </w:r>
    </w:p>
    <w:p w14:paraId="6931C743" w14:textId="77777777" w:rsidR="00E50BE9" w:rsidRPr="009C0E63" w:rsidRDefault="00E50BE9" w:rsidP="0073028A">
      <w:pPr>
        <w:pStyle w:val="Bullet0"/>
        <w:numPr>
          <w:ilvl w:val="0"/>
          <w:numId w:val="10"/>
        </w:numPr>
        <w:rPr>
          <w:b/>
          <w:noProof/>
          <w:u w:color="000000"/>
          <w:bdr w:val="nil"/>
        </w:rPr>
      </w:pPr>
      <w:r w:rsidRPr="009C0E63">
        <w:rPr>
          <w:b/>
          <w:noProof/>
          <w:u w:color="000000"/>
          <w:bdr w:val="nil"/>
        </w:rPr>
        <w:t xml:space="preserve">Obținerea și utilizarea expertizei </w:t>
      </w:r>
    </w:p>
    <w:p w14:paraId="35B63DA4" w14:textId="77777777" w:rsidR="00EC6FF7" w:rsidRPr="009C0E63" w:rsidRDefault="00DA6318" w:rsidP="00DA6318">
      <w:pPr>
        <w:rPr>
          <w:noProof/>
        </w:rPr>
      </w:pPr>
      <w:r w:rsidRPr="009C0E63">
        <w:rPr>
          <w:noProof/>
        </w:rPr>
        <w:t>La pregătirea prezentei inițiative, Comisia a luat în considerare analiza inclusă în studiul menționat anterior, realizat de un contractant extern. Acest demers este legat de acțiunea 9 din Planul de acțiune vamală, prin care Comisia s-a străduit să examineze efectele comerțului electronic asupra colectării taxelor vamale și asupra condițiilor de concurență echitabile pentru operatorii din UE, inclusiv posibilele modalități de colectare a taxelor vamale în concordanță cu noua abordare privind colectarea TVA în cadrul ghișeului unic pentru importuri (</w:t>
      </w:r>
      <w:r w:rsidRPr="009C0E63">
        <w:rPr>
          <w:i/>
          <w:iCs/>
          <w:noProof/>
        </w:rPr>
        <w:t>Import One-Stop Shop</w:t>
      </w:r>
      <w:r w:rsidRPr="009C0E63">
        <w:rPr>
          <w:noProof/>
        </w:rPr>
        <w:t xml:space="preserve"> – IOSS). Studiul a evaluat posibilele implicații ale modificării pragului de 150 EUR pentru scutirea de taxe prin examinarea și compararea a trei opțiuni diferite: 1) eliminarea pragului pentru scutirea de taxe; 2) majorarea acestuia la 1 000 EUR; 3) reducerea acestuia la 22 EUR. Studiul a concluzionat că eliminarea pragului de 150 EUR ar genera cea mai mare creștere a veniturilor și ar asigura cele mai echitabile condiții de concurență posibile între vânzătorii străini și piața internă. De asemenea, această măsură ar elimina frauda sau evaziunea în privința plății taxelor vamale, rezultate din divizarea trimiterilor, și ar reduce stimulentele pentru subevaluare. Prin urmare, concluzia a fost că eliminarea pragului vamal </w:t>
      </w:r>
      <w:r w:rsidRPr="009C0E63">
        <w:rPr>
          <w:i/>
          <w:iCs/>
          <w:noProof/>
        </w:rPr>
        <w:t>de minimis</w:t>
      </w:r>
      <w:r w:rsidRPr="009C0E63">
        <w:rPr>
          <w:noProof/>
        </w:rPr>
        <w:t xml:space="preserve"> ar genera cel mai mare număr de beneficii. </w:t>
      </w:r>
    </w:p>
    <w:p w14:paraId="2B67906D" w14:textId="77777777" w:rsidR="0037615C" w:rsidRPr="009C0E63" w:rsidRDefault="001823EA" w:rsidP="0037615C">
      <w:pPr>
        <w:rPr>
          <w:noProof/>
        </w:rPr>
      </w:pPr>
      <w:r w:rsidRPr="009C0E63">
        <w:rPr>
          <w:noProof/>
        </w:rPr>
        <w:t>În plus, Comisia s-a bazat pe analiza efectuată de un alt contractant extern pentru studiul „TVA în era digitală”. Acest studiu a contribuit și la propunerea de modificare a Directivei 2006/112/CE în vederea extinderii regulii furnizorului presupus, a IOSS și a regimului special pentru a include importurile de mărfuri cu o valoare mai mare de 150 EUR, care face parte din prezentul pachet privind reforma uniunii vamale.</w:t>
      </w:r>
    </w:p>
    <w:p w14:paraId="3F1C62E4" w14:textId="77777777" w:rsidR="00F92B6D" w:rsidRPr="009C0E63" w:rsidRDefault="0037615C" w:rsidP="008E1E93">
      <w:pPr>
        <w:rPr>
          <w:noProof/>
        </w:rPr>
      </w:pPr>
      <w:r w:rsidRPr="009C0E63">
        <w:rPr>
          <w:noProof/>
        </w:rPr>
        <w:t xml:space="preserve">Scopul studiului a fost, în primul rând, evaluarea situației actuale în ceea ce privește cerințele de raportare digitală, tratamentul în materie de TVA aplicat economiei platformelor, precum și înregistrarea unică în scopuri de TVA și ghișeul unic pentru importuri. În al doilea rând, s-a urmărit evaluarea impactului unei serii de posibile inițiative de politică în aceste domenii. Studiul respectiv a analizat în mod special opțiunea de a elimina pragul de 150 EUR care se aplică IOSS. Studiul a constatat că vânzările la distanță de mărfuri importate cu o valoare de peste 150 EUR și vânzările la distanță de mărfuri supuse accizelor reprezintă aproximativ 10-20 % din valoarea totală a importurilor în UE prin comerț electronic realizate prin vânzare la distanță. </w:t>
      </w:r>
    </w:p>
    <w:p w14:paraId="3F0A8EA2" w14:textId="77777777" w:rsidR="00F92B6D" w:rsidRPr="009C0E63" w:rsidRDefault="00F92B6D" w:rsidP="00081E69">
      <w:pPr>
        <w:pStyle w:val="ManualHeading2"/>
        <w:rPr>
          <w:noProof/>
          <w:u w:color="000000"/>
          <w:bdr w:val="nil"/>
        </w:rPr>
      </w:pPr>
      <w:r w:rsidRPr="009C0E63">
        <w:rPr>
          <w:noProof/>
          <w:u w:color="000000"/>
          <w:bdr w:val="nil"/>
        </w:rPr>
        <w:t>•</w:t>
      </w:r>
      <w:r w:rsidRPr="009C0E63">
        <w:rPr>
          <w:noProof/>
        </w:rPr>
        <w:tab/>
      </w:r>
      <w:r w:rsidRPr="009C0E63">
        <w:rPr>
          <w:noProof/>
          <w:u w:color="000000"/>
          <w:bdr w:val="nil"/>
        </w:rPr>
        <w:t>Evaluarea impactului</w:t>
      </w:r>
    </w:p>
    <w:p w14:paraId="130EB379" w14:textId="4045116F" w:rsidR="00B36D46" w:rsidRPr="009C0E63" w:rsidRDefault="00B36D46" w:rsidP="00005D6B">
      <w:pPr>
        <w:rPr>
          <w:noProof/>
        </w:rPr>
      </w:pPr>
      <w:r w:rsidRPr="009C0E63">
        <w:rPr>
          <w:noProof/>
        </w:rPr>
        <w:t>Reforma normelor vamale privind comerțul electronic a fost examinată în contextul evaluării impactului reformei uniunii vamale, din care face parte prezenta propunere</w:t>
      </w:r>
      <w:r w:rsidRPr="009C0E63">
        <w:rPr>
          <w:rStyle w:val="FootnoteReference"/>
          <w:noProof/>
        </w:rPr>
        <w:footnoteReference w:id="19"/>
      </w:r>
      <w:r w:rsidRPr="009C0E63">
        <w:rPr>
          <w:noProof/>
        </w:rPr>
        <w:t>. În urma unui aviz negativ emis la 28 octombrie 2022, Comitetul de control normativ a emis, la 27 ianuarie 2023, un aviz pozitiv cu privire la evaluarea impactului care sprijină pachetul de reformă a uniunii vamale. Comitetul a recomandat să se adauge mai multe detalii, legate, printre altele, de modul în care au fost identificate opțiunile privind comerțul electronic, în special motivele pentru eliminarea scutirii aferente pragului de 150 EUR și pentru a face platformele electronice „importatori presupuși”, precum și mai multe explicații cu privire la introducerea unui „sistem de grupare” pentru calcularea taxelor, în special în ceea ce privește gama de opțiuni de politică aflate la dispoziția Comisiei. Evaluarea impactului a fost modificată în consecință.</w:t>
      </w:r>
    </w:p>
    <w:p w14:paraId="3607DB89" w14:textId="77777777" w:rsidR="006E5576" w:rsidRPr="009C0E63" w:rsidRDefault="00310BD4" w:rsidP="00005D6B">
      <w:pPr>
        <w:rPr>
          <w:noProof/>
        </w:rPr>
      </w:pPr>
      <w:r w:rsidRPr="009C0E63">
        <w:rPr>
          <w:noProof/>
        </w:rPr>
        <w:t xml:space="preserve">Evaluarea impactului a identificat cinci domenii problematice principale care conduc la deficiențe și vulnerabilități în funcționarea uniunii vamale și a analizat mai multe opțiuni de politică în vederea remedierii acestor probleme. </w:t>
      </w:r>
    </w:p>
    <w:p w14:paraId="667DE18C" w14:textId="77777777" w:rsidR="008E1E93" w:rsidRPr="009C0E63" w:rsidRDefault="008E1E93" w:rsidP="008E1E93">
      <w:pPr>
        <w:rPr>
          <w:noProof/>
        </w:rPr>
      </w:pPr>
      <w:r w:rsidRPr="009C0E63">
        <w:rPr>
          <w:noProof/>
        </w:rPr>
        <w:t>Unul dintre aceste domenii problematice este intensificarea comerțului electronic și modificările conexe ale modelelor comerciale (de la mărfuri introduse în mod tradițional în UE în cantități mari prin intermediul transportului de marfă, până la milioane de trimiteri mici expediate direct consumatorilor individuali), care au generat noi provocări pentru vămi. Autoritățile vamale nu sunt pregătite să facă față creșterii volumelor de mărfuri și declarații. În pofida modificărilor introduse de pachetul privind TVA pentru comerțul electronic și aplicabile de la 1 iulie 2021, care au vizat combaterea fraudei în domeniul TVA inerente utilizării abuzive a scutirii de TVA la import, unele probleme persistă încă, la fel ca subevaluarea, în special prin divizarea trimiterilor în scopul evitării plății taxei la import.</w:t>
      </w:r>
    </w:p>
    <w:p w14:paraId="06429C58" w14:textId="77777777" w:rsidR="008E1E93" w:rsidRPr="009C0E63" w:rsidRDefault="008E1E93" w:rsidP="008E1E93">
      <w:pPr>
        <w:rPr>
          <w:noProof/>
        </w:rPr>
      </w:pPr>
      <w:r w:rsidRPr="009C0E63">
        <w:rPr>
          <w:noProof/>
        </w:rPr>
        <w:t>Prin urmare, atunci când s-a analizat în ce măsură trebuie modificate procesele pentru comerțul electronic, opțiunile de reducere sau de majorare a pragului de 150 EUR pentru scutirea de taxe vamale au fost eliminate. Motivul a fost acela că niciuna dintre problemele identificate (denaturarea concurenței, complexitatea, incertitudinea, dificultatea de a efectua controale și frauda) nu este legată de suma scutită de taxe, ci de însăși existența scutirii. Posibilitatea declarării în vamă de către consumatori a mărfurilor pe care le-au achiziționat online a fost, de asemenea, eliminată, deoarece a fost considerată împovărătoare pentru aceștia și pentru că cei care introduc mărfuri pe piața Uniunii sunt intermediarii din sectorul comerțului electronic, nu consumatorii.</w:t>
      </w:r>
    </w:p>
    <w:p w14:paraId="44747F56" w14:textId="77777777" w:rsidR="00F92B6D" w:rsidRPr="009C0E63" w:rsidRDefault="00A81C35" w:rsidP="009166DE">
      <w:pPr>
        <w:rPr>
          <w:noProof/>
        </w:rPr>
      </w:pPr>
      <w:r w:rsidRPr="009C0E63">
        <w:rPr>
          <w:noProof/>
        </w:rPr>
        <w:t xml:space="preserve">Potrivit evaluării impactului, taxele vamale suplimentare pentru traficul de comerț electronic sunt estimate la aproximativ 13 miliarde EUR pe o perioadă de 15 ani. Îmbunătățirea informațiilor furnizate de operatorii economici în cadrul noilor procese, centralizarea datelor la nivelul Centrului de date vamale al UE și rolul operațional al Autorității vamale a Uniunii Europene ar permite, totodată, prevenirea într-o manieră semnificativă a pierderilor de venituri rezultate din practici frauduloase, cum ar fi subevaluarea sau clasificarea eronată a mărfurilor („eliminarea deficitului de colectare a taxelor vamale”). </w:t>
      </w:r>
    </w:p>
    <w:p w14:paraId="4445D5E4" w14:textId="77777777" w:rsidR="00F92B6D" w:rsidRPr="009C0E63" w:rsidRDefault="00F92B6D" w:rsidP="00081E69">
      <w:pPr>
        <w:pStyle w:val="ManualHeading2"/>
        <w:rPr>
          <w:noProof/>
          <w:u w:color="000000"/>
          <w:bdr w:val="nil"/>
        </w:rPr>
      </w:pPr>
      <w:r w:rsidRPr="009C0E63">
        <w:rPr>
          <w:noProof/>
          <w:u w:color="000000"/>
          <w:bdr w:val="nil"/>
        </w:rPr>
        <w:t>•</w:t>
      </w:r>
      <w:r w:rsidRPr="009C0E63">
        <w:rPr>
          <w:noProof/>
        </w:rPr>
        <w:tab/>
      </w:r>
      <w:r w:rsidRPr="009C0E63">
        <w:rPr>
          <w:noProof/>
          <w:u w:color="000000"/>
          <w:bdr w:val="nil"/>
        </w:rPr>
        <w:t>Adecvarea reglementărilor și simplificarea</w:t>
      </w:r>
    </w:p>
    <w:p w14:paraId="462B68E4" w14:textId="77777777" w:rsidR="00FD4443" w:rsidRPr="009C0E63" w:rsidRDefault="009F7BF6" w:rsidP="009F7BF6">
      <w:pPr>
        <w:rPr>
          <w:noProof/>
        </w:rPr>
      </w:pPr>
      <w:r w:rsidRPr="009C0E63">
        <w:rPr>
          <w:noProof/>
        </w:rPr>
        <w:t xml:space="preserve">Prezenta propunere face parte din reforma uniunii vamale, care este o inițiativă REFIT de simplificare a proceselor vamale printr-o mai bună interacțiune între autoritățile vamale și operatorii economici, concentrându-se asupra operatorilor și a lanțurilor de aprovizionare, în locul tranzacțiilor individuale care trebuie să respecte diverse formalități la momentul actual. Întreprinderile (inclusiv platformele de comerț electronic) care oferă autorităților vamale vizibilitate asupra lanțurilor lor de aprovizionare se vor bucura de proceduri mai simple și mai rapide deoarece le oferă autorităților vamale acces la datele lor comerciale. Se preconizează că simplificarea și centralizarea funcțiilor la mai multe niveluri va avea ca rezultat reducerea birocrației și simplificarea proceselor și procedurilor pentru operatori. </w:t>
      </w:r>
    </w:p>
    <w:p w14:paraId="0A63BD3C" w14:textId="77777777" w:rsidR="00F92B6D" w:rsidRPr="009C0E63" w:rsidRDefault="00FD4443" w:rsidP="0069504D">
      <w:pPr>
        <w:rPr>
          <w:noProof/>
        </w:rPr>
      </w:pPr>
      <w:r w:rsidRPr="009C0E63">
        <w:rPr>
          <w:noProof/>
        </w:rPr>
        <w:t>Se estimează că potențiala creștere a sarcinii administrative legate de eliminarea propusă a pragului pentru scutirea de taxe va fi compensată de tratamentul tarifar simplificat prin intermediul sistemului de grupare pe cinci niveluri. Totuși, o astfel de creștere ar trebui să fie limitată, deoarece, începând cu 1 iulie 2021, este deja necesară o declarație vamală electronică pentru toate mărfurile importate în UE. Prin urmare, tratamentul tarifar simplificat, la care se adaugă facilități suplimentare pentru determinarea valorii în vamă și a originii, propuse ca parte a revizuirii CVU, va simplifica stabilirea taxelor vamale pentru mărfurile provenite din comerțul electronic și va reduce sarcina administrativă atât pentru autoritățile vamale, cât și pentru operatorii economici.</w:t>
      </w:r>
    </w:p>
    <w:p w14:paraId="2F5F686F" w14:textId="77777777" w:rsidR="00F92B6D" w:rsidRPr="009C0E63" w:rsidRDefault="00F92B6D" w:rsidP="00081E69">
      <w:pPr>
        <w:pStyle w:val="ManualHeading1"/>
        <w:rPr>
          <w:noProof/>
        </w:rPr>
      </w:pPr>
      <w:r w:rsidRPr="009C0E63">
        <w:rPr>
          <w:noProof/>
        </w:rPr>
        <w:t>4.</w:t>
      </w:r>
      <w:r w:rsidRPr="009C0E63">
        <w:rPr>
          <w:noProof/>
        </w:rPr>
        <w:tab/>
        <w:t>IMPLICAȚIILE BUGETARE</w:t>
      </w:r>
    </w:p>
    <w:p w14:paraId="7A3648A8" w14:textId="77777777" w:rsidR="004C252F" w:rsidRPr="009C0E63" w:rsidRDefault="003E4B5F" w:rsidP="004C252F">
      <w:pPr>
        <w:rPr>
          <w:noProof/>
        </w:rPr>
      </w:pPr>
      <w:r w:rsidRPr="009C0E63">
        <w:rPr>
          <w:noProof/>
        </w:rPr>
        <w:t xml:space="preserve">Se estimează că prezenta propunere va determina creșterea veniturilor din taxele vamale la bugetul UE și la bugetele naționale ale statelor membre la aproximativ 13 miliarde EUR în 15 ani, întrucât va elimina pragul pentru scutirea de taxe vamale în ceea ce privește importul de trimiteri cu valoare mică. În plus, se preconizează că propunerea va reduce stimulentele pentru subevaluare și le va elimina pe cele pentru divizarea în mod artificial a trimiterilor cu scopul de a beneficia în mod nejustificat de scutirea de taxe. Introducerea metodei simplificate de colectare a taxelor vamale va reduce sarcina administrativă a autorităților vamale și a operatorilor de comerț electronic. Pornind de la principiile și mecanismele ghișeului unic pentru importuri în scopuri de TVA, magazinele online și platformele de comerț electronic vor putea să colecteze, pe lângă TVA, și taxe vamale. Acest lucru va spori transparența prețurilor, deoarece prețul final de vânzare la finalizarea comenzii va include toate costurile suplimentare, până la livrare, pentru consumatori. </w:t>
      </w:r>
    </w:p>
    <w:p w14:paraId="0F8E492C" w14:textId="77777777" w:rsidR="00F92B6D" w:rsidRPr="009C0E63" w:rsidRDefault="004C252F" w:rsidP="00B34BB4">
      <w:pPr>
        <w:rPr>
          <w:noProof/>
        </w:rPr>
      </w:pPr>
      <w:r w:rsidRPr="009C0E63">
        <w:rPr>
          <w:noProof/>
        </w:rPr>
        <w:t xml:space="preserve">Mărfurile supuse accizelor armonizate la nivelul UE sunt excluse de la tratamentul tarifar simplificat. De asemenea, trebuie să fie excluse mărfurile care fac obiectul unor măsuri de politică comercială, cum ar fi taxele antidumping, taxele antisubvenție sau măsurile de salvgardare. </w:t>
      </w:r>
    </w:p>
    <w:p w14:paraId="6099E570" w14:textId="77777777" w:rsidR="00F92B6D" w:rsidRPr="009C0E63" w:rsidRDefault="00F92B6D" w:rsidP="00081E69">
      <w:pPr>
        <w:pStyle w:val="ManualHeading1"/>
        <w:rPr>
          <w:noProof/>
        </w:rPr>
      </w:pPr>
      <w:r w:rsidRPr="009C0E63">
        <w:rPr>
          <w:noProof/>
        </w:rPr>
        <w:t>(5)</w:t>
      </w:r>
      <w:r w:rsidRPr="009C0E63">
        <w:rPr>
          <w:noProof/>
        </w:rPr>
        <w:tab/>
        <w:t>ELEMENTE DIVERSE</w:t>
      </w:r>
    </w:p>
    <w:p w14:paraId="0B03EC55" w14:textId="77777777" w:rsidR="00F92B6D" w:rsidRPr="009C0E63" w:rsidRDefault="00F92B6D" w:rsidP="00081E69">
      <w:pPr>
        <w:pStyle w:val="ManualHeading2"/>
        <w:rPr>
          <w:noProof/>
          <w:u w:color="000000"/>
          <w:bdr w:val="nil"/>
        </w:rPr>
      </w:pPr>
      <w:r w:rsidRPr="009C0E63">
        <w:rPr>
          <w:noProof/>
          <w:u w:color="000000"/>
          <w:bdr w:val="nil"/>
        </w:rPr>
        <w:t>•</w:t>
      </w:r>
      <w:r w:rsidRPr="009C0E63">
        <w:rPr>
          <w:noProof/>
        </w:rPr>
        <w:tab/>
      </w:r>
      <w:r w:rsidRPr="009C0E63">
        <w:rPr>
          <w:noProof/>
          <w:u w:color="000000"/>
          <w:bdr w:val="nil"/>
        </w:rPr>
        <w:t>Planurile de implementare și mecanismele de monitorizare, evaluare și raportare</w:t>
      </w:r>
    </w:p>
    <w:p w14:paraId="308E28E9" w14:textId="77777777" w:rsidR="00122C41" w:rsidRPr="009C0E63" w:rsidRDefault="00122C41" w:rsidP="00122C41">
      <w:pPr>
        <w:rPr>
          <w:noProof/>
        </w:rPr>
      </w:pPr>
      <w:r w:rsidRPr="009C0E63">
        <w:rPr>
          <w:noProof/>
        </w:rPr>
        <w:t>Comitetul Codului vamal (</w:t>
      </w:r>
      <w:r w:rsidRPr="009C0E63">
        <w:rPr>
          <w:i/>
          <w:iCs/>
          <w:noProof/>
        </w:rPr>
        <w:t>Customs Code Committee</w:t>
      </w:r>
      <w:r w:rsidRPr="009C0E63">
        <w:rPr>
          <w:noProof/>
        </w:rPr>
        <w:t xml:space="preserve"> - CCC) și Grupul de experți în domeniul vamal (</w:t>
      </w:r>
      <w:r w:rsidRPr="009C0E63">
        <w:rPr>
          <w:i/>
          <w:iCs/>
          <w:noProof/>
        </w:rPr>
        <w:t>Customs Expert Group</w:t>
      </w:r>
      <w:r w:rsidRPr="009C0E63">
        <w:rPr>
          <w:noProof/>
        </w:rPr>
        <w:t xml:space="preserve"> - CEG), organisme consultative în materie de aspecte vamale, la care participă reprezentanți ai tuturor statelor membre și care sunt prezidate de funcționari ai Comisiei din cadrul Direcției Generale Impozitare și Uniune Vamală (DG TAXUD), vor discuta despre posibilele probleme de interpretare între statele membre în ceea ce privește noua legislație.</w:t>
      </w:r>
    </w:p>
    <w:p w14:paraId="58C436AE" w14:textId="77777777" w:rsidR="00F92B6D" w:rsidRPr="009C0E63" w:rsidRDefault="00122C41" w:rsidP="00592E0B">
      <w:pPr>
        <w:rPr>
          <w:noProof/>
        </w:rPr>
      </w:pPr>
      <w:r w:rsidRPr="009C0E63">
        <w:rPr>
          <w:noProof/>
        </w:rPr>
        <w:t xml:space="preserve">În plus, noile norme vamale privind comerțul electronic vor fi monitorizate și evaluate în contextul cadrului mai larg de monitorizare și evaluare prevăzut în propunerea privind revizuirea CVU de către Comisie. </w:t>
      </w:r>
    </w:p>
    <w:p w14:paraId="7A728859" w14:textId="77777777" w:rsidR="00F92B6D" w:rsidRPr="009C0E63" w:rsidRDefault="00F92B6D" w:rsidP="00081E69">
      <w:pPr>
        <w:pStyle w:val="ManualHeading2"/>
        <w:rPr>
          <w:noProof/>
          <w:u w:color="000000"/>
          <w:bdr w:val="nil"/>
        </w:rPr>
      </w:pPr>
      <w:r w:rsidRPr="009C0E63">
        <w:rPr>
          <w:noProof/>
          <w:u w:color="000000"/>
          <w:bdr w:val="nil"/>
        </w:rPr>
        <w:t>•</w:t>
      </w:r>
      <w:r w:rsidRPr="009C0E63">
        <w:rPr>
          <w:noProof/>
        </w:rPr>
        <w:tab/>
      </w:r>
      <w:r w:rsidRPr="009C0E63">
        <w:rPr>
          <w:noProof/>
          <w:u w:color="000000"/>
          <w:bdr w:val="nil"/>
        </w:rPr>
        <w:t>Explicații detaliate cu privire la dispozițiile specifice ale propunerii</w:t>
      </w:r>
    </w:p>
    <w:p w14:paraId="16E5C80E" w14:textId="77777777" w:rsidR="000E032D" w:rsidRPr="009C0E63" w:rsidRDefault="000B7124" w:rsidP="000E032D">
      <w:pPr>
        <w:rPr>
          <w:noProof/>
        </w:rPr>
      </w:pPr>
      <w:r w:rsidRPr="009C0E63">
        <w:rPr>
          <w:noProof/>
        </w:rPr>
        <w:t xml:space="preserve">Pentru a remedia problemele identificate în domeniul comerțului electronic cu mărfuri provenite din țări terțe, prezenta propunere include două elemente principale. Primul este eliminarea scutirii de taxe vamale pentru mărfuri cu o valoare de maximum 150 EUR. Aceasta s-ar realiza prin eliminarea capitolului V din Regulamentul (CE) nr. 1186/2009 al Consiliului din 16 noiembrie 2009. </w:t>
      </w:r>
    </w:p>
    <w:p w14:paraId="08386F2C" w14:textId="77777777" w:rsidR="0018068A" w:rsidRPr="009C0E63" w:rsidRDefault="008543F4" w:rsidP="00917E9A">
      <w:pPr>
        <w:rPr>
          <w:noProof/>
        </w:rPr>
      </w:pPr>
      <w:r w:rsidRPr="009C0E63">
        <w:rPr>
          <w:noProof/>
        </w:rPr>
        <w:t xml:space="preserve">Al doilea element constă într-o metodă simplificată de calculare a taxei, bazată pe cinci grupe diferite (fiecare având un nivel al taxei diferit), ce vizează reducerea sarcinii administrative care decurge din calcularea nivelurilor taxei aplicabile mărfurilor provenite din comerțul electronic, atât pentru autoritățile vamale, cât și pentru întreprinderi. </w:t>
      </w:r>
    </w:p>
    <w:p w14:paraId="780D934B" w14:textId="77777777" w:rsidR="00CF59B4" w:rsidRPr="009C0E63" w:rsidRDefault="00CF59B4" w:rsidP="00CF59B4">
      <w:pPr>
        <w:rPr>
          <w:i/>
          <w:noProof/>
        </w:rPr>
      </w:pPr>
      <w:r w:rsidRPr="009C0E63">
        <w:rPr>
          <w:noProof/>
        </w:rPr>
        <w:t>Conceptul de sistem simplificat de taxe, așa-numitul „sistem de grupare a taxelor”, are la bază un model canadian în vigoare din 2012 și aplicabil mărfurilor destinate uzului privat (mărfuri trimise de la întreprindere la consumator sau de la consumator la consumator) cu o valoare de maximum 500 CAD (aproximativ 340 EUR) (</w:t>
      </w:r>
      <w:r w:rsidRPr="009C0E63">
        <w:rPr>
          <w:rStyle w:val="FootnoteReference"/>
          <w:noProof/>
        </w:rPr>
        <w:footnoteReference w:id="20"/>
      </w:r>
      <w:r w:rsidRPr="009C0E63">
        <w:rPr>
          <w:noProof/>
        </w:rPr>
        <w:t xml:space="preserve">). Potrivit acestei abordări, există un număr limitat de „grupe de taxe”, fiecare dintre ele incluzând categorii clar specificate de mărfuri cu un nivel fix al taxelor vamale. În cadrul sistemului de grupare, nivelurile taxelor aplicabile pentru produsele individuale pot fi puțin mai mari decât nivelul aplicabil bazat pe codul complet al mărfurilor. </w:t>
      </w:r>
    </w:p>
    <w:p w14:paraId="3BD899CF" w14:textId="62747452" w:rsidR="008543F4" w:rsidRPr="009C0E63" w:rsidRDefault="00CF59B4" w:rsidP="00CF59B4">
      <w:pPr>
        <w:rPr>
          <w:noProof/>
        </w:rPr>
      </w:pPr>
      <w:r w:rsidRPr="009C0E63">
        <w:rPr>
          <w:noProof/>
        </w:rPr>
        <w:t xml:space="preserve">Propunerea prevede cinci grupe de produse cu niveluri corespunzătoare ale taxei </w:t>
      </w:r>
      <w:r w:rsidRPr="009C0E63">
        <w:rPr>
          <w:i/>
          <w:noProof/>
        </w:rPr>
        <w:t>ad valorem</w:t>
      </w:r>
      <w:r w:rsidRPr="009C0E63">
        <w:rPr>
          <w:noProof/>
        </w:rPr>
        <w:t xml:space="preserve"> de 0 % (de exemplu, pentru cărți, materiale tipărite, opere de artă), 5 % (de exemplu, pentru jucării, instrumente muzicale, tacâmuri metalice), 8 % (de exemplu, pentru produse din bumbac și mătase, produse ceramice, materiale fotografice), 12 % (de exemplu, pentru articole din piele, genți de voiaj) și 17 % (de exemplu, pentru încălțăminte, sticlărie) și se referă la mărfuri care sunt identificate pe baza capitolelor din Sistemul armonizat. Cu toate acestea, operatorii economici vor trebui să indice în continuare codul de 6 cifre din Sistemul armonizat, care rămâne o cerință în cadrul informațiilor prealabile privind mărfurile în temeiul propunerii legislative privind revizuirea CVU. Mărfurile care beneficiază în prezent de un nivel al taxei </w:t>
      </w:r>
      <w:r w:rsidRPr="009C0E63">
        <w:rPr>
          <w:i/>
          <w:noProof/>
        </w:rPr>
        <w:t xml:space="preserve">erga omnes </w:t>
      </w:r>
      <w:r w:rsidRPr="009C0E63">
        <w:rPr>
          <w:noProof/>
        </w:rPr>
        <w:t>de 0 % vor continua să beneficieze de taxe zero.</w:t>
      </w:r>
    </w:p>
    <w:p w14:paraId="7F9173E3" w14:textId="77777777" w:rsidR="008543F4" w:rsidRPr="009C0E63" w:rsidRDefault="008543F4" w:rsidP="00081E69">
      <w:pPr>
        <w:rPr>
          <w:noProof/>
        </w:rPr>
      </w:pPr>
      <w:r w:rsidRPr="009C0E63">
        <w:rPr>
          <w:noProof/>
        </w:rPr>
        <w:t>Mărfurile supuse accizelor armonizate, precum și mărfurile care fac obiectul unor măsuri antidumping, antisubvenție sau de salvgardare sunt excluse din abordarea privind colectarea simplificată a taxelor.</w:t>
      </w:r>
    </w:p>
    <w:p w14:paraId="4A9D36F2" w14:textId="240FA792" w:rsidR="00707539" w:rsidRPr="009C0E63" w:rsidRDefault="00CF59B4" w:rsidP="00081E69">
      <w:pPr>
        <w:rPr>
          <w:noProof/>
        </w:rPr>
      </w:pPr>
      <w:r w:rsidRPr="009C0E63">
        <w:rPr>
          <w:noProof/>
        </w:rPr>
        <w:t>Sistemul de grupare ia ca referință nivelurile taxelor convenționale existente și nu ține seama de caracterul originar al mărfurilor. Cu toate acestea, în cazul în care operatorul economic dorește să beneficieze de tarife preferențiale prin dovedirea caracterului originar al mărfurilor, persoana respectivă poate face acest lucru prin aplicarea procedurilor standard. În mod similar, în cazul în care operatorul economic dorește să beneficieze de niveluri ale taxelor autonome mai reduse aplicabile sau de niveluri convenționale, importatorul respectiv poate face acest lucru prin aplicarea procedurilor standard.</w:t>
      </w:r>
      <w:r w:rsidR="000323E1">
        <w:rPr>
          <w:noProof/>
        </w:rPr>
        <w:t xml:space="preserve"> </w:t>
      </w:r>
      <w:r w:rsidR="00192F4D" w:rsidRPr="009C0E63">
        <w:rPr>
          <w:noProof/>
        </w:rPr>
        <w:t>Scutirea de taxe la importul de mărfuri cu o valoare totală de maximum 150 EUR pe trimitere va fi eliminată începând cu 1 martie 2028. Începând cu data respectivă, importatorii pot opta pentru utilizarea tratamentului tarifar simplificat pentru calcularea taxelor vamale datorate pentru mărfurile de import provenite din comerțul electronic, iar importatorii presupuși vor începe să furnizeze informații Centrului de date vamale al UE cu privire la tranzacțiile legate de mărfurile vândute consumatorilor din UE și expediate dintr-un teritoriu terț sau dintr-o țară terță.</w:t>
      </w:r>
    </w:p>
    <w:p w14:paraId="0C51AF65" w14:textId="77777777" w:rsidR="003D685A" w:rsidRPr="009C0E63" w:rsidRDefault="003D685A" w:rsidP="003D685A">
      <w:pPr>
        <w:rPr>
          <w:noProof/>
        </w:rPr>
        <w:sectPr w:rsidR="003D685A" w:rsidRPr="009C0E63" w:rsidSect="0004169F">
          <w:pgSz w:w="11907" w:h="16839"/>
          <w:pgMar w:top="1134" w:right="1417" w:bottom="1134" w:left="1417" w:header="709" w:footer="709" w:gutter="0"/>
          <w:cols w:space="708"/>
          <w:docGrid w:linePitch="360"/>
        </w:sectPr>
      </w:pPr>
    </w:p>
    <w:p w14:paraId="2118F82B" w14:textId="37D749CC" w:rsidR="000722BD" w:rsidRPr="009C0E63" w:rsidRDefault="006F060D" w:rsidP="006F060D">
      <w:pPr>
        <w:pStyle w:val="Rfrenceinterinstitutionnelle"/>
        <w:rPr>
          <w:noProof/>
        </w:rPr>
      </w:pPr>
      <w:r w:rsidRPr="006F060D">
        <w:t>2023/0157 (NLE)</w:t>
      </w:r>
    </w:p>
    <w:p w14:paraId="34C26220" w14:textId="0E7E6F9A" w:rsidR="003D685A" w:rsidRPr="009C0E63" w:rsidRDefault="009C0E63" w:rsidP="009C0E63">
      <w:pPr>
        <w:pStyle w:val="Statut"/>
        <w:rPr>
          <w:noProof/>
        </w:rPr>
      </w:pPr>
      <w:r w:rsidRPr="009C0E63">
        <w:rPr>
          <w:noProof/>
        </w:rPr>
        <w:t>Propunere de</w:t>
      </w:r>
    </w:p>
    <w:p w14:paraId="203B3474" w14:textId="50F851BE" w:rsidR="003D685A" w:rsidRPr="009C0E63" w:rsidRDefault="009C0E63" w:rsidP="009C0E63">
      <w:pPr>
        <w:pStyle w:val="Typedudocument"/>
        <w:rPr>
          <w:noProof/>
        </w:rPr>
      </w:pPr>
      <w:r w:rsidRPr="009C0E63">
        <w:rPr>
          <w:noProof/>
        </w:rPr>
        <w:t>REGULAMENT AL CONSILIULUI</w:t>
      </w:r>
    </w:p>
    <w:p w14:paraId="1A57FCEA" w14:textId="637EE730" w:rsidR="003D685A" w:rsidRPr="009C0E63" w:rsidRDefault="009C0E63" w:rsidP="009C0E63">
      <w:pPr>
        <w:pStyle w:val="Titreobjet"/>
        <w:rPr>
          <w:noProof/>
        </w:rPr>
      </w:pPr>
      <w:r w:rsidRPr="009C0E63">
        <w:rPr>
          <w:noProof/>
        </w:rPr>
        <w:t>de modificare a Regulamentului (CEE) nr. 2658/87 în ceea ce privește introducerea unui tratament tarifar simplificat pentru vânzarea de mărfuri la distanță și a Regulamentului (CE) nr. 1186/2009 în ceea ce privește eliminarea pragului pentru scutirea de taxe vamale</w:t>
      </w:r>
    </w:p>
    <w:p w14:paraId="3C8E6E61" w14:textId="77777777" w:rsidR="003D685A" w:rsidRPr="009C0E63" w:rsidRDefault="003D685A" w:rsidP="003D685A">
      <w:pPr>
        <w:pStyle w:val="Institutionquiagit"/>
        <w:rPr>
          <w:noProof/>
        </w:rPr>
      </w:pPr>
      <w:r w:rsidRPr="009C0E63">
        <w:rPr>
          <w:noProof/>
        </w:rPr>
        <w:t>CONSILIUL UNIUNII EUROPENE,</w:t>
      </w:r>
    </w:p>
    <w:p w14:paraId="3F2D631E" w14:textId="77777777" w:rsidR="003D685A" w:rsidRPr="009C0E63" w:rsidRDefault="003D685A" w:rsidP="003D685A">
      <w:pPr>
        <w:rPr>
          <w:noProof/>
        </w:rPr>
      </w:pPr>
      <w:r w:rsidRPr="009C0E63">
        <w:rPr>
          <w:noProof/>
        </w:rPr>
        <w:t>Având în vedere Tratatul privind funcționarea Uniunii Europene, în special articolul 31,</w:t>
      </w:r>
    </w:p>
    <w:p w14:paraId="77E1CF9E" w14:textId="079C4A29" w:rsidR="003D685A" w:rsidRPr="009C0E63" w:rsidRDefault="006B6F8B" w:rsidP="003D685A">
      <w:pPr>
        <w:rPr>
          <w:noProof/>
        </w:rPr>
      </w:pPr>
      <w:r w:rsidRPr="009C0E63">
        <w:rPr>
          <w:noProof/>
        </w:rPr>
        <w:t>având în vedere propunerea Comisiei Europene,</w:t>
      </w:r>
      <w:r w:rsidR="000323E1">
        <w:rPr>
          <w:noProof/>
        </w:rPr>
        <w:t xml:space="preserve"> </w:t>
      </w:r>
      <w:r w:rsidR="003D685A" w:rsidRPr="009C0E63">
        <w:rPr>
          <w:noProof/>
        </w:rPr>
        <w:t>întrucât:</w:t>
      </w:r>
    </w:p>
    <w:p w14:paraId="2CE6E1BA" w14:textId="094D0FD4" w:rsidR="003D685A" w:rsidRPr="009C0E63" w:rsidRDefault="00C72306" w:rsidP="00C72306">
      <w:pPr>
        <w:pStyle w:val="ManualConsidrant"/>
        <w:rPr>
          <w:noProof/>
        </w:rPr>
      </w:pPr>
      <w:r w:rsidRPr="00C72306">
        <w:t>(1)</w:t>
      </w:r>
      <w:r w:rsidRPr="00C72306">
        <w:tab/>
      </w:r>
      <w:r w:rsidR="003D685A" w:rsidRPr="009C0E63">
        <w:rPr>
          <w:noProof/>
        </w:rPr>
        <w:t>Capitolul V din Regulamentul (CE) nr. 1186/2009</w:t>
      </w:r>
      <w:r w:rsidR="003D685A" w:rsidRPr="009C0E63">
        <w:rPr>
          <w:rStyle w:val="FootnoteReference"/>
          <w:noProof/>
        </w:rPr>
        <w:footnoteReference w:id="21"/>
      </w:r>
      <w:r w:rsidR="003D685A" w:rsidRPr="009C0E63">
        <w:rPr>
          <w:noProof/>
        </w:rPr>
        <w:t xml:space="preserve"> al Consiliului prevede scutirea de taxe la import pentru mărfurile expediate direct dintr-o țară terță către un destinatar din Uniune în cadrul unor trimiteri a căror valoare intrinsecă totală nu depășește 150 EUR. Până la 1 iulie 2021, importul de mărfuri a căror valoare nu depășește 22 EUR a fost, de asemenea, scutit de la plata TVA-ului la import. Creșterea volumului importurilor cu valoare mică drept urmare a creșterii explozive a comerțului electronic și a facilităților aferente a făcut dificilă pentru autoritățile vamale impunerea respectării cerințelor fiscale și nefiscale. Prin urmare, Directiva (UE) 2017/2455</w:t>
      </w:r>
      <w:r w:rsidR="003D685A" w:rsidRPr="009C0E63">
        <w:rPr>
          <w:rStyle w:val="FootnoteReference"/>
          <w:noProof/>
        </w:rPr>
        <w:footnoteReference w:id="22"/>
      </w:r>
      <w:r w:rsidR="003D685A" w:rsidRPr="009C0E63">
        <w:rPr>
          <w:noProof/>
        </w:rPr>
        <w:t xml:space="preserve"> a Consiliului a eliminat scutirea de TVA la import pentru aceste mărfuri cu valoare mică, pentru a proteja veniturile fiscale ale statelor membre, pentru a crea condiții de concurență echitabile pentru întreprinderile în cauză și pentru a reduce la minimum sarcinile care le revin acestora. </w:t>
      </w:r>
    </w:p>
    <w:p w14:paraId="306E63D4" w14:textId="15A580DB" w:rsidR="003D685A" w:rsidRPr="009C0E63" w:rsidRDefault="00C72306" w:rsidP="00C72306">
      <w:pPr>
        <w:pStyle w:val="ManualConsidrant"/>
        <w:rPr>
          <w:noProof/>
        </w:rPr>
      </w:pPr>
      <w:r w:rsidRPr="00C72306">
        <w:t>(2)</w:t>
      </w:r>
      <w:r w:rsidRPr="00C72306">
        <w:tab/>
      </w:r>
      <w:r w:rsidR="003D685A" w:rsidRPr="009C0E63">
        <w:rPr>
          <w:noProof/>
        </w:rPr>
        <w:t>În același timp, a fost menținută scutirea de taxe vamale pentru mărfurile cu o valoare mai mică de 150 EUR, lăsând deschisă posibilitatea utilizării abuzive sistematice a acestui prag prin subevaluarea și prin divizarea artificială a trimiterilor.</w:t>
      </w:r>
    </w:p>
    <w:p w14:paraId="15F88BE4" w14:textId="1F5B890D" w:rsidR="003D685A" w:rsidRPr="009C0E63" w:rsidRDefault="00C72306" w:rsidP="00C72306">
      <w:pPr>
        <w:pStyle w:val="ManualConsidrant"/>
        <w:rPr>
          <w:noProof/>
        </w:rPr>
      </w:pPr>
      <w:r w:rsidRPr="00C72306">
        <w:t>(3)</w:t>
      </w:r>
      <w:r w:rsidRPr="00C72306">
        <w:tab/>
      </w:r>
      <w:r w:rsidR="003D685A" w:rsidRPr="009C0E63">
        <w:rPr>
          <w:noProof/>
        </w:rPr>
        <w:t>Într-un mediu vamal digitalizat în care sunt disponibile date electronice pentru toate mărfurile importate, indiferent de valoarea acestora, nu se mai justifică menținerea unei scutiri de taxe introduse cu scopul de a preveniri sarcina administrativă disproporționată pentru autoritățile vamale, întreprinderi și persoane fizice. În același timp, având în vedere volumele semnificative de importuri cu valoare mică, a devenit necesar să se protejeze interesele financiare ale Uniunii și ale statelor membre ale acesteia.</w:t>
      </w:r>
    </w:p>
    <w:p w14:paraId="7B1B756D" w14:textId="64580242" w:rsidR="003D685A" w:rsidRPr="009C0E63" w:rsidRDefault="00C72306" w:rsidP="00C72306">
      <w:pPr>
        <w:pStyle w:val="ManualConsidrant"/>
        <w:rPr>
          <w:noProof/>
        </w:rPr>
      </w:pPr>
      <w:r w:rsidRPr="00C72306">
        <w:t>(4)</w:t>
      </w:r>
      <w:r w:rsidRPr="00C72306">
        <w:tab/>
      </w:r>
      <w:r w:rsidR="003D685A" w:rsidRPr="009C0E63">
        <w:rPr>
          <w:noProof/>
        </w:rPr>
        <w:t xml:space="preserve">Prin urmare, este necesar să se elimine din capitolul V din Regulamentul (CE) nr. 1186/2009 pragul sub care mărfurile cu o valoare neglijabilă care nu depășește 150 EUR pe trimitere sunt scutite de taxe vamale la import. </w:t>
      </w:r>
    </w:p>
    <w:p w14:paraId="6774E15D" w14:textId="4E6719DD" w:rsidR="003D685A" w:rsidRPr="009C0E63" w:rsidRDefault="00C72306" w:rsidP="00C72306">
      <w:pPr>
        <w:pStyle w:val="ManualConsidrant"/>
        <w:rPr>
          <w:noProof/>
        </w:rPr>
      </w:pPr>
      <w:r w:rsidRPr="00C72306">
        <w:t>(5)</w:t>
      </w:r>
      <w:r w:rsidRPr="00C72306">
        <w:tab/>
      </w:r>
      <w:r w:rsidR="003D685A" w:rsidRPr="009C0E63">
        <w:rPr>
          <w:noProof/>
        </w:rPr>
        <w:t xml:space="preserve">Cu toate acestea, calcularea taxei aplicabile este o sarcină complexă, bazată pe clasificarea tarifară, pe valoarea în vamă și pe originea mărfurilor. Aplicarea acestei metode în comerțul electronic ar conduce adesea la o sarcină administrativă disproporționată atât pentru autoritățile vamale, cât și pentru întreprinderi. Pentru a se evita acest lucru, este necesar să li se ofere intermediarilor din sectorul comerțului electronic posibilitatea de a aplica un tratament tarifar simplificat, bazat pe un sistem de grupare pe cinci niveluri, în care fiecare dintre grupe este asociată cu un nivel diferit al taxei în legătură cu mărfurile vândute consumatorului final. Mărfurile cărora li se aplică în prezent un nivel al taxei </w:t>
      </w:r>
      <w:r w:rsidR="003D685A" w:rsidRPr="009C0E63">
        <w:rPr>
          <w:i/>
          <w:noProof/>
        </w:rPr>
        <w:t>erga omnes</w:t>
      </w:r>
      <w:r w:rsidR="003D685A" w:rsidRPr="009C0E63">
        <w:rPr>
          <w:noProof/>
        </w:rPr>
        <w:t xml:space="preserve"> de 0 % vor continua să beneficieze de taxe zero.</w:t>
      </w:r>
    </w:p>
    <w:p w14:paraId="09F695EA" w14:textId="54049223" w:rsidR="003D685A" w:rsidRPr="009C0E63" w:rsidRDefault="00C72306" w:rsidP="00C72306">
      <w:pPr>
        <w:pStyle w:val="ManualConsidrant"/>
        <w:rPr>
          <w:noProof/>
        </w:rPr>
      </w:pPr>
      <w:r w:rsidRPr="00C72306">
        <w:t>(6)</w:t>
      </w:r>
      <w:r w:rsidRPr="00C72306">
        <w:tab/>
      </w:r>
      <w:r w:rsidR="003D685A" w:rsidRPr="009C0E63">
        <w:rPr>
          <w:noProof/>
        </w:rPr>
        <w:t>Sistemul de grupare trebuie să ia ca referință nivelurile taxelor convenționale existente și nu trebuie să țină seama de caracterul originar al mărfurilor. Totuși, în cazul în care doresc să aplice niveluri ale taxelor autonome mai reduse aplicabile sau niveluri convenționale ori să beneficieze de tarife preferențiale prin dovedirea caracterului originar al mărfurilor, importatorii pot face acest lucru prin aplicarea procedurilor standard, întrucât utilizarea tratamentului tarifar simplificat este opțională.</w:t>
      </w:r>
    </w:p>
    <w:p w14:paraId="53E1DF6A" w14:textId="07D36634" w:rsidR="003D685A" w:rsidRPr="009C0E63" w:rsidRDefault="00C72306" w:rsidP="00C72306">
      <w:pPr>
        <w:pStyle w:val="ManualConsidrant"/>
        <w:rPr>
          <w:noProof/>
        </w:rPr>
      </w:pPr>
      <w:bookmarkStart w:id="3" w:name="_Hlk127291812"/>
      <w:r w:rsidRPr="00C72306">
        <w:t>(7)</w:t>
      </w:r>
      <w:r w:rsidRPr="00C72306">
        <w:tab/>
      </w:r>
      <w:r w:rsidR="003D685A" w:rsidRPr="009C0E63">
        <w:rPr>
          <w:noProof/>
        </w:rPr>
        <w:t>Mărfurile supuse accizelor armonizate și cele care fac obiectul unor măsuri antidumping, antisubvenție și de salvgardare ar trebui să fie excluse de la tratamentul tarifar simplificat pentru vânzările la distanță de mărfuri importate din țări terțe. În plus, mărfurile cuprinse în capitolele 73, 98 și 99 din Nomenclatura combinată sunt, de asemenea, excluse, deoarece importul unor astfel de mărfuri (respectiv, articole din fontă, din fier sau din oțel, fabrici complete și mărfuri importate sau exportate în circumstanțe speciale), datorită naturii lor, nu trebuie să beneficieze de nicio simplificare.</w:t>
      </w:r>
      <w:bookmarkEnd w:id="3"/>
      <w:r w:rsidR="003D685A" w:rsidRPr="009C0E63">
        <w:rPr>
          <w:noProof/>
        </w:rPr>
        <w:t xml:space="preserve"> </w:t>
      </w:r>
    </w:p>
    <w:p w14:paraId="1B44C232" w14:textId="3E84CDAE" w:rsidR="003D685A" w:rsidRPr="009C0E63" w:rsidRDefault="00C72306" w:rsidP="00C72306">
      <w:pPr>
        <w:pStyle w:val="ManualConsidrant"/>
        <w:rPr>
          <w:noProof/>
        </w:rPr>
      </w:pPr>
      <w:r w:rsidRPr="00C72306">
        <w:t>(8)</w:t>
      </w:r>
      <w:r w:rsidRPr="00C72306">
        <w:tab/>
      </w:r>
      <w:r w:rsidR="003D685A" w:rsidRPr="009C0E63">
        <w:rPr>
          <w:noProof/>
        </w:rPr>
        <w:t>În conformitate cu principiul proporționalității, astfel cum este prevăzut la articolul 5 din Tratatul privind Uniunea Europeană (TUE), prezentul regulament nu depășește ceea ce este necesar pentru îndeplinirea obiectivelor tratatelor, în special buna funcționare a uniunii vamale și a pieței unice. Proporționalitatea este asigurată de faptul că prezenta inițiativă elimină pragul pentru scutirea de taxe în ceea ce privește importul de trimiteri cu valoare mică în UE și promovează o abordare mai eficace și mai simplă pentru colectarea taxelor vamale în legătură cu mărfurile importate în cadrul vânzărilor la distanță.</w:t>
      </w:r>
    </w:p>
    <w:p w14:paraId="37DAC617" w14:textId="43736F62" w:rsidR="003D685A" w:rsidRPr="009C0E63" w:rsidRDefault="00C72306" w:rsidP="00C72306">
      <w:pPr>
        <w:pStyle w:val="ManualConsidrant"/>
        <w:rPr>
          <w:noProof/>
        </w:rPr>
      </w:pPr>
      <w:r w:rsidRPr="00C72306">
        <w:t>(9)</w:t>
      </w:r>
      <w:r w:rsidRPr="00C72306">
        <w:tab/>
      </w:r>
      <w:r w:rsidR="003D685A" w:rsidRPr="009C0E63">
        <w:rPr>
          <w:noProof/>
        </w:rPr>
        <w:t>Prin urmare, este necesar ca Regulamentele (CEE) nr. 2658/87 și (CE) nr. 1186/2009 să fie modificate în consecință,</w:t>
      </w:r>
    </w:p>
    <w:p w14:paraId="5EEE3699" w14:textId="77777777" w:rsidR="003D685A" w:rsidRPr="009C0E63" w:rsidRDefault="003D685A" w:rsidP="003D685A">
      <w:pPr>
        <w:pStyle w:val="Formuledadoption"/>
        <w:rPr>
          <w:noProof/>
        </w:rPr>
      </w:pPr>
      <w:r w:rsidRPr="009C0E63">
        <w:rPr>
          <w:noProof/>
        </w:rPr>
        <w:t>ADOPTĂ PREZENTUL REGULAMENT:</w:t>
      </w:r>
    </w:p>
    <w:p w14:paraId="77F14D60" w14:textId="77777777" w:rsidR="003D685A" w:rsidRPr="009C0E63" w:rsidRDefault="003D685A" w:rsidP="003D685A">
      <w:pPr>
        <w:pStyle w:val="Titrearticle"/>
        <w:rPr>
          <w:noProof/>
        </w:rPr>
      </w:pPr>
      <w:r w:rsidRPr="009C0E63">
        <w:rPr>
          <w:noProof/>
        </w:rPr>
        <w:t>Articolul 1</w:t>
      </w:r>
    </w:p>
    <w:p w14:paraId="7F3264EA" w14:textId="77777777" w:rsidR="003D685A" w:rsidRPr="009C0E63" w:rsidRDefault="003D685A" w:rsidP="003D685A">
      <w:pPr>
        <w:rPr>
          <w:noProof/>
        </w:rPr>
      </w:pPr>
      <w:r w:rsidRPr="009C0E63">
        <w:rPr>
          <w:noProof/>
        </w:rPr>
        <w:t xml:space="preserve">Regulamentul (CEE) nr. 2658/87 se modifică după cum urmează: </w:t>
      </w:r>
    </w:p>
    <w:p w14:paraId="4B566DC0" w14:textId="77777777" w:rsidR="003D685A" w:rsidRPr="009C0E63" w:rsidRDefault="003D685A" w:rsidP="003D685A">
      <w:pPr>
        <w:pStyle w:val="Text1"/>
        <w:rPr>
          <w:noProof/>
        </w:rPr>
      </w:pPr>
      <w:r w:rsidRPr="009C0E63">
        <w:rPr>
          <w:noProof/>
        </w:rPr>
        <w:t>(1) la articolul 1, se adaugă următoarele alineate (4) și (5):</w:t>
      </w:r>
    </w:p>
    <w:p w14:paraId="4DBD4B9F" w14:textId="77777777" w:rsidR="003D685A" w:rsidRPr="009C0E63" w:rsidRDefault="003D685A" w:rsidP="003D685A">
      <w:pPr>
        <w:pStyle w:val="Text2"/>
        <w:rPr>
          <w:noProof/>
        </w:rPr>
      </w:pPr>
      <w:r w:rsidRPr="009C0E63">
        <w:rPr>
          <w:noProof/>
        </w:rPr>
        <w:t>„(4) Prin derogare de la alineatul (3), la cererea importatorului, se percep taxe vamale la importul de mărfuri a căror livrare se califică drept «vânzări la distanță de bunuri importate din teritorii terțe sau țări terțe» în sensul articolului 14 alineatul (4) punctul 2 din Directiva 2006/112/CE, în conformitate cu tratamentul tarifar simplificat pentru vânzările la distanță prevăzut în tabelul din anexa I partea întâi secțiunea II punctul G.</w:t>
      </w:r>
    </w:p>
    <w:p w14:paraId="720AE9AD" w14:textId="77777777" w:rsidR="003D685A" w:rsidRPr="009C0E63" w:rsidRDefault="003D685A" w:rsidP="003D685A">
      <w:pPr>
        <w:pStyle w:val="Text2"/>
        <w:rPr>
          <w:noProof/>
        </w:rPr>
      </w:pPr>
      <w:r w:rsidRPr="009C0E63">
        <w:rPr>
          <w:noProof/>
        </w:rPr>
        <w:t xml:space="preserve">(5) Tratamentul tarifar simplificat pentru vânzările la distanță menționat la alineatul (4) nu se aplică în cazul </w:t>
      </w:r>
    </w:p>
    <w:p w14:paraId="27B386AA" w14:textId="77777777" w:rsidR="003D685A" w:rsidRPr="009C0E63" w:rsidRDefault="003D685A" w:rsidP="003D685A">
      <w:pPr>
        <w:pStyle w:val="Text3"/>
        <w:rPr>
          <w:noProof/>
        </w:rPr>
      </w:pPr>
      <w:r w:rsidRPr="009C0E63">
        <w:rPr>
          <w:noProof/>
        </w:rPr>
        <w:t xml:space="preserve">(a) mărfurilor </w:t>
      </w:r>
      <w:bookmarkStart w:id="4" w:name="_Hlk127291875"/>
      <w:r w:rsidRPr="009C0E63">
        <w:rPr>
          <w:noProof/>
        </w:rPr>
        <w:t xml:space="preserve">menționate la articolul 1 alineatul (1) din </w:t>
      </w:r>
      <w:bookmarkEnd w:id="4"/>
      <w:r w:rsidRPr="009C0E63">
        <w:rPr>
          <w:noProof/>
        </w:rPr>
        <w:t>Directiva (UE) 2020/262 a Consiliului</w:t>
      </w:r>
      <w:r w:rsidRPr="009C0E63">
        <w:rPr>
          <w:rStyle w:val="FootnoteReference"/>
          <w:noProof/>
        </w:rPr>
        <w:footnoteReference w:id="23"/>
      </w:r>
      <w:r w:rsidRPr="009C0E63">
        <w:rPr>
          <w:noProof/>
        </w:rPr>
        <w:t>;</w:t>
      </w:r>
    </w:p>
    <w:p w14:paraId="2D41E221" w14:textId="77777777" w:rsidR="003D685A" w:rsidRPr="009C0E63" w:rsidRDefault="003D685A" w:rsidP="003D685A">
      <w:pPr>
        <w:pStyle w:val="Text3"/>
        <w:rPr>
          <w:noProof/>
        </w:rPr>
      </w:pPr>
      <w:r w:rsidRPr="009C0E63">
        <w:rPr>
          <w:noProof/>
        </w:rPr>
        <w:t>(b) mărfurilor cărora li s-au impus măsuri în conformitate cu Regulamentul (UE) 2016/1036</w:t>
      </w:r>
      <w:r w:rsidRPr="009C0E63">
        <w:rPr>
          <w:rStyle w:val="FootnoteReference"/>
          <w:noProof/>
        </w:rPr>
        <w:footnoteReference w:id="24"/>
      </w:r>
      <w:r w:rsidRPr="009C0E63">
        <w:rPr>
          <w:noProof/>
        </w:rPr>
        <w:t>, cu Regulamentul (UE) 2016/1037</w:t>
      </w:r>
      <w:r w:rsidRPr="009C0E63">
        <w:rPr>
          <w:rStyle w:val="FootnoteReference"/>
          <w:noProof/>
        </w:rPr>
        <w:footnoteReference w:id="25"/>
      </w:r>
      <w:r w:rsidRPr="009C0E63">
        <w:rPr>
          <w:noProof/>
        </w:rPr>
        <w:t>, cu Regulamentul (UE) 2015/478</w:t>
      </w:r>
      <w:r w:rsidRPr="009C0E63">
        <w:rPr>
          <w:rStyle w:val="FootnoteReference"/>
          <w:noProof/>
        </w:rPr>
        <w:footnoteReference w:id="26"/>
      </w:r>
      <w:r w:rsidRPr="009C0E63">
        <w:rPr>
          <w:noProof/>
        </w:rPr>
        <w:t xml:space="preserve"> sau cu Regulamentul (UE) 2015/755</w:t>
      </w:r>
      <w:r w:rsidRPr="009C0E63">
        <w:rPr>
          <w:rStyle w:val="FootnoteReference"/>
          <w:noProof/>
        </w:rPr>
        <w:footnoteReference w:id="27"/>
      </w:r>
      <w:r w:rsidRPr="009C0E63">
        <w:rPr>
          <w:noProof/>
        </w:rPr>
        <w:t>, indiferent de originea lor; și</w:t>
      </w:r>
    </w:p>
    <w:p w14:paraId="538CD292" w14:textId="77777777" w:rsidR="003D685A" w:rsidRPr="009C0E63" w:rsidRDefault="003D685A" w:rsidP="003D685A">
      <w:pPr>
        <w:pStyle w:val="Text3"/>
        <w:rPr>
          <w:noProof/>
        </w:rPr>
      </w:pPr>
      <w:r w:rsidRPr="009C0E63">
        <w:rPr>
          <w:noProof/>
        </w:rPr>
        <w:t>(c) oricăror mărfuri incluse în capitolele 73, 98 și 99.”</w:t>
      </w:r>
    </w:p>
    <w:p w14:paraId="5C7708EC" w14:textId="77777777" w:rsidR="003D685A" w:rsidRPr="009C0E63" w:rsidRDefault="003D685A" w:rsidP="003D685A">
      <w:pPr>
        <w:pStyle w:val="Text1"/>
        <w:rPr>
          <w:noProof/>
        </w:rPr>
      </w:pPr>
      <w:r w:rsidRPr="009C0E63">
        <w:rPr>
          <w:noProof/>
        </w:rPr>
        <w:t>(2) Anexa I se modifică în conformitate cu anexa la prezentul regulament.</w:t>
      </w:r>
    </w:p>
    <w:p w14:paraId="5D9E366D" w14:textId="77777777" w:rsidR="003D685A" w:rsidRPr="009C0E63" w:rsidRDefault="003D685A" w:rsidP="003D685A">
      <w:pPr>
        <w:pStyle w:val="Titrearticle"/>
        <w:rPr>
          <w:noProof/>
        </w:rPr>
      </w:pPr>
      <w:r w:rsidRPr="009C0E63">
        <w:rPr>
          <w:noProof/>
        </w:rPr>
        <w:t>Articolul 2</w:t>
      </w:r>
    </w:p>
    <w:p w14:paraId="199AD4A2" w14:textId="77777777" w:rsidR="003D685A" w:rsidRPr="009C0E63" w:rsidRDefault="003D685A" w:rsidP="003D685A">
      <w:pPr>
        <w:rPr>
          <w:i/>
          <w:noProof/>
        </w:rPr>
      </w:pPr>
      <w:r w:rsidRPr="009C0E63">
        <w:rPr>
          <w:noProof/>
        </w:rPr>
        <w:t>Capitolul V din Regulamentul (CE) nr. 1186/2009 se elimină.</w:t>
      </w:r>
    </w:p>
    <w:p w14:paraId="63DC06F1" w14:textId="77777777" w:rsidR="003D685A" w:rsidRPr="009C0E63" w:rsidRDefault="003D685A" w:rsidP="003D685A">
      <w:pPr>
        <w:pStyle w:val="Titrearticle"/>
        <w:rPr>
          <w:noProof/>
        </w:rPr>
      </w:pPr>
      <w:r w:rsidRPr="009C0E63">
        <w:rPr>
          <w:noProof/>
        </w:rPr>
        <w:t>Articolul 3</w:t>
      </w:r>
    </w:p>
    <w:p w14:paraId="0B033F52" w14:textId="77777777" w:rsidR="003D685A" w:rsidRPr="009C0E63" w:rsidRDefault="003D685A" w:rsidP="003D685A">
      <w:pPr>
        <w:rPr>
          <w:noProof/>
        </w:rPr>
      </w:pPr>
      <w:r w:rsidRPr="009C0E63">
        <w:rPr>
          <w:noProof/>
        </w:rPr>
        <w:t xml:space="preserve">Prezentul regulament intră în vigoare în a douăzecea zi de la data publicării în </w:t>
      </w:r>
      <w:r w:rsidRPr="009C0E63">
        <w:rPr>
          <w:i/>
          <w:noProof/>
        </w:rPr>
        <w:t>Jurnalul Oficial al Uniunii Europene</w:t>
      </w:r>
      <w:r w:rsidRPr="009C0E63">
        <w:rPr>
          <w:noProof/>
        </w:rPr>
        <w:t>.</w:t>
      </w:r>
    </w:p>
    <w:p w14:paraId="16A0D242" w14:textId="77777777" w:rsidR="003D685A" w:rsidRPr="009C0E63" w:rsidRDefault="003D685A" w:rsidP="003D685A">
      <w:pPr>
        <w:rPr>
          <w:noProof/>
        </w:rPr>
      </w:pPr>
      <w:r w:rsidRPr="009C0E63">
        <w:rPr>
          <w:noProof/>
        </w:rPr>
        <w:t>Se aplică de la 1 martie 2028.</w:t>
      </w:r>
    </w:p>
    <w:p w14:paraId="32AEDA8F" w14:textId="77777777" w:rsidR="003D685A" w:rsidRPr="009C0E63" w:rsidRDefault="003D685A" w:rsidP="003D685A">
      <w:pPr>
        <w:pStyle w:val="Applicationdirecte"/>
        <w:rPr>
          <w:noProof/>
        </w:rPr>
      </w:pPr>
      <w:r w:rsidRPr="009C0E63">
        <w:rPr>
          <w:noProof/>
        </w:rPr>
        <w:t>Prezentul regulament este obligatoriu în toate elementele sale și se aplică direct în toate statele membre.</w:t>
      </w:r>
    </w:p>
    <w:p w14:paraId="79037CB5" w14:textId="16B311E5" w:rsidR="003D685A" w:rsidRPr="009C0E63" w:rsidRDefault="00D92341" w:rsidP="00335232">
      <w:pPr>
        <w:pStyle w:val="Fait"/>
        <w:rPr>
          <w:noProof/>
        </w:rPr>
      </w:pPr>
      <w:r w:rsidRPr="00D92341">
        <w:t>Adoptat la Bruxelles,</w:t>
      </w:r>
    </w:p>
    <w:p w14:paraId="15D42704" w14:textId="77777777" w:rsidR="003D685A" w:rsidRPr="009C0E63" w:rsidRDefault="003D685A" w:rsidP="00335232">
      <w:pPr>
        <w:pStyle w:val="Institutionquisigne"/>
        <w:rPr>
          <w:noProof/>
        </w:rPr>
      </w:pPr>
      <w:r w:rsidRPr="009C0E63">
        <w:rPr>
          <w:noProof/>
        </w:rPr>
        <w:tab/>
        <w:t>Pentru Consiliu,</w:t>
      </w:r>
    </w:p>
    <w:p w14:paraId="44858453" w14:textId="4E7F5640" w:rsidR="00B462E6" w:rsidRPr="009C0E63" w:rsidRDefault="003D685A" w:rsidP="00CE5669">
      <w:pPr>
        <w:pStyle w:val="Personnequisigne"/>
        <w:rPr>
          <w:noProof/>
        </w:rPr>
      </w:pPr>
      <w:r w:rsidRPr="009C0E63">
        <w:rPr>
          <w:noProof/>
        </w:rPr>
        <w:tab/>
        <w:t>Președintele</w:t>
      </w:r>
    </w:p>
    <w:sectPr w:rsidR="00B462E6" w:rsidRPr="009C0E63" w:rsidSect="0004169F">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0E796" w14:textId="77777777" w:rsidR="008934B1" w:rsidRDefault="008934B1" w:rsidP="00F92B6D">
      <w:pPr>
        <w:spacing w:before="0" w:after="0"/>
      </w:pPr>
      <w:r>
        <w:separator/>
      </w:r>
    </w:p>
  </w:endnote>
  <w:endnote w:type="continuationSeparator" w:id="0">
    <w:p w14:paraId="08D2AA92" w14:textId="77777777" w:rsidR="008934B1" w:rsidRDefault="008934B1" w:rsidP="00F92B6D">
      <w:pPr>
        <w:spacing w:before="0" w:after="0"/>
      </w:pPr>
      <w:r>
        <w:continuationSeparator/>
      </w:r>
    </w:p>
  </w:endnote>
  <w:endnote w:type="continuationNotice" w:id="1">
    <w:p w14:paraId="64A5CB35" w14:textId="77777777" w:rsidR="008934B1" w:rsidRDefault="008934B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E674B" w14:textId="305B3F5E" w:rsidR="0020285B" w:rsidRPr="0004169F" w:rsidRDefault="0004169F" w:rsidP="0004169F">
    <w:pPr>
      <w:pStyle w:val="Footer"/>
      <w:rPr>
        <w:rFonts w:ascii="Arial" w:hAnsi="Arial" w:cs="Arial"/>
        <w:b/>
        <w:sz w:val="48"/>
      </w:rPr>
    </w:pPr>
    <w:r w:rsidRPr="0004169F">
      <w:rPr>
        <w:rFonts w:ascii="Arial" w:hAnsi="Arial" w:cs="Arial"/>
        <w:b/>
        <w:sz w:val="48"/>
      </w:rPr>
      <w:t>RO</w:t>
    </w:r>
    <w:r w:rsidRPr="0004169F">
      <w:rPr>
        <w:rFonts w:ascii="Arial" w:hAnsi="Arial" w:cs="Arial"/>
        <w:b/>
        <w:sz w:val="48"/>
      </w:rPr>
      <w:tab/>
    </w:r>
    <w:r w:rsidRPr="0004169F">
      <w:rPr>
        <w:rFonts w:ascii="Arial" w:hAnsi="Arial" w:cs="Arial"/>
        <w:b/>
        <w:sz w:val="48"/>
      </w:rPr>
      <w:tab/>
    </w:r>
    <w:r w:rsidRPr="0004169F">
      <w:tab/>
    </w:r>
    <w:r w:rsidRPr="0004169F">
      <w:rPr>
        <w:rFonts w:ascii="Arial" w:hAnsi="Arial" w:cs="Arial"/>
        <w:b/>
        <w:sz w:val="48"/>
      </w:rPr>
      <w:t>RO</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383C9" w14:textId="40519FB2" w:rsidR="0004169F" w:rsidRPr="0004169F" w:rsidRDefault="0004169F" w:rsidP="0004169F">
    <w:pPr>
      <w:pStyle w:val="Footer"/>
      <w:rPr>
        <w:rFonts w:ascii="Arial" w:hAnsi="Arial" w:cs="Arial"/>
        <w:b/>
        <w:sz w:val="48"/>
      </w:rPr>
    </w:pPr>
    <w:r w:rsidRPr="0004169F">
      <w:rPr>
        <w:rFonts w:ascii="Arial" w:hAnsi="Arial" w:cs="Arial"/>
        <w:b/>
        <w:sz w:val="48"/>
      </w:rPr>
      <w:t>RO</w:t>
    </w:r>
    <w:r w:rsidRPr="0004169F">
      <w:rPr>
        <w:rFonts w:ascii="Arial" w:hAnsi="Arial" w:cs="Arial"/>
        <w:b/>
        <w:sz w:val="48"/>
      </w:rPr>
      <w:tab/>
    </w:r>
    <w:r>
      <w:fldChar w:fldCharType="begin"/>
    </w:r>
    <w:r>
      <w:instrText xml:space="preserve"> PAGE  \* MERGEFORMAT </w:instrText>
    </w:r>
    <w:r>
      <w:fldChar w:fldCharType="separate"/>
    </w:r>
    <w:r w:rsidR="00335232">
      <w:rPr>
        <w:noProof/>
      </w:rPr>
      <w:t>13</w:t>
    </w:r>
    <w:r>
      <w:fldChar w:fldCharType="end"/>
    </w:r>
    <w:r>
      <w:tab/>
    </w:r>
    <w:r w:rsidRPr="0004169F">
      <w:tab/>
    </w:r>
    <w:r w:rsidRPr="0004169F">
      <w:rPr>
        <w:rFonts w:ascii="Arial" w:hAnsi="Arial" w:cs="Arial"/>
        <w:b/>
        <w:sz w:val="48"/>
      </w:rPr>
      <w:t>RO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5832D" w14:textId="77777777" w:rsidR="0004169F" w:rsidRPr="0004169F" w:rsidRDefault="0004169F" w:rsidP="00041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A3C29B" w14:textId="77777777" w:rsidR="008934B1" w:rsidRDefault="008934B1" w:rsidP="00F92B6D">
      <w:pPr>
        <w:spacing w:before="0" w:after="0"/>
      </w:pPr>
      <w:r>
        <w:separator/>
      </w:r>
    </w:p>
  </w:footnote>
  <w:footnote w:type="continuationSeparator" w:id="0">
    <w:p w14:paraId="7F8DA473" w14:textId="77777777" w:rsidR="008934B1" w:rsidRDefault="008934B1" w:rsidP="00F92B6D">
      <w:pPr>
        <w:spacing w:before="0" w:after="0"/>
      </w:pPr>
      <w:r>
        <w:continuationSeparator/>
      </w:r>
    </w:p>
  </w:footnote>
  <w:footnote w:type="continuationNotice" w:id="1">
    <w:p w14:paraId="05E9258E" w14:textId="77777777" w:rsidR="008934B1" w:rsidRDefault="008934B1">
      <w:pPr>
        <w:spacing w:before="0" w:after="0"/>
      </w:pPr>
    </w:p>
  </w:footnote>
  <w:footnote w:id="2">
    <w:p w14:paraId="5CFFAFBA" w14:textId="34D23580" w:rsidR="00747949" w:rsidRPr="00DD6FD9" w:rsidRDefault="00747949" w:rsidP="00747949">
      <w:pPr>
        <w:pStyle w:val="FootnoteText"/>
      </w:pPr>
      <w:r>
        <w:rPr>
          <w:rStyle w:val="FootnoteReference"/>
        </w:rPr>
        <w:footnoteRef/>
      </w:r>
      <w:r>
        <w:tab/>
        <w:t>JO C , , p. .</w:t>
      </w:r>
    </w:p>
  </w:footnote>
  <w:footnote w:id="3">
    <w:p w14:paraId="58055E64" w14:textId="5E44965A" w:rsidR="00747949" w:rsidRPr="00DD6FD9" w:rsidRDefault="00747949" w:rsidP="00747949">
      <w:pPr>
        <w:pStyle w:val="FootnoteText"/>
      </w:pPr>
      <w:r>
        <w:rPr>
          <w:rStyle w:val="FootnoteReference"/>
        </w:rPr>
        <w:footnoteRef/>
      </w:r>
      <w:r>
        <w:tab/>
        <w:t>JO C , , p. .</w:t>
      </w:r>
    </w:p>
  </w:footnote>
  <w:footnote w:id="4">
    <w:p w14:paraId="61030AC7" w14:textId="77777777" w:rsidR="005D214B" w:rsidRPr="00FB37B6" w:rsidRDefault="005D214B" w:rsidP="005D214B">
      <w:pPr>
        <w:pStyle w:val="FootnoteText"/>
      </w:pPr>
      <w:r>
        <w:rPr>
          <w:rStyle w:val="FootnoteReference"/>
        </w:rPr>
        <w:footnoteRef/>
      </w:r>
      <w:r>
        <w:tab/>
      </w:r>
      <w:r>
        <w:rPr>
          <w:sz w:val="18"/>
        </w:rPr>
        <w:t>Regulamentul (UE, Euratom) nr. 609/2014 al Consiliului din 26 mai 2014 privind metodele și procedura de punere la dispoziție a resurselor proprii tradiționale și a resurselor proprii bazate pe TVA și pe VNB și privind măsurile pentru a răspunde necesităților trezoreriei (reformare) (JO L 168, 7.6.2014, p. 39).</w:t>
      </w:r>
    </w:p>
  </w:footnote>
  <w:footnote w:id="5">
    <w:p w14:paraId="4CC15613" w14:textId="77777777" w:rsidR="000B189B" w:rsidRPr="009C0E63" w:rsidRDefault="000B189B" w:rsidP="0047008C">
      <w:pPr>
        <w:pStyle w:val="FootnoteText"/>
        <w:rPr>
          <w:sz w:val="18"/>
          <w:lang w:val="es-ES_tradnl"/>
        </w:rPr>
      </w:pPr>
      <w:r>
        <w:rPr>
          <w:rStyle w:val="FootnoteReference"/>
        </w:rPr>
        <w:footnoteRef/>
      </w:r>
      <w:r>
        <w:tab/>
      </w:r>
      <w:r>
        <w:rPr>
          <w:sz w:val="18"/>
        </w:rPr>
        <w:t xml:space="preserve">Între 1 ianuarie 2022 și 31 decembrie 2022, „comercianții tradiționali” au depus peste 405 milioane de declarații de import pentru o valoare de 2 907 miliarde EUR. În schimb, au fost înregistrate 1,1 miliarde de declarații vamale foarte reduse (la nivel de articol) pentru mărfuri de maximum 150 EUR, cu o valoare totală declarată de 12,3 miliarde EUR. </w:t>
      </w:r>
      <w:r w:rsidRPr="009C0E63">
        <w:rPr>
          <w:sz w:val="18"/>
          <w:lang w:val="es-ES_tradnl"/>
        </w:rPr>
        <w:t>Rezultă o valoare medie declarată pe articol de aproximativ 11,00 EUR.</w:t>
      </w:r>
    </w:p>
  </w:footnote>
  <w:footnote w:id="6">
    <w:p w14:paraId="300FF251" w14:textId="77777777" w:rsidR="000B189B" w:rsidRPr="009C0E63" w:rsidRDefault="000B189B" w:rsidP="0047008C">
      <w:pPr>
        <w:pStyle w:val="FootnoteText"/>
        <w:rPr>
          <w:sz w:val="18"/>
          <w:lang w:val="es-ES_tradnl"/>
        </w:rPr>
      </w:pPr>
      <w:r>
        <w:rPr>
          <w:rStyle w:val="FootnoteReference"/>
        </w:rPr>
        <w:footnoteRef/>
      </w:r>
      <w:r w:rsidRPr="009C0E63">
        <w:rPr>
          <w:lang w:val="es-ES_tradnl"/>
        </w:rPr>
        <w:tab/>
      </w:r>
      <w:r w:rsidRPr="009C0E63">
        <w:rPr>
          <w:sz w:val="18"/>
          <w:lang w:val="es-ES_tradnl"/>
        </w:rPr>
        <w:t>Articolul 23 din Regulamentul privind scutirile de taxe vamale [Regulamentul (CE) nr. 1186/2009 al Consiliului (Jurnalul Oficial L 324, 10.12.2009, p. 1)].</w:t>
      </w:r>
    </w:p>
  </w:footnote>
  <w:footnote w:id="7">
    <w:p w14:paraId="6ECFD7FA" w14:textId="77777777" w:rsidR="000B189B" w:rsidRPr="009C0E63" w:rsidRDefault="000B189B" w:rsidP="0047008C">
      <w:pPr>
        <w:pStyle w:val="FootnoteText"/>
        <w:rPr>
          <w:sz w:val="18"/>
          <w:lang w:val="es-ES_tradnl"/>
        </w:rPr>
      </w:pPr>
      <w:r>
        <w:rPr>
          <w:rStyle w:val="FootnoteReference"/>
        </w:rPr>
        <w:footnoteRef/>
      </w:r>
      <w:r w:rsidRPr="009C0E63">
        <w:rPr>
          <w:lang w:val="es-ES_tradnl"/>
        </w:rPr>
        <w:tab/>
      </w:r>
      <w:r w:rsidRPr="009C0E63">
        <w:rPr>
          <w:sz w:val="18"/>
          <w:lang w:val="es-ES_tradnl"/>
        </w:rPr>
        <w:t>Directiva (UE) 2017/2455 a Consiliului din 5 decembrie 2017 de modificare a Directivei 2006/112/CE și a Directivei 2009/132/CE în ceea ce privește anumite obligații privind taxa pe valoarea adăugată pentru prestările de servicii și vânzările de bunuri la distanță (JO L 348, 29.12.2017, p. 7).</w:t>
      </w:r>
    </w:p>
  </w:footnote>
  <w:footnote w:id="8">
    <w:p w14:paraId="369D87C2" w14:textId="77777777" w:rsidR="000B189B" w:rsidRPr="009C0E63" w:rsidRDefault="000B189B" w:rsidP="00291C67">
      <w:pPr>
        <w:pStyle w:val="FootnoteText"/>
        <w:rPr>
          <w:lang w:val="es-ES_tradnl"/>
        </w:rPr>
      </w:pPr>
      <w:r>
        <w:rPr>
          <w:rStyle w:val="FootnoteReference"/>
        </w:rPr>
        <w:footnoteRef/>
      </w:r>
      <w:r w:rsidRPr="009C0E63">
        <w:rPr>
          <w:lang w:val="es-ES_tradnl"/>
        </w:rPr>
        <w:tab/>
      </w:r>
      <w:r w:rsidRPr="009C0E63">
        <w:rPr>
          <w:sz w:val="18"/>
          <w:lang w:val="es-ES_tradnl"/>
        </w:rPr>
        <w:t>A se vedea Documentul de lucru al serviciilor Comisiei – Evaluarea impactului care însoțește Propunerea de directivă a Consiliului de modificare a Directivei 2006/112/CE în ceea ce privește normele în materie de TVA pentru era digitală [</w:t>
      </w:r>
      <w:hyperlink r:id="rId1" w:history="1">
        <w:r w:rsidRPr="009C0E63">
          <w:rPr>
            <w:rStyle w:val="Hyperlink"/>
            <w:sz w:val="18"/>
            <w:lang w:val="es-ES_tradnl"/>
          </w:rPr>
          <w:t>SWD (2022) 393 final</w:t>
        </w:r>
      </w:hyperlink>
      <w:r w:rsidRPr="009C0E63">
        <w:rPr>
          <w:sz w:val="18"/>
          <w:lang w:val="es-ES_tradnl"/>
        </w:rPr>
        <w:t xml:space="preserve">]. </w:t>
      </w:r>
    </w:p>
  </w:footnote>
  <w:footnote w:id="9">
    <w:p w14:paraId="546DF3B8" w14:textId="77777777" w:rsidR="000B189B" w:rsidRPr="00092EED" w:rsidRDefault="000B189B" w:rsidP="005D309A">
      <w:pPr>
        <w:pStyle w:val="FootnoteText"/>
        <w:rPr>
          <w:rFonts w:cstheme="minorHAnsi"/>
          <w:sz w:val="18"/>
        </w:rPr>
      </w:pPr>
      <w:r>
        <w:rPr>
          <w:rStyle w:val="FootnoteReference"/>
        </w:rPr>
        <w:footnoteRef/>
      </w:r>
      <w:r>
        <w:tab/>
      </w:r>
      <w:r>
        <w:rPr>
          <w:sz w:val="18"/>
        </w:rPr>
        <w:t xml:space="preserve">Copenhagen Economics (2016), </w:t>
      </w:r>
      <w:r>
        <w:rPr>
          <w:i/>
          <w:iCs/>
          <w:sz w:val="18"/>
        </w:rPr>
        <w:t>E-commerce imports into Europe: VAT and Customs treatment</w:t>
      </w:r>
      <w:r>
        <w:rPr>
          <w:sz w:val="18"/>
        </w:rPr>
        <w:t xml:space="preserve"> (Importurile prin comerț electronic în Europa: TVA-ul și tratamentul vamal).</w:t>
      </w:r>
    </w:p>
  </w:footnote>
  <w:footnote w:id="10">
    <w:p w14:paraId="192BB64F" w14:textId="77777777" w:rsidR="000B189B" w:rsidRPr="009C0E63" w:rsidRDefault="000B189B" w:rsidP="005D309A">
      <w:pPr>
        <w:pStyle w:val="FootnoteText"/>
        <w:rPr>
          <w:rFonts w:cstheme="minorHAnsi"/>
          <w:sz w:val="18"/>
          <w:lang w:val="es-ES_tradnl"/>
        </w:rPr>
      </w:pPr>
      <w:r>
        <w:rPr>
          <w:rStyle w:val="FootnoteReference"/>
        </w:rPr>
        <w:footnoteRef/>
      </w:r>
      <w:r w:rsidRPr="009C0E63">
        <w:rPr>
          <w:lang w:val="es-ES_tradnl"/>
        </w:rPr>
        <w:tab/>
      </w:r>
      <w:hyperlink r:id="rId2" w:history="1">
        <w:r w:rsidRPr="009C0E63">
          <w:rPr>
            <w:rStyle w:val="Hyperlink"/>
            <w:sz w:val="18"/>
            <w:lang w:val="es-ES_tradnl"/>
          </w:rPr>
          <w:t>Raportul special nr. 19/2017 al CCE - Procedurile de import:</w:t>
        </w:r>
      </w:hyperlink>
      <w:hyperlink r:id="rId3" w:history="1">
        <w:r w:rsidRPr="009C0E63">
          <w:rPr>
            <w:rStyle w:val="Hyperlink"/>
            <w:sz w:val="18"/>
            <w:lang w:val="es-ES_tradnl"/>
          </w:rPr>
          <w:t xml:space="preserve"> deficiențele cadrului juridic și aplicarea ineficace afectează interesele financiare ale UE</w:t>
        </w:r>
      </w:hyperlink>
      <w:r w:rsidRPr="009C0E63">
        <w:rPr>
          <w:lang w:val="es-ES_tradnl"/>
        </w:rPr>
        <w:t>.</w:t>
      </w:r>
    </w:p>
  </w:footnote>
  <w:footnote w:id="11">
    <w:p w14:paraId="3CFDADB8" w14:textId="77777777" w:rsidR="000B189B" w:rsidRPr="009C0E63" w:rsidRDefault="000B189B" w:rsidP="005D309A">
      <w:pPr>
        <w:pStyle w:val="FootnoteText"/>
        <w:rPr>
          <w:rFonts w:cstheme="minorHAnsi"/>
          <w:lang w:val="es-ES_tradnl"/>
        </w:rPr>
      </w:pPr>
      <w:r>
        <w:rPr>
          <w:rStyle w:val="FootnoteReference"/>
        </w:rPr>
        <w:footnoteRef/>
      </w:r>
      <w:r w:rsidRPr="009C0E63">
        <w:rPr>
          <w:lang w:val="es-ES_tradnl"/>
        </w:rPr>
        <w:tab/>
      </w:r>
      <w:r w:rsidRPr="009C0E63">
        <w:rPr>
          <w:sz w:val="18"/>
          <w:lang w:val="es-ES_tradnl"/>
        </w:rPr>
        <w:t>Raportul special nr. 12/2019 al CCE, punctele 81-88.</w:t>
      </w:r>
    </w:p>
  </w:footnote>
  <w:footnote w:id="12">
    <w:p w14:paraId="6AFE4E72" w14:textId="77777777" w:rsidR="000B189B" w:rsidRPr="00601C66" w:rsidRDefault="000B189B" w:rsidP="0047008C">
      <w:pPr>
        <w:pStyle w:val="FootnoteText"/>
        <w:rPr>
          <w:sz w:val="18"/>
        </w:rPr>
      </w:pPr>
      <w:r>
        <w:rPr>
          <w:rStyle w:val="FootnoteReference"/>
        </w:rPr>
        <w:footnoteRef/>
      </w:r>
      <w:r w:rsidRPr="009C0E63">
        <w:rPr>
          <w:lang w:val="es-ES_tradnl"/>
        </w:rPr>
        <w:tab/>
      </w:r>
      <w:hyperlink r:id="rId4" w:history="1">
        <w:r w:rsidRPr="009C0E63">
          <w:rPr>
            <w:rStyle w:val="Hyperlink"/>
            <w:sz w:val="18"/>
            <w:lang w:val="es-ES_tradnl"/>
          </w:rPr>
          <w:t>Grupul de experți eminenți privind provocările cu care se confruntă uniunea vamală</w:t>
        </w:r>
      </w:hyperlink>
      <w:r w:rsidRPr="009C0E63">
        <w:rPr>
          <w:sz w:val="18"/>
          <w:lang w:val="es-ES_tradnl"/>
        </w:rPr>
        <w:t xml:space="preserve"> a fost alcătuit din 12 membri importanți din sectorul public sau privat, cu experiență în domeniul vamal, al comerțului electronic, al gestionării riscurilor, al lanțului internațional de aprovizionare, al tehnologiei informației și analizei datelor, al legislației privind piața internă și al dreptului comercial internațional. Grupul, condus de dna Arancha González Laya, fost ministru al afacerilor externe, Uniunii Europene și cooperării din Spania, a organizat audieri cu 48 de </w:t>
      </w:r>
      <w:hyperlink r:id="rId5" w:history="1">
        <w:r w:rsidRPr="009C0E63">
          <w:rPr>
            <w:rStyle w:val="Hyperlink"/>
            <w:sz w:val="18"/>
            <w:lang w:val="es-ES_tradnl"/>
          </w:rPr>
          <w:t>interlocutori</w:t>
        </w:r>
      </w:hyperlink>
      <w:r w:rsidRPr="009C0E63">
        <w:rPr>
          <w:sz w:val="18"/>
          <w:lang w:val="es-ES_tradnl"/>
        </w:rPr>
        <w:t xml:space="preserve"> și o </w:t>
      </w:r>
      <w:hyperlink r:id="rId6" w:history="1">
        <w:r w:rsidRPr="009C0E63">
          <w:rPr>
            <w:rStyle w:val="Hyperlink"/>
            <w:sz w:val="18"/>
            <w:lang w:val="es-ES_tradnl"/>
          </w:rPr>
          <w:t>consultare deschisă</w:t>
        </w:r>
      </w:hyperlink>
      <w:r w:rsidRPr="009C0E63">
        <w:rPr>
          <w:sz w:val="18"/>
          <w:lang w:val="es-ES_tradnl"/>
        </w:rPr>
        <w:t xml:space="preserve">. </w:t>
      </w:r>
      <w:hyperlink r:id="rId7" w:history="1">
        <w:r>
          <w:rPr>
            <w:rStyle w:val="Hyperlink"/>
            <w:sz w:val="18"/>
          </w:rPr>
          <w:t>Raportul</w:t>
        </w:r>
      </w:hyperlink>
      <w:r>
        <w:rPr>
          <w:sz w:val="18"/>
        </w:rPr>
        <w:t xml:space="preserve"> a fost publicat la 30 martie 2022.</w:t>
      </w:r>
    </w:p>
  </w:footnote>
  <w:footnote w:id="13">
    <w:p w14:paraId="39146D1E" w14:textId="77777777" w:rsidR="000B189B" w:rsidRPr="00A74461" w:rsidRDefault="000B189B" w:rsidP="001C2B0B">
      <w:pPr>
        <w:pStyle w:val="FootnoteText"/>
        <w:rPr>
          <w:sz w:val="18"/>
        </w:rPr>
      </w:pPr>
      <w:r>
        <w:rPr>
          <w:rStyle w:val="FootnoteReference"/>
        </w:rPr>
        <w:footnoteRef/>
      </w:r>
      <w:r>
        <w:tab/>
      </w:r>
      <w:r>
        <w:rPr>
          <w:sz w:val="18"/>
        </w:rPr>
        <w:t>Comunicare a Comisiei către Parlamentul European, Consiliu și Comitetul Economic și Social European – Trecerea uniunii vamale la o etapă superioară: un plan de acțiune, Bruxelles, 28.9.2020 [</w:t>
      </w:r>
      <w:hyperlink r:id="rId8" w:history="1">
        <w:r>
          <w:rPr>
            <w:rStyle w:val="Hyperlink"/>
            <w:sz w:val="18"/>
          </w:rPr>
          <w:t>customs-action-plan-2020_ro.pdf (europa.eu)</w:t>
        </w:r>
      </w:hyperlink>
      <w:r>
        <w:rPr>
          <w:sz w:val="18"/>
        </w:rPr>
        <w:t>].</w:t>
      </w:r>
    </w:p>
  </w:footnote>
  <w:footnote w:id="14">
    <w:p w14:paraId="5FAADB8F" w14:textId="77777777" w:rsidR="000B189B" w:rsidRPr="00527194" w:rsidRDefault="000B189B" w:rsidP="001C2B0B">
      <w:pPr>
        <w:pStyle w:val="FootnoteText"/>
        <w:rPr>
          <w:sz w:val="18"/>
        </w:rPr>
      </w:pPr>
      <w:r>
        <w:rPr>
          <w:rStyle w:val="FootnoteReference"/>
        </w:rPr>
        <w:footnoteRef/>
      </w:r>
      <w:r>
        <w:tab/>
      </w:r>
      <w:r>
        <w:rPr>
          <w:sz w:val="18"/>
        </w:rPr>
        <w:t>COM(2022) 701, 703, 704.</w:t>
      </w:r>
    </w:p>
  </w:footnote>
  <w:footnote w:id="15">
    <w:p w14:paraId="38B5D79D" w14:textId="77777777" w:rsidR="000B189B" w:rsidRPr="00312793" w:rsidRDefault="000B189B" w:rsidP="00527194">
      <w:pPr>
        <w:pStyle w:val="FootnoteText"/>
        <w:rPr>
          <w:sz w:val="18"/>
        </w:rPr>
      </w:pPr>
      <w:r>
        <w:rPr>
          <w:rStyle w:val="FootnoteReference"/>
        </w:rPr>
        <w:footnoteRef/>
      </w:r>
      <w:r>
        <w:tab/>
      </w:r>
      <w:r>
        <w:rPr>
          <w:sz w:val="18"/>
        </w:rPr>
        <w:t>Propunere de Directivă a Consiliului de modificare a Directivei 2006/112/CE în ceea ce privește dispozițiile privind taxa pe valoarea adăugată referitoare la persoanele impozabile care facilitează vânzările la distanță de mărfuri importate și aplicarea regimului special pentru vânzările la distanță de mărfuri importate din teritorii terțe sau țări terțe și regimul special pentru declararea și plata TVA-ului la import</w:t>
      </w:r>
      <w:r>
        <w:t>.</w:t>
      </w:r>
    </w:p>
  </w:footnote>
  <w:footnote w:id="16">
    <w:p w14:paraId="331D73A2" w14:textId="77777777" w:rsidR="000B189B" w:rsidRPr="009C0E63" w:rsidRDefault="000B189B" w:rsidP="001C2B0B">
      <w:pPr>
        <w:pStyle w:val="FootnoteText"/>
        <w:rPr>
          <w:lang w:val="es-ES_tradnl"/>
        </w:rPr>
      </w:pPr>
      <w:r>
        <w:rPr>
          <w:rStyle w:val="FootnoteReference"/>
        </w:rPr>
        <w:footnoteRef/>
      </w:r>
      <w:r>
        <w:tab/>
      </w:r>
      <w:r>
        <w:rPr>
          <w:sz w:val="18"/>
        </w:rPr>
        <w:t xml:space="preserve">Planurile de redresare și reziliență ale statelor membre prevăd o gamă largă de reforme menite să îmbunătățească mediul de afaceri și să favorizeze adoptarea tehnologiilor digitale și verzi. </w:t>
      </w:r>
      <w:r w:rsidRPr="009C0E63">
        <w:rPr>
          <w:sz w:val="18"/>
          <w:lang w:val="es-ES_tradnl"/>
        </w:rPr>
        <w:t>În completarea acestor reforme, se fac eforturi importante de digitalizare a administrațiilor fiscale, ca sector strategic al administrației publice. [Strategia anuală pentru 2022 privind creșterea durabilă - COM(2021) 740 final].</w:t>
      </w:r>
    </w:p>
  </w:footnote>
  <w:footnote w:id="17">
    <w:p w14:paraId="0BE9E047" w14:textId="77777777" w:rsidR="000B189B" w:rsidRPr="009C0E63" w:rsidRDefault="000B189B" w:rsidP="00667A09">
      <w:pPr>
        <w:pStyle w:val="FootnoteText"/>
        <w:rPr>
          <w:lang w:val="es-ES_tradnl"/>
        </w:rPr>
      </w:pPr>
      <w:r>
        <w:rPr>
          <w:rStyle w:val="FootnoteReference"/>
        </w:rPr>
        <w:footnoteRef/>
      </w:r>
      <w:r w:rsidRPr="009C0E63">
        <w:rPr>
          <w:lang w:val="es-ES_tradnl"/>
        </w:rPr>
        <w:tab/>
        <w:t>Evaluarea celei de a doua versiuni a raportului final este încă în desfășurare la momentul propunerii.</w:t>
      </w:r>
    </w:p>
  </w:footnote>
  <w:footnote w:id="18">
    <w:p w14:paraId="264DAFC7" w14:textId="77777777" w:rsidR="000B189B" w:rsidRPr="009C0E63" w:rsidRDefault="000B189B" w:rsidP="008E1E93">
      <w:pPr>
        <w:pStyle w:val="FootnoteText"/>
        <w:rPr>
          <w:lang w:val="fr-BE"/>
        </w:rPr>
      </w:pPr>
      <w:r>
        <w:rPr>
          <w:rStyle w:val="FootnoteReference"/>
        </w:rPr>
        <w:footnoteRef/>
      </w:r>
      <w:r w:rsidRPr="009C0E63">
        <w:rPr>
          <w:lang w:val="fr-BE"/>
        </w:rPr>
        <w:tab/>
        <w:t xml:space="preserve">În total, cinci răspunsuri (din 69) au trebuit să fie ignorate pentru analiza chestionarului. Un răspuns a fost furnizat de o autoritate vamală a unui stat membru și a fost luat în considerare în evaluarea sondajului efectuat de autoritățile naționale. Alte patru răspunsuri au fost furnizate fără niciun conținut factual și, prin urmare, nu au fost luate în considerare pentru analiză. </w:t>
      </w:r>
    </w:p>
  </w:footnote>
  <w:footnote w:id="19">
    <w:p w14:paraId="7C45D31F" w14:textId="77777777" w:rsidR="002B5458" w:rsidRPr="009C0E63" w:rsidRDefault="002B5458" w:rsidP="002B5458">
      <w:pPr>
        <w:pStyle w:val="FootnoteText"/>
        <w:rPr>
          <w:lang w:val="fr-BE"/>
        </w:rPr>
      </w:pPr>
      <w:r>
        <w:rPr>
          <w:rStyle w:val="FootnoteReference"/>
        </w:rPr>
        <w:footnoteRef/>
      </w:r>
      <w:r w:rsidRPr="009C0E63">
        <w:rPr>
          <w:lang w:val="fr-BE"/>
        </w:rPr>
        <w:tab/>
        <w:t>SWD(2023)140.</w:t>
      </w:r>
    </w:p>
  </w:footnote>
  <w:footnote w:id="20">
    <w:p w14:paraId="4B2105FC" w14:textId="77777777" w:rsidR="000B189B" w:rsidRPr="009C0E63" w:rsidRDefault="000B189B" w:rsidP="00CF59B4">
      <w:pPr>
        <w:pStyle w:val="FootnoteText"/>
        <w:rPr>
          <w:sz w:val="18"/>
          <w:lang w:val="fr-BE"/>
        </w:rPr>
      </w:pPr>
      <w:r>
        <w:rPr>
          <w:rStyle w:val="FootnoteReference"/>
        </w:rPr>
        <w:footnoteRef/>
      </w:r>
      <w:r w:rsidRPr="009C0E63">
        <w:rPr>
          <w:lang w:val="fr-BE"/>
        </w:rPr>
        <w:tab/>
      </w:r>
      <w:hyperlink r:id="rId9" w:history="1">
        <w:r w:rsidRPr="009C0E63">
          <w:rPr>
            <w:rStyle w:val="Hyperlink"/>
            <w:i/>
            <w:iCs/>
            <w:sz w:val="18"/>
            <w:lang w:val="fr-BE"/>
          </w:rPr>
          <w:t xml:space="preserve">Canada’s Low-Value Shipments Policy Regarding the Application of Customs Duties </w:t>
        </w:r>
        <w:r w:rsidRPr="009C0E63">
          <w:rPr>
            <w:rStyle w:val="Hyperlink"/>
            <w:sz w:val="18"/>
            <w:lang w:val="fr-BE"/>
          </w:rPr>
          <w:t>(Politica din Canada în materie de expedieri cu valoare mică în ceea ce privește aplicarea taxelor vamale),</w:t>
        </w:r>
      </w:hyperlink>
      <w:r w:rsidRPr="009C0E63">
        <w:rPr>
          <w:sz w:val="18"/>
          <w:lang w:val="fr-BE"/>
        </w:rPr>
        <w:t xml:space="preserve"> Grupul de lucru al OMC privind microîntreprinderile și întreprinderile mici și mijlocii, septembrie 2021.</w:t>
      </w:r>
    </w:p>
  </w:footnote>
  <w:footnote w:id="21">
    <w:p w14:paraId="4CEF63AC" w14:textId="77777777" w:rsidR="003D685A" w:rsidRPr="009C0E63" w:rsidRDefault="003D685A" w:rsidP="003D685A">
      <w:pPr>
        <w:pStyle w:val="FootnoteText"/>
        <w:rPr>
          <w:sz w:val="18"/>
          <w:lang w:val="fr-BE"/>
        </w:rPr>
      </w:pPr>
      <w:r>
        <w:rPr>
          <w:rStyle w:val="FootnoteReference"/>
        </w:rPr>
        <w:footnoteRef/>
      </w:r>
      <w:r w:rsidRPr="009C0E63">
        <w:rPr>
          <w:lang w:val="fr-BE"/>
        </w:rPr>
        <w:tab/>
      </w:r>
      <w:r w:rsidRPr="009C0E63">
        <w:rPr>
          <w:sz w:val="18"/>
          <w:lang w:val="fr-BE"/>
        </w:rPr>
        <w:t>Regulamentul (CE) nr. 1186/2009 al Consiliului din 16 noiembrie 2009 de instituire a unui regim comunitar de scutiri de taxe vamale (JO L 324, 10.12.2009, p. 23).</w:t>
      </w:r>
    </w:p>
  </w:footnote>
  <w:footnote w:id="22">
    <w:p w14:paraId="16CF9022" w14:textId="77777777" w:rsidR="003D685A" w:rsidRPr="009C0E63" w:rsidRDefault="003D685A" w:rsidP="003D685A">
      <w:pPr>
        <w:pStyle w:val="FootnoteText"/>
        <w:rPr>
          <w:sz w:val="18"/>
          <w:lang w:val="fr-BE"/>
        </w:rPr>
      </w:pPr>
      <w:r>
        <w:rPr>
          <w:rStyle w:val="FootnoteReference"/>
        </w:rPr>
        <w:footnoteRef/>
      </w:r>
      <w:r w:rsidRPr="009C0E63">
        <w:rPr>
          <w:lang w:val="fr-BE"/>
        </w:rPr>
        <w:tab/>
      </w:r>
      <w:r w:rsidRPr="009C0E63">
        <w:rPr>
          <w:sz w:val="18"/>
          <w:lang w:val="fr-BE"/>
        </w:rPr>
        <w:t>Directiva (UE) 2017/2455 a Consiliului din 5 decembrie 2017 de modificare a Directivei 2006/112/CE și a Directivei 2009/132/CE în ceea ce privește anumite obligații privind taxa pe valoarea adăugată pentru prestările de servicii și vânzările de bunuri la distanță (JO L 348, 29.12.2017, p. 7).</w:t>
      </w:r>
    </w:p>
  </w:footnote>
  <w:footnote w:id="23">
    <w:p w14:paraId="33D9293E" w14:textId="77777777" w:rsidR="003D685A" w:rsidRPr="009C0E63" w:rsidRDefault="003D685A" w:rsidP="003D685A">
      <w:pPr>
        <w:pStyle w:val="FootnoteText"/>
        <w:rPr>
          <w:lang w:val="es-ES_tradnl"/>
        </w:rPr>
      </w:pPr>
      <w:r>
        <w:rPr>
          <w:rStyle w:val="FootnoteReference"/>
        </w:rPr>
        <w:footnoteRef/>
      </w:r>
      <w:r w:rsidRPr="009C0E63">
        <w:rPr>
          <w:lang w:val="es-ES_tradnl"/>
        </w:rPr>
        <w:tab/>
        <w:t>Directiva (UE) 2020/262 a Consiliului din 19 decembrie 2019 de stabilire a regimului general al accizelor (JO L 058, 27.2.2020, p. 4).</w:t>
      </w:r>
    </w:p>
  </w:footnote>
  <w:footnote w:id="24">
    <w:p w14:paraId="2D0FEE8A" w14:textId="77777777" w:rsidR="003D685A" w:rsidRPr="009C0E63" w:rsidRDefault="003D685A" w:rsidP="003D685A">
      <w:pPr>
        <w:pStyle w:val="FootnoteText"/>
        <w:rPr>
          <w:lang w:val="es-ES_tradnl"/>
        </w:rPr>
      </w:pPr>
      <w:r>
        <w:rPr>
          <w:rStyle w:val="FootnoteReference"/>
        </w:rPr>
        <w:footnoteRef/>
      </w:r>
      <w:r w:rsidRPr="009C0E63">
        <w:rPr>
          <w:lang w:val="es-ES_tradnl"/>
        </w:rPr>
        <w:tab/>
        <w:t>Regulamentul (UE) 2016/1036 al Parlamentului European și al Consiliului din 8 iunie 2016 privind protecția împotriva importurilor care fac obiectul unui dumping din partea țărilor care nu sunt membre ale Uniunii Europene, (JO L 176, 30.6.2016, p. 21).</w:t>
      </w:r>
    </w:p>
  </w:footnote>
  <w:footnote w:id="25">
    <w:p w14:paraId="573EF4C1" w14:textId="77777777" w:rsidR="003D685A" w:rsidRPr="009C0E63" w:rsidRDefault="003D685A" w:rsidP="003D685A">
      <w:pPr>
        <w:pStyle w:val="FootnoteText"/>
        <w:rPr>
          <w:lang w:val="es-ES_tradnl"/>
        </w:rPr>
      </w:pPr>
      <w:r>
        <w:rPr>
          <w:rStyle w:val="FootnoteReference"/>
        </w:rPr>
        <w:footnoteRef/>
      </w:r>
      <w:r w:rsidRPr="009C0E63">
        <w:rPr>
          <w:lang w:val="es-ES_tradnl"/>
        </w:rPr>
        <w:tab/>
        <w:t>Regulamentul (UE) 2016/1037 al Parlamentului European și al Consiliului din 8 iunie 2016 privind protecția împotriva importurilor care fac obiectul unor subvenții din partea țărilor care nu sunt membre ale Uniunii Europene (JO L 176, 30.6.2016, p. 55).</w:t>
      </w:r>
    </w:p>
  </w:footnote>
  <w:footnote w:id="26">
    <w:p w14:paraId="25407B0A" w14:textId="77777777" w:rsidR="003D685A" w:rsidRPr="009C0E63" w:rsidRDefault="003D685A" w:rsidP="003D685A">
      <w:pPr>
        <w:pStyle w:val="FootnoteText"/>
        <w:rPr>
          <w:lang w:val="es-ES_tradnl"/>
        </w:rPr>
      </w:pPr>
      <w:r>
        <w:rPr>
          <w:rStyle w:val="FootnoteReference"/>
        </w:rPr>
        <w:footnoteRef/>
      </w:r>
      <w:r w:rsidRPr="009C0E63">
        <w:rPr>
          <w:lang w:val="es-ES_tradnl"/>
        </w:rPr>
        <w:tab/>
        <w:t>Regulamentul (UE) 2015/478 al Parlamentului European și al Consiliului din 11 martie 2015 privind regimul comun aplicabil importurilor este sau ar putea fi impus în urma unei anchete deschise (JO L 83, 27.3.2015, p. 16).</w:t>
      </w:r>
    </w:p>
  </w:footnote>
  <w:footnote w:id="27">
    <w:p w14:paraId="35BCE9D4" w14:textId="77777777" w:rsidR="003D685A" w:rsidRPr="009C0E63" w:rsidRDefault="003D685A" w:rsidP="003D685A">
      <w:pPr>
        <w:pStyle w:val="FootnoteText"/>
        <w:rPr>
          <w:lang w:val="es-ES_tradnl"/>
        </w:rPr>
      </w:pPr>
      <w:r>
        <w:rPr>
          <w:rStyle w:val="FootnoteReference"/>
        </w:rPr>
        <w:footnoteRef/>
      </w:r>
      <w:r w:rsidRPr="009C0E63">
        <w:rPr>
          <w:lang w:val="es-ES_tradnl"/>
        </w:rPr>
        <w:tab/>
        <w:t>Regulamentul (UE) 2015/755 al Parlamentului European și al Consiliului din 29 aprilie 2015 privind regimul comun aplicabil importurilor din anumite țări terțe (JO L 123, 19.5.2015, p. 33).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21647A2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B1D86220"/>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4BB6DF98"/>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976A38DE"/>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53CA872"/>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E8742666"/>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5A868AE"/>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D0AA9EAA"/>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2"/>
    <w:lvlOverride w:ilvl="0">
      <w:startOverride w:val="1"/>
    </w:lvlOverride>
  </w:num>
  <w:num w:numId="6">
    <w:abstractNumId w:val="6"/>
  </w:num>
  <w:num w:numId="7">
    <w:abstractNumId w:val="2"/>
  </w:num>
  <w:num w:numId="8">
    <w:abstractNumId w:val="1"/>
  </w:num>
  <w:num w:numId="9">
    <w:abstractNumId w:val="0"/>
  </w:num>
  <w:num w:numId="10">
    <w:abstractNumId w:val="15"/>
    <w:lvlOverride w:ilvl="0">
      <w:startOverride w:val="1"/>
    </w:lvlOverride>
  </w:num>
  <w:num w:numId="11">
    <w:abstractNumId w:val="19"/>
  </w:num>
  <w:num w:numId="12">
    <w:abstractNumId w:val="12"/>
  </w:num>
  <w:num w:numId="13">
    <w:abstractNumId w:val="21"/>
  </w:num>
  <w:num w:numId="14">
    <w:abstractNumId w:val="11"/>
  </w:num>
  <w:num w:numId="15">
    <w:abstractNumId w:val="13"/>
  </w:num>
  <w:num w:numId="16">
    <w:abstractNumId w:val="14"/>
  </w:num>
  <w:num w:numId="17">
    <w:abstractNumId w:val="9"/>
  </w:num>
  <w:num w:numId="18">
    <w:abstractNumId w:val="20"/>
  </w:num>
  <w:num w:numId="19">
    <w:abstractNumId w:val="8"/>
  </w:num>
  <w:num w:numId="20">
    <w:abstractNumId w:val="15"/>
  </w:num>
  <w:num w:numId="21">
    <w:abstractNumId w:val="17"/>
  </w:num>
  <w:num w:numId="22">
    <w:abstractNumId w:val="18"/>
  </w:num>
  <w:num w:numId="23">
    <w:abstractNumId w:val="10"/>
  </w:num>
  <w:num w:numId="24">
    <w:abstractNumId w:val="16"/>
  </w:num>
  <w:num w:numId="25">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7-11 08:59:30"/>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8C680090-8D17-4236-B8F3-E91F804370F1"/>
    <w:docVar w:name="LW_COVERPAGE_TYPE" w:val="1"/>
    <w:docVar w:name="LW_CROSSREFERENCE" w:val="&lt;UNUSED&gt;"/>
    <w:docVar w:name="LW_DocType" w:val="COM"/>
    <w:docVar w:name="LW_EMISSION" w:val="17.5.2023"/>
    <w:docVar w:name="LW_EMISSION_ISODATE" w:val="2023-05-17"/>
    <w:docVar w:name="LW_EMISSION_LOCATION" w:val="BRX"/>
    <w:docVar w:name="LW_EMISSION_PREFIX" w:val="Bruxelles, "/>
    <w:docVar w:name="LW_EMISSION_SUFFIX" w:val=" "/>
    <w:docVar w:name="LW_ID_DOCMODEL" w:val="SJ-016"/>
    <w:docVar w:name="LW_ID_DOCSIGNATURE" w:val="SJ-016"/>
    <w:docVar w:name="LW_ID_DOCSTRUCTURE" w:val="COM/PL/ORG"/>
    <w:docVar w:name="LW_ID_DOCTYPE" w:val="SJ-016"/>
    <w:docVar w:name="LW_ID_STATUT" w:val="SJ-016"/>
    <w:docVar w:name="LW_INSERT_EXP.MOTIFS.NEW" w:val="1"/>
    <w:docVar w:name="LW_INTERETEEE.CP" w:val="&lt;UNUSED&gt;"/>
    <w:docVar w:name="LW_LANGUE" w:val="RO"/>
    <w:docVar w:name="LW_LEVEL_OF_SENSITIVITY" w:val="Standard treatment"/>
    <w:docVar w:name="LW_NOM.INST" w:val="COMISIA EUROPEAN\u258?"/>
    <w:docVar w:name="LW_NOM.INST_JOINTDOC" w:val="&lt;EMPTY&gt;"/>
    <w:docVar w:name="LW_PART_NBR" w:val="1"/>
    <w:docVar w:name="LW_PART_NBR_TOTAL" w:val="1"/>
    <w:docVar w:name="LW_REF.II.NEW.CP" w:val="NLE"/>
    <w:docVar w:name="LW_REF.II.NEW.CP_NUMBER" w:val="0157"/>
    <w:docVar w:name="LW_REF.II.NEW.CP_YEAR" w:val="2023"/>
    <w:docVar w:name="LW_REF.INST.NEW" w:val="COM"/>
    <w:docVar w:name="LW_REF.INST.NEW_ADOPTED" w:val="final"/>
    <w:docVar w:name="LW_REF.INST.NEW_TEXT" w:val="(2023) 25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unere de"/>
    <w:docVar w:name="LW_SUPERTITRE" w:val="&lt;UNUSED&gt;"/>
    <w:docVar w:name="LW_TITRE.OBJ.CP" w:val="de modificare a Regulamentului (CEE) nr. 2658/87 în ceea ce privește introducerea unui tratament tarifar simplificat pentru vânzarea de mărfuri la distanță și a Regulamentului (CE) nr. 1186/2009 în ceea ce privește eliminarea pragului pentru scutirea de taxe vamale"/>
    <w:docVar w:name="LW_TYPE.DOC.CP" w:val="REGULAMENT AL CONSILIULUI"/>
    <w:docVar w:name="LwApiVersions" w:val="LW4CoDe 1.23.2.0; LW 8.0, Build 20211117"/>
  </w:docVars>
  <w:rsids>
    <w:rsidRoot w:val="00F92B6D"/>
    <w:rsid w:val="00001004"/>
    <w:rsid w:val="00002E82"/>
    <w:rsid w:val="00002ED6"/>
    <w:rsid w:val="00003CEB"/>
    <w:rsid w:val="0000441E"/>
    <w:rsid w:val="0000538F"/>
    <w:rsid w:val="00005D6B"/>
    <w:rsid w:val="00014985"/>
    <w:rsid w:val="00015796"/>
    <w:rsid w:val="0001710B"/>
    <w:rsid w:val="00017628"/>
    <w:rsid w:val="00021032"/>
    <w:rsid w:val="000214D5"/>
    <w:rsid w:val="00022496"/>
    <w:rsid w:val="00030B34"/>
    <w:rsid w:val="0003170F"/>
    <w:rsid w:val="00031A7E"/>
    <w:rsid w:val="000323E1"/>
    <w:rsid w:val="00032A11"/>
    <w:rsid w:val="000410A5"/>
    <w:rsid w:val="0004169F"/>
    <w:rsid w:val="00044D59"/>
    <w:rsid w:val="00053BF5"/>
    <w:rsid w:val="0005634E"/>
    <w:rsid w:val="0006221E"/>
    <w:rsid w:val="000637D9"/>
    <w:rsid w:val="000649E8"/>
    <w:rsid w:val="00065953"/>
    <w:rsid w:val="00066A17"/>
    <w:rsid w:val="00070CE4"/>
    <w:rsid w:val="000722BD"/>
    <w:rsid w:val="00072736"/>
    <w:rsid w:val="00072C9E"/>
    <w:rsid w:val="000753F5"/>
    <w:rsid w:val="00081E69"/>
    <w:rsid w:val="0008247A"/>
    <w:rsid w:val="000826C5"/>
    <w:rsid w:val="00084CAB"/>
    <w:rsid w:val="0008500B"/>
    <w:rsid w:val="00085837"/>
    <w:rsid w:val="0008591C"/>
    <w:rsid w:val="000862CC"/>
    <w:rsid w:val="00087195"/>
    <w:rsid w:val="00091C85"/>
    <w:rsid w:val="00093CD1"/>
    <w:rsid w:val="00095936"/>
    <w:rsid w:val="000963D5"/>
    <w:rsid w:val="0009756A"/>
    <w:rsid w:val="00097B3D"/>
    <w:rsid w:val="000A0057"/>
    <w:rsid w:val="000A0EB0"/>
    <w:rsid w:val="000A1DE9"/>
    <w:rsid w:val="000A2B8A"/>
    <w:rsid w:val="000A37D6"/>
    <w:rsid w:val="000A5494"/>
    <w:rsid w:val="000A7A53"/>
    <w:rsid w:val="000B189B"/>
    <w:rsid w:val="000B4BB3"/>
    <w:rsid w:val="000B54AB"/>
    <w:rsid w:val="000B662E"/>
    <w:rsid w:val="000B6944"/>
    <w:rsid w:val="000B7124"/>
    <w:rsid w:val="000C0A34"/>
    <w:rsid w:val="000C10D2"/>
    <w:rsid w:val="000C1259"/>
    <w:rsid w:val="000C2C66"/>
    <w:rsid w:val="000C36DF"/>
    <w:rsid w:val="000C3C47"/>
    <w:rsid w:val="000C40FB"/>
    <w:rsid w:val="000D0144"/>
    <w:rsid w:val="000D0ECF"/>
    <w:rsid w:val="000E00B9"/>
    <w:rsid w:val="000E032D"/>
    <w:rsid w:val="000E0724"/>
    <w:rsid w:val="000E2D11"/>
    <w:rsid w:val="000E62D9"/>
    <w:rsid w:val="000E7653"/>
    <w:rsid w:val="000F0EBB"/>
    <w:rsid w:val="000F3872"/>
    <w:rsid w:val="000F5139"/>
    <w:rsid w:val="000F7AD1"/>
    <w:rsid w:val="00102A86"/>
    <w:rsid w:val="0010335F"/>
    <w:rsid w:val="00103896"/>
    <w:rsid w:val="001042F8"/>
    <w:rsid w:val="00104DEE"/>
    <w:rsid w:val="001056DB"/>
    <w:rsid w:val="001065F5"/>
    <w:rsid w:val="0011301F"/>
    <w:rsid w:val="00115237"/>
    <w:rsid w:val="00117BEB"/>
    <w:rsid w:val="00120880"/>
    <w:rsid w:val="00120CFE"/>
    <w:rsid w:val="00121A93"/>
    <w:rsid w:val="00122C41"/>
    <w:rsid w:val="0012337F"/>
    <w:rsid w:val="001238EF"/>
    <w:rsid w:val="00127E0A"/>
    <w:rsid w:val="00134AE1"/>
    <w:rsid w:val="0013540E"/>
    <w:rsid w:val="0013731D"/>
    <w:rsid w:val="00141C19"/>
    <w:rsid w:val="0014360E"/>
    <w:rsid w:val="00144E01"/>
    <w:rsid w:val="00145FE1"/>
    <w:rsid w:val="00147506"/>
    <w:rsid w:val="0014750D"/>
    <w:rsid w:val="0015237F"/>
    <w:rsid w:val="00152719"/>
    <w:rsid w:val="001532F1"/>
    <w:rsid w:val="00154D6D"/>
    <w:rsid w:val="0015644D"/>
    <w:rsid w:val="00157A5B"/>
    <w:rsid w:val="00157FF1"/>
    <w:rsid w:val="00160B0E"/>
    <w:rsid w:val="0016512B"/>
    <w:rsid w:val="00165DC7"/>
    <w:rsid w:val="001679F5"/>
    <w:rsid w:val="00173793"/>
    <w:rsid w:val="00174487"/>
    <w:rsid w:val="00174686"/>
    <w:rsid w:val="00176C3B"/>
    <w:rsid w:val="0018068A"/>
    <w:rsid w:val="00180758"/>
    <w:rsid w:val="001814DE"/>
    <w:rsid w:val="001823EA"/>
    <w:rsid w:val="001875FD"/>
    <w:rsid w:val="001925FC"/>
    <w:rsid w:val="00192D0D"/>
    <w:rsid w:val="00192F4D"/>
    <w:rsid w:val="001931CF"/>
    <w:rsid w:val="0019340F"/>
    <w:rsid w:val="00195220"/>
    <w:rsid w:val="00196501"/>
    <w:rsid w:val="00197613"/>
    <w:rsid w:val="001A4931"/>
    <w:rsid w:val="001A7BB3"/>
    <w:rsid w:val="001B385F"/>
    <w:rsid w:val="001B3EC7"/>
    <w:rsid w:val="001B7781"/>
    <w:rsid w:val="001B7C49"/>
    <w:rsid w:val="001C0904"/>
    <w:rsid w:val="001C2B0B"/>
    <w:rsid w:val="001C3C3E"/>
    <w:rsid w:val="001C7F48"/>
    <w:rsid w:val="001D2831"/>
    <w:rsid w:val="001D2B18"/>
    <w:rsid w:val="001D2F15"/>
    <w:rsid w:val="001D56D0"/>
    <w:rsid w:val="001D576A"/>
    <w:rsid w:val="001D724D"/>
    <w:rsid w:val="001E1E81"/>
    <w:rsid w:val="001E2A70"/>
    <w:rsid w:val="001E495F"/>
    <w:rsid w:val="001E51F9"/>
    <w:rsid w:val="001E5D0F"/>
    <w:rsid w:val="001E789B"/>
    <w:rsid w:val="001F0EA8"/>
    <w:rsid w:val="001F56C0"/>
    <w:rsid w:val="001F70FC"/>
    <w:rsid w:val="001F71D5"/>
    <w:rsid w:val="002012CF"/>
    <w:rsid w:val="0020285B"/>
    <w:rsid w:val="00204444"/>
    <w:rsid w:val="00206A17"/>
    <w:rsid w:val="00207059"/>
    <w:rsid w:val="00207B58"/>
    <w:rsid w:val="00207E25"/>
    <w:rsid w:val="0021061A"/>
    <w:rsid w:val="00216050"/>
    <w:rsid w:val="002168A8"/>
    <w:rsid w:val="00217E33"/>
    <w:rsid w:val="00225394"/>
    <w:rsid w:val="00225ADD"/>
    <w:rsid w:val="00232BA0"/>
    <w:rsid w:val="002333E0"/>
    <w:rsid w:val="00233DC7"/>
    <w:rsid w:val="00233F89"/>
    <w:rsid w:val="00234A6D"/>
    <w:rsid w:val="00235C65"/>
    <w:rsid w:val="002407CA"/>
    <w:rsid w:val="002424B6"/>
    <w:rsid w:val="00242830"/>
    <w:rsid w:val="00242A8F"/>
    <w:rsid w:val="00246322"/>
    <w:rsid w:val="0024743A"/>
    <w:rsid w:val="00247779"/>
    <w:rsid w:val="00250D52"/>
    <w:rsid w:val="002515B1"/>
    <w:rsid w:val="00251766"/>
    <w:rsid w:val="002527B5"/>
    <w:rsid w:val="00255ACB"/>
    <w:rsid w:val="0025710F"/>
    <w:rsid w:val="0025717A"/>
    <w:rsid w:val="0026049A"/>
    <w:rsid w:val="00260794"/>
    <w:rsid w:val="0026298F"/>
    <w:rsid w:val="00262D16"/>
    <w:rsid w:val="0026338B"/>
    <w:rsid w:val="00277B1B"/>
    <w:rsid w:val="0028268C"/>
    <w:rsid w:val="00285BEE"/>
    <w:rsid w:val="00286796"/>
    <w:rsid w:val="00286DD6"/>
    <w:rsid w:val="00290580"/>
    <w:rsid w:val="00290999"/>
    <w:rsid w:val="00290B9C"/>
    <w:rsid w:val="002919B5"/>
    <w:rsid w:val="00291C67"/>
    <w:rsid w:val="00291E7F"/>
    <w:rsid w:val="00294908"/>
    <w:rsid w:val="002949CB"/>
    <w:rsid w:val="0029533F"/>
    <w:rsid w:val="00297797"/>
    <w:rsid w:val="002A5E76"/>
    <w:rsid w:val="002A6B41"/>
    <w:rsid w:val="002A7065"/>
    <w:rsid w:val="002A758B"/>
    <w:rsid w:val="002B0E27"/>
    <w:rsid w:val="002B2352"/>
    <w:rsid w:val="002B2575"/>
    <w:rsid w:val="002B2736"/>
    <w:rsid w:val="002B302F"/>
    <w:rsid w:val="002B30AF"/>
    <w:rsid w:val="002B35CA"/>
    <w:rsid w:val="002B4CE7"/>
    <w:rsid w:val="002B5458"/>
    <w:rsid w:val="002B6A75"/>
    <w:rsid w:val="002C246E"/>
    <w:rsid w:val="002C3DA1"/>
    <w:rsid w:val="002C7418"/>
    <w:rsid w:val="002D0BB9"/>
    <w:rsid w:val="002D162D"/>
    <w:rsid w:val="002D2027"/>
    <w:rsid w:val="002D22C2"/>
    <w:rsid w:val="002D29C5"/>
    <w:rsid w:val="002D2EFE"/>
    <w:rsid w:val="002D305F"/>
    <w:rsid w:val="002D39A9"/>
    <w:rsid w:val="002D6E01"/>
    <w:rsid w:val="002E3158"/>
    <w:rsid w:val="002E443A"/>
    <w:rsid w:val="002E69C1"/>
    <w:rsid w:val="002E6FC2"/>
    <w:rsid w:val="002F0847"/>
    <w:rsid w:val="002F3D1B"/>
    <w:rsid w:val="002F4B0E"/>
    <w:rsid w:val="002F4BAF"/>
    <w:rsid w:val="002F4D8A"/>
    <w:rsid w:val="002F7EBC"/>
    <w:rsid w:val="00301730"/>
    <w:rsid w:val="003059B2"/>
    <w:rsid w:val="00306DCB"/>
    <w:rsid w:val="00310BD4"/>
    <w:rsid w:val="00311379"/>
    <w:rsid w:val="003115EC"/>
    <w:rsid w:val="003125F1"/>
    <w:rsid w:val="00312793"/>
    <w:rsid w:val="003150B2"/>
    <w:rsid w:val="00315EF3"/>
    <w:rsid w:val="00315FC1"/>
    <w:rsid w:val="00316072"/>
    <w:rsid w:val="003168DB"/>
    <w:rsid w:val="0032007C"/>
    <w:rsid w:val="0032013B"/>
    <w:rsid w:val="0032095F"/>
    <w:rsid w:val="003210EF"/>
    <w:rsid w:val="00325DAA"/>
    <w:rsid w:val="00327479"/>
    <w:rsid w:val="00330096"/>
    <w:rsid w:val="003302A9"/>
    <w:rsid w:val="00332852"/>
    <w:rsid w:val="0033344A"/>
    <w:rsid w:val="00334EAF"/>
    <w:rsid w:val="00335232"/>
    <w:rsid w:val="00335FF2"/>
    <w:rsid w:val="003406AC"/>
    <w:rsid w:val="00344DF6"/>
    <w:rsid w:val="00345B03"/>
    <w:rsid w:val="00345C28"/>
    <w:rsid w:val="00351E70"/>
    <w:rsid w:val="00356971"/>
    <w:rsid w:val="003604A2"/>
    <w:rsid w:val="00362983"/>
    <w:rsid w:val="003633DC"/>
    <w:rsid w:val="00366125"/>
    <w:rsid w:val="00366B3B"/>
    <w:rsid w:val="00367285"/>
    <w:rsid w:val="00367D9D"/>
    <w:rsid w:val="00370D70"/>
    <w:rsid w:val="00372609"/>
    <w:rsid w:val="00372E41"/>
    <w:rsid w:val="0037615C"/>
    <w:rsid w:val="00377797"/>
    <w:rsid w:val="003818DC"/>
    <w:rsid w:val="003851A6"/>
    <w:rsid w:val="003864E0"/>
    <w:rsid w:val="00390BCA"/>
    <w:rsid w:val="00390EAC"/>
    <w:rsid w:val="00390FE3"/>
    <w:rsid w:val="00395822"/>
    <w:rsid w:val="003A0995"/>
    <w:rsid w:val="003A149C"/>
    <w:rsid w:val="003A257E"/>
    <w:rsid w:val="003A2672"/>
    <w:rsid w:val="003B0A50"/>
    <w:rsid w:val="003B11B0"/>
    <w:rsid w:val="003B1409"/>
    <w:rsid w:val="003B1B48"/>
    <w:rsid w:val="003B25E5"/>
    <w:rsid w:val="003B385B"/>
    <w:rsid w:val="003B43CA"/>
    <w:rsid w:val="003B4FAB"/>
    <w:rsid w:val="003B77A4"/>
    <w:rsid w:val="003C0454"/>
    <w:rsid w:val="003C0F56"/>
    <w:rsid w:val="003C1FB4"/>
    <w:rsid w:val="003C2184"/>
    <w:rsid w:val="003C314F"/>
    <w:rsid w:val="003C4D6E"/>
    <w:rsid w:val="003C4FC9"/>
    <w:rsid w:val="003D43BA"/>
    <w:rsid w:val="003D630D"/>
    <w:rsid w:val="003D685A"/>
    <w:rsid w:val="003E003E"/>
    <w:rsid w:val="003E18B8"/>
    <w:rsid w:val="003E4456"/>
    <w:rsid w:val="003E4B5F"/>
    <w:rsid w:val="003E6DEA"/>
    <w:rsid w:val="003F3CCF"/>
    <w:rsid w:val="004002C0"/>
    <w:rsid w:val="00400A36"/>
    <w:rsid w:val="004020CF"/>
    <w:rsid w:val="00407467"/>
    <w:rsid w:val="0041481E"/>
    <w:rsid w:val="00417D3A"/>
    <w:rsid w:val="00425521"/>
    <w:rsid w:val="004256CA"/>
    <w:rsid w:val="0042648E"/>
    <w:rsid w:val="00426626"/>
    <w:rsid w:val="00430F47"/>
    <w:rsid w:val="004312B8"/>
    <w:rsid w:val="00440C38"/>
    <w:rsid w:val="00441BD0"/>
    <w:rsid w:val="004433E4"/>
    <w:rsid w:val="00443AC9"/>
    <w:rsid w:val="004440FB"/>
    <w:rsid w:val="00451A47"/>
    <w:rsid w:val="00454903"/>
    <w:rsid w:val="004551F9"/>
    <w:rsid w:val="00456A26"/>
    <w:rsid w:val="00456A88"/>
    <w:rsid w:val="004571FC"/>
    <w:rsid w:val="0046442B"/>
    <w:rsid w:val="00464BE1"/>
    <w:rsid w:val="00466127"/>
    <w:rsid w:val="0047008C"/>
    <w:rsid w:val="004712D8"/>
    <w:rsid w:val="00475037"/>
    <w:rsid w:val="00475654"/>
    <w:rsid w:val="00480B48"/>
    <w:rsid w:val="00481F5B"/>
    <w:rsid w:val="00483C83"/>
    <w:rsid w:val="00483E0A"/>
    <w:rsid w:val="004843C9"/>
    <w:rsid w:val="004934F6"/>
    <w:rsid w:val="004936D2"/>
    <w:rsid w:val="004958A0"/>
    <w:rsid w:val="00495B73"/>
    <w:rsid w:val="00497F4D"/>
    <w:rsid w:val="004A5723"/>
    <w:rsid w:val="004A5C60"/>
    <w:rsid w:val="004A7B59"/>
    <w:rsid w:val="004B21CF"/>
    <w:rsid w:val="004B47BB"/>
    <w:rsid w:val="004B7EE1"/>
    <w:rsid w:val="004C0B7D"/>
    <w:rsid w:val="004C252F"/>
    <w:rsid w:val="004C2B70"/>
    <w:rsid w:val="004C4C6C"/>
    <w:rsid w:val="004C718E"/>
    <w:rsid w:val="004D02D0"/>
    <w:rsid w:val="004D4956"/>
    <w:rsid w:val="004D70EB"/>
    <w:rsid w:val="004E0A67"/>
    <w:rsid w:val="004E27D0"/>
    <w:rsid w:val="004E34DC"/>
    <w:rsid w:val="004E46DE"/>
    <w:rsid w:val="004E4E37"/>
    <w:rsid w:val="004E7EA3"/>
    <w:rsid w:val="004F16B7"/>
    <w:rsid w:val="004F1DED"/>
    <w:rsid w:val="004F2011"/>
    <w:rsid w:val="00503340"/>
    <w:rsid w:val="00510B84"/>
    <w:rsid w:val="005110D5"/>
    <w:rsid w:val="00513084"/>
    <w:rsid w:val="005204ED"/>
    <w:rsid w:val="0052252C"/>
    <w:rsid w:val="00523259"/>
    <w:rsid w:val="00527194"/>
    <w:rsid w:val="00530A17"/>
    <w:rsid w:val="00533BAB"/>
    <w:rsid w:val="005356A9"/>
    <w:rsid w:val="00535944"/>
    <w:rsid w:val="00536BB8"/>
    <w:rsid w:val="005431A4"/>
    <w:rsid w:val="0054541F"/>
    <w:rsid w:val="00545F37"/>
    <w:rsid w:val="00550B99"/>
    <w:rsid w:val="0055177D"/>
    <w:rsid w:val="00551E6D"/>
    <w:rsid w:val="00552AC4"/>
    <w:rsid w:val="0056095E"/>
    <w:rsid w:val="00562B60"/>
    <w:rsid w:val="0056521B"/>
    <w:rsid w:val="00571D22"/>
    <w:rsid w:val="00572C3F"/>
    <w:rsid w:val="00575C57"/>
    <w:rsid w:val="00575CC8"/>
    <w:rsid w:val="0057636B"/>
    <w:rsid w:val="005777C3"/>
    <w:rsid w:val="00577ADA"/>
    <w:rsid w:val="00580CB7"/>
    <w:rsid w:val="00580F61"/>
    <w:rsid w:val="005823E8"/>
    <w:rsid w:val="005826D1"/>
    <w:rsid w:val="00583863"/>
    <w:rsid w:val="00585FF6"/>
    <w:rsid w:val="005861F9"/>
    <w:rsid w:val="00586E21"/>
    <w:rsid w:val="00587B6A"/>
    <w:rsid w:val="005902E8"/>
    <w:rsid w:val="00592E0B"/>
    <w:rsid w:val="00593D9E"/>
    <w:rsid w:val="0059476C"/>
    <w:rsid w:val="005962A6"/>
    <w:rsid w:val="00596475"/>
    <w:rsid w:val="005A0725"/>
    <w:rsid w:val="005A0E16"/>
    <w:rsid w:val="005A1C6C"/>
    <w:rsid w:val="005A200D"/>
    <w:rsid w:val="005A3D8C"/>
    <w:rsid w:val="005B1D3C"/>
    <w:rsid w:val="005B1EB6"/>
    <w:rsid w:val="005B20A6"/>
    <w:rsid w:val="005B39B0"/>
    <w:rsid w:val="005B52CA"/>
    <w:rsid w:val="005B681D"/>
    <w:rsid w:val="005C060F"/>
    <w:rsid w:val="005C2847"/>
    <w:rsid w:val="005C55AC"/>
    <w:rsid w:val="005C7F67"/>
    <w:rsid w:val="005D064F"/>
    <w:rsid w:val="005D214B"/>
    <w:rsid w:val="005D2C9D"/>
    <w:rsid w:val="005D309A"/>
    <w:rsid w:val="005D34C4"/>
    <w:rsid w:val="005D611E"/>
    <w:rsid w:val="005D6162"/>
    <w:rsid w:val="005D7B50"/>
    <w:rsid w:val="005E27A2"/>
    <w:rsid w:val="005E27EB"/>
    <w:rsid w:val="005E3EA3"/>
    <w:rsid w:val="005E5C4F"/>
    <w:rsid w:val="005E638E"/>
    <w:rsid w:val="005F0009"/>
    <w:rsid w:val="005F5E8F"/>
    <w:rsid w:val="005F5FA9"/>
    <w:rsid w:val="00601929"/>
    <w:rsid w:val="00601FC1"/>
    <w:rsid w:val="006054A8"/>
    <w:rsid w:val="00605844"/>
    <w:rsid w:val="00605E3F"/>
    <w:rsid w:val="0060664F"/>
    <w:rsid w:val="006068F3"/>
    <w:rsid w:val="00606FE4"/>
    <w:rsid w:val="00607B43"/>
    <w:rsid w:val="006105D1"/>
    <w:rsid w:val="0061252A"/>
    <w:rsid w:val="006137BE"/>
    <w:rsid w:val="0061797C"/>
    <w:rsid w:val="00621ACC"/>
    <w:rsid w:val="00631D43"/>
    <w:rsid w:val="006348D8"/>
    <w:rsid w:val="00634C38"/>
    <w:rsid w:val="0063547D"/>
    <w:rsid w:val="006362A3"/>
    <w:rsid w:val="00636A57"/>
    <w:rsid w:val="0064025E"/>
    <w:rsid w:val="00640B4F"/>
    <w:rsid w:val="00642072"/>
    <w:rsid w:val="0064237E"/>
    <w:rsid w:val="00643670"/>
    <w:rsid w:val="006445DB"/>
    <w:rsid w:val="00645601"/>
    <w:rsid w:val="00646783"/>
    <w:rsid w:val="0065290F"/>
    <w:rsid w:val="00660C88"/>
    <w:rsid w:val="00663A75"/>
    <w:rsid w:val="006663AC"/>
    <w:rsid w:val="00667A09"/>
    <w:rsid w:val="00670C89"/>
    <w:rsid w:val="006716FC"/>
    <w:rsid w:val="006726AD"/>
    <w:rsid w:val="006732A8"/>
    <w:rsid w:val="006733DB"/>
    <w:rsid w:val="0067423C"/>
    <w:rsid w:val="00675FE6"/>
    <w:rsid w:val="00676BAA"/>
    <w:rsid w:val="006826B1"/>
    <w:rsid w:val="00683B8B"/>
    <w:rsid w:val="00685F3C"/>
    <w:rsid w:val="006872EA"/>
    <w:rsid w:val="006901E9"/>
    <w:rsid w:val="00691248"/>
    <w:rsid w:val="00691B1B"/>
    <w:rsid w:val="00692495"/>
    <w:rsid w:val="006946DE"/>
    <w:rsid w:val="0069504D"/>
    <w:rsid w:val="00696F4F"/>
    <w:rsid w:val="00697146"/>
    <w:rsid w:val="0069794F"/>
    <w:rsid w:val="006A1726"/>
    <w:rsid w:val="006A1B15"/>
    <w:rsid w:val="006A2650"/>
    <w:rsid w:val="006A2728"/>
    <w:rsid w:val="006A2733"/>
    <w:rsid w:val="006A61CC"/>
    <w:rsid w:val="006A61E8"/>
    <w:rsid w:val="006A6354"/>
    <w:rsid w:val="006B2201"/>
    <w:rsid w:val="006B2763"/>
    <w:rsid w:val="006B587C"/>
    <w:rsid w:val="006B6F8B"/>
    <w:rsid w:val="006B7830"/>
    <w:rsid w:val="006C20C0"/>
    <w:rsid w:val="006C22C3"/>
    <w:rsid w:val="006C39AB"/>
    <w:rsid w:val="006C3F4D"/>
    <w:rsid w:val="006C4F58"/>
    <w:rsid w:val="006C7C53"/>
    <w:rsid w:val="006D0C9B"/>
    <w:rsid w:val="006D1382"/>
    <w:rsid w:val="006D14C2"/>
    <w:rsid w:val="006D1D00"/>
    <w:rsid w:val="006D1D5E"/>
    <w:rsid w:val="006D518C"/>
    <w:rsid w:val="006D584C"/>
    <w:rsid w:val="006E0EF5"/>
    <w:rsid w:val="006E17A7"/>
    <w:rsid w:val="006E51B3"/>
    <w:rsid w:val="006E5576"/>
    <w:rsid w:val="006E6AF2"/>
    <w:rsid w:val="006E74F6"/>
    <w:rsid w:val="006F060D"/>
    <w:rsid w:val="006F0FD6"/>
    <w:rsid w:val="006F1189"/>
    <w:rsid w:val="006F1C33"/>
    <w:rsid w:val="006F2F48"/>
    <w:rsid w:val="006F47BC"/>
    <w:rsid w:val="006F7331"/>
    <w:rsid w:val="00700615"/>
    <w:rsid w:val="00700989"/>
    <w:rsid w:val="00700A86"/>
    <w:rsid w:val="00704D07"/>
    <w:rsid w:val="00705089"/>
    <w:rsid w:val="00705A94"/>
    <w:rsid w:val="00707539"/>
    <w:rsid w:val="007078F8"/>
    <w:rsid w:val="00707E13"/>
    <w:rsid w:val="007107A1"/>
    <w:rsid w:val="00711330"/>
    <w:rsid w:val="00712B80"/>
    <w:rsid w:val="007207E9"/>
    <w:rsid w:val="00720E55"/>
    <w:rsid w:val="007234C3"/>
    <w:rsid w:val="007277E1"/>
    <w:rsid w:val="0073028A"/>
    <w:rsid w:val="00730B00"/>
    <w:rsid w:val="007314F8"/>
    <w:rsid w:val="00736435"/>
    <w:rsid w:val="00740054"/>
    <w:rsid w:val="007400DB"/>
    <w:rsid w:val="0074093C"/>
    <w:rsid w:val="00740AA4"/>
    <w:rsid w:val="00740C4E"/>
    <w:rsid w:val="0074128A"/>
    <w:rsid w:val="007418F9"/>
    <w:rsid w:val="007419B1"/>
    <w:rsid w:val="00747949"/>
    <w:rsid w:val="0075371A"/>
    <w:rsid w:val="007545C3"/>
    <w:rsid w:val="007575FE"/>
    <w:rsid w:val="00761D23"/>
    <w:rsid w:val="007635C9"/>
    <w:rsid w:val="00763B7B"/>
    <w:rsid w:val="00764BEE"/>
    <w:rsid w:val="007656F5"/>
    <w:rsid w:val="00765937"/>
    <w:rsid w:val="007705F6"/>
    <w:rsid w:val="0077073C"/>
    <w:rsid w:val="0077113C"/>
    <w:rsid w:val="00773331"/>
    <w:rsid w:val="00773885"/>
    <w:rsid w:val="0077715C"/>
    <w:rsid w:val="0078088E"/>
    <w:rsid w:val="00781220"/>
    <w:rsid w:val="00781A60"/>
    <w:rsid w:val="00782496"/>
    <w:rsid w:val="007838C0"/>
    <w:rsid w:val="007851AC"/>
    <w:rsid w:val="00787000"/>
    <w:rsid w:val="0079089C"/>
    <w:rsid w:val="007932EF"/>
    <w:rsid w:val="00795FC9"/>
    <w:rsid w:val="00797833"/>
    <w:rsid w:val="007A003A"/>
    <w:rsid w:val="007A0F9B"/>
    <w:rsid w:val="007A179D"/>
    <w:rsid w:val="007A3387"/>
    <w:rsid w:val="007A4154"/>
    <w:rsid w:val="007A51CF"/>
    <w:rsid w:val="007A649C"/>
    <w:rsid w:val="007B00F7"/>
    <w:rsid w:val="007B19BE"/>
    <w:rsid w:val="007B1C42"/>
    <w:rsid w:val="007B30DB"/>
    <w:rsid w:val="007C2036"/>
    <w:rsid w:val="007C43D9"/>
    <w:rsid w:val="007D68AB"/>
    <w:rsid w:val="007D789F"/>
    <w:rsid w:val="007E05B0"/>
    <w:rsid w:val="007E3035"/>
    <w:rsid w:val="007E3115"/>
    <w:rsid w:val="007E3160"/>
    <w:rsid w:val="007E465E"/>
    <w:rsid w:val="007E4707"/>
    <w:rsid w:val="007E4C4C"/>
    <w:rsid w:val="007F00DF"/>
    <w:rsid w:val="007F0D57"/>
    <w:rsid w:val="007F17A8"/>
    <w:rsid w:val="007F683E"/>
    <w:rsid w:val="008019CE"/>
    <w:rsid w:val="00803788"/>
    <w:rsid w:val="00805889"/>
    <w:rsid w:val="00810FFB"/>
    <w:rsid w:val="00811A22"/>
    <w:rsid w:val="00813699"/>
    <w:rsid w:val="00815A27"/>
    <w:rsid w:val="00825B1B"/>
    <w:rsid w:val="00830372"/>
    <w:rsid w:val="00830C32"/>
    <w:rsid w:val="008323D7"/>
    <w:rsid w:val="008332AE"/>
    <w:rsid w:val="008334C2"/>
    <w:rsid w:val="00837B46"/>
    <w:rsid w:val="00840CD6"/>
    <w:rsid w:val="00841A75"/>
    <w:rsid w:val="00842111"/>
    <w:rsid w:val="00842834"/>
    <w:rsid w:val="00843288"/>
    <w:rsid w:val="0084391E"/>
    <w:rsid w:val="008440E1"/>
    <w:rsid w:val="0084480F"/>
    <w:rsid w:val="00844AD1"/>
    <w:rsid w:val="00844D9C"/>
    <w:rsid w:val="00851615"/>
    <w:rsid w:val="00852432"/>
    <w:rsid w:val="008543F4"/>
    <w:rsid w:val="00856BF1"/>
    <w:rsid w:val="008575DF"/>
    <w:rsid w:val="00861D0D"/>
    <w:rsid w:val="00861DF6"/>
    <w:rsid w:val="00870CCF"/>
    <w:rsid w:val="00872994"/>
    <w:rsid w:val="00874D22"/>
    <w:rsid w:val="008776EB"/>
    <w:rsid w:val="00881F5F"/>
    <w:rsid w:val="00882E14"/>
    <w:rsid w:val="00885231"/>
    <w:rsid w:val="00890A0C"/>
    <w:rsid w:val="008934B1"/>
    <w:rsid w:val="0089477C"/>
    <w:rsid w:val="00895DDF"/>
    <w:rsid w:val="00896659"/>
    <w:rsid w:val="00897066"/>
    <w:rsid w:val="0089712E"/>
    <w:rsid w:val="00897A61"/>
    <w:rsid w:val="008A2840"/>
    <w:rsid w:val="008A2914"/>
    <w:rsid w:val="008A2DA5"/>
    <w:rsid w:val="008B1CC6"/>
    <w:rsid w:val="008B1F41"/>
    <w:rsid w:val="008B5CAF"/>
    <w:rsid w:val="008B5FF1"/>
    <w:rsid w:val="008C004F"/>
    <w:rsid w:val="008C09A2"/>
    <w:rsid w:val="008C0ABD"/>
    <w:rsid w:val="008C1BFF"/>
    <w:rsid w:val="008C24A0"/>
    <w:rsid w:val="008C386B"/>
    <w:rsid w:val="008C44DC"/>
    <w:rsid w:val="008C5468"/>
    <w:rsid w:val="008C5933"/>
    <w:rsid w:val="008C6963"/>
    <w:rsid w:val="008C7385"/>
    <w:rsid w:val="008D06A3"/>
    <w:rsid w:val="008D425B"/>
    <w:rsid w:val="008D547A"/>
    <w:rsid w:val="008D7CA0"/>
    <w:rsid w:val="008E1E93"/>
    <w:rsid w:val="008E21CB"/>
    <w:rsid w:val="008E4D8E"/>
    <w:rsid w:val="008F1D3F"/>
    <w:rsid w:val="008F4E6F"/>
    <w:rsid w:val="008F7041"/>
    <w:rsid w:val="00900B9F"/>
    <w:rsid w:val="00903453"/>
    <w:rsid w:val="009058DA"/>
    <w:rsid w:val="00905E7E"/>
    <w:rsid w:val="00906875"/>
    <w:rsid w:val="00906EB0"/>
    <w:rsid w:val="00906F4E"/>
    <w:rsid w:val="00910319"/>
    <w:rsid w:val="00910AC4"/>
    <w:rsid w:val="00911FB4"/>
    <w:rsid w:val="00915D39"/>
    <w:rsid w:val="009166DE"/>
    <w:rsid w:val="00916CEA"/>
    <w:rsid w:val="00917E9A"/>
    <w:rsid w:val="00922FD4"/>
    <w:rsid w:val="009250FE"/>
    <w:rsid w:val="00926227"/>
    <w:rsid w:val="00927198"/>
    <w:rsid w:val="00932D5E"/>
    <w:rsid w:val="00934277"/>
    <w:rsid w:val="00940D1C"/>
    <w:rsid w:val="00940EE2"/>
    <w:rsid w:val="009427E4"/>
    <w:rsid w:val="0094292C"/>
    <w:rsid w:val="00943A71"/>
    <w:rsid w:val="00944CA0"/>
    <w:rsid w:val="00947898"/>
    <w:rsid w:val="00951D0B"/>
    <w:rsid w:val="00951F7C"/>
    <w:rsid w:val="00953A9B"/>
    <w:rsid w:val="009545AB"/>
    <w:rsid w:val="00955908"/>
    <w:rsid w:val="00957A66"/>
    <w:rsid w:val="00965336"/>
    <w:rsid w:val="009662A4"/>
    <w:rsid w:val="00970E42"/>
    <w:rsid w:val="009739FE"/>
    <w:rsid w:val="00976F29"/>
    <w:rsid w:val="00977003"/>
    <w:rsid w:val="0097771B"/>
    <w:rsid w:val="00980F3E"/>
    <w:rsid w:val="009818BF"/>
    <w:rsid w:val="009819DE"/>
    <w:rsid w:val="0098603D"/>
    <w:rsid w:val="00987925"/>
    <w:rsid w:val="00991424"/>
    <w:rsid w:val="00991CEE"/>
    <w:rsid w:val="009A1A70"/>
    <w:rsid w:val="009A3DFF"/>
    <w:rsid w:val="009A6B8C"/>
    <w:rsid w:val="009A7D13"/>
    <w:rsid w:val="009B0561"/>
    <w:rsid w:val="009B426A"/>
    <w:rsid w:val="009B5717"/>
    <w:rsid w:val="009B5A34"/>
    <w:rsid w:val="009B64FA"/>
    <w:rsid w:val="009B7598"/>
    <w:rsid w:val="009B7C28"/>
    <w:rsid w:val="009C0E63"/>
    <w:rsid w:val="009C1AEE"/>
    <w:rsid w:val="009C5914"/>
    <w:rsid w:val="009C716D"/>
    <w:rsid w:val="009D0C3F"/>
    <w:rsid w:val="009D164A"/>
    <w:rsid w:val="009D3B5B"/>
    <w:rsid w:val="009D59E4"/>
    <w:rsid w:val="009D69F4"/>
    <w:rsid w:val="009E031A"/>
    <w:rsid w:val="009E3415"/>
    <w:rsid w:val="009E6515"/>
    <w:rsid w:val="009F09BD"/>
    <w:rsid w:val="009F11A2"/>
    <w:rsid w:val="009F1290"/>
    <w:rsid w:val="009F1780"/>
    <w:rsid w:val="009F1D60"/>
    <w:rsid w:val="009F2757"/>
    <w:rsid w:val="009F35F4"/>
    <w:rsid w:val="009F7BF6"/>
    <w:rsid w:val="00A00FB8"/>
    <w:rsid w:val="00A034F3"/>
    <w:rsid w:val="00A051A7"/>
    <w:rsid w:val="00A06476"/>
    <w:rsid w:val="00A07BF8"/>
    <w:rsid w:val="00A10715"/>
    <w:rsid w:val="00A110FB"/>
    <w:rsid w:val="00A1132E"/>
    <w:rsid w:val="00A14635"/>
    <w:rsid w:val="00A15219"/>
    <w:rsid w:val="00A20620"/>
    <w:rsid w:val="00A2692D"/>
    <w:rsid w:val="00A272DB"/>
    <w:rsid w:val="00A30E20"/>
    <w:rsid w:val="00A33F74"/>
    <w:rsid w:val="00A3443C"/>
    <w:rsid w:val="00A356C9"/>
    <w:rsid w:val="00A35FE8"/>
    <w:rsid w:val="00A36C74"/>
    <w:rsid w:val="00A37EFD"/>
    <w:rsid w:val="00A41378"/>
    <w:rsid w:val="00A42032"/>
    <w:rsid w:val="00A56E15"/>
    <w:rsid w:val="00A60529"/>
    <w:rsid w:val="00A63D85"/>
    <w:rsid w:val="00A71383"/>
    <w:rsid w:val="00A725BF"/>
    <w:rsid w:val="00A72C8C"/>
    <w:rsid w:val="00A74461"/>
    <w:rsid w:val="00A7532A"/>
    <w:rsid w:val="00A75DE3"/>
    <w:rsid w:val="00A76BD0"/>
    <w:rsid w:val="00A81C35"/>
    <w:rsid w:val="00A83F44"/>
    <w:rsid w:val="00A846E2"/>
    <w:rsid w:val="00A874D1"/>
    <w:rsid w:val="00A87A14"/>
    <w:rsid w:val="00A93273"/>
    <w:rsid w:val="00A953CB"/>
    <w:rsid w:val="00A96292"/>
    <w:rsid w:val="00AA2A6D"/>
    <w:rsid w:val="00AA3ABD"/>
    <w:rsid w:val="00AA40F2"/>
    <w:rsid w:val="00AA5360"/>
    <w:rsid w:val="00AA75FC"/>
    <w:rsid w:val="00AB0189"/>
    <w:rsid w:val="00AB32A1"/>
    <w:rsid w:val="00AB6DCB"/>
    <w:rsid w:val="00AC1496"/>
    <w:rsid w:val="00AC2FD7"/>
    <w:rsid w:val="00AC40AE"/>
    <w:rsid w:val="00AC5AC7"/>
    <w:rsid w:val="00AC6683"/>
    <w:rsid w:val="00AD115E"/>
    <w:rsid w:val="00AD2E8E"/>
    <w:rsid w:val="00AD5EF7"/>
    <w:rsid w:val="00AD622A"/>
    <w:rsid w:val="00AD7D0E"/>
    <w:rsid w:val="00AE0229"/>
    <w:rsid w:val="00AE0790"/>
    <w:rsid w:val="00AE0C01"/>
    <w:rsid w:val="00AE1E02"/>
    <w:rsid w:val="00AE2F84"/>
    <w:rsid w:val="00AE4216"/>
    <w:rsid w:val="00AE508C"/>
    <w:rsid w:val="00AF5AF9"/>
    <w:rsid w:val="00AF5DF1"/>
    <w:rsid w:val="00AF711D"/>
    <w:rsid w:val="00B0036C"/>
    <w:rsid w:val="00B03F56"/>
    <w:rsid w:val="00B1018E"/>
    <w:rsid w:val="00B12F8D"/>
    <w:rsid w:val="00B158D3"/>
    <w:rsid w:val="00B17EB3"/>
    <w:rsid w:val="00B205B4"/>
    <w:rsid w:val="00B21B38"/>
    <w:rsid w:val="00B21F5D"/>
    <w:rsid w:val="00B24A3C"/>
    <w:rsid w:val="00B255AC"/>
    <w:rsid w:val="00B27474"/>
    <w:rsid w:val="00B30C35"/>
    <w:rsid w:val="00B31DD8"/>
    <w:rsid w:val="00B33A47"/>
    <w:rsid w:val="00B34BB4"/>
    <w:rsid w:val="00B34E1A"/>
    <w:rsid w:val="00B3530D"/>
    <w:rsid w:val="00B36D46"/>
    <w:rsid w:val="00B37E04"/>
    <w:rsid w:val="00B403C8"/>
    <w:rsid w:val="00B4110D"/>
    <w:rsid w:val="00B4332E"/>
    <w:rsid w:val="00B44448"/>
    <w:rsid w:val="00B462E6"/>
    <w:rsid w:val="00B500B1"/>
    <w:rsid w:val="00B51CC8"/>
    <w:rsid w:val="00B51FD4"/>
    <w:rsid w:val="00B5375E"/>
    <w:rsid w:val="00B552B5"/>
    <w:rsid w:val="00B55DF0"/>
    <w:rsid w:val="00B56999"/>
    <w:rsid w:val="00B6160B"/>
    <w:rsid w:val="00B64977"/>
    <w:rsid w:val="00B64CCF"/>
    <w:rsid w:val="00B66350"/>
    <w:rsid w:val="00B716F6"/>
    <w:rsid w:val="00B73CCC"/>
    <w:rsid w:val="00B74C55"/>
    <w:rsid w:val="00B760D6"/>
    <w:rsid w:val="00B763A1"/>
    <w:rsid w:val="00B7642A"/>
    <w:rsid w:val="00B8080F"/>
    <w:rsid w:val="00B8167D"/>
    <w:rsid w:val="00B83360"/>
    <w:rsid w:val="00B8382A"/>
    <w:rsid w:val="00B85DFD"/>
    <w:rsid w:val="00B876F3"/>
    <w:rsid w:val="00B87F14"/>
    <w:rsid w:val="00B91595"/>
    <w:rsid w:val="00B92B72"/>
    <w:rsid w:val="00B944BD"/>
    <w:rsid w:val="00B96C81"/>
    <w:rsid w:val="00BA25B7"/>
    <w:rsid w:val="00BA4FE4"/>
    <w:rsid w:val="00BA773C"/>
    <w:rsid w:val="00BA7EE4"/>
    <w:rsid w:val="00BB1D6D"/>
    <w:rsid w:val="00BB514E"/>
    <w:rsid w:val="00BB6412"/>
    <w:rsid w:val="00BB6F9D"/>
    <w:rsid w:val="00BC011F"/>
    <w:rsid w:val="00BC22D9"/>
    <w:rsid w:val="00BC29C4"/>
    <w:rsid w:val="00BC4828"/>
    <w:rsid w:val="00BC4D19"/>
    <w:rsid w:val="00BC736C"/>
    <w:rsid w:val="00BD03A4"/>
    <w:rsid w:val="00BD2308"/>
    <w:rsid w:val="00BD36A3"/>
    <w:rsid w:val="00BD57A5"/>
    <w:rsid w:val="00BD633D"/>
    <w:rsid w:val="00BD73F2"/>
    <w:rsid w:val="00BD76A2"/>
    <w:rsid w:val="00BE11C1"/>
    <w:rsid w:val="00BE1F89"/>
    <w:rsid w:val="00BE764F"/>
    <w:rsid w:val="00BF019B"/>
    <w:rsid w:val="00BF173B"/>
    <w:rsid w:val="00BF1C3C"/>
    <w:rsid w:val="00BF3BAB"/>
    <w:rsid w:val="00BF3BFF"/>
    <w:rsid w:val="00BF5501"/>
    <w:rsid w:val="00BF6732"/>
    <w:rsid w:val="00BF7027"/>
    <w:rsid w:val="00BF75F1"/>
    <w:rsid w:val="00C03349"/>
    <w:rsid w:val="00C06D68"/>
    <w:rsid w:val="00C0759B"/>
    <w:rsid w:val="00C10AB7"/>
    <w:rsid w:val="00C10BC3"/>
    <w:rsid w:val="00C12301"/>
    <w:rsid w:val="00C126F8"/>
    <w:rsid w:val="00C133EC"/>
    <w:rsid w:val="00C14713"/>
    <w:rsid w:val="00C15CDB"/>
    <w:rsid w:val="00C1757E"/>
    <w:rsid w:val="00C17FD4"/>
    <w:rsid w:val="00C240F8"/>
    <w:rsid w:val="00C26F51"/>
    <w:rsid w:val="00C27726"/>
    <w:rsid w:val="00C3270E"/>
    <w:rsid w:val="00C401B9"/>
    <w:rsid w:val="00C46575"/>
    <w:rsid w:val="00C4660E"/>
    <w:rsid w:val="00C47301"/>
    <w:rsid w:val="00C53EC3"/>
    <w:rsid w:val="00C555FF"/>
    <w:rsid w:val="00C56194"/>
    <w:rsid w:val="00C57B9F"/>
    <w:rsid w:val="00C60016"/>
    <w:rsid w:val="00C60418"/>
    <w:rsid w:val="00C628F6"/>
    <w:rsid w:val="00C65733"/>
    <w:rsid w:val="00C66CDD"/>
    <w:rsid w:val="00C70240"/>
    <w:rsid w:val="00C70410"/>
    <w:rsid w:val="00C72306"/>
    <w:rsid w:val="00C731BD"/>
    <w:rsid w:val="00C73327"/>
    <w:rsid w:val="00C76B12"/>
    <w:rsid w:val="00C76DA1"/>
    <w:rsid w:val="00C771B9"/>
    <w:rsid w:val="00C82DFF"/>
    <w:rsid w:val="00C82E38"/>
    <w:rsid w:val="00C84265"/>
    <w:rsid w:val="00C8499C"/>
    <w:rsid w:val="00C84D87"/>
    <w:rsid w:val="00C8672D"/>
    <w:rsid w:val="00C86F2F"/>
    <w:rsid w:val="00C87DDA"/>
    <w:rsid w:val="00C908AA"/>
    <w:rsid w:val="00C91E85"/>
    <w:rsid w:val="00C953BE"/>
    <w:rsid w:val="00C9567A"/>
    <w:rsid w:val="00C95F02"/>
    <w:rsid w:val="00CA441E"/>
    <w:rsid w:val="00CA45A2"/>
    <w:rsid w:val="00CA51C6"/>
    <w:rsid w:val="00CA7A13"/>
    <w:rsid w:val="00CC12BB"/>
    <w:rsid w:val="00CD35FA"/>
    <w:rsid w:val="00CD4FCE"/>
    <w:rsid w:val="00CD531D"/>
    <w:rsid w:val="00CE290D"/>
    <w:rsid w:val="00CE3290"/>
    <w:rsid w:val="00CE364B"/>
    <w:rsid w:val="00CE51A0"/>
    <w:rsid w:val="00CE5512"/>
    <w:rsid w:val="00CE5669"/>
    <w:rsid w:val="00CE5CD6"/>
    <w:rsid w:val="00CE7570"/>
    <w:rsid w:val="00CE78D9"/>
    <w:rsid w:val="00CF0ECB"/>
    <w:rsid w:val="00CF2040"/>
    <w:rsid w:val="00CF3A2A"/>
    <w:rsid w:val="00CF59B4"/>
    <w:rsid w:val="00CF5C46"/>
    <w:rsid w:val="00CF7EF6"/>
    <w:rsid w:val="00D00AD8"/>
    <w:rsid w:val="00D0382C"/>
    <w:rsid w:val="00D10583"/>
    <w:rsid w:val="00D1295B"/>
    <w:rsid w:val="00D13BEC"/>
    <w:rsid w:val="00D1507C"/>
    <w:rsid w:val="00D20381"/>
    <w:rsid w:val="00D22290"/>
    <w:rsid w:val="00D230DC"/>
    <w:rsid w:val="00D246D6"/>
    <w:rsid w:val="00D26FF9"/>
    <w:rsid w:val="00D30910"/>
    <w:rsid w:val="00D31719"/>
    <w:rsid w:val="00D32806"/>
    <w:rsid w:val="00D33E0C"/>
    <w:rsid w:val="00D35E1C"/>
    <w:rsid w:val="00D419C3"/>
    <w:rsid w:val="00D42EA4"/>
    <w:rsid w:val="00D432F0"/>
    <w:rsid w:val="00D43405"/>
    <w:rsid w:val="00D47BCA"/>
    <w:rsid w:val="00D5189D"/>
    <w:rsid w:val="00D5356A"/>
    <w:rsid w:val="00D5577C"/>
    <w:rsid w:val="00D61141"/>
    <w:rsid w:val="00D6372F"/>
    <w:rsid w:val="00D64601"/>
    <w:rsid w:val="00D65D4F"/>
    <w:rsid w:val="00D70A33"/>
    <w:rsid w:val="00D7263E"/>
    <w:rsid w:val="00D73266"/>
    <w:rsid w:val="00D734BB"/>
    <w:rsid w:val="00D737F3"/>
    <w:rsid w:val="00D757EA"/>
    <w:rsid w:val="00D76E10"/>
    <w:rsid w:val="00D84899"/>
    <w:rsid w:val="00D856C4"/>
    <w:rsid w:val="00D86788"/>
    <w:rsid w:val="00D92341"/>
    <w:rsid w:val="00D926E9"/>
    <w:rsid w:val="00D92EF5"/>
    <w:rsid w:val="00D956FF"/>
    <w:rsid w:val="00D96E68"/>
    <w:rsid w:val="00DA04E4"/>
    <w:rsid w:val="00DA0C92"/>
    <w:rsid w:val="00DA2366"/>
    <w:rsid w:val="00DA40B4"/>
    <w:rsid w:val="00DA6318"/>
    <w:rsid w:val="00DA7279"/>
    <w:rsid w:val="00DB25DF"/>
    <w:rsid w:val="00DB5406"/>
    <w:rsid w:val="00DB5457"/>
    <w:rsid w:val="00DB551A"/>
    <w:rsid w:val="00DC0B62"/>
    <w:rsid w:val="00DC1624"/>
    <w:rsid w:val="00DC21D3"/>
    <w:rsid w:val="00DC2641"/>
    <w:rsid w:val="00DC2C08"/>
    <w:rsid w:val="00DC2C5B"/>
    <w:rsid w:val="00DC3169"/>
    <w:rsid w:val="00DC6152"/>
    <w:rsid w:val="00DD26DE"/>
    <w:rsid w:val="00DD3DE0"/>
    <w:rsid w:val="00DD5732"/>
    <w:rsid w:val="00DD59A0"/>
    <w:rsid w:val="00DE2DE6"/>
    <w:rsid w:val="00DE3663"/>
    <w:rsid w:val="00DE45E5"/>
    <w:rsid w:val="00DF586A"/>
    <w:rsid w:val="00DF7FFD"/>
    <w:rsid w:val="00E007A8"/>
    <w:rsid w:val="00E023A5"/>
    <w:rsid w:val="00E04477"/>
    <w:rsid w:val="00E04A88"/>
    <w:rsid w:val="00E058E6"/>
    <w:rsid w:val="00E061ED"/>
    <w:rsid w:val="00E06740"/>
    <w:rsid w:val="00E067D4"/>
    <w:rsid w:val="00E06C6B"/>
    <w:rsid w:val="00E079BC"/>
    <w:rsid w:val="00E10EFB"/>
    <w:rsid w:val="00E14CA4"/>
    <w:rsid w:val="00E15089"/>
    <w:rsid w:val="00E1631A"/>
    <w:rsid w:val="00E21FF4"/>
    <w:rsid w:val="00E23890"/>
    <w:rsid w:val="00E26E56"/>
    <w:rsid w:val="00E27B2C"/>
    <w:rsid w:val="00E30F65"/>
    <w:rsid w:val="00E31809"/>
    <w:rsid w:val="00E32098"/>
    <w:rsid w:val="00E332FC"/>
    <w:rsid w:val="00E338A1"/>
    <w:rsid w:val="00E40679"/>
    <w:rsid w:val="00E41A4B"/>
    <w:rsid w:val="00E43465"/>
    <w:rsid w:val="00E4553F"/>
    <w:rsid w:val="00E4574C"/>
    <w:rsid w:val="00E46197"/>
    <w:rsid w:val="00E47748"/>
    <w:rsid w:val="00E47812"/>
    <w:rsid w:val="00E50130"/>
    <w:rsid w:val="00E501C7"/>
    <w:rsid w:val="00E50BE9"/>
    <w:rsid w:val="00E51676"/>
    <w:rsid w:val="00E54CBB"/>
    <w:rsid w:val="00E55B96"/>
    <w:rsid w:val="00E572C2"/>
    <w:rsid w:val="00E5731C"/>
    <w:rsid w:val="00E60ADB"/>
    <w:rsid w:val="00E60BDA"/>
    <w:rsid w:val="00E61C14"/>
    <w:rsid w:val="00E62104"/>
    <w:rsid w:val="00E6364D"/>
    <w:rsid w:val="00E63D3C"/>
    <w:rsid w:val="00E66686"/>
    <w:rsid w:val="00E67458"/>
    <w:rsid w:val="00E736CA"/>
    <w:rsid w:val="00E76D38"/>
    <w:rsid w:val="00E811CD"/>
    <w:rsid w:val="00E8324C"/>
    <w:rsid w:val="00E84B1F"/>
    <w:rsid w:val="00E86939"/>
    <w:rsid w:val="00E86D9F"/>
    <w:rsid w:val="00E90B18"/>
    <w:rsid w:val="00E95EB5"/>
    <w:rsid w:val="00E96F86"/>
    <w:rsid w:val="00EA05F0"/>
    <w:rsid w:val="00EA14E1"/>
    <w:rsid w:val="00EA3702"/>
    <w:rsid w:val="00EA3D2C"/>
    <w:rsid w:val="00EA4230"/>
    <w:rsid w:val="00EB0375"/>
    <w:rsid w:val="00EB0A82"/>
    <w:rsid w:val="00EB2378"/>
    <w:rsid w:val="00EB4F49"/>
    <w:rsid w:val="00EB7885"/>
    <w:rsid w:val="00EC13EE"/>
    <w:rsid w:val="00EC1557"/>
    <w:rsid w:val="00EC6FF7"/>
    <w:rsid w:val="00EC745B"/>
    <w:rsid w:val="00ED1065"/>
    <w:rsid w:val="00ED2F5A"/>
    <w:rsid w:val="00ED4617"/>
    <w:rsid w:val="00ED4AF7"/>
    <w:rsid w:val="00EE2BBB"/>
    <w:rsid w:val="00EE2F0E"/>
    <w:rsid w:val="00EE30A5"/>
    <w:rsid w:val="00EE3310"/>
    <w:rsid w:val="00EE478F"/>
    <w:rsid w:val="00EE4FF2"/>
    <w:rsid w:val="00EE6721"/>
    <w:rsid w:val="00EF0E26"/>
    <w:rsid w:val="00EF1F7B"/>
    <w:rsid w:val="00EF56D5"/>
    <w:rsid w:val="00F0011C"/>
    <w:rsid w:val="00F05AE4"/>
    <w:rsid w:val="00F11A23"/>
    <w:rsid w:val="00F12DDE"/>
    <w:rsid w:val="00F1375E"/>
    <w:rsid w:val="00F142DC"/>
    <w:rsid w:val="00F17B03"/>
    <w:rsid w:val="00F208B7"/>
    <w:rsid w:val="00F22A66"/>
    <w:rsid w:val="00F23E87"/>
    <w:rsid w:val="00F25C9C"/>
    <w:rsid w:val="00F260FA"/>
    <w:rsid w:val="00F26470"/>
    <w:rsid w:val="00F26DE0"/>
    <w:rsid w:val="00F27C16"/>
    <w:rsid w:val="00F31995"/>
    <w:rsid w:val="00F31EC4"/>
    <w:rsid w:val="00F353A2"/>
    <w:rsid w:val="00F35682"/>
    <w:rsid w:val="00F429AC"/>
    <w:rsid w:val="00F42AFA"/>
    <w:rsid w:val="00F44B47"/>
    <w:rsid w:val="00F44D8B"/>
    <w:rsid w:val="00F45D2E"/>
    <w:rsid w:val="00F45D9E"/>
    <w:rsid w:val="00F46AC8"/>
    <w:rsid w:val="00F50D1F"/>
    <w:rsid w:val="00F510A9"/>
    <w:rsid w:val="00F51255"/>
    <w:rsid w:val="00F5191F"/>
    <w:rsid w:val="00F51F4A"/>
    <w:rsid w:val="00F54CD1"/>
    <w:rsid w:val="00F6088A"/>
    <w:rsid w:val="00F609EE"/>
    <w:rsid w:val="00F6136B"/>
    <w:rsid w:val="00F61E54"/>
    <w:rsid w:val="00F626CF"/>
    <w:rsid w:val="00F62C6A"/>
    <w:rsid w:val="00F65BB4"/>
    <w:rsid w:val="00F67927"/>
    <w:rsid w:val="00F70860"/>
    <w:rsid w:val="00F7090F"/>
    <w:rsid w:val="00F71092"/>
    <w:rsid w:val="00F72A74"/>
    <w:rsid w:val="00F757FF"/>
    <w:rsid w:val="00F75D37"/>
    <w:rsid w:val="00F800FD"/>
    <w:rsid w:val="00F82A9C"/>
    <w:rsid w:val="00F861A1"/>
    <w:rsid w:val="00F867B0"/>
    <w:rsid w:val="00F92B6D"/>
    <w:rsid w:val="00F94518"/>
    <w:rsid w:val="00F9460D"/>
    <w:rsid w:val="00FA35C1"/>
    <w:rsid w:val="00FA3F2D"/>
    <w:rsid w:val="00FA473F"/>
    <w:rsid w:val="00FA5FEA"/>
    <w:rsid w:val="00FB01B0"/>
    <w:rsid w:val="00FB1800"/>
    <w:rsid w:val="00FB37B6"/>
    <w:rsid w:val="00FB56AD"/>
    <w:rsid w:val="00FB5B26"/>
    <w:rsid w:val="00FC1590"/>
    <w:rsid w:val="00FC38F8"/>
    <w:rsid w:val="00FC3DDF"/>
    <w:rsid w:val="00FC40B6"/>
    <w:rsid w:val="00FC5400"/>
    <w:rsid w:val="00FC65CF"/>
    <w:rsid w:val="00FC70A9"/>
    <w:rsid w:val="00FC756B"/>
    <w:rsid w:val="00FD18E4"/>
    <w:rsid w:val="00FD4443"/>
    <w:rsid w:val="00FD4EF3"/>
    <w:rsid w:val="00FD5D78"/>
    <w:rsid w:val="00FD5DDD"/>
    <w:rsid w:val="00FD6651"/>
    <w:rsid w:val="00FD7C96"/>
    <w:rsid w:val="00FE1947"/>
    <w:rsid w:val="00FE1D6B"/>
    <w:rsid w:val="00FE240A"/>
    <w:rsid w:val="00FE254B"/>
    <w:rsid w:val="00FE543B"/>
    <w:rsid w:val="00FE5EA7"/>
    <w:rsid w:val="00FE7463"/>
    <w:rsid w:val="00FF07EE"/>
    <w:rsid w:val="00FF6C3C"/>
    <w:rsid w:val="4DA3F939"/>
    <w:rsid w:val="583F35EA"/>
    <w:rsid w:val="5FB83A9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F72C471"/>
  <w15:docId w15:val="{BC420A50-FBB3-4F4D-B356-78B047679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ro-RO"/>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8"/>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8"/>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8"/>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008C"/>
    <w:rPr>
      <w:color w:val="0000FF"/>
      <w:u w:val="single"/>
    </w:rPr>
  </w:style>
  <w:style w:type="paragraph" w:customStyle="1" w:styleId="title-doc-first">
    <w:name w:val="title-doc-first"/>
    <w:basedOn w:val="Normal"/>
    <w:rsid w:val="00B944BD"/>
    <w:pPr>
      <w:spacing w:before="100" w:beforeAutospacing="1" w:after="100" w:afterAutospacing="1"/>
      <w:jc w:val="left"/>
    </w:pPr>
  </w:style>
  <w:style w:type="paragraph" w:styleId="ListBullet">
    <w:name w:val="List Bullet"/>
    <w:basedOn w:val="Normal"/>
    <w:uiPriority w:val="99"/>
    <w:semiHidden/>
    <w:unhideWhenUsed/>
    <w:rsid w:val="007277E1"/>
    <w:pPr>
      <w:numPr>
        <w:numId w:val="1"/>
      </w:numPr>
      <w:contextualSpacing/>
    </w:pPr>
  </w:style>
  <w:style w:type="paragraph" w:styleId="ListBullet2">
    <w:name w:val="List Bullet 2"/>
    <w:basedOn w:val="Normal"/>
    <w:uiPriority w:val="99"/>
    <w:semiHidden/>
    <w:unhideWhenUsed/>
    <w:rsid w:val="007277E1"/>
    <w:pPr>
      <w:numPr>
        <w:numId w:val="2"/>
      </w:numPr>
      <w:contextualSpacing/>
    </w:pPr>
  </w:style>
  <w:style w:type="paragraph" w:styleId="ListBullet3">
    <w:name w:val="List Bullet 3"/>
    <w:basedOn w:val="Normal"/>
    <w:uiPriority w:val="99"/>
    <w:semiHidden/>
    <w:unhideWhenUsed/>
    <w:rsid w:val="007277E1"/>
    <w:pPr>
      <w:numPr>
        <w:numId w:val="3"/>
      </w:numPr>
      <w:contextualSpacing/>
    </w:pPr>
  </w:style>
  <w:style w:type="paragraph" w:styleId="ListBullet4">
    <w:name w:val="List Bullet 4"/>
    <w:basedOn w:val="Normal"/>
    <w:uiPriority w:val="99"/>
    <w:semiHidden/>
    <w:unhideWhenUsed/>
    <w:rsid w:val="007277E1"/>
    <w:pPr>
      <w:numPr>
        <w:numId w:val="4"/>
      </w:numPr>
      <w:contextualSpacing/>
    </w:pPr>
  </w:style>
  <w:style w:type="table" w:styleId="TableGridLight">
    <w:name w:val="Grid Table Light"/>
    <w:basedOn w:val="TableNormal"/>
    <w:uiPriority w:val="40"/>
    <w:rsid w:val="009429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B36D46"/>
    <w:rPr>
      <w:color w:val="605E5C"/>
      <w:shd w:val="clear" w:color="auto" w:fill="E1DFDD"/>
    </w:rPr>
  </w:style>
  <w:style w:type="character" w:styleId="CommentReference">
    <w:name w:val="annotation reference"/>
    <w:basedOn w:val="DefaultParagraphFont"/>
    <w:uiPriority w:val="99"/>
    <w:semiHidden/>
    <w:unhideWhenUsed/>
    <w:rsid w:val="00667A09"/>
    <w:rPr>
      <w:sz w:val="16"/>
    </w:rPr>
  </w:style>
  <w:style w:type="paragraph" w:styleId="CommentText">
    <w:name w:val="annotation text"/>
    <w:basedOn w:val="Normal"/>
    <w:link w:val="CommentTextChar"/>
    <w:uiPriority w:val="99"/>
    <w:unhideWhenUsed/>
    <w:rsid w:val="008934B1"/>
    <w:rPr>
      <w:sz w:val="20"/>
    </w:rPr>
  </w:style>
  <w:style w:type="character" w:customStyle="1" w:styleId="CommentTextChar">
    <w:name w:val="Comment Text Char"/>
    <w:basedOn w:val="DefaultParagraphFont"/>
    <w:link w:val="CommentText"/>
    <w:uiPriority w:val="99"/>
    <w:rsid w:val="00667A09"/>
    <w:rPr>
      <w:rFonts w:ascii="Times New Roman" w:hAnsi="Times New Roman" w:cs="Times New Roman"/>
      <w:sz w:val="20"/>
    </w:rPr>
  </w:style>
  <w:style w:type="paragraph" w:styleId="CommentSubject">
    <w:name w:val="annotation subject"/>
    <w:basedOn w:val="CommentText"/>
    <w:next w:val="CommentText"/>
    <w:link w:val="CommentSubjectChar"/>
    <w:uiPriority w:val="99"/>
    <w:semiHidden/>
    <w:unhideWhenUsed/>
    <w:rsid w:val="00667A09"/>
    <w:rPr>
      <w:b/>
    </w:rPr>
  </w:style>
  <w:style w:type="character" w:customStyle="1" w:styleId="CommentSubjectChar">
    <w:name w:val="Comment Subject Char"/>
    <w:basedOn w:val="CommentTextChar"/>
    <w:link w:val="CommentSubject"/>
    <w:uiPriority w:val="99"/>
    <w:semiHidden/>
    <w:rsid w:val="00667A09"/>
    <w:rPr>
      <w:rFonts w:ascii="Times New Roman" w:hAnsi="Times New Roman" w:cs="Times New Roman"/>
      <w:b/>
      <w:sz w:val="20"/>
    </w:rPr>
  </w:style>
  <w:style w:type="paragraph" w:styleId="BalloonText">
    <w:name w:val="Balloon Text"/>
    <w:basedOn w:val="Normal"/>
    <w:link w:val="BalloonTextChar"/>
    <w:uiPriority w:val="99"/>
    <w:semiHidden/>
    <w:unhideWhenUsed/>
    <w:rsid w:val="00667A09"/>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667A09"/>
    <w:rPr>
      <w:rFonts w:ascii="Segoe UI" w:hAnsi="Segoe UI" w:cs="Segoe UI"/>
      <w:sz w:val="18"/>
    </w:rPr>
  </w:style>
  <w:style w:type="paragraph" w:styleId="Caption">
    <w:name w:val="caption"/>
    <w:basedOn w:val="Normal"/>
    <w:next w:val="Normal"/>
    <w:uiPriority w:val="35"/>
    <w:semiHidden/>
    <w:unhideWhenUsed/>
    <w:qFormat/>
    <w:rsid w:val="001E495F"/>
    <w:pPr>
      <w:spacing w:before="0" w:after="200"/>
    </w:pPr>
    <w:rPr>
      <w:i/>
      <w:color w:val="1F497D" w:themeColor="text2"/>
      <w:sz w:val="18"/>
    </w:rPr>
  </w:style>
  <w:style w:type="paragraph" w:styleId="TableofFigures">
    <w:name w:val="table of figures"/>
    <w:basedOn w:val="Normal"/>
    <w:next w:val="Normal"/>
    <w:uiPriority w:val="99"/>
    <w:semiHidden/>
    <w:unhideWhenUsed/>
    <w:rsid w:val="001E495F"/>
    <w:pPr>
      <w:spacing w:after="0"/>
    </w:pPr>
  </w:style>
  <w:style w:type="paragraph" w:styleId="ListNumber">
    <w:name w:val="List Number"/>
    <w:basedOn w:val="Normal"/>
    <w:uiPriority w:val="99"/>
    <w:semiHidden/>
    <w:unhideWhenUsed/>
    <w:rsid w:val="001E495F"/>
    <w:pPr>
      <w:numPr>
        <w:numId w:val="6"/>
      </w:numPr>
      <w:contextualSpacing/>
    </w:pPr>
  </w:style>
  <w:style w:type="paragraph" w:styleId="ListNumber2">
    <w:name w:val="List Number 2"/>
    <w:basedOn w:val="Normal"/>
    <w:uiPriority w:val="99"/>
    <w:semiHidden/>
    <w:unhideWhenUsed/>
    <w:rsid w:val="001E495F"/>
    <w:pPr>
      <w:numPr>
        <w:numId w:val="7"/>
      </w:numPr>
      <w:contextualSpacing/>
    </w:pPr>
  </w:style>
  <w:style w:type="paragraph" w:styleId="ListNumber3">
    <w:name w:val="List Number 3"/>
    <w:basedOn w:val="Normal"/>
    <w:uiPriority w:val="99"/>
    <w:semiHidden/>
    <w:unhideWhenUsed/>
    <w:rsid w:val="001E495F"/>
    <w:pPr>
      <w:numPr>
        <w:numId w:val="8"/>
      </w:numPr>
      <w:contextualSpacing/>
    </w:pPr>
  </w:style>
  <w:style w:type="paragraph" w:styleId="ListNumber4">
    <w:name w:val="List Number 4"/>
    <w:basedOn w:val="Normal"/>
    <w:uiPriority w:val="99"/>
    <w:semiHidden/>
    <w:unhideWhenUsed/>
    <w:rsid w:val="001E495F"/>
    <w:pPr>
      <w:numPr>
        <w:numId w:val="9"/>
      </w:numPr>
      <w:contextualSpacing/>
    </w:pPr>
  </w:style>
  <w:style w:type="paragraph" w:styleId="Revision">
    <w:name w:val="Revision"/>
    <w:hidden/>
    <w:uiPriority w:val="99"/>
    <w:semiHidden/>
    <w:rsid w:val="00E4574C"/>
    <w:pPr>
      <w:spacing w:after="0" w:line="240" w:lineRule="auto"/>
    </w:pPr>
    <w:rPr>
      <w:rFonts w:ascii="Times New Roman" w:hAnsi="Times New Roman" w:cs="Times New Roman"/>
      <w:sz w:val="24"/>
    </w:rPr>
  </w:style>
  <w:style w:type="paragraph" w:styleId="ListParagraph">
    <w:name w:val="List Paragraph"/>
    <w:basedOn w:val="Normal"/>
    <w:uiPriority w:val="34"/>
    <w:qFormat/>
    <w:rsid w:val="00692495"/>
    <w:pPr>
      <w:ind w:left="720"/>
      <w:contextualSpacing/>
    </w:pPr>
  </w:style>
  <w:style w:type="character" w:styleId="FollowedHyperlink">
    <w:name w:val="FollowedHyperlink"/>
    <w:basedOn w:val="DefaultParagraphFont"/>
    <w:uiPriority w:val="99"/>
    <w:semiHidden/>
    <w:unhideWhenUsed/>
    <w:rsid w:val="000B7124"/>
    <w:rPr>
      <w:color w:val="800080" w:themeColor="followedHyperlink"/>
      <w:u w:val="single"/>
    </w:rPr>
  </w:style>
  <w:style w:type="character" w:customStyle="1" w:styleId="UnresolvedMention">
    <w:name w:val="Unresolved Mention"/>
    <w:basedOn w:val="DefaultParagraphFont"/>
    <w:uiPriority w:val="99"/>
    <w:semiHidden/>
    <w:unhideWhenUsed/>
    <w:rsid w:val="00DD5732"/>
    <w:rPr>
      <w:color w:val="605E5C"/>
      <w:shd w:val="clear" w:color="auto" w:fill="E1DFDD"/>
    </w:rPr>
  </w:style>
  <w:style w:type="paragraph" w:styleId="Header">
    <w:name w:val="header"/>
    <w:basedOn w:val="Normal"/>
    <w:link w:val="HeaderChar"/>
    <w:uiPriority w:val="99"/>
    <w:unhideWhenUsed/>
    <w:rsid w:val="0004169F"/>
    <w:pPr>
      <w:tabs>
        <w:tab w:val="center" w:pos="4535"/>
        <w:tab w:val="right" w:pos="9071"/>
      </w:tabs>
      <w:spacing w:before="0"/>
    </w:pPr>
  </w:style>
  <w:style w:type="character" w:customStyle="1" w:styleId="HeaderChar">
    <w:name w:val="Header Char"/>
    <w:basedOn w:val="DefaultParagraphFont"/>
    <w:link w:val="Header"/>
    <w:uiPriority w:val="99"/>
    <w:rsid w:val="0004169F"/>
    <w:rPr>
      <w:rFonts w:ascii="Times New Roman" w:hAnsi="Times New Roman" w:cs="Times New Roman"/>
      <w:sz w:val="24"/>
      <w:lang w:val="ro-RO"/>
    </w:rPr>
  </w:style>
  <w:style w:type="paragraph" w:styleId="Footer">
    <w:name w:val="footer"/>
    <w:basedOn w:val="Normal"/>
    <w:link w:val="FooterChar"/>
    <w:uiPriority w:val="99"/>
    <w:unhideWhenUsed/>
    <w:rsid w:val="0004169F"/>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04169F"/>
    <w:rPr>
      <w:rFonts w:ascii="Times New Roman" w:hAnsi="Times New Roman" w:cs="Times New Roman"/>
      <w:sz w:val="24"/>
      <w:lang w:val="ro-RO"/>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ro-RO"/>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ro-RO"/>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ro-RO"/>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ro-RO"/>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ro-RO"/>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ro-RO"/>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ro-RO"/>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04169F"/>
    <w:pPr>
      <w:tabs>
        <w:tab w:val="center" w:pos="7285"/>
        <w:tab w:val="right" w:pos="14003"/>
      </w:tabs>
      <w:spacing w:before="0"/>
    </w:pPr>
  </w:style>
  <w:style w:type="paragraph" w:customStyle="1" w:styleId="FooterLandscape">
    <w:name w:val="FooterLandscape"/>
    <w:basedOn w:val="Normal"/>
    <w:rsid w:val="0004169F"/>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04169F"/>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04169F"/>
    <w:pPr>
      <w:spacing w:before="0"/>
      <w:jc w:val="right"/>
    </w:pPr>
    <w:rPr>
      <w:sz w:val="28"/>
    </w:rPr>
  </w:style>
  <w:style w:type="paragraph" w:customStyle="1" w:styleId="FooterSensitivity">
    <w:name w:val="Footer Sensitivity"/>
    <w:basedOn w:val="Normal"/>
    <w:rsid w:val="0004169F"/>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Tiret5">
    <w:name w:val="Tiret 5"/>
    <w:basedOn w:val="Point5"/>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NumPar5">
    <w:name w:val="NumPar 5"/>
    <w:basedOn w:val="Normal"/>
    <w:next w:val="Text2"/>
    <w:pPr>
      <w:numPr>
        <w:ilvl w:val="4"/>
        <w:numId w:val="17"/>
      </w:numPr>
    </w:pPr>
  </w:style>
  <w:style w:type="paragraph" w:customStyle="1" w:styleId="NumPar6">
    <w:name w:val="NumPar 6"/>
    <w:basedOn w:val="Normal"/>
    <w:next w:val="Text2"/>
    <w:pPr>
      <w:numPr>
        <w:ilvl w:val="5"/>
        <w:numId w:val="17"/>
      </w:numPr>
    </w:pPr>
  </w:style>
  <w:style w:type="paragraph" w:customStyle="1" w:styleId="NumPar7">
    <w:name w:val="NumPar 7"/>
    <w:basedOn w:val="Normal"/>
    <w:next w:val="Text2"/>
    <w:pPr>
      <w:numPr>
        <w:ilvl w:val="6"/>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41481E"/>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taxation-customs.ec.europa.eu/system/files/2020-09/customs-action-plan-2020_ro.pdf" TargetMode="External"/><Relationship Id="rId3" Type="http://schemas.openxmlformats.org/officeDocument/2006/relationships/hyperlink" Target="https://op.europa.eu/webpub/eca/special-reports/eu-customs-19-2017/ro/" TargetMode="External"/><Relationship Id="rId7" Type="http://schemas.openxmlformats.org/officeDocument/2006/relationships/hyperlink" Target="https://taxation-customs.ec.europa.eu/system/files/2022-03/TAX-20-002-Future%20customs-REPORT_BIS_v5%20%28WEB%29.pdf" TargetMode="External"/><Relationship Id="rId2" Type="http://schemas.openxmlformats.org/officeDocument/2006/relationships/hyperlink" Target="https://op.europa.eu/webpub/eca/special-reports/eu-customs-19-2017/ro/" TargetMode="External"/><Relationship Id="rId1" Type="http://schemas.openxmlformats.org/officeDocument/2006/relationships/hyperlink" Target="https://taxation-customs.ec.europa.eu/system/files/2022-12/Impact%20Assessment%20-%20VAT%20in%20the%20Digital%20Age.pdf" TargetMode="External"/><Relationship Id="rId6" Type="http://schemas.openxmlformats.org/officeDocument/2006/relationships/hyperlink" Target="https://taxation-customs.ec.europa.eu/document/download/1445fe38-94f9-4336-9073-7d6274a8ea68_en?filename=20220211%20WPG%20contributions%20to%20public%20consultation.pdf" TargetMode="External"/><Relationship Id="rId5" Type="http://schemas.openxmlformats.org/officeDocument/2006/relationships/hyperlink" Target="https://taxation-customs.ec.europa.eu/document/download/fb714d2e-0c3b-4a71-8ea6-030e02c64d3c_en?filename=WPG%20meetings%20participants.pdf" TargetMode="External"/><Relationship Id="rId4" Type="http://schemas.openxmlformats.org/officeDocument/2006/relationships/hyperlink" Target="https://ec.europa.eu/taxation_customs/customs-4/wise-persons-group-challenges-facing-customs-union-wpg_en" TargetMode="External"/><Relationship Id="rId9" Type="http://schemas.openxmlformats.org/officeDocument/2006/relationships/hyperlink" Target="https://www.wto.org/english/tratop_e/msmes_e/canada_sept21_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DocumentLanguage xmlns="39d607b5-3019-4139-86e9-2e131faaffa8">EN</EC_Collab_DocumentLanguage>
    <EC_Collab_Reference xmlns="39d607b5-3019-4139-86e9-2e131faaffa8">-</EC_Collab_Reference>
    <SharedWithUsers xmlns="379e0a09-5deb-44c7-a703-b352a170740d">
      <UserInfo>
        <DisplayName>BOSCH Han</DisplayName>
        <AccountId>6148</AccountId>
        <AccountType/>
      </UserInfo>
      <UserInfo>
        <DisplayName>BATSI Anna</DisplayName>
        <AccountId>3477</AccountId>
        <AccountType/>
      </UserInfo>
    </SharedWithUsers>
    <_Status xmlns="http://schemas.microsoft.com/sharepoint/v3/fields">Not Started</_Status>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84B9496ACF2852459133A2D91F22ABF6" ma:contentTypeVersion="3" ma:contentTypeDescription="Create a new document in this library." ma:contentTypeScope="" ma:versionID="6b35358946b072b962c4750adf91bbd4">
  <xsd:schema xmlns:xsd="http://www.w3.org/2001/XMLSchema" xmlns:xs="http://www.w3.org/2001/XMLSchema" xmlns:p="http://schemas.microsoft.com/office/2006/metadata/properties" xmlns:ns3="be695353-483f-4291-a26d-4153b7d4f496" xmlns:ns4="230e2f6b-67a1-4bbe-836c-6cf83f4215af" targetNamespace="http://schemas.microsoft.com/office/2006/metadata/properties" ma:root="true" ma:fieldsID="3c3dc80f2e61d9f485223a6b8b2b0ff4" ns3:_="" ns4:_="">
    <xsd:import namespace="be695353-483f-4291-a26d-4153b7d4f496"/>
    <xsd:import namespace="230e2f6b-67a1-4bbe-836c-6cf83f4215af"/>
    <xsd:element name="properties">
      <xsd:complexType>
        <xsd:sequence>
          <xsd:element name="documentManagement">
            <xsd:complexType>
              <xsd:all>
                <xsd:element ref="ns3:EC_Collab_Reference" minOccurs="0"/>
                <xsd:element ref="ns3:EC_Collab_DocumentLanguage"/>
                <xsd:element ref="ns3:EC_Collab_Status"/>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95353-483f-4291-a26d-4153b7d4f496"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230e2f6b-67a1-4bbe-836c-6cf83f4215a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C4A98-926B-4277-9B00-32BEC724071F}">
  <ds:schemaRefs>
    <ds:schemaRef ds:uri="http://schemas.microsoft.com/office/2006/metadata/properties"/>
    <ds:schemaRef ds:uri="http://schemas.microsoft.com/office/infopath/2007/PartnerControls"/>
    <ds:schemaRef ds:uri="39d607b5-3019-4139-86e9-2e131faaffa8"/>
    <ds:schemaRef ds:uri="379e0a09-5deb-44c7-a703-b352a170740d"/>
    <ds:schemaRef ds:uri="http://schemas.microsoft.com/sharepoint/v3/fields"/>
  </ds:schemaRefs>
</ds:datastoreItem>
</file>

<file path=customXml/itemProps2.xml><?xml version="1.0" encoding="utf-8"?>
<ds:datastoreItem xmlns:ds="http://schemas.openxmlformats.org/officeDocument/2006/customXml" ds:itemID="{DEE61EDE-A4DC-43C7-AF97-7B7B055A2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695353-483f-4291-a26d-4153b7d4f496"/>
    <ds:schemaRef ds:uri="230e2f6b-67a1-4bbe-836c-6cf83f4215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624EF7-5D98-4BAC-B233-DF06FBBDDF19}">
  <ds:schemaRefs>
    <ds:schemaRef ds:uri="http://schemas.microsoft.com/sharepoint/v3/contenttype/forms"/>
  </ds:schemaRefs>
</ds:datastoreItem>
</file>

<file path=customXml/itemProps4.xml><?xml version="1.0" encoding="utf-8"?>
<ds:datastoreItem xmlns:ds="http://schemas.openxmlformats.org/officeDocument/2006/customXml" ds:itemID="{EC7E8788-ED8E-4E75-8C4A-A625BE144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13</TotalTime>
  <Pages>15</Pages>
  <Words>5632</Words>
  <Characters>32835</Characters>
  <Application>Microsoft Office Word</Application>
  <DocSecurity>0</DocSecurity>
  <Lines>482</Lines>
  <Paragraphs>119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38348</CharactersWithSpaces>
  <SharedDoc>false</SharedDoc>
  <HLinks>
    <vt:vector size="72" baseType="variant">
      <vt:variant>
        <vt:i4>1835108</vt:i4>
      </vt:variant>
      <vt:variant>
        <vt:i4>6</vt:i4>
      </vt:variant>
      <vt:variant>
        <vt:i4>0</vt:i4>
      </vt:variant>
      <vt:variant>
        <vt:i4>5</vt:i4>
      </vt:variant>
      <vt:variant>
        <vt:lpwstr>https://ec.europa.eu/info/law/better-regulation/have-your-say/initiatives/13316-Revision-of-the-Union-Customs-Code_en</vt:lpwstr>
      </vt:variant>
      <vt:variant>
        <vt:lpwstr/>
      </vt:variant>
      <vt:variant>
        <vt:i4>5374040</vt:i4>
      </vt:variant>
      <vt:variant>
        <vt:i4>3</vt:i4>
      </vt:variant>
      <vt:variant>
        <vt:i4>0</vt:i4>
      </vt:variant>
      <vt:variant>
        <vt:i4>5</vt:i4>
      </vt:variant>
      <vt:variant>
        <vt:lpwstr>https://webgate.ec.testa.eu/Ares/document/show.do?documentId=080166e5f5e1672c&amp;timestamp=1676908852650</vt:lpwstr>
      </vt:variant>
      <vt:variant>
        <vt:lpwstr/>
      </vt:variant>
      <vt:variant>
        <vt:i4>4325432</vt:i4>
      </vt:variant>
      <vt:variant>
        <vt:i4>0</vt:i4>
      </vt:variant>
      <vt:variant>
        <vt:i4>0</vt:i4>
      </vt:variant>
      <vt:variant>
        <vt:i4>5</vt:i4>
      </vt:variant>
      <vt:variant>
        <vt:lpwstr>https://ec.europa.eu/info/strategy-documents/commission-work-programme_en</vt:lpwstr>
      </vt:variant>
      <vt:variant>
        <vt:lpwstr/>
      </vt:variant>
      <vt:variant>
        <vt:i4>7405690</vt:i4>
      </vt:variant>
      <vt:variant>
        <vt:i4>24</vt:i4>
      </vt:variant>
      <vt:variant>
        <vt:i4>0</vt:i4>
      </vt:variant>
      <vt:variant>
        <vt:i4>5</vt:i4>
      </vt:variant>
      <vt:variant>
        <vt:lpwstr>https://www.wto.org/english/tratop_e/msmes_e/canada_sept21_e.pdf</vt:lpwstr>
      </vt:variant>
      <vt:variant>
        <vt:lpwstr/>
      </vt:variant>
      <vt:variant>
        <vt:i4>1245223</vt:i4>
      </vt:variant>
      <vt:variant>
        <vt:i4>21</vt:i4>
      </vt:variant>
      <vt:variant>
        <vt:i4>0</vt:i4>
      </vt:variant>
      <vt:variant>
        <vt:i4>5</vt:i4>
      </vt:variant>
      <vt:variant>
        <vt:lpwstr>https://taxation-customs.ec.europa.eu/system/files/2020-09/customs-action-plan-2020_en.pdf</vt:lpwstr>
      </vt:variant>
      <vt:variant>
        <vt:lpwstr/>
      </vt:variant>
      <vt:variant>
        <vt:i4>6160394</vt:i4>
      </vt:variant>
      <vt:variant>
        <vt:i4>18</vt:i4>
      </vt:variant>
      <vt:variant>
        <vt:i4>0</vt:i4>
      </vt:variant>
      <vt:variant>
        <vt:i4>5</vt:i4>
      </vt:variant>
      <vt:variant>
        <vt:lpwstr>https://taxation-customs.ec.europa.eu/system/files/2022-03/TAX-20-002-Future customs-REPORT_BIS_v5 %28WEB%29.pdf</vt:lpwstr>
      </vt:variant>
      <vt:variant>
        <vt:lpwstr/>
      </vt:variant>
      <vt:variant>
        <vt:i4>5505084</vt:i4>
      </vt:variant>
      <vt:variant>
        <vt:i4>15</vt:i4>
      </vt:variant>
      <vt:variant>
        <vt:i4>0</vt:i4>
      </vt:variant>
      <vt:variant>
        <vt:i4>5</vt:i4>
      </vt:variant>
      <vt:variant>
        <vt:lpwstr>https://taxation-customs.ec.europa.eu/document/download/1445fe38-94f9-4336-9073-7d6274a8ea68_en?filename=20220211%20WPG%20contributions%20to%20public%20consultation.pdf</vt:lpwstr>
      </vt:variant>
      <vt:variant>
        <vt:lpwstr/>
      </vt:variant>
      <vt:variant>
        <vt:i4>3735575</vt:i4>
      </vt:variant>
      <vt:variant>
        <vt:i4>12</vt:i4>
      </vt:variant>
      <vt:variant>
        <vt:i4>0</vt:i4>
      </vt:variant>
      <vt:variant>
        <vt:i4>5</vt:i4>
      </vt:variant>
      <vt:variant>
        <vt:lpwstr>https://taxation-customs.ec.europa.eu/document/download/fb714d2e-0c3b-4a71-8ea6-030e02c64d3c_en?filename=WPG%20meetings%20participants.pdf</vt:lpwstr>
      </vt:variant>
      <vt:variant>
        <vt:lpwstr/>
      </vt:variant>
      <vt:variant>
        <vt:i4>7143470</vt:i4>
      </vt:variant>
      <vt:variant>
        <vt:i4>9</vt:i4>
      </vt:variant>
      <vt:variant>
        <vt:i4>0</vt:i4>
      </vt:variant>
      <vt:variant>
        <vt:i4>5</vt:i4>
      </vt:variant>
      <vt:variant>
        <vt:lpwstr>https://ec.europa.eu/taxation_customs/customs-4/wise-persons-group-challenges-facing-customs-union-wpg_en</vt:lpwstr>
      </vt:variant>
      <vt:variant>
        <vt:lpwstr/>
      </vt:variant>
      <vt:variant>
        <vt:i4>5701635</vt:i4>
      </vt:variant>
      <vt:variant>
        <vt:i4>6</vt:i4>
      </vt:variant>
      <vt:variant>
        <vt:i4>0</vt:i4>
      </vt:variant>
      <vt:variant>
        <vt:i4>5</vt:i4>
      </vt:variant>
      <vt:variant>
        <vt:lpwstr>https://ec.europa.eu/info/sites/default/files/political-guidelines-next-commission_en_0.pdf</vt:lpwstr>
      </vt:variant>
      <vt:variant>
        <vt:lpwstr/>
      </vt:variant>
      <vt:variant>
        <vt:i4>7864353</vt:i4>
      </vt:variant>
      <vt:variant>
        <vt:i4>3</vt:i4>
      </vt:variant>
      <vt:variant>
        <vt:i4>0</vt:i4>
      </vt:variant>
      <vt:variant>
        <vt:i4>5</vt:i4>
      </vt:variant>
      <vt:variant>
        <vt:lpwstr>https://op.europa.eu/webpub/eca/special-reports/eu-customs-19-2017/en/</vt:lpwstr>
      </vt:variant>
      <vt:variant>
        <vt:lpwstr/>
      </vt:variant>
      <vt:variant>
        <vt:i4>655449</vt:i4>
      </vt:variant>
      <vt:variant>
        <vt:i4>0</vt:i4>
      </vt:variant>
      <vt:variant>
        <vt:i4>0</vt:i4>
      </vt:variant>
      <vt:variant>
        <vt:i4>5</vt:i4>
      </vt:variant>
      <vt:variant>
        <vt:lpwstr>https://taxation-customs.ec.europa.eu/system/files/2022-12/Impact Assessment - VAT in the Digital Age.pdf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c:subject>
  <dc:creator/>
  <cp:keywords/>
  <dc:description/>
  <cp:lastModifiedBy>EC CoDe</cp:lastModifiedBy>
  <cp:revision>49</cp:revision>
  <cp:lastPrinted>2023-03-07T07:35:00Z</cp:lastPrinted>
  <dcterms:created xsi:type="dcterms:W3CDTF">2023-05-16T14:46:00Z</dcterms:created>
  <dcterms:modified xsi:type="dcterms:W3CDTF">2023-07-11T06:59:00Z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2023-02-13T14:27:18Z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635d9c68-075e-48d8-8c7b-15685cdccf32</vt:lpwstr>
  </property>
  <property fmtid="{D5CDD505-2E9C-101B-9397-08002B2CF9AE}" pid="11" name="MSIP_Label_6bd9ddd1-4d20-43f6-abfa-fc3c07406f94_ContentBits">
    <vt:lpwstr>0</vt:lpwstr>
  </property>
  <property fmtid="{D5CDD505-2E9C-101B-9397-08002B2CF9AE}" pid="12" name="Created using">
    <vt:lpwstr>LW 8.1, Build 20230124</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SJ-016</vt:lpwstr>
  </property>
  <property fmtid="{D5CDD505-2E9C-101B-9397-08002B2CF9AE}" pid="17" name="ContentTypeId">
    <vt:lpwstr>0x010100258AA79CEB83498886A3A086811232500033285A78CCB54F4DA2ECE5FA2B2AF218</vt:lpwstr>
  </property>
  <property fmtid="{D5CDD505-2E9C-101B-9397-08002B2CF9AE}" pid="18" name="DQCStatus">
    <vt:lpwstr>Green (DQC version 03)</vt:lpwstr>
  </property>
</Properties>
</file>