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5654B" w14:textId="17D7049A" w:rsidR="00CF200E" w:rsidRPr="009F391A" w:rsidRDefault="004D1D09" w:rsidP="004D1D09">
      <w:pPr>
        <w:pStyle w:val="Pagedecouverture"/>
        <w:rPr>
          <w:noProof/>
          <w:lang w:val="en-IE"/>
        </w:rPr>
      </w:pPr>
      <w:bookmarkStart w:id="0" w:name="LW_BM_COVERPAGE"/>
      <w:r>
        <w:rPr>
          <w:noProof/>
          <w:lang w:val="en-IE"/>
        </w:rPr>
        <w:pict w14:anchorId="51062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9D80013-BB21-4134-B274-6D920A9740C1" style="width:455.25pt;height:336.75pt">
            <v:imagedata r:id="rId16" o:title=""/>
          </v:shape>
        </w:pict>
      </w:r>
    </w:p>
    <w:bookmarkEnd w:id="0"/>
    <w:p w14:paraId="25C379E1" w14:textId="28B5A8B1" w:rsidR="005F4D34" w:rsidRPr="009F391A" w:rsidRDefault="005F4D34" w:rsidP="005F4D34">
      <w:pPr>
        <w:pStyle w:val="Pagedecouverture"/>
        <w:rPr>
          <w:noProof/>
          <w:lang w:val="en-IE"/>
        </w:rPr>
        <w:sectPr w:rsidR="005F4D34" w:rsidRPr="009F391A" w:rsidSect="004D1D09">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134" w:right="1417" w:bottom="1134" w:left="1417" w:header="709" w:footer="709" w:gutter="0"/>
          <w:pgNumType w:start="0"/>
          <w:cols w:space="720"/>
          <w:docGrid w:linePitch="326"/>
        </w:sectPr>
      </w:pPr>
    </w:p>
    <w:bookmarkStart w:id="1" w:name="_GoBack"/>
    <w:bookmarkEnd w:id="1"/>
    <w:p w14:paraId="13E51AD7" w14:textId="4241E78F" w:rsidR="0024305C" w:rsidRDefault="0017530B">
      <w:pPr>
        <w:pStyle w:val="TOC1"/>
        <w:rPr>
          <w:rFonts w:asciiTheme="minorHAnsi" w:eastAsiaTheme="minorEastAsia" w:hAnsiTheme="minorHAnsi" w:cstheme="minorBidi"/>
          <w:noProof/>
          <w:sz w:val="22"/>
          <w:szCs w:val="22"/>
          <w:lang w:val="en-IE"/>
        </w:rPr>
      </w:pPr>
      <w:r w:rsidRPr="009F391A">
        <w:rPr>
          <w:noProof/>
          <w:lang w:val="en-IE"/>
        </w:rPr>
        <w:lastRenderedPageBreak/>
        <w:fldChar w:fldCharType="begin"/>
      </w:r>
      <w:r w:rsidRPr="009F391A">
        <w:rPr>
          <w:noProof/>
          <w:lang w:val="en-IE"/>
        </w:rPr>
        <w:instrText xml:space="preserve"> TOC \o "1-1" \h \z \u </w:instrText>
      </w:r>
      <w:r w:rsidRPr="009F391A">
        <w:rPr>
          <w:noProof/>
          <w:lang w:val="en-IE"/>
        </w:rPr>
        <w:fldChar w:fldCharType="separate"/>
      </w:r>
      <w:hyperlink w:anchor="_Toc138234960" w:history="1">
        <w:r w:rsidR="0024305C" w:rsidRPr="004A1FE5">
          <w:rPr>
            <w:rStyle w:val="Hyperlink"/>
            <w:noProof/>
            <w:lang w:val="en-IE"/>
          </w:rPr>
          <w:t>1.</w:t>
        </w:r>
        <w:r w:rsidR="0024305C">
          <w:rPr>
            <w:rFonts w:asciiTheme="minorHAnsi" w:eastAsiaTheme="minorEastAsia" w:hAnsiTheme="minorHAnsi" w:cstheme="minorBidi"/>
            <w:noProof/>
            <w:sz w:val="22"/>
            <w:szCs w:val="22"/>
            <w:lang w:val="en-IE"/>
          </w:rPr>
          <w:tab/>
        </w:r>
        <w:r w:rsidR="0024305C" w:rsidRPr="004A1FE5">
          <w:rPr>
            <w:rStyle w:val="Hyperlink"/>
            <w:noProof/>
            <w:lang w:val="en-IE"/>
          </w:rPr>
          <w:t>Introduction</w:t>
        </w:r>
        <w:r w:rsidR="0024305C">
          <w:rPr>
            <w:noProof/>
            <w:webHidden/>
          </w:rPr>
          <w:tab/>
        </w:r>
        <w:r w:rsidR="0024305C">
          <w:rPr>
            <w:noProof/>
            <w:webHidden/>
          </w:rPr>
          <w:fldChar w:fldCharType="begin"/>
        </w:r>
        <w:r w:rsidR="0024305C">
          <w:rPr>
            <w:noProof/>
            <w:webHidden/>
          </w:rPr>
          <w:instrText xml:space="preserve"> PAGEREF _Toc138234960 \h </w:instrText>
        </w:r>
        <w:r w:rsidR="0024305C">
          <w:rPr>
            <w:noProof/>
            <w:webHidden/>
          </w:rPr>
        </w:r>
        <w:r w:rsidR="0024305C">
          <w:rPr>
            <w:noProof/>
            <w:webHidden/>
          </w:rPr>
          <w:fldChar w:fldCharType="separate"/>
        </w:r>
        <w:r w:rsidR="0014166E">
          <w:rPr>
            <w:noProof/>
            <w:webHidden/>
          </w:rPr>
          <w:t>2</w:t>
        </w:r>
        <w:r w:rsidR="0024305C">
          <w:rPr>
            <w:noProof/>
            <w:webHidden/>
          </w:rPr>
          <w:fldChar w:fldCharType="end"/>
        </w:r>
      </w:hyperlink>
    </w:p>
    <w:p w14:paraId="5743642C" w14:textId="79B76110" w:rsidR="0024305C" w:rsidRDefault="004D1D09">
      <w:pPr>
        <w:pStyle w:val="TOC1"/>
        <w:rPr>
          <w:rFonts w:asciiTheme="minorHAnsi" w:eastAsiaTheme="minorEastAsia" w:hAnsiTheme="minorHAnsi" w:cstheme="minorBidi"/>
          <w:noProof/>
          <w:sz w:val="22"/>
          <w:szCs w:val="22"/>
          <w:lang w:val="en-IE"/>
        </w:rPr>
      </w:pPr>
      <w:hyperlink w:anchor="_Toc138234961" w:history="1">
        <w:r w:rsidR="0024305C" w:rsidRPr="004A1FE5">
          <w:rPr>
            <w:rStyle w:val="Hyperlink"/>
            <w:noProof/>
            <w:lang w:val="en-IE"/>
          </w:rPr>
          <w:t>2.</w:t>
        </w:r>
        <w:r w:rsidR="0024305C">
          <w:rPr>
            <w:rFonts w:asciiTheme="minorHAnsi" w:eastAsiaTheme="minorEastAsia" w:hAnsiTheme="minorHAnsi" w:cstheme="minorBidi"/>
            <w:noProof/>
            <w:sz w:val="22"/>
            <w:szCs w:val="22"/>
            <w:lang w:val="en-IE"/>
          </w:rPr>
          <w:tab/>
        </w:r>
        <w:r w:rsidR="0024305C" w:rsidRPr="004A1FE5">
          <w:rPr>
            <w:rStyle w:val="Hyperlink"/>
            <w:noProof/>
            <w:lang w:val="en-IE"/>
          </w:rPr>
          <w:t>Political and legal context</w:t>
        </w:r>
        <w:r w:rsidR="0024305C">
          <w:rPr>
            <w:noProof/>
            <w:webHidden/>
          </w:rPr>
          <w:tab/>
        </w:r>
        <w:r w:rsidR="0024305C">
          <w:rPr>
            <w:noProof/>
            <w:webHidden/>
          </w:rPr>
          <w:fldChar w:fldCharType="begin"/>
        </w:r>
        <w:r w:rsidR="0024305C">
          <w:rPr>
            <w:noProof/>
            <w:webHidden/>
          </w:rPr>
          <w:instrText xml:space="preserve"> PAGEREF _Toc138234961 \h </w:instrText>
        </w:r>
        <w:r w:rsidR="0024305C">
          <w:rPr>
            <w:noProof/>
            <w:webHidden/>
          </w:rPr>
        </w:r>
        <w:r w:rsidR="0024305C">
          <w:rPr>
            <w:noProof/>
            <w:webHidden/>
          </w:rPr>
          <w:fldChar w:fldCharType="separate"/>
        </w:r>
        <w:r w:rsidR="0014166E">
          <w:rPr>
            <w:noProof/>
            <w:webHidden/>
          </w:rPr>
          <w:t>2</w:t>
        </w:r>
        <w:r w:rsidR="0024305C">
          <w:rPr>
            <w:noProof/>
            <w:webHidden/>
          </w:rPr>
          <w:fldChar w:fldCharType="end"/>
        </w:r>
      </w:hyperlink>
    </w:p>
    <w:p w14:paraId="4F66E36B" w14:textId="43D2608C" w:rsidR="0024305C" w:rsidRDefault="004D1D09">
      <w:pPr>
        <w:pStyle w:val="TOC1"/>
        <w:rPr>
          <w:rFonts w:asciiTheme="minorHAnsi" w:eastAsiaTheme="minorEastAsia" w:hAnsiTheme="minorHAnsi" w:cstheme="minorBidi"/>
          <w:noProof/>
          <w:sz w:val="22"/>
          <w:szCs w:val="22"/>
          <w:lang w:val="en-IE"/>
        </w:rPr>
      </w:pPr>
      <w:hyperlink w:anchor="_Toc138234962" w:history="1">
        <w:r w:rsidR="0024305C" w:rsidRPr="004A1FE5">
          <w:rPr>
            <w:rStyle w:val="Hyperlink"/>
            <w:noProof/>
            <w:lang w:val="en-IE"/>
          </w:rPr>
          <w:t>3.</w:t>
        </w:r>
        <w:r w:rsidR="0024305C">
          <w:rPr>
            <w:rFonts w:asciiTheme="minorHAnsi" w:eastAsiaTheme="minorEastAsia" w:hAnsiTheme="minorHAnsi" w:cstheme="minorBidi"/>
            <w:noProof/>
            <w:sz w:val="22"/>
            <w:szCs w:val="22"/>
            <w:lang w:val="en-IE"/>
          </w:rPr>
          <w:tab/>
        </w:r>
        <w:r w:rsidR="0024305C" w:rsidRPr="004A1FE5">
          <w:rPr>
            <w:rStyle w:val="Hyperlink"/>
            <w:noProof/>
            <w:lang w:val="en-IE"/>
          </w:rPr>
          <w:t>Appraisal</w:t>
        </w:r>
        <w:r w:rsidR="0024305C">
          <w:rPr>
            <w:noProof/>
            <w:webHidden/>
          </w:rPr>
          <w:tab/>
        </w:r>
        <w:r w:rsidR="0024305C">
          <w:rPr>
            <w:noProof/>
            <w:webHidden/>
          </w:rPr>
          <w:fldChar w:fldCharType="begin"/>
        </w:r>
        <w:r w:rsidR="0024305C">
          <w:rPr>
            <w:noProof/>
            <w:webHidden/>
          </w:rPr>
          <w:instrText xml:space="preserve"> PAGEREF _Toc138234962 \h </w:instrText>
        </w:r>
        <w:r w:rsidR="0024305C">
          <w:rPr>
            <w:noProof/>
            <w:webHidden/>
          </w:rPr>
        </w:r>
        <w:r w:rsidR="0024305C">
          <w:rPr>
            <w:noProof/>
            <w:webHidden/>
          </w:rPr>
          <w:fldChar w:fldCharType="separate"/>
        </w:r>
        <w:r w:rsidR="0014166E">
          <w:rPr>
            <w:noProof/>
            <w:webHidden/>
          </w:rPr>
          <w:t>7</w:t>
        </w:r>
        <w:r w:rsidR="0024305C">
          <w:rPr>
            <w:noProof/>
            <w:webHidden/>
          </w:rPr>
          <w:fldChar w:fldCharType="end"/>
        </w:r>
      </w:hyperlink>
    </w:p>
    <w:p w14:paraId="392F6E3E" w14:textId="37ED3061" w:rsidR="0024305C" w:rsidRDefault="004D1D09">
      <w:pPr>
        <w:pStyle w:val="TOC1"/>
        <w:rPr>
          <w:rFonts w:asciiTheme="minorHAnsi" w:eastAsiaTheme="minorEastAsia" w:hAnsiTheme="minorHAnsi" w:cstheme="minorBidi"/>
          <w:noProof/>
          <w:sz w:val="22"/>
          <w:szCs w:val="22"/>
          <w:lang w:val="en-IE"/>
        </w:rPr>
      </w:pPr>
      <w:hyperlink w:anchor="_Toc138234963" w:history="1">
        <w:r w:rsidR="0024305C" w:rsidRPr="004A1FE5">
          <w:rPr>
            <w:rStyle w:val="Hyperlink"/>
            <w:noProof/>
            <w:lang w:val="en-IE"/>
          </w:rPr>
          <w:t>4.</w:t>
        </w:r>
        <w:r w:rsidR="0024305C">
          <w:rPr>
            <w:rFonts w:asciiTheme="minorHAnsi" w:eastAsiaTheme="minorEastAsia" w:hAnsiTheme="minorHAnsi" w:cstheme="minorBidi"/>
            <w:noProof/>
            <w:sz w:val="22"/>
            <w:szCs w:val="22"/>
            <w:lang w:val="en-IE"/>
          </w:rPr>
          <w:tab/>
        </w:r>
        <w:r w:rsidR="0024305C" w:rsidRPr="004A1FE5">
          <w:rPr>
            <w:rStyle w:val="Hyperlink"/>
            <w:noProof/>
            <w:lang w:val="en-IE"/>
          </w:rPr>
          <w:t>Next steps</w:t>
        </w:r>
        <w:r w:rsidR="0024305C">
          <w:rPr>
            <w:noProof/>
            <w:webHidden/>
          </w:rPr>
          <w:tab/>
        </w:r>
        <w:r w:rsidR="0024305C">
          <w:rPr>
            <w:noProof/>
            <w:webHidden/>
          </w:rPr>
          <w:fldChar w:fldCharType="begin"/>
        </w:r>
        <w:r w:rsidR="0024305C">
          <w:rPr>
            <w:noProof/>
            <w:webHidden/>
          </w:rPr>
          <w:instrText xml:space="preserve"> PAGEREF _Toc138234963 \h </w:instrText>
        </w:r>
        <w:r w:rsidR="0024305C">
          <w:rPr>
            <w:noProof/>
            <w:webHidden/>
          </w:rPr>
        </w:r>
        <w:r w:rsidR="0024305C">
          <w:rPr>
            <w:noProof/>
            <w:webHidden/>
          </w:rPr>
          <w:fldChar w:fldCharType="separate"/>
        </w:r>
        <w:r w:rsidR="0014166E">
          <w:rPr>
            <w:noProof/>
            <w:webHidden/>
          </w:rPr>
          <w:t>8</w:t>
        </w:r>
        <w:r w:rsidR="0024305C">
          <w:rPr>
            <w:noProof/>
            <w:webHidden/>
          </w:rPr>
          <w:fldChar w:fldCharType="end"/>
        </w:r>
      </w:hyperlink>
    </w:p>
    <w:p w14:paraId="5B0B228A" w14:textId="6BA5095A" w:rsidR="00E53FCD" w:rsidRPr="009F391A" w:rsidRDefault="0017530B" w:rsidP="00E53FCD">
      <w:pPr>
        <w:rPr>
          <w:noProof/>
          <w:lang w:val="en-IE"/>
        </w:rPr>
      </w:pPr>
      <w:r w:rsidRPr="009F391A">
        <w:rPr>
          <w:noProof/>
          <w:lang w:val="en-IE"/>
        </w:rPr>
        <w:fldChar w:fldCharType="end"/>
      </w:r>
    </w:p>
    <w:p w14:paraId="5538E917" w14:textId="5609FC7F" w:rsidR="00E53FCD" w:rsidRPr="009F391A" w:rsidRDefault="00E53FCD" w:rsidP="00E53FCD">
      <w:pPr>
        <w:rPr>
          <w:noProof/>
          <w:lang w:val="en-IE"/>
        </w:rPr>
      </w:pPr>
      <w:r w:rsidRPr="009F391A">
        <w:rPr>
          <w:noProof/>
          <w:lang w:val="en-IE"/>
        </w:rPr>
        <w:br w:type="page"/>
      </w:r>
    </w:p>
    <w:p w14:paraId="15E0EEA8" w14:textId="77777777" w:rsidR="00E53FCD" w:rsidRPr="009F391A" w:rsidRDefault="00E53FCD" w:rsidP="00E53FCD">
      <w:pPr>
        <w:pStyle w:val="Heading1"/>
        <w:numPr>
          <w:ilvl w:val="0"/>
          <w:numId w:val="23"/>
        </w:numPr>
        <w:ind w:left="482" w:hanging="482"/>
        <w:rPr>
          <w:noProof/>
          <w:lang w:val="en-IE"/>
        </w:rPr>
      </w:pPr>
      <w:bookmarkStart w:id="2" w:name="_Toc138234960"/>
      <w:r w:rsidRPr="009F391A">
        <w:rPr>
          <w:noProof/>
          <w:lang w:val="en-IE"/>
        </w:rPr>
        <w:t>Introduction</w:t>
      </w:r>
      <w:bookmarkEnd w:id="2"/>
    </w:p>
    <w:p w14:paraId="7130706E" w14:textId="7100CC1F" w:rsidR="00E53FCD" w:rsidRPr="009F391A" w:rsidRDefault="00E4272A" w:rsidP="00E53FCD">
      <w:pPr>
        <w:pStyle w:val="Text1"/>
        <w:ind w:left="0"/>
        <w:rPr>
          <w:noProof/>
          <w:lang w:val="en-IE"/>
        </w:rPr>
      </w:pPr>
      <w:r>
        <w:rPr>
          <w:noProof/>
          <w:lang w:val="en-IE"/>
        </w:rPr>
        <w:t>A benchmark is an index</w:t>
      </w:r>
      <w:r w:rsidR="00506DEC">
        <w:rPr>
          <w:noProof/>
          <w:lang w:val="en-IE"/>
        </w:rPr>
        <w:t xml:space="preserve"> </w:t>
      </w:r>
      <w:r w:rsidR="00506DEC" w:rsidRPr="00506DEC">
        <w:rPr>
          <w:noProof/>
          <w:lang w:val="en-IE"/>
        </w:rPr>
        <w:t>(</w:t>
      </w:r>
      <w:r w:rsidR="00506DEC">
        <w:rPr>
          <w:rStyle w:val="FootnoteReference"/>
          <w:noProof/>
          <w:lang w:val="en-IE"/>
        </w:rPr>
        <w:footnoteReference w:id="1"/>
      </w:r>
      <w:r w:rsidR="00506DEC">
        <w:rPr>
          <w:noProof/>
          <w:lang w:val="en-IE"/>
        </w:rPr>
        <w:t>) that is</w:t>
      </w:r>
      <w:r>
        <w:rPr>
          <w:noProof/>
          <w:lang w:val="en-IE"/>
        </w:rPr>
        <w:t xml:space="preserve"> used as a reference to determine the price of a financial instrument or a financial contract</w:t>
      </w:r>
      <w:r w:rsidR="00506DEC">
        <w:rPr>
          <w:noProof/>
          <w:lang w:val="en-IE"/>
        </w:rPr>
        <w:t>.</w:t>
      </w:r>
      <w:r>
        <w:rPr>
          <w:noProof/>
          <w:lang w:val="en-IE"/>
        </w:rPr>
        <w:t xml:space="preserve"> </w:t>
      </w:r>
      <w:r w:rsidR="00E53FCD" w:rsidRPr="009F391A">
        <w:rPr>
          <w:noProof/>
          <w:lang w:val="en-IE"/>
        </w:rPr>
        <w:t xml:space="preserve">A wide variety of </w:t>
      </w:r>
      <w:r w:rsidR="00506DEC">
        <w:rPr>
          <w:noProof/>
          <w:lang w:val="en-IE"/>
        </w:rPr>
        <w:t>benchmarks</w:t>
      </w:r>
      <w:r w:rsidR="00766CF4" w:rsidRPr="009F391A">
        <w:rPr>
          <w:noProof/>
          <w:lang w:val="en-IE"/>
        </w:rPr>
        <w:t xml:space="preserve"> </w:t>
      </w:r>
      <w:r w:rsidR="00E53FCD" w:rsidRPr="009F391A">
        <w:rPr>
          <w:noProof/>
          <w:lang w:val="en-IE"/>
        </w:rPr>
        <w:t>are currently produced</w:t>
      </w:r>
      <w:r w:rsidR="00471923" w:rsidRPr="009F391A">
        <w:rPr>
          <w:noProof/>
          <w:lang w:val="en-IE"/>
        </w:rPr>
        <w:t>,</w:t>
      </w:r>
      <w:r w:rsidR="00E53FCD" w:rsidRPr="009F391A">
        <w:rPr>
          <w:noProof/>
          <w:lang w:val="en-IE"/>
        </w:rPr>
        <w:t xml:space="preserve"> </w:t>
      </w:r>
      <w:r w:rsidR="00471923" w:rsidRPr="009F391A">
        <w:rPr>
          <w:noProof/>
          <w:lang w:val="en-IE"/>
        </w:rPr>
        <w:t xml:space="preserve">including interest rate benchmarks </w:t>
      </w:r>
      <w:r w:rsidR="00E53FCD" w:rsidRPr="009F391A">
        <w:rPr>
          <w:noProof/>
          <w:lang w:val="en-IE"/>
        </w:rPr>
        <w:t>such as</w:t>
      </w:r>
      <w:r w:rsidR="00471923" w:rsidRPr="009F391A">
        <w:rPr>
          <w:noProof/>
          <w:lang w:val="en-IE"/>
        </w:rPr>
        <w:t xml:space="preserve"> EURIBOR</w:t>
      </w:r>
      <w:r w:rsidR="00E53FCD" w:rsidRPr="009F391A">
        <w:rPr>
          <w:noProof/>
          <w:lang w:val="en-IE"/>
        </w:rPr>
        <w:t xml:space="preserve">, equity </w:t>
      </w:r>
      <w:r w:rsidR="00506DEC">
        <w:rPr>
          <w:noProof/>
          <w:lang w:val="en-IE"/>
        </w:rPr>
        <w:t>benchmarks</w:t>
      </w:r>
      <w:r w:rsidR="00E53FCD" w:rsidRPr="009F391A">
        <w:rPr>
          <w:noProof/>
          <w:lang w:val="en-IE"/>
        </w:rPr>
        <w:t xml:space="preserve"> </w:t>
      </w:r>
      <w:r w:rsidR="00DE5C33">
        <w:rPr>
          <w:noProof/>
          <w:lang w:val="en-IE"/>
        </w:rPr>
        <w:t>and</w:t>
      </w:r>
      <w:r w:rsidR="00E53FCD" w:rsidRPr="009F391A">
        <w:rPr>
          <w:noProof/>
          <w:lang w:val="en-IE"/>
        </w:rPr>
        <w:t xml:space="preserve"> commodity </w:t>
      </w:r>
      <w:r w:rsidR="00506DEC">
        <w:rPr>
          <w:noProof/>
          <w:lang w:val="en-IE"/>
        </w:rPr>
        <w:t>benchmarks</w:t>
      </w:r>
      <w:r w:rsidR="00DE5C33">
        <w:rPr>
          <w:noProof/>
          <w:lang w:val="en-IE"/>
        </w:rPr>
        <w:t>,</w:t>
      </w:r>
      <w:r w:rsidR="00E53FCD" w:rsidRPr="009F391A">
        <w:rPr>
          <w:noProof/>
          <w:lang w:val="en-IE"/>
        </w:rPr>
        <w:t xml:space="preserve"> e.g. energy </w:t>
      </w:r>
      <w:r w:rsidR="00506DEC">
        <w:rPr>
          <w:noProof/>
          <w:lang w:val="en-IE"/>
        </w:rPr>
        <w:t>benchmarks</w:t>
      </w:r>
      <w:r w:rsidR="00E53FCD" w:rsidRPr="009F391A">
        <w:rPr>
          <w:noProof/>
          <w:lang w:val="en-IE"/>
        </w:rPr>
        <w:t xml:space="preserve"> such as W</w:t>
      </w:r>
      <w:r w:rsidR="00337432">
        <w:rPr>
          <w:noProof/>
          <w:lang w:val="en-IE"/>
        </w:rPr>
        <w:t xml:space="preserve">est </w:t>
      </w:r>
      <w:r w:rsidR="00E53FCD" w:rsidRPr="009F391A">
        <w:rPr>
          <w:noProof/>
          <w:lang w:val="en-IE"/>
        </w:rPr>
        <w:t>T</w:t>
      </w:r>
      <w:r w:rsidR="00337432">
        <w:rPr>
          <w:noProof/>
          <w:lang w:val="en-IE"/>
        </w:rPr>
        <w:t xml:space="preserve">exas </w:t>
      </w:r>
      <w:r w:rsidR="00506DEC">
        <w:rPr>
          <w:noProof/>
          <w:lang w:val="en-IE"/>
        </w:rPr>
        <w:t>Intermediate</w:t>
      </w:r>
      <w:r w:rsidR="00337432">
        <w:rPr>
          <w:noProof/>
          <w:lang w:val="en-IE"/>
        </w:rPr>
        <w:t xml:space="preserve"> </w:t>
      </w:r>
      <w:r w:rsidR="00DE5C33">
        <w:rPr>
          <w:noProof/>
          <w:lang w:val="en-IE"/>
        </w:rPr>
        <w:t>(</w:t>
      </w:r>
      <w:r w:rsidR="00337432">
        <w:rPr>
          <w:noProof/>
          <w:lang w:val="en-IE"/>
        </w:rPr>
        <w:t>WTI</w:t>
      </w:r>
      <w:r w:rsidR="00DE5C33">
        <w:rPr>
          <w:noProof/>
          <w:lang w:val="en-IE"/>
        </w:rPr>
        <w:t>)</w:t>
      </w:r>
      <w:r w:rsidR="00E53FCD" w:rsidRPr="009F391A">
        <w:rPr>
          <w:noProof/>
          <w:lang w:val="en-IE"/>
        </w:rPr>
        <w:t xml:space="preserve"> or Brent. </w:t>
      </w:r>
      <w:r w:rsidR="00506DEC">
        <w:rPr>
          <w:noProof/>
          <w:lang w:val="en-IE"/>
        </w:rPr>
        <w:t>Benchmarks</w:t>
      </w:r>
      <w:r w:rsidR="00E53FCD" w:rsidRPr="009F391A">
        <w:rPr>
          <w:noProof/>
          <w:lang w:val="en-IE"/>
        </w:rPr>
        <w:t xml:space="preserve"> differ in terms of the underlying data used, how the underlying data is collected, how the </w:t>
      </w:r>
      <w:r w:rsidR="00506DEC">
        <w:rPr>
          <w:noProof/>
          <w:lang w:val="en-IE"/>
        </w:rPr>
        <w:t>benchmark</w:t>
      </w:r>
      <w:r w:rsidR="00E53FCD" w:rsidRPr="009F391A">
        <w:rPr>
          <w:noProof/>
          <w:lang w:val="en-IE"/>
        </w:rPr>
        <w:t xml:space="preserve"> is calculated and how </w:t>
      </w:r>
      <w:r w:rsidR="00DE5C33">
        <w:rPr>
          <w:noProof/>
          <w:lang w:val="en-IE"/>
        </w:rPr>
        <w:t>it is</w:t>
      </w:r>
      <w:r w:rsidR="00E53FCD" w:rsidRPr="009F391A">
        <w:rPr>
          <w:noProof/>
          <w:lang w:val="en-IE"/>
        </w:rPr>
        <w:t xml:space="preserve"> disseminated to the </w:t>
      </w:r>
      <w:r w:rsidR="00B045A1" w:rsidRPr="009F391A">
        <w:rPr>
          <w:noProof/>
          <w:lang w:val="en-IE"/>
        </w:rPr>
        <w:t>final</w:t>
      </w:r>
      <w:r w:rsidR="00971E8E" w:rsidRPr="009F391A">
        <w:rPr>
          <w:noProof/>
          <w:lang w:val="en-IE"/>
        </w:rPr>
        <w:t xml:space="preserve"> </w:t>
      </w:r>
      <w:r w:rsidR="00E53FCD" w:rsidRPr="009F391A">
        <w:rPr>
          <w:noProof/>
          <w:lang w:val="en-IE"/>
        </w:rPr>
        <w:t xml:space="preserve">user. </w:t>
      </w:r>
    </w:p>
    <w:p w14:paraId="6A561E26" w14:textId="5ACF07FE" w:rsidR="00E53FCD" w:rsidRPr="009F391A" w:rsidRDefault="00E53FCD" w:rsidP="00E53FCD">
      <w:pPr>
        <w:pStyle w:val="Text1"/>
        <w:ind w:left="0"/>
        <w:rPr>
          <w:noProof/>
          <w:lang w:val="en-IE"/>
        </w:rPr>
      </w:pPr>
      <w:r w:rsidRPr="009F391A">
        <w:rPr>
          <w:noProof/>
          <w:lang w:val="en-IE"/>
        </w:rPr>
        <w:t xml:space="preserve">Financial markets are global markets, and </w:t>
      </w:r>
      <w:r w:rsidR="00506DEC">
        <w:rPr>
          <w:noProof/>
          <w:lang w:val="en-IE"/>
        </w:rPr>
        <w:t>benchmarks</w:t>
      </w:r>
      <w:r w:rsidR="00766CF4" w:rsidRPr="009F391A">
        <w:rPr>
          <w:noProof/>
          <w:lang w:val="en-IE"/>
        </w:rPr>
        <w:t xml:space="preserve"> </w:t>
      </w:r>
      <w:r w:rsidRPr="009F391A">
        <w:rPr>
          <w:noProof/>
          <w:lang w:val="en-IE"/>
        </w:rPr>
        <w:t>are produced and used international</w:t>
      </w:r>
      <w:r w:rsidR="00B045A1" w:rsidRPr="009F391A">
        <w:rPr>
          <w:noProof/>
          <w:lang w:val="en-IE"/>
        </w:rPr>
        <w:t>ly</w:t>
      </w:r>
      <w:r w:rsidRPr="009F391A">
        <w:rPr>
          <w:noProof/>
          <w:lang w:val="en-IE"/>
        </w:rPr>
        <w:t xml:space="preserve">. </w:t>
      </w:r>
      <w:r w:rsidR="00AD71D9">
        <w:rPr>
          <w:noProof/>
          <w:lang w:val="en-IE"/>
        </w:rPr>
        <w:t>European banks, investment funds and other benchmark users</w:t>
      </w:r>
      <w:r w:rsidR="00FB3ACD" w:rsidRPr="00FB3ACD">
        <w:rPr>
          <w:noProof/>
          <w:lang w:val="en-IE"/>
        </w:rPr>
        <w:t> (</w:t>
      </w:r>
      <w:r w:rsidR="00FB3ACD">
        <w:rPr>
          <w:rStyle w:val="FootnoteReference"/>
          <w:noProof/>
          <w:lang w:val="en-IE"/>
        </w:rPr>
        <w:footnoteReference w:id="2"/>
      </w:r>
      <w:r w:rsidR="00FB3ACD">
        <w:rPr>
          <w:noProof/>
          <w:lang w:val="en-IE"/>
        </w:rPr>
        <w:t>)</w:t>
      </w:r>
      <w:r w:rsidRPr="009F391A">
        <w:rPr>
          <w:noProof/>
          <w:lang w:val="en-IE"/>
        </w:rPr>
        <w:t xml:space="preserve"> </w:t>
      </w:r>
      <w:r w:rsidR="00766CF4" w:rsidRPr="009F391A">
        <w:rPr>
          <w:noProof/>
          <w:lang w:val="en-IE"/>
        </w:rPr>
        <w:t xml:space="preserve">reference </w:t>
      </w:r>
      <w:r w:rsidRPr="009F391A">
        <w:rPr>
          <w:noProof/>
          <w:lang w:val="en-IE"/>
        </w:rPr>
        <w:t xml:space="preserve">EU and non-EU benchmarks for a variety of purposes, from hedging their </w:t>
      </w:r>
      <w:r w:rsidR="00766CF4" w:rsidRPr="009F391A">
        <w:rPr>
          <w:noProof/>
          <w:lang w:val="en-IE"/>
        </w:rPr>
        <w:t xml:space="preserve">own </w:t>
      </w:r>
      <w:r w:rsidRPr="009F391A">
        <w:rPr>
          <w:noProof/>
          <w:lang w:val="en-IE"/>
        </w:rPr>
        <w:t>risks</w:t>
      </w:r>
      <w:r w:rsidR="00E4272A">
        <w:rPr>
          <w:noProof/>
          <w:lang w:val="en-IE"/>
        </w:rPr>
        <w:t>, including interest, credit, and foreign exchange risks,</w:t>
      </w:r>
      <w:r w:rsidR="00DE5C33">
        <w:rPr>
          <w:noProof/>
          <w:lang w:val="en-IE"/>
        </w:rPr>
        <w:t xml:space="preserve"> and</w:t>
      </w:r>
      <w:r w:rsidR="00DE5C33" w:rsidRPr="009F391A">
        <w:rPr>
          <w:noProof/>
          <w:lang w:val="en-IE"/>
        </w:rPr>
        <w:t xml:space="preserve"> </w:t>
      </w:r>
      <w:r w:rsidR="00766CF4" w:rsidRPr="009F391A">
        <w:rPr>
          <w:noProof/>
          <w:lang w:val="en-IE"/>
        </w:rPr>
        <w:t xml:space="preserve">offering products to hedge the risk of their </w:t>
      </w:r>
      <w:r w:rsidR="00E324DA" w:rsidRPr="009F391A">
        <w:rPr>
          <w:noProof/>
          <w:lang w:val="en-IE"/>
        </w:rPr>
        <w:t>clients,</w:t>
      </w:r>
      <w:r w:rsidRPr="009F391A">
        <w:rPr>
          <w:noProof/>
          <w:lang w:val="en-IE"/>
        </w:rPr>
        <w:t xml:space="preserve"> </w:t>
      </w:r>
      <w:r w:rsidR="00DE5C33">
        <w:rPr>
          <w:noProof/>
          <w:lang w:val="en-IE"/>
        </w:rPr>
        <w:t>to</w:t>
      </w:r>
      <w:r w:rsidR="00DE5C33" w:rsidRPr="009F391A">
        <w:rPr>
          <w:noProof/>
          <w:lang w:val="en-IE"/>
        </w:rPr>
        <w:t xml:space="preserve"> </w:t>
      </w:r>
      <w:r w:rsidR="00766CF4" w:rsidRPr="009F391A">
        <w:rPr>
          <w:noProof/>
          <w:lang w:val="en-IE"/>
        </w:rPr>
        <w:t xml:space="preserve">establishing an </w:t>
      </w:r>
      <w:r w:rsidRPr="009F391A">
        <w:rPr>
          <w:noProof/>
          <w:lang w:val="en-IE"/>
        </w:rPr>
        <w:t>investment</w:t>
      </w:r>
      <w:r w:rsidR="00766CF4" w:rsidRPr="009F391A">
        <w:rPr>
          <w:noProof/>
          <w:lang w:val="en-IE"/>
        </w:rPr>
        <w:t xml:space="preserve"> portfolio using the </w:t>
      </w:r>
      <w:r w:rsidR="00506DEC">
        <w:rPr>
          <w:noProof/>
          <w:lang w:val="en-IE"/>
        </w:rPr>
        <w:t>benchmark</w:t>
      </w:r>
      <w:r w:rsidR="00766CF4" w:rsidRPr="009F391A">
        <w:rPr>
          <w:noProof/>
          <w:lang w:val="en-IE"/>
        </w:rPr>
        <w:t xml:space="preserve"> either as an investment template or performance benchmark. </w:t>
      </w:r>
      <w:r w:rsidR="009177BA">
        <w:rPr>
          <w:noProof/>
          <w:lang w:val="en-IE"/>
        </w:rPr>
        <w:t>M</w:t>
      </w:r>
      <w:r w:rsidR="00DE5C33">
        <w:rPr>
          <w:noProof/>
          <w:lang w:val="en-IE"/>
        </w:rPr>
        <w:t>ost</w:t>
      </w:r>
      <w:r w:rsidRPr="009F391A">
        <w:rPr>
          <w:noProof/>
          <w:lang w:val="en-IE"/>
        </w:rPr>
        <w:t xml:space="preserve"> </w:t>
      </w:r>
      <w:r w:rsidR="00506DEC">
        <w:rPr>
          <w:noProof/>
          <w:lang w:val="en-IE"/>
        </w:rPr>
        <w:t>benchmarks</w:t>
      </w:r>
      <w:r w:rsidR="009177BA">
        <w:rPr>
          <w:noProof/>
          <w:lang w:val="en-IE"/>
        </w:rPr>
        <w:t xml:space="preserve"> (more than 3.6 million)</w:t>
      </w:r>
      <w:r w:rsidR="00766CF4" w:rsidRPr="009F391A">
        <w:rPr>
          <w:noProof/>
          <w:lang w:val="en-IE"/>
        </w:rPr>
        <w:t xml:space="preserve"> </w:t>
      </w:r>
      <w:r w:rsidR="00DE5C33">
        <w:rPr>
          <w:noProof/>
          <w:lang w:val="en-IE"/>
        </w:rPr>
        <w:t>are</w:t>
      </w:r>
      <w:r w:rsidR="00DE5C33" w:rsidRPr="009F391A">
        <w:rPr>
          <w:noProof/>
          <w:lang w:val="en-IE"/>
        </w:rPr>
        <w:t xml:space="preserve"> </w:t>
      </w:r>
      <w:r w:rsidRPr="009F391A">
        <w:rPr>
          <w:noProof/>
          <w:lang w:val="en-IE"/>
        </w:rPr>
        <w:t>produced by</w:t>
      </w:r>
      <w:r w:rsidR="009177BA">
        <w:rPr>
          <w:noProof/>
          <w:lang w:val="en-IE"/>
        </w:rPr>
        <w:t xml:space="preserve"> administrators outside the EU</w:t>
      </w:r>
      <w:r w:rsidR="00506DEC">
        <w:rPr>
          <w:noProof/>
          <w:lang w:val="en-IE"/>
        </w:rPr>
        <w:t xml:space="preserve"> </w:t>
      </w:r>
      <w:r w:rsidR="00506DEC" w:rsidRPr="009F391A">
        <w:rPr>
          <w:noProof/>
          <w:lang w:val="en-IE"/>
        </w:rPr>
        <w:t>(</w:t>
      </w:r>
      <w:r w:rsidR="00506DEC" w:rsidRPr="009F391A">
        <w:rPr>
          <w:rStyle w:val="FootnoteReference"/>
          <w:noProof/>
          <w:lang w:val="en-IE"/>
        </w:rPr>
        <w:footnoteReference w:id="3"/>
      </w:r>
      <w:r w:rsidR="00506DEC" w:rsidRPr="009F391A">
        <w:rPr>
          <w:noProof/>
          <w:lang w:val="en-IE"/>
        </w:rPr>
        <w:t>)</w:t>
      </w:r>
      <w:r w:rsidRPr="009F391A">
        <w:rPr>
          <w:noProof/>
          <w:lang w:val="en-IE"/>
        </w:rPr>
        <w:t>.</w:t>
      </w:r>
      <w:r w:rsidR="00506DEC">
        <w:rPr>
          <w:noProof/>
          <w:lang w:val="en-IE"/>
        </w:rPr>
        <w:t xml:space="preserve"> </w:t>
      </w:r>
      <w:r w:rsidRPr="009F391A">
        <w:rPr>
          <w:noProof/>
          <w:lang w:val="en-IE"/>
        </w:rPr>
        <w:t xml:space="preserve">The </w:t>
      </w:r>
      <w:r w:rsidR="009177BA">
        <w:rPr>
          <w:noProof/>
          <w:lang w:val="en-IE"/>
        </w:rPr>
        <w:t xml:space="preserve">rules </w:t>
      </w:r>
      <w:r w:rsidR="00AD71D9">
        <w:rPr>
          <w:noProof/>
          <w:lang w:val="en-IE"/>
        </w:rPr>
        <w:t>in</w:t>
      </w:r>
      <w:r w:rsidR="00AD71D9" w:rsidRPr="009F391A">
        <w:rPr>
          <w:noProof/>
          <w:lang w:val="en-IE"/>
        </w:rPr>
        <w:t xml:space="preserve"> </w:t>
      </w:r>
      <w:r w:rsidRPr="009F391A">
        <w:rPr>
          <w:noProof/>
          <w:lang w:val="en-IE"/>
        </w:rPr>
        <w:t xml:space="preserve">Regulation (EU) 2016/1011 (Benchmark Regulation / BMR) </w:t>
      </w:r>
      <w:r w:rsidR="009177BA">
        <w:rPr>
          <w:noProof/>
          <w:lang w:val="en-IE"/>
        </w:rPr>
        <w:t>on the use of non-EU benchmarks</w:t>
      </w:r>
      <w:r w:rsidR="002A55FC">
        <w:rPr>
          <w:noProof/>
          <w:lang w:val="en-IE"/>
        </w:rPr>
        <w:t xml:space="preserve"> </w:t>
      </w:r>
      <w:r w:rsidR="00AD71D9">
        <w:rPr>
          <w:noProof/>
          <w:lang w:val="en-IE"/>
        </w:rPr>
        <w:t>are</w:t>
      </w:r>
      <w:r w:rsidR="00AD71D9" w:rsidRPr="009F391A">
        <w:rPr>
          <w:noProof/>
          <w:lang w:val="en-IE"/>
        </w:rPr>
        <w:t xml:space="preserve"> </w:t>
      </w:r>
      <w:r w:rsidRPr="009F391A">
        <w:rPr>
          <w:noProof/>
          <w:lang w:val="en-IE"/>
        </w:rPr>
        <w:t>therefore of great importance</w:t>
      </w:r>
      <w:r w:rsidR="00AD71D9" w:rsidRPr="00AD71D9">
        <w:rPr>
          <w:noProof/>
          <w:lang w:val="en-IE"/>
        </w:rPr>
        <w:t> (</w:t>
      </w:r>
      <w:r w:rsidR="00AD71D9">
        <w:rPr>
          <w:rStyle w:val="FootnoteReference"/>
          <w:noProof/>
          <w:lang w:val="en-IE"/>
        </w:rPr>
        <w:footnoteReference w:id="4"/>
      </w:r>
      <w:r w:rsidR="00AD71D9">
        <w:rPr>
          <w:noProof/>
          <w:lang w:val="en-IE"/>
        </w:rPr>
        <w:t>)</w:t>
      </w:r>
      <w:r w:rsidR="00DE5C33">
        <w:rPr>
          <w:noProof/>
          <w:lang w:val="en-IE"/>
        </w:rPr>
        <w:t>.</w:t>
      </w:r>
    </w:p>
    <w:p w14:paraId="04CF911E" w14:textId="4E5942C0" w:rsidR="00E53FCD" w:rsidRPr="009F391A" w:rsidRDefault="00E53FCD" w:rsidP="00E53FCD">
      <w:pPr>
        <w:pStyle w:val="Text1"/>
        <w:ind w:left="0"/>
        <w:rPr>
          <w:noProof/>
          <w:lang w:val="en-IE"/>
        </w:rPr>
      </w:pPr>
      <w:r w:rsidRPr="009F391A">
        <w:rPr>
          <w:noProof/>
          <w:lang w:val="en-IE"/>
        </w:rPr>
        <w:t xml:space="preserve">This </w:t>
      </w:r>
      <w:r w:rsidR="009177BA">
        <w:rPr>
          <w:noProof/>
          <w:lang w:val="en-IE"/>
        </w:rPr>
        <w:t>report delivers on the</w:t>
      </w:r>
      <w:r w:rsidRPr="009F391A">
        <w:rPr>
          <w:noProof/>
          <w:lang w:val="en-IE"/>
        </w:rPr>
        <w:t xml:space="preserve"> mandate in Article 54(6) </w:t>
      </w:r>
      <w:r w:rsidR="007F619C" w:rsidRPr="009F391A">
        <w:rPr>
          <w:noProof/>
          <w:lang w:val="en-IE"/>
        </w:rPr>
        <w:t xml:space="preserve">of the BMR, </w:t>
      </w:r>
      <w:r w:rsidR="00AD71D9">
        <w:rPr>
          <w:noProof/>
          <w:lang w:val="en-IE"/>
        </w:rPr>
        <w:t xml:space="preserve">which calls for a report </w:t>
      </w:r>
      <w:r w:rsidR="00AD71D9" w:rsidRPr="00AD71D9">
        <w:rPr>
          <w:noProof/>
          <w:lang w:val="en-IE"/>
        </w:rPr>
        <w:t>on the scope of this Regulation, in particular with respect to the continued use by supervised entities of third-country benchmarks and on potential shortcomings of the current framework.</w:t>
      </w:r>
      <w:r w:rsidRPr="009F391A">
        <w:rPr>
          <w:noProof/>
          <w:lang w:val="en-IE"/>
        </w:rPr>
        <w:t xml:space="preserve"> </w:t>
      </w:r>
      <w:r w:rsidR="00AD71D9">
        <w:rPr>
          <w:noProof/>
          <w:lang w:val="en-IE"/>
        </w:rPr>
        <w:t>This report and its conclusion also fulfil the condition for the adoption of</w:t>
      </w:r>
      <w:r w:rsidR="00F87DE1">
        <w:rPr>
          <w:noProof/>
          <w:lang w:val="en-IE"/>
        </w:rPr>
        <w:t xml:space="preserve"> a delegated act </w:t>
      </w:r>
      <w:r w:rsidR="00AD71D9">
        <w:rPr>
          <w:noProof/>
          <w:lang w:val="en-IE"/>
        </w:rPr>
        <w:t xml:space="preserve">pursuant </w:t>
      </w:r>
      <w:r w:rsidR="00F87DE1">
        <w:rPr>
          <w:noProof/>
          <w:lang w:val="en-IE"/>
        </w:rPr>
        <w:t>Article 54(7) of the BMR, to extend the transitional period before the rules for the use of non-EU benchmarks start to apply.</w:t>
      </w:r>
    </w:p>
    <w:p w14:paraId="323C5281" w14:textId="77777777" w:rsidR="00E53FCD" w:rsidRPr="009F391A" w:rsidRDefault="00E53FCD" w:rsidP="00E53FCD">
      <w:pPr>
        <w:pStyle w:val="Heading1"/>
        <w:numPr>
          <w:ilvl w:val="0"/>
          <w:numId w:val="23"/>
        </w:numPr>
        <w:ind w:left="482" w:hanging="482"/>
        <w:rPr>
          <w:noProof/>
          <w:lang w:val="en-IE"/>
        </w:rPr>
      </w:pPr>
      <w:bookmarkStart w:id="3" w:name="_Toc138234961"/>
      <w:r w:rsidRPr="009F391A">
        <w:rPr>
          <w:noProof/>
          <w:lang w:val="en-IE"/>
        </w:rPr>
        <w:t>Political and legal context</w:t>
      </w:r>
      <w:bookmarkEnd w:id="3"/>
    </w:p>
    <w:p w14:paraId="0E959CBF" w14:textId="0B41A9CA" w:rsidR="009177BA" w:rsidRDefault="009177BA" w:rsidP="00E53FCD">
      <w:pPr>
        <w:rPr>
          <w:noProof/>
          <w:lang w:val="en-IE"/>
        </w:rPr>
      </w:pPr>
      <w:r>
        <w:rPr>
          <w:noProof/>
          <w:lang w:val="en-IE"/>
        </w:rPr>
        <w:t>T</w:t>
      </w:r>
      <w:r w:rsidR="00E324DA" w:rsidRPr="009F391A">
        <w:rPr>
          <w:noProof/>
          <w:lang w:val="en-IE"/>
        </w:rPr>
        <w:t xml:space="preserve">he </w:t>
      </w:r>
      <w:r w:rsidR="00E53FCD" w:rsidRPr="009F391A">
        <w:rPr>
          <w:noProof/>
          <w:lang w:val="en-IE"/>
        </w:rPr>
        <w:t xml:space="preserve">provision and use of benchmarks </w:t>
      </w:r>
      <w:r>
        <w:rPr>
          <w:noProof/>
          <w:lang w:val="en-IE"/>
        </w:rPr>
        <w:t xml:space="preserve">have been regulated activities under the BMR </w:t>
      </w:r>
      <w:r w:rsidR="00E53FCD" w:rsidRPr="009F391A">
        <w:rPr>
          <w:noProof/>
          <w:lang w:val="en-IE"/>
        </w:rPr>
        <w:t xml:space="preserve">since 2016. </w:t>
      </w:r>
      <w:r>
        <w:rPr>
          <w:noProof/>
          <w:lang w:val="en-IE"/>
        </w:rPr>
        <w:t>A</w:t>
      </w:r>
      <w:r w:rsidR="00E53FCD" w:rsidRPr="009F391A">
        <w:rPr>
          <w:noProof/>
          <w:lang w:val="en-IE"/>
        </w:rPr>
        <w:t>ll benchmark administrators in the EU are under national</w:t>
      </w:r>
      <w:r w:rsidR="00E13F48" w:rsidRPr="009F391A">
        <w:rPr>
          <w:noProof/>
          <w:lang w:val="en-IE"/>
        </w:rPr>
        <w:t> (</w:t>
      </w:r>
      <w:r w:rsidR="00E53FCD" w:rsidRPr="009F391A">
        <w:rPr>
          <w:rStyle w:val="FootnoteReference"/>
          <w:noProof/>
          <w:lang w:val="en-IE"/>
        </w:rPr>
        <w:footnoteReference w:id="5"/>
      </w:r>
      <w:r w:rsidR="00E13F48" w:rsidRPr="009F391A">
        <w:rPr>
          <w:noProof/>
          <w:lang w:val="en-IE"/>
        </w:rPr>
        <w:t>)</w:t>
      </w:r>
      <w:r w:rsidR="00E53FCD" w:rsidRPr="009F391A">
        <w:rPr>
          <w:noProof/>
          <w:lang w:val="en-IE"/>
        </w:rPr>
        <w:t xml:space="preserve"> or EU</w:t>
      </w:r>
      <w:r w:rsidR="00E13F48" w:rsidRPr="009F391A">
        <w:rPr>
          <w:noProof/>
          <w:lang w:val="en-IE"/>
        </w:rPr>
        <w:t> (</w:t>
      </w:r>
      <w:r w:rsidR="00E53FCD" w:rsidRPr="009F391A">
        <w:rPr>
          <w:rStyle w:val="FootnoteReference"/>
          <w:noProof/>
          <w:lang w:val="en-IE"/>
        </w:rPr>
        <w:footnoteReference w:id="6"/>
      </w:r>
      <w:r w:rsidR="00E13F48" w:rsidRPr="009F391A">
        <w:rPr>
          <w:noProof/>
          <w:lang w:val="en-IE"/>
        </w:rPr>
        <w:t>)</w:t>
      </w:r>
      <w:r w:rsidR="00E53FCD" w:rsidRPr="009F391A">
        <w:rPr>
          <w:noProof/>
          <w:lang w:val="en-IE"/>
        </w:rPr>
        <w:t xml:space="preserve"> supervision and must comply with organisational</w:t>
      </w:r>
      <w:r w:rsidR="00DE5C33">
        <w:rPr>
          <w:noProof/>
          <w:lang w:val="en-IE"/>
        </w:rPr>
        <w:t xml:space="preserve"> rules</w:t>
      </w:r>
      <w:r w:rsidR="00E53FCD" w:rsidRPr="009F391A">
        <w:rPr>
          <w:noProof/>
          <w:lang w:val="en-IE"/>
        </w:rPr>
        <w:t xml:space="preserve"> and </w:t>
      </w:r>
      <w:r w:rsidR="00DE5C33">
        <w:rPr>
          <w:noProof/>
          <w:lang w:val="en-IE"/>
        </w:rPr>
        <w:t xml:space="preserve">rules on the </w:t>
      </w:r>
      <w:r w:rsidR="00E53FCD" w:rsidRPr="009F391A">
        <w:rPr>
          <w:noProof/>
          <w:lang w:val="en-IE"/>
        </w:rPr>
        <w:t xml:space="preserve">conduct of business. </w:t>
      </w:r>
    </w:p>
    <w:p w14:paraId="4F35F0FC" w14:textId="73E98026" w:rsidR="00E53FCD" w:rsidRPr="009F391A" w:rsidRDefault="00DE5C33" w:rsidP="00E53FCD">
      <w:pPr>
        <w:rPr>
          <w:noProof/>
          <w:lang w:val="en-IE"/>
        </w:rPr>
      </w:pPr>
      <w:r>
        <w:rPr>
          <w:noProof/>
          <w:lang w:val="en-IE"/>
        </w:rPr>
        <w:t>The</w:t>
      </w:r>
      <w:r w:rsidR="00E53FCD" w:rsidRPr="009F391A">
        <w:rPr>
          <w:noProof/>
          <w:lang w:val="en-IE"/>
        </w:rPr>
        <w:t xml:space="preserve"> BMR </w:t>
      </w:r>
      <w:r w:rsidR="00F87DE1">
        <w:rPr>
          <w:noProof/>
          <w:lang w:val="en-IE"/>
        </w:rPr>
        <w:t>essentially implements</w:t>
      </w:r>
      <w:r w:rsidR="00E53FCD" w:rsidRPr="009F391A">
        <w:rPr>
          <w:noProof/>
          <w:lang w:val="en-IE"/>
        </w:rPr>
        <w:t xml:space="preserve"> the Principles for Financial Benchmarks of the International Organization of Securities Commissions (</w:t>
      </w:r>
      <w:r>
        <w:rPr>
          <w:noProof/>
          <w:lang w:val="en-IE"/>
        </w:rPr>
        <w:t xml:space="preserve">the </w:t>
      </w:r>
      <w:r w:rsidR="00E53FCD" w:rsidRPr="009F391A">
        <w:rPr>
          <w:noProof/>
          <w:lang w:val="en-IE"/>
        </w:rPr>
        <w:t>IOSCO Principles), or, where applicable</w:t>
      </w:r>
      <w:r w:rsidR="002A55FC">
        <w:rPr>
          <w:noProof/>
          <w:lang w:val="en-IE"/>
        </w:rPr>
        <w:t xml:space="preserve"> </w:t>
      </w:r>
      <w:r w:rsidR="00E53FCD" w:rsidRPr="009F391A">
        <w:rPr>
          <w:noProof/>
          <w:lang w:val="en-IE"/>
        </w:rPr>
        <w:t>the Principles for Oil Price Reporting Agencies (</w:t>
      </w:r>
      <w:bookmarkStart w:id="4" w:name="_Hlk134867843"/>
      <w:r w:rsidR="00E53FCD" w:rsidRPr="009F391A">
        <w:rPr>
          <w:noProof/>
          <w:lang w:val="en-IE"/>
        </w:rPr>
        <w:t>IOSCO PRA Principles</w:t>
      </w:r>
      <w:bookmarkEnd w:id="4"/>
      <w:r w:rsidR="00E53FCD" w:rsidRPr="009F391A">
        <w:rPr>
          <w:noProof/>
          <w:lang w:val="en-IE"/>
        </w:rPr>
        <w:t xml:space="preserve">). These two sets of principles were developed at international level in 2012-2013 in response to various revelations </w:t>
      </w:r>
      <w:r>
        <w:rPr>
          <w:noProof/>
          <w:lang w:val="en-IE"/>
        </w:rPr>
        <w:t>about</w:t>
      </w:r>
      <w:r w:rsidRPr="009F391A">
        <w:rPr>
          <w:noProof/>
          <w:lang w:val="en-IE"/>
        </w:rPr>
        <w:t xml:space="preserve"> </w:t>
      </w:r>
      <w:r w:rsidR="00E53FCD" w:rsidRPr="009F391A">
        <w:rPr>
          <w:noProof/>
          <w:lang w:val="en-IE"/>
        </w:rPr>
        <w:t>benchmark manipulation</w:t>
      </w:r>
      <w:r w:rsidR="009177BA">
        <w:rPr>
          <w:noProof/>
          <w:lang w:val="en-IE"/>
        </w:rPr>
        <w:t xml:space="preserve"> and</w:t>
      </w:r>
      <w:r w:rsidR="002A55FC">
        <w:rPr>
          <w:noProof/>
          <w:lang w:val="en-IE"/>
        </w:rPr>
        <w:t xml:space="preserve"> </w:t>
      </w:r>
      <w:r w:rsidR="00E53FCD" w:rsidRPr="009F391A">
        <w:rPr>
          <w:noProof/>
          <w:lang w:val="en-IE"/>
        </w:rPr>
        <w:t xml:space="preserve">continue to serve as an important focal point for systems of benchmark regulations worldwide. </w:t>
      </w:r>
      <w:r>
        <w:rPr>
          <w:noProof/>
          <w:lang w:val="en-IE"/>
        </w:rPr>
        <w:t>The principles</w:t>
      </w:r>
      <w:r w:rsidRPr="009F391A">
        <w:rPr>
          <w:noProof/>
          <w:lang w:val="en-IE"/>
        </w:rPr>
        <w:t xml:space="preserve"> </w:t>
      </w:r>
      <w:r w:rsidR="00E53FCD" w:rsidRPr="009F391A">
        <w:rPr>
          <w:noProof/>
          <w:lang w:val="en-IE"/>
        </w:rPr>
        <w:t xml:space="preserve">are </w:t>
      </w:r>
      <w:r>
        <w:rPr>
          <w:noProof/>
          <w:lang w:val="en-IE"/>
        </w:rPr>
        <w:t>adhered to</w:t>
      </w:r>
      <w:r w:rsidRPr="009F391A">
        <w:rPr>
          <w:noProof/>
          <w:lang w:val="en-IE"/>
        </w:rPr>
        <w:t xml:space="preserve"> </w:t>
      </w:r>
      <w:r w:rsidR="00E53FCD" w:rsidRPr="009F391A">
        <w:rPr>
          <w:noProof/>
          <w:lang w:val="en-IE"/>
        </w:rPr>
        <w:t xml:space="preserve">by most professional benchmark administrators, albeit </w:t>
      </w:r>
      <w:r>
        <w:rPr>
          <w:noProof/>
          <w:lang w:val="en-IE"/>
        </w:rPr>
        <w:t xml:space="preserve">mostly </w:t>
      </w:r>
      <w:r w:rsidR="00E53FCD" w:rsidRPr="009F391A">
        <w:rPr>
          <w:noProof/>
          <w:lang w:val="en-IE"/>
        </w:rPr>
        <w:t>on a self-certification basis.</w:t>
      </w:r>
    </w:p>
    <w:p w14:paraId="69EDB677" w14:textId="77777777" w:rsidR="002C4136" w:rsidRDefault="002C4136">
      <w:pPr>
        <w:spacing w:after="0"/>
        <w:jc w:val="left"/>
        <w:rPr>
          <w:b/>
          <w:noProof/>
          <w:lang w:val="en-IE"/>
        </w:rPr>
      </w:pPr>
      <w:r>
        <w:rPr>
          <w:b/>
          <w:noProof/>
          <w:lang w:val="en-IE"/>
        </w:rPr>
        <w:br w:type="page"/>
      </w:r>
    </w:p>
    <w:p w14:paraId="636AD062" w14:textId="2A1104B1" w:rsidR="00E53FCD" w:rsidRPr="009F391A" w:rsidRDefault="00E53FCD" w:rsidP="00E53FCD">
      <w:pPr>
        <w:rPr>
          <w:b/>
          <w:noProof/>
          <w:lang w:val="en-IE"/>
        </w:rPr>
      </w:pPr>
      <w:r w:rsidRPr="009F391A">
        <w:rPr>
          <w:b/>
          <w:noProof/>
          <w:lang w:val="en-IE"/>
        </w:rPr>
        <w:t>Scope of the BMR</w:t>
      </w:r>
    </w:p>
    <w:p w14:paraId="13C91B77" w14:textId="18178147" w:rsidR="00E53FCD" w:rsidRPr="009F391A" w:rsidRDefault="009177BA" w:rsidP="00E53FCD">
      <w:pPr>
        <w:rPr>
          <w:noProof/>
          <w:lang w:val="en-IE"/>
        </w:rPr>
      </w:pPr>
      <w:r>
        <w:rPr>
          <w:noProof/>
          <w:lang w:val="en-IE"/>
        </w:rPr>
        <w:t>T</w:t>
      </w:r>
      <w:r w:rsidR="00E53FCD" w:rsidRPr="009F391A">
        <w:rPr>
          <w:noProof/>
          <w:lang w:val="en-IE"/>
        </w:rPr>
        <w:t>he BMR is binding on all EU benchmark administrators, with infringements punishable by fines of up to 10 % of the infringing party’s annual turnover</w:t>
      </w:r>
      <w:r w:rsidR="00F97201">
        <w:rPr>
          <w:noProof/>
          <w:lang w:val="en-IE"/>
        </w:rPr>
        <w:t>.</w:t>
      </w:r>
      <w:r w:rsidR="00E53FCD" w:rsidRPr="009F391A">
        <w:rPr>
          <w:noProof/>
          <w:lang w:val="en-IE"/>
        </w:rPr>
        <w:t xml:space="preserve"> </w:t>
      </w:r>
      <w:r w:rsidR="00076FEF">
        <w:rPr>
          <w:noProof/>
          <w:lang w:val="en-IE"/>
        </w:rPr>
        <w:t xml:space="preserve">In </w:t>
      </w:r>
      <w:r w:rsidR="00F87DE1">
        <w:rPr>
          <w:noProof/>
          <w:lang w:val="en-IE"/>
        </w:rPr>
        <w:t xml:space="preserve">contrast with </w:t>
      </w:r>
      <w:r>
        <w:rPr>
          <w:noProof/>
          <w:lang w:val="en-IE"/>
        </w:rPr>
        <w:t xml:space="preserve">legal regimes for benchmarks in </w:t>
      </w:r>
      <w:r w:rsidR="00F87DE1">
        <w:rPr>
          <w:noProof/>
          <w:lang w:val="en-IE"/>
        </w:rPr>
        <w:t>other jurisdictions</w:t>
      </w:r>
      <w:r>
        <w:rPr>
          <w:noProof/>
          <w:lang w:val="en-IE"/>
        </w:rPr>
        <w:t xml:space="preserve">, </w:t>
      </w:r>
      <w:r w:rsidR="00E53FCD" w:rsidRPr="009F391A">
        <w:rPr>
          <w:noProof/>
          <w:lang w:val="en-IE"/>
        </w:rPr>
        <w:t xml:space="preserve">the BMR </w:t>
      </w:r>
      <w:r>
        <w:rPr>
          <w:noProof/>
          <w:lang w:val="en-IE"/>
        </w:rPr>
        <w:t>has a broad scope,</w:t>
      </w:r>
      <w:r w:rsidR="00E53FCD" w:rsidRPr="009F391A">
        <w:rPr>
          <w:noProof/>
          <w:lang w:val="en-IE"/>
        </w:rPr>
        <w:t xml:space="preserve"> based on the premise that all financial benchmarks and all administrators are potentially subject to conflicts of interest. Therefore, the BMR not only </w:t>
      </w:r>
      <w:r w:rsidR="00076FEF" w:rsidRPr="009F391A">
        <w:rPr>
          <w:noProof/>
          <w:lang w:val="en-IE"/>
        </w:rPr>
        <w:t xml:space="preserve">covers </w:t>
      </w:r>
      <w:r w:rsidR="00E53FCD" w:rsidRPr="009F391A">
        <w:rPr>
          <w:noProof/>
          <w:lang w:val="en-IE"/>
        </w:rPr>
        <w:t>benchmarks with systemic relevance</w:t>
      </w:r>
      <w:r w:rsidR="00076FEF">
        <w:rPr>
          <w:noProof/>
          <w:lang w:val="en-IE"/>
        </w:rPr>
        <w:t xml:space="preserve"> and</w:t>
      </w:r>
      <w:r w:rsidR="00E53FCD" w:rsidRPr="009F391A">
        <w:rPr>
          <w:noProof/>
          <w:lang w:val="en-IE"/>
        </w:rPr>
        <w:t xml:space="preserve"> benchmarks that are especially susceptible to conflicts of interest, but also less-used benchmarks and benchmarks where</w:t>
      </w:r>
      <w:r w:rsidR="00971E8E" w:rsidRPr="009F391A">
        <w:rPr>
          <w:noProof/>
          <w:lang w:val="en-IE"/>
        </w:rPr>
        <w:t xml:space="preserve"> </w:t>
      </w:r>
      <w:r w:rsidR="00E53FCD" w:rsidRPr="009F391A">
        <w:rPr>
          <w:noProof/>
          <w:lang w:val="en-IE"/>
        </w:rPr>
        <w:t xml:space="preserve">conflicts of interest </w:t>
      </w:r>
      <w:r w:rsidR="00076FEF">
        <w:rPr>
          <w:noProof/>
          <w:lang w:val="en-IE"/>
        </w:rPr>
        <w:t xml:space="preserve">are unlikely to </w:t>
      </w:r>
      <w:r>
        <w:rPr>
          <w:noProof/>
          <w:lang w:val="en-IE"/>
        </w:rPr>
        <w:t>arise</w:t>
      </w:r>
      <w:r w:rsidR="00E53FCD" w:rsidRPr="009F391A">
        <w:rPr>
          <w:noProof/>
          <w:lang w:val="en-IE"/>
        </w:rPr>
        <w:t>. For this reason, significant elements of proportionality were built into the BMR based on differences between benchmarks in</w:t>
      </w:r>
      <w:r w:rsidR="00076FEF">
        <w:rPr>
          <w:noProof/>
          <w:lang w:val="en-IE"/>
        </w:rPr>
        <w:t xml:space="preserve"> terms of</w:t>
      </w:r>
      <w:r w:rsidR="00E53FCD" w:rsidRPr="009F391A">
        <w:rPr>
          <w:noProof/>
          <w:lang w:val="en-IE"/>
        </w:rPr>
        <w:t xml:space="preserve"> characteristics and vulnerabilities</w:t>
      </w:r>
      <w:r w:rsidR="00EC71F3" w:rsidRPr="00EC71F3">
        <w:rPr>
          <w:noProof/>
          <w:lang w:val="en-IE"/>
        </w:rPr>
        <w:t> (</w:t>
      </w:r>
      <w:r w:rsidR="00EC71F3">
        <w:rPr>
          <w:rStyle w:val="FootnoteReference"/>
          <w:noProof/>
          <w:lang w:val="en-IE"/>
        </w:rPr>
        <w:footnoteReference w:id="7"/>
      </w:r>
      <w:r w:rsidR="00EC71F3">
        <w:rPr>
          <w:noProof/>
          <w:lang w:val="en-IE"/>
        </w:rPr>
        <w:t>)</w:t>
      </w:r>
      <w:r w:rsidR="00076FEF">
        <w:rPr>
          <w:noProof/>
          <w:lang w:val="en-IE"/>
        </w:rPr>
        <w:t>.</w:t>
      </w:r>
      <w:r w:rsidR="00E13F48" w:rsidRPr="009F391A">
        <w:rPr>
          <w:noProof/>
          <w:lang w:val="en-IE"/>
        </w:rPr>
        <w:t> </w:t>
      </w:r>
      <w:r w:rsidR="00E53FCD" w:rsidRPr="009F391A">
        <w:rPr>
          <w:noProof/>
          <w:lang w:val="en-IE"/>
        </w:rPr>
        <w:t>Finally, to mitigate any risk of regulatory arbitrage, the use of non-EU benchmarks was prohibited, except where they are subject to equivalent local regulation and supervision</w:t>
      </w:r>
      <w:r w:rsidR="00315882" w:rsidRPr="009F391A">
        <w:rPr>
          <w:noProof/>
          <w:lang w:val="en-IE"/>
        </w:rPr>
        <w:t>, or where a benchmark’s administrator voluntarily complies with the BMR and seeks access to the EU market through recognition or endorsement</w:t>
      </w:r>
      <w:r w:rsidR="00E53FCD" w:rsidRPr="009F391A">
        <w:rPr>
          <w:noProof/>
          <w:lang w:val="en-IE"/>
        </w:rPr>
        <w:t>.</w:t>
      </w:r>
      <w:r w:rsidR="00315882" w:rsidRPr="009F391A" w:rsidDel="00315882">
        <w:rPr>
          <w:noProof/>
          <w:lang w:val="en-IE"/>
        </w:rPr>
        <w:t xml:space="preserve"> </w:t>
      </w:r>
    </w:p>
    <w:p w14:paraId="63C16B11" w14:textId="117FE690" w:rsidR="00082126" w:rsidRDefault="00E53FCD" w:rsidP="00E53FCD">
      <w:pPr>
        <w:rPr>
          <w:noProof/>
          <w:lang w:val="en-IE"/>
        </w:rPr>
      </w:pPr>
      <w:r w:rsidRPr="009F391A">
        <w:rPr>
          <w:noProof/>
          <w:lang w:val="en-IE"/>
        </w:rPr>
        <w:t xml:space="preserve">The BMR entered into application on 1 January 2018, with a transitional period for existing benchmarks and non-EU benchmarks until </w:t>
      </w:r>
      <w:r w:rsidR="001C7248">
        <w:rPr>
          <w:noProof/>
          <w:lang w:val="en-IE"/>
        </w:rPr>
        <w:t>31 December 2019</w:t>
      </w:r>
      <w:r w:rsidRPr="009F391A">
        <w:rPr>
          <w:noProof/>
          <w:lang w:val="en-IE"/>
        </w:rPr>
        <w:t xml:space="preserve">. </w:t>
      </w:r>
      <w:r w:rsidR="008A5149">
        <w:rPr>
          <w:noProof/>
          <w:lang w:val="en-IE"/>
        </w:rPr>
        <w:t>That deadline was later postponed twice and is now</w:t>
      </w:r>
      <w:r w:rsidR="001C7248">
        <w:rPr>
          <w:noProof/>
          <w:lang w:val="en-IE"/>
        </w:rPr>
        <w:t xml:space="preserve"> 31 December 2023</w:t>
      </w:r>
      <w:r w:rsidR="008A5149">
        <w:rPr>
          <w:noProof/>
          <w:lang w:val="en-IE"/>
        </w:rPr>
        <w:t xml:space="preserve"> </w:t>
      </w:r>
      <w:r w:rsidR="008A5149" w:rsidRPr="008A5149">
        <w:rPr>
          <w:noProof/>
          <w:lang w:val="en-IE"/>
        </w:rPr>
        <w:t>(</w:t>
      </w:r>
      <w:r w:rsidR="008A5149">
        <w:rPr>
          <w:rStyle w:val="FootnoteReference"/>
          <w:noProof/>
          <w:lang w:val="en-IE"/>
        </w:rPr>
        <w:footnoteReference w:id="8"/>
      </w:r>
      <w:r w:rsidR="008A5149">
        <w:rPr>
          <w:noProof/>
          <w:lang w:val="en-IE"/>
        </w:rPr>
        <w:t>)</w:t>
      </w:r>
      <w:r w:rsidRPr="009F391A">
        <w:rPr>
          <w:noProof/>
          <w:lang w:val="en-IE"/>
        </w:rPr>
        <w:t>.</w:t>
      </w:r>
    </w:p>
    <w:p w14:paraId="01384A5E" w14:textId="1C9AD525" w:rsidR="00082126" w:rsidRDefault="008A5149" w:rsidP="00E53FCD">
      <w:pPr>
        <w:rPr>
          <w:noProof/>
          <w:lang w:val="en-IE"/>
        </w:rPr>
      </w:pPr>
      <w:r>
        <w:rPr>
          <w:noProof/>
          <w:lang w:val="en-IE"/>
        </w:rPr>
        <w:t>T</w:t>
      </w:r>
      <w:r w:rsidR="00E53FCD" w:rsidRPr="009F391A">
        <w:rPr>
          <w:noProof/>
          <w:lang w:val="en-IE"/>
        </w:rPr>
        <w:t>he proposal for</w:t>
      </w:r>
      <w:r>
        <w:rPr>
          <w:noProof/>
          <w:lang w:val="en-IE"/>
        </w:rPr>
        <w:t xml:space="preserve"> what would become</w:t>
      </w:r>
      <w:r w:rsidR="00E53FCD" w:rsidRPr="009F391A">
        <w:rPr>
          <w:noProof/>
          <w:lang w:val="en-IE"/>
        </w:rPr>
        <w:t xml:space="preserve"> the 2020 BMR review examined the effects of </w:t>
      </w:r>
      <w:r w:rsidR="001853DA">
        <w:rPr>
          <w:noProof/>
          <w:lang w:val="en-IE"/>
        </w:rPr>
        <w:t xml:space="preserve">the </w:t>
      </w:r>
      <w:r w:rsidR="00E53FCD" w:rsidRPr="009F391A">
        <w:rPr>
          <w:noProof/>
          <w:lang w:val="en-IE"/>
        </w:rPr>
        <w:t xml:space="preserve">third country </w:t>
      </w:r>
      <w:r w:rsidR="006A33E9">
        <w:rPr>
          <w:noProof/>
          <w:lang w:val="en-IE"/>
        </w:rPr>
        <w:t xml:space="preserve">rules </w:t>
      </w:r>
      <w:r w:rsidR="002A3E43">
        <w:rPr>
          <w:noProof/>
          <w:lang w:val="en-IE"/>
        </w:rPr>
        <w:t>provided for in the BMR</w:t>
      </w:r>
      <w:r w:rsidR="00017131">
        <w:rPr>
          <w:noProof/>
          <w:lang w:val="en-IE"/>
        </w:rPr>
        <w:t xml:space="preserve"> </w:t>
      </w:r>
      <w:r w:rsidR="00E53FCD" w:rsidRPr="009F391A">
        <w:rPr>
          <w:noProof/>
          <w:lang w:val="en-IE"/>
        </w:rPr>
        <w:t xml:space="preserve">on the availability of certain foreign exchange (FX) benchmarks to EU market participants, as market participants </w:t>
      </w:r>
      <w:r w:rsidR="00082126">
        <w:rPr>
          <w:noProof/>
          <w:lang w:val="en-IE"/>
        </w:rPr>
        <w:t xml:space="preserve">have signalled </w:t>
      </w:r>
      <w:r w:rsidR="00E53FCD" w:rsidRPr="009F391A">
        <w:rPr>
          <w:noProof/>
          <w:lang w:val="en-IE"/>
        </w:rPr>
        <w:t xml:space="preserve">that </w:t>
      </w:r>
      <w:r w:rsidR="001853DA">
        <w:rPr>
          <w:noProof/>
          <w:lang w:val="en-IE"/>
        </w:rPr>
        <w:t xml:space="preserve">Art. 29(1) BMR would restrict access to </w:t>
      </w:r>
      <w:r w:rsidR="00E53FCD" w:rsidRPr="009F391A">
        <w:rPr>
          <w:noProof/>
          <w:lang w:val="en-IE"/>
        </w:rPr>
        <w:t>many of these benchmarks if the third country chapter entered into application.</w:t>
      </w:r>
      <w:r w:rsidR="001C36ED" w:rsidRPr="001C36ED">
        <w:rPr>
          <w:noProof/>
          <w:lang w:val="en-IE"/>
        </w:rPr>
        <w:t> (</w:t>
      </w:r>
      <w:r w:rsidR="001C36ED">
        <w:rPr>
          <w:rStyle w:val="FootnoteReference"/>
          <w:noProof/>
          <w:lang w:val="en-IE"/>
        </w:rPr>
        <w:footnoteReference w:id="9"/>
      </w:r>
      <w:r w:rsidR="001C36ED">
        <w:rPr>
          <w:noProof/>
          <w:lang w:val="en-IE"/>
        </w:rPr>
        <w:t>)</w:t>
      </w:r>
      <w:r w:rsidR="00E53FCD" w:rsidRPr="009F391A">
        <w:rPr>
          <w:noProof/>
          <w:lang w:val="en-IE"/>
        </w:rPr>
        <w:t xml:space="preserve"> </w:t>
      </w:r>
      <w:r w:rsidR="001853DA">
        <w:rPr>
          <w:noProof/>
          <w:lang w:val="en-IE"/>
        </w:rPr>
        <w:t>A particular challenge for these benchmarks in securing access to the EU market lies in the fact that</w:t>
      </w:r>
      <w:r w:rsidR="00E53FCD" w:rsidRPr="009F391A">
        <w:rPr>
          <w:noProof/>
          <w:lang w:val="en-IE"/>
        </w:rPr>
        <w:t xml:space="preserve"> they are generally not produced for commercial purposes and are often published by </w:t>
      </w:r>
      <w:r w:rsidR="00B045A1" w:rsidRPr="009F391A">
        <w:rPr>
          <w:noProof/>
          <w:lang w:val="en-IE"/>
        </w:rPr>
        <w:t>semi</w:t>
      </w:r>
      <w:r w:rsidR="00E53FCD" w:rsidRPr="009F391A">
        <w:rPr>
          <w:noProof/>
          <w:lang w:val="en-IE"/>
        </w:rPr>
        <w:t xml:space="preserve">-public entities or </w:t>
      </w:r>
      <w:r w:rsidR="00082126">
        <w:rPr>
          <w:noProof/>
          <w:lang w:val="en-IE"/>
        </w:rPr>
        <w:t xml:space="preserve">are </w:t>
      </w:r>
      <w:r w:rsidR="00E53FCD" w:rsidRPr="009F391A">
        <w:rPr>
          <w:noProof/>
          <w:lang w:val="en-IE"/>
        </w:rPr>
        <w:t xml:space="preserve">under the control of governments that use them as a policy tool. </w:t>
      </w:r>
      <w:r w:rsidR="00082126">
        <w:rPr>
          <w:noProof/>
          <w:lang w:val="en-IE"/>
        </w:rPr>
        <w:t>As</w:t>
      </w:r>
      <w:r w:rsidR="00E53FCD" w:rsidRPr="009F391A">
        <w:rPr>
          <w:noProof/>
          <w:lang w:val="en-IE"/>
        </w:rPr>
        <w:t xml:space="preserve"> they are published on a non-commercial basis</w:t>
      </w:r>
      <w:r w:rsidR="00082126">
        <w:rPr>
          <w:noProof/>
          <w:lang w:val="en-IE"/>
        </w:rPr>
        <w:t xml:space="preserve">, </w:t>
      </w:r>
      <w:r w:rsidR="00E53FCD" w:rsidRPr="009F391A">
        <w:rPr>
          <w:noProof/>
          <w:lang w:val="en-IE"/>
        </w:rPr>
        <w:t xml:space="preserve">their administrators lack an economic incentive to seek compliance with the BMR. </w:t>
      </w:r>
      <w:r w:rsidR="00082126">
        <w:rPr>
          <w:noProof/>
          <w:lang w:val="en-IE"/>
        </w:rPr>
        <w:t>Recognising</w:t>
      </w:r>
      <w:r w:rsidR="00E53FCD" w:rsidRPr="009F391A">
        <w:rPr>
          <w:noProof/>
          <w:lang w:val="en-IE"/>
        </w:rPr>
        <w:t xml:space="preserve"> the risk that EU supervised entities might be left without access to </w:t>
      </w:r>
      <w:r w:rsidR="001853DA">
        <w:rPr>
          <w:noProof/>
          <w:lang w:val="en-IE"/>
        </w:rPr>
        <w:t>FX benchmarks</w:t>
      </w:r>
      <w:r w:rsidR="00E53FCD" w:rsidRPr="009F391A">
        <w:rPr>
          <w:noProof/>
          <w:lang w:val="en-IE"/>
        </w:rPr>
        <w:t xml:space="preserve"> needed to hedge business activities in the third countries concerned, </w:t>
      </w:r>
      <w:r w:rsidR="00082126">
        <w:rPr>
          <w:noProof/>
          <w:lang w:val="en-IE"/>
        </w:rPr>
        <w:t>the co-legislators granted</w:t>
      </w:r>
      <w:r w:rsidR="00971E8E" w:rsidRPr="009F391A">
        <w:rPr>
          <w:noProof/>
          <w:lang w:val="en-IE"/>
        </w:rPr>
        <w:t xml:space="preserve"> </w:t>
      </w:r>
      <w:r w:rsidR="00E53FCD" w:rsidRPr="009F391A">
        <w:rPr>
          <w:noProof/>
          <w:lang w:val="en-IE"/>
        </w:rPr>
        <w:t>the Commission</w:t>
      </w:r>
      <w:r w:rsidR="00B045A1" w:rsidRPr="009F391A">
        <w:rPr>
          <w:noProof/>
          <w:lang w:val="en-IE"/>
        </w:rPr>
        <w:t xml:space="preserve"> </w:t>
      </w:r>
      <w:r w:rsidR="00E53FCD" w:rsidRPr="009F391A">
        <w:rPr>
          <w:noProof/>
          <w:lang w:val="en-IE"/>
        </w:rPr>
        <w:t>powers to allow the use of specific FX</w:t>
      </w:r>
      <w:r w:rsidR="0063039B">
        <w:rPr>
          <w:noProof/>
          <w:lang w:val="en-IE"/>
        </w:rPr>
        <w:t xml:space="preserve"> </w:t>
      </w:r>
      <w:r w:rsidR="00E53FCD" w:rsidRPr="009F391A">
        <w:rPr>
          <w:noProof/>
          <w:lang w:val="en-IE"/>
        </w:rPr>
        <w:t xml:space="preserve">benchmarks. </w:t>
      </w:r>
    </w:p>
    <w:p w14:paraId="283E1EA5" w14:textId="7F8D688A" w:rsidR="00D91011" w:rsidRPr="009F391A" w:rsidRDefault="00E53FCD" w:rsidP="00E53FCD">
      <w:pPr>
        <w:rPr>
          <w:noProof/>
          <w:lang w:val="en-IE"/>
        </w:rPr>
      </w:pPr>
      <w:r w:rsidRPr="009F391A">
        <w:rPr>
          <w:noProof/>
          <w:lang w:val="en-IE"/>
        </w:rPr>
        <w:t xml:space="preserve">More broadly, the co-legislators understood that the entry into application of the rules on third country benchmarks would potentially </w:t>
      </w:r>
      <w:r w:rsidR="001C7248">
        <w:rPr>
          <w:noProof/>
          <w:lang w:val="en-IE"/>
        </w:rPr>
        <w:t xml:space="preserve">affect the availability of third-country benchmarks for EU benchmark users </w:t>
      </w:r>
      <w:r w:rsidRPr="009F391A">
        <w:rPr>
          <w:noProof/>
          <w:lang w:val="en-IE"/>
        </w:rPr>
        <w:t xml:space="preserve">beyond the very specific subset of FX </w:t>
      </w:r>
      <w:r w:rsidR="00506DEC">
        <w:rPr>
          <w:noProof/>
          <w:lang w:val="en-IE"/>
        </w:rPr>
        <w:t>benchmarks</w:t>
      </w:r>
      <w:r w:rsidRPr="009F391A">
        <w:rPr>
          <w:noProof/>
          <w:lang w:val="en-IE"/>
        </w:rPr>
        <w:t xml:space="preserve">. </w:t>
      </w:r>
      <w:r w:rsidR="001853DA">
        <w:rPr>
          <w:noProof/>
          <w:lang w:val="en-IE"/>
        </w:rPr>
        <w:t>It was also in the course of this negotiation process that the co-legislators included the review mandate</w:t>
      </w:r>
      <w:r w:rsidR="00AB5BCF">
        <w:rPr>
          <w:noProof/>
          <w:lang w:val="en-IE"/>
        </w:rPr>
        <w:t xml:space="preserve"> at the origin of this report.</w:t>
      </w:r>
      <w:r w:rsidR="00AB5BCF" w:rsidRPr="009F391A" w:rsidDel="00AB5BCF">
        <w:rPr>
          <w:noProof/>
          <w:lang w:val="en-IE"/>
        </w:rPr>
        <w:t xml:space="preserve"> </w:t>
      </w:r>
      <w:r w:rsidR="00E13F48" w:rsidRPr="009F391A">
        <w:rPr>
          <w:noProof/>
          <w:lang w:val="en-IE"/>
        </w:rPr>
        <w:t>(</w:t>
      </w:r>
      <w:r w:rsidRPr="009F391A">
        <w:rPr>
          <w:rStyle w:val="FootnoteReference"/>
          <w:noProof/>
          <w:lang w:val="en-IE"/>
        </w:rPr>
        <w:footnoteReference w:id="10"/>
      </w:r>
      <w:r w:rsidR="00E13F48" w:rsidRPr="009F391A">
        <w:rPr>
          <w:noProof/>
          <w:lang w:val="en-IE"/>
        </w:rPr>
        <w:t>)</w:t>
      </w:r>
    </w:p>
    <w:p w14:paraId="789DBF49" w14:textId="77777777" w:rsidR="00D91011" w:rsidRPr="009F391A" w:rsidRDefault="00D91011">
      <w:pPr>
        <w:spacing w:after="0"/>
        <w:jc w:val="left"/>
        <w:rPr>
          <w:noProof/>
          <w:lang w:val="en-IE"/>
        </w:rPr>
      </w:pPr>
      <w:r w:rsidRPr="009F391A">
        <w:rPr>
          <w:noProof/>
          <w:lang w:val="en-IE"/>
        </w:rPr>
        <w:br w:type="page"/>
      </w:r>
    </w:p>
    <w:p w14:paraId="722A7847" w14:textId="2D27344F" w:rsidR="00E53FCD" w:rsidRPr="009F391A" w:rsidRDefault="00E53FCD" w:rsidP="00E53FCD">
      <w:pPr>
        <w:rPr>
          <w:b/>
          <w:noProof/>
          <w:lang w:val="en-IE"/>
        </w:rPr>
      </w:pPr>
      <w:r w:rsidRPr="009F391A">
        <w:rPr>
          <w:b/>
          <w:bCs/>
          <w:noProof/>
          <w:lang w:val="en-IE"/>
        </w:rPr>
        <w:t>Rules for the use of non-EU benchmarks</w:t>
      </w:r>
      <w:r w:rsidR="001C36ED" w:rsidRPr="001C36ED">
        <w:rPr>
          <w:b/>
          <w:bCs/>
          <w:noProof/>
          <w:lang w:val="en-IE"/>
        </w:rPr>
        <w:t> (</w:t>
      </w:r>
      <w:r w:rsidR="001C36ED">
        <w:rPr>
          <w:rStyle w:val="FootnoteReference"/>
          <w:b/>
          <w:bCs/>
          <w:noProof/>
          <w:lang w:val="en-IE"/>
        </w:rPr>
        <w:footnoteReference w:id="11"/>
      </w:r>
      <w:r w:rsidR="001C36ED">
        <w:rPr>
          <w:b/>
          <w:bCs/>
          <w:noProof/>
          <w:lang w:val="en-IE"/>
        </w:rPr>
        <w:t>)</w:t>
      </w:r>
    </w:p>
    <w:p w14:paraId="625541EA" w14:textId="6129C66A" w:rsidR="00E53FCD" w:rsidRPr="009F391A" w:rsidRDefault="00E53FCD" w:rsidP="00E53FCD">
      <w:pPr>
        <w:rPr>
          <w:noProof/>
          <w:lang w:val="en-IE"/>
        </w:rPr>
      </w:pPr>
      <w:r w:rsidRPr="009F391A">
        <w:rPr>
          <w:noProof/>
          <w:lang w:val="en-IE"/>
        </w:rPr>
        <w:t>Under the current third-country rules</w:t>
      </w:r>
      <w:r w:rsidR="001C36ED">
        <w:rPr>
          <w:noProof/>
          <w:lang w:val="en-IE"/>
        </w:rPr>
        <w:t xml:space="preserve"> </w:t>
      </w:r>
      <w:r w:rsidRPr="009F391A">
        <w:rPr>
          <w:noProof/>
          <w:lang w:val="en-IE"/>
        </w:rPr>
        <w:t xml:space="preserve">non-EU benchmarks can be used in the EU </w:t>
      </w:r>
      <w:r w:rsidR="0063039B">
        <w:rPr>
          <w:noProof/>
          <w:lang w:val="en-IE"/>
        </w:rPr>
        <w:t xml:space="preserve">provided </w:t>
      </w:r>
      <w:r w:rsidRPr="009F391A">
        <w:rPr>
          <w:noProof/>
          <w:lang w:val="en-IE"/>
        </w:rPr>
        <w:t>they obtain access via one of three routes specified in the BMR.</w:t>
      </w:r>
    </w:p>
    <w:p w14:paraId="7BCE8D3D" w14:textId="315524D0" w:rsidR="00E53FCD" w:rsidRPr="009F391A" w:rsidRDefault="00E53FCD" w:rsidP="00E53FCD">
      <w:pPr>
        <w:rPr>
          <w:noProof/>
          <w:lang w:val="en-IE"/>
        </w:rPr>
      </w:pPr>
      <w:r w:rsidRPr="009F391A">
        <w:rPr>
          <w:noProof/>
          <w:lang w:val="en-IE"/>
        </w:rPr>
        <w:t xml:space="preserve">The first route is </w:t>
      </w:r>
      <w:r w:rsidRPr="009F391A">
        <w:rPr>
          <w:b/>
          <w:noProof/>
          <w:lang w:val="en-IE"/>
        </w:rPr>
        <w:t>equivalence</w:t>
      </w:r>
      <w:r w:rsidR="004E5C96">
        <w:rPr>
          <w:b/>
          <w:noProof/>
          <w:lang w:val="en-IE"/>
        </w:rPr>
        <w:t xml:space="preserve"> (Article </w:t>
      </w:r>
      <w:r w:rsidR="000A104F">
        <w:rPr>
          <w:b/>
          <w:noProof/>
          <w:lang w:val="en-IE"/>
        </w:rPr>
        <w:t>30</w:t>
      </w:r>
      <w:r w:rsidR="004E5C96">
        <w:rPr>
          <w:b/>
          <w:noProof/>
          <w:lang w:val="en-IE"/>
        </w:rPr>
        <w:t xml:space="preserve"> BMR)</w:t>
      </w:r>
      <w:r w:rsidRPr="009F391A">
        <w:rPr>
          <w:noProof/>
          <w:lang w:val="en-IE"/>
        </w:rPr>
        <w:t xml:space="preserve">, which </w:t>
      </w:r>
      <w:r w:rsidR="00082126">
        <w:rPr>
          <w:noProof/>
          <w:lang w:val="en-IE"/>
        </w:rPr>
        <w:t>takes the form</w:t>
      </w:r>
      <w:r w:rsidR="00082126" w:rsidRPr="009F391A">
        <w:rPr>
          <w:noProof/>
          <w:lang w:val="en-IE"/>
        </w:rPr>
        <w:t xml:space="preserve"> </w:t>
      </w:r>
      <w:r w:rsidRPr="009F391A">
        <w:rPr>
          <w:noProof/>
          <w:lang w:val="en-IE"/>
        </w:rPr>
        <w:t xml:space="preserve">of an implementing decision stating that the regulatory framework in a third country imposes binding requirements equivalent to those of the BMR, and that those requirements are subject to effective supervision and enforcement. Two variants of such </w:t>
      </w:r>
      <w:r w:rsidR="00082126">
        <w:rPr>
          <w:noProof/>
          <w:lang w:val="en-IE"/>
        </w:rPr>
        <w:t xml:space="preserve">a </w:t>
      </w:r>
      <w:r w:rsidRPr="009F391A">
        <w:rPr>
          <w:noProof/>
          <w:lang w:val="en-IE"/>
        </w:rPr>
        <w:t xml:space="preserve">decision are available, either covering the entire scope of a third country jurisdiction’s benchmark regulation or covering only specific administrators, specific benchmarks or families of benchmarks. Once an equivalence decision is taken, </w:t>
      </w:r>
      <w:r w:rsidR="0084382C" w:rsidRPr="009F391A">
        <w:rPr>
          <w:noProof/>
          <w:lang w:val="en-IE"/>
        </w:rPr>
        <w:t>the European Securities and Markets Authority (ESMA)</w:t>
      </w:r>
      <w:r w:rsidR="00971E8E" w:rsidRPr="009F391A">
        <w:rPr>
          <w:noProof/>
          <w:lang w:val="en-IE"/>
        </w:rPr>
        <w:t xml:space="preserve"> </w:t>
      </w:r>
      <w:r w:rsidRPr="009F391A">
        <w:rPr>
          <w:noProof/>
          <w:lang w:val="en-IE"/>
        </w:rPr>
        <w:t>contact</w:t>
      </w:r>
      <w:r w:rsidR="00082126">
        <w:rPr>
          <w:noProof/>
          <w:lang w:val="en-IE"/>
        </w:rPr>
        <w:t>s</w:t>
      </w:r>
      <w:r w:rsidRPr="009F391A">
        <w:rPr>
          <w:noProof/>
          <w:lang w:val="en-IE"/>
        </w:rPr>
        <w:t xml:space="preserve"> the third country supervisor and draws up cooperation arrangements cover</w:t>
      </w:r>
      <w:r w:rsidR="000464D0" w:rsidRPr="009F391A">
        <w:rPr>
          <w:noProof/>
          <w:lang w:val="en-IE"/>
        </w:rPr>
        <w:t xml:space="preserve">ing </w:t>
      </w:r>
      <w:r w:rsidRPr="009F391A">
        <w:rPr>
          <w:noProof/>
          <w:lang w:val="en-IE"/>
        </w:rPr>
        <w:t xml:space="preserve">the exchange of information and prompt notification </w:t>
      </w:r>
      <w:r w:rsidR="00082126">
        <w:rPr>
          <w:noProof/>
          <w:lang w:val="en-IE"/>
        </w:rPr>
        <w:t>should</w:t>
      </w:r>
      <w:r w:rsidR="00082126" w:rsidRPr="009F391A">
        <w:rPr>
          <w:noProof/>
          <w:lang w:val="en-IE"/>
        </w:rPr>
        <w:t xml:space="preserve"> </w:t>
      </w:r>
      <w:r w:rsidRPr="009F391A">
        <w:rPr>
          <w:noProof/>
          <w:lang w:val="en-IE"/>
        </w:rPr>
        <w:t xml:space="preserve">a third country competent authority find an administrator in breach of its legal obligations. Benchmarks covered by an equivalence decision are included in </w:t>
      </w:r>
      <w:r w:rsidR="000464D0" w:rsidRPr="009F391A">
        <w:rPr>
          <w:noProof/>
          <w:lang w:val="en-IE"/>
        </w:rPr>
        <w:t>ESMA’s</w:t>
      </w:r>
      <w:r w:rsidR="00971E8E" w:rsidRPr="009F391A">
        <w:rPr>
          <w:noProof/>
          <w:lang w:val="en-IE"/>
        </w:rPr>
        <w:t xml:space="preserve"> </w:t>
      </w:r>
      <w:r w:rsidRPr="009F391A">
        <w:rPr>
          <w:noProof/>
          <w:lang w:val="en-IE"/>
        </w:rPr>
        <w:t xml:space="preserve">register of third country benchmarks that are available for use in the </w:t>
      </w:r>
      <w:r w:rsidR="00082126">
        <w:rPr>
          <w:noProof/>
          <w:lang w:val="en-IE"/>
        </w:rPr>
        <w:t>EU</w:t>
      </w:r>
      <w:r w:rsidRPr="009F391A">
        <w:rPr>
          <w:noProof/>
          <w:lang w:val="en-IE"/>
        </w:rPr>
        <w:t>.</w:t>
      </w:r>
      <w:r w:rsidR="001C36ED">
        <w:rPr>
          <w:noProof/>
          <w:lang w:val="en-IE"/>
        </w:rPr>
        <w:t xml:space="preserve"> Only Australia and Singapore have been granted partial equivalence, with a handful of other jurisdictions having expressed interest.</w:t>
      </w:r>
    </w:p>
    <w:p w14:paraId="3E0D5831" w14:textId="54A84217" w:rsidR="00E53FCD" w:rsidRPr="009F391A" w:rsidRDefault="001C36ED" w:rsidP="00E53FCD">
      <w:pPr>
        <w:rPr>
          <w:noProof/>
          <w:lang w:val="en-IE"/>
        </w:rPr>
      </w:pPr>
      <w:r>
        <w:rPr>
          <w:noProof/>
          <w:lang w:val="en-IE"/>
        </w:rPr>
        <w:t xml:space="preserve">Whereas </w:t>
      </w:r>
      <w:r w:rsidR="00E53FCD" w:rsidRPr="009F391A">
        <w:rPr>
          <w:noProof/>
          <w:lang w:val="en-IE"/>
        </w:rPr>
        <w:t>equivalence</w:t>
      </w:r>
      <w:r w:rsidR="00F87DE1">
        <w:rPr>
          <w:noProof/>
          <w:lang w:val="en-IE"/>
        </w:rPr>
        <w:t xml:space="preserve"> </w:t>
      </w:r>
      <w:r w:rsidR="00E53FCD" w:rsidRPr="009F391A">
        <w:rPr>
          <w:noProof/>
          <w:lang w:val="en-IE"/>
        </w:rPr>
        <w:t xml:space="preserve">depends on a third country legislator and / or supervisor </w:t>
      </w:r>
      <w:r w:rsidR="00082126">
        <w:rPr>
          <w:noProof/>
          <w:lang w:val="en-IE"/>
        </w:rPr>
        <w:t xml:space="preserve">taking the initiative </w:t>
      </w:r>
      <w:r w:rsidR="00E53FCD" w:rsidRPr="009F391A">
        <w:rPr>
          <w:noProof/>
          <w:lang w:val="en-IE"/>
        </w:rPr>
        <w:t>to contact the European Commission</w:t>
      </w:r>
      <w:r>
        <w:rPr>
          <w:noProof/>
          <w:lang w:val="en-IE"/>
        </w:rPr>
        <w:t>, the two access routes below can</w:t>
      </w:r>
      <w:r w:rsidR="00E53FCD" w:rsidRPr="009F391A">
        <w:rPr>
          <w:noProof/>
          <w:lang w:val="en-IE"/>
        </w:rPr>
        <w:t xml:space="preserve"> be used </w:t>
      </w:r>
      <w:r w:rsidR="00082126">
        <w:rPr>
          <w:noProof/>
          <w:lang w:val="en-IE"/>
        </w:rPr>
        <w:t>on</w:t>
      </w:r>
      <w:r w:rsidR="00082126" w:rsidRPr="009F391A">
        <w:rPr>
          <w:noProof/>
          <w:lang w:val="en-IE"/>
        </w:rPr>
        <w:t xml:space="preserve"> </w:t>
      </w:r>
      <w:r w:rsidR="00E53FCD" w:rsidRPr="009F391A">
        <w:rPr>
          <w:noProof/>
          <w:lang w:val="en-IE"/>
        </w:rPr>
        <w:t xml:space="preserve">the initiative of benchmark administrators alone, or benchmark administrators active in a jurisdiction where they are not subject to binding regulation. </w:t>
      </w:r>
    </w:p>
    <w:p w14:paraId="20FD3388" w14:textId="4E143328" w:rsidR="00E53FCD" w:rsidRPr="009F391A" w:rsidRDefault="00E53FCD" w:rsidP="00E53FCD">
      <w:pPr>
        <w:rPr>
          <w:noProof/>
          <w:lang w:val="en-IE"/>
        </w:rPr>
      </w:pPr>
      <w:r w:rsidRPr="009F391A">
        <w:rPr>
          <w:noProof/>
          <w:lang w:val="en-IE"/>
        </w:rPr>
        <w:t xml:space="preserve">The second access route is </w:t>
      </w:r>
      <w:r w:rsidRPr="009F391A">
        <w:rPr>
          <w:b/>
          <w:noProof/>
          <w:lang w:val="en-IE"/>
        </w:rPr>
        <w:t>endorsement</w:t>
      </w:r>
      <w:r w:rsidR="004E5C96">
        <w:rPr>
          <w:b/>
          <w:noProof/>
          <w:lang w:val="en-IE"/>
        </w:rPr>
        <w:t xml:space="preserve"> (Article </w:t>
      </w:r>
      <w:r w:rsidR="00164FC9">
        <w:rPr>
          <w:b/>
          <w:noProof/>
          <w:lang w:val="en-IE"/>
        </w:rPr>
        <w:t>33</w:t>
      </w:r>
      <w:r w:rsidR="004E5C96">
        <w:rPr>
          <w:b/>
          <w:noProof/>
          <w:lang w:val="en-IE"/>
        </w:rPr>
        <w:t xml:space="preserve"> BMR)</w:t>
      </w:r>
      <w:r w:rsidRPr="009F391A">
        <w:rPr>
          <w:noProof/>
          <w:lang w:val="en-IE"/>
        </w:rPr>
        <w:t xml:space="preserve">, </w:t>
      </w:r>
      <w:r w:rsidR="0079364E">
        <w:rPr>
          <w:noProof/>
          <w:lang w:val="en-IE"/>
        </w:rPr>
        <w:t xml:space="preserve">in </w:t>
      </w:r>
      <w:r w:rsidRPr="009F391A">
        <w:rPr>
          <w:noProof/>
          <w:lang w:val="en-IE"/>
        </w:rPr>
        <w:t xml:space="preserve">which an EU supervised entity </w:t>
      </w:r>
      <w:r w:rsidR="0079364E">
        <w:rPr>
          <w:noProof/>
          <w:lang w:val="en-IE"/>
        </w:rPr>
        <w:t>(</w:t>
      </w:r>
      <w:r w:rsidRPr="009F391A">
        <w:rPr>
          <w:noProof/>
          <w:lang w:val="en-IE"/>
        </w:rPr>
        <w:t>which may be a benchmark administrator or another type of entity subject to supervision by an EU national competent authority</w:t>
      </w:r>
      <w:r w:rsidR="0079364E">
        <w:rPr>
          <w:noProof/>
          <w:lang w:val="en-IE"/>
        </w:rPr>
        <w:t>)</w:t>
      </w:r>
      <w:r w:rsidRPr="009F391A">
        <w:rPr>
          <w:noProof/>
          <w:lang w:val="en-IE"/>
        </w:rPr>
        <w:t xml:space="preserve"> </w:t>
      </w:r>
      <w:r w:rsidR="001C36ED" w:rsidRPr="009F391A">
        <w:rPr>
          <w:noProof/>
          <w:lang w:val="en-IE"/>
        </w:rPr>
        <w:t>assum</w:t>
      </w:r>
      <w:r w:rsidR="001C36ED">
        <w:rPr>
          <w:noProof/>
          <w:lang w:val="en-IE"/>
        </w:rPr>
        <w:t>es</w:t>
      </w:r>
      <w:r w:rsidR="001C36ED" w:rsidRPr="009F391A">
        <w:rPr>
          <w:noProof/>
          <w:lang w:val="en-IE"/>
        </w:rPr>
        <w:t xml:space="preserve"> </w:t>
      </w:r>
      <w:r w:rsidRPr="009F391A">
        <w:rPr>
          <w:noProof/>
          <w:lang w:val="en-IE"/>
        </w:rPr>
        <w:t xml:space="preserve">regulatory responsibility for a non-EU benchmark. The BMR </w:t>
      </w:r>
      <w:r w:rsidR="001C36ED">
        <w:rPr>
          <w:noProof/>
          <w:lang w:val="en-IE"/>
        </w:rPr>
        <w:t xml:space="preserve">sets out </w:t>
      </w:r>
      <w:r w:rsidRPr="009F391A">
        <w:rPr>
          <w:noProof/>
          <w:lang w:val="en-IE"/>
        </w:rPr>
        <w:t xml:space="preserve">that the endorsing entity </w:t>
      </w:r>
      <w:r w:rsidR="001C36ED">
        <w:rPr>
          <w:noProof/>
          <w:lang w:val="en-IE"/>
        </w:rPr>
        <w:t>should have</w:t>
      </w:r>
      <w:r w:rsidR="001C36ED" w:rsidRPr="009F391A">
        <w:rPr>
          <w:noProof/>
          <w:lang w:val="en-IE"/>
        </w:rPr>
        <w:t xml:space="preserve"> </w:t>
      </w:r>
      <w:r w:rsidRPr="009F391A">
        <w:rPr>
          <w:noProof/>
          <w:lang w:val="en-IE"/>
        </w:rPr>
        <w:t xml:space="preserve">a </w:t>
      </w:r>
      <w:r w:rsidR="009C6C89">
        <w:rPr>
          <w:noProof/>
          <w:lang w:val="en-IE"/>
        </w:rPr>
        <w:t>‘</w:t>
      </w:r>
      <w:r w:rsidRPr="009F391A">
        <w:rPr>
          <w:noProof/>
          <w:lang w:val="en-IE"/>
        </w:rPr>
        <w:t>clear and well-defined role within the control or accountability framework of a third country administrator</w:t>
      </w:r>
      <w:r w:rsidR="009C6C89">
        <w:rPr>
          <w:noProof/>
          <w:lang w:val="en-IE"/>
        </w:rPr>
        <w:t>’</w:t>
      </w:r>
      <w:r w:rsidRPr="009F391A">
        <w:rPr>
          <w:noProof/>
          <w:lang w:val="en-IE"/>
        </w:rPr>
        <w:t xml:space="preserve"> and is able to </w:t>
      </w:r>
      <w:r w:rsidR="009C6C89">
        <w:rPr>
          <w:noProof/>
          <w:lang w:val="en-IE"/>
        </w:rPr>
        <w:t>‘</w:t>
      </w:r>
      <w:r w:rsidRPr="009F391A">
        <w:rPr>
          <w:noProof/>
          <w:lang w:val="en-IE"/>
        </w:rPr>
        <w:t>monitor effectively the provision of a benchmark</w:t>
      </w:r>
      <w:r w:rsidR="009C6C89">
        <w:rPr>
          <w:noProof/>
          <w:lang w:val="en-IE"/>
        </w:rPr>
        <w:t>’</w:t>
      </w:r>
      <w:r w:rsidRPr="009F391A">
        <w:rPr>
          <w:noProof/>
          <w:lang w:val="en-IE"/>
        </w:rPr>
        <w:t xml:space="preserve">. Among other conditions, the BMR </w:t>
      </w:r>
      <w:r w:rsidR="0079364E">
        <w:rPr>
          <w:noProof/>
          <w:lang w:val="en-IE"/>
        </w:rPr>
        <w:t>requires</w:t>
      </w:r>
      <w:r w:rsidRPr="009F391A">
        <w:rPr>
          <w:noProof/>
          <w:lang w:val="en-IE"/>
        </w:rPr>
        <w:t xml:space="preserve"> an objective reason why the benchmark is produced outside the EU. Endorsed benchmarks or families of benchmarks are included in the ESMA register of third country benchmarks.</w:t>
      </w:r>
    </w:p>
    <w:p w14:paraId="2CAEB92E" w14:textId="2889C0F6" w:rsidR="00E53FCD" w:rsidRPr="009F391A" w:rsidRDefault="00E53FCD" w:rsidP="00E53FCD">
      <w:pPr>
        <w:rPr>
          <w:noProof/>
          <w:lang w:val="en-IE"/>
        </w:rPr>
      </w:pPr>
      <w:r w:rsidRPr="009F391A">
        <w:rPr>
          <w:noProof/>
          <w:lang w:val="en-IE"/>
        </w:rPr>
        <w:t xml:space="preserve">The third access route for non-EU benchmarks is </w:t>
      </w:r>
      <w:r w:rsidRPr="009F391A">
        <w:rPr>
          <w:b/>
          <w:noProof/>
          <w:lang w:val="en-IE"/>
        </w:rPr>
        <w:t>recognition</w:t>
      </w:r>
      <w:r w:rsidR="004E5C96">
        <w:rPr>
          <w:b/>
          <w:noProof/>
          <w:lang w:val="en-IE"/>
        </w:rPr>
        <w:t xml:space="preserve"> (Article </w:t>
      </w:r>
      <w:r w:rsidR="00164FC9">
        <w:rPr>
          <w:b/>
          <w:noProof/>
          <w:lang w:val="en-IE"/>
        </w:rPr>
        <w:t>32</w:t>
      </w:r>
      <w:r w:rsidR="004E5C96">
        <w:rPr>
          <w:b/>
          <w:noProof/>
          <w:lang w:val="en-IE"/>
        </w:rPr>
        <w:t xml:space="preserve"> BMR)</w:t>
      </w:r>
      <w:r w:rsidRPr="009F391A">
        <w:rPr>
          <w:noProof/>
          <w:lang w:val="en-IE"/>
        </w:rPr>
        <w:t xml:space="preserve">. Under this scheme, a third country administrator needs to have a legal representative, i.e., a natural or legal person located in the </w:t>
      </w:r>
      <w:r w:rsidR="009C6C89">
        <w:rPr>
          <w:noProof/>
          <w:lang w:val="en-IE"/>
        </w:rPr>
        <w:t>EU</w:t>
      </w:r>
      <w:r w:rsidR="009C6C89" w:rsidRPr="009F391A">
        <w:rPr>
          <w:noProof/>
          <w:lang w:val="en-IE"/>
        </w:rPr>
        <w:t xml:space="preserve"> </w:t>
      </w:r>
      <w:r w:rsidRPr="009F391A">
        <w:rPr>
          <w:noProof/>
          <w:lang w:val="en-IE"/>
        </w:rPr>
        <w:t>and expressly appointed by that administrator to act on</w:t>
      </w:r>
      <w:r w:rsidR="009C6C89">
        <w:rPr>
          <w:noProof/>
          <w:lang w:val="en-IE"/>
        </w:rPr>
        <w:t xml:space="preserve"> its</w:t>
      </w:r>
      <w:r w:rsidRPr="009F391A">
        <w:rPr>
          <w:noProof/>
          <w:lang w:val="en-IE"/>
        </w:rPr>
        <w:t xml:space="preserve"> behalf with regard to </w:t>
      </w:r>
      <w:r w:rsidR="009C6C89">
        <w:rPr>
          <w:noProof/>
          <w:lang w:val="en-IE"/>
        </w:rPr>
        <w:t>its</w:t>
      </w:r>
      <w:r w:rsidRPr="009F391A">
        <w:rPr>
          <w:noProof/>
          <w:lang w:val="en-IE"/>
        </w:rPr>
        <w:t xml:space="preserve"> obligations under the BMR. The administrator needs to demonstrate compliance with the main requirements of the BMR to ESMA, which can conclude a cooperation arrangement with the administrator’s domestic supervisor where applicable.</w:t>
      </w:r>
    </w:p>
    <w:p w14:paraId="4602EC35" w14:textId="0DBA4924" w:rsidR="00E53FCD" w:rsidRPr="009F391A" w:rsidRDefault="00E53FCD" w:rsidP="00E53FCD">
      <w:pPr>
        <w:rPr>
          <w:noProof/>
          <w:lang w:val="en-IE"/>
        </w:rPr>
      </w:pPr>
      <w:r w:rsidRPr="009F391A">
        <w:rPr>
          <w:noProof/>
          <w:lang w:val="en-IE"/>
        </w:rPr>
        <w:t>Both recognition and endorsement can be initiated by a non-EU administrator wishing to market its benchmarks to EU supervised entities. However, obtaining access via either of these routes requires that an administrator has an economic interest in doing so</w:t>
      </w:r>
      <w:r w:rsidR="00164FC9">
        <w:rPr>
          <w:noProof/>
          <w:lang w:val="en-IE"/>
        </w:rPr>
        <w:t>. If there is none, a non-EU administrator will not make the effort of</w:t>
      </w:r>
      <w:r w:rsidRPr="009F391A">
        <w:rPr>
          <w:noProof/>
          <w:lang w:val="en-IE"/>
        </w:rPr>
        <w:t xml:space="preserve"> setting up and remunerating the required presence in the Union</w:t>
      </w:r>
      <w:r w:rsidR="00164FC9">
        <w:rPr>
          <w:noProof/>
          <w:lang w:val="en-IE"/>
        </w:rPr>
        <w:t>, and EU users will be deprived of the benchmarks concerned.</w:t>
      </w:r>
    </w:p>
    <w:p w14:paraId="4831450C" w14:textId="77777777" w:rsidR="00E53FCD" w:rsidRPr="009F391A" w:rsidRDefault="00E53FCD" w:rsidP="00E53FCD">
      <w:pPr>
        <w:rPr>
          <w:noProof/>
          <w:lang w:val="en-IE"/>
        </w:rPr>
      </w:pPr>
    </w:p>
    <w:p w14:paraId="2532CB35" w14:textId="2982289E" w:rsidR="00E53FCD" w:rsidRPr="009F391A" w:rsidRDefault="00E53FCD" w:rsidP="00E53FCD">
      <w:pPr>
        <w:rPr>
          <w:b/>
          <w:bCs/>
          <w:noProof/>
          <w:lang w:val="en-IE"/>
        </w:rPr>
      </w:pPr>
      <w:r w:rsidRPr="009F391A">
        <w:rPr>
          <w:b/>
          <w:bCs/>
          <w:noProof/>
          <w:lang w:val="en-IE"/>
        </w:rPr>
        <w:t>A picture of the EU market</w:t>
      </w:r>
      <w:r w:rsidR="0079364E">
        <w:rPr>
          <w:b/>
          <w:bCs/>
          <w:noProof/>
          <w:lang w:val="en-IE"/>
        </w:rPr>
        <w:t xml:space="preserve"> for benchmarks</w:t>
      </w:r>
    </w:p>
    <w:p w14:paraId="2D647BBA" w14:textId="4C815F8D" w:rsidR="00E53FCD" w:rsidRPr="009F391A" w:rsidRDefault="0079364E" w:rsidP="00E53FCD">
      <w:pPr>
        <w:rPr>
          <w:noProof/>
          <w:lang w:val="en-IE"/>
        </w:rPr>
      </w:pPr>
      <w:r>
        <w:rPr>
          <w:noProof/>
          <w:lang w:val="en-IE"/>
        </w:rPr>
        <w:t xml:space="preserve">72 EU benchmark administrators are currently listed in the ESMA register. </w:t>
      </w:r>
      <w:r w:rsidR="00E53FCD" w:rsidRPr="009F391A">
        <w:rPr>
          <w:noProof/>
          <w:lang w:val="en-IE"/>
        </w:rPr>
        <w:t>Of the benchmarks currently in use in the EU, one (EURIBOR) is a critical benchmark under ESMA supervision</w:t>
      </w:r>
      <w:r w:rsidR="00E13F48" w:rsidRPr="009F391A">
        <w:rPr>
          <w:noProof/>
          <w:lang w:val="en-IE"/>
        </w:rPr>
        <w:t> (</w:t>
      </w:r>
      <w:r w:rsidR="00E53FCD" w:rsidRPr="009F391A">
        <w:rPr>
          <w:rStyle w:val="FootnoteReference"/>
          <w:noProof/>
          <w:lang w:val="en-IE"/>
        </w:rPr>
        <w:footnoteReference w:id="12"/>
      </w:r>
      <w:r w:rsidR="00E13F48" w:rsidRPr="009F391A">
        <w:rPr>
          <w:noProof/>
          <w:lang w:val="en-IE"/>
        </w:rPr>
        <w:t>)</w:t>
      </w:r>
      <w:r w:rsidR="00E53FCD" w:rsidRPr="009F391A">
        <w:rPr>
          <w:noProof/>
          <w:lang w:val="en-IE"/>
        </w:rPr>
        <w:t xml:space="preserve">. Three </w:t>
      </w:r>
      <w:r w:rsidR="009C6C89">
        <w:rPr>
          <w:noProof/>
          <w:lang w:val="en-IE"/>
        </w:rPr>
        <w:t xml:space="preserve">- </w:t>
      </w:r>
      <w:r w:rsidR="00E53FCD" w:rsidRPr="009F391A">
        <w:rPr>
          <w:noProof/>
          <w:lang w:val="en-IE"/>
        </w:rPr>
        <w:t xml:space="preserve">the Stockholm Interbank Offered Rate </w:t>
      </w:r>
      <w:r w:rsidR="009C6C89">
        <w:rPr>
          <w:noProof/>
          <w:lang w:val="en-IE"/>
        </w:rPr>
        <w:t>(</w:t>
      </w:r>
      <w:r w:rsidR="00E53FCD" w:rsidRPr="009F391A">
        <w:rPr>
          <w:noProof/>
          <w:lang w:val="en-IE"/>
        </w:rPr>
        <w:t>STIBOR</w:t>
      </w:r>
      <w:r w:rsidR="009C6C89">
        <w:rPr>
          <w:noProof/>
          <w:lang w:val="en-IE"/>
        </w:rPr>
        <w:t>)</w:t>
      </w:r>
      <w:r w:rsidR="00E53FCD" w:rsidRPr="009F391A">
        <w:rPr>
          <w:noProof/>
          <w:lang w:val="en-IE"/>
        </w:rPr>
        <w:t xml:space="preserve">, the Norway Interbank Offered Rate </w:t>
      </w:r>
      <w:r w:rsidR="009C6C89">
        <w:rPr>
          <w:noProof/>
          <w:lang w:val="en-IE"/>
        </w:rPr>
        <w:t>(</w:t>
      </w:r>
      <w:r w:rsidR="00E53FCD" w:rsidRPr="009F391A">
        <w:rPr>
          <w:noProof/>
          <w:lang w:val="en-IE"/>
        </w:rPr>
        <w:t>NIBOR</w:t>
      </w:r>
      <w:r w:rsidR="009C6C89">
        <w:rPr>
          <w:noProof/>
          <w:lang w:val="en-IE"/>
        </w:rPr>
        <w:t>)</w:t>
      </w:r>
      <w:r w:rsidR="00E53FCD" w:rsidRPr="009F391A">
        <w:rPr>
          <w:noProof/>
          <w:lang w:val="en-IE"/>
        </w:rPr>
        <w:t xml:space="preserve"> and the Warsaw Interbank Offered Rate </w:t>
      </w:r>
      <w:r w:rsidR="009C6C89">
        <w:rPr>
          <w:noProof/>
          <w:lang w:val="en-IE"/>
        </w:rPr>
        <w:t>(</w:t>
      </w:r>
      <w:r w:rsidR="00E53FCD" w:rsidRPr="009F391A">
        <w:rPr>
          <w:noProof/>
          <w:lang w:val="en-IE"/>
        </w:rPr>
        <w:t>WIBOR) are critical benchmarks</w:t>
      </w:r>
      <w:r w:rsidR="00E13F48" w:rsidRPr="009F391A">
        <w:rPr>
          <w:noProof/>
          <w:lang w:val="en-IE"/>
        </w:rPr>
        <w:t> </w:t>
      </w:r>
      <w:r w:rsidR="00473EEF">
        <w:rPr>
          <w:noProof/>
          <w:lang w:val="en-IE"/>
        </w:rPr>
        <w:t xml:space="preserve">under national supervision </w:t>
      </w:r>
      <w:r w:rsidR="00E13F48" w:rsidRPr="009F391A">
        <w:rPr>
          <w:noProof/>
          <w:lang w:val="en-IE"/>
        </w:rPr>
        <w:t>(</w:t>
      </w:r>
      <w:r w:rsidR="00E53FCD" w:rsidRPr="009F391A">
        <w:rPr>
          <w:rStyle w:val="FootnoteReference"/>
          <w:noProof/>
          <w:lang w:val="en-IE"/>
        </w:rPr>
        <w:footnoteReference w:id="13"/>
      </w:r>
      <w:r w:rsidR="00E13F48" w:rsidRPr="009F391A">
        <w:rPr>
          <w:noProof/>
          <w:lang w:val="en-IE"/>
        </w:rPr>
        <w:t>)</w:t>
      </w:r>
      <w:r w:rsidR="00E53FCD" w:rsidRPr="009F391A">
        <w:rPr>
          <w:noProof/>
          <w:lang w:val="en-IE"/>
        </w:rPr>
        <w:t xml:space="preserve">. All these critical benchmarks are interest rate </w:t>
      </w:r>
      <w:r w:rsidR="00BD38B5" w:rsidRPr="009F391A">
        <w:rPr>
          <w:noProof/>
          <w:lang w:val="en-IE"/>
        </w:rPr>
        <w:t>benchmarks,</w:t>
      </w:r>
      <w:r w:rsidR="00E53FCD" w:rsidRPr="009F391A">
        <w:rPr>
          <w:noProof/>
          <w:lang w:val="en-IE"/>
        </w:rPr>
        <w:t xml:space="preserve"> and </w:t>
      </w:r>
      <w:r w:rsidR="009C6C89">
        <w:rPr>
          <w:noProof/>
          <w:lang w:val="en-IE"/>
        </w:rPr>
        <w:t xml:space="preserve">each of them is </w:t>
      </w:r>
      <w:r w:rsidR="00E53FCD" w:rsidRPr="009F391A">
        <w:rPr>
          <w:noProof/>
          <w:lang w:val="en-IE"/>
        </w:rPr>
        <w:t xml:space="preserve">administered by a different EU administrator. </w:t>
      </w:r>
      <w:r w:rsidR="00473EEF">
        <w:rPr>
          <w:noProof/>
          <w:lang w:val="en-IE"/>
        </w:rPr>
        <w:t xml:space="preserve">An informal survey of national supervisors by </w:t>
      </w:r>
      <w:r w:rsidR="00E53FCD" w:rsidRPr="009F391A">
        <w:rPr>
          <w:noProof/>
          <w:lang w:val="en-IE"/>
        </w:rPr>
        <w:t xml:space="preserve">ESMA </w:t>
      </w:r>
      <w:r w:rsidR="00473EEF">
        <w:rPr>
          <w:noProof/>
          <w:lang w:val="en-IE"/>
        </w:rPr>
        <w:t>revealed that in September 2022,</w:t>
      </w:r>
      <w:r w:rsidR="00E53FCD" w:rsidRPr="009F391A">
        <w:rPr>
          <w:noProof/>
          <w:lang w:val="en-IE"/>
        </w:rPr>
        <w:t xml:space="preserve"> </w:t>
      </w:r>
      <w:r w:rsidR="009C6C89">
        <w:rPr>
          <w:noProof/>
          <w:lang w:val="en-IE"/>
        </w:rPr>
        <w:t>six</w:t>
      </w:r>
      <w:r w:rsidR="00E53FCD" w:rsidRPr="009F391A">
        <w:rPr>
          <w:noProof/>
          <w:lang w:val="en-IE"/>
        </w:rPr>
        <w:t xml:space="preserve"> benchmark administrators </w:t>
      </w:r>
      <w:r w:rsidR="00F1037E">
        <w:rPr>
          <w:noProof/>
          <w:lang w:val="en-IE"/>
        </w:rPr>
        <w:t>under European supervision</w:t>
      </w:r>
      <w:r w:rsidR="000A6C43">
        <w:rPr>
          <w:noProof/>
          <w:lang w:val="en-IE"/>
        </w:rPr>
        <w:t xml:space="preserve"> </w:t>
      </w:r>
      <w:r w:rsidR="00E53FCD" w:rsidRPr="009F391A">
        <w:rPr>
          <w:noProof/>
          <w:lang w:val="en-IE"/>
        </w:rPr>
        <w:t>(</w:t>
      </w:r>
      <w:r w:rsidR="009C6C89">
        <w:rPr>
          <w:noProof/>
          <w:lang w:val="en-IE"/>
        </w:rPr>
        <w:t>three</w:t>
      </w:r>
      <w:r w:rsidR="00E53FCD" w:rsidRPr="009F391A">
        <w:rPr>
          <w:noProof/>
          <w:lang w:val="en-IE"/>
        </w:rPr>
        <w:t xml:space="preserve"> EU and </w:t>
      </w:r>
      <w:r w:rsidR="009C6C89">
        <w:rPr>
          <w:noProof/>
          <w:lang w:val="en-IE"/>
        </w:rPr>
        <w:t>three</w:t>
      </w:r>
      <w:r w:rsidR="00E53FCD" w:rsidRPr="009F391A">
        <w:rPr>
          <w:noProof/>
          <w:lang w:val="en-IE"/>
        </w:rPr>
        <w:t xml:space="preserve"> non-EU</w:t>
      </w:r>
      <w:r w:rsidR="000A6C43" w:rsidRPr="000A6C43">
        <w:rPr>
          <w:noProof/>
          <w:lang w:val="en-IE"/>
        </w:rPr>
        <w:t> (</w:t>
      </w:r>
      <w:r w:rsidR="000A6C43">
        <w:rPr>
          <w:rStyle w:val="FootnoteReference"/>
          <w:noProof/>
          <w:lang w:val="en-IE"/>
        </w:rPr>
        <w:footnoteReference w:id="14"/>
      </w:r>
      <w:r w:rsidR="000A6C43">
        <w:rPr>
          <w:noProof/>
          <w:lang w:val="en-IE"/>
        </w:rPr>
        <w:t>)</w:t>
      </w:r>
      <w:r w:rsidR="00E53FCD" w:rsidRPr="009F391A">
        <w:rPr>
          <w:noProof/>
          <w:lang w:val="en-IE"/>
        </w:rPr>
        <w:t>) offer a total of 50 significant benchmarks</w:t>
      </w:r>
      <w:r w:rsidR="00E13F48" w:rsidRPr="009F391A">
        <w:rPr>
          <w:noProof/>
          <w:lang w:val="en-IE"/>
        </w:rPr>
        <w:t> (</w:t>
      </w:r>
      <w:r w:rsidR="00E53FCD" w:rsidRPr="009F391A">
        <w:rPr>
          <w:rStyle w:val="FootnoteReference"/>
          <w:noProof/>
          <w:lang w:val="en-IE"/>
        </w:rPr>
        <w:footnoteReference w:id="15"/>
      </w:r>
      <w:r w:rsidR="00E13F48" w:rsidRPr="009F391A">
        <w:rPr>
          <w:noProof/>
          <w:lang w:val="en-IE"/>
        </w:rPr>
        <w:t>)</w:t>
      </w:r>
      <w:r w:rsidR="00E53FCD" w:rsidRPr="009F391A">
        <w:rPr>
          <w:noProof/>
          <w:lang w:val="en-IE"/>
        </w:rPr>
        <w:t xml:space="preserve">. </w:t>
      </w:r>
      <w:r w:rsidR="00126FE2">
        <w:rPr>
          <w:noProof/>
          <w:lang w:val="en-IE"/>
        </w:rPr>
        <w:t>Further, a</w:t>
      </w:r>
      <w:r w:rsidR="00126FE2">
        <w:rPr>
          <w:noProof/>
        </w:rPr>
        <w:t xml:space="preserve">s of March 2023, there is a total of 12 administrators providing EU climate benchmarks, half of which are subject to European supervision under BMR: </w:t>
      </w:r>
      <w:r w:rsidR="009C6C89">
        <w:rPr>
          <w:noProof/>
        </w:rPr>
        <w:t>five</w:t>
      </w:r>
      <w:r w:rsidR="00126FE2">
        <w:rPr>
          <w:noProof/>
        </w:rPr>
        <w:t xml:space="preserve"> supervised by national authorities and </w:t>
      </w:r>
      <w:r w:rsidR="009C6C89">
        <w:rPr>
          <w:noProof/>
        </w:rPr>
        <w:t>one</w:t>
      </w:r>
      <w:r w:rsidR="00126FE2">
        <w:rPr>
          <w:noProof/>
        </w:rPr>
        <w:t xml:space="preserve"> supervised by ESMA under the recognition regime.</w:t>
      </w:r>
    </w:p>
    <w:p w14:paraId="02EB4DBD" w14:textId="16207213" w:rsidR="00E53FCD" w:rsidRPr="009F391A" w:rsidRDefault="00471923" w:rsidP="00E53FCD">
      <w:pPr>
        <w:rPr>
          <w:noProof/>
          <w:lang w:val="en-IE"/>
        </w:rPr>
      </w:pPr>
      <w:r w:rsidRPr="009F391A">
        <w:rPr>
          <w:noProof/>
          <w:lang w:val="en-IE"/>
        </w:rPr>
        <w:t>The</w:t>
      </w:r>
      <w:r w:rsidR="00E53FCD" w:rsidRPr="009F391A">
        <w:rPr>
          <w:noProof/>
          <w:lang w:val="en-IE"/>
        </w:rPr>
        <w:t xml:space="preserve"> ESMA register also lists </w:t>
      </w:r>
      <w:r w:rsidR="00126FE2">
        <w:rPr>
          <w:noProof/>
          <w:lang w:val="en-IE"/>
        </w:rPr>
        <w:t>14</w:t>
      </w:r>
      <w:r w:rsidR="00126FE2" w:rsidRPr="009F391A">
        <w:rPr>
          <w:noProof/>
          <w:lang w:val="en-IE"/>
        </w:rPr>
        <w:t xml:space="preserve"> </w:t>
      </w:r>
      <w:r w:rsidR="00E53FCD" w:rsidRPr="009F391A">
        <w:rPr>
          <w:noProof/>
          <w:lang w:val="en-IE"/>
        </w:rPr>
        <w:t>non-EU administrators</w:t>
      </w:r>
      <w:r w:rsidR="00935936">
        <w:rPr>
          <w:noProof/>
          <w:lang w:val="en-IE"/>
        </w:rPr>
        <w:t>,</w:t>
      </w:r>
      <w:r w:rsidR="009C6C89">
        <w:rPr>
          <w:noProof/>
          <w:lang w:val="en-IE"/>
        </w:rPr>
        <w:t xml:space="preserve"> who choose varying access routes.</w:t>
      </w:r>
      <w:r w:rsidR="00E53FCD" w:rsidRPr="009F391A">
        <w:rPr>
          <w:noProof/>
          <w:lang w:val="en-IE"/>
        </w:rPr>
        <w:t xml:space="preserve"> The </w:t>
      </w:r>
      <w:r w:rsidR="00E53FCD" w:rsidRPr="009F391A">
        <w:rPr>
          <w:b/>
          <w:noProof/>
          <w:lang w:val="en-IE"/>
        </w:rPr>
        <w:t>equivalence</w:t>
      </w:r>
      <w:r w:rsidR="00E53FCD" w:rsidRPr="009F391A">
        <w:rPr>
          <w:noProof/>
          <w:lang w:val="en-IE"/>
        </w:rPr>
        <w:t xml:space="preserve"> decisions for Australia and Singapore cover</w:t>
      </w:r>
      <w:r w:rsidR="0079364E">
        <w:rPr>
          <w:noProof/>
          <w:lang w:val="en-IE"/>
        </w:rPr>
        <w:t xml:space="preserve"> two administrators and a</w:t>
      </w:r>
      <w:r w:rsidR="00E53FCD" w:rsidRPr="009F391A">
        <w:rPr>
          <w:noProof/>
          <w:lang w:val="en-IE"/>
        </w:rPr>
        <w:t xml:space="preserve"> total</w:t>
      </w:r>
      <w:r w:rsidR="0079364E">
        <w:rPr>
          <w:noProof/>
          <w:lang w:val="en-IE"/>
        </w:rPr>
        <w:t xml:space="preserve"> of</w:t>
      </w:r>
      <w:r w:rsidR="00E53FCD" w:rsidRPr="009F391A">
        <w:rPr>
          <w:noProof/>
          <w:lang w:val="en-IE"/>
        </w:rPr>
        <w:t xml:space="preserve"> seven benchmarks. </w:t>
      </w:r>
      <w:r w:rsidR="0079364E">
        <w:rPr>
          <w:noProof/>
          <w:lang w:val="en-IE"/>
        </w:rPr>
        <w:t>Two</w:t>
      </w:r>
      <w:r w:rsidR="00E53FCD" w:rsidRPr="009F391A">
        <w:rPr>
          <w:noProof/>
          <w:lang w:val="en-IE"/>
        </w:rPr>
        <w:t xml:space="preserve"> benchmark administrators (S&amp;P Dow Jones Indices LLC and SIX Index AG) have chosen the </w:t>
      </w:r>
      <w:r w:rsidR="00E53FCD" w:rsidRPr="009F391A">
        <w:rPr>
          <w:b/>
          <w:noProof/>
          <w:lang w:val="en-IE"/>
        </w:rPr>
        <w:t>endorsement</w:t>
      </w:r>
      <w:r w:rsidR="00E53FCD" w:rsidRPr="009F391A">
        <w:rPr>
          <w:noProof/>
          <w:lang w:val="en-IE"/>
        </w:rPr>
        <w:t xml:space="preserve"> route</w:t>
      </w:r>
      <w:r w:rsidR="00935936">
        <w:rPr>
          <w:noProof/>
          <w:lang w:val="en-IE"/>
        </w:rPr>
        <w:t xml:space="preserve"> for</w:t>
      </w:r>
      <w:r w:rsidR="00CE2971" w:rsidRPr="009F391A">
        <w:rPr>
          <w:noProof/>
          <w:lang w:val="en-IE"/>
        </w:rPr>
        <w:t xml:space="preserve"> </w:t>
      </w:r>
      <w:r w:rsidR="00E53FCD" w:rsidRPr="009F391A">
        <w:rPr>
          <w:noProof/>
          <w:lang w:val="en-IE"/>
        </w:rPr>
        <w:t>a total of 4,</w:t>
      </w:r>
      <w:r w:rsidR="00E87563">
        <w:rPr>
          <w:noProof/>
          <w:lang w:val="en-IE"/>
        </w:rPr>
        <w:t>597</w:t>
      </w:r>
      <w:r w:rsidR="00E87563" w:rsidRPr="009F391A">
        <w:rPr>
          <w:noProof/>
          <w:lang w:val="en-IE"/>
        </w:rPr>
        <w:t xml:space="preserve"> </w:t>
      </w:r>
      <w:r w:rsidR="00E53FCD" w:rsidRPr="009F391A">
        <w:rPr>
          <w:noProof/>
          <w:lang w:val="en-IE"/>
        </w:rPr>
        <w:t xml:space="preserve">benchmarks. Via the </w:t>
      </w:r>
      <w:r w:rsidR="00E53FCD" w:rsidRPr="009F391A">
        <w:rPr>
          <w:b/>
          <w:noProof/>
          <w:lang w:val="en-IE"/>
        </w:rPr>
        <w:t>recognition</w:t>
      </w:r>
      <w:r w:rsidR="00E53FCD" w:rsidRPr="009F391A">
        <w:rPr>
          <w:noProof/>
          <w:lang w:val="en-IE"/>
        </w:rPr>
        <w:t xml:space="preserve"> route, </w:t>
      </w:r>
      <w:r w:rsidR="009C6C89">
        <w:rPr>
          <w:noProof/>
          <w:lang w:val="en-IE"/>
        </w:rPr>
        <w:t>10</w:t>
      </w:r>
      <w:r w:rsidR="00126FE2" w:rsidRPr="009F391A">
        <w:rPr>
          <w:noProof/>
          <w:lang w:val="en-IE"/>
        </w:rPr>
        <w:t xml:space="preserve"> </w:t>
      </w:r>
      <w:r w:rsidR="00E53FCD" w:rsidRPr="009F391A">
        <w:rPr>
          <w:noProof/>
          <w:lang w:val="en-IE"/>
        </w:rPr>
        <w:t>administrators</w:t>
      </w:r>
      <w:r w:rsidR="00E13F48" w:rsidRPr="009F391A">
        <w:rPr>
          <w:noProof/>
          <w:lang w:val="en-IE"/>
        </w:rPr>
        <w:t> (</w:t>
      </w:r>
      <w:r w:rsidR="00E53FCD" w:rsidRPr="009F391A">
        <w:rPr>
          <w:rStyle w:val="FootnoteReference"/>
          <w:noProof/>
          <w:lang w:val="en-IE"/>
        </w:rPr>
        <w:footnoteReference w:id="16"/>
      </w:r>
      <w:r w:rsidR="00E13F48" w:rsidRPr="009F391A">
        <w:rPr>
          <w:noProof/>
          <w:lang w:val="en-IE"/>
        </w:rPr>
        <w:t>)</w:t>
      </w:r>
      <w:r w:rsidR="00E53FCD" w:rsidRPr="009F391A">
        <w:rPr>
          <w:noProof/>
          <w:lang w:val="en-IE"/>
        </w:rPr>
        <w:t xml:space="preserve"> have been </w:t>
      </w:r>
      <w:r w:rsidR="00E87563">
        <w:rPr>
          <w:noProof/>
          <w:lang w:val="en-IE"/>
        </w:rPr>
        <w:t>included</w:t>
      </w:r>
      <w:r w:rsidR="00E87563" w:rsidRPr="009F391A">
        <w:rPr>
          <w:noProof/>
          <w:lang w:val="en-IE"/>
        </w:rPr>
        <w:t xml:space="preserve"> </w:t>
      </w:r>
      <w:r w:rsidR="00E53FCD" w:rsidRPr="009F391A">
        <w:rPr>
          <w:noProof/>
          <w:lang w:val="en-IE"/>
        </w:rPr>
        <w:t>in the ESMA register, with a total of 15,</w:t>
      </w:r>
      <w:r w:rsidR="00E87563">
        <w:rPr>
          <w:noProof/>
          <w:lang w:val="en-IE"/>
        </w:rPr>
        <w:t>245</w:t>
      </w:r>
      <w:r w:rsidR="00E87563" w:rsidRPr="009F391A">
        <w:rPr>
          <w:noProof/>
          <w:lang w:val="en-IE"/>
        </w:rPr>
        <w:t xml:space="preserve"> </w:t>
      </w:r>
      <w:r w:rsidR="00E53FCD" w:rsidRPr="009F391A">
        <w:rPr>
          <w:noProof/>
          <w:lang w:val="en-IE"/>
        </w:rPr>
        <w:t>benchmarks covered.</w:t>
      </w:r>
    </w:p>
    <w:p w14:paraId="181203DC" w14:textId="6225E181" w:rsidR="00E53FCD" w:rsidRPr="009F391A" w:rsidRDefault="00E53FCD" w:rsidP="00E53FCD">
      <w:pPr>
        <w:pStyle w:val="Caption"/>
        <w:keepNext/>
        <w:rPr>
          <w:noProof/>
          <w:lang w:val="en-IE"/>
        </w:rPr>
      </w:pPr>
      <w:r w:rsidRPr="009F391A">
        <w:rPr>
          <w:noProof/>
          <w:lang w:val="en-IE"/>
        </w:rPr>
        <w:t xml:space="preserve">Table </w:t>
      </w:r>
      <w:r w:rsidR="004D5008" w:rsidRPr="009F391A">
        <w:rPr>
          <w:noProof/>
          <w:lang w:val="en-IE"/>
        </w:rPr>
        <w:fldChar w:fldCharType="begin"/>
      </w:r>
      <w:r w:rsidR="004D5008" w:rsidRPr="009F391A">
        <w:rPr>
          <w:noProof/>
          <w:lang w:val="en-IE"/>
        </w:rPr>
        <w:instrText xml:space="preserve"> SEQ Table \* ARABIC </w:instrText>
      </w:r>
      <w:r w:rsidR="004D5008" w:rsidRPr="009F391A">
        <w:rPr>
          <w:noProof/>
          <w:lang w:val="en-IE"/>
        </w:rPr>
        <w:fldChar w:fldCharType="separate"/>
      </w:r>
      <w:r w:rsidR="0065595F" w:rsidRPr="009F391A">
        <w:rPr>
          <w:noProof/>
          <w:lang w:val="en-IE"/>
        </w:rPr>
        <w:t>2</w:t>
      </w:r>
      <w:r w:rsidR="004D5008" w:rsidRPr="009F391A">
        <w:rPr>
          <w:noProof/>
          <w:lang w:val="en-IE"/>
        </w:rPr>
        <w:fldChar w:fldCharType="end"/>
      </w:r>
      <w:r w:rsidRPr="009F391A">
        <w:rPr>
          <w:noProof/>
          <w:lang w:val="en-IE"/>
        </w:rPr>
        <w:t xml:space="preserve">: Overview </w:t>
      </w:r>
      <w:r w:rsidR="0065595F" w:rsidRPr="009F391A">
        <w:rPr>
          <w:noProof/>
          <w:lang w:val="en-IE"/>
        </w:rPr>
        <w:t xml:space="preserve">of </w:t>
      </w:r>
      <w:r w:rsidRPr="009F391A">
        <w:rPr>
          <w:noProof/>
          <w:lang w:val="en-IE"/>
        </w:rPr>
        <w:t xml:space="preserve">the number of EU and non-EU benchmark administrators </w:t>
      </w:r>
    </w:p>
    <w:tbl>
      <w:tblPr>
        <w:tblStyle w:val="TableGrid"/>
        <w:tblW w:w="9067" w:type="dxa"/>
        <w:tblInd w:w="-3" w:type="dxa"/>
        <w:tblLook w:val="04A0" w:firstRow="1" w:lastRow="0" w:firstColumn="1" w:lastColumn="0" w:noHBand="0" w:noVBand="1"/>
      </w:tblPr>
      <w:tblGrid>
        <w:gridCol w:w="2263"/>
        <w:gridCol w:w="2268"/>
        <w:gridCol w:w="2268"/>
        <w:gridCol w:w="2268"/>
      </w:tblGrid>
      <w:tr w:rsidR="004E0822" w:rsidRPr="009F391A" w14:paraId="133279BD" w14:textId="77777777" w:rsidTr="004E0822">
        <w:tc>
          <w:tcPr>
            <w:tcW w:w="2263" w:type="dxa"/>
          </w:tcPr>
          <w:p w14:paraId="7DBDE2C0" w14:textId="77777777" w:rsidR="004E0822" w:rsidRPr="009F391A" w:rsidRDefault="004E0822" w:rsidP="00FC1BDD">
            <w:pPr>
              <w:rPr>
                <w:b/>
                <w:bCs/>
                <w:noProof/>
                <w:szCs w:val="24"/>
                <w:lang w:val="en-IE"/>
              </w:rPr>
            </w:pPr>
            <w:r w:rsidRPr="009F391A">
              <w:rPr>
                <w:b/>
                <w:bCs/>
                <w:noProof/>
                <w:szCs w:val="24"/>
                <w:lang w:val="en-IE"/>
              </w:rPr>
              <w:t>Benchmark administrators</w:t>
            </w:r>
          </w:p>
        </w:tc>
        <w:tc>
          <w:tcPr>
            <w:tcW w:w="2268" w:type="dxa"/>
          </w:tcPr>
          <w:p w14:paraId="78B0CFEA" w14:textId="77777777" w:rsidR="004E0822" w:rsidRPr="009F391A" w:rsidRDefault="004E0822" w:rsidP="00FC1BDD">
            <w:pPr>
              <w:rPr>
                <w:b/>
                <w:bCs/>
                <w:noProof/>
                <w:szCs w:val="24"/>
                <w:lang w:val="en-IE"/>
              </w:rPr>
            </w:pPr>
            <w:r w:rsidRPr="009F391A">
              <w:rPr>
                <w:b/>
                <w:bCs/>
                <w:noProof/>
                <w:szCs w:val="24"/>
                <w:lang w:val="en-IE"/>
              </w:rPr>
              <w:t>Total</w:t>
            </w:r>
          </w:p>
        </w:tc>
        <w:tc>
          <w:tcPr>
            <w:tcW w:w="2268" w:type="dxa"/>
          </w:tcPr>
          <w:p w14:paraId="32254110" w14:textId="77777777" w:rsidR="004E0822" w:rsidRPr="009F391A" w:rsidRDefault="004E0822" w:rsidP="00FC1BDD">
            <w:pPr>
              <w:rPr>
                <w:b/>
                <w:bCs/>
                <w:noProof/>
                <w:szCs w:val="24"/>
                <w:lang w:val="en-IE"/>
              </w:rPr>
            </w:pPr>
            <w:r w:rsidRPr="009F391A">
              <w:rPr>
                <w:b/>
                <w:bCs/>
                <w:noProof/>
                <w:szCs w:val="24"/>
                <w:lang w:val="en-IE"/>
              </w:rPr>
              <w:t>EU</w:t>
            </w:r>
          </w:p>
        </w:tc>
        <w:tc>
          <w:tcPr>
            <w:tcW w:w="2268" w:type="dxa"/>
          </w:tcPr>
          <w:p w14:paraId="5A3DE2CB" w14:textId="77777777" w:rsidR="004E0822" w:rsidRPr="009F391A" w:rsidRDefault="004E0822" w:rsidP="00FC1BDD">
            <w:pPr>
              <w:rPr>
                <w:b/>
                <w:bCs/>
                <w:noProof/>
                <w:szCs w:val="24"/>
                <w:lang w:val="en-IE"/>
              </w:rPr>
            </w:pPr>
            <w:r w:rsidRPr="009F391A">
              <w:rPr>
                <w:b/>
                <w:bCs/>
                <w:noProof/>
                <w:szCs w:val="24"/>
                <w:lang w:val="en-IE"/>
              </w:rPr>
              <w:t>Non-EU</w:t>
            </w:r>
          </w:p>
        </w:tc>
      </w:tr>
      <w:tr w:rsidR="004E0822" w:rsidRPr="009F391A" w14:paraId="628DD138" w14:textId="77777777" w:rsidTr="004E0822">
        <w:tc>
          <w:tcPr>
            <w:tcW w:w="2263" w:type="dxa"/>
          </w:tcPr>
          <w:p w14:paraId="12750208" w14:textId="77777777" w:rsidR="004E0822" w:rsidRPr="009F391A" w:rsidRDefault="004E0822" w:rsidP="00FC1BDD">
            <w:pPr>
              <w:rPr>
                <w:b/>
                <w:bCs/>
                <w:noProof/>
                <w:szCs w:val="24"/>
                <w:lang w:val="en-IE"/>
              </w:rPr>
            </w:pPr>
            <w:r w:rsidRPr="009F391A">
              <w:rPr>
                <w:b/>
                <w:bCs/>
                <w:noProof/>
                <w:szCs w:val="24"/>
                <w:lang w:val="en-IE"/>
              </w:rPr>
              <w:t>Total number</w:t>
            </w:r>
          </w:p>
        </w:tc>
        <w:tc>
          <w:tcPr>
            <w:tcW w:w="2268" w:type="dxa"/>
          </w:tcPr>
          <w:p w14:paraId="2DDBB37D" w14:textId="77777777" w:rsidR="004E0822" w:rsidRPr="009F391A" w:rsidRDefault="004E0822" w:rsidP="00FC1BDD">
            <w:pPr>
              <w:rPr>
                <w:noProof/>
                <w:szCs w:val="24"/>
                <w:lang w:val="en-IE"/>
              </w:rPr>
            </w:pPr>
            <w:r w:rsidRPr="009F391A">
              <w:rPr>
                <w:noProof/>
                <w:szCs w:val="24"/>
                <w:lang w:val="en-IE"/>
              </w:rPr>
              <w:t>345</w:t>
            </w:r>
          </w:p>
        </w:tc>
        <w:tc>
          <w:tcPr>
            <w:tcW w:w="2268" w:type="dxa"/>
          </w:tcPr>
          <w:p w14:paraId="6081A04B" w14:textId="19858665" w:rsidR="004E0822" w:rsidRPr="009F391A" w:rsidRDefault="004E0822" w:rsidP="00FC1BDD">
            <w:pPr>
              <w:rPr>
                <w:noProof/>
                <w:szCs w:val="24"/>
                <w:lang w:val="en-IE"/>
              </w:rPr>
            </w:pPr>
            <w:r w:rsidRPr="009F391A">
              <w:rPr>
                <w:noProof/>
                <w:szCs w:val="24"/>
                <w:lang w:val="en-IE"/>
              </w:rPr>
              <w:t>7</w:t>
            </w:r>
            <w:r w:rsidR="00126FE2">
              <w:rPr>
                <w:noProof/>
                <w:szCs w:val="24"/>
                <w:lang w:val="en-IE"/>
              </w:rPr>
              <w:t>2</w:t>
            </w:r>
          </w:p>
        </w:tc>
        <w:tc>
          <w:tcPr>
            <w:tcW w:w="2268" w:type="dxa"/>
          </w:tcPr>
          <w:p w14:paraId="67EF4DF0" w14:textId="32819746" w:rsidR="004E0822" w:rsidRPr="009F391A" w:rsidRDefault="004E0822" w:rsidP="00FC1BDD">
            <w:pPr>
              <w:rPr>
                <w:noProof/>
                <w:szCs w:val="24"/>
                <w:lang w:val="en-IE"/>
              </w:rPr>
            </w:pPr>
            <w:r w:rsidRPr="009F391A">
              <w:rPr>
                <w:noProof/>
                <w:szCs w:val="24"/>
                <w:lang w:val="en-IE"/>
              </w:rPr>
              <w:t>27</w:t>
            </w:r>
            <w:r w:rsidR="00E87563">
              <w:rPr>
                <w:noProof/>
                <w:szCs w:val="24"/>
                <w:lang w:val="en-IE"/>
              </w:rPr>
              <w:t>3</w:t>
            </w:r>
          </w:p>
        </w:tc>
      </w:tr>
      <w:tr w:rsidR="004E0822" w:rsidRPr="009F391A" w14:paraId="675EA264" w14:textId="77777777" w:rsidTr="004E0822">
        <w:tc>
          <w:tcPr>
            <w:tcW w:w="2263" w:type="dxa"/>
          </w:tcPr>
          <w:p w14:paraId="75A033CC" w14:textId="6E51F1C2" w:rsidR="004E0822" w:rsidRPr="009F391A" w:rsidRDefault="004E0822" w:rsidP="00FC1BDD">
            <w:pPr>
              <w:rPr>
                <w:b/>
                <w:bCs/>
                <w:noProof/>
                <w:szCs w:val="24"/>
                <w:lang w:val="en-IE"/>
              </w:rPr>
            </w:pPr>
            <w:r w:rsidRPr="009F391A">
              <w:rPr>
                <w:b/>
                <w:bCs/>
                <w:noProof/>
                <w:szCs w:val="24"/>
                <w:lang w:val="en-IE"/>
              </w:rPr>
              <w:t>Available in the EU</w:t>
            </w:r>
            <w:r w:rsidR="0065595F" w:rsidRPr="009F391A">
              <w:rPr>
                <w:b/>
                <w:bCs/>
                <w:noProof/>
                <w:szCs w:val="24"/>
                <w:lang w:val="en-IE"/>
              </w:rPr>
              <w:t> (</w:t>
            </w:r>
            <w:r w:rsidR="0065595F" w:rsidRPr="009F391A">
              <w:rPr>
                <w:rStyle w:val="FootnoteReference"/>
                <w:b/>
                <w:bCs/>
                <w:noProof/>
                <w:szCs w:val="24"/>
                <w:lang w:val="en-IE"/>
              </w:rPr>
              <w:footnoteReference w:id="17"/>
            </w:r>
            <w:r w:rsidR="0065595F" w:rsidRPr="009F391A">
              <w:rPr>
                <w:b/>
                <w:bCs/>
                <w:noProof/>
                <w:szCs w:val="24"/>
                <w:lang w:val="en-IE"/>
              </w:rPr>
              <w:t>)</w:t>
            </w:r>
          </w:p>
        </w:tc>
        <w:tc>
          <w:tcPr>
            <w:tcW w:w="2268" w:type="dxa"/>
          </w:tcPr>
          <w:p w14:paraId="1DF00CE0" w14:textId="30953651" w:rsidR="004E0822" w:rsidRPr="009F391A" w:rsidRDefault="004E0822" w:rsidP="00FC1BDD">
            <w:pPr>
              <w:rPr>
                <w:noProof/>
                <w:szCs w:val="24"/>
                <w:lang w:val="en-IE"/>
              </w:rPr>
            </w:pPr>
            <w:r w:rsidRPr="009F391A">
              <w:rPr>
                <w:noProof/>
                <w:szCs w:val="24"/>
                <w:lang w:val="en-IE"/>
              </w:rPr>
              <w:t>8</w:t>
            </w:r>
            <w:r w:rsidR="00126FE2">
              <w:rPr>
                <w:noProof/>
                <w:szCs w:val="24"/>
                <w:lang w:val="en-IE"/>
              </w:rPr>
              <w:t>6</w:t>
            </w:r>
          </w:p>
        </w:tc>
        <w:tc>
          <w:tcPr>
            <w:tcW w:w="2268" w:type="dxa"/>
          </w:tcPr>
          <w:p w14:paraId="1D2AB948" w14:textId="67518BC1" w:rsidR="004E0822" w:rsidRPr="009F391A" w:rsidRDefault="00126FE2" w:rsidP="00FC1BDD">
            <w:pPr>
              <w:rPr>
                <w:noProof/>
                <w:szCs w:val="24"/>
                <w:lang w:val="en-IE"/>
              </w:rPr>
            </w:pPr>
            <w:r w:rsidRPr="009F391A">
              <w:rPr>
                <w:noProof/>
                <w:szCs w:val="24"/>
                <w:lang w:val="en-IE"/>
              </w:rPr>
              <w:t>7</w:t>
            </w:r>
            <w:r>
              <w:rPr>
                <w:noProof/>
                <w:szCs w:val="24"/>
                <w:lang w:val="en-IE"/>
              </w:rPr>
              <w:t>2</w:t>
            </w:r>
          </w:p>
        </w:tc>
        <w:tc>
          <w:tcPr>
            <w:tcW w:w="2268" w:type="dxa"/>
          </w:tcPr>
          <w:p w14:paraId="0B12B2B6" w14:textId="33768953" w:rsidR="004E0822" w:rsidRPr="009F391A" w:rsidRDefault="00126FE2" w:rsidP="00FC1BDD">
            <w:pPr>
              <w:rPr>
                <w:noProof/>
                <w:szCs w:val="24"/>
                <w:lang w:val="en-IE"/>
              </w:rPr>
            </w:pPr>
            <w:r w:rsidRPr="009F391A">
              <w:rPr>
                <w:noProof/>
                <w:szCs w:val="24"/>
                <w:lang w:val="en-IE"/>
              </w:rPr>
              <w:t>1</w:t>
            </w:r>
            <w:r>
              <w:rPr>
                <w:noProof/>
                <w:szCs w:val="24"/>
                <w:lang w:val="en-IE"/>
              </w:rPr>
              <w:t>4</w:t>
            </w:r>
            <w:r w:rsidRPr="009F391A">
              <w:rPr>
                <w:noProof/>
                <w:szCs w:val="24"/>
                <w:lang w:val="en-IE"/>
              </w:rPr>
              <w:t> </w:t>
            </w:r>
          </w:p>
        </w:tc>
      </w:tr>
    </w:tbl>
    <w:p w14:paraId="6B6A9966" w14:textId="63E5F8DC" w:rsidR="00E53FCD" w:rsidRPr="009F391A" w:rsidRDefault="00471923" w:rsidP="00E53FCD">
      <w:pPr>
        <w:rPr>
          <w:noProof/>
          <w:lang w:val="en-IE"/>
        </w:rPr>
      </w:pPr>
      <w:r w:rsidRPr="009F391A">
        <w:rPr>
          <w:noProof/>
          <w:lang w:val="en-IE"/>
        </w:rPr>
        <w:t>In addition,</w:t>
      </w:r>
      <w:r w:rsidR="00E53FCD" w:rsidRPr="009F391A">
        <w:rPr>
          <w:noProof/>
          <w:lang w:val="en-IE"/>
        </w:rPr>
        <w:t xml:space="preserve"> </w:t>
      </w:r>
      <w:r w:rsidR="00E87563" w:rsidRPr="009F391A">
        <w:rPr>
          <w:noProof/>
          <w:lang w:val="en-IE"/>
        </w:rPr>
        <w:t>2</w:t>
      </w:r>
      <w:r w:rsidR="00E87563">
        <w:rPr>
          <w:noProof/>
          <w:lang w:val="en-IE"/>
        </w:rPr>
        <w:t>59</w:t>
      </w:r>
      <w:r w:rsidR="00E87563" w:rsidRPr="009F391A">
        <w:rPr>
          <w:noProof/>
          <w:lang w:val="en-IE"/>
        </w:rPr>
        <w:t xml:space="preserve"> </w:t>
      </w:r>
      <w:r w:rsidR="00E53FCD" w:rsidRPr="009F391A">
        <w:rPr>
          <w:noProof/>
          <w:lang w:val="en-IE"/>
        </w:rPr>
        <w:t>third-country administrators</w:t>
      </w:r>
      <w:r w:rsidRPr="009F391A">
        <w:rPr>
          <w:noProof/>
          <w:lang w:val="en-IE"/>
        </w:rPr>
        <w:t xml:space="preserve"> currently not registered in the EU</w:t>
      </w:r>
      <w:r w:rsidR="00935936">
        <w:rPr>
          <w:noProof/>
          <w:lang w:val="en-IE"/>
        </w:rPr>
        <w:t xml:space="preserve"> benefit</w:t>
      </w:r>
      <w:r w:rsidR="00CE2971">
        <w:rPr>
          <w:noProof/>
          <w:lang w:val="en-IE"/>
        </w:rPr>
        <w:t xml:space="preserve"> from</w:t>
      </w:r>
      <w:r w:rsidR="00935936">
        <w:rPr>
          <w:noProof/>
          <w:lang w:val="en-IE"/>
        </w:rPr>
        <w:t xml:space="preserve"> the</w:t>
      </w:r>
      <w:r w:rsidR="00CE2971">
        <w:rPr>
          <w:noProof/>
          <w:lang w:val="en-IE"/>
        </w:rPr>
        <w:t xml:space="preserve"> transitional period provided for in Article </w:t>
      </w:r>
      <w:r w:rsidR="00473EEF">
        <w:rPr>
          <w:noProof/>
          <w:lang w:val="en-IE"/>
        </w:rPr>
        <w:t>51(5)</w:t>
      </w:r>
      <w:r w:rsidR="00CE2971">
        <w:rPr>
          <w:noProof/>
          <w:lang w:val="en-IE"/>
        </w:rPr>
        <w:t xml:space="preserve"> of the BMR</w:t>
      </w:r>
      <w:r w:rsidR="00E53FCD" w:rsidRPr="009F391A">
        <w:rPr>
          <w:noProof/>
          <w:lang w:val="en-IE"/>
        </w:rPr>
        <w:t>.</w:t>
      </w:r>
      <w:r w:rsidR="003F60A0" w:rsidRPr="003F60A0">
        <w:rPr>
          <w:noProof/>
          <w:lang w:val="en-IE"/>
        </w:rPr>
        <w:t> (</w:t>
      </w:r>
      <w:r w:rsidR="003F60A0">
        <w:rPr>
          <w:rStyle w:val="FootnoteReference"/>
          <w:noProof/>
          <w:lang w:val="en-IE"/>
        </w:rPr>
        <w:footnoteReference w:id="18"/>
      </w:r>
      <w:r w:rsidR="003F60A0">
        <w:rPr>
          <w:noProof/>
          <w:lang w:val="en-IE"/>
        </w:rPr>
        <w:t>)</w:t>
      </w:r>
      <w:r w:rsidR="00E53FCD" w:rsidRPr="009F391A">
        <w:rPr>
          <w:noProof/>
          <w:lang w:val="en-IE"/>
        </w:rPr>
        <w:t xml:space="preserve"> The top 10 </w:t>
      </w:r>
      <w:r w:rsidR="00E87563" w:rsidRPr="009F391A">
        <w:rPr>
          <w:noProof/>
          <w:lang w:val="en-IE"/>
        </w:rPr>
        <w:t>among these 2</w:t>
      </w:r>
      <w:r w:rsidR="00E87563">
        <w:rPr>
          <w:noProof/>
          <w:lang w:val="en-IE"/>
        </w:rPr>
        <w:t>59</w:t>
      </w:r>
      <w:r w:rsidR="00E53FCD" w:rsidRPr="009F391A">
        <w:rPr>
          <w:noProof/>
          <w:lang w:val="en-IE"/>
        </w:rPr>
        <w:t>, in terms of number of benchmarks offered</w:t>
      </w:r>
      <w:r w:rsidR="00E87563">
        <w:rPr>
          <w:noProof/>
          <w:lang w:val="en-IE"/>
        </w:rPr>
        <w:t>,</w:t>
      </w:r>
      <w:r w:rsidR="00E53FCD" w:rsidRPr="009F391A">
        <w:rPr>
          <w:noProof/>
          <w:lang w:val="en-IE"/>
        </w:rPr>
        <w:t xml:space="preserve"> are based either in the UK or the US. </w:t>
      </w:r>
      <w:r w:rsidR="00E53FCD" w:rsidRPr="009F391A">
        <w:rPr>
          <w:noProof/>
          <w:lang w:val="en-IE"/>
        </w:rPr>
        <w:fldChar w:fldCharType="begin"/>
      </w:r>
      <w:r w:rsidR="00E53FCD" w:rsidRPr="009F391A">
        <w:rPr>
          <w:noProof/>
          <w:lang w:val="en-IE"/>
        </w:rPr>
        <w:instrText xml:space="preserve"> REF _Ref130546912 \h </w:instrText>
      </w:r>
      <w:r w:rsidR="00E53FCD" w:rsidRPr="009F391A">
        <w:rPr>
          <w:noProof/>
          <w:lang w:val="en-IE"/>
        </w:rPr>
      </w:r>
      <w:r w:rsidR="00E53FCD" w:rsidRPr="009F391A">
        <w:rPr>
          <w:noProof/>
          <w:lang w:val="en-IE"/>
        </w:rPr>
        <w:fldChar w:fldCharType="separate"/>
      </w:r>
      <w:r w:rsidR="00E53FCD" w:rsidRPr="009F391A">
        <w:rPr>
          <w:noProof/>
          <w:lang w:val="en-IE"/>
        </w:rPr>
        <w:t>Figure 1</w:t>
      </w:r>
      <w:r w:rsidR="00E53FCD" w:rsidRPr="009F391A">
        <w:rPr>
          <w:noProof/>
          <w:lang w:val="en-IE"/>
        </w:rPr>
        <w:fldChar w:fldCharType="end"/>
      </w:r>
      <w:r w:rsidR="00E53FCD" w:rsidRPr="009F391A">
        <w:rPr>
          <w:noProof/>
          <w:lang w:val="en-IE"/>
        </w:rPr>
        <w:t xml:space="preserve"> gives an overview of the number of benchmark administrators in each country and </w:t>
      </w:r>
      <w:r w:rsidR="009C6C89">
        <w:rPr>
          <w:noProof/>
          <w:lang w:val="en-IE"/>
        </w:rPr>
        <w:t>presents</w:t>
      </w:r>
      <w:r w:rsidR="009C6C89" w:rsidRPr="009F391A">
        <w:rPr>
          <w:noProof/>
          <w:lang w:val="en-IE"/>
        </w:rPr>
        <w:t xml:space="preserve"> </w:t>
      </w:r>
      <w:r w:rsidR="00E53FCD" w:rsidRPr="009F391A">
        <w:rPr>
          <w:noProof/>
          <w:lang w:val="en-IE"/>
        </w:rPr>
        <w:t>the overall distribution of benchmark administrators worldwide. In addition, the top 10 third-country benchmark administrators account for 98% of the total third-country benchmarks provided</w:t>
      </w:r>
      <w:r w:rsidR="00E53FCD" w:rsidRPr="009F391A" w:rsidDel="00FA6C89">
        <w:rPr>
          <w:noProof/>
          <w:lang w:val="en-IE"/>
        </w:rPr>
        <w:t xml:space="preserve">. </w:t>
      </w:r>
      <w:r w:rsidR="00E53FCD" w:rsidRPr="009F391A">
        <w:rPr>
          <w:noProof/>
          <w:lang w:val="en-IE"/>
        </w:rPr>
        <w:t xml:space="preserve">By comparison: the largest third country administrator currently registered (by endorsement or recognition) in the EU would </w:t>
      </w:r>
      <w:r w:rsidR="00B068F3">
        <w:rPr>
          <w:noProof/>
          <w:lang w:val="en-IE"/>
        </w:rPr>
        <w:t>not rank among</w:t>
      </w:r>
      <w:r w:rsidR="00E53FCD" w:rsidRPr="009F391A">
        <w:rPr>
          <w:noProof/>
          <w:lang w:val="en-IE"/>
        </w:rPr>
        <w:t xml:space="preserve"> the top 10 benchmark administrators</w:t>
      </w:r>
      <w:r w:rsidR="00E53FCD" w:rsidRPr="009F391A" w:rsidDel="00FA6C89">
        <w:rPr>
          <w:noProof/>
          <w:lang w:val="en-IE"/>
        </w:rPr>
        <w:t xml:space="preserve"> </w:t>
      </w:r>
      <w:r w:rsidR="00E53FCD" w:rsidRPr="009F391A">
        <w:rPr>
          <w:noProof/>
          <w:lang w:val="en-IE"/>
        </w:rPr>
        <w:t xml:space="preserve">globally by number of benchmarks provided. </w:t>
      </w:r>
    </w:p>
    <w:p w14:paraId="738BCE5F" w14:textId="75C50AAE" w:rsidR="00E53FCD" w:rsidRPr="009F391A" w:rsidRDefault="00E53FCD" w:rsidP="00E53FCD">
      <w:pPr>
        <w:rPr>
          <w:noProof/>
          <w:lang w:val="en-IE"/>
        </w:rPr>
      </w:pPr>
      <w:r w:rsidRPr="009F391A">
        <w:rPr>
          <w:noProof/>
          <w:lang w:val="en-IE"/>
        </w:rPr>
        <w:t xml:space="preserve">The above shows that </w:t>
      </w:r>
      <w:r w:rsidR="003F60A0">
        <w:rPr>
          <w:noProof/>
          <w:lang w:val="en-IE"/>
        </w:rPr>
        <w:t>only</w:t>
      </w:r>
      <w:r w:rsidR="0065595F" w:rsidRPr="009F391A">
        <w:rPr>
          <w:noProof/>
          <w:lang w:val="en-IE"/>
        </w:rPr>
        <w:t xml:space="preserve"> </w:t>
      </w:r>
      <w:r w:rsidRPr="009F391A">
        <w:rPr>
          <w:noProof/>
          <w:lang w:val="en-IE"/>
        </w:rPr>
        <w:t xml:space="preserve">5 percent of </w:t>
      </w:r>
      <w:r w:rsidR="00B068F3">
        <w:rPr>
          <w:noProof/>
          <w:lang w:val="en-IE"/>
        </w:rPr>
        <w:t xml:space="preserve">the </w:t>
      </w:r>
      <w:r w:rsidR="00E87563">
        <w:rPr>
          <w:noProof/>
          <w:lang w:val="en-IE"/>
        </w:rPr>
        <w:t>non-EU</w:t>
      </w:r>
      <w:r w:rsidRPr="009F391A">
        <w:rPr>
          <w:noProof/>
          <w:lang w:val="en-IE"/>
        </w:rPr>
        <w:t xml:space="preserve"> benchmark administrators whose benchmarks are currently available for use on the EU market have obtained a status that will ensure their benchmarks remain available once the third country rules become </w:t>
      </w:r>
      <w:r w:rsidR="00CE2971">
        <w:rPr>
          <w:noProof/>
          <w:lang w:val="en-IE"/>
        </w:rPr>
        <w:t>mandatory</w:t>
      </w:r>
      <w:r w:rsidRPr="009F391A">
        <w:rPr>
          <w:noProof/>
          <w:lang w:val="en-IE"/>
        </w:rPr>
        <w:t>.</w:t>
      </w:r>
    </w:p>
    <w:p w14:paraId="5578F724" w14:textId="30D1BE1B" w:rsidR="00E53FCD" w:rsidRPr="009F391A" w:rsidRDefault="00E53FCD" w:rsidP="00E53FCD">
      <w:pPr>
        <w:pStyle w:val="Caption"/>
        <w:keepNext/>
        <w:rPr>
          <w:noProof/>
          <w:lang w:val="en-IE"/>
        </w:rPr>
      </w:pPr>
      <w:bookmarkStart w:id="5" w:name="_Ref130546912"/>
      <w:r w:rsidRPr="009F391A">
        <w:rPr>
          <w:noProof/>
          <w:lang w:val="en-IE"/>
        </w:rPr>
        <w:t xml:space="preserve">Figure </w:t>
      </w:r>
      <w:r w:rsidR="004D5008" w:rsidRPr="009F391A">
        <w:rPr>
          <w:noProof/>
          <w:lang w:val="en-IE"/>
        </w:rPr>
        <w:fldChar w:fldCharType="begin"/>
      </w:r>
      <w:r w:rsidR="004D5008" w:rsidRPr="009F391A">
        <w:rPr>
          <w:noProof/>
          <w:lang w:val="en-IE"/>
        </w:rPr>
        <w:instrText xml:space="preserve"> SEQ Figure \* ARABIC </w:instrText>
      </w:r>
      <w:r w:rsidR="004D5008" w:rsidRPr="009F391A">
        <w:rPr>
          <w:noProof/>
          <w:lang w:val="en-IE"/>
        </w:rPr>
        <w:fldChar w:fldCharType="separate"/>
      </w:r>
      <w:r w:rsidRPr="009F391A">
        <w:rPr>
          <w:noProof/>
          <w:lang w:val="en-IE"/>
        </w:rPr>
        <w:t>1</w:t>
      </w:r>
      <w:r w:rsidR="004D5008" w:rsidRPr="009F391A">
        <w:rPr>
          <w:noProof/>
          <w:lang w:val="en-IE"/>
        </w:rPr>
        <w:fldChar w:fldCharType="end"/>
      </w:r>
      <w:bookmarkEnd w:id="5"/>
      <w:r w:rsidRPr="009F391A">
        <w:rPr>
          <w:noProof/>
          <w:lang w:val="en-IE"/>
        </w:rPr>
        <w:t>: Number of benchmark administrators per country worldwide (excluding those already registered)</w:t>
      </w:r>
      <w:r w:rsidR="00E13F48" w:rsidRPr="009F391A">
        <w:rPr>
          <w:noProof/>
          <w:lang w:val="en-IE"/>
        </w:rPr>
        <w:t> (</w:t>
      </w:r>
      <w:r w:rsidRPr="009F391A">
        <w:rPr>
          <w:rStyle w:val="FootnoteReference"/>
          <w:noProof/>
          <w:lang w:val="en-IE"/>
        </w:rPr>
        <w:footnoteReference w:id="19"/>
      </w:r>
      <w:r w:rsidR="00E13F48" w:rsidRPr="009F391A">
        <w:rPr>
          <w:noProof/>
          <w:lang w:val="en-IE"/>
        </w:rPr>
        <w:t>)</w:t>
      </w:r>
    </w:p>
    <w:p w14:paraId="1CADF7D2" w14:textId="77777777" w:rsidR="00E53FCD" w:rsidRPr="009F391A" w:rsidRDefault="00E53FCD" w:rsidP="00E53FCD">
      <w:pPr>
        <w:keepNext/>
        <w:jc w:val="center"/>
        <w:rPr>
          <w:noProof/>
          <w:lang w:val="en-IE"/>
        </w:rPr>
      </w:pPr>
      <w:r w:rsidRPr="009F391A">
        <w:rPr>
          <w:noProof/>
          <w:lang w:eastAsia="en-GB"/>
        </w:rPr>
        <w:drawing>
          <wp:inline distT="0" distB="0" distL="0" distR="0" wp14:anchorId="43AB568F" wp14:editId="1F249394">
            <wp:extent cx="5270500" cy="3270250"/>
            <wp:effectExtent l="0" t="0" r="6350" b="6350"/>
            <wp:docPr id="4" name="Chart 4">
              <a:extLst xmlns:a="http://schemas.openxmlformats.org/drawingml/2006/main">
                <a:ext uri="{FF2B5EF4-FFF2-40B4-BE49-F238E27FC236}">
                  <a16:creationId xmlns:a16="http://schemas.microsoft.com/office/drawing/2014/main" id="{A35A5F2A-8C8D-BAE7-AD40-C03E6D9F5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8E61A1" w14:textId="77777777" w:rsidR="00E53FCD" w:rsidRPr="009F391A" w:rsidRDefault="00E53FCD" w:rsidP="00E53FCD">
      <w:pPr>
        <w:pStyle w:val="Heading1"/>
        <w:numPr>
          <w:ilvl w:val="0"/>
          <w:numId w:val="23"/>
        </w:numPr>
        <w:ind w:left="482" w:hanging="482"/>
        <w:rPr>
          <w:noProof/>
          <w:lang w:val="en-IE"/>
        </w:rPr>
      </w:pPr>
      <w:bookmarkStart w:id="6" w:name="_Toc138234962"/>
      <w:r w:rsidRPr="009F391A">
        <w:rPr>
          <w:noProof/>
          <w:lang w:val="en-IE"/>
        </w:rPr>
        <w:t>Appraisal</w:t>
      </w:r>
      <w:bookmarkEnd w:id="6"/>
    </w:p>
    <w:p w14:paraId="55A9D318" w14:textId="53484233" w:rsidR="00E53FCD" w:rsidRPr="009F391A" w:rsidRDefault="00E53FCD" w:rsidP="00E53FCD">
      <w:pPr>
        <w:rPr>
          <w:noProof/>
          <w:lang w:val="en-IE"/>
        </w:rPr>
      </w:pPr>
      <w:r w:rsidRPr="009F391A">
        <w:rPr>
          <w:noProof/>
          <w:lang w:val="en-IE"/>
        </w:rPr>
        <w:t xml:space="preserve">BMR was designed </w:t>
      </w:r>
      <w:r w:rsidR="00DA1037">
        <w:rPr>
          <w:noProof/>
          <w:lang w:val="en-IE"/>
        </w:rPr>
        <w:t>to apply</w:t>
      </w:r>
      <w:r w:rsidRPr="009F391A">
        <w:rPr>
          <w:noProof/>
          <w:lang w:val="en-IE"/>
        </w:rPr>
        <w:t xml:space="preserve"> to all benchmarks</w:t>
      </w:r>
      <w:r w:rsidR="000257FA">
        <w:rPr>
          <w:noProof/>
          <w:lang w:val="en-IE"/>
        </w:rPr>
        <w:t xml:space="preserve">, all benchmark administrators and all use of benchmarks by </w:t>
      </w:r>
      <w:r w:rsidR="00FB3ACD">
        <w:rPr>
          <w:noProof/>
          <w:lang w:val="en-IE"/>
        </w:rPr>
        <w:t xml:space="preserve">EU </w:t>
      </w:r>
      <w:r w:rsidR="000257FA">
        <w:rPr>
          <w:noProof/>
          <w:lang w:val="en-IE"/>
        </w:rPr>
        <w:t>supervised entities</w:t>
      </w:r>
      <w:r w:rsidRPr="009F391A">
        <w:rPr>
          <w:noProof/>
          <w:lang w:val="en-IE"/>
        </w:rPr>
        <w:t>.</w:t>
      </w:r>
      <w:r w:rsidR="007036BA" w:rsidRPr="009F391A">
        <w:rPr>
          <w:noProof/>
          <w:lang w:val="en-IE"/>
        </w:rPr>
        <w:t xml:space="preserve"> </w:t>
      </w:r>
      <w:r w:rsidR="00407AFB">
        <w:rPr>
          <w:noProof/>
          <w:lang w:val="en-IE"/>
        </w:rPr>
        <w:t xml:space="preserve">EU </w:t>
      </w:r>
      <w:r w:rsidR="00407AFB" w:rsidRPr="009F391A">
        <w:rPr>
          <w:noProof/>
          <w:lang w:val="en-IE"/>
        </w:rPr>
        <w:t>supervised</w:t>
      </w:r>
      <w:r w:rsidR="00407AFB">
        <w:rPr>
          <w:noProof/>
          <w:lang w:val="en-IE"/>
        </w:rPr>
        <w:t xml:space="preserve"> entities</w:t>
      </w:r>
      <w:r w:rsidR="00407AFB" w:rsidRPr="009F391A">
        <w:rPr>
          <w:noProof/>
          <w:lang w:val="en-IE"/>
        </w:rPr>
        <w:t xml:space="preserve"> </w:t>
      </w:r>
      <w:r w:rsidR="00407AFB">
        <w:rPr>
          <w:noProof/>
          <w:lang w:val="en-IE"/>
        </w:rPr>
        <w:t>are only allowed to use</w:t>
      </w:r>
      <w:r w:rsidR="00407AFB" w:rsidRPr="009F391A">
        <w:rPr>
          <w:noProof/>
          <w:lang w:val="en-IE"/>
        </w:rPr>
        <w:t xml:space="preserve"> benchmark</w:t>
      </w:r>
      <w:r w:rsidR="00407AFB">
        <w:rPr>
          <w:noProof/>
          <w:lang w:val="en-IE"/>
        </w:rPr>
        <w:t>s that comply with the BMR</w:t>
      </w:r>
      <w:r w:rsidR="00407AFB" w:rsidRPr="009F391A">
        <w:rPr>
          <w:noProof/>
          <w:lang w:val="en-IE"/>
        </w:rPr>
        <w:t>.</w:t>
      </w:r>
      <w:r w:rsidR="00407AFB">
        <w:rPr>
          <w:noProof/>
          <w:lang w:val="en-IE"/>
        </w:rPr>
        <w:t xml:space="preserve"> </w:t>
      </w:r>
      <w:r w:rsidRPr="009F391A">
        <w:rPr>
          <w:noProof/>
          <w:lang w:val="en-IE"/>
        </w:rPr>
        <w:t xml:space="preserve">For benchmark administrators located in the EU, compliance with the BMR </w:t>
      </w:r>
      <w:r w:rsidRPr="009F391A" w:rsidDel="001B72D5">
        <w:rPr>
          <w:noProof/>
          <w:lang w:val="en-IE"/>
        </w:rPr>
        <w:t xml:space="preserve">is </w:t>
      </w:r>
      <w:r w:rsidRPr="009F391A">
        <w:rPr>
          <w:noProof/>
          <w:lang w:val="en-IE"/>
        </w:rPr>
        <w:t xml:space="preserve">mandatory and results in the availability of </w:t>
      </w:r>
      <w:r w:rsidR="000257FA" w:rsidRPr="009F391A">
        <w:rPr>
          <w:noProof/>
          <w:lang w:val="en-IE"/>
        </w:rPr>
        <w:t>all</w:t>
      </w:r>
      <w:r w:rsidRPr="009F391A">
        <w:rPr>
          <w:noProof/>
          <w:lang w:val="en-IE"/>
        </w:rPr>
        <w:t xml:space="preserve"> their benchmarks for use in the Union.</w:t>
      </w:r>
      <w:r w:rsidR="00267F62" w:rsidRPr="009F391A">
        <w:rPr>
          <w:noProof/>
          <w:lang w:val="en-IE"/>
        </w:rPr>
        <w:t xml:space="preserve"> </w:t>
      </w:r>
      <w:r w:rsidR="00407AFB">
        <w:rPr>
          <w:noProof/>
          <w:lang w:val="en-IE"/>
        </w:rPr>
        <w:t>For non-EU benchmarks</w:t>
      </w:r>
      <w:r w:rsidR="00267F62" w:rsidRPr="009F391A">
        <w:rPr>
          <w:noProof/>
          <w:lang w:val="en-IE"/>
        </w:rPr>
        <w:t>, a number of access routes</w:t>
      </w:r>
      <w:r w:rsidR="0065595F" w:rsidRPr="009F391A">
        <w:rPr>
          <w:noProof/>
          <w:lang w:val="en-IE"/>
        </w:rPr>
        <w:t xml:space="preserve"> for non-EU </w:t>
      </w:r>
      <w:r w:rsidR="009174BE" w:rsidRPr="009F391A">
        <w:rPr>
          <w:noProof/>
          <w:lang w:val="en-IE"/>
        </w:rPr>
        <w:t>administrators</w:t>
      </w:r>
      <w:r w:rsidR="00FB3ACD">
        <w:rPr>
          <w:noProof/>
          <w:lang w:val="en-IE"/>
        </w:rPr>
        <w:t xml:space="preserve"> were provided</w:t>
      </w:r>
      <w:r w:rsidR="009174BE" w:rsidRPr="009F391A">
        <w:rPr>
          <w:noProof/>
          <w:lang w:val="en-IE"/>
        </w:rPr>
        <w:t xml:space="preserve">. Still, </w:t>
      </w:r>
      <w:r w:rsidR="00FB3ACD">
        <w:rPr>
          <w:noProof/>
          <w:lang w:val="en-IE"/>
        </w:rPr>
        <w:t>non-EU</w:t>
      </w:r>
      <w:r w:rsidR="00FB3ACD" w:rsidRPr="009F391A">
        <w:rPr>
          <w:noProof/>
          <w:lang w:val="en-IE"/>
        </w:rPr>
        <w:t xml:space="preserve"> </w:t>
      </w:r>
      <w:r w:rsidRPr="009F391A">
        <w:rPr>
          <w:noProof/>
          <w:lang w:val="en-IE"/>
        </w:rPr>
        <w:t xml:space="preserve">benchmark administrators - apart from those whose benchmarks are covered by an equivalence decision </w:t>
      </w:r>
      <w:r w:rsidR="00FB3ACD">
        <w:rPr>
          <w:noProof/>
          <w:lang w:val="en-IE"/>
        </w:rPr>
        <w:t>–</w:t>
      </w:r>
      <w:r w:rsidRPr="009F391A">
        <w:rPr>
          <w:noProof/>
          <w:lang w:val="en-IE"/>
        </w:rPr>
        <w:t xml:space="preserve"> </w:t>
      </w:r>
      <w:r w:rsidR="00FB3ACD">
        <w:rPr>
          <w:noProof/>
          <w:lang w:val="en-IE"/>
        </w:rPr>
        <w:t xml:space="preserve">need to take a positive decision to seek </w:t>
      </w:r>
      <w:r w:rsidRPr="009F391A">
        <w:rPr>
          <w:noProof/>
          <w:lang w:val="en-IE"/>
        </w:rPr>
        <w:t>compliance with the BMR through recognition or endorsement</w:t>
      </w:r>
      <w:r w:rsidR="00FB3ACD">
        <w:rPr>
          <w:noProof/>
          <w:lang w:val="en-IE"/>
        </w:rPr>
        <w:t>. That decision</w:t>
      </w:r>
      <w:r w:rsidRPr="009F391A">
        <w:rPr>
          <w:noProof/>
          <w:lang w:val="en-IE"/>
        </w:rPr>
        <w:t xml:space="preserve"> depends on the economic interest the EU market represents to them.</w:t>
      </w:r>
    </w:p>
    <w:p w14:paraId="6F142146" w14:textId="7B0FE983" w:rsidR="00E53FCD" w:rsidRPr="009F391A" w:rsidRDefault="00160D4C" w:rsidP="00E53FCD">
      <w:pPr>
        <w:rPr>
          <w:noProof/>
          <w:lang w:val="en-IE"/>
        </w:rPr>
      </w:pPr>
      <w:r>
        <w:rPr>
          <w:noProof/>
          <w:lang w:val="en-IE"/>
        </w:rPr>
        <w:t>It was assumed</w:t>
      </w:r>
      <w:r w:rsidR="000C1E81" w:rsidRPr="009F391A">
        <w:rPr>
          <w:noProof/>
          <w:lang w:val="en-IE"/>
        </w:rPr>
        <w:t xml:space="preserve"> that</w:t>
      </w:r>
      <w:r w:rsidR="00E53FCD" w:rsidRPr="009F391A">
        <w:rPr>
          <w:noProof/>
          <w:lang w:val="en-IE"/>
        </w:rPr>
        <w:t xml:space="preserve"> over time </w:t>
      </w:r>
      <w:r w:rsidR="008E3321">
        <w:rPr>
          <w:noProof/>
          <w:lang w:val="en-IE"/>
        </w:rPr>
        <w:t>non-EU</w:t>
      </w:r>
      <w:r w:rsidR="00E53FCD" w:rsidRPr="009F391A">
        <w:rPr>
          <w:noProof/>
          <w:lang w:val="en-IE"/>
        </w:rPr>
        <w:t xml:space="preserve"> jurisdictions would </w:t>
      </w:r>
      <w:r>
        <w:rPr>
          <w:noProof/>
          <w:lang w:val="en-IE"/>
        </w:rPr>
        <w:t>develop</w:t>
      </w:r>
      <w:r w:rsidRPr="009F391A">
        <w:rPr>
          <w:noProof/>
          <w:lang w:val="en-IE"/>
        </w:rPr>
        <w:t xml:space="preserve"> </w:t>
      </w:r>
      <w:r w:rsidR="00E53FCD" w:rsidRPr="009F391A">
        <w:rPr>
          <w:noProof/>
          <w:lang w:val="en-IE"/>
        </w:rPr>
        <w:t>comparably comprehensive rules for financial benchmarks. This would have allowed the Commission to recognise those regulatory systems as equivalent or would have enabled third country benchmark administrators to seek access to the EU market via the routes of recognition or endorsement wit</w:t>
      </w:r>
      <w:r w:rsidR="00114496">
        <w:rPr>
          <w:noProof/>
          <w:lang w:val="en-IE"/>
        </w:rPr>
        <w:t xml:space="preserve">h no or lower </w:t>
      </w:r>
      <w:r w:rsidR="00E53FCD" w:rsidRPr="009F391A">
        <w:rPr>
          <w:noProof/>
          <w:lang w:val="en-IE"/>
        </w:rPr>
        <w:t xml:space="preserve">additional compliance efforts. </w:t>
      </w:r>
      <w:r>
        <w:rPr>
          <w:noProof/>
          <w:lang w:val="en-IE"/>
        </w:rPr>
        <w:t>However, this has</w:t>
      </w:r>
      <w:r w:rsidR="00E53FCD" w:rsidRPr="009F391A">
        <w:rPr>
          <w:noProof/>
          <w:lang w:val="en-IE"/>
        </w:rPr>
        <w:t xml:space="preserve"> not</w:t>
      </w:r>
      <w:r>
        <w:rPr>
          <w:noProof/>
          <w:lang w:val="en-IE"/>
        </w:rPr>
        <w:t xml:space="preserve"> been</w:t>
      </w:r>
      <w:r w:rsidR="00E53FCD" w:rsidRPr="009F391A">
        <w:rPr>
          <w:noProof/>
          <w:lang w:val="en-IE"/>
        </w:rPr>
        <w:t xml:space="preserve"> the case. Of the non-EU systems of benchmark regulation, none except </w:t>
      </w:r>
      <w:r>
        <w:rPr>
          <w:noProof/>
          <w:lang w:val="en-IE"/>
        </w:rPr>
        <w:t xml:space="preserve">the </w:t>
      </w:r>
      <w:r w:rsidR="00E53FCD" w:rsidRPr="009F391A">
        <w:rPr>
          <w:noProof/>
          <w:lang w:val="en-IE"/>
        </w:rPr>
        <w:t>UK BMR operate on the basis of an equally broad scope.</w:t>
      </w:r>
    </w:p>
    <w:p w14:paraId="724D674C" w14:textId="047F833E" w:rsidR="00E53FCD" w:rsidRPr="009F391A" w:rsidRDefault="00E53FCD" w:rsidP="00E53FCD">
      <w:pPr>
        <w:rPr>
          <w:noProof/>
          <w:lang w:val="en-IE"/>
        </w:rPr>
      </w:pPr>
      <w:r w:rsidRPr="009F391A">
        <w:rPr>
          <w:noProof/>
          <w:lang w:val="en-IE"/>
        </w:rPr>
        <w:t>Th</w:t>
      </w:r>
      <w:r w:rsidR="00F166BD">
        <w:rPr>
          <w:noProof/>
          <w:lang w:val="en-IE"/>
        </w:rPr>
        <w:t>is</w:t>
      </w:r>
      <w:r w:rsidR="004218C1">
        <w:rPr>
          <w:noProof/>
          <w:lang w:val="en-IE"/>
        </w:rPr>
        <w:t xml:space="preserve"> </w:t>
      </w:r>
      <w:r w:rsidR="00160D4C">
        <w:rPr>
          <w:noProof/>
          <w:lang w:val="en-IE"/>
        </w:rPr>
        <w:t xml:space="preserve">situation </w:t>
      </w:r>
      <w:r w:rsidRPr="009F391A">
        <w:rPr>
          <w:noProof/>
          <w:lang w:val="en-IE"/>
        </w:rPr>
        <w:t xml:space="preserve">affects EU benchmark users, </w:t>
      </w:r>
      <w:r w:rsidR="00114496">
        <w:rPr>
          <w:noProof/>
          <w:lang w:val="en-IE"/>
        </w:rPr>
        <w:t>as</w:t>
      </w:r>
      <w:r w:rsidRPr="009F391A">
        <w:rPr>
          <w:noProof/>
          <w:lang w:val="en-IE"/>
        </w:rPr>
        <w:t xml:space="preserve"> the application of the current third country </w:t>
      </w:r>
      <w:r w:rsidR="00025FB9">
        <w:rPr>
          <w:noProof/>
          <w:lang w:val="en-IE"/>
        </w:rPr>
        <w:t>rules</w:t>
      </w:r>
      <w:r w:rsidR="00025FB9" w:rsidRPr="009F391A">
        <w:rPr>
          <w:noProof/>
          <w:lang w:val="en-IE"/>
        </w:rPr>
        <w:t xml:space="preserve"> </w:t>
      </w:r>
      <w:r w:rsidR="00025FB9">
        <w:rPr>
          <w:noProof/>
          <w:lang w:val="en-IE"/>
        </w:rPr>
        <w:t>under</w:t>
      </w:r>
      <w:r w:rsidRPr="009F391A">
        <w:rPr>
          <w:noProof/>
          <w:lang w:val="en-IE"/>
        </w:rPr>
        <w:t xml:space="preserve"> the BMR </w:t>
      </w:r>
      <w:r w:rsidR="000464D0" w:rsidRPr="009F391A">
        <w:rPr>
          <w:noProof/>
          <w:lang w:val="en-IE"/>
        </w:rPr>
        <w:t>c</w:t>
      </w:r>
      <w:r w:rsidRPr="009F391A">
        <w:rPr>
          <w:noProof/>
          <w:lang w:val="en-IE"/>
        </w:rPr>
        <w:t xml:space="preserve">ould dramatically reduce the number and variety of benchmarks </w:t>
      </w:r>
      <w:r w:rsidR="00025FB9">
        <w:rPr>
          <w:noProof/>
          <w:lang w:val="en-IE"/>
        </w:rPr>
        <w:t xml:space="preserve">that </w:t>
      </w:r>
      <w:r w:rsidRPr="009F391A">
        <w:rPr>
          <w:noProof/>
          <w:lang w:val="en-IE"/>
        </w:rPr>
        <w:t>EU supervised entities can use.</w:t>
      </w:r>
      <w:r w:rsidR="009174BE" w:rsidRPr="009F391A">
        <w:rPr>
          <w:noProof/>
          <w:lang w:val="en-IE"/>
        </w:rPr>
        <w:t xml:space="preserve"> Among other things, this would be problematic for the asset management sector, as </w:t>
      </w:r>
      <w:r w:rsidR="00E55143">
        <w:rPr>
          <w:noProof/>
          <w:lang w:val="en-IE"/>
        </w:rPr>
        <w:t xml:space="preserve">it would restrict the number and variety of benchmarks available for investment funds to </w:t>
      </w:r>
      <w:r w:rsidR="009174BE" w:rsidRPr="009F391A">
        <w:rPr>
          <w:noProof/>
          <w:lang w:val="en-IE"/>
        </w:rPr>
        <w:t>replicat</w:t>
      </w:r>
      <w:r w:rsidR="00E55143">
        <w:rPr>
          <w:noProof/>
          <w:lang w:val="en-IE"/>
        </w:rPr>
        <w:t>e</w:t>
      </w:r>
      <w:r w:rsidR="009174BE" w:rsidRPr="009F391A">
        <w:rPr>
          <w:noProof/>
          <w:lang w:val="en-IE"/>
        </w:rPr>
        <w:t xml:space="preserve"> the performance of a benchmark or </w:t>
      </w:r>
      <w:r w:rsidR="00E55143">
        <w:rPr>
          <w:noProof/>
          <w:lang w:val="en-IE"/>
        </w:rPr>
        <w:t xml:space="preserve">to </w:t>
      </w:r>
      <w:r w:rsidR="00E55143" w:rsidRPr="009F391A">
        <w:rPr>
          <w:noProof/>
          <w:lang w:val="en-IE"/>
        </w:rPr>
        <w:t>compar</w:t>
      </w:r>
      <w:r w:rsidR="00E55143">
        <w:rPr>
          <w:noProof/>
          <w:lang w:val="en-IE"/>
        </w:rPr>
        <w:t>e</w:t>
      </w:r>
      <w:r w:rsidR="00E55143" w:rsidRPr="009F391A">
        <w:rPr>
          <w:noProof/>
          <w:lang w:val="en-IE"/>
        </w:rPr>
        <w:t xml:space="preserve"> </w:t>
      </w:r>
      <w:r w:rsidR="009174BE" w:rsidRPr="009F391A">
        <w:rPr>
          <w:noProof/>
          <w:lang w:val="en-IE"/>
        </w:rPr>
        <w:t>an investment fund’s performance to a benchmark</w:t>
      </w:r>
      <w:r w:rsidR="00E55143">
        <w:rPr>
          <w:noProof/>
          <w:lang w:val="en-IE"/>
        </w:rPr>
        <w:t>, both of which are</w:t>
      </w:r>
      <w:r w:rsidR="009174BE" w:rsidRPr="009F391A">
        <w:rPr>
          <w:noProof/>
          <w:lang w:val="en-IE"/>
        </w:rPr>
        <w:t xml:space="preserve"> considered as use of that benchmark under the BMR. </w:t>
      </w:r>
      <w:r w:rsidR="009E4000">
        <w:rPr>
          <w:noProof/>
          <w:lang w:val="en-IE"/>
        </w:rPr>
        <w:t>This</w:t>
      </w:r>
      <w:r w:rsidR="00025FB9">
        <w:rPr>
          <w:noProof/>
          <w:lang w:val="en-IE"/>
        </w:rPr>
        <w:t xml:space="preserve"> might destabilise</w:t>
      </w:r>
      <w:r w:rsidR="009E4000">
        <w:rPr>
          <w:noProof/>
          <w:lang w:val="en-IE"/>
        </w:rPr>
        <w:t xml:space="preserve"> the </w:t>
      </w:r>
      <w:r w:rsidR="00160D4C">
        <w:rPr>
          <w:noProof/>
          <w:lang w:val="en-IE"/>
        </w:rPr>
        <w:t xml:space="preserve">EU’s </w:t>
      </w:r>
      <w:r w:rsidR="009E4000">
        <w:rPr>
          <w:noProof/>
          <w:lang w:val="en-IE"/>
        </w:rPr>
        <w:t xml:space="preserve">asset management sector, </w:t>
      </w:r>
      <w:r w:rsidR="00160D4C">
        <w:rPr>
          <w:noProof/>
          <w:lang w:val="en-IE"/>
        </w:rPr>
        <w:t>and could</w:t>
      </w:r>
      <w:r w:rsidR="009E4000">
        <w:rPr>
          <w:noProof/>
          <w:lang w:val="en-IE"/>
        </w:rPr>
        <w:t xml:space="preserve"> reduce</w:t>
      </w:r>
      <w:r w:rsidR="00160D4C">
        <w:rPr>
          <w:noProof/>
          <w:lang w:val="en-IE"/>
        </w:rPr>
        <w:t xml:space="preserve"> derivatives users’</w:t>
      </w:r>
      <w:r w:rsidR="009E4000">
        <w:rPr>
          <w:noProof/>
          <w:lang w:val="en-IE"/>
        </w:rPr>
        <w:t xml:space="preserve"> ability to hedge their activities</w:t>
      </w:r>
      <w:r w:rsidR="002C0A96">
        <w:rPr>
          <w:noProof/>
          <w:lang w:val="en-IE"/>
        </w:rPr>
        <w:t>. This destabilisation of the Union’s asset management sector, in addition to the reduced ability for derivatives users to rely on a broad range of options to hedge their activities due to the reduced capacity of those derivatives to reference third-country benchmarks, could imply financial stability concerns in the Union.</w:t>
      </w:r>
      <w:r w:rsidR="00025FB9">
        <w:rPr>
          <w:noProof/>
          <w:lang w:val="en-IE"/>
        </w:rPr>
        <w:t xml:space="preserve"> </w:t>
      </w:r>
      <w:r w:rsidR="009E4000">
        <w:rPr>
          <w:noProof/>
          <w:lang w:val="en-IE"/>
        </w:rPr>
        <w:t>Lastly</w:t>
      </w:r>
      <w:r w:rsidR="009174BE" w:rsidRPr="009F391A">
        <w:rPr>
          <w:noProof/>
          <w:lang w:val="en-IE"/>
        </w:rPr>
        <w:t>,</w:t>
      </w:r>
      <w:r w:rsidR="00E55143">
        <w:rPr>
          <w:noProof/>
          <w:lang w:val="en-IE"/>
        </w:rPr>
        <w:t xml:space="preserve"> a smaller market</w:t>
      </w:r>
      <w:r w:rsidR="009174BE" w:rsidRPr="009F391A">
        <w:rPr>
          <w:noProof/>
          <w:lang w:val="en-IE"/>
        </w:rPr>
        <w:t xml:space="preserve"> </w:t>
      </w:r>
      <w:r w:rsidR="00E55143">
        <w:rPr>
          <w:noProof/>
          <w:lang w:val="en-IE"/>
        </w:rPr>
        <w:t>with fewer players offering benchmarks is likely to be less competitive.</w:t>
      </w:r>
      <w:r w:rsidRPr="009F391A">
        <w:rPr>
          <w:noProof/>
          <w:lang w:val="en-IE"/>
        </w:rPr>
        <w:t xml:space="preserve"> </w:t>
      </w:r>
    </w:p>
    <w:p w14:paraId="03D1F799" w14:textId="14BF364B" w:rsidR="00E53FCD" w:rsidRPr="009F391A" w:rsidRDefault="00E53FCD" w:rsidP="00E53FCD">
      <w:pPr>
        <w:rPr>
          <w:noProof/>
          <w:lang w:val="en-IE"/>
        </w:rPr>
      </w:pPr>
      <w:r w:rsidRPr="009F391A">
        <w:rPr>
          <w:noProof/>
          <w:lang w:val="en-IE"/>
        </w:rPr>
        <w:t xml:space="preserve">EU benchmark users and end-users </w:t>
      </w:r>
      <w:r w:rsidR="00E13F48" w:rsidRPr="009F391A">
        <w:rPr>
          <w:noProof/>
          <w:lang w:val="en-IE"/>
        </w:rPr>
        <w:t xml:space="preserve">rely significantly </w:t>
      </w:r>
      <w:r w:rsidRPr="009F391A">
        <w:rPr>
          <w:noProof/>
          <w:lang w:val="en-IE"/>
        </w:rPr>
        <w:t>on benchmarks administered outside the EU</w:t>
      </w:r>
      <w:r w:rsidR="00A30CB7">
        <w:rPr>
          <w:noProof/>
          <w:lang w:val="en-IE"/>
        </w:rPr>
        <w:t>. A</w:t>
      </w:r>
      <w:r w:rsidRPr="009F391A">
        <w:rPr>
          <w:noProof/>
          <w:lang w:val="en-IE"/>
        </w:rPr>
        <w:t xml:space="preserve"> targeted consultation held in the summer of 2022</w:t>
      </w:r>
      <w:r w:rsidR="00E13F48" w:rsidRPr="009F391A">
        <w:rPr>
          <w:noProof/>
          <w:lang w:val="en-IE"/>
        </w:rPr>
        <w:t> (</w:t>
      </w:r>
      <w:r w:rsidR="00E13F48" w:rsidRPr="009F391A">
        <w:rPr>
          <w:rStyle w:val="FootnoteReference"/>
          <w:noProof/>
          <w:lang w:val="en-IE"/>
        </w:rPr>
        <w:footnoteReference w:id="20"/>
      </w:r>
      <w:r w:rsidR="00E13F48" w:rsidRPr="009F391A">
        <w:rPr>
          <w:noProof/>
          <w:lang w:val="en-IE"/>
        </w:rPr>
        <w:t>)</w:t>
      </w:r>
      <w:r w:rsidRPr="009F391A">
        <w:rPr>
          <w:noProof/>
          <w:lang w:val="en-IE"/>
        </w:rPr>
        <w:t xml:space="preserve"> </w:t>
      </w:r>
      <w:r w:rsidR="00A30CB7" w:rsidRPr="009F391A">
        <w:rPr>
          <w:noProof/>
          <w:lang w:val="en-IE"/>
        </w:rPr>
        <w:t>point</w:t>
      </w:r>
      <w:r w:rsidR="00A30CB7">
        <w:rPr>
          <w:noProof/>
          <w:lang w:val="en-IE"/>
        </w:rPr>
        <w:t>ed</w:t>
      </w:r>
      <w:r w:rsidR="00A30CB7" w:rsidRPr="009F391A">
        <w:rPr>
          <w:noProof/>
          <w:lang w:val="en-IE"/>
        </w:rPr>
        <w:t xml:space="preserve"> </w:t>
      </w:r>
      <w:r w:rsidRPr="009F391A">
        <w:rPr>
          <w:noProof/>
          <w:lang w:val="en-IE"/>
        </w:rPr>
        <w:t xml:space="preserve">out the following: </w:t>
      </w:r>
    </w:p>
    <w:p w14:paraId="2914698C" w14:textId="06928AFB" w:rsidR="00E53FCD" w:rsidRPr="009F391A" w:rsidRDefault="00E53FCD" w:rsidP="00E53FCD">
      <w:pPr>
        <w:pStyle w:val="ListParagraph"/>
        <w:numPr>
          <w:ilvl w:val="0"/>
          <w:numId w:val="26"/>
        </w:numPr>
        <w:rPr>
          <w:noProof/>
          <w:lang w:val="en-IE"/>
        </w:rPr>
      </w:pPr>
      <w:r w:rsidRPr="009F391A">
        <w:rPr>
          <w:noProof/>
          <w:lang w:val="en-IE"/>
        </w:rPr>
        <w:t xml:space="preserve">Of the </w:t>
      </w:r>
      <w:r w:rsidRPr="009F391A">
        <w:rPr>
          <w:b/>
          <w:noProof/>
          <w:lang w:val="en-IE"/>
        </w:rPr>
        <w:t>benchmark users</w:t>
      </w:r>
      <w:r w:rsidRPr="009F391A">
        <w:rPr>
          <w:noProof/>
          <w:lang w:val="en-IE"/>
        </w:rPr>
        <w:t xml:space="preserve"> who responded to the questionnaire, none responded that their activities did </w:t>
      </w:r>
      <w:r w:rsidRPr="009F391A">
        <w:rPr>
          <w:b/>
          <w:bCs/>
          <w:noProof/>
          <w:lang w:val="en-IE"/>
        </w:rPr>
        <w:t>not</w:t>
      </w:r>
      <w:r w:rsidRPr="009F391A">
        <w:rPr>
          <w:noProof/>
          <w:lang w:val="en-IE"/>
        </w:rPr>
        <w:t xml:space="preserve"> rely on non-EU benchmarks at all – though there may be selection bias at play (16 out of 20 users reported that their activities were moderately, strongly or exclusively reliant on non-EU benchmarks)</w:t>
      </w:r>
    </w:p>
    <w:p w14:paraId="0F21E5D9" w14:textId="77777777" w:rsidR="00E53FCD" w:rsidRPr="009F391A" w:rsidRDefault="00E53FCD" w:rsidP="00E53FCD">
      <w:pPr>
        <w:pStyle w:val="ListParagraph"/>
        <w:rPr>
          <w:noProof/>
          <w:lang w:val="en-IE"/>
        </w:rPr>
      </w:pPr>
    </w:p>
    <w:p w14:paraId="227B5BF9" w14:textId="3EEA6758" w:rsidR="00E53FCD" w:rsidRPr="009F391A" w:rsidRDefault="00E53FCD" w:rsidP="00E53FCD">
      <w:pPr>
        <w:pStyle w:val="ListParagraph"/>
        <w:numPr>
          <w:ilvl w:val="0"/>
          <w:numId w:val="26"/>
        </w:numPr>
        <w:rPr>
          <w:noProof/>
          <w:lang w:val="en-IE"/>
        </w:rPr>
      </w:pPr>
      <w:r w:rsidRPr="009F391A">
        <w:rPr>
          <w:noProof/>
          <w:lang w:val="en-IE"/>
        </w:rPr>
        <w:t xml:space="preserve">The reasons cited for using a non-EU benchmark instead of an EU alternative </w:t>
      </w:r>
      <w:r w:rsidR="00A30CB7">
        <w:rPr>
          <w:noProof/>
          <w:lang w:val="en-IE"/>
        </w:rPr>
        <w:t>include</w:t>
      </w:r>
      <w:r w:rsidRPr="009F391A">
        <w:rPr>
          <w:noProof/>
          <w:lang w:val="en-IE"/>
        </w:rPr>
        <w:t>:</w:t>
      </w:r>
    </w:p>
    <w:p w14:paraId="71842463" w14:textId="201DE314" w:rsidR="00E53FCD" w:rsidRPr="009F391A" w:rsidRDefault="00A30CB7" w:rsidP="00E53FCD">
      <w:pPr>
        <w:pStyle w:val="ListParagraph"/>
        <w:numPr>
          <w:ilvl w:val="1"/>
          <w:numId w:val="26"/>
        </w:numPr>
        <w:rPr>
          <w:noProof/>
          <w:lang w:val="en-IE"/>
        </w:rPr>
      </w:pPr>
      <w:r>
        <w:rPr>
          <w:b/>
          <w:noProof/>
          <w:lang w:val="en-IE"/>
        </w:rPr>
        <w:t>h</w:t>
      </w:r>
      <w:r w:rsidRPr="009F391A">
        <w:rPr>
          <w:b/>
          <w:noProof/>
          <w:lang w:val="en-IE"/>
        </w:rPr>
        <w:t>abit</w:t>
      </w:r>
      <w:r w:rsidR="00E53FCD" w:rsidRPr="009F391A">
        <w:rPr>
          <w:noProof/>
          <w:lang w:val="en-IE"/>
        </w:rPr>
        <w:t>: the use of a particular benchmark is an established practice, or the user has a long-standing or broad business relationship with the benchmark administrator</w:t>
      </w:r>
      <w:r>
        <w:rPr>
          <w:noProof/>
          <w:lang w:val="en-IE"/>
        </w:rPr>
        <w:t>;</w:t>
      </w:r>
      <w:r w:rsidR="00E53FCD" w:rsidRPr="009F391A">
        <w:rPr>
          <w:noProof/>
          <w:lang w:val="en-IE"/>
        </w:rPr>
        <w:t xml:space="preserve"> </w:t>
      </w:r>
    </w:p>
    <w:p w14:paraId="7574EE5C" w14:textId="15660473" w:rsidR="00E53FCD" w:rsidRPr="009F391A" w:rsidRDefault="00A30CB7" w:rsidP="00E53FCD">
      <w:pPr>
        <w:pStyle w:val="ListParagraph"/>
        <w:numPr>
          <w:ilvl w:val="1"/>
          <w:numId w:val="26"/>
        </w:numPr>
        <w:rPr>
          <w:noProof/>
          <w:lang w:val="en-IE"/>
        </w:rPr>
      </w:pPr>
      <w:r>
        <w:rPr>
          <w:b/>
          <w:noProof/>
          <w:lang w:val="en-IE"/>
        </w:rPr>
        <w:t>u</w:t>
      </w:r>
      <w:r w:rsidR="00E53FCD" w:rsidRPr="009F391A">
        <w:rPr>
          <w:b/>
          <w:noProof/>
          <w:lang w:val="en-IE"/>
        </w:rPr>
        <w:t>navailability of EU-based alternative</w:t>
      </w:r>
      <w:r w:rsidR="00E53FCD" w:rsidRPr="009F391A">
        <w:rPr>
          <w:noProof/>
          <w:lang w:val="en-IE"/>
        </w:rPr>
        <w:t xml:space="preserve">, e.g., in certain niche markets that are intrinsically linked to a specific non-EU benchmark, such as the dry bulk freight market which relies on </w:t>
      </w:r>
      <w:r w:rsidR="00506DEC">
        <w:rPr>
          <w:noProof/>
          <w:lang w:val="en-IE"/>
        </w:rPr>
        <w:t>benchmarks</w:t>
      </w:r>
      <w:r w:rsidR="00E53FCD" w:rsidRPr="009F391A">
        <w:rPr>
          <w:noProof/>
          <w:lang w:val="en-IE"/>
        </w:rPr>
        <w:t xml:space="preserve"> produced by the Baltic Exchange, based in London; </w:t>
      </w:r>
    </w:p>
    <w:p w14:paraId="21E93E21" w14:textId="6C28C096" w:rsidR="00E53FCD" w:rsidRPr="009F391A" w:rsidRDefault="00A30CB7" w:rsidP="00E53FCD">
      <w:pPr>
        <w:pStyle w:val="ListParagraph"/>
        <w:numPr>
          <w:ilvl w:val="1"/>
          <w:numId w:val="26"/>
        </w:numPr>
        <w:rPr>
          <w:noProof/>
          <w:lang w:val="en-IE"/>
        </w:rPr>
      </w:pPr>
      <w:r>
        <w:rPr>
          <w:b/>
          <w:noProof/>
          <w:lang w:val="en-IE"/>
        </w:rPr>
        <w:t>c</w:t>
      </w:r>
      <w:r w:rsidR="00E53FCD" w:rsidRPr="009F391A">
        <w:rPr>
          <w:b/>
          <w:noProof/>
          <w:lang w:val="en-IE"/>
        </w:rPr>
        <w:t>lient demand or market power of certain benchmark administrators:</w:t>
      </w:r>
      <w:r w:rsidR="00E53FCD" w:rsidRPr="009F391A">
        <w:rPr>
          <w:noProof/>
          <w:lang w:val="en-IE"/>
        </w:rPr>
        <w:t xml:space="preserve"> clients sometimes seek exposure to a specific (often brand name) non-EU benchmark, and certain non-EU benchmarks are also perceived to be leaders in their specific market segment (e.g. MSCI World index family). </w:t>
      </w:r>
    </w:p>
    <w:p w14:paraId="0C013176" w14:textId="77777777" w:rsidR="00E53FCD" w:rsidRPr="009F391A" w:rsidRDefault="00E53FCD" w:rsidP="00E53FCD">
      <w:pPr>
        <w:pStyle w:val="ListParagraph"/>
        <w:ind w:left="1440"/>
        <w:rPr>
          <w:noProof/>
          <w:lang w:val="en-IE"/>
        </w:rPr>
      </w:pPr>
    </w:p>
    <w:p w14:paraId="24D33B8F" w14:textId="4536AD0E" w:rsidR="00E53FCD" w:rsidRPr="009F391A" w:rsidRDefault="00E53FCD" w:rsidP="00E53FCD">
      <w:pPr>
        <w:pStyle w:val="ListParagraph"/>
        <w:numPr>
          <w:ilvl w:val="0"/>
          <w:numId w:val="26"/>
        </w:numPr>
        <w:rPr>
          <w:noProof/>
          <w:lang w:val="en-IE"/>
        </w:rPr>
      </w:pPr>
      <w:r w:rsidRPr="009F391A">
        <w:rPr>
          <w:noProof/>
          <w:lang w:val="en-IE"/>
        </w:rPr>
        <w:t xml:space="preserve">Although several benchmark users report mainly or exclusively </w:t>
      </w:r>
      <w:r w:rsidR="00A30CB7" w:rsidRPr="009F391A">
        <w:rPr>
          <w:noProof/>
          <w:lang w:val="en-IE"/>
        </w:rPr>
        <w:t xml:space="preserve">using </w:t>
      </w:r>
      <w:r w:rsidRPr="009F391A">
        <w:rPr>
          <w:noProof/>
          <w:lang w:val="en-IE"/>
        </w:rPr>
        <w:t xml:space="preserve">benchmarks that currently already satisfy the criteria of the BMR third country </w:t>
      </w:r>
      <w:r w:rsidR="00307ED4" w:rsidRPr="009F391A">
        <w:rPr>
          <w:noProof/>
          <w:lang w:val="en-IE"/>
        </w:rPr>
        <w:t>r</w:t>
      </w:r>
      <w:r w:rsidR="00307ED4">
        <w:rPr>
          <w:noProof/>
          <w:lang w:val="en-IE"/>
        </w:rPr>
        <w:t>ules</w:t>
      </w:r>
      <w:r w:rsidRPr="009F391A">
        <w:rPr>
          <w:noProof/>
          <w:lang w:val="en-IE"/>
        </w:rPr>
        <w:t xml:space="preserve">, or report that they are confident the administrators of benchmarks they use will take the required steps in time, there continues to be significant uncertainty </w:t>
      </w:r>
      <w:r w:rsidR="00A30CB7">
        <w:rPr>
          <w:noProof/>
          <w:lang w:val="en-IE"/>
        </w:rPr>
        <w:t>on</w:t>
      </w:r>
      <w:r w:rsidR="00A30CB7" w:rsidRPr="009F391A">
        <w:rPr>
          <w:noProof/>
          <w:lang w:val="en-IE"/>
        </w:rPr>
        <w:t xml:space="preserve"> </w:t>
      </w:r>
      <w:r w:rsidRPr="009F391A">
        <w:rPr>
          <w:noProof/>
          <w:lang w:val="en-IE"/>
        </w:rPr>
        <w:t>the future availability of many non-EU benchmarks. In many cases (58%; 11 out of 19), administrators whose benchmarks are not yet BMR-compliant have not yet systematically informed their EU users of their intentions to comply.</w:t>
      </w:r>
    </w:p>
    <w:p w14:paraId="56A09F8F" w14:textId="284A4AF0" w:rsidR="00E53FCD" w:rsidRPr="009F391A" w:rsidRDefault="00E53FCD" w:rsidP="00E53FCD">
      <w:pPr>
        <w:rPr>
          <w:noProof/>
          <w:lang w:val="en-IE"/>
        </w:rPr>
      </w:pPr>
      <w:r w:rsidRPr="009F391A">
        <w:rPr>
          <w:noProof/>
          <w:lang w:val="en-IE"/>
        </w:rPr>
        <w:t>Where the use of non-EU benchmarks is a response to specific demands from end-users or specific exposure or hedging characteristics sought by end-users that cannot be met by EU benchmarks, restricting the</w:t>
      </w:r>
      <w:r w:rsidR="00A30CB7">
        <w:rPr>
          <w:noProof/>
          <w:lang w:val="en-IE"/>
        </w:rPr>
        <w:t>ir</w:t>
      </w:r>
      <w:r w:rsidRPr="009F391A">
        <w:rPr>
          <w:noProof/>
          <w:lang w:val="en-IE"/>
        </w:rPr>
        <w:t xml:space="preserve"> </w:t>
      </w:r>
      <w:r w:rsidR="002A55FC">
        <w:rPr>
          <w:noProof/>
          <w:lang w:val="en-IE"/>
        </w:rPr>
        <w:t xml:space="preserve">use </w:t>
      </w:r>
      <w:r w:rsidRPr="009F391A">
        <w:rPr>
          <w:noProof/>
          <w:lang w:val="en-IE"/>
        </w:rPr>
        <w:t xml:space="preserve">by EU supervised entities </w:t>
      </w:r>
      <w:r w:rsidR="00DD7854">
        <w:rPr>
          <w:noProof/>
          <w:lang w:val="en-IE"/>
        </w:rPr>
        <w:t>might</w:t>
      </w:r>
      <w:r w:rsidRPr="009F391A">
        <w:rPr>
          <w:noProof/>
          <w:lang w:val="en-IE"/>
        </w:rPr>
        <w:t xml:space="preserve"> displace the demand </w:t>
      </w:r>
      <w:r w:rsidR="00842D8C" w:rsidRPr="009F391A">
        <w:rPr>
          <w:noProof/>
          <w:lang w:val="en-IE"/>
        </w:rPr>
        <w:t xml:space="preserve">for financial products and services referencing these benchmarks to financial service providers </w:t>
      </w:r>
      <w:r w:rsidRPr="009F391A">
        <w:rPr>
          <w:noProof/>
          <w:lang w:val="en-IE"/>
        </w:rPr>
        <w:t xml:space="preserve">outside the </w:t>
      </w:r>
      <w:r w:rsidR="00A30CB7">
        <w:rPr>
          <w:noProof/>
          <w:lang w:val="en-IE"/>
        </w:rPr>
        <w:t>EU</w:t>
      </w:r>
      <w:r w:rsidRPr="009F391A">
        <w:rPr>
          <w:noProof/>
          <w:lang w:val="en-IE"/>
        </w:rPr>
        <w:t xml:space="preserve">. Indeed, where an </w:t>
      </w:r>
      <w:r w:rsidR="00D95244" w:rsidRPr="009F391A">
        <w:rPr>
          <w:noProof/>
          <w:lang w:val="en-IE"/>
        </w:rPr>
        <w:t>investor</w:t>
      </w:r>
      <w:r w:rsidR="00A30CB7">
        <w:rPr>
          <w:noProof/>
          <w:lang w:val="en-IE"/>
        </w:rPr>
        <w:t>’</w:t>
      </w:r>
      <w:r w:rsidR="00D95244" w:rsidRPr="009F391A">
        <w:rPr>
          <w:noProof/>
          <w:lang w:val="en-IE"/>
        </w:rPr>
        <w:t>s</w:t>
      </w:r>
      <w:r w:rsidRPr="009F391A">
        <w:rPr>
          <w:noProof/>
          <w:lang w:val="en-IE"/>
        </w:rPr>
        <w:t xml:space="preserve"> or a business’ demand cannot be met by an EU bank or investment fund</w:t>
      </w:r>
      <w:r w:rsidR="004769D5" w:rsidRPr="009F391A">
        <w:rPr>
          <w:noProof/>
          <w:lang w:val="en-IE"/>
        </w:rPr>
        <w:t xml:space="preserve"> (due to the inability to reference a </w:t>
      </w:r>
      <w:r w:rsidR="008F5384" w:rsidRPr="009F391A">
        <w:rPr>
          <w:noProof/>
          <w:lang w:val="en-IE"/>
        </w:rPr>
        <w:t xml:space="preserve">non-EU </w:t>
      </w:r>
      <w:r w:rsidR="004769D5" w:rsidRPr="009F391A">
        <w:rPr>
          <w:noProof/>
          <w:lang w:val="en-IE"/>
        </w:rPr>
        <w:t>benchmark)</w:t>
      </w:r>
      <w:r w:rsidRPr="009F391A">
        <w:rPr>
          <w:noProof/>
          <w:lang w:val="en-IE"/>
        </w:rPr>
        <w:t xml:space="preserve">, </w:t>
      </w:r>
      <w:r w:rsidR="004769D5" w:rsidRPr="009F391A">
        <w:rPr>
          <w:noProof/>
          <w:lang w:val="en-IE"/>
        </w:rPr>
        <w:t xml:space="preserve">demand </w:t>
      </w:r>
      <w:r w:rsidR="00DD7854">
        <w:rPr>
          <w:noProof/>
          <w:lang w:val="en-IE"/>
        </w:rPr>
        <w:t>might</w:t>
      </w:r>
      <w:r w:rsidR="00DD7854" w:rsidRPr="009F391A">
        <w:rPr>
          <w:noProof/>
          <w:lang w:val="en-IE"/>
        </w:rPr>
        <w:t xml:space="preserve"> </w:t>
      </w:r>
      <w:r w:rsidR="004769D5" w:rsidRPr="009F391A">
        <w:rPr>
          <w:noProof/>
          <w:lang w:val="en-IE"/>
        </w:rPr>
        <w:t xml:space="preserve">shift to providers </w:t>
      </w:r>
      <w:r w:rsidR="00C67C5D" w:rsidRPr="009F391A">
        <w:rPr>
          <w:noProof/>
          <w:lang w:val="en-IE"/>
        </w:rPr>
        <w:t xml:space="preserve">in jurisdictions </w:t>
      </w:r>
      <w:r w:rsidR="004769D5" w:rsidRPr="009F391A">
        <w:rPr>
          <w:noProof/>
          <w:lang w:val="en-IE"/>
        </w:rPr>
        <w:t xml:space="preserve">that </w:t>
      </w:r>
      <w:r w:rsidR="00C67C5D" w:rsidRPr="009F391A">
        <w:rPr>
          <w:noProof/>
          <w:lang w:val="en-IE"/>
        </w:rPr>
        <w:t xml:space="preserve">do not restrict access to these </w:t>
      </w:r>
      <w:r w:rsidR="004769D5" w:rsidRPr="009F391A">
        <w:rPr>
          <w:noProof/>
          <w:lang w:val="en-IE"/>
        </w:rPr>
        <w:t>benchmarks</w:t>
      </w:r>
      <w:r w:rsidR="00C67C5D" w:rsidRPr="009F391A">
        <w:rPr>
          <w:noProof/>
          <w:lang w:val="en-IE"/>
        </w:rPr>
        <w:t>.</w:t>
      </w:r>
    </w:p>
    <w:p w14:paraId="69403096" w14:textId="5F24794A" w:rsidR="00E53FCD" w:rsidRPr="009F391A" w:rsidRDefault="008E4F0E" w:rsidP="002573DC">
      <w:pPr>
        <w:pStyle w:val="Heading1"/>
        <w:numPr>
          <w:ilvl w:val="0"/>
          <w:numId w:val="23"/>
        </w:numPr>
        <w:ind w:left="482" w:hanging="482"/>
        <w:rPr>
          <w:noProof/>
          <w:lang w:val="en-IE"/>
        </w:rPr>
      </w:pPr>
      <w:bookmarkStart w:id="7" w:name="_Toc138234963"/>
      <w:r w:rsidRPr="009F391A">
        <w:rPr>
          <w:noProof/>
          <w:lang w:val="en-IE"/>
        </w:rPr>
        <w:t>Next steps</w:t>
      </w:r>
      <w:bookmarkEnd w:id="7"/>
    </w:p>
    <w:p w14:paraId="5BB7E9FA" w14:textId="6AB767C7" w:rsidR="00E53FCD" w:rsidRPr="009F391A" w:rsidRDefault="00101CF7" w:rsidP="00E53FCD">
      <w:pPr>
        <w:pStyle w:val="Text2"/>
        <w:ind w:left="0"/>
        <w:rPr>
          <w:noProof/>
          <w:lang w:val="en-IE"/>
        </w:rPr>
      </w:pPr>
      <w:r w:rsidRPr="00101CF7">
        <w:rPr>
          <w:noProof/>
          <w:lang w:val="en-IE"/>
        </w:rPr>
        <w:t xml:space="preserve">The current number of benchmarks administered in third countries that are used in the EU </w:t>
      </w:r>
      <w:r>
        <w:rPr>
          <w:noProof/>
          <w:lang w:val="en-IE"/>
        </w:rPr>
        <w:t>in accordance with the access routes of equivalence, recognition, and endorsement</w:t>
      </w:r>
      <w:r w:rsidRPr="00101CF7">
        <w:rPr>
          <w:noProof/>
          <w:lang w:val="en-IE"/>
        </w:rPr>
        <w:t xml:space="preserve"> of the BMR is </w:t>
      </w:r>
      <w:r>
        <w:rPr>
          <w:noProof/>
          <w:lang w:val="en-IE"/>
        </w:rPr>
        <w:t>low compared to the total number of benchmarks available worldwide</w:t>
      </w:r>
      <w:r w:rsidRPr="00101CF7">
        <w:rPr>
          <w:noProof/>
          <w:lang w:val="en-IE"/>
        </w:rPr>
        <w:t xml:space="preserve">. Should the rules applicable to third country benchmarks enter into application </w:t>
      </w:r>
      <w:r>
        <w:rPr>
          <w:noProof/>
          <w:lang w:val="en-IE"/>
        </w:rPr>
        <w:t>on 31 December 2023</w:t>
      </w:r>
      <w:r w:rsidRPr="00101CF7">
        <w:rPr>
          <w:noProof/>
          <w:lang w:val="en-IE"/>
        </w:rPr>
        <w:t>, the continued use in the Union of such third-country benchmarks by supervised entities would be significantly impaired</w:t>
      </w:r>
      <w:r w:rsidR="00AD5F7C">
        <w:rPr>
          <w:noProof/>
          <w:lang w:val="en-IE"/>
        </w:rPr>
        <w:t xml:space="preserve"> or would pose a risk to financial stability</w:t>
      </w:r>
      <w:r w:rsidRPr="00101CF7">
        <w:rPr>
          <w:noProof/>
          <w:lang w:val="en-IE"/>
        </w:rPr>
        <w:t xml:space="preserve">. Therefore, the Commission </w:t>
      </w:r>
      <w:r>
        <w:rPr>
          <w:noProof/>
          <w:lang w:val="en-IE"/>
        </w:rPr>
        <w:t xml:space="preserve">has </w:t>
      </w:r>
      <w:r w:rsidRPr="00101CF7">
        <w:rPr>
          <w:noProof/>
          <w:lang w:val="en-IE"/>
        </w:rPr>
        <w:t xml:space="preserve">decided to make use of the empowerment in Article 54(7) to adopt a delegated act postponing the entry into application of the rules governing the use of non-EU benchmarks until </w:t>
      </w:r>
      <w:r>
        <w:rPr>
          <w:noProof/>
          <w:lang w:val="en-IE"/>
        </w:rPr>
        <w:t>31 December 2025</w:t>
      </w:r>
      <w:r w:rsidRPr="00101CF7">
        <w:rPr>
          <w:noProof/>
          <w:lang w:val="en-IE"/>
        </w:rPr>
        <w:t>. Noting the differences between the EU regime and other jurisdictions, the Commission continues monitoring the application of the BMR in the EU and the related financial stability risks to inform a possible review of the legal regime in the future.</w:t>
      </w:r>
      <w:r w:rsidR="00E53FCD" w:rsidRPr="009F391A">
        <w:rPr>
          <w:bCs/>
          <w:noProof/>
          <w:lang w:val="en-IE"/>
        </w:rPr>
        <w:t xml:space="preserve"> </w:t>
      </w:r>
    </w:p>
    <w:p w14:paraId="3998161B" w14:textId="77777777" w:rsidR="00E53FCD" w:rsidRPr="009F391A" w:rsidRDefault="00E53FCD" w:rsidP="00E53FCD">
      <w:pPr>
        <w:pStyle w:val="Heading2"/>
        <w:numPr>
          <w:ilvl w:val="0"/>
          <w:numId w:val="0"/>
        </w:numPr>
        <w:ind w:left="1200"/>
        <w:rPr>
          <w:noProof/>
          <w:lang w:val="en-IE"/>
        </w:rPr>
      </w:pPr>
    </w:p>
    <w:p w14:paraId="5339F6F9" w14:textId="77777777" w:rsidR="00E53FCD" w:rsidRPr="009F391A" w:rsidRDefault="00E53FCD" w:rsidP="00E53FCD">
      <w:pPr>
        <w:rPr>
          <w:noProof/>
          <w:lang w:val="en-IE"/>
        </w:rPr>
      </w:pPr>
    </w:p>
    <w:p w14:paraId="13BF3C39" w14:textId="7682D5D8" w:rsidR="006A3B46" w:rsidRPr="009F391A" w:rsidRDefault="006A3B46" w:rsidP="000B1020">
      <w:pPr>
        <w:pStyle w:val="Heading1"/>
        <w:numPr>
          <w:ilvl w:val="0"/>
          <w:numId w:val="0"/>
        </w:numPr>
        <w:rPr>
          <w:noProof/>
          <w:lang w:val="en-IE"/>
        </w:rPr>
      </w:pPr>
    </w:p>
    <w:sectPr w:rsidR="006A3B46" w:rsidRPr="009F391A" w:rsidSect="00CF200E">
      <w:headerReference w:type="even" r:id="rId24"/>
      <w:headerReference w:type="default" r:id="rId25"/>
      <w:footerReference w:type="even" r:id="rId26"/>
      <w:footerReference w:type="default" r:id="rId27"/>
      <w:headerReference w:type="first" r:id="rId28"/>
      <w:footerReference w:type="first" r:id="rId2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D6F8E" w14:textId="77777777" w:rsidR="00297566" w:rsidRDefault="00297566">
      <w:pPr>
        <w:spacing w:after="0"/>
      </w:pPr>
      <w:r>
        <w:separator/>
      </w:r>
    </w:p>
  </w:endnote>
  <w:endnote w:type="continuationSeparator" w:id="0">
    <w:p w14:paraId="5ED960E2" w14:textId="77777777" w:rsidR="00297566" w:rsidRDefault="002975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597A" w14:textId="76BC8962" w:rsidR="0014166E" w:rsidRPr="004D1D09" w:rsidRDefault="0014166E" w:rsidP="004D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68" w14:textId="00CD6FF9" w:rsidR="0014166E" w:rsidRPr="004D1D09" w:rsidRDefault="004D1D09" w:rsidP="004D1D09">
    <w:pPr>
      <w:pStyle w:val="FooterCoverPage"/>
      <w:rPr>
        <w:rFonts w:ascii="Arial" w:hAnsi="Arial" w:cs="Arial"/>
        <w:b/>
        <w:sz w:val="48"/>
      </w:rPr>
    </w:pPr>
    <w:r w:rsidRPr="004D1D09">
      <w:rPr>
        <w:rFonts w:ascii="Arial" w:hAnsi="Arial" w:cs="Arial"/>
        <w:b/>
        <w:sz w:val="48"/>
      </w:rPr>
      <w:t>EN</w:t>
    </w:r>
    <w:r w:rsidRPr="004D1D09">
      <w:rPr>
        <w:rFonts w:ascii="Arial" w:hAnsi="Arial" w:cs="Arial"/>
        <w:b/>
        <w:sz w:val="48"/>
      </w:rPr>
      <w:tab/>
    </w:r>
    <w:r w:rsidRPr="004D1D09">
      <w:rPr>
        <w:rFonts w:ascii="Arial" w:hAnsi="Arial" w:cs="Arial"/>
        <w:b/>
        <w:sz w:val="48"/>
      </w:rPr>
      <w:tab/>
    </w:r>
    <w:r w:rsidRPr="004D1D09">
      <w:tab/>
    </w:r>
    <w:r w:rsidRPr="004D1D0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028B" w14:textId="77777777" w:rsidR="004D1D09" w:rsidRPr="004D1D09" w:rsidRDefault="004D1D09" w:rsidP="004D1D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31C9" w14:textId="77777777" w:rsidR="00CF200E" w:rsidRDefault="00CF200E">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715F" w14:textId="38847E55" w:rsidR="00CF200E" w:rsidRDefault="00CF200E">
    <w:pPr>
      <w:pStyle w:val="FooterLine"/>
      <w:jc w:val="center"/>
    </w:pPr>
    <w:r>
      <w:fldChar w:fldCharType="begin"/>
    </w:r>
    <w:r>
      <w:instrText>PAGE   \* MERGEFORMAT</w:instrText>
    </w:r>
    <w:r>
      <w:fldChar w:fldCharType="separate"/>
    </w:r>
    <w:r w:rsidR="004D1D09">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878E" w14:textId="04C917CF" w:rsidR="00CF200E" w:rsidRPr="00CF200E" w:rsidRDefault="00CF200E" w:rsidP="00CF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E2DB" w14:textId="77777777" w:rsidR="00297566" w:rsidRDefault="00297566">
      <w:pPr>
        <w:spacing w:after="0"/>
      </w:pPr>
      <w:r>
        <w:separator/>
      </w:r>
    </w:p>
  </w:footnote>
  <w:footnote w:type="continuationSeparator" w:id="0">
    <w:p w14:paraId="6ABE6313" w14:textId="77777777" w:rsidR="00297566" w:rsidRDefault="00297566">
      <w:pPr>
        <w:spacing w:after="0"/>
      </w:pPr>
      <w:r>
        <w:continuationSeparator/>
      </w:r>
    </w:p>
  </w:footnote>
  <w:footnote w:id="1">
    <w:p w14:paraId="36E3BF99" w14:textId="77777777" w:rsidR="00506DEC" w:rsidRPr="00506DEC" w:rsidRDefault="00506DEC" w:rsidP="00506DEC">
      <w:pPr>
        <w:pStyle w:val="FootnoteText"/>
        <w:rPr>
          <w:lang w:val="en-IE"/>
        </w:rPr>
      </w:pPr>
      <w:r>
        <w:t>(</w:t>
      </w:r>
      <w:r>
        <w:rPr>
          <w:rStyle w:val="FootnoteReference"/>
        </w:rPr>
        <w:footnoteRef/>
      </w:r>
      <w:r>
        <w:t>)</w:t>
      </w:r>
      <w:r>
        <w:tab/>
      </w:r>
      <w:r w:rsidRPr="009F391A">
        <w:rPr>
          <w:lang w:val="en-IE"/>
        </w:rPr>
        <w:t>An index is a statistical measure, typically of a price or quantity, calculated or determined from a representative set of underlying data.</w:t>
      </w:r>
    </w:p>
  </w:footnote>
  <w:footnote w:id="2">
    <w:p w14:paraId="05C495B8" w14:textId="40B171F7" w:rsidR="00FB3ACD" w:rsidRPr="002A55FC" w:rsidRDefault="00FB3ACD">
      <w:pPr>
        <w:pStyle w:val="FootnoteText"/>
        <w:rPr>
          <w:lang w:val="en-IE"/>
        </w:rPr>
      </w:pPr>
      <w:r>
        <w:t>(</w:t>
      </w:r>
      <w:r>
        <w:rPr>
          <w:rStyle w:val="FootnoteReference"/>
        </w:rPr>
        <w:footnoteRef/>
      </w:r>
      <w:r>
        <w:t>)</w:t>
      </w:r>
      <w:r>
        <w:tab/>
        <w:t>Supervised entities are defined in Art. 3(1)(17) of the BMR.</w:t>
      </w:r>
    </w:p>
  </w:footnote>
  <w:footnote w:id="3">
    <w:p w14:paraId="1F9F8ED2" w14:textId="77777777" w:rsidR="00506DEC" w:rsidRPr="00CF6913" w:rsidRDefault="00506DEC" w:rsidP="00506DEC">
      <w:pPr>
        <w:pStyle w:val="FootnoteText"/>
        <w:rPr>
          <w:lang w:val="en-IE"/>
        </w:rPr>
      </w:pPr>
      <w:r w:rsidRPr="00CF6913">
        <w:rPr>
          <w:lang w:val="en-IE"/>
        </w:rPr>
        <w:t>(</w:t>
      </w:r>
      <w:r w:rsidRPr="00CF6913">
        <w:rPr>
          <w:rStyle w:val="FootnoteReference"/>
          <w:lang w:val="en-IE"/>
        </w:rPr>
        <w:footnoteRef/>
      </w:r>
      <w:r w:rsidRPr="00CF6913">
        <w:rPr>
          <w:lang w:val="en-IE"/>
        </w:rPr>
        <w:t xml:space="preserve">) According to information received from ESMA, which is based on data from Rimes </w:t>
      </w:r>
      <w:hyperlink w:history="1">
        <w:r w:rsidRPr="00CF6913">
          <w:rPr>
            <w:rStyle w:val="Hyperlink"/>
            <w:lang w:val="en-IE"/>
          </w:rPr>
          <w:t>Technologies - Data Management for Financial Services</w:t>
        </w:r>
      </w:hyperlink>
      <w:r w:rsidRPr="00CF6913">
        <w:rPr>
          <w:lang w:val="en-IE"/>
        </w:rPr>
        <w:t xml:space="preserve"> (www.rimes.com).</w:t>
      </w:r>
    </w:p>
  </w:footnote>
  <w:footnote w:id="4">
    <w:p w14:paraId="010BEC4A" w14:textId="403C46AB" w:rsidR="00AD71D9" w:rsidRPr="002A55FC" w:rsidRDefault="00AD71D9">
      <w:pPr>
        <w:pStyle w:val="FootnoteText"/>
        <w:rPr>
          <w:lang w:val="en-IE"/>
        </w:rPr>
      </w:pPr>
      <w:r>
        <w:t>(</w:t>
      </w:r>
      <w:r>
        <w:rPr>
          <w:rStyle w:val="FootnoteReference"/>
        </w:rPr>
        <w:footnoteRef/>
      </w:r>
      <w:r>
        <w:t>)</w:t>
      </w:r>
      <w:r>
        <w:tab/>
        <w:t>Notably Art. 29(1)</w:t>
      </w:r>
      <w:r>
        <w:rPr>
          <w:i/>
          <w:iCs/>
        </w:rPr>
        <w:t xml:space="preserve"> in fine</w:t>
      </w:r>
      <w:r>
        <w:t xml:space="preserve"> and Artt. 30-33 of the BMR.</w:t>
      </w:r>
    </w:p>
  </w:footnote>
  <w:footnote w:id="5">
    <w:p w14:paraId="5074E1D1" w14:textId="40B4642E"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For all benchmarks except EU critical benchmarks</w:t>
      </w:r>
      <w:r w:rsidR="00DE5C33">
        <w:rPr>
          <w:lang w:val="en-IE"/>
        </w:rPr>
        <w:t>.</w:t>
      </w:r>
    </w:p>
  </w:footnote>
  <w:footnote w:id="6">
    <w:p w14:paraId="2F07F9ED" w14:textId="3483830E"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EU critical benchmarks are supervised by ESMA</w:t>
      </w:r>
      <w:r w:rsidR="00DE5C33">
        <w:rPr>
          <w:lang w:val="en-IE"/>
        </w:rPr>
        <w:t>.</w:t>
      </w:r>
    </w:p>
  </w:footnote>
  <w:footnote w:id="7">
    <w:p w14:paraId="5673E9DB" w14:textId="48926603" w:rsidR="00EC71F3" w:rsidRPr="002A55FC" w:rsidRDefault="00EC71F3">
      <w:pPr>
        <w:pStyle w:val="FootnoteText"/>
        <w:rPr>
          <w:lang w:val="en-IE"/>
        </w:rPr>
      </w:pPr>
      <w:r>
        <w:t>(</w:t>
      </w:r>
      <w:r>
        <w:rPr>
          <w:rStyle w:val="FootnoteReference"/>
        </w:rPr>
        <w:footnoteRef/>
      </w:r>
      <w:r>
        <w:t>)</w:t>
      </w:r>
      <w:r>
        <w:tab/>
        <w:t>E.g., there is a graduation between critical, significant, and non-significant benchmarks on the basis of the volume of financial contracts and financial instruments referencing a benchmark, with administrators of the latter two categories having the option of disapplying certain requirements on a comply-or-explain basis (see Artt. 25 and 26 BMR). In addition, benchmarks using input data regulated at source (so-called regulated data benchmarks) are subject to less stringent rules on controls of input data (see Art. 17 BMR).</w:t>
      </w:r>
    </w:p>
  </w:footnote>
  <w:footnote w:id="8">
    <w:p w14:paraId="775A4EC8" w14:textId="77777777" w:rsidR="008A5149" w:rsidRPr="002C4050" w:rsidRDefault="008A5149" w:rsidP="008A5149">
      <w:pPr>
        <w:pStyle w:val="FootnoteText"/>
        <w:rPr>
          <w:lang w:val="en-IE"/>
        </w:rPr>
      </w:pPr>
      <w:r>
        <w:t>(</w:t>
      </w:r>
      <w:r>
        <w:rPr>
          <w:rStyle w:val="FootnoteReference"/>
        </w:rPr>
        <w:footnoteRef/>
      </w:r>
      <w:r>
        <w:t>)</w:t>
      </w:r>
      <w:r>
        <w:tab/>
        <w:t xml:space="preserve">By </w:t>
      </w:r>
      <w:r w:rsidRPr="008A5149">
        <w:rPr>
          <w:lang w:val="en-IE"/>
        </w:rPr>
        <w:t>Regulation (EU) 2019/2089</w:t>
      </w:r>
      <w:r w:rsidRPr="002C4050">
        <w:rPr>
          <w:lang w:val="en-IE"/>
        </w:rPr>
        <w:t xml:space="preserve"> and </w:t>
      </w:r>
      <w:r w:rsidRPr="008A5149">
        <w:rPr>
          <w:lang w:val="en-IE"/>
        </w:rPr>
        <w:t>Regulation (EU) 2021/168</w:t>
      </w:r>
      <w:r>
        <w:rPr>
          <w:lang w:val="en-IE"/>
        </w:rPr>
        <w:t>.</w:t>
      </w:r>
    </w:p>
  </w:footnote>
  <w:footnote w:id="9">
    <w:p w14:paraId="7CC9678F" w14:textId="4694312D" w:rsidR="001C36ED" w:rsidRPr="002A55FC" w:rsidRDefault="001C36ED">
      <w:pPr>
        <w:pStyle w:val="FootnoteText"/>
        <w:rPr>
          <w:lang w:val="en-IE"/>
        </w:rPr>
      </w:pPr>
      <w:r>
        <w:t>(</w:t>
      </w:r>
      <w:r>
        <w:rPr>
          <w:rStyle w:val="FootnoteReference"/>
        </w:rPr>
        <w:footnoteRef/>
      </w:r>
      <w:r>
        <w:t>)</w:t>
      </w:r>
      <w:r>
        <w:tab/>
        <w:t xml:space="preserve">See the Impact Assessment Report at: </w:t>
      </w:r>
      <w:hyperlink r:id="rId1" w:history="1">
        <w:r w:rsidRPr="00D97BDF">
          <w:rPr>
            <w:rStyle w:val="Hyperlink"/>
          </w:rPr>
          <w:t>https://eur-lex.europa.eu/legal-content/EN/TXT/?uri=CELEX%3A52020SC0142</w:t>
        </w:r>
      </w:hyperlink>
      <w:r>
        <w:t xml:space="preserve"> </w:t>
      </w:r>
    </w:p>
  </w:footnote>
  <w:footnote w:id="10">
    <w:p w14:paraId="117350D3" w14:textId="16502C81"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Articles 54(6) and 54(7) BMR.</w:t>
      </w:r>
    </w:p>
  </w:footnote>
  <w:footnote w:id="11">
    <w:p w14:paraId="7CE6D5A9" w14:textId="34E36845" w:rsidR="001C36ED" w:rsidRPr="002A55FC" w:rsidRDefault="001C36ED">
      <w:pPr>
        <w:pStyle w:val="FootnoteText"/>
        <w:rPr>
          <w:lang w:val="en-IE"/>
        </w:rPr>
      </w:pPr>
      <w:r>
        <w:t>(</w:t>
      </w:r>
      <w:r>
        <w:rPr>
          <w:rStyle w:val="FootnoteReference"/>
        </w:rPr>
        <w:footnoteRef/>
      </w:r>
      <w:r>
        <w:t>)</w:t>
      </w:r>
      <w:r>
        <w:tab/>
        <w:t>Notably Art. 29(1)</w:t>
      </w:r>
      <w:r>
        <w:rPr>
          <w:i/>
          <w:iCs/>
        </w:rPr>
        <w:t xml:space="preserve"> in fine</w:t>
      </w:r>
      <w:r>
        <w:t xml:space="preserve"> and Artt. 30-33 of the BMR.</w:t>
      </w:r>
    </w:p>
  </w:footnote>
  <w:footnote w:id="12">
    <w:p w14:paraId="0FF06128" w14:textId="4D2C8070"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Article 20(1)(a) BMR</w:t>
      </w:r>
      <w:r w:rsidR="00473EEF">
        <w:rPr>
          <w:lang w:val="en-IE"/>
        </w:rPr>
        <w:t>, which requires that a benchmark is referenced by a total amount of financial contracts and financial instruments of at least EUR 500 billion.</w:t>
      </w:r>
    </w:p>
  </w:footnote>
  <w:footnote w:id="13">
    <w:p w14:paraId="13CBFF58" w14:textId="631877A1"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Article 20(1)(b) BMR</w:t>
      </w:r>
      <w:r w:rsidR="00473EEF">
        <w:rPr>
          <w:lang w:val="en-IE"/>
        </w:rPr>
        <w:t>.</w:t>
      </w:r>
    </w:p>
  </w:footnote>
  <w:footnote w:id="14">
    <w:p w14:paraId="797E942A" w14:textId="3AE0A5AE" w:rsidR="000A6C43" w:rsidRPr="000A6C43" w:rsidRDefault="000A6C43">
      <w:pPr>
        <w:pStyle w:val="FootnoteText"/>
        <w:rPr>
          <w:lang w:val="en-IE"/>
        </w:rPr>
      </w:pPr>
      <w:r>
        <w:t>(</w:t>
      </w:r>
      <w:r>
        <w:rPr>
          <w:rStyle w:val="FootnoteReference"/>
        </w:rPr>
        <w:footnoteRef/>
      </w:r>
      <w:r>
        <w:t>)</w:t>
      </w:r>
      <w:r>
        <w:tab/>
        <w:t>Having obtained access to the EU market via recognition or endorsement.</w:t>
      </w:r>
      <w:r w:rsidR="00F1037E">
        <w:t xml:space="preserve"> This is in addition to an unknown number of non-EU administrators offering significant benchmarks in the EU under the transitional provisions.</w:t>
      </w:r>
    </w:p>
  </w:footnote>
  <w:footnote w:id="15">
    <w:p w14:paraId="140F9535" w14:textId="632A9FE7" w:rsidR="00E53FCD" w:rsidRPr="00CF6913" w:rsidRDefault="00E13F48" w:rsidP="00E07560">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i.e., benchmarks referenced by a total amount of financial contracts and financial instruments in excess of EUR 50 billion</w:t>
      </w:r>
      <w:r w:rsidR="00F87DE1">
        <w:rPr>
          <w:lang w:val="en-IE"/>
        </w:rPr>
        <w:t xml:space="preserve">, or </w:t>
      </w:r>
      <w:r w:rsidR="00E07560">
        <w:rPr>
          <w:lang w:val="en-IE"/>
        </w:rPr>
        <w:t>[which have]</w:t>
      </w:r>
      <w:r w:rsidR="00E07560" w:rsidRPr="00E07560">
        <w:rPr>
          <w:lang w:val="en-IE"/>
        </w:rPr>
        <w:t xml:space="preserve"> no or very few appropriate market-led substitutes and </w:t>
      </w:r>
      <w:r w:rsidR="00E07560">
        <w:rPr>
          <w:lang w:val="en-IE"/>
        </w:rPr>
        <w:t>[could cause]</w:t>
      </w:r>
      <w:r w:rsidR="00E07560" w:rsidRPr="00E07560">
        <w:rPr>
          <w:lang w:val="en-IE"/>
        </w:rPr>
        <w:t xml:space="preserve"> a significant and adverse impact on market integrity, financial stability, consumers, the real economy or the financing of households or businesses in one or more Member States.</w:t>
      </w:r>
    </w:p>
  </w:footnote>
  <w:footnote w:id="16">
    <w:p w14:paraId="34DBDB9C" w14:textId="2A58406F"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Hedge Fund Research, Inc. (USA), </w:t>
      </w:r>
      <w:r w:rsidR="00E87563" w:rsidRPr="00E87563">
        <w:rPr>
          <w:lang w:val="en-IE"/>
        </w:rPr>
        <w:t>ICAP information Services Limited</w:t>
      </w:r>
      <w:r w:rsidR="00E87563">
        <w:rPr>
          <w:lang w:val="en-IE"/>
        </w:rPr>
        <w:t xml:space="preserve"> (UK), </w:t>
      </w:r>
      <w:r w:rsidR="00E53FCD" w:rsidRPr="00CF6913">
        <w:rPr>
          <w:lang w:val="en-IE"/>
        </w:rPr>
        <w:t xml:space="preserve">Invesco Indexing LLC (USA), JPX Market Innovation &amp; Research, Inc. </w:t>
      </w:r>
      <w:r w:rsidR="00E53FCD" w:rsidRPr="0024305C">
        <w:rPr>
          <w:lang w:val="de-DE"/>
        </w:rPr>
        <w:t xml:space="preserve">(Japan), Leonteq Securities AG (Switzerland), LPX AG (Switzerland), Nikkei Inc. (Japan), Scientific Infra Pte Ltd (Singapore), STOXX Ltd. (Switzerland), WisdomTree, Inc. </w:t>
      </w:r>
      <w:r w:rsidR="00E53FCD" w:rsidRPr="00CF6913">
        <w:rPr>
          <w:lang w:val="en-IE"/>
        </w:rPr>
        <w:t>(USA).</w:t>
      </w:r>
    </w:p>
  </w:footnote>
  <w:footnote w:id="17">
    <w:p w14:paraId="3FB12D54" w14:textId="52070E88" w:rsidR="0065595F" w:rsidRPr="00CF6913" w:rsidRDefault="0065595F">
      <w:pPr>
        <w:pStyle w:val="FootnoteText"/>
        <w:rPr>
          <w:lang w:val="en-IE"/>
        </w:rPr>
      </w:pPr>
      <w:r w:rsidRPr="00CF6913">
        <w:rPr>
          <w:lang w:val="en-IE"/>
        </w:rPr>
        <w:t>(</w:t>
      </w:r>
      <w:r w:rsidRPr="00CF6913">
        <w:rPr>
          <w:rStyle w:val="FootnoteReference"/>
          <w:lang w:val="en-IE"/>
        </w:rPr>
        <w:footnoteRef/>
      </w:r>
      <w:r w:rsidRPr="00CF6913">
        <w:rPr>
          <w:lang w:val="en-IE"/>
        </w:rPr>
        <w:t>)</w:t>
      </w:r>
      <w:r w:rsidRPr="00CF6913">
        <w:rPr>
          <w:lang w:val="en-IE"/>
        </w:rPr>
        <w:tab/>
        <w:t>Once the third country rules start to apply</w:t>
      </w:r>
      <w:r w:rsidR="00935936">
        <w:rPr>
          <w:lang w:val="en-IE"/>
        </w:rPr>
        <w:t>.</w:t>
      </w:r>
    </w:p>
  </w:footnote>
  <w:footnote w:id="18">
    <w:p w14:paraId="7D876D99" w14:textId="33BB1929" w:rsidR="003F60A0" w:rsidRPr="002A55FC" w:rsidRDefault="003F60A0">
      <w:pPr>
        <w:pStyle w:val="FootnoteText"/>
        <w:rPr>
          <w:lang w:val="en-IE"/>
        </w:rPr>
      </w:pPr>
      <w:r>
        <w:t>(</w:t>
      </w:r>
      <w:r>
        <w:rPr>
          <w:rStyle w:val="FootnoteReference"/>
        </w:rPr>
        <w:footnoteRef/>
      </w:r>
      <w:r>
        <w:t>)</w:t>
      </w:r>
      <w:r>
        <w:tab/>
        <w:t>Reported by ESMA on the basis of a commercial database.</w:t>
      </w:r>
    </w:p>
  </w:footnote>
  <w:footnote w:id="19">
    <w:p w14:paraId="60A780FB" w14:textId="196F4877" w:rsidR="00E53FCD" w:rsidRPr="00CF6913" w:rsidRDefault="00E13F48" w:rsidP="00E53FCD">
      <w:pPr>
        <w:pStyle w:val="FootnoteText"/>
        <w:rPr>
          <w:lang w:val="en-IE"/>
        </w:rPr>
      </w:pPr>
      <w:r w:rsidRPr="00CF6913">
        <w:rPr>
          <w:lang w:val="en-IE"/>
        </w:rPr>
        <w:t>(</w:t>
      </w:r>
      <w:r w:rsidR="00E53FCD" w:rsidRPr="00CF6913">
        <w:rPr>
          <w:rStyle w:val="FootnoteReference"/>
          <w:lang w:val="en-IE"/>
        </w:rPr>
        <w:footnoteRef/>
      </w:r>
      <w:r w:rsidRPr="00CF6913">
        <w:rPr>
          <w:lang w:val="en-IE"/>
        </w:rPr>
        <w:t>)</w:t>
      </w:r>
      <w:r w:rsidR="00E53FCD" w:rsidRPr="00CF6913">
        <w:rPr>
          <w:lang w:val="en-IE"/>
        </w:rPr>
        <w:t xml:space="preserve"> The category “Other” includes: Chile</w:t>
      </w:r>
      <w:r w:rsidR="00B853CE">
        <w:rPr>
          <w:lang w:val="en-IE"/>
        </w:rPr>
        <w:t xml:space="preserve">, </w:t>
      </w:r>
      <w:r w:rsidR="00E53FCD" w:rsidRPr="00CF6913">
        <w:rPr>
          <w:lang w:val="en-IE"/>
        </w:rPr>
        <w:t>India</w:t>
      </w:r>
      <w:r w:rsidR="00B853CE">
        <w:rPr>
          <w:lang w:val="en-IE"/>
        </w:rPr>
        <w:t xml:space="preserve">, </w:t>
      </w:r>
      <w:r w:rsidR="00E53FCD" w:rsidRPr="00CF6913">
        <w:rPr>
          <w:lang w:val="en-IE"/>
        </w:rPr>
        <w:t>New Zealand</w:t>
      </w:r>
      <w:r w:rsidR="00B853CE">
        <w:rPr>
          <w:lang w:val="en-IE"/>
        </w:rPr>
        <w:t xml:space="preserve">, the </w:t>
      </w:r>
      <w:r w:rsidR="00E53FCD" w:rsidRPr="00CF6913">
        <w:rPr>
          <w:lang w:val="en-IE"/>
        </w:rPr>
        <w:t>Russian Federation</w:t>
      </w:r>
      <w:r w:rsidR="00B853CE">
        <w:rPr>
          <w:lang w:val="en-IE"/>
        </w:rPr>
        <w:t xml:space="preserve">, </w:t>
      </w:r>
      <w:r w:rsidR="00E53FCD" w:rsidRPr="00CF6913">
        <w:rPr>
          <w:lang w:val="en-IE"/>
        </w:rPr>
        <w:t>Singapore</w:t>
      </w:r>
      <w:r w:rsidR="00B853CE">
        <w:rPr>
          <w:lang w:val="en-IE"/>
        </w:rPr>
        <w:t xml:space="preserve"> and </w:t>
      </w:r>
      <w:r w:rsidR="00E53FCD" w:rsidRPr="00CF6913">
        <w:rPr>
          <w:lang w:val="en-IE"/>
        </w:rPr>
        <w:t xml:space="preserve">South Africa (with </w:t>
      </w:r>
      <w:r w:rsidR="00B853CE">
        <w:rPr>
          <w:lang w:val="en-IE"/>
        </w:rPr>
        <w:t>three</w:t>
      </w:r>
      <w:r w:rsidR="00B853CE" w:rsidRPr="00CF6913">
        <w:rPr>
          <w:lang w:val="en-IE"/>
        </w:rPr>
        <w:t xml:space="preserve"> </w:t>
      </w:r>
      <w:r w:rsidR="00E53FCD" w:rsidRPr="00CF6913">
        <w:rPr>
          <w:lang w:val="en-IE"/>
        </w:rPr>
        <w:t xml:space="preserve">administrators each); </w:t>
      </w:r>
      <w:r w:rsidR="00B853CE">
        <w:rPr>
          <w:lang w:val="en-IE"/>
        </w:rPr>
        <w:t xml:space="preserve">the </w:t>
      </w:r>
      <w:r w:rsidR="00E53FCD" w:rsidRPr="00CF6913">
        <w:rPr>
          <w:lang w:val="en-IE"/>
        </w:rPr>
        <w:t>United Arab Emirates</w:t>
      </w:r>
      <w:r w:rsidR="000E0DF9">
        <w:rPr>
          <w:lang w:val="en-IE"/>
        </w:rPr>
        <w:t xml:space="preserve">, </w:t>
      </w:r>
      <w:r w:rsidR="00E53FCD" w:rsidRPr="00CF6913">
        <w:rPr>
          <w:lang w:val="en-IE"/>
        </w:rPr>
        <w:t>Argentina</w:t>
      </w:r>
      <w:r w:rsidR="000E0DF9">
        <w:rPr>
          <w:lang w:val="en-IE"/>
        </w:rPr>
        <w:t xml:space="preserve">, </w:t>
      </w:r>
      <w:r w:rsidR="00E53FCD" w:rsidRPr="00CF6913">
        <w:rPr>
          <w:lang w:val="en-IE"/>
        </w:rPr>
        <w:t>Australia</w:t>
      </w:r>
      <w:r w:rsidR="000E0DF9">
        <w:rPr>
          <w:lang w:val="en-IE"/>
        </w:rPr>
        <w:t xml:space="preserve">, </w:t>
      </w:r>
      <w:r w:rsidR="00E53FCD" w:rsidRPr="00CF6913">
        <w:rPr>
          <w:lang w:val="en-IE"/>
        </w:rPr>
        <w:t>Bahrain</w:t>
      </w:r>
      <w:r w:rsidR="000E0DF9">
        <w:rPr>
          <w:lang w:val="en-IE"/>
        </w:rPr>
        <w:t xml:space="preserve">, </w:t>
      </w:r>
      <w:r w:rsidR="00E53FCD" w:rsidRPr="00CF6913">
        <w:rPr>
          <w:lang w:val="en-IE"/>
        </w:rPr>
        <w:t>Brazil</w:t>
      </w:r>
      <w:r w:rsidR="000E0DF9">
        <w:rPr>
          <w:lang w:val="en-IE"/>
        </w:rPr>
        <w:t xml:space="preserve">, </w:t>
      </w:r>
      <w:r w:rsidR="00E53FCD" w:rsidRPr="00CF6913">
        <w:rPr>
          <w:lang w:val="en-IE"/>
        </w:rPr>
        <w:t>Egypt</w:t>
      </w:r>
      <w:r w:rsidR="000E0DF9">
        <w:rPr>
          <w:lang w:val="en-IE"/>
        </w:rPr>
        <w:t xml:space="preserve">, </w:t>
      </w:r>
      <w:r w:rsidR="00E53FCD" w:rsidRPr="00CF6913">
        <w:rPr>
          <w:lang w:val="en-IE"/>
        </w:rPr>
        <w:t>Indonesia</w:t>
      </w:r>
      <w:r w:rsidR="000E0DF9">
        <w:rPr>
          <w:lang w:val="en-IE"/>
        </w:rPr>
        <w:t xml:space="preserve">, </w:t>
      </w:r>
      <w:r w:rsidR="00E53FCD" w:rsidRPr="00CF6913">
        <w:rPr>
          <w:lang w:val="en-IE"/>
        </w:rPr>
        <w:t>Israel</w:t>
      </w:r>
      <w:r w:rsidR="000E0DF9">
        <w:rPr>
          <w:lang w:val="en-IE"/>
        </w:rPr>
        <w:t xml:space="preserve">, </w:t>
      </w:r>
      <w:r w:rsidR="00E53FCD" w:rsidRPr="00CF6913">
        <w:rPr>
          <w:lang w:val="en-IE"/>
        </w:rPr>
        <w:t>Namibia</w:t>
      </w:r>
      <w:r w:rsidR="000E0DF9">
        <w:rPr>
          <w:lang w:val="en-IE"/>
        </w:rPr>
        <w:t xml:space="preserve">, </w:t>
      </w:r>
      <w:r w:rsidR="00E53FCD" w:rsidRPr="00CF6913">
        <w:rPr>
          <w:lang w:val="en-IE"/>
        </w:rPr>
        <w:t>Nigeria</w:t>
      </w:r>
      <w:r w:rsidR="000E0DF9">
        <w:rPr>
          <w:lang w:val="en-IE"/>
        </w:rPr>
        <w:t xml:space="preserve">, </w:t>
      </w:r>
      <w:r w:rsidR="00E53FCD" w:rsidRPr="00CF6913">
        <w:rPr>
          <w:lang w:val="en-IE"/>
        </w:rPr>
        <w:t>Philippines</w:t>
      </w:r>
      <w:r w:rsidR="000E0DF9">
        <w:rPr>
          <w:lang w:val="en-IE"/>
        </w:rPr>
        <w:t xml:space="preserve">, </w:t>
      </w:r>
      <w:r w:rsidR="00E53FCD" w:rsidRPr="00CF6913">
        <w:rPr>
          <w:lang w:val="en-IE"/>
        </w:rPr>
        <w:t>Thailand</w:t>
      </w:r>
      <w:r w:rsidR="000E0DF9">
        <w:rPr>
          <w:lang w:val="en-IE"/>
        </w:rPr>
        <w:t xml:space="preserve">, </w:t>
      </w:r>
      <w:r w:rsidR="00E53FCD" w:rsidRPr="00CF6913">
        <w:rPr>
          <w:lang w:val="en-IE"/>
        </w:rPr>
        <w:t>Turkiye</w:t>
      </w:r>
      <w:r w:rsidR="000E0DF9">
        <w:rPr>
          <w:lang w:val="en-IE"/>
        </w:rPr>
        <w:t xml:space="preserve"> and </w:t>
      </w:r>
      <w:r w:rsidR="00E53FCD" w:rsidRPr="00CF6913">
        <w:rPr>
          <w:lang w:val="en-IE"/>
        </w:rPr>
        <w:t>Viet</w:t>
      </w:r>
      <w:r w:rsidR="000E0DF9">
        <w:rPr>
          <w:lang w:val="en-IE"/>
        </w:rPr>
        <w:t>n</w:t>
      </w:r>
      <w:r w:rsidR="00E53FCD" w:rsidRPr="00CF6913">
        <w:rPr>
          <w:lang w:val="en-IE"/>
        </w:rPr>
        <w:t xml:space="preserve">am (with </w:t>
      </w:r>
      <w:r w:rsidR="000E0DF9">
        <w:rPr>
          <w:lang w:val="en-IE"/>
        </w:rPr>
        <w:t>two</w:t>
      </w:r>
      <w:r w:rsidR="000E0DF9" w:rsidRPr="00CF6913">
        <w:rPr>
          <w:lang w:val="en-IE"/>
        </w:rPr>
        <w:t xml:space="preserve"> </w:t>
      </w:r>
      <w:r w:rsidR="00E53FCD" w:rsidRPr="00CF6913">
        <w:rPr>
          <w:lang w:val="en-IE"/>
        </w:rPr>
        <w:t>administrators each) and Colombia</w:t>
      </w:r>
      <w:r w:rsidR="000E0DF9">
        <w:rPr>
          <w:lang w:val="en-IE"/>
        </w:rPr>
        <w:t xml:space="preserve">, </w:t>
      </w:r>
      <w:r w:rsidR="00E53FCD" w:rsidRPr="00CF6913">
        <w:rPr>
          <w:lang w:val="en-IE"/>
        </w:rPr>
        <w:t>Guernsey</w:t>
      </w:r>
      <w:r w:rsidR="000E0DF9">
        <w:rPr>
          <w:lang w:val="en-IE"/>
        </w:rPr>
        <w:t xml:space="preserve">, </w:t>
      </w:r>
      <w:r w:rsidR="00E53FCD" w:rsidRPr="00CF6913">
        <w:rPr>
          <w:lang w:val="en-IE"/>
        </w:rPr>
        <w:t>Jamaica</w:t>
      </w:r>
      <w:r w:rsidR="000E0DF9">
        <w:rPr>
          <w:lang w:val="en-IE"/>
        </w:rPr>
        <w:t xml:space="preserve">, </w:t>
      </w:r>
      <w:r w:rsidR="00E53FCD" w:rsidRPr="00CF6913">
        <w:rPr>
          <w:lang w:val="en-IE"/>
        </w:rPr>
        <w:t>Jordan</w:t>
      </w:r>
      <w:r w:rsidR="000E0DF9">
        <w:rPr>
          <w:lang w:val="en-IE"/>
        </w:rPr>
        <w:t xml:space="preserve">, </w:t>
      </w:r>
      <w:r w:rsidR="00E53FCD" w:rsidRPr="00CF6913">
        <w:rPr>
          <w:lang w:val="en-IE"/>
        </w:rPr>
        <w:t>Kenya</w:t>
      </w:r>
      <w:r w:rsidR="000E0DF9">
        <w:rPr>
          <w:lang w:val="en-IE"/>
        </w:rPr>
        <w:t xml:space="preserve">, </w:t>
      </w:r>
      <w:r w:rsidR="00E53FCD" w:rsidRPr="00CF6913">
        <w:rPr>
          <w:lang w:val="en-IE"/>
        </w:rPr>
        <w:t>Kuwait</w:t>
      </w:r>
      <w:r w:rsidR="000E0DF9">
        <w:rPr>
          <w:lang w:val="en-IE"/>
        </w:rPr>
        <w:t xml:space="preserve">, </w:t>
      </w:r>
      <w:r w:rsidR="00E53FCD" w:rsidRPr="00CF6913">
        <w:rPr>
          <w:lang w:val="en-IE"/>
        </w:rPr>
        <w:t>Kazakhstan</w:t>
      </w:r>
      <w:r w:rsidR="000E0DF9">
        <w:rPr>
          <w:lang w:val="en-IE"/>
        </w:rPr>
        <w:t xml:space="preserve">, </w:t>
      </w:r>
      <w:r w:rsidR="00E53FCD" w:rsidRPr="00CF6913">
        <w:rPr>
          <w:lang w:val="en-IE"/>
        </w:rPr>
        <w:t>Sri Lanka</w:t>
      </w:r>
      <w:r w:rsidR="000E0DF9">
        <w:rPr>
          <w:lang w:val="en-IE"/>
        </w:rPr>
        <w:t xml:space="preserve">, </w:t>
      </w:r>
      <w:r w:rsidR="00E53FCD" w:rsidRPr="00CF6913">
        <w:rPr>
          <w:lang w:val="en-IE"/>
        </w:rPr>
        <w:t>Morocco</w:t>
      </w:r>
      <w:r w:rsidR="000E0DF9">
        <w:rPr>
          <w:lang w:val="en-IE"/>
        </w:rPr>
        <w:t xml:space="preserve">, </w:t>
      </w:r>
      <w:r w:rsidR="00E53FCD" w:rsidRPr="00CF6913">
        <w:rPr>
          <w:lang w:val="en-IE"/>
        </w:rPr>
        <w:t>Montenegro</w:t>
      </w:r>
      <w:r w:rsidR="000E0DF9">
        <w:rPr>
          <w:lang w:val="en-IE"/>
        </w:rPr>
        <w:t xml:space="preserve">, </w:t>
      </w:r>
      <w:r w:rsidR="00E53FCD" w:rsidRPr="00CF6913">
        <w:rPr>
          <w:lang w:val="en-IE"/>
        </w:rPr>
        <w:t>Mauritius</w:t>
      </w:r>
      <w:r w:rsidR="000E0DF9">
        <w:rPr>
          <w:lang w:val="en-IE"/>
        </w:rPr>
        <w:t xml:space="preserve">, </w:t>
      </w:r>
      <w:r w:rsidR="00E53FCD" w:rsidRPr="00CF6913">
        <w:rPr>
          <w:lang w:val="en-IE"/>
        </w:rPr>
        <w:t>Mexico</w:t>
      </w:r>
      <w:r w:rsidR="000E0DF9">
        <w:rPr>
          <w:lang w:val="en-IE"/>
        </w:rPr>
        <w:t xml:space="preserve">, </w:t>
      </w:r>
      <w:r w:rsidR="00E53FCD" w:rsidRPr="00CF6913">
        <w:rPr>
          <w:lang w:val="en-IE"/>
        </w:rPr>
        <w:t>Malaysia</w:t>
      </w:r>
      <w:r w:rsidR="000E0DF9">
        <w:rPr>
          <w:lang w:val="en-IE"/>
        </w:rPr>
        <w:t xml:space="preserve">, </w:t>
      </w:r>
      <w:r w:rsidR="00E53FCD" w:rsidRPr="00CF6913">
        <w:rPr>
          <w:lang w:val="en-IE"/>
        </w:rPr>
        <w:t>Oman</w:t>
      </w:r>
      <w:r w:rsidR="000E0DF9">
        <w:rPr>
          <w:lang w:val="en-IE"/>
        </w:rPr>
        <w:t xml:space="preserve">, </w:t>
      </w:r>
      <w:r w:rsidR="00E53FCD" w:rsidRPr="00CF6913">
        <w:rPr>
          <w:lang w:val="en-IE"/>
        </w:rPr>
        <w:t>Panama</w:t>
      </w:r>
      <w:r w:rsidR="000E0DF9">
        <w:rPr>
          <w:lang w:val="en-IE"/>
        </w:rPr>
        <w:t xml:space="preserve">, </w:t>
      </w:r>
      <w:r w:rsidR="00E53FCD" w:rsidRPr="00CF6913">
        <w:rPr>
          <w:lang w:val="en-IE"/>
        </w:rPr>
        <w:t>Paki</w:t>
      </w:r>
      <w:r w:rsidR="000E0DF9">
        <w:rPr>
          <w:lang w:val="en-IE"/>
        </w:rPr>
        <w:t>s</w:t>
      </w:r>
      <w:r w:rsidR="00E53FCD" w:rsidRPr="00CF6913">
        <w:rPr>
          <w:lang w:val="en-IE"/>
        </w:rPr>
        <w:t>tan</w:t>
      </w:r>
      <w:r w:rsidR="000E0DF9">
        <w:rPr>
          <w:lang w:val="en-IE"/>
        </w:rPr>
        <w:t xml:space="preserve">, </w:t>
      </w:r>
      <w:r w:rsidR="00E53FCD" w:rsidRPr="00CF6913">
        <w:rPr>
          <w:lang w:val="en-IE"/>
        </w:rPr>
        <w:t>Qatar</w:t>
      </w:r>
      <w:r w:rsidR="000E0DF9">
        <w:rPr>
          <w:lang w:val="en-IE"/>
        </w:rPr>
        <w:t xml:space="preserve">, </w:t>
      </w:r>
      <w:r w:rsidR="00E53FCD" w:rsidRPr="00CF6913">
        <w:rPr>
          <w:lang w:val="en-IE"/>
        </w:rPr>
        <w:t>Serbia</w:t>
      </w:r>
      <w:r w:rsidR="000E0DF9">
        <w:rPr>
          <w:lang w:val="en-IE"/>
        </w:rPr>
        <w:t xml:space="preserve">, </w:t>
      </w:r>
      <w:r w:rsidR="00E53FCD" w:rsidRPr="00CF6913">
        <w:rPr>
          <w:lang w:val="en-IE"/>
        </w:rPr>
        <w:t>Saudi Arabia</w:t>
      </w:r>
      <w:r w:rsidR="000E0DF9">
        <w:rPr>
          <w:lang w:val="en-IE"/>
        </w:rPr>
        <w:t xml:space="preserve">, </w:t>
      </w:r>
      <w:r w:rsidR="00E53FCD" w:rsidRPr="00CF6913">
        <w:rPr>
          <w:lang w:val="en-IE"/>
        </w:rPr>
        <w:t>Tunisia</w:t>
      </w:r>
      <w:r w:rsidR="000E0DF9">
        <w:rPr>
          <w:lang w:val="en-IE"/>
        </w:rPr>
        <w:t xml:space="preserve">, </w:t>
      </w:r>
      <w:r w:rsidR="00E53FCD" w:rsidRPr="00CF6913">
        <w:rPr>
          <w:lang w:val="en-IE"/>
        </w:rPr>
        <w:t>Trinidad and Tobago</w:t>
      </w:r>
      <w:r w:rsidR="000E0DF9">
        <w:rPr>
          <w:lang w:val="en-IE"/>
        </w:rPr>
        <w:t xml:space="preserve">, </w:t>
      </w:r>
      <w:r w:rsidR="00E53FCD" w:rsidRPr="00CF6913">
        <w:rPr>
          <w:lang w:val="en-IE"/>
        </w:rPr>
        <w:t>Ukraine</w:t>
      </w:r>
      <w:r w:rsidR="000E0DF9">
        <w:rPr>
          <w:lang w:val="en-IE"/>
        </w:rPr>
        <w:t xml:space="preserve">, </w:t>
      </w:r>
      <w:r w:rsidR="00E53FCD" w:rsidRPr="00CF6913">
        <w:rPr>
          <w:lang w:val="en-IE"/>
        </w:rPr>
        <w:t>Uganda</w:t>
      </w:r>
      <w:r w:rsidR="000E0DF9">
        <w:rPr>
          <w:lang w:val="en-IE"/>
        </w:rPr>
        <w:t xml:space="preserve">, </w:t>
      </w:r>
      <w:r w:rsidR="00E53FCD" w:rsidRPr="00CF6913">
        <w:rPr>
          <w:lang w:val="en-IE"/>
        </w:rPr>
        <w:t>Zambia</w:t>
      </w:r>
      <w:r w:rsidR="000E0DF9">
        <w:rPr>
          <w:lang w:val="en-IE"/>
        </w:rPr>
        <w:t xml:space="preserve"> and </w:t>
      </w:r>
      <w:r w:rsidR="00E53FCD" w:rsidRPr="00CF6913">
        <w:rPr>
          <w:lang w:val="en-IE"/>
        </w:rPr>
        <w:t xml:space="preserve">Zimbabwe (with </w:t>
      </w:r>
      <w:r w:rsidR="000E0DF9">
        <w:rPr>
          <w:lang w:val="en-IE"/>
        </w:rPr>
        <w:t>one</w:t>
      </w:r>
      <w:r w:rsidR="000E0DF9" w:rsidRPr="00CF6913">
        <w:rPr>
          <w:lang w:val="en-IE"/>
        </w:rPr>
        <w:t xml:space="preserve"> </w:t>
      </w:r>
      <w:r w:rsidR="00E53FCD" w:rsidRPr="00CF6913">
        <w:rPr>
          <w:lang w:val="en-IE"/>
        </w:rPr>
        <w:t>administrator each).</w:t>
      </w:r>
    </w:p>
  </w:footnote>
  <w:footnote w:id="20">
    <w:p w14:paraId="4975FF12" w14:textId="29B1A7C5" w:rsidR="00E13F48" w:rsidRPr="00CF6913" w:rsidRDefault="00E13F48">
      <w:pPr>
        <w:pStyle w:val="FootnoteText"/>
        <w:rPr>
          <w:lang w:val="en-IE"/>
        </w:rPr>
      </w:pPr>
      <w:r w:rsidRPr="00CF6913">
        <w:rPr>
          <w:lang w:val="en-IE"/>
        </w:rPr>
        <w:t>(</w:t>
      </w:r>
      <w:r w:rsidRPr="00CF6913">
        <w:rPr>
          <w:rStyle w:val="FootnoteReference"/>
          <w:lang w:val="en-IE"/>
        </w:rPr>
        <w:footnoteRef/>
      </w:r>
      <w:r w:rsidRPr="00CF6913">
        <w:rPr>
          <w:lang w:val="en-IE"/>
        </w:rPr>
        <w:t>)</w:t>
      </w:r>
      <w:r w:rsidRPr="00CF6913">
        <w:rPr>
          <w:lang w:val="en-IE"/>
        </w:rPr>
        <w:tab/>
        <w:t xml:space="preserve">See </w:t>
      </w:r>
      <w:hyperlink r:id="rId2" w:history="1">
        <w:r w:rsidR="000B1020" w:rsidRPr="00CF6913">
          <w:rPr>
            <w:rStyle w:val="Hyperlink"/>
            <w:lang w:val="en-IE"/>
          </w:rPr>
          <w:t>https://finance.ec.europa.eu/regulation-and-supervision/consultations/finance-2022-benchmarks-third-country_en</w:t>
        </w:r>
      </w:hyperlink>
      <w:r w:rsidR="000B1020" w:rsidRPr="00CF6913">
        <w:rPr>
          <w:lang w:val="en-IE"/>
        </w:rPr>
        <w:t xml:space="preserve"> </w:t>
      </w:r>
      <w:r w:rsidRPr="00CF6913">
        <w:rPr>
          <w:lang w:val="en-IE"/>
        </w:rPr>
        <w:t>for a synopsis report of the responses to this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1E0F" w14:textId="77777777" w:rsidR="004D1D09" w:rsidRPr="004D1D09" w:rsidRDefault="004D1D09" w:rsidP="004D1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00B0" w14:textId="77777777" w:rsidR="004D1D09" w:rsidRPr="004D1D09" w:rsidRDefault="004D1D09" w:rsidP="004D1D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65927" w14:textId="77777777" w:rsidR="004D1D09" w:rsidRPr="004D1D09" w:rsidRDefault="004D1D09" w:rsidP="004D1D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F5B08" w14:textId="77777777" w:rsidR="00CF200E" w:rsidRDefault="00CF20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DA671" w14:textId="77777777" w:rsidR="00CF200E" w:rsidRDefault="00CF20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B811" w14:textId="77777777" w:rsidR="00CF200E" w:rsidRDefault="00CF2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4295"/>
    <w:multiLevelType w:val="hybridMultilevel"/>
    <w:tmpl w:val="7D383F26"/>
    <w:lvl w:ilvl="0" w:tplc="58B47FC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5144D2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318A73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5A420F0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B852A18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759092D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45BA5BF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9D6E290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7C8EBBB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8DFDF8"/>
    <w:multiLevelType w:val="multilevel"/>
    <w:tmpl w:val="7E4EDDC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A9C2E37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0D42DD7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multilevel"/>
    <w:tmpl w:val="0A90919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EC50543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9D08A15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FD34A9"/>
    <w:multiLevelType w:val="hybridMultilevel"/>
    <w:tmpl w:val="4E5E00CC"/>
    <w:lvl w:ilvl="0" w:tplc="58B47FCE">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D40940"/>
    <w:multiLevelType w:val="hybridMultilevel"/>
    <w:tmpl w:val="887C8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E662A"/>
    <w:multiLevelType w:val="multilevel"/>
    <w:tmpl w:val="3F68FE5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D9E60D9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0D828CF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D0B2DDF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A750400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4D418B2"/>
    <w:multiLevelType w:val="hybridMultilevel"/>
    <w:tmpl w:val="247AAC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F36B93"/>
    <w:multiLevelType w:val="hybridMultilevel"/>
    <w:tmpl w:val="CA22F4E2"/>
    <w:lvl w:ilvl="0" w:tplc="BAD05748">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5" w15:restartNumberingAfterBreak="0">
    <w:nsid w:val="63354106"/>
    <w:multiLevelType w:val="hybridMultilevel"/>
    <w:tmpl w:val="6FB262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39766B4"/>
    <w:multiLevelType w:val="hybridMultilevel"/>
    <w:tmpl w:val="7DDE1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77472E"/>
    <w:multiLevelType w:val="multilevel"/>
    <w:tmpl w:val="4986ED1A"/>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698141EC"/>
    <w:multiLevelType w:val="hybridMultilevel"/>
    <w:tmpl w:val="78DAD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CB613B"/>
    <w:multiLevelType w:val="hybridMultilevel"/>
    <w:tmpl w:val="1D048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7A363F"/>
    <w:multiLevelType w:val="hybridMultilevel"/>
    <w:tmpl w:val="7CC0782A"/>
    <w:lvl w:ilvl="0" w:tplc="58B47FCE">
      <w:numFmt w:val="bullet"/>
      <w:lvlText w:val="-"/>
      <w:lvlJc w:val="left"/>
      <w:pPr>
        <w:ind w:left="360" w:hanging="360"/>
      </w:pPr>
      <w:rPr>
        <w:rFonts w:ascii="Times New Roman" w:eastAsiaTheme="minorHAnsi"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68E7D3A"/>
    <w:multiLevelType w:val="hybridMultilevel"/>
    <w:tmpl w:val="AF5E1DC0"/>
    <w:lvl w:ilvl="0" w:tplc="BAD0574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C65145E"/>
    <w:multiLevelType w:val="multilevel"/>
    <w:tmpl w:val="D8CCB0D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13"/>
  </w:num>
  <w:num w:numId="3">
    <w:abstractNumId w:val="8"/>
  </w:num>
  <w:num w:numId="4">
    <w:abstractNumId w:val="14"/>
  </w:num>
  <w:num w:numId="5">
    <w:abstractNumId w:val="21"/>
  </w:num>
  <w:num w:numId="6">
    <w:abstractNumId w:val="27"/>
  </w:num>
  <w:num w:numId="7">
    <w:abstractNumId w:val="2"/>
  </w:num>
  <w:num w:numId="8">
    <w:abstractNumId w:val="7"/>
  </w:num>
  <w:num w:numId="9">
    <w:abstractNumId w:val="18"/>
  </w:num>
  <w:num w:numId="10">
    <w:abstractNumId w:val="3"/>
  </w:num>
  <w:num w:numId="11">
    <w:abstractNumId w:val="5"/>
  </w:num>
  <w:num w:numId="12">
    <w:abstractNumId w:val="6"/>
  </w:num>
  <w:num w:numId="13">
    <w:abstractNumId w:val="10"/>
  </w:num>
  <w:num w:numId="14">
    <w:abstractNumId w:val="15"/>
  </w:num>
  <w:num w:numId="15">
    <w:abstractNumId w:val="20"/>
  </w:num>
  <w:num w:numId="16">
    <w:abstractNumId w:val="32"/>
  </w:num>
  <w:num w:numId="17">
    <w:abstractNumId w:val="11"/>
  </w:num>
  <w:num w:numId="18">
    <w:abstractNumId w:val="12"/>
  </w:num>
  <w:num w:numId="19">
    <w:abstractNumId w:val="33"/>
  </w:num>
  <w:num w:numId="20">
    <w:abstractNumId w:val="19"/>
  </w:num>
  <w:num w:numId="21">
    <w:abstractNumId w:val="22"/>
  </w:num>
  <w:num w:numId="22">
    <w:abstractNumId w:val="4"/>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0"/>
  </w:num>
  <w:num w:numId="28">
    <w:abstractNumId w:val="34"/>
  </w:num>
  <w:num w:numId="29">
    <w:abstractNumId w:val="29"/>
  </w:num>
  <w:num w:numId="30">
    <w:abstractNumId w:val="26"/>
  </w:num>
  <w:num w:numId="31">
    <w:abstractNumId w:val="23"/>
  </w:num>
  <w:num w:numId="32">
    <w:abstractNumId w:val="28"/>
  </w:num>
  <w:num w:numId="33">
    <w:abstractNumId w:val="17"/>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9D80013-BB21-4134-B274-6D920A9740C1"/>
    <w:docVar w:name="LW_COVERPAGE_TYPE" w:val="1"/>
    <w:docVar w:name="LW_CROSSREFERENCE" w:val="&lt;UNUSED&gt;"/>
    <w:docVar w:name="LW_DocType" w:val="EUROLOOK"/>
    <w:docVar w:name="LW_EMISSION" w:val="14.7.2023"/>
    <w:docVar w:name="LW_EMISSION_ISODATE" w:val="2023-07-1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4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scope of Regulation (EU) 2016/1011, in particular with respect to the continued use by supervised entities of third-country benchmarks and on potential shortcomings of the current framework"/>
    <w:docVar w:name="LW_TYPE.DOC.CP" w:val="REPORT FROM THE COMMISSION TO THE EUROPEAN PARLIAMENT AND THE COUNCIL"/>
    <w:docVar w:name="LwApiVersions" w:val="LW4CoDe 1.23.2.0; LW 8.0, Build 20211117"/>
  </w:docVars>
  <w:rsids>
    <w:rsidRoot w:val="00606ABE"/>
    <w:rsid w:val="00011118"/>
    <w:rsid w:val="000137F1"/>
    <w:rsid w:val="00017131"/>
    <w:rsid w:val="000257FA"/>
    <w:rsid w:val="00025FB9"/>
    <w:rsid w:val="000464D0"/>
    <w:rsid w:val="00054CF1"/>
    <w:rsid w:val="0006392D"/>
    <w:rsid w:val="0007179E"/>
    <w:rsid w:val="00076FEF"/>
    <w:rsid w:val="00082126"/>
    <w:rsid w:val="00093DEA"/>
    <w:rsid w:val="0009529B"/>
    <w:rsid w:val="000A104F"/>
    <w:rsid w:val="000A6C43"/>
    <w:rsid w:val="000B1020"/>
    <w:rsid w:val="000C1E81"/>
    <w:rsid w:val="000C63E5"/>
    <w:rsid w:val="000D6C78"/>
    <w:rsid w:val="000E02DA"/>
    <w:rsid w:val="000E0DF9"/>
    <w:rsid w:val="00101CF7"/>
    <w:rsid w:val="00114496"/>
    <w:rsid w:val="00114971"/>
    <w:rsid w:val="00126FE2"/>
    <w:rsid w:val="00135BF0"/>
    <w:rsid w:val="0014166E"/>
    <w:rsid w:val="00143588"/>
    <w:rsid w:val="00160D4C"/>
    <w:rsid w:val="00164FC9"/>
    <w:rsid w:val="0017530B"/>
    <w:rsid w:val="001853DA"/>
    <w:rsid w:val="001856C3"/>
    <w:rsid w:val="00185D84"/>
    <w:rsid w:val="00187BD1"/>
    <w:rsid w:val="0019238D"/>
    <w:rsid w:val="00193F66"/>
    <w:rsid w:val="00195B77"/>
    <w:rsid w:val="001B4986"/>
    <w:rsid w:val="001C36ED"/>
    <w:rsid w:val="001C7248"/>
    <w:rsid w:val="001D00ED"/>
    <w:rsid w:val="001E592D"/>
    <w:rsid w:val="00223A62"/>
    <w:rsid w:val="00235771"/>
    <w:rsid w:val="00242E25"/>
    <w:rsid w:val="0024305C"/>
    <w:rsid w:val="002573DC"/>
    <w:rsid w:val="00262D93"/>
    <w:rsid w:val="0026747A"/>
    <w:rsid w:val="00267F62"/>
    <w:rsid w:val="00271B67"/>
    <w:rsid w:val="002950B7"/>
    <w:rsid w:val="00297566"/>
    <w:rsid w:val="00297AC3"/>
    <w:rsid w:val="002A3E43"/>
    <w:rsid w:val="002A55FC"/>
    <w:rsid w:val="002A57E8"/>
    <w:rsid w:val="002B7350"/>
    <w:rsid w:val="002C0A96"/>
    <w:rsid w:val="002C4136"/>
    <w:rsid w:val="002D4181"/>
    <w:rsid w:val="002E1337"/>
    <w:rsid w:val="002F19D9"/>
    <w:rsid w:val="002F1BB0"/>
    <w:rsid w:val="003060E7"/>
    <w:rsid w:val="00307ED4"/>
    <w:rsid w:val="00315253"/>
    <w:rsid w:val="00315882"/>
    <w:rsid w:val="00326E55"/>
    <w:rsid w:val="00327A0D"/>
    <w:rsid w:val="00337432"/>
    <w:rsid w:val="003537D4"/>
    <w:rsid w:val="00355561"/>
    <w:rsid w:val="00392E0D"/>
    <w:rsid w:val="003C047D"/>
    <w:rsid w:val="003D730E"/>
    <w:rsid w:val="003E1D58"/>
    <w:rsid w:val="003F1A04"/>
    <w:rsid w:val="003F60A0"/>
    <w:rsid w:val="00405833"/>
    <w:rsid w:val="00407AFB"/>
    <w:rsid w:val="004218C1"/>
    <w:rsid w:val="004549FD"/>
    <w:rsid w:val="00471923"/>
    <w:rsid w:val="00473EEF"/>
    <w:rsid w:val="004759F0"/>
    <w:rsid w:val="00475FF7"/>
    <w:rsid w:val="004769D5"/>
    <w:rsid w:val="00482289"/>
    <w:rsid w:val="004A2CC5"/>
    <w:rsid w:val="004A2DB8"/>
    <w:rsid w:val="004B3A6D"/>
    <w:rsid w:val="004B5F22"/>
    <w:rsid w:val="004C1E35"/>
    <w:rsid w:val="004D1D09"/>
    <w:rsid w:val="004D5008"/>
    <w:rsid w:val="004E0822"/>
    <w:rsid w:val="004E5C96"/>
    <w:rsid w:val="00506DEC"/>
    <w:rsid w:val="00527632"/>
    <w:rsid w:val="00532D74"/>
    <w:rsid w:val="005643CC"/>
    <w:rsid w:val="00592F6B"/>
    <w:rsid w:val="005B2FC8"/>
    <w:rsid w:val="005D1A88"/>
    <w:rsid w:val="005E549A"/>
    <w:rsid w:val="005F4D34"/>
    <w:rsid w:val="00606ABE"/>
    <w:rsid w:val="0063039B"/>
    <w:rsid w:val="0065595F"/>
    <w:rsid w:val="006614CD"/>
    <w:rsid w:val="00672E2B"/>
    <w:rsid w:val="0067440B"/>
    <w:rsid w:val="00685104"/>
    <w:rsid w:val="006A33E9"/>
    <w:rsid w:val="006A3B46"/>
    <w:rsid w:val="007036BA"/>
    <w:rsid w:val="007042FB"/>
    <w:rsid w:val="00707F73"/>
    <w:rsid w:val="00712CD0"/>
    <w:rsid w:val="007369FE"/>
    <w:rsid w:val="00766CF4"/>
    <w:rsid w:val="007811C9"/>
    <w:rsid w:val="0078267D"/>
    <w:rsid w:val="0079364E"/>
    <w:rsid w:val="00793CA8"/>
    <w:rsid w:val="00794E2E"/>
    <w:rsid w:val="007A385D"/>
    <w:rsid w:val="007A657A"/>
    <w:rsid w:val="007D4144"/>
    <w:rsid w:val="007F0E31"/>
    <w:rsid w:val="007F619C"/>
    <w:rsid w:val="007F72FD"/>
    <w:rsid w:val="00815984"/>
    <w:rsid w:val="00842D8C"/>
    <w:rsid w:val="0084382C"/>
    <w:rsid w:val="00847C45"/>
    <w:rsid w:val="008506BC"/>
    <w:rsid w:val="008774CE"/>
    <w:rsid w:val="00881E29"/>
    <w:rsid w:val="008859C9"/>
    <w:rsid w:val="00887EA9"/>
    <w:rsid w:val="008911D8"/>
    <w:rsid w:val="008A16EF"/>
    <w:rsid w:val="008A1C67"/>
    <w:rsid w:val="008A5149"/>
    <w:rsid w:val="008B60B4"/>
    <w:rsid w:val="008E3321"/>
    <w:rsid w:val="008E4F0E"/>
    <w:rsid w:val="008F5384"/>
    <w:rsid w:val="009174BE"/>
    <w:rsid w:val="009177BA"/>
    <w:rsid w:val="00917CCC"/>
    <w:rsid w:val="0093321F"/>
    <w:rsid w:val="00935936"/>
    <w:rsid w:val="009520B2"/>
    <w:rsid w:val="00971E8E"/>
    <w:rsid w:val="00980678"/>
    <w:rsid w:val="009A15AE"/>
    <w:rsid w:val="009A3664"/>
    <w:rsid w:val="009A7D67"/>
    <w:rsid w:val="009B5745"/>
    <w:rsid w:val="009C6C89"/>
    <w:rsid w:val="009D7543"/>
    <w:rsid w:val="009E4000"/>
    <w:rsid w:val="009F391A"/>
    <w:rsid w:val="00A00562"/>
    <w:rsid w:val="00A07F96"/>
    <w:rsid w:val="00A24185"/>
    <w:rsid w:val="00A30CB7"/>
    <w:rsid w:val="00A34C35"/>
    <w:rsid w:val="00A51D8D"/>
    <w:rsid w:val="00A93B6E"/>
    <w:rsid w:val="00AA1B54"/>
    <w:rsid w:val="00AB0E5F"/>
    <w:rsid w:val="00AB5BCF"/>
    <w:rsid w:val="00AD5F7C"/>
    <w:rsid w:val="00AD71D9"/>
    <w:rsid w:val="00B0279D"/>
    <w:rsid w:val="00B03547"/>
    <w:rsid w:val="00B045A1"/>
    <w:rsid w:val="00B068F3"/>
    <w:rsid w:val="00B17350"/>
    <w:rsid w:val="00B52796"/>
    <w:rsid w:val="00B573B7"/>
    <w:rsid w:val="00B57575"/>
    <w:rsid w:val="00B67B78"/>
    <w:rsid w:val="00B81BAB"/>
    <w:rsid w:val="00B82133"/>
    <w:rsid w:val="00B853CE"/>
    <w:rsid w:val="00B94348"/>
    <w:rsid w:val="00B9618C"/>
    <w:rsid w:val="00BB4F91"/>
    <w:rsid w:val="00BB5B95"/>
    <w:rsid w:val="00BC560C"/>
    <w:rsid w:val="00BD38B5"/>
    <w:rsid w:val="00BF0ACE"/>
    <w:rsid w:val="00C01BA4"/>
    <w:rsid w:val="00C06C97"/>
    <w:rsid w:val="00C15794"/>
    <w:rsid w:val="00C324A1"/>
    <w:rsid w:val="00C43E28"/>
    <w:rsid w:val="00C51D72"/>
    <w:rsid w:val="00C67C5D"/>
    <w:rsid w:val="00C9565D"/>
    <w:rsid w:val="00CA5CA5"/>
    <w:rsid w:val="00CE2971"/>
    <w:rsid w:val="00CF200E"/>
    <w:rsid w:val="00CF6913"/>
    <w:rsid w:val="00D014E8"/>
    <w:rsid w:val="00D01D3C"/>
    <w:rsid w:val="00D1304A"/>
    <w:rsid w:val="00D86BC4"/>
    <w:rsid w:val="00D91011"/>
    <w:rsid w:val="00D95244"/>
    <w:rsid w:val="00D96AF7"/>
    <w:rsid w:val="00DA1037"/>
    <w:rsid w:val="00DA1198"/>
    <w:rsid w:val="00DB2E62"/>
    <w:rsid w:val="00DD7854"/>
    <w:rsid w:val="00DE5C33"/>
    <w:rsid w:val="00DE6B72"/>
    <w:rsid w:val="00E07560"/>
    <w:rsid w:val="00E10D77"/>
    <w:rsid w:val="00E13F48"/>
    <w:rsid w:val="00E324DA"/>
    <w:rsid w:val="00E4272A"/>
    <w:rsid w:val="00E53FCD"/>
    <w:rsid w:val="00E55143"/>
    <w:rsid w:val="00E8436F"/>
    <w:rsid w:val="00E87563"/>
    <w:rsid w:val="00EC706E"/>
    <w:rsid w:val="00EC71F3"/>
    <w:rsid w:val="00F05FC7"/>
    <w:rsid w:val="00F1037E"/>
    <w:rsid w:val="00F10E17"/>
    <w:rsid w:val="00F166BD"/>
    <w:rsid w:val="00F3605D"/>
    <w:rsid w:val="00F77545"/>
    <w:rsid w:val="00F81CF7"/>
    <w:rsid w:val="00F87DE1"/>
    <w:rsid w:val="00F9543F"/>
    <w:rsid w:val="00F97201"/>
    <w:rsid w:val="00FB3ACD"/>
    <w:rsid w:val="00FB3CB2"/>
    <w:rsid w:val="00FC2F48"/>
    <w:rsid w:val="00FE5675"/>
    <w:rsid w:val="00FF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D610F3"/>
  <w15:docId w15:val="{3D185F46-6B47-4038-BD40-4A2AF549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qFormat="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qFormat="1"/>
    <w:lsdException w:name="annotation text" w:semiHidden="1" w:uiPriority="99"/>
    <w:lsdException w:name="header" w:uiPriority="99"/>
    <w:lsdException w:name="footer" w:uiPriority="99"/>
    <w:lsdException w:name="index heading" w:semiHidden="1"/>
    <w:lsdException w:name="caption" w:semiHidden="1" w:uiPriority="35" w:qFormat="1"/>
    <w:lsdException w:name="table of figures" w:semiHidden="1" w:uiPriority="99"/>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0"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1"/>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link w:val="Heading4Char"/>
    <w:uiPriority w:val="1"/>
    <w:qFormat/>
    <w:pPr>
      <w:keepNext/>
      <w:numPr>
        <w:ilvl w:val="3"/>
        <w:numId w:val="16"/>
      </w:numPr>
      <w:outlineLvl w:val="3"/>
    </w:pPr>
  </w:style>
  <w:style w:type="paragraph" w:styleId="Heading5">
    <w:name w:val="heading 5"/>
    <w:basedOn w:val="Normal"/>
    <w:next w:val="Normal"/>
    <w:link w:val="Heading5Char"/>
    <w:qFormat/>
    <w:pPr>
      <w:keepNext/>
      <w:numPr>
        <w:ilvl w:val="4"/>
        <w:numId w:val="16"/>
      </w:numPr>
      <w:outlineLvl w:val="4"/>
    </w:pPr>
  </w:style>
  <w:style w:type="paragraph" w:styleId="Heading6">
    <w:name w:val="heading 6"/>
    <w:basedOn w:val="Normal"/>
    <w:next w:val="Normal"/>
    <w:link w:val="Heading6Char"/>
    <w:semiHidden/>
    <w:pPr>
      <w:keepNext/>
      <w:numPr>
        <w:ilvl w:val="5"/>
        <w:numId w:val="16"/>
      </w:numPr>
      <w:outlineLvl w:val="5"/>
    </w:pPr>
  </w:style>
  <w:style w:type="paragraph" w:styleId="Heading7">
    <w:name w:val="heading 7"/>
    <w:basedOn w:val="Normal"/>
    <w:next w:val="Normal"/>
    <w:link w:val="Heading7Char"/>
    <w:semiHidden/>
    <w:pPr>
      <w:keepNext/>
      <w:numPr>
        <w:ilvl w:val="6"/>
        <w:numId w:val="16"/>
      </w:numPr>
      <w:outlineLvl w:val="6"/>
    </w:pPr>
  </w:style>
  <w:style w:type="paragraph" w:styleId="Heading8">
    <w:name w:val="heading 8"/>
    <w:basedOn w:val="Normal"/>
    <w:next w:val="Normal"/>
    <w:link w:val="Heading8Char"/>
    <w:semiHidden/>
    <w:pPr>
      <w:keepNext/>
      <w:numPr>
        <w:ilvl w:val="7"/>
        <w:numId w:val="16"/>
      </w:numPr>
      <w:outlineLvl w:val="7"/>
    </w:pPr>
  </w:style>
  <w:style w:type="paragraph" w:styleId="Heading9">
    <w:name w:val="heading 9"/>
    <w:basedOn w:val="Normal"/>
    <w:next w:val="Normal"/>
    <w:link w:val="Heading9Char"/>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uiPriority w:val="35"/>
    <w:qFormat/>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link w:val="TitleChar"/>
    <w:uiPriority w:val="10"/>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aliases w:val="Document Table,CV1"/>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Heading1Char">
    <w:name w:val="Heading 1 Char"/>
    <w:basedOn w:val="DefaultParagraphFont"/>
    <w:link w:val="Heading1"/>
    <w:uiPriority w:val="1"/>
    <w:rsid w:val="00E53FCD"/>
    <w:rPr>
      <w:b/>
      <w:smallCaps/>
    </w:rPr>
  </w:style>
  <w:style w:type="character" w:customStyle="1" w:styleId="Heading2Char">
    <w:name w:val="Heading 2 Char"/>
    <w:basedOn w:val="DefaultParagraphFont"/>
    <w:link w:val="Heading2"/>
    <w:uiPriority w:val="1"/>
    <w:rsid w:val="00E53FCD"/>
    <w:rPr>
      <w:b/>
    </w:rPr>
  </w:style>
  <w:style w:type="character" w:customStyle="1" w:styleId="Heading3Char">
    <w:name w:val="Heading 3 Char"/>
    <w:basedOn w:val="DefaultParagraphFont"/>
    <w:link w:val="Heading3"/>
    <w:uiPriority w:val="1"/>
    <w:rsid w:val="00E53FCD"/>
    <w:rPr>
      <w:i/>
    </w:rPr>
  </w:style>
  <w:style w:type="character" w:customStyle="1" w:styleId="Heading4Char">
    <w:name w:val="Heading 4 Char"/>
    <w:basedOn w:val="DefaultParagraphFont"/>
    <w:link w:val="Heading4"/>
    <w:uiPriority w:val="1"/>
    <w:rsid w:val="00E53FCD"/>
  </w:style>
  <w:style w:type="character" w:customStyle="1" w:styleId="Marker">
    <w:name w:val="Marker"/>
    <w:basedOn w:val="DefaultParagraphFont"/>
    <w:rsid w:val="00E53FCD"/>
    <w:rPr>
      <w:color w:val="0000FF"/>
      <w:shd w:val="clear" w:color="auto" w:fill="auto"/>
    </w:rPr>
  </w:style>
  <w:style w:type="paragraph" w:customStyle="1" w:styleId="Pagedecouverture">
    <w:name w:val="Page de couverture"/>
    <w:basedOn w:val="Normal"/>
    <w:next w:val="Normal"/>
    <w:rsid w:val="00E53FCD"/>
    <w:pPr>
      <w:spacing w:after="0"/>
    </w:pPr>
    <w:rPr>
      <w:rFonts w:eastAsiaTheme="minorHAnsi"/>
      <w:szCs w:val="24"/>
      <w:lang w:eastAsia="en-US"/>
    </w:rPr>
  </w:style>
  <w:style w:type="character" w:customStyle="1" w:styleId="FooterChar">
    <w:name w:val="Footer Char"/>
    <w:basedOn w:val="DefaultParagraphFont"/>
    <w:link w:val="Footer"/>
    <w:uiPriority w:val="99"/>
    <w:rsid w:val="00E53FCD"/>
    <w:rPr>
      <w:sz w:val="16"/>
    </w:rPr>
  </w:style>
  <w:style w:type="paragraph" w:customStyle="1" w:styleId="FooterCoverPage">
    <w:name w:val="Footer Cover Page"/>
    <w:basedOn w:val="Normal"/>
    <w:link w:val="FooterCoverPageChar"/>
    <w:rsid w:val="00E53FCD"/>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E53FCD"/>
  </w:style>
  <w:style w:type="paragraph" w:customStyle="1" w:styleId="HeaderCoverPage">
    <w:name w:val="Header Cover Page"/>
    <w:basedOn w:val="Normal"/>
    <w:link w:val="HeaderCoverPageChar"/>
    <w:rsid w:val="00E53FCD"/>
    <w:pPr>
      <w:tabs>
        <w:tab w:val="center" w:pos="4535"/>
        <w:tab w:val="right" w:pos="9071"/>
      </w:tabs>
      <w:spacing w:after="120"/>
    </w:pPr>
  </w:style>
  <w:style w:type="character" w:customStyle="1" w:styleId="HeaderCoverPageChar">
    <w:name w:val="Header Cover Page Char"/>
    <w:basedOn w:val="DefaultParagraphFont"/>
    <w:link w:val="HeaderCoverPage"/>
    <w:rsid w:val="00E53FCD"/>
  </w:style>
  <w:style w:type="paragraph" w:customStyle="1" w:styleId="AnnexTitle0">
    <w:name w:val="Annex Title"/>
    <w:basedOn w:val="Heading1"/>
    <w:next w:val="Normal"/>
    <w:link w:val="AnnexTitleChar"/>
    <w:autoRedefine/>
    <w:qFormat/>
    <w:rsid w:val="00E53FCD"/>
    <w:pPr>
      <w:numPr>
        <w:numId w:val="0"/>
      </w:numPr>
      <w:spacing w:after="480"/>
      <w:jc w:val="center"/>
    </w:pPr>
    <w:rPr>
      <w:sz w:val="32"/>
      <w:lang w:eastAsia="en-US"/>
    </w:rPr>
  </w:style>
  <w:style w:type="character" w:customStyle="1" w:styleId="AnnexTitleChar">
    <w:name w:val="Annex Title Char"/>
    <w:basedOn w:val="DefaultParagraphFont"/>
    <w:link w:val="AnnexTitle0"/>
    <w:rsid w:val="00E53FCD"/>
    <w:rPr>
      <w:b/>
      <w:smallCaps/>
      <w:sz w:val="32"/>
      <w:lang w:eastAsia="en-US"/>
    </w:rPr>
  </w:style>
  <w:style w:type="table" w:customStyle="1" w:styleId="CV11">
    <w:name w:val="CV11"/>
    <w:basedOn w:val="TableNormal"/>
    <w:next w:val="TableGrid"/>
    <w:uiPriority w:val="59"/>
    <w:rsid w:val="00E53FCD"/>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E53FCD"/>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E53FCD"/>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E53FCD"/>
    <w:rPr>
      <w:color w:val="0563C1" w:themeColor="hyperlink"/>
      <w:u w:val="single"/>
    </w:rPr>
  </w:style>
  <w:style w:type="paragraph" w:styleId="BalloonText">
    <w:name w:val="Balloon Text"/>
    <w:basedOn w:val="Normal"/>
    <w:link w:val="BalloonTextChar"/>
    <w:uiPriority w:val="99"/>
    <w:semiHidden/>
    <w:unhideWhenUsed/>
    <w:locked/>
    <w:rsid w:val="00E53FCD"/>
    <w:pPr>
      <w:spacing w:after="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53FCD"/>
    <w:rPr>
      <w:rFonts w:ascii="Tahoma" w:eastAsiaTheme="minorHAnsi" w:hAnsi="Tahoma" w:cs="Tahoma"/>
      <w:sz w:val="16"/>
      <w:szCs w:val="16"/>
      <w:lang w:eastAsia="en-US"/>
    </w:rPr>
  </w:style>
  <w:style w:type="paragraph" w:customStyle="1" w:styleId="Declassification">
    <w:name w:val="Declassification"/>
    <w:basedOn w:val="Normal"/>
    <w:next w:val="Normal"/>
    <w:rsid w:val="00E53FCD"/>
    <w:pPr>
      <w:spacing w:after="0"/>
    </w:pPr>
    <w:rPr>
      <w:rFonts w:eastAsiaTheme="minorHAnsi"/>
      <w:szCs w:val="24"/>
      <w:lang w:eastAsia="en-US"/>
    </w:rPr>
  </w:style>
  <w:style w:type="paragraph" w:customStyle="1" w:styleId="HeaderLandscape">
    <w:name w:val="HeaderLandscape"/>
    <w:basedOn w:val="Normal"/>
    <w:rsid w:val="00E53FCD"/>
    <w:pPr>
      <w:tabs>
        <w:tab w:val="center" w:pos="7285"/>
        <w:tab w:val="right" w:pos="14003"/>
      </w:tabs>
      <w:spacing w:after="120"/>
    </w:pPr>
    <w:rPr>
      <w:rFonts w:eastAsiaTheme="minorHAnsi"/>
      <w:szCs w:val="24"/>
      <w:lang w:eastAsia="en-US"/>
    </w:rPr>
  </w:style>
  <w:style w:type="paragraph" w:customStyle="1" w:styleId="HeaderSensitivity">
    <w:name w:val="Header Sensitivity"/>
    <w:basedOn w:val="Normal"/>
    <w:rsid w:val="00E53FC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rsid w:val="00E53FCD"/>
    <w:pPr>
      <w:tabs>
        <w:tab w:val="center" w:pos="7285"/>
        <w:tab w:val="center" w:pos="10913"/>
        <w:tab w:val="right" w:pos="15137"/>
      </w:tabs>
      <w:spacing w:before="360" w:after="0"/>
      <w:ind w:left="-567" w:right="-567"/>
    </w:pPr>
    <w:rPr>
      <w:rFonts w:eastAsiaTheme="minorHAnsi"/>
      <w:szCs w:val="24"/>
      <w:lang w:eastAsia="en-US"/>
    </w:rPr>
  </w:style>
  <w:style w:type="paragraph" w:customStyle="1" w:styleId="FooterSensitivity">
    <w:name w:val="Footer Sensitivity"/>
    <w:basedOn w:val="Normal"/>
    <w:rsid w:val="00E53FC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HeaderSensitivityRight">
    <w:name w:val="Header Sensitivity Right"/>
    <w:basedOn w:val="Normal"/>
    <w:link w:val="HeaderSensitivityRightChar"/>
    <w:rsid w:val="00E53FCD"/>
    <w:pPr>
      <w:spacing w:after="120"/>
      <w:jc w:val="right"/>
    </w:pPr>
    <w:rPr>
      <w:sz w:val="28"/>
    </w:rPr>
  </w:style>
  <w:style w:type="character" w:customStyle="1" w:styleId="HeaderSensitivityRightChar">
    <w:name w:val="Header Sensitivity Right Char"/>
    <w:basedOn w:val="DefaultParagraphFont"/>
    <w:link w:val="HeaderSensitivityRight"/>
    <w:rsid w:val="00E53FCD"/>
    <w:rPr>
      <w:sz w:val="28"/>
    </w:rPr>
  </w:style>
  <w:style w:type="character" w:customStyle="1" w:styleId="Heading5Char">
    <w:name w:val="Heading 5 Char"/>
    <w:basedOn w:val="DefaultParagraphFont"/>
    <w:link w:val="Heading5"/>
    <w:rsid w:val="00E53FCD"/>
  </w:style>
  <w:style w:type="character" w:customStyle="1" w:styleId="TitleChar">
    <w:name w:val="Title Char"/>
    <w:basedOn w:val="DefaultParagraphFont"/>
    <w:link w:val="Title"/>
    <w:uiPriority w:val="10"/>
    <w:rsid w:val="00E53FCD"/>
    <w:rPr>
      <w:b/>
      <w:kern w:val="28"/>
      <w:sz w:val="48"/>
    </w:rPr>
  </w:style>
  <w:style w:type="paragraph" w:styleId="NoSpacing">
    <w:name w:val="No Spacing"/>
    <w:uiPriority w:val="1"/>
    <w:qFormat/>
    <w:locked/>
    <w:rsid w:val="00E53FCD"/>
    <w:rPr>
      <w:rFonts w:asciiTheme="minorHAnsi" w:eastAsiaTheme="minorEastAsia" w:hAnsiTheme="minorHAnsi" w:cstheme="minorBidi"/>
      <w:sz w:val="22"/>
      <w:szCs w:val="22"/>
      <w:lang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E53FCD"/>
    <w:rPr>
      <w:sz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locked/>
    <w:rsid w:val="00E53FCD"/>
    <w:rPr>
      <w:vertAlign w:val="superscript"/>
    </w:rPr>
  </w:style>
  <w:style w:type="paragraph" w:customStyle="1" w:styleId="CharCharChar1">
    <w:name w:val="Char Char Char1"/>
    <w:basedOn w:val="Normal"/>
    <w:link w:val="FootnoteReference"/>
    <w:uiPriority w:val="99"/>
    <w:rsid w:val="00E53FCD"/>
    <w:pPr>
      <w:spacing w:after="160" w:line="240" w:lineRule="exact"/>
    </w:pPr>
    <w:rPr>
      <w:vertAlign w:val="superscript"/>
    </w:rPr>
  </w:style>
  <w:style w:type="paragraph" w:styleId="ListParagraph">
    <w:name w:val="List Paragraph"/>
    <w:basedOn w:val="Normal"/>
    <w:uiPriority w:val="34"/>
    <w:qFormat/>
    <w:locked/>
    <w:rsid w:val="00E53FCD"/>
    <w:pPr>
      <w:ind w:left="720"/>
      <w:contextualSpacing/>
    </w:pPr>
    <w:rPr>
      <w:rFonts w:eastAsiaTheme="minorHAnsi"/>
      <w:szCs w:val="24"/>
      <w:lang w:eastAsia="en-US"/>
    </w:rPr>
  </w:style>
  <w:style w:type="character" w:styleId="CommentReference">
    <w:name w:val="annotation reference"/>
    <w:basedOn w:val="DefaultParagraphFont"/>
    <w:uiPriority w:val="99"/>
    <w:semiHidden/>
    <w:unhideWhenUsed/>
    <w:locked/>
    <w:rsid w:val="00E53FCD"/>
    <w:rPr>
      <w:sz w:val="16"/>
      <w:szCs w:val="16"/>
    </w:rPr>
  </w:style>
  <w:style w:type="paragraph" w:styleId="CommentText">
    <w:name w:val="annotation text"/>
    <w:basedOn w:val="Normal"/>
    <w:link w:val="CommentTextChar"/>
    <w:uiPriority w:val="99"/>
    <w:unhideWhenUsed/>
    <w:locked/>
    <w:rsid w:val="00E53FCD"/>
    <w:rPr>
      <w:rFonts w:eastAsiaTheme="minorHAnsi"/>
      <w:sz w:val="20"/>
      <w:lang w:eastAsia="en-US"/>
    </w:rPr>
  </w:style>
  <w:style w:type="character" w:customStyle="1" w:styleId="CommentTextChar">
    <w:name w:val="Comment Text Char"/>
    <w:basedOn w:val="DefaultParagraphFont"/>
    <w:link w:val="CommentText"/>
    <w:uiPriority w:val="99"/>
    <w:rsid w:val="00E53FCD"/>
    <w:rPr>
      <w:rFonts w:eastAsiaTheme="minorHAnsi"/>
      <w:sz w:val="20"/>
      <w:lang w:eastAsia="en-US"/>
    </w:rPr>
  </w:style>
  <w:style w:type="paragraph" w:styleId="CommentSubject">
    <w:name w:val="annotation subject"/>
    <w:basedOn w:val="CommentText"/>
    <w:next w:val="CommentText"/>
    <w:link w:val="CommentSubjectChar"/>
    <w:uiPriority w:val="99"/>
    <w:semiHidden/>
    <w:unhideWhenUsed/>
    <w:locked/>
    <w:rsid w:val="00E53FCD"/>
    <w:rPr>
      <w:b/>
      <w:bCs/>
    </w:rPr>
  </w:style>
  <w:style w:type="character" w:customStyle="1" w:styleId="CommentSubjectChar">
    <w:name w:val="Comment Subject Char"/>
    <w:basedOn w:val="CommentTextChar"/>
    <w:link w:val="CommentSubject"/>
    <w:uiPriority w:val="99"/>
    <w:semiHidden/>
    <w:rsid w:val="00E53FCD"/>
    <w:rPr>
      <w:rFonts w:eastAsiaTheme="minorHAnsi"/>
      <w:b/>
      <w:bCs/>
      <w:sz w:val="20"/>
      <w:lang w:eastAsia="en-US"/>
    </w:rPr>
  </w:style>
  <w:style w:type="paragraph" w:styleId="Revision">
    <w:name w:val="Revision"/>
    <w:hidden/>
    <w:uiPriority w:val="99"/>
    <w:semiHidden/>
    <w:locked/>
    <w:rsid w:val="00E53FCD"/>
    <w:rPr>
      <w:rFonts w:eastAsiaTheme="minorHAnsi"/>
      <w:szCs w:val="24"/>
      <w:lang w:eastAsia="en-US"/>
    </w:rPr>
  </w:style>
  <w:style w:type="paragraph" w:customStyle="1" w:styleId="Considrant">
    <w:name w:val="Considérant"/>
    <w:basedOn w:val="Normal"/>
    <w:rsid w:val="00E53FCD"/>
    <w:pPr>
      <w:numPr>
        <w:numId w:val="28"/>
      </w:numPr>
      <w:spacing w:before="120" w:after="120"/>
    </w:pPr>
    <w:rPr>
      <w:rFonts w:eastAsiaTheme="minorHAnsi"/>
      <w:szCs w:val="22"/>
      <w:lang w:eastAsia="en-US"/>
    </w:rPr>
  </w:style>
  <w:style w:type="paragraph" w:styleId="TableofFigures">
    <w:name w:val="table of figures"/>
    <w:basedOn w:val="Normal"/>
    <w:next w:val="Normal"/>
    <w:uiPriority w:val="99"/>
    <w:semiHidden/>
    <w:unhideWhenUsed/>
    <w:locked/>
    <w:rsid w:val="00E53FCD"/>
    <w:pPr>
      <w:spacing w:after="0"/>
    </w:pPr>
    <w:rPr>
      <w:rFonts w:eastAsiaTheme="minorHAnsi"/>
      <w:szCs w:val="24"/>
      <w:lang w:eastAsia="en-US"/>
    </w:rPr>
  </w:style>
  <w:style w:type="character" w:customStyle="1" w:styleId="Heading6Char">
    <w:name w:val="Heading 6 Char"/>
    <w:basedOn w:val="DefaultParagraphFont"/>
    <w:link w:val="Heading6"/>
    <w:semiHidden/>
    <w:rsid w:val="00E53FCD"/>
  </w:style>
  <w:style w:type="character" w:customStyle="1" w:styleId="Heading7Char">
    <w:name w:val="Heading 7 Char"/>
    <w:basedOn w:val="DefaultParagraphFont"/>
    <w:link w:val="Heading7"/>
    <w:semiHidden/>
    <w:rsid w:val="00E53FCD"/>
  </w:style>
  <w:style w:type="character" w:customStyle="1" w:styleId="Heading8Char">
    <w:name w:val="Heading 8 Char"/>
    <w:basedOn w:val="DefaultParagraphFont"/>
    <w:link w:val="Heading8"/>
    <w:semiHidden/>
    <w:rsid w:val="00E53FCD"/>
  </w:style>
  <w:style w:type="character" w:customStyle="1" w:styleId="Heading9Char">
    <w:name w:val="Heading 9 Char"/>
    <w:basedOn w:val="DefaultParagraphFont"/>
    <w:link w:val="Heading9"/>
    <w:semiHidden/>
    <w:rsid w:val="00E53FCD"/>
  </w:style>
  <w:style w:type="character" w:customStyle="1" w:styleId="UnresolvedMention">
    <w:name w:val="Unresolved Mention"/>
    <w:basedOn w:val="DefaultParagraphFont"/>
    <w:uiPriority w:val="99"/>
    <w:semiHidden/>
    <w:unhideWhenUsed/>
    <w:locked/>
    <w:rsid w:val="00E53FCD"/>
    <w:rPr>
      <w:color w:val="605E5C"/>
      <w:shd w:val="clear" w:color="auto" w:fill="E1DFDD"/>
    </w:rPr>
  </w:style>
  <w:style w:type="paragraph" w:customStyle="1" w:styleId="paragraph">
    <w:name w:val="paragraph"/>
    <w:basedOn w:val="Normal"/>
    <w:rsid w:val="00E53FCD"/>
    <w:pPr>
      <w:spacing w:before="100" w:beforeAutospacing="1" w:after="100" w:afterAutospacing="1"/>
      <w:jc w:val="left"/>
    </w:pPr>
    <w:rPr>
      <w:szCs w:val="24"/>
      <w:lang w:val="en-IE"/>
    </w:rPr>
  </w:style>
  <w:style w:type="character" w:customStyle="1" w:styleId="normaltextrun">
    <w:name w:val="normaltextrun"/>
    <w:basedOn w:val="DefaultParagraphFont"/>
    <w:rsid w:val="00E53FCD"/>
  </w:style>
  <w:style w:type="character" w:customStyle="1" w:styleId="eop">
    <w:name w:val="eop"/>
    <w:basedOn w:val="DefaultParagraphFont"/>
    <w:rsid w:val="00E53FCD"/>
  </w:style>
  <w:style w:type="paragraph" w:customStyle="1" w:styleId="Normal1">
    <w:name w:val="Normal1"/>
    <w:basedOn w:val="Normal"/>
    <w:rsid w:val="003D730E"/>
    <w:pPr>
      <w:spacing w:before="100" w:beforeAutospacing="1" w:after="100" w:afterAutospacing="1"/>
      <w:jc w:val="left"/>
    </w:pPr>
    <w:rPr>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6525">
      <w:bodyDiv w:val="1"/>
      <w:marLeft w:val="0"/>
      <w:marRight w:val="0"/>
      <w:marTop w:val="0"/>
      <w:marBottom w:val="0"/>
      <w:divBdr>
        <w:top w:val="none" w:sz="0" w:space="0" w:color="auto"/>
        <w:left w:val="none" w:sz="0" w:space="0" w:color="auto"/>
        <w:bottom w:val="none" w:sz="0" w:space="0" w:color="auto"/>
        <w:right w:val="none" w:sz="0" w:space="0" w:color="auto"/>
      </w:divBdr>
    </w:div>
    <w:div w:id="477114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chart" Target="charts/chart1.xml"/><Relationship Id="rId28"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nance.ec.europa.eu/regulation-and-supervision/consultations/finance-2022-benchmarks-third-country_en" TargetMode="External"/><Relationship Id="rId1" Type="http://schemas.openxmlformats.org/officeDocument/2006/relationships/hyperlink" Target="https://eur-lex.europa.eu/legal-content/EN/TXT/?uri=CELEX%3A52020SC01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offline\02\oelgeme\Desktop\pie%20chart%20-%20bm%20admi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66-44E7-85C8-D0332DCE63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66-44E7-85C8-D0332DCE63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66-44E7-85C8-D0332DCE638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66-44E7-85C8-D0332DCE638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66-44E7-85C8-D0332DCE638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666-44E7-85C8-D0332DCE638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666-44E7-85C8-D0332DCE638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666-44E7-85C8-D0332DCE638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666-44E7-85C8-D0332DCE638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666-44E7-85C8-D0332DCE638B}"/>
              </c:ext>
            </c:extLst>
          </c:dPt>
          <c:dLbls>
            <c:dLbl>
              <c:idx val="0"/>
              <c:tx>
                <c:rich>
                  <a:bodyPr/>
                  <a:lstStyle/>
                  <a:p>
                    <a:fld id="{3841F42E-39FF-4671-B7F0-2DBB9B67CC29}" type="CATEGORYNAME">
                      <a:rPr lang="en-US">
                        <a:solidFill>
                          <a:schemeClr val="bg1"/>
                        </a:solidFill>
                      </a:rPr>
                      <a:pPr/>
                      <a:t>[CATEGORY NAME]</a:t>
                    </a:fld>
                    <a:r>
                      <a:rPr lang="en-US" baseline="0">
                        <a:solidFill>
                          <a:schemeClr val="bg1"/>
                        </a:solidFill>
                      </a:rPr>
                      <a:t>; </a:t>
                    </a:r>
                    <a:fld id="{52D37AF8-FF70-49E5-8430-6BC9047E5AE3}" type="VALUE">
                      <a:rPr lang="en-US" baseline="0">
                        <a:solidFill>
                          <a:schemeClr val="bg1"/>
                        </a:solidFill>
                      </a:rPr>
                      <a:pPr/>
                      <a:t>[VALUE]</a:t>
                    </a:fld>
                    <a:endParaRPr lang="en-US" baseline="0">
                      <a:solidFill>
                        <a:schemeClr val="bg1"/>
                      </a:solidFill>
                    </a:endParaRP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666-44E7-85C8-D0332DCE638B}"/>
                </c:ext>
              </c:extLst>
            </c:dLbl>
            <c:dLbl>
              <c:idx val="1"/>
              <c:tx>
                <c:rich>
                  <a:bodyPr/>
                  <a:lstStyle/>
                  <a:p>
                    <a:fld id="{1B56BFC0-68E5-4E74-A01E-B52CBE0DCEAA}" type="CATEGORYNAME">
                      <a:rPr lang="en-US">
                        <a:solidFill>
                          <a:schemeClr val="bg1"/>
                        </a:solidFill>
                      </a:rPr>
                      <a:pPr/>
                      <a:t>[CATEGORY NAME]</a:t>
                    </a:fld>
                    <a:r>
                      <a:rPr lang="en-US" baseline="0">
                        <a:solidFill>
                          <a:schemeClr val="bg1"/>
                        </a:solidFill>
                      </a:rPr>
                      <a:t>; </a:t>
                    </a:r>
                    <a:fld id="{F526B8CE-0D65-420F-BCA1-666D085D54DF}" type="VALUE">
                      <a:rPr lang="en-US" baseline="0">
                        <a:solidFill>
                          <a:schemeClr val="bg1"/>
                        </a:solidFill>
                      </a:rPr>
                      <a:pPr/>
                      <a:t>[VALUE]</a:t>
                    </a:fld>
                    <a:endParaRPr lang="en-US" baseline="0">
                      <a:solidFill>
                        <a:schemeClr val="bg1"/>
                      </a:solidFill>
                    </a:endParaRP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666-44E7-85C8-D0332DCE638B}"/>
                </c:ext>
              </c:extLst>
            </c:dLbl>
            <c:dLbl>
              <c:idx val="2"/>
              <c:layout>
                <c:manualLayout>
                  <c:x val="-5.7590171710463905E-2"/>
                  <c:y val="1.614891827841908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66-44E7-85C8-D0332DCE638B}"/>
                </c:ext>
              </c:extLst>
            </c:dLbl>
            <c:dLbl>
              <c:idx val="3"/>
              <c:layout>
                <c:manualLayout>
                  <c:x val="-0.10138098852101318"/>
                  <c:y val="8.49629233239048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66-44E7-85C8-D0332DCE638B}"/>
                </c:ext>
              </c:extLst>
            </c:dLbl>
            <c:dLbl>
              <c:idx val="4"/>
              <c:layout>
                <c:manualLayout>
                  <c:x val="-0.10377867375011858"/>
                  <c:y val="1.08578854827612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66-44E7-85C8-D0332DCE638B}"/>
                </c:ext>
              </c:extLst>
            </c:dLbl>
            <c:dLbl>
              <c:idx val="5"/>
              <c:layout>
                <c:manualLayout>
                  <c:x val="-0.10791537804762356"/>
                  <c:y val="2.008286828224141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66-44E7-85C8-D0332DCE638B}"/>
                </c:ext>
              </c:extLst>
            </c:dLbl>
            <c:dLbl>
              <c:idx val="6"/>
              <c:layout>
                <c:manualLayout>
                  <c:x val="-9.3279574992884931E-2"/>
                  <c:y val="2.32468465713630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66-44E7-85C8-D0332DCE638B}"/>
                </c:ext>
              </c:extLst>
            </c:dLbl>
            <c:dLbl>
              <c:idx val="7"/>
              <c:layout>
                <c:manualLayout>
                  <c:x val="-0.11148192771084338"/>
                  <c:y val="-2.589404479779833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66-44E7-85C8-D0332DCE638B}"/>
                </c:ext>
              </c:extLst>
            </c:dLbl>
            <c:dLbl>
              <c:idx val="8"/>
              <c:layout>
                <c:manualLayout>
                  <c:x val="-8.437159662271132E-2"/>
                  <c:y val="-1.72338506230410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666-44E7-85C8-D0332DCE638B}"/>
                </c:ext>
              </c:extLst>
            </c:dLbl>
            <c:dLbl>
              <c:idx val="9"/>
              <c:tx>
                <c:rich>
                  <a:bodyPr/>
                  <a:lstStyle/>
                  <a:p>
                    <a:fld id="{1AA3B498-D784-4139-8553-E0CCA68ECCAC}" type="CATEGORYNAME">
                      <a:rPr lang="en-US">
                        <a:solidFill>
                          <a:schemeClr val="bg1"/>
                        </a:solidFill>
                      </a:rPr>
                      <a:pPr/>
                      <a:t>[CATEGORY NAME]</a:t>
                    </a:fld>
                    <a:r>
                      <a:rPr lang="en-US" baseline="0">
                        <a:solidFill>
                          <a:schemeClr val="bg1"/>
                        </a:solidFill>
                      </a:rPr>
                      <a:t>; </a:t>
                    </a:r>
                    <a:fld id="{F2B53AF6-8A1F-4D49-8319-C300FB34EA77}" type="VALUE">
                      <a:rPr lang="en-US" baseline="0">
                        <a:solidFill>
                          <a:schemeClr val="bg1"/>
                        </a:solidFill>
                      </a:rPr>
                      <a:pPr/>
                      <a:t>[VALUE]</a:t>
                    </a:fld>
                    <a:endParaRPr lang="en-US" baseline="0">
                      <a:solidFill>
                        <a:schemeClr val="bg1"/>
                      </a:solidFill>
                    </a:endParaRP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F666-44E7-85C8-D0332DCE63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Sheet3!$A$1:$A$10</c:f>
              <c:strCache>
                <c:ptCount val="10"/>
                <c:pt idx="0">
                  <c:v>US</c:v>
                </c:pt>
                <c:pt idx="1">
                  <c:v>UK</c:v>
                </c:pt>
                <c:pt idx="2">
                  <c:v>Switzerland</c:v>
                </c:pt>
                <c:pt idx="3">
                  <c:v>Japan</c:v>
                </c:pt>
                <c:pt idx="4">
                  <c:v>South Korea</c:v>
                </c:pt>
                <c:pt idx="5">
                  <c:v>China</c:v>
                </c:pt>
                <c:pt idx="6">
                  <c:v>Hong Kong</c:v>
                </c:pt>
                <c:pt idx="7">
                  <c:v>Taiwan</c:v>
                </c:pt>
                <c:pt idx="8">
                  <c:v>Canada</c:v>
                </c:pt>
                <c:pt idx="9">
                  <c:v>Other</c:v>
                </c:pt>
              </c:strCache>
            </c:strRef>
          </c:cat>
          <c:val>
            <c:numRef>
              <c:f>Sheet3!$B$1:$B$10</c:f>
              <c:numCache>
                <c:formatCode>General</c:formatCode>
                <c:ptCount val="10"/>
                <c:pt idx="0">
                  <c:v>97</c:v>
                </c:pt>
                <c:pt idx="1">
                  <c:v>38</c:v>
                </c:pt>
                <c:pt idx="2">
                  <c:v>15</c:v>
                </c:pt>
                <c:pt idx="3">
                  <c:v>9</c:v>
                </c:pt>
                <c:pt idx="4">
                  <c:v>9</c:v>
                </c:pt>
                <c:pt idx="5">
                  <c:v>6</c:v>
                </c:pt>
                <c:pt idx="6">
                  <c:v>6</c:v>
                </c:pt>
                <c:pt idx="7">
                  <c:v>6</c:v>
                </c:pt>
                <c:pt idx="8">
                  <c:v>4</c:v>
                </c:pt>
                <c:pt idx="9">
                  <c:v>71</c:v>
                </c:pt>
              </c:numCache>
            </c:numRef>
          </c:val>
          <c:extLst>
            <c:ext xmlns:c16="http://schemas.microsoft.com/office/drawing/2014/chart" uri="{C3380CC4-5D6E-409C-BE32-E72D297353CC}">
              <c16:uniqueId val="{00000014-F666-44E7-85C8-D0332DCE638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uthor Role="Creator" AuthorRoleName="Writer" AuthorRoleId="a4fbaff4-b07c-48b4-a21e-e7b9eedf3796">
  <Id>e775f38b-707c-460c-9cb5-dc3aa7394421</Id>
  <Names>
    <Latin>
      <FirstName>Rik</FirstName>
      <LastName>HANSEN</LastName>
    </Latin>
    <Greek>
      <FirstName/>
      <LastName/>
    </Greek>
    <Cyrillic>
      <FirstName/>
      <LastName/>
    </Cyrillic>
    <DocumentScript>
      <FirstName>Rik</FirstName>
      <LastName>HANSEN</LastName>
      <FullName>Rik HANSEN</FullName>
    </DocumentScript>
  </Names>
  <Initials>RH</Initials>
  <Gender>m</Gender>
  <Email>Rik.HANSEN@ec.europa.eu</Email>
  <Service>FISMA.C.3</Service>
  <Function ADCode="" ShowInSignature="true" ShowInHeader="false" HeaderText=""/>
  <WebAddress/>
  <FunctionalMailbox/>
  <InheritedWebAddress>WebAddress</InheritedWebAddress>
  <OrgaEntity1>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1>
  <OrgaEntity2>
    <Id>09adeca5-8fb4-4c55-85e6-b1622984750d</Id>
    <LogicalLevel>2</LogicalLevel>
    <Name>FISMA.C</Name>
    <HeadLine1>Financial Markets</HeadLine1>
    <HeadLine2/>
    <PrimaryAddressId>f03b5801-04c9-4931-aa17-c6d6c70bc579</PrimaryAddressId>
    <SecondaryAddressId/>
    <WebAddress/>
    <InheritedWebAddress>WebAddress</InheritedWebAddress>
    <ShowInHeader>true</ShowInHeader>
  </OrgaEntity2>
  <OrgaEntity3>
    <Id>4ed2841b-9f7b-4472-bf8c-6cae223086ff</Id>
    <LogicalLevel>3</LogicalLevel>
    <Name>FISMA.C.3</Name>
    <HeadLine1>Securities markets</HeadLine1>
    <HeadLine2/>
    <PrimaryAddressId>f03b5801-04c9-4931-aa17-c6d6c70bc579</PrimaryAddressId>
    <SecondaryAddressId/>
    <WebAddress/>
    <InheritedWebAddress>WebAddress</InheritedWebAddress>
    <ShowInHeader>true</ShowInHeader>
  </OrgaEntity3>
  <Hierarchy>
    <OrgaEntity>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
    <OrgaEntity>
      <Id>09adeca5-8fb4-4c55-85e6-b1622984750d</Id>
      <LogicalLevel>2</LogicalLevel>
      <Name>FISMA.C</Name>
      <HeadLine1>Financial Markets</HeadLine1>
      <HeadLine2/>
      <PrimaryAddressId>f03b5801-04c9-4931-aa17-c6d6c70bc579</PrimaryAddressId>
      <SecondaryAddressId/>
      <WebAddress/>
      <InheritedWebAddress>WebAddress</InheritedWebAddress>
      <ShowInHeader>true</ShowInHeader>
    </OrgaEntity>
    <OrgaEntity>
      <Id>4ed2841b-9f7b-4472-bf8c-6cae223086ff</Id>
      <LogicalLevel>3</LogicalLevel>
      <Name>FISMA.C.3</Name>
      <HeadLine1>Securities markets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+32 229-83706</Phone>
    <Office>SPA2 03/070</Office>
  </MainWorkplace>
  <Workplaces>
    <Workplace IsMain="true">
      <AddressId>f03b5801-04c9-4931-aa17-c6d6c70bc579</AddressId>
      <Fax/>
      <Phone>+32 229-83706</Phone>
      <Office>SPA2 03/070</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2e4566d1cfc4e6eb55a8bd63695e673 xmlns="B98945D3-5456-4CD3-B95D-0E1431E310C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ARES_DATE_TRANSFERRED xmlns="B98945D3-5456-4CD3-B95D-0E1431E310C5" xsi:nil="true"/>
    <EC_ARES_NUMBER xmlns="B98945D3-5456-4CD3-B95D-0E1431E310C5">
      <Url xsi:nil="true"/>
      <Description xsi:nil="true"/>
    </EC_ARES_NUMBER>
    <TaxCatchAll xmlns="02ebb043-5898-4877-8c1f-28652c7a58c8">
      <Value>120</Value>
    </TaxCatchAll>
    <TranslationStateListUrl xmlns="http://schemas.microsoft.com/sharepoint/v3">
      <Url xsi:nil="true"/>
      <Description xsi:nil="true"/>
    </TranslationStateListUrl>
    <EC_Collab_DocumentLanguage xmlns="B98945D3-5456-4CD3-B95D-0E1431E310C5">EN</EC_Collab_DocumentLanguage>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22cba6d0-857b-4a43-a289-bc3f9a12356a</TermId>
        </TermInfo>
      </Terms>
    </i65add8783a54065a8ae717033658b9b>
    <Topic xmlns="1b0799a4-edca-46f1-b29f-b4389059cfe0" xsi:nil="true"/>
    <EC_ARES_TRANSFERRED_BY xmlns="B98945D3-5456-4CD3-B95D-0E1431E310C5" xsi:nil="true"/>
    <_dlc_DocId xmlns="02ebb043-5898-4877-8c1f-28652c7a58c8">KUAXY5MF5DVP-161140645-98</_dlc_DocId>
    <_dlc_DocIdUrl xmlns="02ebb043-5898-4877-8c1f-28652c7a58c8">
      <Url>https://myintracomm-collab.ec.europa.eu/dg/FISMA/C/C3/_layouts/15/DocIdRedir.aspx?ID=KUAXY5MF5DVP-161140645-98</Url>
      <Description>KUAXY5MF5DVP-161140645-98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DF1874E1A6C8494186D8BA1B07D8E0DA" ma:contentTypeVersion="28" ma:contentTypeDescription="Create a new document in this library." ma:contentTypeScope="" ma:versionID="bc3eba37cdbc2d6f4be31cb524aad22a">
  <xsd:schema xmlns:xsd="http://www.w3.org/2001/XMLSchema" xmlns:xs="http://www.w3.org/2001/XMLSchema" xmlns:p="http://schemas.microsoft.com/office/2006/metadata/properties" xmlns:ns1="http://schemas.microsoft.com/sharepoint/v3" xmlns:ns3="B98945D3-5456-4CD3-B95D-0E1431E310C5" xmlns:ns4="02ebb043-5898-4877-8c1f-28652c7a58c8" xmlns:ns5="1b0799a4-edca-46f1-b29f-b4389059cfe0" xmlns:ns6="24a53f6f-f04e-4d7c-a822-4a9e769fef45" targetNamespace="http://schemas.microsoft.com/office/2006/metadata/properties" ma:root="true" ma:fieldsID="3e492ed6b9518913f783a2eb0a699f0a" ns1:_="" ns3:_="" ns4:_="" ns5:_="" ns6:_="">
    <xsd:import namespace="http://schemas.microsoft.com/sharepoint/v3"/>
    <xsd:import namespace="B98945D3-5456-4CD3-B95D-0E1431E310C5"/>
    <xsd:import namespace="02ebb043-5898-4877-8c1f-28652c7a58c8"/>
    <xsd:import namespace="1b0799a4-edca-46f1-b29f-b4389059cfe0"/>
    <xsd:import namespace="24a53f6f-f04e-4d7c-a822-4a9e769fef45"/>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4:TaxCatchAll" minOccurs="0"/>
                <xsd:element ref="ns4:pc1cb72997644c168a67816bee9648ad" minOccurs="0"/>
                <xsd:element ref="ns4:i65add8783a54065a8ae717033658b9b" minOccurs="0"/>
                <xsd:element ref="ns3:b2e4566d1cfc4e6eb55a8bd63695e673" minOccurs="0"/>
                <xsd:element ref="ns4:_dlc_DocId" minOccurs="0"/>
                <xsd:element ref="ns4:_dlc_DocIdUrl" minOccurs="0"/>
                <xsd:element ref="ns4:_dlc_DocIdPersistId" minOccurs="0"/>
                <xsd:element ref="ns1:TranslationStateListUrl" minOccurs="0"/>
                <xsd:element ref="ns5:Topic"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5"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945D3-5456-4CD3-B95D-0E1431E310C5"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element name="b2e4566d1cfc4e6eb55a8bd63695e673" ma:index="21" nillable="true" ma:taxonomy="true" ma:internalName="b2e4566d1cfc4e6eb55a8bd63695e673" ma:taxonomyFieldName="Confidentiality" ma:displayName="Confidentiality" ma:indexed="true"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19"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0"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0799a4-edca-46f1-b29f-b4389059cfe0" elementFormDefault="qualified">
    <xsd:import namespace="http://schemas.microsoft.com/office/2006/documentManagement/types"/>
    <xsd:import namespace="http://schemas.microsoft.com/office/infopath/2007/PartnerControls"/>
    <xsd:element name="Topic" ma:index="26" nillable="true" ma:displayName="Topic" ma:format="Dropdown" ma:internalName="Topic">
      <xsd:simpleType>
        <xsd:restriction base="dms:Choice">
          <xsd:enumeration value="2022 BM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24a53f6f-f04e-4d7c-a822-4a9e769fef4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EurolookProperties>
  <ProductCustomizationId>EC</ProductCustomizationId>
  <Created>
    <Version>10.0.44709.0</Version>
    <Date>2023-03-24T18:09:15</Date>
    <Language>EN</Language>
    <Note/>
  </Created>
  <Edited>
    <Version/>
    <Date/>
  </Edited>
  <DocumentModel>
    <Id>6cbda13a-4db2-46c6-876a-ef72275827ef</Id>
    <Name>Report</Name>
  </DocumentModel>
  <CustomTemplate>
    <Id/>
    <Name/>
  </CustomTemplate>
  <DocumentDate>2023-03-24T18:09:15</DocumentDate>
  <DocumentVersion>0.1</DocumentVersion>
  <CompatibilityMode>Eurolook10</CompatibilityMode>
  <DocumentMetadata>
    <EC_SecurityDateMarkingEvent MetadataSerializationType="SimpleValue"/>
    <EC_SecurityDistributionWorkingGroup MetadataSerializationType="SimpleValue"/>
    <EC_SecurityDistributionSpecialHandling MetadataSerializationType="SimpleValue"/>
    <EC_SecurityDistributionSensitive MetadataSerializationType="SimpleValue"/>
    <EC_SecurityDistributionDG MetadataSerializationType="SimpleValue"/>
    <EC_SecurityDateMarkingDate MetadataSerializationType="SimpleValue"/>
    <EC_SecurityMarking MetadataSerializationType="SimpleValue"/>
    <EC_SecurityReleasability MetadataSerializationType="SimpleValue"/>
    <EC_SecurityDateMarking MetadataSerializationType="SimpleValue"/>
  </DocumentMetadata>
</Eurolook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DAB6-A6BE-4AC4-B241-D950C87A3BA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A2AE060A-15A8-4B0E-867B-4FDE06ECCF3D}">
  <ds:schemaRefs>
    <ds:schemaRef ds:uri="http://schemas.microsoft.com/office/2006/metadata/customXsn"/>
  </ds:schemaRefs>
</ds:datastoreItem>
</file>

<file path=customXml/itemProps4.xml><?xml version="1.0" encoding="utf-8"?>
<ds:datastoreItem xmlns:ds="http://schemas.openxmlformats.org/officeDocument/2006/customXml" ds:itemID="{E74A9442-30E3-4BD5-B68C-8D9896098145}">
  <ds:schemaRefs>
    <ds:schemaRef ds:uri="http://schemas.microsoft.com/sharepoint/events"/>
  </ds:schemaRefs>
</ds:datastoreItem>
</file>

<file path=customXml/itemProps5.xml><?xml version="1.0" encoding="utf-8"?>
<ds:datastoreItem xmlns:ds="http://schemas.openxmlformats.org/officeDocument/2006/customXml" ds:itemID="{D6ED2756-49C5-4819-BD32-CE28997565F5}">
  <ds:schemaRefs>
    <ds:schemaRef ds:uri="http://schemas.microsoft.com/office/2006/metadata/properties"/>
    <ds:schemaRef ds:uri="http://schemas.microsoft.com/office/infopath/2007/PartnerControls"/>
    <ds:schemaRef ds:uri="B98945D3-5456-4CD3-B95D-0E1431E310C5"/>
    <ds:schemaRef ds:uri="02ebb043-5898-4877-8c1f-28652c7a58c8"/>
    <ds:schemaRef ds:uri="http://schemas.microsoft.com/sharepoint/v3"/>
    <ds:schemaRef ds:uri="1b0799a4-edca-46f1-b29f-b4389059cfe0"/>
  </ds:schemaRefs>
</ds:datastoreItem>
</file>

<file path=customXml/itemProps6.xml><?xml version="1.0" encoding="utf-8"?>
<ds:datastoreItem xmlns:ds="http://schemas.openxmlformats.org/officeDocument/2006/customXml" ds:itemID="{48EECA60-36B7-424C-BB12-C9D0859055E0}">
  <ds:schemaRefs>
    <ds:schemaRef ds:uri="http://schemas.microsoft.com/sharepoint/v3/contenttype/forms"/>
  </ds:schemaRefs>
</ds:datastoreItem>
</file>

<file path=customXml/itemProps7.xml><?xml version="1.0" encoding="utf-8"?>
<ds:datastoreItem xmlns:ds="http://schemas.openxmlformats.org/officeDocument/2006/customXml" ds:itemID="{6E66C24E-F0D1-4810-BE9C-0A7357590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945D3-5456-4CD3-B95D-0E1431E310C5"/>
    <ds:schemaRef ds:uri="02ebb043-5898-4877-8c1f-28652c7a58c8"/>
    <ds:schemaRef ds:uri="1b0799a4-edca-46f1-b29f-b4389059cfe0"/>
    <ds:schemaRef ds:uri="24a53f6f-f04e-4d7c-a822-4a9e769f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3EA5527-7367-4268-9D83-5125C98D0ED2}">
  <ds:schemaRefs/>
</ds:datastoreItem>
</file>

<file path=customXml/itemProps9.xml><?xml version="1.0" encoding="utf-8"?>
<ds:datastoreItem xmlns:ds="http://schemas.openxmlformats.org/officeDocument/2006/customXml" ds:itemID="{95E931C6-AA04-42A6-8CA0-0E687795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2793</Words>
  <Characters>15167</Characters>
  <Application>Microsoft Office Word</Application>
  <DocSecurity>0</DocSecurity>
  <PresentationFormat>Microsoft Word 14.0</PresentationFormat>
  <Lines>257</Lines>
  <Paragraphs>67</Paragraphs>
  <ScaleCrop>true</ScaleCrop>
  <HeadingPairs>
    <vt:vector size="2" baseType="variant">
      <vt:variant>
        <vt:lpstr>Title</vt:lpstr>
      </vt:variant>
      <vt:variant>
        <vt:i4>1</vt:i4>
      </vt:variant>
    </vt:vector>
  </HeadingPairs>
  <TitlesOfParts>
    <vt:vector size="1" baseType="lpstr">
      <vt:lpstr>Report to the European Parliament and to the Council</vt:lpstr>
    </vt:vector>
  </TitlesOfParts>
  <Manager/>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European Parliament and to the Council</dc:title>
  <dc:subject>On the scope of Regulation (EU) 2016/1011, in particular with respect to the continued use by supervised entities of third-country benchmarks and on potential shortcomings of the current framework</dc:subject>
  <dc:creator/>
  <cp:keywords/>
  <dc:description/>
  <cp:lastModifiedBy>EC CoDe</cp:lastModifiedBy>
  <cp:revision>28</cp:revision>
  <dcterms:created xsi:type="dcterms:W3CDTF">2023-07-11T16:28:00Z</dcterms:created>
  <dcterms:modified xsi:type="dcterms:W3CDTF">2023-07-14T07:19:00Z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2023-03-24T17:09:17Z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1a08a463-0902-4a36-894b-d8fb1b28df2e</vt:lpwstr>
  </property>
  <property fmtid="{D5CDD505-2E9C-101B-9397-08002B2CF9AE}" pid="8" name="MSIP_Label_6bd9ddd1-4d20-43f6-abfa-fc3c07406f94_ContentBits">
    <vt:lpwstr>0</vt:lpwstr>
  </property>
  <property fmtid="{D5CDD505-2E9C-101B-9397-08002B2CF9AE}" pid="9" name="ContentTypeId">
    <vt:lpwstr>0x010100258AA79CEB83498886A3A0868112325000DF1874E1A6C8494186D8BA1B07D8E0DA</vt:lpwstr>
  </property>
  <property fmtid="{D5CDD505-2E9C-101B-9397-08002B2CF9AE}" pid="10" name="Doc Status">
    <vt:lpwstr>120;#Draft|22cba6d0-857b-4a43-a289-bc3f9a12356a</vt:lpwstr>
  </property>
  <property fmtid="{D5CDD505-2E9C-101B-9397-08002B2CF9AE}" pid="11" name="Document type">
    <vt:lpwstr/>
  </property>
  <property fmtid="{D5CDD505-2E9C-101B-9397-08002B2CF9AE}" pid="12" name="Confidentiality">
    <vt:lpwstr/>
  </property>
  <property fmtid="{D5CDD505-2E9C-101B-9397-08002B2CF9AE}" pid="13" name="_dlc_policyId">
    <vt:lpwstr/>
  </property>
  <property fmtid="{D5CDD505-2E9C-101B-9397-08002B2CF9AE}" pid="14" name="ItemRetentionFormula">
    <vt:lpwstr/>
  </property>
  <property fmtid="{D5CDD505-2E9C-101B-9397-08002B2CF9AE}" pid="15" name="_dlc_DocIdItemGuid">
    <vt:lpwstr>e4868b8b-fbfb-4c8a-92be-a6a19d4ed445</vt:lpwstr>
  </property>
  <property fmtid="{D5CDD505-2E9C-101B-9397-08002B2CF9AE}" pid="16" name="Level of sensitivity">
    <vt:lpwstr>Standard treatment</vt:lpwstr>
  </property>
  <property fmtid="{D5CDD505-2E9C-101B-9397-08002B2CF9AE}" pid="17" name="_LW_INVALIDATED_EurolookVersion">
    <vt:lpwstr>10.0</vt:lpwstr>
  </property>
  <property fmtid="{D5CDD505-2E9C-101B-9397-08002B2CF9AE}" pid="18" name="_LW_INVALIDATED_ELDocType">
    <vt:lpwstr>rep.dot</vt:lpwstr>
  </property>
  <property fmtid="{D5CDD505-2E9C-101B-9397-08002B2CF9AE}" pid="19" name="Part">
    <vt:lpwstr>1</vt:lpwstr>
  </property>
  <property fmtid="{D5CDD505-2E9C-101B-9397-08002B2CF9AE}" pid="20" name="Total parts">
    <vt:lpwstr>1</vt:lpwstr>
  </property>
  <property fmtid="{D5CDD505-2E9C-101B-9397-08002B2CF9AE}" pid="21" name="DocStatus">
    <vt:lpwstr>Green</vt:lpwstr>
  </property>
  <property fmtid="{D5CDD505-2E9C-101B-9397-08002B2CF9AE}" pid="22" name="CPTemplateID">
    <vt:lpwstr>CP-006</vt:lpwstr>
  </property>
  <property fmtid="{D5CDD505-2E9C-101B-9397-08002B2CF9AE}" pid="23" name="Last edited using">
    <vt:lpwstr>LW 9.0, Build 20230317</vt:lpwstr>
  </property>
  <property fmtid="{D5CDD505-2E9C-101B-9397-08002B2CF9AE}" pid="24" name="Created using">
    <vt:lpwstr>LW 9.0, Build 20230317</vt:lpwstr>
  </property>
</Properties>
</file>