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98F07" w14:textId="58D233E6" w:rsidR="00977CF6" w:rsidRPr="00CB70BA" w:rsidRDefault="00811919" w:rsidP="00811919">
      <w:pPr>
        <w:pStyle w:val="Pagedecouverture"/>
        <w:rPr>
          <w:noProof/>
        </w:rPr>
      </w:pPr>
      <w:r>
        <w:rPr>
          <w:noProof/>
        </w:rPr>
        <w:pict w14:anchorId="6BC57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alt="7AD67122-EBA7-45B3-ADD2-451212ADB7D0" style="width:455.25pt;height:369.75pt">
            <v:imagedata r:id="rId13" o:title=""/>
          </v:shape>
        </w:pict>
      </w:r>
    </w:p>
    <w:p w14:paraId="7880CDFD" w14:textId="77777777" w:rsidR="00977CF6" w:rsidRPr="00CB70BA" w:rsidRDefault="00977CF6" w:rsidP="00977CF6">
      <w:pPr>
        <w:rPr>
          <w:noProof/>
        </w:rPr>
        <w:sectPr w:rsidR="00977CF6" w:rsidRPr="00CB70BA" w:rsidSect="00811919">
          <w:footerReference w:type="default" r:id="rId14"/>
          <w:pgSz w:w="11907" w:h="16839"/>
          <w:pgMar w:top="1134" w:right="1417" w:bottom="1134" w:left="1417" w:header="709" w:footer="709" w:gutter="0"/>
          <w:pgNumType w:start="0"/>
          <w:cols w:space="720"/>
          <w:docGrid w:linePitch="360"/>
        </w:sectPr>
      </w:pPr>
    </w:p>
    <w:p w14:paraId="006B69EF" w14:textId="77777777" w:rsidR="00977CF6" w:rsidRPr="00CB70BA" w:rsidRDefault="00977CF6" w:rsidP="000430BD">
      <w:pPr>
        <w:pStyle w:val="Exposdesmotifstitre"/>
        <w:rPr>
          <w:noProof/>
        </w:rPr>
      </w:pPr>
      <w:bookmarkStart w:id="0" w:name="_GoBack"/>
      <w:bookmarkEnd w:id="0"/>
      <w:r w:rsidRPr="00CB70BA">
        <w:rPr>
          <w:noProof/>
        </w:rPr>
        <w:lastRenderedPageBreak/>
        <w:t>PERUSTELUT</w:t>
      </w:r>
    </w:p>
    <w:p w14:paraId="33CBB597" w14:textId="77777777" w:rsidR="00977CF6" w:rsidRPr="00CB70BA" w:rsidRDefault="00977CF6" w:rsidP="000430BD">
      <w:pPr>
        <w:pStyle w:val="ManualHeading1"/>
        <w:rPr>
          <w:noProof/>
        </w:rPr>
      </w:pPr>
      <w:r w:rsidRPr="00CB70BA">
        <w:rPr>
          <w:noProof/>
        </w:rPr>
        <w:t>1.</w:t>
      </w:r>
      <w:r w:rsidRPr="00CB70BA">
        <w:rPr>
          <w:noProof/>
        </w:rPr>
        <w:tab/>
        <w:t>EHDOTUKSEN TAUSTA</w:t>
      </w:r>
    </w:p>
    <w:p w14:paraId="29022B70" w14:textId="77777777" w:rsidR="00977CF6" w:rsidRPr="00CB70BA" w:rsidRDefault="00977CF6" w:rsidP="000430BD">
      <w:pPr>
        <w:pStyle w:val="ManualHeading2"/>
        <w:rPr>
          <w:rFonts w:eastAsia="Arial Unicode MS"/>
          <w:noProof/>
        </w:rPr>
      </w:pPr>
      <w:r w:rsidRPr="00CB70BA">
        <w:rPr>
          <w:noProof/>
          <w:u w:color="000000"/>
          <w:bdr w:val="nil"/>
        </w:rPr>
        <w:t>•</w:t>
      </w:r>
      <w:r w:rsidRPr="00CB70BA">
        <w:rPr>
          <w:noProof/>
        </w:rPr>
        <w:tab/>
        <w:t>Ehdotuksen perustelut ja tavoitteet</w:t>
      </w:r>
    </w:p>
    <w:p w14:paraId="534934E6" w14:textId="77777777" w:rsidR="00173A86" w:rsidRPr="00CB70BA" w:rsidRDefault="00222D8E" w:rsidP="00222D8E">
      <w:pPr>
        <w:pBdr>
          <w:top w:val="nil"/>
          <w:left w:val="nil"/>
          <w:bottom w:val="nil"/>
          <w:right w:val="nil"/>
          <w:between w:val="nil"/>
          <w:bar w:val="nil"/>
        </w:pBdr>
        <w:spacing w:before="0" w:after="240"/>
        <w:rPr>
          <w:noProof/>
        </w:rPr>
      </w:pPr>
      <w:r w:rsidRPr="00CB70BA">
        <w:rPr>
          <w:noProof/>
        </w:rPr>
        <w:t xml:space="preserve">EU:ssa sijoittajat voivat yleensä joutua maksamaan veroa kahdesti arvopapereiden hallussapidosta saaduista tuloista (eli osakkeiden osingoista ja joukkovelkakirjojen koroista) rajatylittävissä yhteyksissä. </w:t>
      </w:r>
    </w:p>
    <w:p w14:paraId="3A7F4F82" w14:textId="77777777" w:rsidR="00173A86" w:rsidRPr="00CB70BA" w:rsidRDefault="00222D8E" w:rsidP="00F42FD8">
      <w:pPr>
        <w:pStyle w:val="Bullet0"/>
        <w:numPr>
          <w:ilvl w:val="0"/>
          <w:numId w:val="10"/>
        </w:numPr>
        <w:rPr>
          <w:noProof/>
        </w:rPr>
      </w:pPr>
      <w:r w:rsidRPr="00CB70BA">
        <w:rPr>
          <w:noProof/>
        </w:rPr>
        <w:t>Ensinnäkin veroja voidaan periä arvopaperien liikkeeseenlaskijan maassa (</w:t>
      </w:r>
      <w:r w:rsidRPr="00CB70BA">
        <w:rPr>
          <w:b/>
          <w:noProof/>
        </w:rPr>
        <w:t>lähdemaassa</w:t>
      </w:r>
      <w:r w:rsidRPr="00CB70BA">
        <w:rPr>
          <w:noProof/>
        </w:rPr>
        <w:t>) arvopapereista saatavista bruttotuloista pidätettävän veron (</w:t>
      </w:r>
      <w:r w:rsidRPr="00CB70BA">
        <w:rPr>
          <w:b/>
          <w:noProof/>
        </w:rPr>
        <w:t>lähdevero</w:t>
      </w:r>
      <w:r w:rsidRPr="00CB70BA">
        <w:rPr>
          <w:noProof/>
        </w:rPr>
        <w:t xml:space="preserve">) muodossa. </w:t>
      </w:r>
    </w:p>
    <w:p w14:paraId="4119F842" w14:textId="77777777" w:rsidR="00010692" w:rsidRPr="00CB70BA" w:rsidRDefault="30B45375" w:rsidP="00F42FD8">
      <w:pPr>
        <w:pStyle w:val="Bullet0"/>
        <w:rPr>
          <w:noProof/>
        </w:rPr>
      </w:pPr>
      <w:r w:rsidRPr="00CB70BA">
        <w:rPr>
          <w:noProof/>
        </w:rPr>
        <w:t xml:space="preserve">Toiseksi veroja voidaan periä sijoittajan </w:t>
      </w:r>
      <w:r w:rsidRPr="00CB70BA">
        <w:rPr>
          <w:b/>
          <w:noProof/>
        </w:rPr>
        <w:t>asuinmaassa</w:t>
      </w:r>
      <w:r w:rsidRPr="00CB70BA">
        <w:rPr>
          <w:noProof/>
        </w:rPr>
        <w:t xml:space="preserve"> </w:t>
      </w:r>
      <w:r w:rsidRPr="00CB70BA">
        <w:rPr>
          <w:b/>
          <w:noProof/>
        </w:rPr>
        <w:t>tuloveron</w:t>
      </w:r>
      <w:r w:rsidRPr="00CB70BA">
        <w:rPr>
          <w:noProof/>
        </w:rPr>
        <w:t xml:space="preserve"> muodossa. </w:t>
      </w:r>
    </w:p>
    <w:p w14:paraId="1C55C123" w14:textId="77777777" w:rsidR="00222D8E" w:rsidRPr="00CB70BA" w:rsidRDefault="00222D8E" w:rsidP="00222D8E">
      <w:pPr>
        <w:pBdr>
          <w:top w:val="nil"/>
          <w:left w:val="nil"/>
          <w:bottom w:val="nil"/>
          <w:right w:val="nil"/>
          <w:between w:val="nil"/>
          <w:bar w:val="nil"/>
        </w:pBdr>
        <w:spacing w:before="0" w:after="240"/>
        <w:rPr>
          <w:noProof/>
        </w:rPr>
      </w:pPr>
      <w:r w:rsidRPr="00CB70BA">
        <w:rPr>
          <w:noProof/>
        </w:rPr>
        <w:t>Tämän kaksinkertaisen verotuksen välttämiseksi monet maat ovat sopineet jakavansa verotusoikeudet lähde- ja asuinmaiden välillä allekirjoittamalla kaksinkertaista verotusta koskevia sopimuksia. Sopimusten ehtojen mukaan rajoitetusti verovelvolliseen sijoittajaan saatetaan soveltaa alempaa lähdeverokantaa tai verovapautusta lähdemaassa. Verosopimusten lisäksi jotkin lähdemaat ovat tiettyihin politiikkatavoitteisiin pyrkimiseksi ottaneet käyttöön sääntöjä, joissa määrätään alhaisemmista verokannoista tai vapautuksista tietyille rajoitetusti verovelvollisille.</w:t>
      </w:r>
    </w:p>
    <w:p w14:paraId="20DF284B" w14:textId="77777777" w:rsidR="00FE4542" w:rsidRPr="00CB70BA" w:rsidRDefault="00222D8E" w:rsidP="00010692">
      <w:pPr>
        <w:pBdr>
          <w:top w:val="nil"/>
          <w:left w:val="nil"/>
          <w:bottom w:val="nil"/>
          <w:right w:val="nil"/>
          <w:between w:val="nil"/>
          <w:bar w:val="nil"/>
        </w:pBdr>
        <w:spacing w:before="0" w:after="240"/>
        <w:rPr>
          <w:noProof/>
        </w:rPr>
      </w:pPr>
      <w:r w:rsidRPr="00CB70BA">
        <w:rPr>
          <w:noProof/>
        </w:rPr>
        <w:t>Lähdeveron alennus tai siitä vapautus voidaan myöntää kahdella tavalla. Joko alennettua verokantaa tai vapautusta sovelletaan suoraan osingon tai koron maksamisen yhteydessä (</w:t>
      </w:r>
      <w:r w:rsidRPr="00CB70BA">
        <w:rPr>
          <w:b/>
          <w:bCs/>
          <w:noProof/>
        </w:rPr>
        <w:t>veron alentaminen tulon lähteellä</w:t>
      </w:r>
      <w:r w:rsidRPr="00CB70BA">
        <w:rPr>
          <w:noProof/>
        </w:rPr>
        <w:t>) tai ylimääräinen vero palautetaan sijoittajan hakemuksen perusteella (</w:t>
      </w:r>
      <w:r w:rsidRPr="00CB70BA">
        <w:rPr>
          <w:b/>
          <w:noProof/>
        </w:rPr>
        <w:t>palautusmenettely</w:t>
      </w:r>
      <w:r w:rsidRPr="00CB70BA">
        <w:rPr>
          <w:noProof/>
        </w:rPr>
        <w:t xml:space="preserve">). </w:t>
      </w:r>
    </w:p>
    <w:p w14:paraId="2C199126" w14:textId="77777777" w:rsidR="009E0D0A" w:rsidRPr="00CB70BA" w:rsidRDefault="00222D8E" w:rsidP="00010692">
      <w:pPr>
        <w:pBdr>
          <w:top w:val="nil"/>
          <w:left w:val="nil"/>
          <w:bottom w:val="nil"/>
          <w:right w:val="nil"/>
          <w:between w:val="nil"/>
          <w:bar w:val="nil"/>
        </w:pBdr>
        <w:spacing w:before="0" w:after="240"/>
        <w:rPr>
          <w:noProof/>
        </w:rPr>
      </w:pPr>
      <w:r w:rsidRPr="00CB70BA">
        <w:rPr>
          <w:b/>
          <w:noProof/>
        </w:rPr>
        <w:t>Lähdeveromenettelyt</w:t>
      </w:r>
      <w:r w:rsidRPr="00CB70BA">
        <w:rPr>
          <w:noProof/>
        </w:rPr>
        <w:t xml:space="preserve">, joiden avulla rajoitetusti verovelvolliset sijoittajat voivat hyötyä verosopimuksesta tai kotimaisista eduista, ovat kuitenkin usein </w:t>
      </w:r>
      <w:r w:rsidRPr="00CB70BA">
        <w:rPr>
          <w:b/>
          <w:noProof/>
        </w:rPr>
        <w:t>raskaita, kalliita ja pitkiä</w:t>
      </w:r>
      <w:r w:rsidRPr="00CB70BA">
        <w:rPr>
          <w:noProof/>
        </w:rPr>
        <w:t xml:space="preserve">, koska eri jäsenvaltioissa on suuria eroja sekä asiakirjoissa, jotka verovelvollisten on toimitettava saadakseen lähdeveron alennuksen, että niiden digitalisaation tasossa. </w:t>
      </w:r>
      <w:r w:rsidRPr="00CB70BA">
        <w:rPr>
          <w:b/>
          <w:noProof/>
        </w:rPr>
        <w:t>Lähdeveromenettelyissä</w:t>
      </w:r>
      <w:r w:rsidRPr="00CB70BA">
        <w:rPr>
          <w:noProof/>
        </w:rPr>
        <w:t xml:space="preserve"> on edelleen </w:t>
      </w:r>
      <w:r w:rsidRPr="00CB70BA">
        <w:rPr>
          <w:b/>
          <w:noProof/>
        </w:rPr>
        <w:t>veropetosten ja verotukseen liittyvien väärinkäytösten vaara</w:t>
      </w:r>
      <w:r w:rsidRPr="00CB70BA">
        <w:rPr>
          <w:noProof/>
        </w:rPr>
        <w:t>, mikä johtaa tulonmenetyksiin jäsenvaltioissa. Tästä ovat osoituksena useat veroskandaalit, erityisesti niin kutsutut cum cum- ja cum ex -tapaukset. Tämä johtuu siitä, että verohallinnoilla ei ole käytössään tarkkoja tietoja, koska avoimuus on vähäistä rahoitusketjussa eikä niillä ole tietoa kohde-etuutena oleviin arvopapereihin liittyvistä rahoitusjärjestelyistä.</w:t>
      </w:r>
    </w:p>
    <w:p w14:paraId="6BE238B7" w14:textId="77777777" w:rsidR="00AD6F6E" w:rsidRPr="00CB70BA" w:rsidRDefault="00AD6F6E" w:rsidP="009E0D0A">
      <w:pPr>
        <w:pBdr>
          <w:top w:val="nil"/>
          <w:left w:val="nil"/>
          <w:bottom w:val="nil"/>
          <w:right w:val="nil"/>
          <w:between w:val="nil"/>
          <w:bar w:val="nil"/>
        </w:pBdr>
        <w:spacing w:before="0" w:after="240"/>
        <w:rPr>
          <w:noProof/>
        </w:rPr>
      </w:pPr>
      <w:r w:rsidRPr="00CB70BA">
        <w:rPr>
          <w:noProof/>
        </w:rPr>
        <w:t>Palautushakemuksen toimitusmenettelyihin sisältyvät yleensä seuraavat vaiheet ja vaatimukset: verovelvollisen (eli maksujen saajan) on osoitettava, että sen kotipaikka on maassa, jonka kanssa lähdejäsenvaltio on allekirjoittanut verosopimuksen. Tätä varten verovelvollisen on pyydettävä kotipaikkatodistus asuinvaltionsa verohallinnolta. Lisäksi on toimitettava useita lisälomakkeita ja -asiakirjoja lähdemaasta riippuen. Lähdejäsenvaltiot vaativat tyypillisesti EU:ssa todisteen siitä, että verovelvollinen on arvopaperin omistaja ja tulojen saaja, mutta ne voivat vaatia lisäksi kaikenlaisia maksuketjuun liittyviä asiakirjoja tai tiettyjä pankkitositteita (esim. osingon osoittava tosite) ennen ylimääräisen veron palauttamista. Viimeaikaisten ja erittäin merkittävien monimutkaisten petostapausten vuoksi jotkin jäsenvaltiot ovat ottaneet tai ottamassa käyttöön entistä tiukempia asiakirjavaatimuksia osana menettelyjään.</w:t>
      </w:r>
    </w:p>
    <w:p w14:paraId="60A6C37B" w14:textId="77777777" w:rsidR="004B5980" w:rsidRPr="00CB70BA" w:rsidRDefault="006849EF" w:rsidP="009E0D0A">
      <w:pPr>
        <w:pBdr>
          <w:top w:val="nil"/>
          <w:left w:val="nil"/>
          <w:bottom w:val="nil"/>
          <w:right w:val="nil"/>
          <w:between w:val="nil"/>
          <w:bar w:val="nil"/>
        </w:pBdr>
        <w:spacing w:before="0" w:after="240"/>
        <w:rPr>
          <w:noProof/>
        </w:rPr>
      </w:pPr>
      <w:r w:rsidRPr="00CB70BA">
        <w:rPr>
          <w:noProof/>
        </w:rPr>
        <w:t xml:space="preserve">Yksi ilmeisimmistä verotukseen liittyvien väärinkäytösten muodoista ovat tilanteet, joissa verovelvolliset, joilla ei ole oikeutta alhaisempaan lähdeverokantaan, toteuttavat transaktioita (esimerkiksi arvopapereiden lainaksi antaminen tai myynti ja takaisinosto) sellaisten yhteisöjen kanssa, jotka voisivat hyötyä alennetusta lähdeverokannasta (esimerkiksi asiaa koskevan verosopimuksen perusteella tai erityisasemansa vuoksi), jos ne olisivat arvopaperin omistajia, tarkoituksena jakaa säästöt osapuolten kesken. </w:t>
      </w:r>
    </w:p>
    <w:p w14:paraId="78A64163" w14:textId="77777777" w:rsidR="006849EF" w:rsidRPr="00CB70BA" w:rsidRDefault="00F81CE6" w:rsidP="009E0D0A">
      <w:pPr>
        <w:pBdr>
          <w:top w:val="nil"/>
          <w:left w:val="nil"/>
          <w:bottom w:val="nil"/>
          <w:right w:val="nil"/>
          <w:between w:val="nil"/>
          <w:bar w:val="nil"/>
        </w:pBdr>
        <w:spacing w:before="0" w:after="240"/>
        <w:rPr>
          <w:noProof/>
        </w:rPr>
      </w:pPr>
      <w:r w:rsidRPr="00CB70BA">
        <w:rPr>
          <w:noProof/>
        </w:rPr>
        <w:t>Tämäntyyppisestä väärinkäytöksestä käytetään myös nimitystä osinkoarbitraasi tai cum cum -järjestely. Toinen väärinkäytöksen muoto ovat cum ex -järjestelyt, joiden avulla voidaan tehdä vilpillisesti useita palautushakemuksia: voitonjakopäivän lähettyvillä tehtävillä tarkoituksellisilla lyhyeksimyyntikäytännöillä pyritään hämärtämään arvopapereiden taloudellisen ja laillisen omistajan suhdetta, jolloin molemmat osapuolet voivat hakea veronpalautuksia, jotka ylittävät lähdeveroasiamiehen alun perin pidättämän lähdeveron määrän.</w:t>
      </w:r>
    </w:p>
    <w:p w14:paraId="1D276EE6" w14:textId="18419EAC" w:rsidR="009E0D0A" w:rsidRPr="00CB70BA" w:rsidRDefault="009E0D0A" w:rsidP="00166F1C">
      <w:pPr>
        <w:pBdr>
          <w:bar w:val="nil"/>
        </w:pBdr>
        <w:spacing w:before="0" w:after="240"/>
        <w:rPr>
          <w:noProof/>
        </w:rPr>
      </w:pPr>
      <w:r w:rsidRPr="00CB70BA">
        <w:rPr>
          <w:noProof/>
        </w:rPr>
        <w:t>Nykytilanne ei kannusta rajatylittäviin sijoituksiin EU:ssa, etenkään vähittäissijoittajien osalta: äskettäisessä tutkimuksessa</w:t>
      </w:r>
      <w:r w:rsidRPr="00CB70BA">
        <w:rPr>
          <w:rStyle w:val="FootnoteReference"/>
          <w:rFonts w:eastAsia="Times New Roman"/>
          <w:noProof/>
        </w:rPr>
        <w:footnoteReference w:id="2"/>
      </w:r>
      <w:r w:rsidRPr="00CB70BA">
        <w:rPr>
          <w:noProof/>
        </w:rPr>
        <w:t xml:space="preserve"> lähes 70 prosenttia vähittäissijoittajista, jotka olisivat oikeutettuja alennettuun lähdeverokantaan, ei pyytänyt sitä. Tärkeimmäksi syyksi mainittiin pitkät, kalliit ja liian monimutkaiset menettelyt, joiden vuoksi 31 prosenttia vastaajista päätti myydä muiden EU-maiden osakkeensa. Tämä on pohjimmiltaan vastoin pääomamarkkinaunionin ja 24. toukokuuta 2023 hyväksytyn vähittäissijoituksia koskevan paketin</w:t>
      </w:r>
      <w:r w:rsidRPr="00CB70BA">
        <w:rPr>
          <w:rStyle w:val="FootnoteReference"/>
          <w:noProof/>
        </w:rPr>
        <w:footnoteReference w:id="3"/>
      </w:r>
      <w:r w:rsidRPr="00CB70BA">
        <w:rPr>
          <w:noProof/>
        </w:rPr>
        <w:t xml:space="preserve"> tavoitteita ja heikentää koko EU:n markkinoiden kilpailukykyä. Sen lisäksi, että jatkuva petosten tai väärinkäytösten riski vie huomattavia resursseja veroviranomaisilta, sillä on myös kielteinen vaikutus jäsenvaltioiden verotuloihin ja viime kädessä verotuksen oikeudenmukaisuuteen.</w:t>
      </w:r>
    </w:p>
    <w:p w14:paraId="0CD631D1" w14:textId="77777777" w:rsidR="009E0D0A" w:rsidRPr="00CB70BA" w:rsidRDefault="009E0D0A" w:rsidP="009E0D0A">
      <w:pPr>
        <w:pBdr>
          <w:top w:val="nil"/>
          <w:left w:val="nil"/>
          <w:bottom w:val="nil"/>
          <w:right w:val="nil"/>
          <w:between w:val="nil"/>
          <w:bar w:val="nil"/>
        </w:pBdr>
        <w:spacing w:before="0" w:after="240"/>
        <w:rPr>
          <w:noProof/>
        </w:rPr>
      </w:pPr>
      <w:r w:rsidRPr="00CB70BA">
        <w:rPr>
          <w:noProof/>
        </w:rPr>
        <w:t>Euroopan komissio ja kansainväliset järjestöt ovat vuosikymmenten ajan analysoineet lähdeveromenettelyihin liittyviä tehottomuuksia sekä petosten ja väärinkäytösten riskiä ja pyrkineet puuttumaan niihin. Komissio esitti vuonna 2009 jäsenvaltioille suosituksen lähdeveromenettelyjen yksinkertaistamisesta</w:t>
      </w:r>
      <w:r w:rsidRPr="00CB70BA">
        <w:rPr>
          <w:rStyle w:val="FootnoteReference"/>
          <w:noProof/>
        </w:rPr>
        <w:footnoteReference w:id="4"/>
      </w:r>
      <w:r w:rsidRPr="00CB70BA">
        <w:rPr>
          <w:noProof/>
        </w:rPr>
        <w:t>. Komissio julkaisi vuonna 2017 lähdeveroa koskevat käytännesäännöt</w:t>
      </w:r>
      <w:r w:rsidRPr="00CB70BA">
        <w:rPr>
          <w:rStyle w:val="FootnoteReference"/>
          <w:noProof/>
        </w:rPr>
        <w:footnoteReference w:id="5"/>
      </w:r>
      <w:r w:rsidRPr="00CB70BA">
        <w:rPr>
          <w:noProof/>
        </w:rPr>
        <w:t>, jossa jäsenvaltioita kehotettiin vapaaehtoiseen sitoumukseen. Taloudellisen yhteistyön ja kehityksen järjestö (OECD) hyväksyi vuonna 2013 kansainvälisellä tasolla Treaty Relief and Compliance Enhancement (TRACE) -täytäntöönpanopaketin, jolla myös pyritään puuttumaan lähdeveromenettelyjen tehottomuuteen.</w:t>
      </w:r>
      <w:r w:rsidRPr="00CB70BA">
        <w:rPr>
          <w:rStyle w:val="FootnoteReference"/>
          <w:noProof/>
        </w:rPr>
        <w:footnoteReference w:id="6"/>
      </w:r>
      <w:r w:rsidRPr="00CB70BA">
        <w:rPr>
          <w:noProof/>
        </w:rPr>
        <w:t xml:space="preserve"> </w:t>
      </w:r>
    </w:p>
    <w:p w14:paraId="1041E49D" w14:textId="77777777" w:rsidR="009E0D0A" w:rsidRPr="00CB70BA" w:rsidRDefault="009E0D0A" w:rsidP="009E0D0A">
      <w:pPr>
        <w:pBdr>
          <w:top w:val="nil"/>
          <w:left w:val="nil"/>
          <w:bottom w:val="nil"/>
          <w:right w:val="nil"/>
          <w:between w:val="nil"/>
          <w:bar w:val="nil"/>
        </w:pBdr>
        <w:spacing w:before="0" w:after="240"/>
        <w:rPr>
          <w:noProof/>
        </w:rPr>
      </w:pPr>
      <w:r w:rsidRPr="00CB70BA">
        <w:rPr>
          <w:noProof/>
        </w:rPr>
        <w:t>Vaikka näillä EU:n tason ja kansainvälisillä toimilla on saatu aikaan jonkin verran parannuksia, hankalat lähdeveromenettelyt vähentävät edelleen erityisesti vähittäissijoittajien rajatylittäviä sijoituksia, ovat esteenä hyvin toimiville EU:n pääomamarkkinoille ja ovat omiaan lisäämään petosten ja väärinkäytösten riskiä. Lähdeveromenettelyjen kokonaiskustannusten arvioidaan olevan 6,62 miljardia euroa</w:t>
      </w:r>
      <w:r w:rsidRPr="00CB70BA">
        <w:rPr>
          <w:rStyle w:val="FootnoteReference"/>
          <w:noProof/>
        </w:rPr>
        <w:footnoteReference w:id="7"/>
      </w:r>
      <w:r w:rsidRPr="00CB70BA">
        <w:rPr>
          <w:noProof/>
        </w:rPr>
        <w:t xml:space="preserve">. </w:t>
      </w:r>
    </w:p>
    <w:p w14:paraId="4AEC0BAA" w14:textId="1EDCC06C" w:rsidR="00FE4542" w:rsidRPr="00CB70BA" w:rsidRDefault="00FE4542" w:rsidP="009E0D0A">
      <w:pPr>
        <w:pBdr>
          <w:top w:val="nil"/>
          <w:left w:val="nil"/>
          <w:bottom w:val="nil"/>
          <w:right w:val="nil"/>
          <w:between w:val="nil"/>
          <w:bar w:val="nil"/>
        </w:pBdr>
        <w:spacing w:before="0" w:after="240"/>
        <w:rPr>
          <w:noProof/>
        </w:rPr>
      </w:pPr>
      <w:r w:rsidRPr="00CB70BA">
        <w:rPr>
          <w:noProof/>
        </w:rPr>
        <w:t>Näistä syistä komissio ilmoitti vuonna 2020 toimintasuunnitelmassa elpymisstrategiaa tukevasta oikeudenmukaisesta ja yksinkertaisesta verotuksesta</w:t>
      </w:r>
      <w:r w:rsidRPr="00CB70BA">
        <w:rPr>
          <w:rStyle w:val="FootnoteReference"/>
          <w:noProof/>
        </w:rPr>
        <w:footnoteReference w:id="8"/>
      </w:r>
      <w:r w:rsidRPr="00CB70BA">
        <w:rPr>
          <w:noProof/>
        </w:rPr>
        <w:t xml:space="preserve"> ja pääomamarkkinaunionia ihmisille ja yrityksille koskevassa toimintasuunnitelmassa</w:t>
      </w:r>
      <w:r w:rsidRPr="00CB70BA">
        <w:rPr>
          <w:rStyle w:val="FootnoteReference"/>
          <w:noProof/>
        </w:rPr>
        <w:footnoteReference w:id="9"/>
      </w:r>
      <w:r w:rsidRPr="00CB70BA">
        <w:rPr>
          <w:noProof/>
        </w:rPr>
        <w:t xml:space="preserve"> lähdeveromenettelyjä koskevasta lainsäädäntöaloitteesta. Euroopan parlamentti suhtautui maaliskuussa 2022 myönteisesti oikeudenmukaista ja yksinkertaista verotusta koskevaan toimintasuunnitelmaan ja tuki sen perusteellista täytäntöönpanoa.</w:t>
      </w:r>
      <w:r w:rsidRPr="00CB70BA">
        <w:rPr>
          <w:rStyle w:val="FootnoteReference"/>
          <w:noProof/>
        </w:rPr>
        <w:footnoteReference w:id="10"/>
      </w:r>
      <w:r w:rsidRPr="00CB70BA">
        <w:rPr>
          <w:noProof/>
        </w:rPr>
        <w:t xml:space="preserve"> Lisäksi Euroopan parlamentti piti erittäin tervetulleena komission aikomusta esittää ehdotus, jolla luodaan yhteinen ja vakiomuotoinen lähdeverojärjestelmä ja siihen liittyvä jäsenvaltioiden verohallintojen välinen tietojenvaihto- ja yhteistyömekanismi.</w:t>
      </w:r>
      <w:r w:rsidRPr="00CB70BA">
        <w:rPr>
          <w:rStyle w:val="FootnoteReference"/>
          <w:noProof/>
        </w:rPr>
        <w:footnoteReference w:id="11"/>
      </w:r>
      <w:r w:rsidRPr="00CB70BA">
        <w:rPr>
          <w:noProof/>
        </w:rPr>
        <w:t xml:space="preserve"> Pääomamarkkinaunionia koskevasta toimintasuunnitelmasta vuonna 2020 päättäessään Euroopan parlamentti korosti tarvetta vähentää rajatylittävien sijoitusten veroesteitä, mukaan lukien menettelyt osinkojen lähdeveron rajat ylittävien palautusten maksamiseksi sijoittajille, myös vähittäissijoittajille.</w:t>
      </w:r>
      <w:r w:rsidRPr="00CB70BA">
        <w:rPr>
          <w:rStyle w:val="FootnoteReference"/>
          <w:noProof/>
        </w:rPr>
        <w:footnoteReference w:id="12"/>
      </w:r>
    </w:p>
    <w:p w14:paraId="5C884E2D" w14:textId="77777777" w:rsidR="000023B2" w:rsidRPr="00CB70BA" w:rsidRDefault="00C12D5B" w:rsidP="009E0D0A">
      <w:pPr>
        <w:pBdr>
          <w:top w:val="nil"/>
          <w:left w:val="nil"/>
          <w:bottom w:val="nil"/>
          <w:right w:val="nil"/>
          <w:between w:val="nil"/>
          <w:bar w:val="nil"/>
        </w:pBdr>
        <w:spacing w:before="0" w:after="240"/>
        <w:rPr>
          <w:noProof/>
        </w:rPr>
      </w:pPr>
      <w:r w:rsidRPr="00CB70BA">
        <w:rPr>
          <w:noProof/>
        </w:rPr>
        <w:t xml:space="preserve">Ehdotuksella on kaksi tavoitetta: pääomamarkkinaunionin moitteettoman toiminnan tukeminen helpottamalla rajatylittäviä sijoituksia ja oikeudenmukaisen verotuksen varmistaminen estämällä veropetokset ja verotukseen liittyvät väärinkäytökset. </w:t>
      </w:r>
    </w:p>
    <w:p w14:paraId="742BF0E2" w14:textId="77777777" w:rsidR="00977CF6" w:rsidRPr="00CB70BA" w:rsidRDefault="000361B5" w:rsidP="009E0D0A">
      <w:pPr>
        <w:pBdr>
          <w:top w:val="nil"/>
          <w:left w:val="nil"/>
          <w:bottom w:val="nil"/>
          <w:right w:val="nil"/>
          <w:between w:val="nil"/>
          <w:bar w:val="nil"/>
        </w:pBdr>
        <w:spacing w:before="0" w:after="240"/>
        <w:rPr>
          <w:rFonts w:eastAsia="Arial Unicode MS"/>
          <w:noProof/>
        </w:rPr>
      </w:pPr>
      <w:r w:rsidRPr="00CB70BA">
        <w:rPr>
          <w:noProof/>
        </w:rPr>
        <w:t>Jotta tavoitteet voidaan saavuttaa, tällä ehdotuksella otetaan käyttöön tehokkaammat lähdeveromenettelyt ja tarjotaan samalla jäsenvaltioille tarvittavat välineet veropetosten ja verotukseen liittyvien väärinkäytösten tehokkaaseen torjuntaan. Ehdotetuilla muutoksilla on myös erittäin käytännöllisiä ja hyödyllisiä vaikutuksia sijoittajille, ja ne tuovat sijoittajille erittäin merkittäviä kustannussäästöjä, joiden arvioidaan olevan noin 5,17 miljardia euroa vuodessa.</w:t>
      </w:r>
      <w:r w:rsidRPr="00CB70BA">
        <w:rPr>
          <w:rStyle w:val="FootnoteReference"/>
          <w:noProof/>
        </w:rPr>
        <w:footnoteReference w:id="13"/>
      </w:r>
    </w:p>
    <w:p w14:paraId="54C4F474" w14:textId="77777777" w:rsidR="00977CF6" w:rsidRPr="00CB70BA" w:rsidRDefault="00977CF6" w:rsidP="000430BD">
      <w:pPr>
        <w:pStyle w:val="ManualHeading2"/>
        <w:rPr>
          <w:rFonts w:eastAsia="Arial Unicode MS"/>
          <w:noProof/>
          <w:u w:color="000000"/>
          <w:bdr w:val="nil"/>
        </w:rPr>
      </w:pPr>
      <w:r w:rsidRPr="00CB70BA">
        <w:rPr>
          <w:noProof/>
          <w:u w:color="000000"/>
          <w:bdr w:val="nil"/>
        </w:rPr>
        <w:t>•</w:t>
      </w:r>
      <w:r w:rsidRPr="00CB70BA">
        <w:rPr>
          <w:noProof/>
        </w:rPr>
        <w:tab/>
        <w:t>Yhdenmukaisuus muiden alaa koskevien politiikkojen säännösten kanssa</w:t>
      </w:r>
    </w:p>
    <w:p w14:paraId="22E2E4C7" w14:textId="77777777" w:rsidR="009E0D0A" w:rsidRPr="00CB70BA" w:rsidRDefault="003962D4" w:rsidP="009E0D0A">
      <w:pPr>
        <w:pBdr>
          <w:top w:val="nil"/>
          <w:left w:val="nil"/>
          <w:bottom w:val="nil"/>
          <w:right w:val="nil"/>
          <w:between w:val="nil"/>
          <w:bar w:val="nil"/>
        </w:pBdr>
        <w:spacing w:before="0" w:after="240"/>
        <w:rPr>
          <w:noProof/>
        </w:rPr>
      </w:pPr>
      <w:r w:rsidRPr="00CB70BA">
        <w:rPr>
          <w:noProof/>
        </w:rPr>
        <w:t xml:space="preserve">Tämä aloite on täysin yhdenmukainen muiden komission viime vuosina tekemien aloitteiden kanssa, joilla pyritään saavuttamaan veropetosten ja verotukseen liittyvien väärinkäytösten torjunnan keskeinen tavoite: </w:t>
      </w:r>
    </w:p>
    <w:p w14:paraId="756F6993" w14:textId="77777777" w:rsidR="00DF63CE" w:rsidRPr="00CB70BA" w:rsidRDefault="009E0D0A" w:rsidP="00405676">
      <w:pPr>
        <w:pStyle w:val="Tiret0"/>
        <w:numPr>
          <w:ilvl w:val="0"/>
          <w:numId w:val="9"/>
        </w:numPr>
        <w:rPr>
          <w:noProof/>
        </w:rPr>
      </w:pPr>
      <w:r w:rsidRPr="00CB70BA">
        <w:rPr>
          <w:noProof/>
        </w:rPr>
        <w:t>Komissio antoi vuonna 2016 veronkiertodirektiivin (ATAD)</w:t>
      </w:r>
      <w:r w:rsidRPr="00CB70BA">
        <w:rPr>
          <w:rStyle w:val="FootnoteReference"/>
          <w:noProof/>
        </w:rPr>
        <w:footnoteReference w:id="14"/>
      </w:r>
      <w:r w:rsidRPr="00CB70BA">
        <w:rPr>
          <w:noProof/>
        </w:rPr>
        <w:t xml:space="preserve"> varmistaakseen, että veropohjan rapautumista ja voitonsiirtoja koskevista kansainvälisistä toimista johtuvat keskeiset veronkierron vastaiset toimenpiteet pannaan koordinoidusti täytäntöön jäsenvaltioissa. </w:t>
      </w:r>
    </w:p>
    <w:p w14:paraId="4E3230F3" w14:textId="77777777" w:rsidR="00DF63CE" w:rsidRPr="00CB70BA" w:rsidRDefault="00A9533A" w:rsidP="00405676">
      <w:pPr>
        <w:pStyle w:val="Tiret0"/>
        <w:numPr>
          <w:ilvl w:val="0"/>
          <w:numId w:val="9"/>
        </w:numPr>
        <w:rPr>
          <w:noProof/>
        </w:rPr>
      </w:pPr>
      <w:r w:rsidRPr="00CB70BA">
        <w:rPr>
          <w:noProof/>
        </w:rPr>
        <w:t>Hallinnollista yhteistyötä koskevaa direktiiviä (DAC)</w:t>
      </w:r>
      <w:r w:rsidRPr="00CB70BA">
        <w:rPr>
          <w:rStyle w:val="FootnoteReference"/>
          <w:noProof/>
        </w:rPr>
        <w:footnoteReference w:id="15"/>
      </w:r>
      <w:r w:rsidRPr="00CB70BA">
        <w:rPr>
          <w:noProof/>
        </w:rPr>
        <w:t xml:space="preserve"> on tarkistettu ja laajennettu useaan otteeseen sen jälkeen, kun se hyväksyttiin vuonna 2011, jotta verotukseen liittyviä tietoja voidaan vaihtaa laajamittaisesti ja oikea-aikaisesti kaikkialla EU:ssa. Erityisesti DAC2-direktiivillä</w:t>
      </w:r>
      <w:r w:rsidRPr="00CB70BA">
        <w:rPr>
          <w:rStyle w:val="FootnoteReference"/>
          <w:noProof/>
        </w:rPr>
        <w:footnoteReference w:id="16"/>
      </w:r>
      <w:r w:rsidRPr="00CB70BA">
        <w:rPr>
          <w:noProof/>
        </w:rPr>
        <w:t xml:space="preserve"> luodaan puitteet verotuksen avoimuuden lisäämiseksi EU:ssa finanssitilitietojen osalta. </w:t>
      </w:r>
    </w:p>
    <w:p w14:paraId="768CC08D" w14:textId="77777777" w:rsidR="00DF63CE" w:rsidRPr="00CB70BA" w:rsidRDefault="009E0D0A" w:rsidP="00405676">
      <w:pPr>
        <w:pStyle w:val="Tiret0"/>
        <w:numPr>
          <w:ilvl w:val="0"/>
          <w:numId w:val="9"/>
        </w:numPr>
        <w:rPr>
          <w:noProof/>
        </w:rPr>
      </w:pPr>
      <w:r w:rsidRPr="00CB70BA">
        <w:rPr>
          <w:noProof/>
        </w:rPr>
        <w:t>DAC6-direktiivissä</w:t>
      </w:r>
      <w:r w:rsidRPr="00CB70BA">
        <w:rPr>
          <w:rStyle w:val="FootnoteReference"/>
          <w:noProof/>
        </w:rPr>
        <w:footnoteReference w:id="17"/>
      </w:r>
      <w:r w:rsidRPr="00CB70BA">
        <w:rPr>
          <w:noProof/>
        </w:rPr>
        <w:t xml:space="preserve"> edellytetään, että välittäjät ilmoittavat veroviranomaisille rajatylittävistä järjestelyistä, joita voitaisiin mahdollisesti käyttää aggressiiviseen verosuunnitteluun. </w:t>
      </w:r>
    </w:p>
    <w:p w14:paraId="10C3DF1B" w14:textId="56448CD8" w:rsidR="00C70CF7" w:rsidRPr="00CB70BA" w:rsidRDefault="00A16EE8" w:rsidP="00405676">
      <w:pPr>
        <w:pStyle w:val="Tiret0"/>
        <w:numPr>
          <w:ilvl w:val="0"/>
          <w:numId w:val="9"/>
        </w:numPr>
        <w:spacing w:before="0" w:after="200" w:line="276" w:lineRule="auto"/>
        <w:rPr>
          <w:noProof/>
        </w:rPr>
      </w:pPr>
      <w:r w:rsidRPr="00CB70BA">
        <w:rPr>
          <w:noProof/>
        </w:rPr>
        <w:t>Komissio antoi vuonna 2021 ehdotuksen kuoriyhtiöiden (eli Euroopan unionissa toimivien yksiköiden, joilla on hyvin vähän tai ei lainkaan taloudellista toimintaa) verojen välttämiseksi tai kiertämiseksi tapahtuvan väärinkäytön estämiseksi.</w:t>
      </w:r>
      <w:r w:rsidRPr="00CB70BA">
        <w:rPr>
          <w:rStyle w:val="FootnoteReference"/>
          <w:noProof/>
        </w:rPr>
        <w:footnoteReference w:id="18"/>
      </w:r>
      <w:r w:rsidR="00D9795C">
        <w:rPr>
          <w:noProof/>
        </w:rPr>
        <w:t xml:space="preserve"> </w:t>
      </w:r>
    </w:p>
    <w:p w14:paraId="4552C847" w14:textId="77777777" w:rsidR="00DF63CE" w:rsidRPr="00CB70BA" w:rsidRDefault="00DF63CE" w:rsidP="009C1497">
      <w:pPr>
        <w:spacing w:before="0" w:after="200" w:line="276" w:lineRule="auto"/>
        <w:rPr>
          <w:noProof/>
        </w:rPr>
      </w:pPr>
      <w:r w:rsidRPr="00CB70BA">
        <w:rPr>
          <w:noProof/>
        </w:rPr>
        <w:t xml:space="preserve">Nykyiset EU:n välineet eivät kuitenkaan sisällä erityistoimenpiteitä, joilla puututtaisiin lähdeveromenettelyihin liittyviin verotuksellisiin väärinkäytöksiin. Voimassa olevissa säännöissä ei määrätä arvopaperitransaktioita koskevien tietojen raportoinnista lähdejäsenvaltioiden verohallinnoille (mukaan lukien maksuketjun tiedot, jotka liittyvät rahoituksen välittäjien maksamiin osinkoihin tai korkoihin). </w:t>
      </w:r>
    </w:p>
    <w:p w14:paraId="13DA31D9" w14:textId="77777777" w:rsidR="009E0D0A" w:rsidRPr="00CB70BA" w:rsidRDefault="00A16EE8" w:rsidP="009C1497">
      <w:pPr>
        <w:spacing w:before="0" w:after="200" w:line="276" w:lineRule="auto"/>
        <w:rPr>
          <w:noProof/>
        </w:rPr>
      </w:pPr>
      <w:r w:rsidRPr="00CB70BA">
        <w:rPr>
          <w:noProof/>
        </w:rPr>
        <w:t>Niissä ei näin ollen puututa riittävästi väärinkäyttöä koskevaan erityiseen ongelmaan. Tällä direktiivillä lisätään avoimuutta, jotta jäsenvaltiot voivat tarkistaa, sovelletaanko lähdeverokantaa oikein kuhunkin tähän kantaan oikeutettuun verovelvolliseen. Sillä varmistetaan oikea-aikainen avoimuus, jotta sovellettavat palautus- tai alennuspyynnöt voidaan perustella ja käsitellä nopeasti ja tehokkaasti.</w:t>
      </w:r>
    </w:p>
    <w:p w14:paraId="34B71472" w14:textId="77777777" w:rsidR="009E0D0A" w:rsidRPr="00CB70BA" w:rsidRDefault="00A70A0A" w:rsidP="00C66A25">
      <w:pPr>
        <w:spacing w:before="0" w:after="200" w:line="276" w:lineRule="auto"/>
        <w:rPr>
          <w:noProof/>
        </w:rPr>
      </w:pPr>
      <w:r w:rsidRPr="00CB70BA">
        <w:rPr>
          <w:noProof/>
        </w:rPr>
        <w:t>Koska tämä ehdotus koskee lähdeveromenettelyjä, se vain täydentää emo-tytäryhtiödirektiiviä (PSD)</w:t>
      </w:r>
      <w:r w:rsidRPr="00CB70BA">
        <w:rPr>
          <w:rStyle w:val="FootnoteReference"/>
          <w:noProof/>
        </w:rPr>
        <w:footnoteReference w:id="19"/>
      </w:r>
      <w:r w:rsidRPr="00CB70BA">
        <w:rPr>
          <w:noProof/>
        </w:rPr>
        <w:t xml:space="preserve"> sekä korko- ja rojaltidirektiiviä (IRD)</w:t>
      </w:r>
      <w:r w:rsidRPr="00CB70BA">
        <w:rPr>
          <w:rStyle w:val="FootnoteReference"/>
          <w:noProof/>
        </w:rPr>
        <w:footnoteReference w:id="20"/>
      </w:r>
      <w:r w:rsidRPr="00CB70BA">
        <w:rPr>
          <w:noProof/>
        </w:rPr>
        <w:t xml:space="preserve">, joissa vapautetaan lähdeverosta osingot ja muut jaetut voitot sekä tytäryhtiöiden emoyhtiöilleen maksamat korko- ja rojaltimaksut ja poistetaan tällaisten tulojen kaksinkertainen verotus emoyhtiön tasolla. Emo-tytäryhtiödirektiiviä ja korko- ja rojaltidirektiiviä voitaisiin soveltaa tämän ehdotuksen soveltamisalaan kuuluviin julkisesti noteerattuihin arvopapereihin, eikä tällä ehdotuksella rajoiteta jäsenvaltioita noudattamasta emo-tytäryhtiödirektiiviä ja korko- ja rojaltidirektiiviä vaan helpotetaan sitä menettelyn osalta. </w:t>
      </w:r>
    </w:p>
    <w:p w14:paraId="6E981F3F" w14:textId="77777777" w:rsidR="00977CF6" w:rsidRPr="00CB70BA" w:rsidRDefault="00977CF6" w:rsidP="009E0D0A">
      <w:pPr>
        <w:spacing w:before="0" w:after="200" w:line="276" w:lineRule="auto"/>
        <w:jc w:val="left"/>
        <w:rPr>
          <w:rFonts w:eastAsia="Arial Unicode MS"/>
          <w:noProof/>
        </w:rPr>
      </w:pPr>
      <w:r w:rsidRPr="00CB70BA">
        <w:rPr>
          <w:noProof/>
          <w:u w:color="000000"/>
          <w:bdr w:val="nil"/>
        </w:rPr>
        <w:t>•</w:t>
      </w:r>
      <w:r w:rsidRPr="00CB70BA">
        <w:rPr>
          <w:noProof/>
        </w:rPr>
        <w:tab/>
      </w:r>
      <w:r w:rsidRPr="00CB70BA">
        <w:rPr>
          <w:b/>
          <w:noProof/>
        </w:rPr>
        <w:t>Yhdenmukaisuus unionin muiden politiikkojen kanssa</w:t>
      </w:r>
    </w:p>
    <w:p w14:paraId="5CF398D0" w14:textId="77777777" w:rsidR="009E0D0A" w:rsidRPr="00CB70BA" w:rsidRDefault="009002EC" w:rsidP="009E0D0A">
      <w:pPr>
        <w:pBdr>
          <w:top w:val="nil"/>
          <w:left w:val="nil"/>
          <w:bottom w:val="nil"/>
          <w:right w:val="nil"/>
          <w:between w:val="nil"/>
          <w:bar w:val="nil"/>
        </w:pBdr>
        <w:spacing w:before="0" w:after="240"/>
        <w:rPr>
          <w:noProof/>
        </w:rPr>
      </w:pPr>
      <w:r w:rsidRPr="00CB70BA">
        <w:rPr>
          <w:noProof/>
        </w:rPr>
        <w:t xml:space="preserve">Ehdotus on täysin yhdenmukainen pääomamarkkinaunionin moitteettoman toiminnan kanssa ja tukee sitä. Pääomamarkkinaunionilla pyritään parantamaan eurooppalaisten yritysten mahdollisuuksia saada rahoitusta, helpottamaan yksityishenkilöiden ja yritysten sijoituksia sekä yhdentämään kansalliset pääomamarkkinat todellisiksi sisämarkkinoiksi. Erilaiset, raskaat ja pitkät lähdeveromenettelyt aiheuttavat huomattavia kustannuksia, jotka vähentävät rajatylittäviä sijoituksia ja heikentävät pääomamarkkinaunionia. Lähdeveromenettelyjen saattaminen nopeammiksi, tehokkaammiksi ja kustannuksiltaan edullisemmiksi tukee rajatylittäviä sijoituksia ja edistää todellisten pääoman sisämarkkinoiden luomista EU:ssa. </w:t>
      </w:r>
    </w:p>
    <w:p w14:paraId="083A572E" w14:textId="43DA4744" w:rsidR="003962D4" w:rsidRPr="00CB70BA" w:rsidRDefault="003962D4" w:rsidP="003962D4">
      <w:pPr>
        <w:pBdr>
          <w:top w:val="nil"/>
          <w:left w:val="nil"/>
          <w:bottom w:val="nil"/>
          <w:right w:val="nil"/>
          <w:between w:val="nil"/>
          <w:bar w:val="nil"/>
        </w:pBdr>
        <w:spacing w:before="0" w:after="240"/>
        <w:rPr>
          <w:noProof/>
        </w:rPr>
      </w:pPr>
      <w:r w:rsidRPr="00CB70BA">
        <w:rPr>
          <w:noProof/>
        </w:rPr>
        <w:t>Tällä ehdotuksella puututaan vähittäissijoittajien rajatylittävien sijoitusten keskeiseen esteeseen, ja sillä täydennetään 24. toukokuuta 2023 hyväksyttyä vähittäissijoitusstrategiaa</w:t>
      </w:r>
      <w:r w:rsidRPr="00CB70BA">
        <w:rPr>
          <w:rStyle w:val="FootnoteReference"/>
          <w:noProof/>
        </w:rPr>
        <w:footnoteReference w:id="21"/>
      </w:r>
      <w:r w:rsidRPr="00CB70BA">
        <w:rPr>
          <w:noProof/>
        </w:rPr>
        <w:t>, jonka tarkoituksena on antaa kuluttajille mahdollisuus hyödyntää täysimittaisesti EU:n pääomamarkkinoita.</w:t>
      </w:r>
    </w:p>
    <w:p w14:paraId="412F3D9A" w14:textId="77777777" w:rsidR="009E0D0A" w:rsidRPr="00CB70BA" w:rsidRDefault="009E0D0A" w:rsidP="009E0D0A">
      <w:pPr>
        <w:pBdr>
          <w:top w:val="nil"/>
          <w:left w:val="nil"/>
          <w:bottom w:val="nil"/>
          <w:right w:val="nil"/>
          <w:between w:val="nil"/>
          <w:bar w:val="nil"/>
        </w:pBdr>
        <w:spacing w:before="0" w:after="240"/>
        <w:rPr>
          <w:noProof/>
        </w:rPr>
      </w:pPr>
      <w:r w:rsidRPr="00CB70BA">
        <w:rPr>
          <w:noProof/>
        </w:rPr>
        <w:t>Tällä direktiivillä täydennetään myös osakkeenomistajien oikeuksia koskevaa direktiiviä</w:t>
      </w:r>
      <w:r w:rsidRPr="00CB70BA">
        <w:rPr>
          <w:rStyle w:val="FootnoteReference"/>
          <w:noProof/>
        </w:rPr>
        <w:footnoteReference w:id="22"/>
      </w:r>
      <w:r w:rsidRPr="00CB70BA">
        <w:rPr>
          <w:noProof/>
        </w:rPr>
        <w:t xml:space="preserve">, koska molempien tavoitteena on edellyttää avoimuutta suhteessa loppusijoittajaan. Osakkeenomistajien oikeuksia koskeva direktiivi helpottaa osakkeenomistajien tunnistamista ja tiedonkulkua osakkeenomistajien ja arvopapereiden liikkeeseenlaskijan välillä. Yrityksillä on oikeus tunnistaa osakkeenomistajansa ja saada tiedot osakkeenomistajien henkilöllisyydestä kaikilta välittäjiltä, joilla on kyseiset tiedot. </w:t>
      </w:r>
    </w:p>
    <w:p w14:paraId="4C5B1822" w14:textId="77777777" w:rsidR="00977CF6" w:rsidRPr="00CB70BA" w:rsidRDefault="00977CF6" w:rsidP="000430BD">
      <w:pPr>
        <w:pStyle w:val="ManualHeading1"/>
        <w:rPr>
          <w:noProof/>
        </w:rPr>
      </w:pPr>
      <w:r w:rsidRPr="00CB70BA">
        <w:rPr>
          <w:noProof/>
        </w:rPr>
        <w:t>2.</w:t>
      </w:r>
      <w:r w:rsidRPr="00CB70BA">
        <w:rPr>
          <w:noProof/>
        </w:rPr>
        <w:tab/>
        <w:t>OIKEUSPERUSTA, TOISSIJAISUUSPERIAATE JA SUHTEELLISUUSPERIAATE</w:t>
      </w:r>
    </w:p>
    <w:p w14:paraId="5DB9AC5D" w14:textId="77777777" w:rsidR="00977CF6" w:rsidRPr="00CB70BA" w:rsidRDefault="00977CF6" w:rsidP="000430BD">
      <w:pPr>
        <w:pStyle w:val="ManualHeading2"/>
        <w:rPr>
          <w:rFonts w:eastAsia="Arial Unicode MS"/>
          <w:noProof/>
          <w:u w:color="000000"/>
          <w:bdr w:val="nil"/>
        </w:rPr>
      </w:pPr>
      <w:r w:rsidRPr="00CB70BA">
        <w:rPr>
          <w:noProof/>
          <w:u w:color="000000"/>
          <w:bdr w:val="nil"/>
        </w:rPr>
        <w:t>•</w:t>
      </w:r>
      <w:r w:rsidRPr="00CB70BA">
        <w:rPr>
          <w:noProof/>
        </w:rPr>
        <w:tab/>
      </w:r>
      <w:r w:rsidRPr="00CB70BA">
        <w:rPr>
          <w:noProof/>
          <w:u w:color="000000"/>
          <w:bdr w:val="nil"/>
        </w:rPr>
        <w:t>Oikeusperusta</w:t>
      </w:r>
    </w:p>
    <w:p w14:paraId="371647B9" w14:textId="77777777" w:rsidR="00977CF6" w:rsidRPr="00CB70BA" w:rsidRDefault="00F74AEC" w:rsidP="000430BD">
      <w:pPr>
        <w:pBdr>
          <w:top w:val="nil"/>
          <w:left w:val="nil"/>
          <w:bottom w:val="nil"/>
          <w:right w:val="nil"/>
          <w:between w:val="nil"/>
          <w:bar w:val="nil"/>
        </w:pBdr>
        <w:spacing w:before="0" w:after="240"/>
        <w:rPr>
          <w:rFonts w:eastAsia="Arial Unicode MS"/>
          <w:noProof/>
        </w:rPr>
      </w:pPr>
      <w:r w:rsidRPr="00CB70BA">
        <w:rPr>
          <w:noProof/>
        </w:rPr>
        <w:t>Verotusta koskevien aloitteiden oikeusperusta on Euroopan unionin toiminnasta tehdyn sopimuksen, jäljempänä ’SEUT-sopimus’ 115 artikla. Vaikkei mainitussa artiklassa viitata nimenomaisesti välittömään verotukseen, siinä viitataan direktiivien antamiseen jäsenvaltioiden sellaisten lakien lähentämisestä, jotka suoraan vaikuttavat sisämarkkinoiden toteuttamiseen ja toimintaan. Näin ollen direktiivit ovat SEUT-sopimuksen 115 artiklan mukaan tarkoituksenmukainen oikeudellinen väline EU:lle tällä alalla. SEUT-sopimuksen 288 artiklan mukaan direktiivit sitovat jäsenvaltioita saavutettavaan tulokseen nähden mutta jättävät kansallisten viranomaisten valittavaksi muodon ja keinot.</w:t>
      </w:r>
    </w:p>
    <w:p w14:paraId="6CCA592C" w14:textId="77777777" w:rsidR="00977CF6" w:rsidRPr="00CB70BA" w:rsidRDefault="00977CF6" w:rsidP="000430BD">
      <w:pPr>
        <w:pStyle w:val="ManualHeading2"/>
        <w:rPr>
          <w:rFonts w:eastAsia="Arial Unicode MS"/>
          <w:noProof/>
          <w:u w:color="000000"/>
          <w:bdr w:val="nil"/>
        </w:rPr>
      </w:pPr>
      <w:r w:rsidRPr="00CB70BA">
        <w:rPr>
          <w:noProof/>
          <w:u w:color="000000"/>
          <w:bdr w:val="nil"/>
        </w:rPr>
        <w:t>•</w:t>
      </w:r>
      <w:r w:rsidRPr="00CB70BA">
        <w:rPr>
          <w:noProof/>
        </w:rPr>
        <w:tab/>
      </w:r>
      <w:r w:rsidRPr="00CB70BA">
        <w:rPr>
          <w:noProof/>
          <w:u w:color="000000"/>
          <w:bdr w:val="nil"/>
        </w:rPr>
        <w:t xml:space="preserve">Toissijaisuusperiaate (jaetun toimivallan osalta) </w:t>
      </w:r>
    </w:p>
    <w:p w14:paraId="29CBEC70" w14:textId="77777777" w:rsidR="009E0D0A" w:rsidRPr="00CB70BA" w:rsidRDefault="009E0D0A" w:rsidP="009E0D0A">
      <w:pPr>
        <w:pBdr>
          <w:top w:val="nil"/>
          <w:left w:val="nil"/>
          <w:bottom w:val="nil"/>
          <w:right w:val="nil"/>
          <w:between w:val="nil"/>
          <w:bar w:val="nil"/>
        </w:pBdr>
        <w:spacing w:before="0" w:after="240"/>
        <w:rPr>
          <w:noProof/>
        </w:rPr>
      </w:pPr>
      <w:r w:rsidRPr="00CB70BA">
        <w:rPr>
          <w:noProof/>
        </w:rPr>
        <w:t xml:space="preserve">Tässä ehdotuksessa noudatetaan Euroopan unionista tehdyn sopimuksen (SEU) 5 artiklassa määrättyä toissijaisuusperiaatetta. Ongelman rajatylittävä luonne vaatii koko sisämarkkinoille annettavaa yhteistä aloitetta. </w:t>
      </w:r>
    </w:p>
    <w:p w14:paraId="0F3A5D7B" w14:textId="77777777" w:rsidR="009E0D0A" w:rsidRPr="00CB70BA" w:rsidRDefault="002E5771" w:rsidP="009E0D0A">
      <w:pPr>
        <w:pBdr>
          <w:top w:val="nil"/>
          <w:left w:val="nil"/>
          <w:bottom w:val="nil"/>
          <w:right w:val="nil"/>
          <w:between w:val="nil"/>
          <w:bar w:val="nil"/>
        </w:pBdr>
        <w:spacing w:before="0" w:after="240"/>
        <w:rPr>
          <w:noProof/>
        </w:rPr>
      </w:pPr>
      <w:r w:rsidRPr="00CB70BA">
        <w:rPr>
          <w:noProof/>
        </w:rPr>
        <w:t>Ongelma johtuu pääasiassa siitä, että niissä jäsenvaltioista, jotka perivät lähdeveroa osinko- tai korkomaksuista, sovelletaan erilaisia järjestelmiä ylimääräisen veron alennukseen rajatylittävissä tilanteissa. Käytössä ovat seuraavat järjestelmät, ja eri jäsenvaltioissa voidaan soveltaa erilaisia kynnysarvoja tai vaatimuksia: veron alentamista tulon lähteellä koskeva järjestelmä, nopea palautusjärjestelmä, vakiomuotoinen palautusjärjestelmä tai niiden yhdistelmä.</w:t>
      </w:r>
    </w:p>
    <w:p w14:paraId="4D20F486" w14:textId="77777777" w:rsidR="009E0D0A" w:rsidRPr="00CB70BA" w:rsidRDefault="008D10E7" w:rsidP="009E0D0A">
      <w:pPr>
        <w:pBdr>
          <w:top w:val="nil"/>
          <w:left w:val="nil"/>
          <w:bottom w:val="nil"/>
          <w:right w:val="nil"/>
          <w:between w:val="nil"/>
          <w:bar w:val="nil"/>
        </w:pBdr>
        <w:spacing w:before="0" w:after="240"/>
        <w:rPr>
          <w:noProof/>
        </w:rPr>
      </w:pPr>
      <w:r w:rsidRPr="00CB70BA">
        <w:rPr>
          <w:noProof/>
        </w:rPr>
        <w:t xml:space="preserve">Yhä hajanaisemman lähdeveromenettelyjä koskevan kehyksen ylläpitäminen EU:ssa aiheuttaa korkeita säännösten noudattamisesta aiheutuvia kustannuksia sijoittajille ja rahoituksen välittäjille, joita asia koskee. Ongelman rajatylittävä luonne edellyttää EU:n tasolla toteutettavia toimia, joilla yksinkertaistetaan hallinnollisia menettelyjä ja alennetaan säännösten noudattamisesta aiheutuvia kustannuksia. Jos tällaista aloitetta ei ole, lähdeveromenettelyjen hajanaisuus estää rajatylittäviä toimia koskevien alennusmenettelyjen tehokkaan toiminnan ja siten sisämarkkinoiden moitteettoman toiminnan. Sen vuoksi tarvitaan EU:n toimia, joilla luodaan tasapuoliset toimintaedellytykset kotimaisille ja rajoitetusti verovelvollisille sijoittajille sekä kotimaisille ja rajoitetusti verovelvollisille välittäjille. </w:t>
      </w:r>
    </w:p>
    <w:p w14:paraId="0451A568" w14:textId="77777777" w:rsidR="009E0D0A" w:rsidRPr="00CB70BA" w:rsidRDefault="009E0D0A" w:rsidP="009E0D0A">
      <w:pPr>
        <w:pBdr>
          <w:top w:val="nil"/>
          <w:left w:val="nil"/>
          <w:bottom w:val="nil"/>
          <w:right w:val="nil"/>
          <w:between w:val="nil"/>
          <w:bar w:val="nil"/>
        </w:pBdr>
        <w:spacing w:before="0" w:after="240"/>
        <w:rPr>
          <w:noProof/>
        </w:rPr>
      </w:pPr>
      <w:r w:rsidRPr="00CB70BA">
        <w:rPr>
          <w:noProof/>
        </w:rPr>
        <w:t xml:space="preserve">Aloitteella pyritään myös vastaamaan suosituksiin, jotka Euroopan arvopaperimarkkinaviranomainen ESMA esitti cum ex-, cum cum- ja lähdeveron palautusjärjestelmiä koskevassa loppuraportissa. Siinä todettiin, että EU:n tasolla tarvitaan verotusta koskevia erityistoimia, jotta petoksia ja väärinkäytöksiä voidaan torjua tehokkaasti. </w:t>
      </w:r>
    </w:p>
    <w:p w14:paraId="4B432966" w14:textId="77777777" w:rsidR="00977CF6" w:rsidRPr="00CB70BA" w:rsidRDefault="00CF7DD0" w:rsidP="009E0D0A">
      <w:pPr>
        <w:pBdr>
          <w:top w:val="nil"/>
          <w:left w:val="nil"/>
          <w:bottom w:val="nil"/>
          <w:right w:val="nil"/>
          <w:between w:val="nil"/>
          <w:bar w:val="nil"/>
        </w:pBdr>
        <w:spacing w:before="0" w:after="240"/>
        <w:rPr>
          <w:rFonts w:eastAsia="Arial Unicode MS"/>
          <w:noProof/>
        </w:rPr>
      </w:pPr>
      <w:r w:rsidRPr="00CB70BA">
        <w:rPr>
          <w:noProof/>
        </w:rPr>
        <w:t xml:space="preserve">Lainsäädäntöaloite on siten Euroopan unionista tehdyn sopimuksen 5 artiklassa vahvistetun toissijaisuusperiaatteen mukainen. </w:t>
      </w:r>
    </w:p>
    <w:p w14:paraId="6A9804BF" w14:textId="77777777" w:rsidR="00977CF6" w:rsidRPr="00CB70BA" w:rsidRDefault="00977CF6" w:rsidP="000430BD">
      <w:pPr>
        <w:pStyle w:val="ManualHeading2"/>
        <w:rPr>
          <w:rFonts w:eastAsia="Arial Unicode MS"/>
          <w:noProof/>
          <w:u w:color="000000"/>
          <w:bdr w:val="nil"/>
        </w:rPr>
      </w:pPr>
      <w:r w:rsidRPr="00CB70BA">
        <w:rPr>
          <w:noProof/>
          <w:u w:color="000000"/>
          <w:bdr w:val="nil"/>
        </w:rPr>
        <w:t>•</w:t>
      </w:r>
      <w:r w:rsidRPr="00CB70BA">
        <w:rPr>
          <w:noProof/>
        </w:rPr>
        <w:tab/>
      </w:r>
      <w:r w:rsidRPr="00CB70BA">
        <w:rPr>
          <w:noProof/>
          <w:u w:color="000000"/>
          <w:bdr w:val="nil"/>
        </w:rPr>
        <w:t>Suhteellisuusperiaate</w:t>
      </w:r>
    </w:p>
    <w:p w14:paraId="64FAF34B" w14:textId="77777777" w:rsidR="009E0D0A" w:rsidRPr="00CB70BA" w:rsidRDefault="009E0D0A" w:rsidP="009E0D0A">
      <w:pPr>
        <w:pBdr>
          <w:top w:val="nil"/>
          <w:left w:val="nil"/>
          <w:bottom w:val="nil"/>
          <w:right w:val="nil"/>
          <w:between w:val="nil"/>
          <w:bar w:val="nil"/>
        </w:pBdr>
        <w:spacing w:before="0" w:after="240"/>
        <w:rPr>
          <w:noProof/>
        </w:rPr>
      </w:pPr>
      <w:r w:rsidRPr="00CB70BA">
        <w:rPr>
          <w:noProof/>
        </w:rPr>
        <w:t xml:space="preserve">Suunnitellut toimenpiteet eivät ylitä sitä, mikä on tarpeen sisämarkkinoiden vähimmäissuojan varmistamiseksi, ja ne ovat näin ollen suhteellisuusperiaatteen mukaisia. Ehdotuksessa ei säädetä täydellisestä yhdenmukaistamisesta, vaan siinä esitetään vain yhteisiä piirteitä, jotka parantaisivat jäsenvaltioiden lähdeverojärjestelmiä ja vahvistaisivat niitä petosten ja väärinkäytösten torjumiseksi. </w:t>
      </w:r>
    </w:p>
    <w:p w14:paraId="0A547145" w14:textId="77777777" w:rsidR="009E0D0A" w:rsidRPr="00CB70BA" w:rsidRDefault="009E0D0A" w:rsidP="009E0D0A">
      <w:pPr>
        <w:pBdr>
          <w:top w:val="nil"/>
          <w:left w:val="nil"/>
          <w:bottom w:val="nil"/>
          <w:right w:val="nil"/>
          <w:between w:val="nil"/>
          <w:bar w:val="nil"/>
        </w:pBdr>
        <w:spacing w:before="0" w:after="240"/>
        <w:rPr>
          <w:noProof/>
        </w:rPr>
      </w:pPr>
      <w:r w:rsidRPr="00CB70BA">
        <w:rPr>
          <w:noProof/>
        </w:rPr>
        <w:t xml:space="preserve">Yhteisen digitaalisen verotuksellista kotipaikkaa koskevan todistuksen (eTRC) käyttöönotto hyödyttäisi sijoittajia, rahoituksen välittäjiä ja verohallintoja. Nykyinen hajanainen ja osittain paperiasiakirjoihin perustuva järjestelmä korvataan täysin digitaalisella järjestelmällä. Tämä lisäisi hallinnollisten prosessien digitalisointia jäsenvaltioissa ja tehokkuutta, mikä antaisi rahoituksen välittäjille myös mahdollisuuden parantaa omia prosessejaan. Tämä on tärkeä ensimmäinen askel kohti tehokkaampia lähdeveromenettelyjä. </w:t>
      </w:r>
    </w:p>
    <w:p w14:paraId="648A228E" w14:textId="77777777" w:rsidR="001B5A28" w:rsidRPr="00CB70BA" w:rsidRDefault="001B5A28" w:rsidP="009E0D0A">
      <w:pPr>
        <w:pBdr>
          <w:top w:val="nil"/>
          <w:left w:val="nil"/>
          <w:bottom w:val="nil"/>
          <w:right w:val="nil"/>
          <w:between w:val="nil"/>
          <w:bar w:val="nil"/>
        </w:pBdr>
        <w:spacing w:before="0" w:after="240"/>
        <w:rPr>
          <w:noProof/>
        </w:rPr>
      </w:pPr>
      <w:r w:rsidRPr="00CB70BA">
        <w:rPr>
          <w:noProof/>
        </w:rPr>
        <w:t>Rahoituksen välittäjien raportointivelvollisuuksien käyttöönotto aiheuttaisi jonkin verran kustannuksia ja hallinnollista taakkaa. Myönteiset vaikutukset, joita saaduilla tiedoilla olisi verohallinnoille lähdeveromenettelyjen turvallisuuden ja tehokkuuden parantamisessa, olisivat kuitenkin suuremmat kuin nämä kustannukset.</w:t>
      </w:r>
    </w:p>
    <w:p w14:paraId="225C8E29" w14:textId="123D4E3A" w:rsidR="001B5A28" w:rsidRPr="00CB70BA" w:rsidRDefault="00060B87" w:rsidP="009E0D0A">
      <w:pPr>
        <w:pBdr>
          <w:top w:val="nil"/>
          <w:left w:val="nil"/>
          <w:bottom w:val="nil"/>
          <w:right w:val="nil"/>
          <w:between w:val="nil"/>
          <w:bar w:val="nil"/>
        </w:pBdr>
        <w:spacing w:before="0" w:after="240"/>
        <w:rPr>
          <w:noProof/>
        </w:rPr>
      </w:pPr>
      <w:r w:rsidRPr="00CB70BA">
        <w:rPr>
          <w:noProof/>
        </w:rPr>
        <w:t xml:space="preserve">Lisäksi taakkaa olisi arvioitava suhteessa joissakin jäsenvaltioissa äskettäin hyväksyttyihin tai ilmoitettuihin aloitteisiin, joilla vastataan viimeaikaisiin veropetoksia ja lähdeveromenettelyjen väärinkäyttöä koskeviin skandaaleihin. Näillä aloitteilla otetaan käyttöön uusia ja laajoja raportointivaatimuksia välittäjille. </w:t>
      </w:r>
    </w:p>
    <w:p w14:paraId="53C675F0" w14:textId="77777777" w:rsidR="009E0D0A" w:rsidRPr="00CB70BA" w:rsidRDefault="00E26957" w:rsidP="009E0D0A">
      <w:pPr>
        <w:pBdr>
          <w:top w:val="nil"/>
          <w:left w:val="nil"/>
          <w:bottom w:val="nil"/>
          <w:right w:val="nil"/>
          <w:between w:val="nil"/>
          <w:bar w:val="nil"/>
        </w:pBdr>
        <w:spacing w:before="0" w:after="240"/>
        <w:rPr>
          <w:noProof/>
        </w:rPr>
      </w:pPr>
      <w:r w:rsidRPr="00CB70BA">
        <w:rPr>
          <w:noProof/>
        </w:rPr>
        <w:t xml:space="preserve">Yhteinen EU:n laajuinen raportointistandardi säästäisi rajojen yli toimiville rahoituksen välittäjille säännösten noudattamisesta aiheutuvia kustannuksia, koska erilaisten raportointivaatimusten joukon sijaan ne joutuisivat noudattamaan vain yhtä koko EU:n kattavaa raportointistandardia. </w:t>
      </w:r>
    </w:p>
    <w:p w14:paraId="7FA7571E" w14:textId="77777777" w:rsidR="00977CF6" w:rsidRPr="00CB70BA" w:rsidRDefault="00977CF6" w:rsidP="000430BD">
      <w:pPr>
        <w:pStyle w:val="ManualHeading2"/>
        <w:rPr>
          <w:rFonts w:eastAsia="Arial Unicode MS"/>
          <w:noProof/>
          <w:u w:color="000000"/>
          <w:bdr w:val="nil"/>
        </w:rPr>
      </w:pPr>
      <w:r w:rsidRPr="00CB70BA">
        <w:rPr>
          <w:noProof/>
          <w:u w:color="000000"/>
          <w:bdr w:val="nil"/>
        </w:rPr>
        <w:t>•</w:t>
      </w:r>
      <w:r w:rsidRPr="00CB70BA">
        <w:rPr>
          <w:noProof/>
        </w:rPr>
        <w:tab/>
      </w:r>
      <w:r w:rsidRPr="00CB70BA">
        <w:rPr>
          <w:noProof/>
          <w:u w:color="000000"/>
          <w:bdr w:val="nil"/>
        </w:rPr>
        <w:t>Toimintatavan valinta</w:t>
      </w:r>
    </w:p>
    <w:p w14:paraId="51C61F6B" w14:textId="77777777" w:rsidR="00977CF6" w:rsidRPr="00CB70BA" w:rsidRDefault="009E0D0A" w:rsidP="000430BD">
      <w:pPr>
        <w:pBdr>
          <w:top w:val="nil"/>
          <w:left w:val="nil"/>
          <w:bottom w:val="nil"/>
          <w:right w:val="nil"/>
          <w:between w:val="nil"/>
          <w:bar w:val="nil"/>
        </w:pBdr>
        <w:spacing w:before="0" w:after="240"/>
        <w:rPr>
          <w:rFonts w:eastAsia="Arial Unicode MS"/>
          <w:noProof/>
        </w:rPr>
      </w:pPr>
      <w:r w:rsidRPr="00CB70BA">
        <w:rPr>
          <w:noProof/>
        </w:rPr>
        <w:t xml:space="preserve">Kyseessä on ehdotus direktiiviksi, joka on oikeusperustan (SEUT-sopimuksen 115 artiklan) nojalla ainoa sallittu väline. </w:t>
      </w:r>
    </w:p>
    <w:p w14:paraId="38B04016" w14:textId="77777777" w:rsidR="00977CF6" w:rsidRPr="00CB70BA" w:rsidRDefault="00977CF6" w:rsidP="000430BD">
      <w:pPr>
        <w:pStyle w:val="ManualHeading1"/>
        <w:rPr>
          <w:noProof/>
        </w:rPr>
      </w:pPr>
      <w:r w:rsidRPr="00CB70BA">
        <w:rPr>
          <w:noProof/>
        </w:rPr>
        <w:t>3.</w:t>
      </w:r>
      <w:r w:rsidRPr="00CB70BA">
        <w:rPr>
          <w:noProof/>
        </w:rPr>
        <w:tab/>
        <w:t>JÄLKIARVIOINTIEN, SIDOSRYHMIEN KUULEMISTEN JA VAIKUTUSTENARVIOINTIEN TULOKSET</w:t>
      </w:r>
    </w:p>
    <w:p w14:paraId="5C975B44" w14:textId="77777777" w:rsidR="00977CF6" w:rsidRPr="00CB70BA" w:rsidRDefault="00977CF6" w:rsidP="000430BD">
      <w:pPr>
        <w:pStyle w:val="ManualHeading2"/>
        <w:rPr>
          <w:rFonts w:eastAsia="Arial Unicode MS"/>
          <w:noProof/>
          <w:u w:color="000000"/>
          <w:bdr w:val="nil"/>
        </w:rPr>
      </w:pPr>
      <w:r w:rsidRPr="00CB70BA">
        <w:rPr>
          <w:noProof/>
          <w:u w:color="000000"/>
          <w:bdr w:val="nil"/>
        </w:rPr>
        <w:t>•</w:t>
      </w:r>
      <w:r w:rsidRPr="00CB70BA">
        <w:rPr>
          <w:noProof/>
        </w:rPr>
        <w:tab/>
      </w:r>
      <w:r w:rsidRPr="00CB70BA">
        <w:rPr>
          <w:noProof/>
          <w:u w:color="000000"/>
          <w:bdr w:val="nil"/>
        </w:rPr>
        <w:t>Jälkiarvioinnit/toimivuustarkastukset</w:t>
      </w:r>
    </w:p>
    <w:p w14:paraId="35952049" w14:textId="77777777" w:rsidR="00977CF6" w:rsidRPr="00CB70BA" w:rsidRDefault="00723390" w:rsidP="000430BD">
      <w:pPr>
        <w:pBdr>
          <w:top w:val="nil"/>
          <w:left w:val="nil"/>
          <w:bottom w:val="nil"/>
          <w:right w:val="nil"/>
          <w:between w:val="nil"/>
          <w:bar w:val="nil"/>
        </w:pBdr>
        <w:spacing w:before="0" w:after="240"/>
        <w:rPr>
          <w:rFonts w:eastAsia="Arial Unicode MS"/>
          <w:noProof/>
        </w:rPr>
      </w:pPr>
      <w:r w:rsidRPr="00CB70BA">
        <w:rPr>
          <w:noProof/>
        </w:rPr>
        <w:t xml:space="preserve">Lähdeveron alentamiseen sovellettavien menettelyjen alalla ei ole aiemmin ollut voimassa sitovaa lainsäädäntöä, joten jälkiarviointeja tai toimivuustarkastuksia ei ole tehty. </w:t>
      </w:r>
    </w:p>
    <w:p w14:paraId="35046F88" w14:textId="77777777" w:rsidR="00977CF6" w:rsidRPr="00CB70BA" w:rsidRDefault="00977CF6" w:rsidP="000430BD">
      <w:pPr>
        <w:pStyle w:val="ManualHeading2"/>
        <w:rPr>
          <w:rFonts w:eastAsia="Arial Unicode MS"/>
          <w:noProof/>
          <w:u w:color="000000"/>
          <w:bdr w:val="nil"/>
        </w:rPr>
      </w:pPr>
      <w:r w:rsidRPr="00CB70BA">
        <w:rPr>
          <w:noProof/>
          <w:u w:color="000000"/>
          <w:bdr w:val="nil"/>
        </w:rPr>
        <w:t>•</w:t>
      </w:r>
      <w:r w:rsidRPr="00CB70BA">
        <w:rPr>
          <w:noProof/>
        </w:rPr>
        <w:tab/>
      </w:r>
      <w:r w:rsidRPr="00CB70BA">
        <w:rPr>
          <w:noProof/>
          <w:u w:color="000000"/>
          <w:bdr w:val="nil"/>
        </w:rPr>
        <w:t>Sidosryhmien kuuleminen</w:t>
      </w:r>
    </w:p>
    <w:p w14:paraId="0637742D" w14:textId="77777777" w:rsidR="00E75BA5" w:rsidRPr="00CB70BA" w:rsidRDefault="00723390" w:rsidP="00723390">
      <w:pPr>
        <w:pBdr>
          <w:top w:val="nil"/>
          <w:left w:val="nil"/>
          <w:bottom w:val="nil"/>
          <w:right w:val="nil"/>
          <w:between w:val="nil"/>
          <w:bar w:val="nil"/>
        </w:pBdr>
        <w:spacing w:before="0" w:after="240"/>
        <w:rPr>
          <w:noProof/>
        </w:rPr>
      </w:pPr>
      <w:r w:rsidRPr="00CB70BA">
        <w:rPr>
          <w:noProof/>
        </w:rPr>
        <w:t>Tämän aloitteen sidosryhmien kuulemisstrategia koostui sekä julkisista että kohdennetuista kuulemisista. Alustava vaikutustenarviointi</w:t>
      </w:r>
      <w:r w:rsidRPr="00CB70BA">
        <w:rPr>
          <w:rStyle w:val="FootnoteReference"/>
          <w:noProof/>
        </w:rPr>
        <w:footnoteReference w:id="23"/>
      </w:r>
      <w:r w:rsidRPr="00CB70BA">
        <w:rPr>
          <w:noProof/>
        </w:rPr>
        <w:t xml:space="preserve"> julkaistiin 28. syyskuuta 2021, ja siihen liittyi neljän viikon kuulemisjakso. Sen jälkeen toteutettiin huhtikuusta kesäkuuhun 2022 kestänyt julkinen kuuleminen, johon saatiin 1 682 vastausta. </w:t>
      </w:r>
    </w:p>
    <w:p w14:paraId="18708591" w14:textId="77777777" w:rsidR="00723390" w:rsidRPr="00CB70BA" w:rsidRDefault="00723390" w:rsidP="00723390">
      <w:pPr>
        <w:pBdr>
          <w:top w:val="nil"/>
          <w:left w:val="nil"/>
          <w:bottom w:val="nil"/>
          <w:right w:val="nil"/>
          <w:between w:val="nil"/>
          <w:bar w:val="nil"/>
        </w:pBdr>
        <w:spacing w:before="0" w:after="240"/>
        <w:rPr>
          <w:noProof/>
        </w:rPr>
      </w:pPr>
      <w:r w:rsidRPr="00CB70BA">
        <w:rPr>
          <w:noProof/>
        </w:rPr>
        <w:t>Jäsenvaltioita kuultiin työryhmässä IV, kahdenvälisissä kokouksissa ja kahdessa TADEUS-foorumin kokouksessa. Lisäksi järjestettiin kokouksia eri sidosryhmien, kuten rahoituksen välittäjien ja vähittäissijoittajien edustajien kanssa.</w:t>
      </w:r>
    </w:p>
    <w:p w14:paraId="2FC0CD64" w14:textId="77777777" w:rsidR="00E75BA5" w:rsidRPr="00CB70BA" w:rsidRDefault="00723390" w:rsidP="00723390">
      <w:pPr>
        <w:pBdr>
          <w:top w:val="nil"/>
          <w:left w:val="nil"/>
          <w:bottom w:val="nil"/>
          <w:right w:val="nil"/>
          <w:between w:val="nil"/>
          <w:bar w:val="nil"/>
        </w:pBdr>
        <w:spacing w:before="0" w:after="240"/>
        <w:rPr>
          <w:noProof/>
        </w:rPr>
      </w:pPr>
      <w:r w:rsidRPr="00CB70BA">
        <w:rPr>
          <w:noProof/>
        </w:rPr>
        <w:t xml:space="preserve">Kaikista näistä keskusteluista ja eri sidosryhmiltä saaduista palautteista voidaan päätellä, että vallitsee laaja yksimielisyys ongelmista, jotka johtuvat erilaisista lähdeveromenettelyistä eri jäsenvaltioissa, ja siitä, että tarvitaan EU:n toimia hajanaisen ja tehottoman tilanteen ratkaisemiseksi. </w:t>
      </w:r>
    </w:p>
    <w:p w14:paraId="12943445" w14:textId="77777777" w:rsidR="00723390" w:rsidRPr="00CB70BA" w:rsidRDefault="00723390" w:rsidP="00723390">
      <w:pPr>
        <w:pBdr>
          <w:top w:val="nil"/>
          <w:left w:val="nil"/>
          <w:bottom w:val="nil"/>
          <w:right w:val="nil"/>
          <w:between w:val="nil"/>
          <w:bar w:val="nil"/>
        </w:pBdr>
        <w:spacing w:before="0" w:after="240"/>
        <w:rPr>
          <w:noProof/>
        </w:rPr>
      </w:pPr>
      <w:r w:rsidRPr="00CB70BA">
        <w:rPr>
          <w:noProof/>
        </w:rPr>
        <w:t>Keskeisten sidosryhmien välillä on kuitenkin eroja mahdollisten toimintavaihtoehtojen osalta:</w:t>
      </w:r>
    </w:p>
    <w:p w14:paraId="5AA604B8" w14:textId="77777777" w:rsidR="00723390" w:rsidRPr="00CB70BA" w:rsidRDefault="00723390" w:rsidP="00F42FD8">
      <w:pPr>
        <w:pStyle w:val="Tiret0"/>
        <w:numPr>
          <w:ilvl w:val="0"/>
          <w:numId w:val="11"/>
        </w:numPr>
        <w:rPr>
          <w:noProof/>
        </w:rPr>
      </w:pPr>
      <w:r w:rsidRPr="00CB70BA">
        <w:rPr>
          <w:noProof/>
        </w:rPr>
        <w:t xml:space="preserve">Sijoittajat ja rahoituksen välittäjät katsoivat selvästi, että veron alentaminen tulon lähteellä tarjoaisi parhaat tulokset, kuten veron varhaisen alentamisen sijoittajille ja pienemmän taakan välittäjille. Ne myönsivät myös, että veron alentamista tulon lähteellä koskevaa järjestelmää olisi todennäköisesti täydennettävä varajärjestelmänä toimivilla lähdeveron palautusjärjestelmillä. Siksi ne kannattivat aloitetta, jolla pyrittäisiin myös yhtenäistämään nykyiset lähdeveron palautusprosessit ja -lomakkeet. </w:t>
      </w:r>
    </w:p>
    <w:p w14:paraId="2E0FF5E4" w14:textId="77777777" w:rsidR="00723390" w:rsidRPr="00CB70BA" w:rsidRDefault="00723390" w:rsidP="00F42FD8">
      <w:pPr>
        <w:pStyle w:val="Tiret0"/>
        <w:rPr>
          <w:noProof/>
        </w:rPr>
      </w:pPr>
      <w:r w:rsidRPr="00CB70BA">
        <w:rPr>
          <w:noProof/>
        </w:rPr>
        <w:t xml:space="preserve">Jäsenvaltiot ilmaisivat tukensa yhteisen </w:t>
      </w:r>
      <w:r w:rsidRPr="00CB70BA">
        <w:rPr>
          <w:b/>
          <w:noProof/>
        </w:rPr>
        <w:t>EU:n laajuisen digitaalisen verotuksellista kotipaikkaa koskevan todistuksen</w:t>
      </w:r>
      <w:r w:rsidRPr="00CB70BA">
        <w:rPr>
          <w:noProof/>
        </w:rPr>
        <w:t xml:space="preserve"> käyttöönotolle. Raportointivelvollisuuden ja vakiomenettelyn osalta: </w:t>
      </w:r>
    </w:p>
    <w:p w14:paraId="3558E6A6" w14:textId="6F40ED59" w:rsidR="00723390" w:rsidRPr="00CB70BA" w:rsidRDefault="00C87C97" w:rsidP="00C87C97">
      <w:pPr>
        <w:pStyle w:val="Point1"/>
        <w:rPr>
          <w:noProof/>
        </w:rPr>
      </w:pPr>
      <w:r>
        <w:rPr>
          <w:noProof/>
        </w:rPr>
        <w:t>a)</w:t>
      </w:r>
      <w:r>
        <w:rPr>
          <w:noProof/>
        </w:rPr>
        <w:tab/>
      </w:r>
      <w:r w:rsidR="00723390" w:rsidRPr="00CB70BA">
        <w:rPr>
          <w:noProof/>
        </w:rPr>
        <w:t>Lähdeveromenettelyjen tai raportoinnin standardoinnilla ei olisi suoraa vaikutusta jäsenvaltioihin, joissa rajoitetusti verovelvollisten sijoittajien kotimainen verokanta on alhaisempi tai sama kuin kaksinkertaista verotusta koskevan sopimuksen mukainen verokanta. Jotkin näistä jäsenvaltioista ilmaisivat tukensa EU:n tason toimille, koska ne parantavat sijoittajien asemaa.</w:t>
      </w:r>
    </w:p>
    <w:p w14:paraId="2E953856" w14:textId="3F501213" w:rsidR="00723390" w:rsidRPr="00CB70BA" w:rsidRDefault="00C87C97" w:rsidP="00C87C97">
      <w:pPr>
        <w:pStyle w:val="Point1"/>
        <w:rPr>
          <w:noProof/>
        </w:rPr>
      </w:pPr>
      <w:r>
        <w:rPr>
          <w:noProof/>
        </w:rPr>
        <w:t>b)</w:t>
      </w:r>
      <w:r>
        <w:rPr>
          <w:noProof/>
        </w:rPr>
        <w:tab/>
      </w:r>
      <w:r w:rsidR="00723390" w:rsidRPr="00CB70BA">
        <w:rPr>
          <w:noProof/>
        </w:rPr>
        <w:t>Jäsenvaltiot, joissa sisäinen lähdeverokanta on korkeampi kuin vastaava kaksinkertaista verotusta koskevan sopimuksen mukainen verokanta, kannattivat laajalti avoimuuden lisäämistä ja lähdeveromenettelyjen standardointia ja korostivat, että on tärkeää löytää tasapaino näiden menettelyjen tehokkuuden ja verotukseen liittyvien väärinkäytösten ehkäisemiseen tähtäävien prosessien valvonnan välillä.</w:t>
      </w:r>
    </w:p>
    <w:p w14:paraId="2D9F0067" w14:textId="77777777" w:rsidR="00723390" w:rsidRPr="00CB70BA" w:rsidRDefault="00723390" w:rsidP="00723390">
      <w:pPr>
        <w:rPr>
          <w:noProof/>
        </w:rPr>
      </w:pPr>
      <w:r w:rsidRPr="00CB70BA">
        <w:rPr>
          <w:noProof/>
        </w:rPr>
        <w:t xml:space="preserve">Kaikkia edellä mainittuja sidosryhmiltä saatuja näkemyksiä harkittiin huolellisesti tässä ehdotuksessa, jolla otetaan käyttöön tehokkaammat lähdeveromenettelyt ja tarjotaan samalla jäsenvaltioille tarvittavat välineet veropetosten ja verotukseen liittyvien väärinkäytösten tehokkaaseen torjuntaan. </w:t>
      </w:r>
    </w:p>
    <w:p w14:paraId="47DF3BFF" w14:textId="77777777" w:rsidR="00977CF6" w:rsidRPr="00CB70BA" w:rsidRDefault="00977CF6" w:rsidP="000430BD">
      <w:pPr>
        <w:pStyle w:val="ManualHeading2"/>
        <w:rPr>
          <w:rFonts w:eastAsia="Arial Unicode MS"/>
          <w:noProof/>
          <w:u w:color="000000"/>
          <w:bdr w:val="nil"/>
        </w:rPr>
      </w:pPr>
      <w:r w:rsidRPr="00CB70BA">
        <w:rPr>
          <w:noProof/>
          <w:u w:color="000000"/>
          <w:bdr w:val="nil"/>
        </w:rPr>
        <w:t>•</w:t>
      </w:r>
      <w:r w:rsidRPr="00CB70BA">
        <w:rPr>
          <w:noProof/>
        </w:rPr>
        <w:tab/>
      </w:r>
      <w:r w:rsidRPr="00CB70BA">
        <w:rPr>
          <w:noProof/>
          <w:u w:color="000000"/>
          <w:bdr w:val="nil"/>
        </w:rPr>
        <w:t>Asiantuntijatiedon keruu ja käyttö</w:t>
      </w:r>
    </w:p>
    <w:p w14:paraId="5A0D718A" w14:textId="77777777" w:rsidR="00977CF6" w:rsidRPr="00CB70BA" w:rsidRDefault="00723390" w:rsidP="000430BD">
      <w:pPr>
        <w:pBdr>
          <w:top w:val="nil"/>
          <w:left w:val="nil"/>
          <w:bottom w:val="nil"/>
          <w:right w:val="nil"/>
          <w:between w:val="nil"/>
          <w:bar w:val="nil"/>
        </w:pBdr>
        <w:spacing w:before="0" w:after="240"/>
        <w:rPr>
          <w:noProof/>
        </w:rPr>
      </w:pPr>
      <w:r w:rsidRPr="00CB70BA">
        <w:rPr>
          <w:noProof/>
        </w:rPr>
        <w:t xml:space="preserve">Komissio kuuli laajalti eri tahoja ja sai niiltä palautetta ehdotuksen valmistelun aikana. Komissio käytti muun muassa julkisesti saatavilla olevia tietoja ja yksityiseltä sektorilta puheluiden ja paikan päällä järjestettävien istuntojen kautta saatuja tietoja keskusteluihin teknisistä tekijöistä. </w:t>
      </w:r>
    </w:p>
    <w:p w14:paraId="50C9950C" w14:textId="77777777" w:rsidR="00723390" w:rsidRPr="00CB70BA" w:rsidRDefault="00723390" w:rsidP="00723390">
      <w:pPr>
        <w:pStyle w:val="ManualHeading2"/>
        <w:rPr>
          <w:noProof/>
        </w:rPr>
      </w:pPr>
      <w:r w:rsidRPr="00CB70BA">
        <w:rPr>
          <w:noProof/>
        </w:rPr>
        <w:t>•</w:t>
      </w:r>
      <w:r w:rsidRPr="00CB70BA">
        <w:rPr>
          <w:noProof/>
        </w:rPr>
        <w:tab/>
        <w:t>Vaikutustenarviointi</w:t>
      </w:r>
    </w:p>
    <w:p w14:paraId="6067C5FF" w14:textId="77777777" w:rsidR="006E5243" w:rsidRPr="00CB70BA" w:rsidRDefault="00723390" w:rsidP="000430BD">
      <w:pPr>
        <w:pBdr>
          <w:top w:val="nil"/>
          <w:left w:val="nil"/>
          <w:bottom w:val="nil"/>
          <w:right w:val="nil"/>
          <w:between w:val="nil"/>
          <w:bar w:val="nil"/>
        </w:pBdr>
        <w:spacing w:before="0" w:after="240"/>
        <w:rPr>
          <w:noProof/>
        </w:rPr>
      </w:pPr>
      <w:r w:rsidRPr="00CB70BA">
        <w:rPr>
          <w:noProof/>
        </w:rPr>
        <w:t>Tämän aloitteen valmistelemista varten tehtiin vaikutustenarviointi. Vaikutustenarviointiraportin luonnos toimitettiin komission sääntelyntarkastelulautakunnalle 16. marraskuuta 2022. Sääntelyntarkastelulautakunta antoi 14. joulukuuta 2022 pidetyn kokouksen jälkeen 16. joulukuuta 2022 kielteisen lausunnon, jossa se ehdotti joitakin parannuksia. Tärkeimmät parannuskohteet olivat seuraavat: aloitteen kahden erityistavoitteen (tehokkuuden parantaminen ja verotukseen liittyvien väärinkäytösten torjunta) tasapainoisen painotuksen selkeyttäminen, tarkka kuvaus vaihtoehtojen sisällöstä, toiminnasta ja täydentävyydestä sekä selkeä ja kattava kuva kunkin vaihtoehdon kustannuksista ja hyödyistä.</w:t>
      </w:r>
    </w:p>
    <w:p w14:paraId="0823C346" w14:textId="77777777" w:rsidR="006E5243" w:rsidRPr="00CB70BA" w:rsidRDefault="00723390" w:rsidP="00896B16">
      <w:pPr>
        <w:rPr>
          <w:noProof/>
        </w:rPr>
      </w:pPr>
      <w:r w:rsidRPr="00CB70BA">
        <w:rPr>
          <w:noProof/>
        </w:rPr>
        <w:t>Tarkistettu vaikutustenarviointiraportti toimitettiin uudelleen sääntelyntarkastelulautakunnalle 20. maaliskuuta 2023, ja siihen oli tehty tarkistuksia sääntelyntarkastelulautakunnan aiemman lausunnon perusteella. Erityisesti selvennettiin, että molemmat tavoitteet – tehokkuuden parantaminen ja verotukseen liittyvien väärinkäytösten torjunta – ovat yhtä tärkeitä; lisäksi vaihtoehtojen esitystapaa muutettiin siten, että vaihtoehtoja on vain kolme neljän sijasta (aiemmat vaihtoehdot 1 ja 2 yhdistettiin vaihtoehdoksi 1 ja vaihtoehtojen 2 ja 3 sanamuotoa ja järjestystä muutettiin hieman); lopuksi vaikutustenarviointia tarkistettiin, jotta saataisiin kattavampi yleiskuva kustannuksista ja hyödyistä, ja lisättiin yhteenvetokaavio, josta käy ilmi kunkin nykyisen vaihtoehdon nettokustannukset ja -hyödyt kunkin sidosryhmän osalta.</w:t>
      </w:r>
    </w:p>
    <w:p w14:paraId="5F06FCAA" w14:textId="77777777" w:rsidR="006E5243" w:rsidRPr="00CB70BA" w:rsidRDefault="00975CB0" w:rsidP="000430BD">
      <w:pPr>
        <w:pBdr>
          <w:top w:val="nil"/>
          <w:left w:val="nil"/>
          <w:bottom w:val="nil"/>
          <w:right w:val="nil"/>
          <w:between w:val="nil"/>
          <w:bar w:val="nil"/>
        </w:pBdr>
        <w:spacing w:before="0" w:after="240"/>
        <w:rPr>
          <w:noProof/>
        </w:rPr>
      </w:pPr>
      <w:r w:rsidRPr="00CB70BA">
        <w:rPr>
          <w:noProof/>
        </w:rPr>
        <w:t>Sääntelyntarkastelulautakunta antoi tästä uudelleen toimitetusta vaikutustenarvioinnista 21. huhtikuuta 2023 myönteisen lausunnon, joka sisältää varauman. Sääntelyntarkastelulautakunta pyysi lisäselvennystä käytettävissä olevista vaihtoehdoista ja kustannuksista/säästöistä ”yksi sisään, yksi ulos” -periaatteen mukaisesti. Lisäksi pyydettiin ottamaan vaikutustenarvioinnissa paremmin huomioon se, että parhaaksi arvioidussa vaihtoehdossa jäsenvaltioille annettaisiin mahdollisuus valita, soveltavatko ne veron alentamista tulon lähteellä koskevaa järjestelmää vai nopeaa palautusjärjestelmää vai molempia. Edellä mainitut varaumat otettiin huomioon vaikutustenarvioinnin viimeisessä versiossa.</w:t>
      </w:r>
    </w:p>
    <w:p w14:paraId="7405FE6E" w14:textId="77777777" w:rsidR="00723390" w:rsidRPr="00CB70BA" w:rsidRDefault="00723390" w:rsidP="000430BD">
      <w:pPr>
        <w:pBdr>
          <w:top w:val="nil"/>
          <w:left w:val="nil"/>
          <w:bottom w:val="nil"/>
          <w:right w:val="nil"/>
          <w:between w:val="nil"/>
          <w:bar w:val="nil"/>
        </w:pBdr>
        <w:spacing w:before="0" w:after="240"/>
        <w:rPr>
          <w:rFonts w:eastAsia="Arial Unicode MS"/>
          <w:noProof/>
        </w:rPr>
      </w:pPr>
      <w:r w:rsidRPr="00CB70BA">
        <w:rPr>
          <w:noProof/>
        </w:rPr>
        <w:t>Vaikutustenarvioinnissa, sellaisena kuin se on tarkistettuna sääntelyntarkastelulautakunnan suositusten perusteella, tarkasteltiin kolmea toimintavaihtoehtoa:</w:t>
      </w:r>
    </w:p>
    <w:p w14:paraId="24FEA4B8" w14:textId="77777777" w:rsidR="00E360AF" w:rsidRPr="00CB70BA" w:rsidRDefault="002C0520" w:rsidP="00554778">
      <w:pPr>
        <w:rPr>
          <w:b/>
          <w:bCs/>
          <w:noProof/>
        </w:rPr>
      </w:pPr>
      <w:r w:rsidRPr="00CB70BA">
        <w:rPr>
          <w:b/>
          <w:noProof/>
        </w:rPr>
        <w:t>Vaihtoehto 1 – Yhteisen digitaalisen verotuksellista kotipaikkaa koskevan todistuksen (eTRC) ja yhteisen raportoinnin käyttöönotto</w:t>
      </w:r>
    </w:p>
    <w:p w14:paraId="5801E9E7" w14:textId="77777777" w:rsidR="002C0520" w:rsidRPr="00CB70BA" w:rsidRDefault="00D16258" w:rsidP="00554778">
      <w:pPr>
        <w:rPr>
          <w:noProof/>
        </w:rPr>
      </w:pPr>
      <w:r w:rsidRPr="00CB70BA">
        <w:rPr>
          <w:noProof/>
        </w:rPr>
        <w:t xml:space="preserve">Tässä vaihtoehdossa jäsenvaltiot voisivat edelleen soveltaa nykyisiä järjestelmiään (eli veron alentamista tulon lähteellä koskevia menettelyjä ja/tai palautusmenettelyjä), mutta niiden olisi otettava käyttöön seuraavat uudet elementit: </w:t>
      </w:r>
    </w:p>
    <w:p w14:paraId="5C77328F" w14:textId="77777777" w:rsidR="002C0520" w:rsidRPr="00CB70BA" w:rsidRDefault="002C0520" w:rsidP="00F42FD8">
      <w:pPr>
        <w:pStyle w:val="Bullet0"/>
        <w:rPr>
          <w:noProof/>
        </w:rPr>
      </w:pPr>
      <w:r w:rsidRPr="00CB70BA">
        <w:rPr>
          <w:noProof/>
        </w:rPr>
        <w:t>yhteinen eTRC-todistus (jossa on yhteinen sisältö ja muoto), jonka kaikki jäsenvaltiot myöntäisivät/todentaisivat digitaalisesti</w:t>
      </w:r>
    </w:p>
    <w:p w14:paraId="63DB8A83" w14:textId="77777777" w:rsidR="002C0520" w:rsidRPr="00CB70BA" w:rsidRDefault="002C0520" w:rsidP="00F42FD8">
      <w:pPr>
        <w:pStyle w:val="Bullet0"/>
        <w:rPr>
          <w:noProof/>
        </w:rPr>
      </w:pPr>
      <w:r w:rsidRPr="00CB70BA">
        <w:rPr>
          <w:noProof/>
        </w:rPr>
        <w:t>yhteinen raportointistandardi, jolla lisättäisiin avoimuutta, koska jokainen rahoituksen välittäjä koko rahoitusketjussa raportoisi määritetyt tiedot lähdejäsenvaltiolle. Siihen liitettäisiin vakiomuotoiset due diligence -menettelyt, vastuusäännöt ja yhteiset palautuslomakkeet, jotka täytetään asiakkaiden/verovelvollisten puolesta automaation avulla.</w:t>
      </w:r>
    </w:p>
    <w:p w14:paraId="785DB960" w14:textId="77777777" w:rsidR="00E360AF" w:rsidRPr="00CB70BA" w:rsidRDefault="00141CFD" w:rsidP="00554778">
      <w:pPr>
        <w:rPr>
          <w:b/>
          <w:bCs/>
          <w:noProof/>
        </w:rPr>
      </w:pPr>
      <w:r w:rsidRPr="00CB70BA">
        <w:rPr>
          <w:b/>
          <w:noProof/>
        </w:rPr>
        <w:t>Vaihtoehto 2 – Veron alentamista tulon lähteellä koskevan järjestelmän toteuttaminen</w:t>
      </w:r>
    </w:p>
    <w:p w14:paraId="3E9D8665" w14:textId="64B452A6" w:rsidR="00141CFD" w:rsidRPr="00CB70BA" w:rsidRDefault="00141CFD" w:rsidP="00554778">
      <w:pPr>
        <w:rPr>
          <w:noProof/>
        </w:rPr>
      </w:pPr>
      <w:r w:rsidRPr="00CB70BA">
        <w:rPr>
          <w:noProof/>
        </w:rPr>
        <w:t>Tämä toinen vaihtoehto perustuu vaihtoehtoon 1 sisältyviin osatekijöihin, mutta siinä velvoitetaan jäsenvaltiot ottamaan käyttöön veron alentamista tulon lähteellä koskeva järjestelmä, joka mahdollistaa alennettujen verokantojen soveltamisen kaksinkertaista verotusta koskevien sopimusten tai kansallisten sääntöjen mukaisesti suoraan maksuhetkellä. Vaihtoehdossa 2 verohallintojen olisi seurattava maksun suorittamisen jälkeen erääntyviä veroja.</w:t>
      </w:r>
    </w:p>
    <w:p w14:paraId="3C39A789" w14:textId="77777777" w:rsidR="00E360AF" w:rsidRPr="00CB70BA" w:rsidRDefault="00141CFD" w:rsidP="00554778">
      <w:pPr>
        <w:rPr>
          <w:b/>
          <w:bCs/>
          <w:noProof/>
        </w:rPr>
      </w:pPr>
      <w:r w:rsidRPr="00CB70BA">
        <w:rPr>
          <w:b/>
          <w:noProof/>
        </w:rPr>
        <w:t>Vaihtoehto 3 – Määräajassa tapahtuvan nopean palautusjärjestelmän ja/tai veron alentamista tulon lähteellä koskevan järjestelmän toteuttaminen</w:t>
      </w:r>
    </w:p>
    <w:p w14:paraId="0ADCFA41" w14:textId="77777777" w:rsidR="00141CFD" w:rsidRPr="00CB70BA" w:rsidRDefault="00660131" w:rsidP="00554778">
      <w:pPr>
        <w:rPr>
          <w:noProof/>
        </w:rPr>
      </w:pPr>
      <w:r w:rsidRPr="00CB70BA">
        <w:rPr>
          <w:noProof/>
        </w:rPr>
        <w:t>Tämä vaihtoehto sisältää vaihtoehdon 1, johon on lisätty vaatimus, jonka mukaan palautusjärjestelmää soveltavien jäsenvaltioiden olisi varmistettava, että palautushakemus käsitellään ennalta määritetyssä ajassa (niin kutsuttu nopea palautusjärjestelmä). Jäsenvaltiot voivat ottaa käyttöön veron alentamista tulon lähteellä koskevan järjestelmän tai jatkaa sen toteuttamista (pääjärjestelmänä tai tiettyjen vähäriskisten maksujen osalta).</w:t>
      </w:r>
    </w:p>
    <w:p w14:paraId="5A794E07" w14:textId="77777777" w:rsidR="00141CFD" w:rsidRPr="00CB70BA" w:rsidRDefault="00141CFD" w:rsidP="00141CFD">
      <w:pPr>
        <w:rPr>
          <w:noProof/>
        </w:rPr>
      </w:pPr>
      <w:r w:rsidRPr="00CB70BA">
        <w:rPr>
          <w:noProof/>
        </w:rPr>
        <w:t xml:space="preserve">Näitä eri vaihtoehtoja vertailtiin seuraavien perusteiden avulla: vaikuttavuus, tehokkuus, johdonmukaisuus ja oikeasuhteisuus. </w:t>
      </w:r>
    </w:p>
    <w:p w14:paraId="7AB34824" w14:textId="77777777" w:rsidR="00141CFD" w:rsidRPr="00CB70BA" w:rsidRDefault="00914B7B" w:rsidP="00141CFD">
      <w:pPr>
        <w:rPr>
          <w:noProof/>
        </w:rPr>
      </w:pPr>
      <w:r w:rsidRPr="00CB70BA">
        <w:rPr>
          <w:noProof/>
        </w:rPr>
        <w:t>Kaikista vaihtoehdoista parhaaksi arvioitiin vaihtoehto 3. Vaihtoehto 3 on erittäin tehokas ratkaisu EU:ssa havaittuihin ongelmiin nopeuden, yksinkertaisempien prosessien ja digitalisoituneempien menettelyjen ansiosta. Vaihtoehto 2 johtaisi tosin vielä suurempiin kustannussäästöihin sijoittajille, mutta vaihtoehto 3 antaa jäsenvaltioille mahdollisuuden säilyttää palautuspyyntöjen ennakkotarkastukset, mikä tarjoaa etenemistavan, jonka pitäisi olla poliittisesti toteuttamiskelpoinen kaikissa jäsenvaltioissa. Väärinkäytösten torjuminen on erityisen tärkeää niille jäsenvaltioille, joihin cum cum- ja cum ex -käytännöt ovat vaikuttaneet voimakkaasti viime vuosina. Kyseiset jäsenvaltiot saattavat olla poliittisista syistä haluttomampia ottamaan käyttöön veron alentamista tulon lähteellä koskevaa järjestelmää lyhyellä aikavälillä, koska tällainen järjestelmä antaa rahoituksen välittäjille merkittävämmän aseman.</w:t>
      </w:r>
    </w:p>
    <w:p w14:paraId="4AE398F8" w14:textId="77777777" w:rsidR="002C5F1D" w:rsidRPr="00CB70BA" w:rsidRDefault="002C5F1D" w:rsidP="00141CFD">
      <w:pPr>
        <w:rPr>
          <w:b/>
          <w:bCs/>
          <w:noProof/>
        </w:rPr>
      </w:pPr>
      <w:r w:rsidRPr="00CB70BA">
        <w:rPr>
          <w:b/>
          <w:noProof/>
        </w:rPr>
        <w:t xml:space="preserve">Taloudelliset vaikutukset </w:t>
      </w:r>
    </w:p>
    <w:p w14:paraId="187040BB" w14:textId="77777777" w:rsidR="002C5F1D" w:rsidRPr="00CB70BA" w:rsidRDefault="002C5F1D" w:rsidP="00141CFD">
      <w:pPr>
        <w:rPr>
          <w:i/>
          <w:iCs/>
          <w:noProof/>
        </w:rPr>
      </w:pPr>
      <w:r w:rsidRPr="00CB70BA">
        <w:rPr>
          <w:i/>
          <w:noProof/>
        </w:rPr>
        <w:t>Hyödyt</w:t>
      </w:r>
    </w:p>
    <w:p w14:paraId="25700939" w14:textId="77777777" w:rsidR="00A230E0" w:rsidRPr="00CB70BA" w:rsidRDefault="002C5F1D" w:rsidP="00141CFD">
      <w:pPr>
        <w:rPr>
          <w:noProof/>
        </w:rPr>
      </w:pPr>
      <w:r w:rsidRPr="00CB70BA">
        <w:rPr>
          <w:noProof/>
        </w:rPr>
        <w:t>Ehdotettu aloite tuo sijoittajille kustannussäästöjä, joiden arvioidaan olevan noin 5,17 miljardia euroa vuodessa, mukaan lukien paperityön vähenemiseen liittyvä 730 miljoonan euron vuotuinen säästö (EU:n sijoittajien osuus 409 miljoonaa euroa). Tämä johtuu siitä, että sijoittajille aiheutuu vähemmän säännösten noudattamisesta aiheutuvia kustannuksia, niihin kohdistuu vähemmän kaksinkertaisen verotuksen tapauksia ja ne voivat sijoittaa palautetut rahat uudelleen kohtuullisessa ajassa. Tällä aloitteella puututaan siten rajatylittävien sijoitusten rakenteelliseen, pitkäaikaiseen esteeseen ja autetaan EU:n yrityksiä hankkimaan pääomaa laajemmalta sijoittajajoukolta, mikä on pääomamarkkinaunionin keskeinen tavoite.</w:t>
      </w:r>
    </w:p>
    <w:p w14:paraId="561E8787" w14:textId="77777777" w:rsidR="00F82941" w:rsidRPr="00CB70BA" w:rsidRDefault="53FA0D19" w:rsidP="00141CFD">
      <w:pPr>
        <w:rPr>
          <w:noProof/>
        </w:rPr>
      </w:pPr>
      <w:r w:rsidRPr="00CB70BA">
        <w:rPr>
          <w:noProof/>
        </w:rPr>
        <w:t xml:space="preserve">Rahoituksen välittäjille aiheutuisi lyhyellä aikavälillä huomattavia kustannuksia uuden direktiivin noudattamiseksi tarvittavien järjestelmien käyttöönotosta. Niiden odotetaan kuitenkin hyötyvän pidemmällä aikavälillä kustannussäästöistä (arvion mukaan noin 13,5 miljoonaa euroa vuodessa), jotka johtuvat virtaviivaistetuista menettelyistä, erityisesti aloitteen joidenkin näkökohtien, kuten eTRC-todistuksen käytön ja palautusta koskevan massahakemuksen, digitalisoinnista. </w:t>
      </w:r>
    </w:p>
    <w:p w14:paraId="6C422C3E" w14:textId="77777777" w:rsidR="002C5F1D" w:rsidRPr="00CB70BA" w:rsidRDefault="00DE446B" w:rsidP="00141CFD">
      <w:pPr>
        <w:rPr>
          <w:noProof/>
        </w:rPr>
      </w:pPr>
      <w:r w:rsidRPr="00CB70BA">
        <w:rPr>
          <w:noProof/>
        </w:rPr>
        <w:t>Verohallinnoilla on myös paremmat valmiudet torjua verotukseen liittyviä väärinkäytöksiä, minkä voidaan odottaa vaikuttavan viime kädessä myönteisesti verotuloihin. Tämän aloitteen positiivisen vaikutuksen BKT:hen odotetaan olevan suuruusluokaltaan 0,025 prosenttia.</w:t>
      </w:r>
    </w:p>
    <w:p w14:paraId="41A83D6F" w14:textId="77777777" w:rsidR="002C5F1D" w:rsidRPr="00CB70BA" w:rsidRDefault="002C5F1D" w:rsidP="00141CFD">
      <w:pPr>
        <w:rPr>
          <w:i/>
          <w:iCs/>
          <w:noProof/>
        </w:rPr>
      </w:pPr>
      <w:r w:rsidRPr="00CB70BA">
        <w:rPr>
          <w:i/>
          <w:noProof/>
        </w:rPr>
        <w:t>Kustannukset</w:t>
      </w:r>
    </w:p>
    <w:p w14:paraId="6E49AF5A" w14:textId="638DD273" w:rsidR="002C5F1D" w:rsidRPr="00CB70BA" w:rsidRDefault="00E24D0D" w:rsidP="00141CFD">
      <w:pPr>
        <w:rPr>
          <w:noProof/>
        </w:rPr>
      </w:pPr>
      <w:r w:rsidRPr="00CB70BA">
        <w:rPr>
          <w:noProof/>
        </w:rPr>
        <w:t>Rahoituksen välittäjille aiheutuu täytäntöönpanokustannuksia 75,9 miljoonaa euroa ja vuotuisia toistuvia kustannuksia 13 miljoonaa euroa. Verohallinnoille aiheutuu myös tietotekniikan kehittämiskustannuksia eTRC-todistuksen toteuttamisesta (arvioidut kehittämiskustannukset ovat 4,9–54 miljoonaa euroa ja toistuvat kustannukset 0,97–10,8 miljoonaa euroa) ja tietojen vastaanottamiseen tarvittavista ilmoitusjärjestelmistä (arvioidut kertaluonteiset kustannukset ovat 18,2 miljoonaa euroa ja toistuvat kustannukset 3,5 miljoonaa euroa vuodessa). Koska kaksinkertaisen verotuksen tapauksia on vähemmän, jäsenvaltioiden verotulojen arvioidaan vähenevän 2,2 miljardilla eurolla.</w:t>
      </w:r>
    </w:p>
    <w:p w14:paraId="1BD8FC58" w14:textId="77777777" w:rsidR="00977CF6" w:rsidRPr="00CB70BA" w:rsidRDefault="00977CF6" w:rsidP="000430BD">
      <w:pPr>
        <w:pStyle w:val="ManualHeading2"/>
        <w:rPr>
          <w:rFonts w:eastAsia="Arial Unicode MS"/>
          <w:noProof/>
          <w:u w:color="000000"/>
          <w:bdr w:val="nil"/>
        </w:rPr>
      </w:pPr>
      <w:r w:rsidRPr="00CB70BA">
        <w:rPr>
          <w:noProof/>
          <w:u w:color="000000"/>
          <w:bdr w:val="nil"/>
        </w:rPr>
        <w:t>•</w:t>
      </w:r>
      <w:r w:rsidRPr="00CB70BA">
        <w:rPr>
          <w:noProof/>
        </w:rPr>
        <w:tab/>
      </w:r>
      <w:r w:rsidRPr="00CB70BA">
        <w:rPr>
          <w:noProof/>
          <w:u w:color="000000"/>
          <w:bdr w:val="nil"/>
        </w:rPr>
        <w:t>Sääntelyn toimivuus ja yksinkertaistaminen</w:t>
      </w:r>
    </w:p>
    <w:p w14:paraId="6E557E21" w14:textId="77777777" w:rsidR="008D4312" w:rsidRPr="00CB70BA" w:rsidRDefault="006177A2" w:rsidP="006177A2">
      <w:pPr>
        <w:rPr>
          <w:noProof/>
        </w:rPr>
      </w:pPr>
      <w:r w:rsidRPr="00CB70BA">
        <w:rPr>
          <w:noProof/>
        </w:rPr>
        <w:t xml:space="preserve">Ehdotuksen yhtenä tärkeimpänä erityistavoitteena on digitalisaation käyttöönotto lähdeveromenettelyissä, jotta eTRC-todistuksen myöntäminen, tietojen raportointi, alennus- tai palautuspyyntöjen tekeminen ja tietojen tarkistaminen voidaan automatisoida täysin. Toinen aloitteen tavoitteista on välttää erilaisten järjestelmien yleistyminen jäsenvaltioissa. Tämä tavoite on tarkoitus saavuttaa yhtenäistämällä joitakin lähdeveromenettelyjen osia. </w:t>
      </w:r>
    </w:p>
    <w:p w14:paraId="60D4A0BD" w14:textId="77777777" w:rsidR="00EB3C21" w:rsidRPr="00CB70BA" w:rsidRDefault="00EB3C21" w:rsidP="006177A2">
      <w:pPr>
        <w:rPr>
          <w:noProof/>
        </w:rPr>
      </w:pPr>
      <w:bookmarkStart w:id="1" w:name="_Hlk135761396"/>
      <w:r w:rsidRPr="00CB70BA">
        <w:rPr>
          <w:noProof/>
        </w:rPr>
        <w:t>”Yksi sisään, yksi ulos” -periaatteen</w:t>
      </w:r>
      <w:bookmarkEnd w:id="1"/>
      <w:r w:rsidRPr="00CB70BA">
        <w:rPr>
          <w:noProof/>
        </w:rPr>
        <w:t xml:space="preserve"> mukaisesti aloite tuo sijoittajille kustannussäästöjä, jotka liittyvät paperityön vähenemiseen (409 miljoonaa euroa vuodessa), ja rahoituksen välittäjille kustannussäästöjä, jotka liittyvät menettelyjen virtaviivaistamiseen (13,5 miljoonaa euroa vuodessa). Samaan aikaan rahoituksen välittäjien kannettavaksi tulevat 75,9 miljoonan euron kertaluonteiset ja 13 miljoonan euron toistuvat kustannukset.</w:t>
      </w:r>
    </w:p>
    <w:p w14:paraId="58274A1A" w14:textId="556A6907" w:rsidR="000E6600" w:rsidRPr="00CB70BA" w:rsidRDefault="000E6600" w:rsidP="006177A2">
      <w:pPr>
        <w:rPr>
          <w:noProof/>
        </w:rPr>
      </w:pPr>
      <w:r w:rsidRPr="00CB70BA">
        <w:rPr>
          <w:noProof/>
        </w:rPr>
        <w:t>Ehdotuksella otetaan käyttöön rahoituksen välittäjien raportointivelvollisuudet. Yksityiskohtaisten tietojen hankkiminen on ratkaisevan tärkeää lähdejäsenvaltion verohallinnolle, jotta se voi arvioida ja soveltaa asianmukaisia alennettuja lähdeverokantoja ja havaita tehokkaasti väärinkäytöksiä ja saavuttaa siten yhden aloitteen tavoitteista. Raportoinnista aiheutuvan taakan rajoittamiseksi rahoituksen välittäjien raportoimat tiedot on rajattu siihen, mikä on jäsenvaltioille tarpeen osinkojen ja korkojen maksuketjun rekonstruoimiseksi, ja siinä määrin kuin tällaiset tiedot ovat raportoivien rahoituksen välittäjien saatavilla. Lisäksi raportoinnissa käytetään vakiomuotoisia sähköisiä lomakkeita ja viestintäkanavia koskevia yhteisiä vaatimuksia, jotka komissio vahvistaa täytäntöönpanosäädöksillä.</w:t>
      </w:r>
    </w:p>
    <w:p w14:paraId="7652A04F" w14:textId="77777777" w:rsidR="006177A2" w:rsidRPr="00CB70BA" w:rsidRDefault="00252006" w:rsidP="006177A2">
      <w:pPr>
        <w:rPr>
          <w:noProof/>
        </w:rPr>
      </w:pPr>
      <w:r w:rsidRPr="00CB70BA">
        <w:rPr>
          <w:noProof/>
        </w:rPr>
        <w:t>Raportointivelvollisuuksissa ja due diligence -menettelyssä on myös otettu käyttöön de minimis -sääntö yksinkertaisuuden vuoksi ja piensijoittajien lähdeveromenettelyjen vaatimusten keventämiseksi. De minimis -säännön mukaan sijoittajilta ei pyydetä tietoja heitä koskevista rahoitusjärjestelyistä eikä vähimmäissijoitusajasta, jos sijoittajien osingonmaksu on alle 1 000 euroa.</w:t>
      </w:r>
    </w:p>
    <w:p w14:paraId="5ADCE0DF" w14:textId="77777777" w:rsidR="00977CF6" w:rsidRPr="00CB70BA" w:rsidRDefault="00977CF6" w:rsidP="006177A2">
      <w:pPr>
        <w:pStyle w:val="ManualHeading2"/>
        <w:tabs>
          <w:tab w:val="clear" w:pos="850"/>
          <w:tab w:val="left" w:pos="0"/>
        </w:tabs>
        <w:ind w:left="0" w:firstLine="0"/>
        <w:rPr>
          <w:rFonts w:eastAsia="Arial Unicode MS"/>
          <w:noProof/>
          <w:u w:color="000000"/>
          <w:bdr w:val="nil"/>
        </w:rPr>
      </w:pPr>
      <w:r w:rsidRPr="00CB70BA">
        <w:rPr>
          <w:noProof/>
          <w:u w:color="000000"/>
          <w:bdr w:val="nil"/>
        </w:rPr>
        <w:t>•</w:t>
      </w:r>
      <w:r w:rsidRPr="00CB70BA">
        <w:rPr>
          <w:noProof/>
        </w:rPr>
        <w:tab/>
      </w:r>
      <w:r w:rsidRPr="00CB70BA">
        <w:rPr>
          <w:noProof/>
          <w:u w:color="000000"/>
          <w:bdr w:val="nil"/>
        </w:rPr>
        <w:t>Perusoikeudet ja tasa‑arvo</w:t>
      </w:r>
    </w:p>
    <w:p w14:paraId="66ABB3AF" w14:textId="77777777" w:rsidR="006177A2" w:rsidRPr="00CB70BA" w:rsidRDefault="006177A2" w:rsidP="006177A2">
      <w:pPr>
        <w:rPr>
          <w:noProof/>
        </w:rPr>
      </w:pPr>
      <w:r w:rsidRPr="00CB70BA">
        <w:rPr>
          <w:noProof/>
        </w:rPr>
        <w:t>Perusoikeudet, erityisesti yleisen tietosuoja-asetuksen mukaiset henkilötietojen suojaa koskevat vaatimukset, turvataan. Henkilötietoja käsitellään vain sen tarkistamiseksi, että verovelvolliseen sovelletaan oikeaa lähdeverokantaa, sekä veropetosten ja verotukseen liittyvien väärinkäytösten riskin pienentämiseksi. Henkilötietoja siirretään vain sellaisten tahojen välillä, jotka osallistuvat tämän direktiivin mukaisiin lähdeveron alentamiseen sovellettaviin menettelyihin. Siirrettävien henkilötietojen määrä rajoitetaan yleisen tietosuoja-asetuksen vaatimusten mukaisesti siihen, mikä on tarpeen aliraportoinnin, raportoittamatta jättämisen tai veropetosten tai verotukseen liittyvien väärinkäytösten havaitsemiseksi. Henkilötietoja säilytetään vain niin kauan kuin se on tarpeen tätä tarkoitusta varten.</w:t>
      </w:r>
    </w:p>
    <w:p w14:paraId="64193742" w14:textId="77777777" w:rsidR="00962C8C" w:rsidRPr="00CB70BA" w:rsidRDefault="003966D4" w:rsidP="006177A2">
      <w:pPr>
        <w:rPr>
          <w:noProof/>
        </w:rPr>
      </w:pPr>
      <w:r w:rsidRPr="00CB70BA">
        <w:rPr>
          <w:noProof/>
        </w:rPr>
        <w:t>Tämä aloite ei vaikuta merkittävästi tasa-arvoon, mukaan lukien sukupuolten tasa-arvo.</w:t>
      </w:r>
    </w:p>
    <w:p w14:paraId="3669D464" w14:textId="77777777" w:rsidR="00962C8C" w:rsidRPr="00CB70BA" w:rsidRDefault="00962C8C" w:rsidP="00CD5AC5">
      <w:pPr>
        <w:pStyle w:val="ManualHeading2"/>
        <w:tabs>
          <w:tab w:val="clear" w:pos="850"/>
          <w:tab w:val="left" w:pos="0"/>
        </w:tabs>
        <w:ind w:left="0" w:firstLine="0"/>
        <w:rPr>
          <w:rFonts w:eastAsia="Arial Unicode MS"/>
          <w:noProof/>
          <w:u w:color="000000"/>
          <w:bdr w:val="nil"/>
        </w:rPr>
      </w:pPr>
      <w:r w:rsidRPr="00CB70BA">
        <w:rPr>
          <w:b w:val="0"/>
          <w:noProof/>
          <w:u w:color="000000"/>
          <w:bdr w:val="nil"/>
        </w:rPr>
        <w:t>•</w:t>
      </w:r>
      <w:r w:rsidRPr="00CB70BA">
        <w:rPr>
          <w:noProof/>
        </w:rPr>
        <w:tab/>
      </w:r>
      <w:r w:rsidRPr="00CB70BA">
        <w:rPr>
          <w:noProof/>
          <w:u w:color="000000"/>
          <w:bdr w:val="nil"/>
        </w:rPr>
        <w:t>Muut vaikutukset</w:t>
      </w:r>
    </w:p>
    <w:p w14:paraId="1505CC02" w14:textId="77777777" w:rsidR="00962C8C" w:rsidRPr="00CB70BA" w:rsidRDefault="00962C8C" w:rsidP="006177A2">
      <w:pPr>
        <w:rPr>
          <w:noProof/>
          <w:szCs w:val="24"/>
        </w:rPr>
      </w:pPr>
      <w:r w:rsidRPr="00CB70BA">
        <w:rPr>
          <w:noProof/>
        </w:rPr>
        <w:t>Muita merkittäviä vaikutuksia ei ole. Aloitteella odotetaan kuitenkin olevan vähäisiä myönteisiä yhteiskunnallisia vaikutuksia, koska sillä varmistettaisiin oikeudenmukaisempi verotus, sekä vähäisiä myönteisiä ympäristövaikutuksia paperipohjaisten palautusprosessien odotetun vähenemisen vuoksi. Aloite on siten johdonmukainen eurooppalaisessa ilmastolaissa asetetun ilmastoneutraaliustavoitteen saavuttamisen kanssa.</w:t>
      </w:r>
    </w:p>
    <w:p w14:paraId="1A702DBD" w14:textId="77777777" w:rsidR="00934001" w:rsidRPr="00CB70BA" w:rsidRDefault="00047A1C" w:rsidP="006177A2">
      <w:pPr>
        <w:rPr>
          <w:noProof/>
          <w:szCs w:val="24"/>
        </w:rPr>
      </w:pPr>
      <w:r w:rsidRPr="00CB70BA">
        <w:rPr>
          <w:noProof/>
        </w:rPr>
        <w:t>Ehdotuksessa noudatetaan ”ei merkittävää haittaa”- ja ”oletusarvona digitaalisuus” -periaatteita, ja sillä edistetään eurooppalaisen digitaalisen yhteiskunnan ja talouden kehitystä.</w:t>
      </w:r>
    </w:p>
    <w:p w14:paraId="5C976A4C" w14:textId="77777777" w:rsidR="00934001" w:rsidRPr="00CB70BA" w:rsidRDefault="00934001" w:rsidP="006177A2">
      <w:pPr>
        <w:rPr>
          <w:noProof/>
          <w:szCs w:val="24"/>
        </w:rPr>
      </w:pPr>
      <w:r w:rsidRPr="00CB70BA">
        <w:rPr>
          <w:noProof/>
        </w:rPr>
        <w:t>Kestävän kehityksen tavoitteet, joita aloitteessa käsitellään osittain, ovat 8 (ihmisarvoista työtä ja talouskasvua), 9 (kestävää teollisuutta, innovaatioita ja infrastruktuureja) ja 16 (rauha, oikeudenmukaisuus ja hyvä hallinto), kuten vaikutustenarvioinnin liitteessä 3 esitetään.</w:t>
      </w:r>
    </w:p>
    <w:p w14:paraId="37D5E01E" w14:textId="77777777" w:rsidR="00977CF6" w:rsidRPr="00CB70BA" w:rsidRDefault="00977CF6" w:rsidP="000430BD">
      <w:pPr>
        <w:pStyle w:val="ManualHeading1"/>
        <w:rPr>
          <w:noProof/>
        </w:rPr>
      </w:pPr>
      <w:r w:rsidRPr="00CB70BA">
        <w:rPr>
          <w:noProof/>
        </w:rPr>
        <w:t>4.</w:t>
      </w:r>
      <w:r w:rsidRPr="00CB70BA">
        <w:rPr>
          <w:noProof/>
        </w:rPr>
        <w:tab/>
        <w:t>TALOUSARVIOVAIKUTUKSET</w:t>
      </w:r>
    </w:p>
    <w:p w14:paraId="2303B811" w14:textId="77777777" w:rsidR="00673DBF" w:rsidRPr="00CB70BA" w:rsidRDefault="00A32A42" w:rsidP="000430BD">
      <w:pPr>
        <w:pBdr>
          <w:top w:val="nil"/>
          <w:left w:val="nil"/>
          <w:bottom w:val="nil"/>
          <w:right w:val="nil"/>
          <w:between w:val="nil"/>
          <w:bar w:val="nil"/>
        </w:pBdr>
        <w:spacing w:before="0" w:after="240"/>
        <w:rPr>
          <w:rFonts w:eastAsia="Arial Unicode MS"/>
          <w:noProof/>
        </w:rPr>
      </w:pPr>
      <w:r w:rsidRPr="00CB70BA">
        <w:rPr>
          <w:noProof/>
        </w:rPr>
        <w:t>Aloitteen tärkeimpiä talousarviovaikutuksia komission kannalta ovat sähköisen verotuksellista kotipaikkaa koskevan todistuksen käyttöönotto ja niiden formaattien ja viestintäkanavien määrittäminen, joita rahoituksen välittäjien on käytettävä raportoidessaan kansallisille veroviranomaisille. Säädökseen liittyvässä rahoitusselvityksessä annetaan yksityiskohtaiset tiedot tarvittavista henkilöstö- ja hallintoresursseista.</w:t>
      </w:r>
    </w:p>
    <w:p w14:paraId="60B91D7F" w14:textId="77777777" w:rsidR="00977CF6" w:rsidRPr="00CB70BA" w:rsidRDefault="00977CF6" w:rsidP="000430BD">
      <w:pPr>
        <w:pStyle w:val="ManualHeading1"/>
        <w:rPr>
          <w:noProof/>
        </w:rPr>
      </w:pPr>
      <w:r w:rsidRPr="00CB70BA">
        <w:rPr>
          <w:noProof/>
        </w:rPr>
        <w:t>5.</w:t>
      </w:r>
      <w:r w:rsidRPr="00CB70BA">
        <w:rPr>
          <w:noProof/>
        </w:rPr>
        <w:tab/>
        <w:t>LISÄTIEDOT</w:t>
      </w:r>
    </w:p>
    <w:p w14:paraId="38AD6941" w14:textId="77777777" w:rsidR="00977CF6" w:rsidRPr="00CB70BA" w:rsidRDefault="00977CF6" w:rsidP="000430BD">
      <w:pPr>
        <w:pStyle w:val="ManualHeading2"/>
        <w:rPr>
          <w:rFonts w:eastAsia="Arial Unicode MS"/>
          <w:noProof/>
          <w:u w:color="000000"/>
          <w:bdr w:val="nil"/>
        </w:rPr>
      </w:pPr>
      <w:r w:rsidRPr="00CB70BA">
        <w:rPr>
          <w:noProof/>
          <w:u w:color="000000"/>
          <w:bdr w:val="nil"/>
        </w:rPr>
        <w:t>•</w:t>
      </w:r>
      <w:r w:rsidRPr="00CB70BA">
        <w:rPr>
          <w:noProof/>
        </w:rPr>
        <w:tab/>
      </w:r>
      <w:r w:rsidRPr="00CB70BA">
        <w:rPr>
          <w:noProof/>
          <w:u w:color="000000"/>
          <w:bdr w:val="nil"/>
        </w:rPr>
        <w:t>Toteuttamissuunnitelmat, seuranta, arviointi ja raportointijärjestelyt</w:t>
      </w:r>
    </w:p>
    <w:p w14:paraId="6FABAD77" w14:textId="77777777" w:rsidR="006177A2" w:rsidRPr="00CB70BA" w:rsidRDefault="00115ED7" w:rsidP="006177A2">
      <w:pPr>
        <w:pBdr>
          <w:top w:val="nil"/>
          <w:left w:val="nil"/>
          <w:bottom w:val="nil"/>
          <w:right w:val="nil"/>
          <w:between w:val="nil"/>
          <w:bar w:val="nil"/>
        </w:pBdr>
        <w:spacing w:before="0" w:after="240"/>
        <w:rPr>
          <w:noProof/>
        </w:rPr>
      </w:pPr>
      <w:r w:rsidRPr="00CB70BA">
        <w:rPr>
          <w:noProof/>
        </w:rPr>
        <w:t xml:space="preserve">Direktiivin täytäntöönpanon seurantaa ja arviointia varten jäsenvaltioiden on toimitettava komissiolle vuosittain tiedot, joista käy ilmi direktiivin toimintaa koskevat olennaiset tiedot. Kyseiset tiedot on määriteltävä täytäntöönpanosäädöksellä direktiivin 19 artiklan mukaisesti. </w:t>
      </w:r>
    </w:p>
    <w:p w14:paraId="282A99AE" w14:textId="77777777" w:rsidR="006177A2" w:rsidRPr="00CB70BA" w:rsidRDefault="00EB3C21" w:rsidP="006177A2">
      <w:pPr>
        <w:pBdr>
          <w:top w:val="nil"/>
          <w:left w:val="nil"/>
          <w:bottom w:val="nil"/>
          <w:right w:val="nil"/>
          <w:between w:val="nil"/>
          <w:bar w:val="nil"/>
        </w:pBdr>
        <w:spacing w:before="0" w:after="240"/>
        <w:rPr>
          <w:noProof/>
        </w:rPr>
      </w:pPr>
      <w:r w:rsidRPr="00CB70BA">
        <w:rPr>
          <w:noProof/>
        </w:rPr>
        <w:t xml:space="preserve">Komissio arvioi direktiiviä viiden vuoden kuluttua siitä, kun kansalliset säännöt, joilla direktiivi saatetaan osaksi kansallista lainsäädäntöä, ovat tulleet voimaan, ja sen jälkeen joka viides vuosi. </w:t>
      </w:r>
    </w:p>
    <w:p w14:paraId="05566DF9" w14:textId="77777777" w:rsidR="00977CF6" w:rsidRPr="00CB70BA" w:rsidRDefault="00977CF6" w:rsidP="000430BD">
      <w:pPr>
        <w:pStyle w:val="ManualHeading2"/>
        <w:rPr>
          <w:rFonts w:eastAsia="Arial Unicode MS"/>
          <w:noProof/>
          <w:u w:color="000000"/>
          <w:bdr w:val="nil"/>
        </w:rPr>
      </w:pPr>
      <w:r w:rsidRPr="00CB70BA">
        <w:rPr>
          <w:noProof/>
          <w:u w:color="000000"/>
          <w:bdr w:val="nil"/>
        </w:rPr>
        <w:t>•</w:t>
      </w:r>
      <w:r w:rsidRPr="00CB70BA">
        <w:rPr>
          <w:noProof/>
        </w:rPr>
        <w:tab/>
      </w:r>
      <w:r w:rsidRPr="00CB70BA">
        <w:rPr>
          <w:noProof/>
          <w:u w:color="000000"/>
          <w:bdr w:val="nil"/>
        </w:rPr>
        <w:t>Ehdotukseen sisältyvien säännösten yksityiskohtaiset selitykset</w:t>
      </w:r>
    </w:p>
    <w:p w14:paraId="5FC5A10D" w14:textId="77777777" w:rsidR="00977CF6" w:rsidRPr="00CB70BA" w:rsidRDefault="00606D65" w:rsidP="00AE09C6">
      <w:pPr>
        <w:pBdr>
          <w:top w:val="nil"/>
          <w:left w:val="nil"/>
          <w:bottom w:val="nil"/>
          <w:right w:val="nil"/>
          <w:between w:val="nil"/>
          <w:bar w:val="nil"/>
        </w:pBdr>
        <w:spacing w:before="0" w:after="240"/>
        <w:rPr>
          <w:noProof/>
        </w:rPr>
      </w:pPr>
      <w:r w:rsidRPr="00CB70BA">
        <w:rPr>
          <w:noProof/>
        </w:rPr>
        <w:t>Ehdotus on jaettu kahteen osioon, joita käsitellään luvuissa 2 ja 3. Luvussa 2 säädetään EU:n laajuisen digitaalisen verotuksellista kotipaikkaa koskevan todistuksen luomisesta, ja luvussa 3 puolestaan käsitellään lähdeveron alentamiseen sovellettavia menettelyjä. Se sisältää menettelyn kansallisten rekisterien perustamiseksi tietyille rahoituksen välittäjille (sertifioitu rahoituksen välittäjä), standardoidun raportointivelvollisuuden tällaiselle välittäjälle ja jäsenvaltioiden velvollisuuden perustaa veron alentamista tulon lähteellä koskeva järjestelmä tai nopea palautusjärjestelmä tai näiden yhdistelmä, jotta varmistetaan nopea ja turvallinen lähdeveron alentaminen kaksinkertaista verotusta koskevan sopimuksen tai kansallisten sääntöjen perusteella EU:n ja sen ulkopuolisille sijoittajille, kun tietyt avoimuusehdot täyttyvät. Koska nämä menettelyt koskevat vain tiettyjä jäsenvaltioita, joiden on myönnettävä ylimääräisen lähdeveron alennus, luku 3 velvoittaa vain näitä jäsenvaltioita.</w:t>
      </w:r>
    </w:p>
    <w:p w14:paraId="3BC06762" w14:textId="77777777" w:rsidR="00AE09C6" w:rsidRPr="00CB70BA" w:rsidRDefault="00AE09C6" w:rsidP="00AE09C6">
      <w:pPr>
        <w:pStyle w:val="Point1"/>
        <w:rPr>
          <w:noProof/>
        </w:rPr>
      </w:pPr>
      <w:r w:rsidRPr="00CB70BA">
        <w:rPr>
          <w:b/>
          <w:noProof/>
        </w:rPr>
        <w:t>i)</w:t>
      </w:r>
      <w:r w:rsidRPr="00CB70BA">
        <w:rPr>
          <w:noProof/>
        </w:rPr>
        <w:tab/>
      </w:r>
      <w:r w:rsidRPr="00CB70BA">
        <w:rPr>
          <w:b/>
          <w:noProof/>
        </w:rPr>
        <w:t>Yhteinen digitaalinen verotuksellista kotipaikkaa koskeva todistus</w:t>
      </w:r>
      <w:r w:rsidRPr="00CB70BA">
        <w:rPr>
          <w:noProof/>
        </w:rPr>
        <w:t xml:space="preserve"> </w:t>
      </w:r>
      <w:r w:rsidRPr="00CB70BA">
        <w:rPr>
          <w:b/>
          <w:noProof/>
        </w:rPr>
        <w:t>(eTRC)</w:t>
      </w:r>
    </w:p>
    <w:p w14:paraId="5F4AF783" w14:textId="77777777" w:rsidR="00AE09C6" w:rsidRPr="00CB70BA" w:rsidRDefault="00AE09C6" w:rsidP="00AE09C6">
      <w:pPr>
        <w:rPr>
          <w:noProof/>
        </w:rPr>
      </w:pPr>
      <w:r w:rsidRPr="00CB70BA">
        <w:rPr>
          <w:noProof/>
        </w:rPr>
        <w:t>eTRC-todistus on tarkoitus ottaa käyttöön kaikissa jäsenvaltioissa, ja se tarjoaa nopean, helpon ja turvallisen hallinnollisen prosessin, jolla EU:n verovelvollisten verotuksellinen kotipaikka voidaan vahvistaa.</w:t>
      </w:r>
    </w:p>
    <w:p w14:paraId="5A063F6B" w14:textId="77777777" w:rsidR="00AE09C6" w:rsidRPr="00CB70BA" w:rsidRDefault="00AE09C6" w:rsidP="00AE09C6">
      <w:pPr>
        <w:rPr>
          <w:noProof/>
        </w:rPr>
      </w:pPr>
      <w:r w:rsidRPr="00CB70BA">
        <w:rPr>
          <w:noProof/>
        </w:rPr>
        <w:t xml:space="preserve">Ehdotetun direktiivin 4 artiklan mukaisesti eTRC-todistuksessa on </w:t>
      </w:r>
      <w:r w:rsidRPr="00CB70BA">
        <w:rPr>
          <w:b/>
          <w:noProof/>
        </w:rPr>
        <w:t>yhteinen sisältö</w:t>
      </w:r>
      <w:r w:rsidRPr="00CB70BA">
        <w:rPr>
          <w:noProof/>
        </w:rPr>
        <w:t xml:space="preserve"> riippumatta sen myöntävästä jäsenvaltiosta, ts. asuinjäsenvaltiosta. Artiklan 2 kohdassa eTRC-todistuksen yhteiseksi sisällöksi määritetyt tiedot ovat sitä hakevan verovelvollisen tunnistamistiedot ja tiedot, jotka vahvistavat sen, että verovelvollisella on kotipaikka jäsenvaltioissa niiden kansallisten sääntöjen mukaisesti. </w:t>
      </w:r>
    </w:p>
    <w:p w14:paraId="3CBBDC1D" w14:textId="77777777" w:rsidR="00AE09C6" w:rsidRPr="00CB70BA" w:rsidRDefault="00334A00" w:rsidP="00AE09C6">
      <w:pPr>
        <w:rPr>
          <w:noProof/>
        </w:rPr>
      </w:pPr>
      <w:r w:rsidRPr="00CB70BA">
        <w:rPr>
          <w:noProof/>
        </w:rPr>
        <w:t xml:space="preserve">Jäsenvaltioiden kohdennetut kuulemiset osoittivat, että sijoittajan kotipaikan määrittämiseen sovelletaan samoja sääntöjä, joiden mukaan sijoittajalla on tai ei ole kotipaikka tietyssä jäsenvaltiossa, riippumatta sijoitusmaasta. Siksi sijoituksen kohteena olevaa jäsenvaltiota ei tarvitse mainita eTRC-todistuksessa. Tällaiset tiedot sisällytetään kuitenkin alennuspyyntöön sovellettavan alennetun verokannan yksilöimiseksi. </w:t>
      </w:r>
    </w:p>
    <w:p w14:paraId="0DF82220" w14:textId="77777777" w:rsidR="00DE3FE0" w:rsidRPr="00CB70BA" w:rsidRDefault="00DE3FE0" w:rsidP="00DE3FE0">
      <w:pPr>
        <w:rPr>
          <w:noProof/>
        </w:rPr>
      </w:pPr>
      <w:r w:rsidRPr="00CB70BA">
        <w:rPr>
          <w:noProof/>
        </w:rPr>
        <w:t>Koska tarkoituksena on ottaa käyttöön vakiomuotoinen eTRC-todistus, jota voidaan käyttää lähdeveromenettelyjen virtaviivaistamiseen mutta myös muihin tarkoituksiin, ehdotuksessa sallitaan tietojen lisääminen näitä tarkoituksia varten.</w:t>
      </w:r>
    </w:p>
    <w:p w14:paraId="0341D416" w14:textId="77777777" w:rsidR="00AE09C6" w:rsidRPr="00CB70BA" w:rsidRDefault="00FC34D1" w:rsidP="00AE09C6">
      <w:pPr>
        <w:rPr>
          <w:noProof/>
        </w:rPr>
      </w:pPr>
      <w:r w:rsidRPr="00CB70BA">
        <w:rPr>
          <w:noProof/>
        </w:rPr>
        <w:t>Koska yksi tämän aloitteen tavoitteista on keventää verohallinnoille, sijoittajille ja rahoitusalalle aiheutuvaa hallinnollista taakkaa, ehdotetaan, että eTRC-todistus kattaa vähintään koko sen kalenterivuoden, jona sitä haetaan. Jos olosuhteet vuoden lopussa eivät kuitenkaan tue vuoden aikana myönnetyn eTRC-todistuksen sisältöä, myöntävä jäsenvaltio tai mikä tahansa muu asianomainen jäsenvaltio voi katsoa, että tällainen eTRC-todistus ei ole pätevä. eTRC-todistuksen kattamaa vähimmäisaikaa (yksi kalenterivuosi) ei tulisi tulkita siten, että se estäisi jäsenvaltioita myöntämästä pitemmän ajanjakson kattavaa eTRC-todistusta kunkin jäsenvaltion verotuksellisen kotipaikan käsitteen ja sisäisen päätöksen mukaisesti. Jäsenvaltioiden on tunnustettava toisen jäsenvaltion myöntämä eTRC-todistus riittäväksi todisteeksi verovelvollisen kotipaikasta kyseisessä toisessa jäsenvaltiossa siltä osin kuin myöntävä jäsenvaltio pitää tällaista eTRC-todistusta edelleen pätevänä.</w:t>
      </w:r>
    </w:p>
    <w:p w14:paraId="0F71F4C9" w14:textId="77777777" w:rsidR="0080647F" w:rsidRPr="00CB70BA" w:rsidRDefault="00AE09C6" w:rsidP="00AE09C6">
      <w:pPr>
        <w:rPr>
          <w:noProof/>
        </w:rPr>
      </w:pPr>
      <w:r w:rsidRPr="00CB70BA">
        <w:rPr>
          <w:noProof/>
        </w:rPr>
        <w:t xml:space="preserve">Jäsenvaltioiden on myönnettävä eTRC-todistus yhden päivän kuluessa edellyttäen, että niille on toimitettu tietyt tiedot ja ettei ilmene poikkeuksellisia olosuhteita, jotka oikeuttaisivat viivästymiseen. Jos myöntäminen ei onnistu yhden päivän kuluessa, asianomaisen jäsenvaltion olisi ilmoitettava asiasta hakemuksen esittäjälle. Yhden päivän määräajan noudattamiseksi jäsenvaltioiden olisi pantava täytäntöön täysin </w:t>
      </w:r>
      <w:r w:rsidRPr="00CB70BA">
        <w:rPr>
          <w:b/>
          <w:noProof/>
        </w:rPr>
        <w:t>automatisoitu</w:t>
      </w:r>
      <w:r w:rsidRPr="00CB70BA">
        <w:rPr>
          <w:noProof/>
        </w:rPr>
        <w:t xml:space="preserve"> eTRC-todistuksen</w:t>
      </w:r>
      <w:r w:rsidRPr="00CB70BA">
        <w:rPr>
          <w:b/>
          <w:bCs/>
          <w:noProof/>
        </w:rPr>
        <w:t xml:space="preserve"> </w:t>
      </w:r>
      <w:r w:rsidRPr="00CB70BA">
        <w:rPr>
          <w:b/>
          <w:noProof/>
        </w:rPr>
        <w:t>myöntämisjärjestelmä</w:t>
      </w:r>
      <w:r w:rsidRPr="00CB70BA">
        <w:rPr>
          <w:noProof/>
        </w:rPr>
        <w:t>, joka mahdollistaa hakemusten tekemisen sellaisen verkkoportaalin kautta, johon verovelvollisilla ja heidän valtuuttamillaan tahoilla on pääsy (esim. rahoituksen välittäjät, jotka hakevat eTRC-todistusta asiakkaidensa puolesta).</w:t>
      </w:r>
    </w:p>
    <w:p w14:paraId="21C87D9E" w14:textId="77777777" w:rsidR="00AE09C6" w:rsidRPr="00CB70BA" w:rsidRDefault="00AE09C6" w:rsidP="00AE09C6">
      <w:pPr>
        <w:rPr>
          <w:noProof/>
        </w:rPr>
      </w:pPr>
      <w:r w:rsidRPr="00CB70BA">
        <w:rPr>
          <w:noProof/>
        </w:rPr>
        <w:t>eTRC-todistus suojataan sähköisestä tunnistamisesta ja sähköisiin transaktioihin liittyvistä luottamuspalveluista sisämarkkinoilla 23 päivänä heinäkuuta 2014 annetun asetuksen (EU) N:o 910/2014 (eIDAS-asetus)</w:t>
      </w:r>
      <w:r w:rsidRPr="00CB70BA">
        <w:rPr>
          <w:rStyle w:val="FootnoteReference"/>
          <w:noProof/>
        </w:rPr>
        <w:footnoteReference w:id="24"/>
      </w:r>
      <w:r w:rsidRPr="00CB70BA">
        <w:rPr>
          <w:noProof/>
        </w:rPr>
        <w:t xml:space="preserve"> mukaisella sähköisellä leimalla. Suunnitellussa menetelmässä digitaalisesta verotuksellista kotipaikkaa koskevasta todistuksesta voidaan laatia sekä ihmisten että koneiden luettavissa olevat versiot PDF-asiakirjoina tai vastaavina muina formaatteina, joita voidaan käyttää automatisoiduissa järjestelmissä.</w:t>
      </w:r>
    </w:p>
    <w:p w14:paraId="2387E287" w14:textId="77777777" w:rsidR="00247DD1" w:rsidRPr="00CB70BA" w:rsidRDefault="00247DD1" w:rsidP="00247DD1">
      <w:pPr>
        <w:pStyle w:val="Point1"/>
        <w:rPr>
          <w:b/>
          <w:bCs/>
          <w:noProof/>
        </w:rPr>
      </w:pPr>
      <w:r w:rsidRPr="00CB70BA">
        <w:rPr>
          <w:b/>
          <w:noProof/>
        </w:rPr>
        <w:t>ii)</w:t>
      </w:r>
      <w:r w:rsidRPr="00CB70BA">
        <w:rPr>
          <w:noProof/>
        </w:rPr>
        <w:tab/>
      </w:r>
      <w:r w:rsidRPr="00CB70BA">
        <w:rPr>
          <w:b/>
          <w:noProof/>
        </w:rPr>
        <w:t>Jäsenvaltioiden kansalliset rekisterit</w:t>
      </w:r>
    </w:p>
    <w:p w14:paraId="2F0A1D80" w14:textId="77777777" w:rsidR="00247DD1" w:rsidRPr="00CB70BA" w:rsidRDefault="00247DD1" w:rsidP="00AE09C6">
      <w:pPr>
        <w:rPr>
          <w:noProof/>
        </w:rPr>
      </w:pPr>
      <w:r w:rsidRPr="00CB70BA">
        <w:rPr>
          <w:noProof/>
        </w:rPr>
        <w:t>Jotta sijoittajat voisivat hyötyä direktiivin ytimessä olevista lähdeveron alentamiseen sovellettavista menettelyistä, niiden on voitava toimia yhteistyössä sellaisten rahoituksen välittäjien kanssa, jotka on sertifioitu tarjoamaan kyseisiä palveluja. Sertifioidun rahoituksen välittäjän asemalle ja siten pääsylle tämän direktiivin mukaisiin menettelyihin on kaksi perustetta:</w:t>
      </w:r>
    </w:p>
    <w:p w14:paraId="321A83C7" w14:textId="77777777" w:rsidR="007A3752" w:rsidRPr="00CB70BA" w:rsidRDefault="00697CE1" w:rsidP="004E5214">
      <w:pPr>
        <w:pStyle w:val="Tiret1"/>
        <w:numPr>
          <w:ilvl w:val="0"/>
          <w:numId w:val="6"/>
        </w:numPr>
        <w:rPr>
          <w:noProof/>
        </w:rPr>
      </w:pPr>
      <w:r w:rsidRPr="00CB70BA">
        <w:rPr>
          <w:noProof/>
        </w:rPr>
        <w:t>Pakollinen menettely: 1) asetuksen (EU) N:o 575/2013</w:t>
      </w:r>
      <w:r w:rsidRPr="00CB70BA">
        <w:rPr>
          <w:rStyle w:val="FootnoteReference"/>
          <w:noProof/>
        </w:rPr>
        <w:footnoteReference w:id="25"/>
      </w:r>
      <w:r w:rsidRPr="00CB70BA">
        <w:rPr>
          <w:noProof/>
        </w:rPr>
        <w:t xml:space="preserve"> 5 artiklan 2 kohdassa määritellyille suurille laitoksille ja 2) asetuksen (EU) N:o 909/2014</w:t>
      </w:r>
      <w:r w:rsidRPr="00CB70BA">
        <w:rPr>
          <w:rStyle w:val="FootnoteReference"/>
          <w:noProof/>
        </w:rPr>
        <w:footnoteReference w:id="26"/>
      </w:r>
      <w:r w:rsidRPr="00CB70BA">
        <w:rPr>
          <w:noProof/>
        </w:rPr>
        <w:t xml:space="preserve"> soveltamisalaan kuuluville arvopaperikeskuksille, jotka tarjoavat lähdeveroasiamiehen palveluja ja joiden on näin ollen rekisteröidyttävä niissä jäsenvaltioissa, joihin arvopapereiden liikkeeseenlaskijat ovat sijoittuneet ja joihin niiden asiakkaat ovat sijoittaneet.</w:t>
      </w:r>
    </w:p>
    <w:p w14:paraId="3E3E3FB0" w14:textId="77777777" w:rsidR="00247DD1" w:rsidRPr="00CB70BA" w:rsidRDefault="004D5050" w:rsidP="004E5214">
      <w:pPr>
        <w:pStyle w:val="Tiret1"/>
        <w:numPr>
          <w:ilvl w:val="0"/>
          <w:numId w:val="6"/>
        </w:numPr>
        <w:rPr>
          <w:noProof/>
        </w:rPr>
      </w:pPr>
      <w:r w:rsidRPr="00CB70BA">
        <w:rPr>
          <w:noProof/>
        </w:rPr>
        <w:t>Vapaaehtoinen menettely: kaikille muille yhteisöille (mukaan luettuna ne, jotka ovat sijoittautuneet kolmannen maan lainkäyttöalueelle), jotka toimivat rahoituksen välittäjinä ja täyttävät tietyt vaatimukset rekisteröitymällä yhteen tai useampaan tämän direktiivin mukaisesti perustettuun kansalliseen rekisteriin, asianomaisen välittäjän harkinnan mukaan; on odotettavissa, että rekisteröinti tapahtuu niissä jäsenvaltioissa, joissa niiden asiakkailla on sijoituksia.</w:t>
      </w:r>
    </w:p>
    <w:p w14:paraId="751E06F8" w14:textId="77777777" w:rsidR="00A9400E" w:rsidRPr="00CB70BA" w:rsidRDefault="00247DD1" w:rsidP="00247DD1">
      <w:pPr>
        <w:rPr>
          <w:noProof/>
        </w:rPr>
      </w:pPr>
      <w:r w:rsidRPr="00CB70BA">
        <w:rPr>
          <w:noProof/>
        </w:rPr>
        <w:t>Sellaisilla jäsenvaltioilla ei tarvitse olla kansallista rekisteriä, joiden ei tarvitse myöntää ylimääräisen lähdeveron alennusta, koska osingonmaksut on vapautettu lähdeverosta tai kyseisen jäsenvaltion verokanta on aina alhaisempi tai yhtä suuri kuin kaksinkertaista verotusta koskevien sopimusten perusteella sovellettava verokanta. Jäsenvaltioiden, jotka päättävät myöntää veron alennuksen tulon lähteellä tai nopean palautuksen joukkovelkakirjojen koroista pidätetystä ylimääräisestä lähdeverosta tämän direktiivin mukaisesti, olisi oletusarvoisesti käytettävä kansallista rekisteriä, joka on jo perustettu osingoista pidätetyn ylimääräisen veron alentamista varten, tai muussa tapauksessa perustettava kansallinen rekisteri.</w:t>
      </w:r>
    </w:p>
    <w:p w14:paraId="1BFE559A" w14:textId="77777777" w:rsidR="0080647F" w:rsidRPr="00CB70BA" w:rsidRDefault="0080647F" w:rsidP="00247DD1">
      <w:pPr>
        <w:rPr>
          <w:noProof/>
        </w:rPr>
      </w:pPr>
      <w:r w:rsidRPr="00CB70BA">
        <w:rPr>
          <w:noProof/>
        </w:rPr>
        <w:t>Vaatimustenvastaiset sertifioidut rahoituksen välittäjät, mukaan lukien ne, jotka eivät täytä rekisteröintivaatimuksia, voidaan poistaa kansallisista rekistereistä ja/tai niille voidaan määrätä seuraamuksia.</w:t>
      </w:r>
    </w:p>
    <w:p w14:paraId="0726B204" w14:textId="77777777" w:rsidR="00247DD1" w:rsidRPr="00CB70BA" w:rsidRDefault="00247DD1" w:rsidP="00247DD1">
      <w:pPr>
        <w:pStyle w:val="Point1"/>
        <w:rPr>
          <w:b/>
          <w:bCs/>
          <w:noProof/>
        </w:rPr>
      </w:pPr>
      <w:r w:rsidRPr="00CB70BA">
        <w:rPr>
          <w:b/>
          <w:noProof/>
        </w:rPr>
        <w:t>iii)</w:t>
      </w:r>
      <w:r w:rsidRPr="00CB70BA">
        <w:rPr>
          <w:noProof/>
        </w:rPr>
        <w:tab/>
      </w:r>
      <w:r w:rsidRPr="00CB70BA">
        <w:rPr>
          <w:b/>
          <w:noProof/>
        </w:rPr>
        <w:t xml:space="preserve">Yhteinen raportointi </w:t>
      </w:r>
    </w:p>
    <w:p w14:paraId="7287F85A" w14:textId="77777777" w:rsidR="007D3EBD" w:rsidRPr="00CB70BA" w:rsidRDefault="00247DD1" w:rsidP="00AE09C6">
      <w:pPr>
        <w:rPr>
          <w:noProof/>
        </w:rPr>
      </w:pPr>
      <w:r w:rsidRPr="00CB70BA">
        <w:rPr>
          <w:noProof/>
        </w:rPr>
        <w:t xml:space="preserve">Tämän direktiivin tarkoituksena on auttaa torjumaan veropetoksia ja verotukseen liittyviä väärinkäytöksiä ylimääräisen lähdeveron alentamiseen sovellettavien menettelyjen yhteydessä ja tehdä näistä menettelyistä tehokkaita. Avoimuuden käyttöönotto rahoitusketjussa palvelee näitä kahta tavoitetta, koska se antaa lähdejäsenvaltiolle mahdollisuuden saada tarvittavat tiedot sen tarkistamiseksi, että sovelletaan oikeaa lähdeverokantaa, ja arvioida, onko sovellettava veronkierron vastaisia sääntöjä. Koko EU:n yhteisen raportointistandardin laatiminen säästää säännösten noudattamisesta sijoittajille ja rahoituksen välittäjille aiheutuvia kustannuksia ja mahdollistaa nopeammat ja turvallisemmat lähdeveron alentamiseen sovellettavat menettelyt. </w:t>
      </w:r>
    </w:p>
    <w:p w14:paraId="654F77AC" w14:textId="77777777" w:rsidR="007D3EBD" w:rsidRPr="00CB70BA" w:rsidRDefault="007D3EBD" w:rsidP="007D3EBD">
      <w:pPr>
        <w:rPr>
          <w:i/>
          <w:noProof/>
        </w:rPr>
      </w:pPr>
      <w:r w:rsidRPr="00CB70BA">
        <w:rPr>
          <w:i/>
          <w:noProof/>
        </w:rPr>
        <w:t>Kenen on raportoitava ja kenelle?</w:t>
      </w:r>
    </w:p>
    <w:p w14:paraId="34AEFFBD" w14:textId="77777777" w:rsidR="007D3EBD" w:rsidRPr="00CB70BA" w:rsidRDefault="00727E85" w:rsidP="007D3EBD">
      <w:pPr>
        <w:rPr>
          <w:noProof/>
        </w:rPr>
      </w:pPr>
      <w:r w:rsidRPr="00CB70BA">
        <w:rPr>
          <w:noProof/>
        </w:rPr>
        <w:t xml:space="preserve">Raportointivelvollisuudet johtuvat rekisteröinnistä johonkin kansalliseen rekisteriin. Kaikkien sertifioitujen rahoituksen välittäjien, jotka ovat yhdessä tai useammassa kansallisessa rekisterissä, on raportoitava rekisteriä ylläpitävälle viranomaiselle ja tarvittaessa lähdeveroasiamiehelle riippumatta kotipaikastaan (EU:ssa tai EU:n ulkopuolella tai jäsenvaltiossa, jossa on tai ei ole omaa kansallista rekisteriä). </w:t>
      </w:r>
    </w:p>
    <w:p w14:paraId="3895D1F9" w14:textId="77777777" w:rsidR="007D3EBD" w:rsidRPr="00CB70BA" w:rsidRDefault="007D3EBD" w:rsidP="007D3EBD">
      <w:pPr>
        <w:rPr>
          <w:noProof/>
        </w:rPr>
      </w:pPr>
      <w:r w:rsidRPr="00CB70BA">
        <w:rPr>
          <w:noProof/>
        </w:rPr>
        <w:t>Mihin tahansa kansalliseen rekisteriin rekisteröityjen sertifioitujen rahoituksen välittäjien on raportoitava, kun niiden asiakkaiden sijoitus tapahtuu jäsenvaltiossa, jolla on kansallinen rekisteri. Tällaisen lähdejäsenvaltion on säädettävä alentamisesta, ja sen vuoksi sen on rekonstruoitava arvopapereiden maksuketju ja tunnistettava lopullinen sijoittaja. Direktiivissä ei suljeta pois mahdollisuutta, että sertifioidut rahoituksen välittäjät ulkoistavat ilmoitusvelvollisuuden toiselle säilytysketjuun kuuluvalle rahoituksen välittäjälle, jos asianomainen sertifioitu rahoituksen välittäjä on edelleen vastuussa tällaisen raportoinnin loppuunsaattamisesta ja oikeellisuudesta.</w:t>
      </w:r>
    </w:p>
    <w:p w14:paraId="66A50EE7" w14:textId="77777777" w:rsidR="007D3EBD" w:rsidRPr="00CB70BA" w:rsidRDefault="006159CF" w:rsidP="007D3EBD">
      <w:pPr>
        <w:rPr>
          <w:noProof/>
        </w:rPr>
      </w:pPr>
      <w:r w:rsidRPr="00CB70BA">
        <w:rPr>
          <w:noProof/>
        </w:rPr>
        <w:t xml:space="preserve">Raportointivelvollisuuden noudattamatta jättäminen aiheuttaa seuraamuksia. </w:t>
      </w:r>
    </w:p>
    <w:p w14:paraId="65399EC4" w14:textId="77777777" w:rsidR="007D3EBD" w:rsidRPr="00CB70BA" w:rsidRDefault="007D3EBD" w:rsidP="007D3EBD">
      <w:pPr>
        <w:rPr>
          <w:i/>
          <w:noProof/>
        </w:rPr>
      </w:pPr>
      <w:r w:rsidRPr="00CB70BA">
        <w:rPr>
          <w:i/>
          <w:noProof/>
        </w:rPr>
        <w:t>Mitä on raportoitava?</w:t>
      </w:r>
    </w:p>
    <w:p w14:paraId="6E8C9FCA" w14:textId="77777777" w:rsidR="007D3EBD" w:rsidRPr="00CB70BA" w:rsidRDefault="007D3EBD" w:rsidP="007D3EBD">
      <w:pPr>
        <w:rPr>
          <w:noProof/>
        </w:rPr>
      </w:pPr>
      <w:r w:rsidRPr="00CB70BA">
        <w:rPr>
          <w:noProof/>
        </w:rPr>
        <w:t xml:space="preserve">Direktiivin liitteessä II vahvistetaan yhteiset raportointitiedot. Kukin sertifioitu rahoituksen välittäjä raportoi vain siitä transaktion osasta, joka on sen nähtävissä, eli keneltä se saa osinkoa/korkoa ja kenelle se maksaa osinkoa/korkoa. Näin ollen koko raportin vastaanottajalla, joko lähdeverohallinnolla tai sen nimittämällä lähdeveroasiamiehellä, on kaikki tiedot, joita tarvitaan transaktion rahoitusketjun rekonstruoimiseksi sijoittajasta arvopapereiden liikkeeseenlaskijaan. </w:t>
      </w:r>
    </w:p>
    <w:p w14:paraId="23DAF960" w14:textId="77777777" w:rsidR="007D3EBD" w:rsidRPr="00CB70BA" w:rsidRDefault="02362B39" w:rsidP="007D3EBD">
      <w:pPr>
        <w:rPr>
          <w:noProof/>
        </w:rPr>
      </w:pPr>
      <w:r w:rsidRPr="00CB70BA">
        <w:rPr>
          <w:noProof/>
        </w:rPr>
        <w:t>Se voi verohallinnolle raportoitujen tietojen avulla varmistaa lopullisen sijoittajan henkilöllisyyden ja mahdollisen oikeuden alennettuun lähdeverokantaan. Näin vähennetään kaksinkertaisten palautusten riskiä ja parannetaan verohallintojen valmiuksia tunnistaa ja torjua muita väärinkäytöksiä ja petoksia, kuten cum cum -järjestelyt.</w:t>
      </w:r>
    </w:p>
    <w:p w14:paraId="229DAE6B" w14:textId="77777777" w:rsidR="000C4033" w:rsidRPr="00CB70BA" w:rsidRDefault="007B5E95" w:rsidP="007D3EBD">
      <w:pPr>
        <w:rPr>
          <w:noProof/>
        </w:rPr>
      </w:pPr>
      <w:r w:rsidRPr="00CB70BA">
        <w:rPr>
          <w:noProof/>
        </w:rPr>
        <w:t>Liitteessä II olevassa E kohdassa on kaksi raportointivaatimusta, joiden tarkoituksena on auttaa torjumaan lähdeveroon liittyviä väärinkäytöksiä, pääasiassa cum cum -järjestelyjä. Nämä raportointivaatimukset koskevat i) tietoja kohde-etuutena olevien arvopapereiden pitoajasta ja ii) tietoja rahoitusjärjestelyistä, jotka liittyvät arvopapereihin, joiden osalta verovelvollinen pyytää alentamista.</w:t>
      </w:r>
    </w:p>
    <w:p w14:paraId="163910D8" w14:textId="77777777" w:rsidR="007E6897" w:rsidRPr="00CB70BA" w:rsidRDefault="007D3EBD" w:rsidP="007D3EBD">
      <w:pPr>
        <w:rPr>
          <w:noProof/>
        </w:rPr>
      </w:pPr>
      <w:r w:rsidRPr="00CB70BA">
        <w:rPr>
          <w:noProof/>
        </w:rPr>
        <w:t>Ensimmäisellä vaatimuksella pyritään saamaan tietoa siitä, onko kohde-etuutena olevat arvopaperit ostettu osingon irtoamispäivää edeltäneiden kahden päivän aikana. Tavoitteena on auttaa estämään petos-/väärinkäyttöjärjestelyt, jotka liittyvät saman lähdeveron moninkertaiseen palautukseen, kun olisi sovellettava vain yhtä palautusta (cum ex -järjestelyt).</w:t>
      </w:r>
    </w:p>
    <w:p w14:paraId="2647FD5F" w14:textId="77777777" w:rsidR="007D3EBD" w:rsidRPr="00CB70BA" w:rsidRDefault="007D3EBD" w:rsidP="007D3EBD">
      <w:pPr>
        <w:rPr>
          <w:noProof/>
        </w:rPr>
      </w:pPr>
      <w:r w:rsidRPr="00CB70BA">
        <w:rPr>
          <w:noProof/>
        </w:rPr>
        <w:t xml:space="preserve">Toisella vaatimuksella pyritään saamaan tietoa siitä, onko raportoiva rahoituksen välittäjä tietoinen kohde-etuutena oleviin arvopapereihin </w:t>
      </w:r>
      <w:r w:rsidRPr="00CB70BA">
        <w:rPr>
          <w:noProof/>
          <w:color w:val="000000" w:themeColor="text1"/>
        </w:rPr>
        <w:t>liittyvästä rahoitusjärjestelystä</w:t>
      </w:r>
      <w:r w:rsidRPr="00CB70BA">
        <w:rPr>
          <w:noProof/>
        </w:rPr>
        <w:t xml:space="preserve">, jota ei ole selvitetty, jonka voimassaolo ei ole päättynyt tai jota ei ole muutoin päätetty osingon irtoamispäivänä. Tavoitteena on auttaa verohallintoa havaitsemaan vilpilliset verojärjestelyt (cum cum -järjestelyt). Rahoitusjärjestelyjä voivat olla esimerkiksi takaisinostosopimus (repo) tai arvopapereiden lainaksi antaminen, mutta myös johdannaistuotteet, kuten osakefutuurit, joiden kohde-etuutena on tietty osake. Tarkemmin sanottuna takaisinostosopimuksessa on kyse arvopapereiden myynnistä tiettyyn hintaan ja sitoumuksesta ostaa samat tai vastaavat arvopaperit takaisin kiinteään hintaan tiettynä tulevana päivänä. Arvopapereiden lainaksi antamisessa arvopaperin omistusoikeus siirretään vakuutta, yleensä toista arvopaperia, vastaan edellyttäen, että kyseisen arvopaperin tai vastaavien arvopapereiden omistusoikeus palautuu alkuperäiselle omistajalle tiettynä tulevana päivänä. Määritelmä on laaja, jotta siihen voidaan sisällyttää erityyppisiä järjestelyjä. </w:t>
      </w:r>
    </w:p>
    <w:p w14:paraId="32CFE341" w14:textId="77777777" w:rsidR="00275591" w:rsidRPr="00CB70BA" w:rsidRDefault="007E2FD5" w:rsidP="009D5B08">
      <w:pPr>
        <w:rPr>
          <w:noProof/>
        </w:rPr>
      </w:pPr>
      <w:r w:rsidRPr="00CB70BA">
        <w:rPr>
          <w:noProof/>
        </w:rPr>
        <w:t>Koska edellä mainittuja järjestelyjä on havaittu vain osingonmaksun osalta, E kohdan raportointitietoja ei vaadita joukkovelkakirjoista maksettujen korkojen osalta. Samaa lähestymistapaa sovelletaan erittäin pieniin maksettuihin osinkoihin, joita pidetään vähäriskisinä tapauksina, joilla ei voida perustella sertifioitujen rahoituksen välittäjien raportointitaakkaa. Tämä ei kuitenkaan estä jäsenvaltioita soveltamasta asianmukaisia seuraamuksia, jos ne tosiasiallisesti havaitsevat väärinkäytöksiä, vaikka määrältään vähäisiäkin.</w:t>
      </w:r>
    </w:p>
    <w:p w14:paraId="6C4E01DD" w14:textId="77777777" w:rsidR="007D3EBD" w:rsidRPr="00CB70BA" w:rsidRDefault="007D3EBD" w:rsidP="007D3EBD">
      <w:pPr>
        <w:rPr>
          <w:i/>
          <w:noProof/>
        </w:rPr>
      </w:pPr>
      <w:r w:rsidRPr="00CB70BA">
        <w:rPr>
          <w:i/>
          <w:noProof/>
        </w:rPr>
        <w:t>Miten raportointi tapahtuu?</w:t>
      </w:r>
    </w:p>
    <w:p w14:paraId="07AA5F8B" w14:textId="77777777" w:rsidR="007D3EBD" w:rsidRPr="00CB70BA" w:rsidRDefault="007D3EBD" w:rsidP="007D3EBD">
      <w:pPr>
        <w:rPr>
          <w:noProof/>
        </w:rPr>
      </w:pPr>
      <w:r w:rsidRPr="00CB70BA">
        <w:rPr>
          <w:noProof/>
        </w:rPr>
        <w:t xml:space="preserve">Raportointi tapahtuu standardoidulla XML-muotoisella järjestelmällä, joka vahvistetaan komission antamassa täytäntöönpanosäädöksessä. Täytäntöönpanosäädöksessä standardoidaan ja vahvistetaan automaattinen kanava, jonka kautta talouden toimijat toimittavat tiedot vastaavalle verohallinnolle tai sen puolesta toimivalle lähdeveroasiamiehelle. </w:t>
      </w:r>
    </w:p>
    <w:p w14:paraId="2E200C79" w14:textId="77777777" w:rsidR="007D3EBD" w:rsidRPr="00CB70BA" w:rsidRDefault="007D3EBD" w:rsidP="007D3EBD">
      <w:pPr>
        <w:rPr>
          <w:i/>
          <w:noProof/>
        </w:rPr>
      </w:pPr>
      <w:r w:rsidRPr="00CB70BA">
        <w:rPr>
          <w:i/>
          <w:noProof/>
        </w:rPr>
        <w:t>Milloin raportointivelvollisuus syntyy?</w:t>
      </w:r>
    </w:p>
    <w:p w14:paraId="1E8B418B" w14:textId="350609A5" w:rsidR="007D3EBD" w:rsidRPr="00CB70BA" w:rsidRDefault="007D3EBD" w:rsidP="008E0AD1">
      <w:pPr>
        <w:rPr>
          <w:noProof/>
        </w:rPr>
      </w:pPr>
      <w:r w:rsidRPr="00CB70BA">
        <w:rPr>
          <w:noProof/>
        </w:rPr>
        <w:t>Liitteeseen II sisältyvien tietojen raportoinnin määräaika on viimeistään 25 päivän kuluttua täsmäytyspäivästä. Raportointi olisi tehtävä mahdollisimman pian täsmäytyspäivän jälkeen, paitsi jos jotakin transaktion osaa koskeva toimitusohje on avoin täsmäytyspäivänä, jolloin kyseistä tapahtumaa koskeva ilmoitus olisi tehtävä mahdollisimman pian toimituksen jälkeen. Käytännössä kaikki positiot selvitetään yleensä 10–15 päivän kuluessa täsmäytyspäivästä. Jos näin ei ole tapahtunut 20. päivään mennessä, direktiivissä edellytetään, että sertifioidut rahoituksen välittäjät raportoivat edelleen tilanteesta 20. päivänä ja seuraavien viiden päivän aikana, jotta ylimääräisiä lähdeveroja voitaisiin alentaa tehokkaasti.</w:t>
      </w:r>
      <w:r w:rsidR="00D9795C">
        <w:rPr>
          <w:noProof/>
        </w:rPr>
        <w:t xml:space="preserve"> </w:t>
      </w:r>
    </w:p>
    <w:p w14:paraId="5F5E4530" w14:textId="77777777" w:rsidR="007D3EBD" w:rsidRPr="00CB70BA" w:rsidRDefault="0071260E" w:rsidP="007D3EBD">
      <w:pPr>
        <w:rPr>
          <w:noProof/>
        </w:rPr>
      </w:pPr>
      <w:r w:rsidRPr="00CB70BA">
        <w:rPr>
          <w:noProof/>
        </w:rPr>
        <w:t>Jäsenvaltioissa, joissa sovelletaan veron alentamista tulon lähteellä ja osingon maksupäivä on aikaisempi kuin 25 päivää täsmäytyspäivästä, rahoituksen välittäjillä olisi oltava käytössään mekanismi, jonka avulla ne voivat antaa lähdeveroasiamiehelle oikea-aikaisesti tietoja sovellettavasta verokannasta.</w:t>
      </w:r>
    </w:p>
    <w:p w14:paraId="3E913E85" w14:textId="77777777" w:rsidR="007D3EBD" w:rsidRPr="00CB70BA" w:rsidRDefault="007D3EBD" w:rsidP="007D3EBD">
      <w:pPr>
        <w:pStyle w:val="Point1"/>
        <w:rPr>
          <w:b/>
          <w:bCs/>
          <w:noProof/>
        </w:rPr>
      </w:pPr>
      <w:r w:rsidRPr="00CB70BA">
        <w:rPr>
          <w:b/>
          <w:noProof/>
        </w:rPr>
        <w:t>iv)</w:t>
      </w:r>
      <w:r w:rsidRPr="00CB70BA">
        <w:rPr>
          <w:noProof/>
        </w:rPr>
        <w:tab/>
      </w:r>
      <w:r w:rsidRPr="00CB70BA">
        <w:rPr>
          <w:b/>
          <w:noProof/>
        </w:rPr>
        <w:t xml:space="preserve"> Alennusjärjestelmät</w:t>
      </w:r>
    </w:p>
    <w:p w14:paraId="6518465C" w14:textId="54EEB00E" w:rsidR="007D3EBD" w:rsidRPr="00CB70BA" w:rsidRDefault="00295F4E" w:rsidP="007D3EBD">
      <w:pPr>
        <w:rPr>
          <w:noProof/>
        </w:rPr>
      </w:pPr>
      <w:r w:rsidRPr="00CB70BA">
        <w:rPr>
          <w:noProof/>
        </w:rPr>
        <w:t xml:space="preserve">Ehdotukseen sisältyvät seuraavat: a) veron alentamista tulon lähteellä koskeva järjestelmä; ja b) nopea palautusjärjestelmä. Veron alentamista tulon lähteellä koskevassa järjestelmässä lähdeveroasiamies soveltaa veron oikeaa määrää osingon/koron maksun yhteydessä (12 artikla). Nopeassa palautusjärjestelmässä vero pidätetään lähdemaassa sovellettavan korkeamman verokannan mukaan, mutta ylimääräinen vero palautetaan sen jälkeen asetetussa määräajassa, joka on enintään 25 päivää pyyntöpäivästä tai päivästä, jona vaadittu raportointi on täytetty, sen mukaan, kumpi ajankohta on myöhäisempi. Tämä olisi tehtävä 50 kalenteripäivän kuluessa maksupäivästä (13 artikla). Molemmissa tapauksissa menettelyjen asiaankuuluvat toimijat olisivat sijoittajiensa puolesta toimivat sertifioidut rahoituksen välittäjät. Ehdotetun direktiivin 10 artiklassa (alennusta tai nopeaa palautusta koskeva pyyntö) ja 11 artiklassa (due diligence -menettelyt) säädetään molemmille järjestelmille yhteisistä tekijöistä. </w:t>
      </w:r>
    </w:p>
    <w:p w14:paraId="6F5033A7" w14:textId="77777777" w:rsidR="007D3EBD" w:rsidRPr="00CB70BA" w:rsidRDefault="00FC3E8A" w:rsidP="007D3EBD">
      <w:pPr>
        <w:rPr>
          <w:noProof/>
        </w:rPr>
      </w:pPr>
      <w:r w:rsidRPr="00CB70BA">
        <w:rPr>
          <w:noProof/>
        </w:rPr>
        <w:t>Kun toimivaltainen verohallinto soveltaa alentamismenettelyjä, se voi päättää ulkoistaa asiaankuuluvat tehtävät nimetylle lähdeveroasiamiehelle sen sijaan, että hoitaisi tehtävät yksin.</w:t>
      </w:r>
    </w:p>
    <w:p w14:paraId="72DA6DA6" w14:textId="77777777" w:rsidR="007D3EBD" w:rsidRPr="00CB70BA" w:rsidRDefault="00FC3E8A" w:rsidP="007D3EBD">
      <w:pPr>
        <w:rPr>
          <w:noProof/>
        </w:rPr>
      </w:pPr>
      <w:r w:rsidRPr="00CB70BA">
        <w:rPr>
          <w:noProof/>
        </w:rPr>
        <w:t>Jokainen jäsenvaltio, joka soveltaa ylimääräisen lähdeveron alentamiseen sovellettavia menettelyjä, voi päättää soveltaa veron alentamista tulon lähteellä koskevaa järjestelmää tai nopeaa palautusjärjestelmää tai molempia. Se voi myös päättää, käyttääkö se edellä mainittua ulkoistamismahdollisuutta. Näiden jäsenvaltioiden on kuitenkin varmistettava, että ainakin toinen näistä kahdesta järjestelmästä on kaikkien sijoittajien käytettävissä ja tosiasiallisesti toiminnassa ja että kaikissa tapauksissa tässä direktiivissä säädetyt ehdot täytetään. Näissä kahdessa järjestelmässä jäsenvaltioilla on esimerkiksi harkintavalta sallia, että vain alhaisen riskin verovelvolliset voivat pyytää veron alentamista tulon lähteellä, kun taas muut verovelvolliset voivat pyytää vain nopeaa palautusta. Nämä järjestelmät eivät koske jäsenvaltioita, jotka eivät käytä ylimääräisen lähdeveron alentamiseen sovellettavia menettelyjä, koska niissä ei säädetä lähdeverosta lainkaan tai koska niissä ei säädetä erilaisista lähdeverokannoista eri tilanteissa, eikä niiden tarvitse ryhtyä toimiin.</w:t>
      </w:r>
    </w:p>
    <w:p w14:paraId="40AD6D5E" w14:textId="77777777" w:rsidR="007A2CCF" w:rsidRPr="00CB70BA" w:rsidRDefault="006D1052" w:rsidP="007D3EBD">
      <w:pPr>
        <w:rPr>
          <w:noProof/>
        </w:rPr>
      </w:pPr>
      <w:r w:rsidRPr="00CB70BA">
        <w:rPr>
          <w:noProof/>
        </w:rPr>
        <w:t xml:space="preserve">Jäsenvaltioiden olisi kaikissa tapauksissa sijoittajien asuinpaikkaa koskevien todisteiden osalta tukeuduttava ensisijaisesti 4 artiklassa määriteltyyn eTRC-todistukseen tai EU:n ulkopuolisen maan antamaan asianmukaiseen todisteeseen verotuksellisesta kotipaikasta. </w:t>
      </w:r>
    </w:p>
    <w:p w14:paraId="584996EC" w14:textId="77777777" w:rsidR="007D3EBD" w:rsidRPr="00CB70BA" w:rsidRDefault="009F2927" w:rsidP="2B607E20">
      <w:pPr>
        <w:rPr>
          <w:noProof/>
        </w:rPr>
      </w:pPr>
      <w:r w:rsidRPr="00CB70BA">
        <w:rPr>
          <w:noProof/>
        </w:rPr>
        <w:t xml:space="preserve">Tämän direktiivin tärkeänä tavoitteena on estää haitalliset ja vilpilliset verokäytännöt ja erityisesti cum ex- ja cum cum -järjestelyt. Jäsenvaltioiden verohallinnoilla, jotka haluavat saada enemmän aikaa tehdä joitakin tarkastuksia ennen veron alentamisen myöntämistä, on mahdollisuus olla soveltamatta tämän direktiivin nojalla käyttöön otettavia veron alentamista tulon lähteellä koskevia järjestelmiä tai nopeita palautusjärjestelmiä tietyissä erityisolosuhteissa. Tämä mahdollisuus on tarkoitettu erityisesti tapauksiin, joissa esitetään vapautuspyyntö ja joissa liitteessä II olevassa E kohdassa annetut tiedot osoittavat, että kohde-etuutena olevat arvopaperit on hankittu kahden kalenteripäivän kuluessa osingon irtoamispäivästä ja/tai että rahoituksen välittäjä ilmoittaa olevansa tietoinen kohde-etuutena oleviin arvopapereihin </w:t>
      </w:r>
      <w:r w:rsidRPr="00CB70BA">
        <w:rPr>
          <w:noProof/>
          <w:color w:val="000000" w:themeColor="text1"/>
        </w:rPr>
        <w:t>liittyvästä rahoitusjärjestelystä</w:t>
      </w:r>
      <w:r w:rsidRPr="00CB70BA">
        <w:rPr>
          <w:noProof/>
        </w:rPr>
        <w:t>, jota ei ole selvitetty, jonka voimassaolo ei ole päättynyt tai jota ei ole muutoin päätetty osingon irtoamispäivänä.</w:t>
      </w:r>
    </w:p>
    <w:p w14:paraId="1A2FCB88" w14:textId="77777777" w:rsidR="007D3EBD" w:rsidRPr="00CB70BA" w:rsidRDefault="009F2927" w:rsidP="007D3EBD">
      <w:pPr>
        <w:rPr>
          <w:noProof/>
        </w:rPr>
      </w:pPr>
      <w:r w:rsidRPr="00CB70BA">
        <w:rPr>
          <w:noProof/>
        </w:rPr>
        <w:t>Jos tässä direktiivissä säädettyjä veron alentamista tulon lähteellä koskevaa järjestelmää ja nopeaa palautusjärjestelmää ei sovelleta, sovelletaan vakiomuotoista palautusmenettelyä, jossa verovelvollinen tai sen nimetty edustaja, jonka ei välttämättä tarvitse olla rahoituslaitos, voi pyytää palautusta suoraan veroviranomaiselta. Tällä direktiivillä varmistetaan myös, että veroviranomaiselle raportoitavien tietojen sisältö kattaa vähintään liitteessä II olevassa E kohdassa tarkoitetut tiedot.</w:t>
      </w:r>
    </w:p>
    <w:p w14:paraId="369FD42F" w14:textId="77777777" w:rsidR="00DD40D1" w:rsidRPr="00CB70BA" w:rsidRDefault="00DD40D1" w:rsidP="00DD40D1">
      <w:pPr>
        <w:rPr>
          <w:b/>
          <w:noProof/>
        </w:rPr>
      </w:pPr>
      <w:r w:rsidRPr="00CB70BA">
        <w:rPr>
          <w:b/>
          <w:noProof/>
        </w:rPr>
        <w:t>Yleiset säännökset</w:t>
      </w:r>
    </w:p>
    <w:p w14:paraId="2C9BD642" w14:textId="5B993260" w:rsidR="00977CF6" w:rsidRPr="00CB70BA" w:rsidRDefault="007D3EBD" w:rsidP="00896B16">
      <w:pPr>
        <w:spacing w:before="0" w:after="0"/>
        <w:rPr>
          <w:noProof/>
        </w:rPr>
        <w:sectPr w:rsidR="00977CF6" w:rsidRPr="00CB70BA" w:rsidSect="00811919">
          <w:footerReference w:type="default" r:id="rId15"/>
          <w:footerReference w:type="first" r:id="rId16"/>
          <w:pgSz w:w="11907" w:h="16839"/>
          <w:pgMar w:top="1134" w:right="1417" w:bottom="1134" w:left="1417" w:header="709" w:footer="709" w:gutter="0"/>
          <w:cols w:space="708"/>
          <w:docGrid w:linePitch="360"/>
        </w:sectPr>
      </w:pPr>
      <w:r w:rsidRPr="00CB70BA">
        <w:rPr>
          <w:noProof/>
        </w:rPr>
        <w:t>Luku 4 koskee yleisiä säännöksiä ja loppusäännöksiä ja erityisesti täytäntöönpanosäädöksiä, arviointia ja seurantaa, tietosuojasääntöjä, saattamista osaksi kansallista lainsäädäntöä ja voimaantuloa. Kun tämä ehdotus on hyväksytty, se olisi saatettava osaksi jäsenvaltioiden kansallista lainsäädäntöä 31. joulukuuta 2026 mennessä. Sen pitäisi tulla voimaan kahden vuoden kuluttua täytäntöönpanosäädösten hyväksymisestä, jonka odotetaan tapahtuvan 1. tammikuuta 2027 mennessä.</w:t>
      </w:r>
    </w:p>
    <w:p w14:paraId="3695A032" w14:textId="5B055881" w:rsidR="00B57443" w:rsidRDefault="00B57443" w:rsidP="00B57443">
      <w:pPr>
        <w:pStyle w:val="Rfrenceinterinstitutionnelle"/>
        <w:rPr>
          <w:noProof/>
        </w:rPr>
      </w:pPr>
      <w:r w:rsidRPr="00B57443">
        <w:t>2023/0187 (CNS)</w:t>
      </w:r>
    </w:p>
    <w:p w14:paraId="71776AE1" w14:textId="18BA1A74" w:rsidR="00977CF6" w:rsidRPr="00CB70BA" w:rsidRDefault="00CB70BA" w:rsidP="00CB70BA">
      <w:pPr>
        <w:pStyle w:val="Statut"/>
        <w:rPr>
          <w:noProof/>
        </w:rPr>
      </w:pPr>
      <w:r>
        <w:rPr>
          <w:noProof/>
        </w:rPr>
        <w:t>Ehdotus</w:t>
      </w:r>
    </w:p>
    <w:p w14:paraId="0D4C2FD4" w14:textId="749EEF8B" w:rsidR="00A9081A" w:rsidRPr="00CB70BA" w:rsidRDefault="00CB70BA" w:rsidP="00CB70BA">
      <w:pPr>
        <w:pStyle w:val="Typedudocument"/>
        <w:rPr>
          <w:noProof/>
        </w:rPr>
      </w:pPr>
      <w:r>
        <w:rPr>
          <w:noProof/>
        </w:rPr>
        <w:t>NEUVOSTON DIREKTIIVI</w:t>
      </w:r>
    </w:p>
    <w:p w14:paraId="36B09FB7" w14:textId="74C7BBDE" w:rsidR="003F5F62" w:rsidRPr="00CB70BA" w:rsidRDefault="00CB70BA" w:rsidP="00CB70BA">
      <w:pPr>
        <w:pStyle w:val="Titreobjet"/>
        <w:rPr>
          <w:noProof/>
        </w:rPr>
      </w:pPr>
      <w:r w:rsidRPr="00CB70BA">
        <w:rPr>
          <w:noProof/>
        </w:rPr>
        <w:t>ylimääräisten lähdeverojen nopeammasta ja turvallisemmasta alentamisesta</w:t>
      </w:r>
    </w:p>
    <w:p w14:paraId="562220DB" w14:textId="77777777" w:rsidR="00977CF6" w:rsidRPr="00CB70BA" w:rsidRDefault="00977CF6" w:rsidP="00977CF6">
      <w:pPr>
        <w:pStyle w:val="Institutionquiagit"/>
        <w:rPr>
          <w:noProof/>
        </w:rPr>
      </w:pPr>
      <w:r w:rsidRPr="00CB70BA">
        <w:rPr>
          <w:noProof/>
        </w:rPr>
        <w:t>EUROOPAN UNIONIN NEUVOSTO, joka</w:t>
      </w:r>
    </w:p>
    <w:p w14:paraId="765359EE" w14:textId="77777777" w:rsidR="00977CF6" w:rsidRPr="00CB70BA" w:rsidRDefault="00977CF6" w:rsidP="00977CF6">
      <w:pPr>
        <w:rPr>
          <w:noProof/>
        </w:rPr>
      </w:pPr>
      <w:r w:rsidRPr="00CB70BA">
        <w:rPr>
          <w:noProof/>
        </w:rPr>
        <w:t>ottaa huomioon Euroopan unionin toiminnasta tehdyn sopimuksen ja erityisesti sen 115 artiklan,</w:t>
      </w:r>
    </w:p>
    <w:p w14:paraId="76AE00A2" w14:textId="77777777" w:rsidR="00977CF6" w:rsidRPr="00CB70BA" w:rsidRDefault="00977CF6" w:rsidP="00977CF6">
      <w:pPr>
        <w:rPr>
          <w:noProof/>
        </w:rPr>
      </w:pPr>
      <w:r w:rsidRPr="00CB70BA">
        <w:rPr>
          <w:noProof/>
        </w:rPr>
        <w:t>ottaa huomioon Euroopan komission ehdotuksen,</w:t>
      </w:r>
    </w:p>
    <w:p w14:paraId="0C5B4CC0" w14:textId="77777777" w:rsidR="00977CF6" w:rsidRPr="00CB70BA" w:rsidRDefault="00977CF6" w:rsidP="00977CF6">
      <w:pPr>
        <w:rPr>
          <w:noProof/>
        </w:rPr>
      </w:pPr>
      <w:r w:rsidRPr="00CB70BA">
        <w:rPr>
          <w:noProof/>
        </w:rPr>
        <w:t>sen jälkeen kun esitys lainsäätämisjärjestyksessä hyväksyttäväksi säädökseksi on toimitettu kansallisille parlamenteille,</w:t>
      </w:r>
    </w:p>
    <w:p w14:paraId="259C2C02" w14:textId="77777777" w:rsidR="00977CF6" w:rsidRPr="00CB70BA" w:rsidRDefault="00977CF6" w:rsidP="00977CF6">
      <w:pPr>
        <w:rPr>
          <w:noProof/>
        </w:rPr>
      </w:pPr>
      <w:r w:rsidRPr="00CB70BA">
        <w:rPr>
          <w:noProof/>
        </w:rPr>
        <w:t>ottaa huomioon Euroopan parlamentin lausunnon</w:t>
      </w:r>
      <w:r w:rsidRPr="00CB70BA">
        <w:rPr>
          <w:rStyle w:val="FootnoteReference"/>
          <w:noProof/>
        </w:rPr>
        <w:footnoteReference w:id="27"/>
      </w:r>
      <w:r w:rsidRPr="00CB70BA">
        <w:rPr>
          <w:noProof/>
        </w:rPr>
        <w:t xml:space="preserve">, </w:t>
      </w:r>
    </w:p>
    <w:p w14:paraId="7350FC6D" w14:textId="77777777" w:rsidR="00977CF6" w:rsidRPr="00CB70BA" w:rsidRDefault="00977CF6" w:rsidP="00977CF6">
      <w:pPr>
        <w:rPr>
          <w:noProof/>
        </w:rPr>
      </w:pPr>
      <w:r w:rsidRPr="00CB70BA">
        <w:rPr>
          <w:noProof/>
        </w:rPr>
        <w:t>ottaa huomioon Euroopan talous- ja sosiaalikomitean lausunnon</w:t>
      </w:r>
      <w:r w:rsidRPr="00CB70BA">
        <w:rPr>
          <w:rStyle w:val="FootnoteReference"/>
          <w:noProof/>
        </w:rPr>
        <w:footnoteReference w:id="28"/>
      </w:r>
      <w:r w:rsidRPr="00CB70BA">
        <w:rPr>
          <w:noProof/>
        </w:rPr>
        <w:t xml:space="preserve">, </w:t>
      </w:r>
    </w:p>
    <w:p w14:paraId="04F0C82E" w14:textId="77777777" w:rsidR="00977CF6" w:rsidRPr="00CB70BA" w:rsidRDefault="00977CF6" w:rsidP="00977CF6">
      <w:pPr>
        <w:rPr>
          <w:noProof/>
        </w:rPr>
      </w:pPr>
      <w:r w:rsidRPr="00CB70BA">
        <w:rPr>
          <w:noProof/>
        </w:rPr>
        <w:t>noudattaa erityistä lainsäätämisjärjestystä</w:t>
      </w:r>
    </w:p>
    <w:p w14:paraId="243C3373" w14:textId="77777777" w:rsidR="00977CF6" w:rsidRPr="00CB70BA" w:rsidRDefault="00977CF6" w:rsidP="00977CF6">
      <w:pPr>
        <w:rPr>
          <w:noProof/>
        </w:rPr>
      </w:pPr>
      <w:r w:rsidRPr="00CB70BA">
        <w:rPr>
          <w:noProof/>
        </w:rPr>
        <w:t xml:space="preserve">sekä katsoo seuraavaa: </w:t>
      </w:r>
    </w:p>
    <w:p w14:paraId="348E9919" w14:textId="77777777" w:rsidR="002B1027" w:rsidRPr="00CB70BA" w:rsidRDefault="00282923" w:rsidP="00282923">
      <w:pPr>
        <w:pStyle w:val="ManualConsidrant"/>
        <w:rPr>
          <w:noProof/>
        </w:rPr>
      </w:pPr>
      <w:r w:rsidRPr="00CB70BA">
        <w:rPr>
          <w:noProof/>
        </w:rPr>
        <w:t>(1)</w:t>
      </w:r>
      <w:r w:rsidRPr="00CB70BA">
        <w:rPr>
          <w:noProof/>
        </w:rPr>
        <w:tab/>
        <w:t>Oikeudenmukaisen verotuksen varmistaminen sisämarkkinoilla ja pääomamarkkinaunionin moitteeton toiminta ovat Euroopan unionin (EU) politiikan painopistealueita. Tässä yhteydessä on ratkaisevan tärkeää poistaa rajatylittävien sijoitusten esteitä samalla kun torjutaan veropetoksia ja verotukseen liittyviä väärinkäytöksiä. Tällaisia esteitä ovat esimerkiksi tehottomat ja suhteettoman raskaat menettelyt, joilla alennetaan rajoitetusti verovelvollisilta sijoittajilta julkisesti noteeratuista osakkeista tai joukkovelkakirjoista maksetuista osinko- tai korkotuloista tulon lähteellä perittyjä ylimääräisiä veroja. Lisäksi on osoittautunut, että nykytilanteessa ei pystytä riittävästi estämään toistuvia veropetosten, veronvilpin ja veronkierron riskejä, kuten äskettäiset cum ex- ja cum cum -skandaalit osoittavat. Tällä ehdotuksella pyritään tekemään EU:n lähdeveromenettelyistä tehokkaampia ja samalla suojaamaan niitä veropetosten ja verotukseen liittyvien väärinkäytösten riskiltä. Se perustuu asiaan liittyviin aiempiin EU:n ja kansainvälisen tason toimiin, kuten vuonna 2009 annettuun komission suositukseen lähdeveromenettelyjen yksinkertaistamisesta ja OECD:n Treaty Relief and Compliance Enhancement (TRACE) -aloitteeseen</w:t>
      </w:r>
      <w:r w:rsidRPr="00CB70BA">
        <w:rPr>
          <w:rStyle w:val="FootnoteReference"/>
          <w:noProof/>
        </w:rPr>
        <w:footnoteReference w:id="29"/>
      </w:r>
      <w:r w:rsidRPr="00CB70BA">
        <w:rPr>
          <w:noProof/>
        </w:rPr>
        <w:t>.</w:t>
      </w:r>
    </w:p>
    <w:p w14:paraId="5D941126" w14:textId="77777777" w:rsidR="000C240F" w:rsidRPr="00CB70BA" w:rsidRDefault="00282923" w:rsidP="00282923">
      <w:pPr>
        <w:pStyle w:val="ManualConsidrant"/>
        <w:rPr>
          <w:noProof/>
        </w:rPr>
      </w:pPr>
      <w:r w:rsidRPr="00CB70BA">
        <w:rPr>
          <w:noProof/>
        </w:rPr>
        <w:t>(2)</w:t>
      </w:r>
      <w:r w:rsidRPr="00CB70BA">
        <w:rPr>
          <w:noProof/>
        </w:rPr>
        <w:tab/>
        <w:t xml:space="preserve">Jäsenvaltioiden valmiuksia ehkäistä ja torjua mahdollisia petoksia ja väärinkäytöksiä haittaavat tällä hetkellä hajanaisuus sekä sijoittajia koskevien luotettavien ja oikea-aikaisten tietojen puute. Näiden valmiuksien vahvistamiseksi on tarpeen ottaa käyttöön yhteinen veropetosten ja verotukseen liittyvien väärinkäytösten riskiä kestävä kehys, joka koskee arvopapereihin tehtäviin rajatylittäviin sijoituksiin liittyvien ylimääräisten lähdeverojen alentamista. Kehyksen pitäisi johtaa EU:ssa sovellettavien eri alennusmenettelyjen lähentymiseen ja samalla varmistaa avoimuus ja varmuus sijoittajien henkilöllisyydestä tapauksen mukaan arvopapereiden liikkeeseenlaskijoille, lähdeveroasiamiehille, rahoituksen välittäjille ja jäsenvaltioille. Kehyksen olisi tämän vuoksi perustuttava automatisoituihin menettelyihin, kuten verotuksellista kotipaikkaa koskevan todistuksen digitalisointiin (menettelyn ja muodon osalta), mikä on edellytys sille, että sijoittajat voivat käyttää mahdollisia alennus- tai palautusmenettelyjä. Tällaisen kehyksen olisi myös oltava riittävän joustava, jotta siinä voidaan ottaa asianmukaisesti huomioon eri jäsenvaltioissa sovellettavat erilaiset järjestelmät ja samalla varmistaa suurempi lähentyminen ja tarjota asianmukaiset väärinkäytön vastaiset välineet veropetosten, veronvilpin ja veronkierron riskien lieventämiseksi. </w:t>
      </w:r>
    </w:p>
    <w:p w14:paraId="1462BA12" w14:textId="77777777" w:rsidR="002B75A3" w:rsidRPr="00CB70BA" w:rsidRDefault="00282923" w:rsidP="00282923">
      <w:pPr>
        <w:pStyle w:val="ManualConsidrant"/>
        <w:rPr>
          <w:noProof/>
        </w:rPr>
      </w:pPr>
      <w:r w:rsidRPr="00CB70BA">
        <w:rPr>
          <w:noProof/>
        </w:rPr>
        <w:t>(3)</w:t>
      </w:r>
      <w:r w:rsidRPr="00CB70BA">
        <w:rPr>
          <w:noProof/>
        </w:rPr>
        <w:tab/>
        <w:t xml:space="preserve">Oikeasuhteisen lähestymistavan varmistamiseksi ylimääräisten lähdeverojen alennusmenettelyjä koskevien sääntöjen olisi sidottava vain niitä jäsenvaltioita, jotka soveltavat osinkoihin eri lähdeverokantoja sijoittajan verotuksellisen kotipaikan mukaan. Tässä tapauksessa jäsenvaltioiden on myönnettävä alennus, jos korkeampaa verokantaa on sovellettu tilanteessa, jossa tulisi soveltaa alempaa verokantaa. Jäsenvaltioilla olisi myös oltava mahdollisuus panna täytäntöön samankaltaisia menettelyjä, jotka koskevat korkojen maksamista rajoitetusti verovelvollisille julkisen kaupankäynnin kohteena olevista joukkovelkakirjoista, jotta voidaan parantaa asiaa koskevan alennusmenettelyn tehokkuutta ja varmistaa, että verovelvolliset noudattavat vaatimuksia paremmin. Tässä direktiivissä säädetyt menettelyt eivät koske jäsenvaltioita, jotka eivät tarvitse osinkojen tai korkojen ylimääräisen lähdeveron alennusmenettelyjä, eivätkä nämä säännöt siksi sido niitä. Koska sijoittajat voivat olla sijoittautuneina mihin tahansa jäsenvaltioon, yhteiseen digitaaliseen verotuksellista kotipaikkaa koskevaan todistukseen liittyviä sääntöjä olisi sovellettava kaikissa jäsenvaltioissa, ja sama koskee yleisiä säännöksiä ja loppusäännöksiä. </w:t>
      </w:r>
    </w:p>
    <w:p w14:paraId="2A890128" w14:textId="77777777" w:rsidR="002B75A3" w:rsidRPr="00CB70BA" w:rsidRDefault="00282923" w:rsidP="00282923">
      <w:pPr>
        <w:pStyle w:val="ManualConsidrant"/>
        <w:rPr>
          <w:noProof/>
        </w:rPr>
      </w:pPr>
      <w:r w:rsidRPr="00CB70BA">
        <w:rPr>
          <w:noProof/>
        </w:rPr>
        <w:t>(4)</w:t>
      </w:r>
      <w:r w:rsidRPr="00CB70BA">
        <w:rPr>
          <w:noProof/>
        </w:rPr>
        <w:tab/>
        <w:t xml:space="preserve">Sen varmistamiseksi, että kaikilla EU:n verovelvollisilla on käytössään yhteinen, asianmukainen ja tehokas todiste verotuksellisesta kotipaikastaan, jäsenvaltioiden olisi käytettävä automaattisia menettelyjä, joilla myönnetään samansisältöisiä verotuksellista kotipaikkaa koskevia todistuksia samassa tunnistettavassa ja hyväksyttävässä digitaalisessa muodossa. Tehokkuuden lisäämiseksi todistuksen olisi oltava voimassa vähintään koko myöntämisvuoden ajan ja muiden jäsenvaltioiden olisi tunnustettava se kyseiseksi ajaksi. Jäsenvaltiot voivat peruuttaa myönnetyn eTRC-todistuksen, jos verohallinnolla on näyttöä siitä, että siinä esitetty verotuksellinen kotipaikka ei pidä paikkaansa kyseisenä vuonna. Jotta EU:n yritykset voidaan tunnistaa tehokkaasti, todistuksessa olisi oltava tiedot eurooppalaisesta yksilöivästä tunnisteesta (EUID). </w:t>
      </w:r>
    </w:p>
    <w:p w14:paraId="64FE3358" w14:textId="77777777" w:rsidR="0061507A" w:rsidRPr="00CB70BA" w:rsidRDefault="00282923" w:rsidP="00282923">
      <w:pPr>
        <w:pStyle w:val="ManualConsidrant"/>
        <w:rPr>
          <w:noProof/>
        </w:rPr>
      </w:pPr>
      <w:r w:rsidRPr="00CB70BA">
        <w:rPr>
          <w:noProof/>
        </w:rPr>
        <w:t>(5)</w:t>
      </w:r>
      <w:r w:rsidRPr="00CB70BA">
        <w:rPr>
          <w:noProof/>
        </w:rPr>
        <w:tab/>
        <w:t>Ylimääräisen lähdeveron tehokkaamman alentamisen tavoitteen saavuttamiseksi olisi otettava käyttöön yhteiset menettelyt, joiden avulla voidaan nopeasti saada selkeät ja turvalliset tiedot sijoittajan henkilöllisyydestä erityisesti silloin, kun sijoittajapohja on laaja eli kyseessä ovat sijoitukset julkisen kaupankäynnin kohteena oleviin arvopapereihin, jolloin yksittäisten sijoittajien henkilöllisyyden tunnistaminen on haastavaa. Tällaisten menettelyjen olisi myös mahdollistettava toisessa vaiheessa asianmukaisen verokannan soveltaminen maksuhetkellä (veron alentaminen tulon lähteellä) tai maksetun ylimääräisen veron nopea palauttaminen. Koska rajatylittäviin sijoituksiin liittyy yleensä rahoituksen välittäjien maksuketju, asiaankuuluvilla menettelyillä olisi myös voitava jäljittää ja tunnistaa välittäjien ketju ja siten tulovirta arvopaperin liikkeeseenlaskijasta lopulliseen vastaanottajaan eli yksittäiseen sijoittajaan tai rekisteröityyn omistajaan. Asianomaisten jäsenvaltioiden eli niiden, jotka soveltavat arvopaperituloista perittävää lähdeveroa ja myöntävät alennuksen ylimääräisestä verosta, olisi sen vuoksi perustettava kansallinen rekisteri niistä rahoituksen välittäjistä, joilla on merkittävä rooli maksuketjussa, ja ylläpidettävä sitä sekä vaadittava rekisteröityneitä välittäjiä raportoimaan käytettävissään olevat tiedot mahdollisesti käsittelemistään osinko- tai korkomaksuista. Vaadittavat tiedot olisi rajoitettava tietoihin, jotka ovat ratkaisevan tärkeitä maksuketjun rekonstruoimiseksi ja siten hyödyllisiä petosten ja väärinkäytösten riskin ehkäisemiseksi, siinä määrin kuin tällaiset tiedot ovat raportoivan välittäjän saatavilla. Jäsenvaltiot, jotka soveltavat eri lähdeverokantoja korkoihin ja joiden on toteutettava samankaltaisia alennusmenettelyjä, voivat myös harkita perustetun kansallisen rekisterin käyttöä tarvittaessa.</w:t>
      </w:r>
    </w:p>
    <w:p w14:paraId="0704B2AE" w14:textId="57741987" w:rsidR="00105E8D" w:rsidRPr="00CB70BA" w:rsidRDefault="00282923" w:rsidP="00282923">
      <w:pPr>
        <w:pStyle w:val="ManualConsidrant"/>
        <w:rPr>
          <w:noProof/>
        </w:rPr>
      </w:pPr>
      <w:r w:rsidRPr="00CB70BA">
        <w:rPr>
          <w:noProof/>
        </w:rPr>
        <w:t>(6)</w:t>
      </w:r>
      <w:r w:rsidRPr="00CB70BA">
        <w:rPr>
          <w:noProof/>
        </w:rPr>
        <w:tab/>
        <w:t>Koska arvopaperien maksuketjuihin useimmiten osallistuvat rahoituksen välittäjät ovat vakavaraisuusasetuksessa</w:t>
      </w:r>
      <w:r w:rsidRPr="00CB70BA">
        <w:rPr>
          <w:rStyle w:val="FootnoteReference"/>
          <w:noProof/>
        </w:rPr>
        <w:footnoteReference w:id="30"/>
      </w:r>
      <w:r w:rsidRPr="00CB70BA">
        <w:rPr>
          <w:noProof/>
        </w:rPr>
        <w:t xml:space="preserve"> määriteltyjä suuria laitoksia sekä lähdeveroasiamiespalveluja tarjoavia arvopaperikeskuksia, nämä yhteisöt olisi velvoitettava hakemaan rekisteröintiä edellä mainitulla tavalla perustetuissa jäsenvaltioiden kansallisissa rekistereissä. Muiden rahoituksen välittäjien olisi voitava hakea rekisteröintiä harkintansa mukaan. Rahoituksen välittäjän olisi itse haettava rekisteröintiä toimittamalla jäsenvaltion nimeämälle toimivaltaiselle viranomaiselle hakemus, joka sisältää todisteet siitä, että rahoituksen välittäjä täyttää tietyt vaatimukset. Vaatimusten tarkoituksena on varmistaa, että rekisteröintiä hakeva välittäjä </w:t>
      </w:r>
      <w:r w:rsidRPr="00CB70BA">
        <w:rPr>
          <w:rStyle w:val="normaltextrun"/>
          <w:noProof/>
          <w:shd w:val="clear" w:color="auto" w:fill="FFFFFF"/>
        </w:rPr>
        <w:t>täyttää asiaa koskevan</w:t>
      </w:r>
      <w:r w:rsidRPr="00CB70BA">
        <w:rPr>
          <w:rStyle w:val="normaltextrun"/>
          <w:noProof/>
          <w:color w:val="D13438"/>
          <w:shd w:val="clear" w:color="auto" w:fill="FFFFFF"/>
        </w:rPr>
        <w:t xml:space="preserve"> </w:t>
      </w:r>
      <w:r w:rsidRPr="00CB70BA">
        <w:rPr>
          <w:rStyle w:val="normaltextrun"/>
          <w:noProof/>
          <w:shd w:val="clear" w:color="auto" w:fill="FFFFFF"/>
        </w:rPr>
        <w:t>EU:n asetuksen vaatimukset</w:t>
      </w:r>
      <w:r w:rsidRPr="00CB70BA">
        <w:rPr>
          <w:noProof/>
        </w:rPr>
        <w:t xml:space="preserve"> ja että sen noudattamista valvotaan. Jos rahoituksen välittäjä on sijoittautunut EU:n ulkopuolelle, siihen on sovellettava sen kolmannen maan lainsäädäntöä, jossa on sen kotipaikka, jos kyseinen lainsäädäntö on verrattavissa tämän direktiivin tarkoituksiin eikä kolmas maa, jossa on sen kotipaikka, ole veroasioissa yhteistyöhaluttomia lainkäyttöalueita koskevan EU:n luettelon liitteessä I eikä suuririskisiä kolmansia maita koskevassa EU:n luettelossa (rahanpesun vastainen luettelo). Se, että kolmannen maan rahoituksen välittäjä noudattaa asiaan liittyviä EU:n vaatimuksia, koskee ainoastaan tässä direktiivissä säädettyjä tarkoituksia, eikä sillä ole vaikutusta EU:n muun lainsäädännön mukaisten muiden oikeuksien ja velvoitteiden käyttämiseen tai soveltamiseen. Kun rahoituksen välittäjät on rekisteröity, niitä olisi pidettävä kyseisessä jäsenvaltiossa sertifioituina rahoituksen välittäjinä, ja niihin olisi sovellettava tämän direktiivin mukaisia asiaankuuluvia raportointi- ja ilmoitusvelvollisuuksia samalla, kun niille myönnetään oikeus pyytää tässä direktiivissä säädettyjen alennusmenettelyjen soveltamista. Kansallista rekisteriä ylläpitävien jäsenvaltioiden olisi myös toteutettava toimia poistaakseen rekisteristä kaikki sertifioidut rahoituksen välittäjät, jotka sitä pyytävät tai jotka eivät enää täytä asiaankuuluvia vaatimuksia. Lisäksi nämä jäsenvaltiot voivat päättää poistaa kansallisesta rekisteristään sertifioidut rahoituksen välittäjät, joiden on todettu rikkoneen velvoitteitaan useita kertoja. Jos jäsenvaltio toteuttaa tällaisen poistamistoimen, sen olisi ilmoitettava asiasta muille jäsenvaltioille, jotka ylläpitävät kansallista rekisteriä, jotta ne voivat arvioida saman sertifioidun rahoituksen välittäjän poistamista omasta kansallisesta rekisteristään. Asianomaisten jäsenvaltioiden kansallista lainsäädäntöä sovelletaan asianomaisten osapuolten oikeuksiin ja velvollisuuksiin, muutoksenhaku mukaan lukien, kun on kyse jäsenvaltion tekemästä päätöksestä, joka liittyy rekisteröintiin ja poistamiseen kansallisesta rekisteristä.</w:t>
      </w:r>
    </w:p>
    <w:p w14:paraId="5A476C6A" w14:textId="77777777" w:rsidR="00D0444B" w:rsidRPr="00CB70BA" w:rsidRDefault="00282923" w:rsidP="00282923">
      <w:pPr>
        <w:pStyle w:val="ManualConsidrant"/>
        <w:rPr>
          <w:noProof/>
        </w:rPr>
      </w:pPr>
      <w:r w:rsidRPr="00CB70BA">
        <w:rPr>
          <w:noProof/>
        </w:rPr>
        <w:t>(7)</w:t>
      </w:r>
      <w:r w:rsidRPr="00CB70BA">
        <w:rPr>
          <w:noProof/>
        </w:rPr>
        <w:tab/>
        <w:t>Jotta voidaan varmistaa suurempi avoimuus osinko- tai korkomaksun saavan sijoittajan henkilöllisyydestä ja olosuhteista sekä maksuvirrasta liikkeeseenlaskijalta, sertifioitujen rahoituksen välittäjien olisi raportoitava kansallisen rekisterin ylläpitäjäksi nimetylle viranomaiselle tietyissä määräajoissa asiaankuuluvat tiedot. Nämä tiedot on raportoitava myös lähdeveroasiamiehelle, jos veron alentaminen tulon lähteellä on mahdollista. Näihin tietoihin olisi sisällyttävä tiedot kyseisen sijoittajan soveltuvuudesta, mutta ne olisi rajoitettava tietoihin, jotka ovat raportoivan sertifioidun rahoituksen välittäjän saatavilla. Rahoituksen välittäjillä, joilla ei ole velvollisuutta rekisteröityä sertifioiduiksi rahoituksen välittäjiksi ja jotka ovat myös päättäneet olla rekisteröitymättä sellaisiksi, ei ole tämän direktiivin mukaisia raportointivelvollisuuksia. Tiedot sellaisten välittäjien käsittelemistä maksuista, jotka eivät ole sertifioituja rahoituksen välittäjiä, ovat kuitenkin edelleen merkityksellisiä, ja jäsenvaltio voi harkintansa mukaan pitää niitä tarpeellisina avoimuuden varmistamiseksi ja maksuketjun asianmukaisen rekonstruoinnin mahdollistamiseksi ennen tässä direktiivissä säädettyjen alennus- ja palautusmenettelyjen (veron alentamisen tulon lähteellä tai nopean palautuksen) soveltamista. Sen vuoksi jäsenvaltiot voivat pyytää sertifioituja rahoituksen välittäjiä hankkimaan kyseiset tiedot tällaisilta välittäjiltä ja raportoimaan asiasta, jotta tässä direktiivissä säädettyjä alennus- ja palautusmenettelyjä voidaan soveltaa.</w:t>
      </w:r>
    </w:p>
    <w:p w14:paraId="011708FC" w14:textId="0DDC5C6A" w:rsidR="00AD6ED5" w:rsidRPr="00CB70BA" w:rsidRDefault="00282923" w:rsidP="00282923">
      <w:pPr>
        <w:pStyle w:val="ManualConsidrant"/>
        <w:rPr>
          <w:noProof/>
        </w:rPr>
      </w:pPr>
      <w:r w:rsidRPr="00CB70BA">
        <w:rPr>
          <w:noProof/>
        </w:rPr>
        <w:t>(8)</w:t>
      </w:r>
      <w:r w:rsidRPr="00CB70BA">
        <w:rPr>
          <w:noProof/>
        </w:rPr>
        <w:tab/>
        <w:t>Jotta pääomamarkkinaunionista tulisi tehokkaampi ja kilpailukykyisempi, olisi helpotettava ja nopeutettava arvopapereiden tuloista perittävien ylimääräisten lähdeverojen alennusmenettelyjä, kun asianomaiset sertifioidut rahoituksen välittäjät ovat toimittaneet riittävät tiedot muun muassa sijoittajan henkilöllisyydestä. Asianomaisia sertifioiuja rahoituksen välittäjiä ovat kaikki sijoittajan ja arvopapereiden liikkeeseenlaskijan välisen maksuketjun sertifioidut rahoituksen välittäjät, joita voidaan vaatia toimittamaan tietoja myös ketjun sertifioimattomien rahoituksen välittäjien suorittamista maksuista kunkin jäsenvaltion toimintaperiaatteiden mukaisesti. Jäsenvaltioiden erilaiset lähestymistavat huomioon ottaen suunnitellaan kahdentyyppisiä menettelyjä: i) veron alentaminen tulon lähteellä soveltamalla suoraan asianmukaista verokantaa lähdeveron pidätyshetkellä ja ii) nopea palautus enintään 50 päivän kuluessa osingon maksupäivästä tai tapauksen mukaan siitä päivästä, jona joukkovelkakirjan liikkeeseenlaskijan on maksettava korkoa joukkovelkakirjan haltijalle (kupongin irtoamispäivä). Jäsenvaltioiden olisi voitava ottaa valintansa mukaan käyttöön jompikumpi näistä kahdesta menettelystä tai niiden yhdistelmä sen mukaan, mitä ne pitävät tarkoituksenmukaisena, ja varmistettava samalla, että vähintään jompikumpi menettely on kaikkien sijoittajien saatavilla, jos tämän direktiivin vaatimukset täyttyvät. Jotta varmistetaan näiden menettelyjen asianmukainen ja oikea-aikainen täytäntöönpano asianomaisissa jäsenvaltioissa, on aiheellista soveltaa korkoa tämän direktiivin soveltamisalaan kuuluvien ja näistä menettelyistä hyötymisen edellytykset täyttävien ylimääräisten lähdeverojen viivästyneisiin palautuksiin. Jos asiaankuuluvat vaatimukset eivät täyty tai jos asianomainen sijoittaja niin haluaa, jäsenvaltioiden olisi sovellettava nykyisiä vakiomuotoisia palautusmenettelyjään ylimääräisten lähdeverojen alentamiseksi. Rekisteröityjen omistajien, erityisesti vähittäissijoittajien, ja heidän valtuutettujen edustajiensa olisi joka tapauksessa säilytettävä oikeus hakea siinä jäsenvaltiossa maksetun ylimääräisen lähdeveron palautusta, jossa he toimittavat todisteet kansallisessa lainsäädännössä säädettyjen edellytysten täyttymisestä.</w:t>
      </w:r>
    </w:p>
    <w:p w14:paraId="6BC0634B" w14:textId="77777777" w:rsidR="002B75A3" w:rsidRPr="00CB70BA" w:rsidRDefault="00282923" w:rsidP="00282923">
      <w:pPr>
        <w:pStyle w:val="ManualConsidrant"/>
        <w:rPr>
          <w:noProof/>
        </w:rPr>
      </w:pPr>
      <w:r w:rsidRPr="00CB70BA">
        <w:rPr>
          <w:noProof/>
        </w:rPr>
        <w:t>(9)</w:t>
      </w:r>
      <w:r w:rsidRPr="00CB70BA">
        <w:rPr>
          <w:noProof/>
        </w:rPr>
        <w:tab/>
        <w:t>Ylimääräisten lähdeverojen alennusjärjestelmien turvaamiseksi jäsenvaltioiden, jotka ylläpitävät kansallista rekisteriä, olisi myös vaadittava sertifioituja rahoituksen välittäjiä tarkistamaan alennusta hakevien sijoittajien soveltuvuus. Sertifioitujen rahoituksen välittäjien olisi erityisesti kerättävä asianomaisen sijoittajan verotuksellista kotipaikkaa koskeva todistus ja ilmoitus siitä, että kyseinen sijoittaja on maksun tosiasiallinen edunsaaja lähdejäsenvaltion lainsäädännön mukaisesti. Niiden on myös tarkistettava sovellettava, sijoittajan erityisolosuhteisiin perustuva lähdeverokanta ja ilmoitettava, ovatko ne tietoisia kohde-etuutena oleviin arvopapereihin</w:t>
      </w:r>
      <w:r w:rsidRPr="00CB70BA">
        <w:rPr>
          <w:noProof/>
          <w:color w:val="000000" w:themeColor="text1"/>
        </w:rPr>
        <w:t xml:space="preserve"> liittyvästä </w:t>
      </w:r>
      <w:r w:rsidRPr="00CB70BA">
        <w:rPr>
          <w:noProof/>
        </w:rPr>
        <w:t>rahoitusjärjestelystä, jota ei ole selvitetty, jonka voimassaolo ei ole päättynyt tai jota ei ole muutoin päätetty osingon irtoamispäivänä. Sertifioidut rahoituksen välittäjät olisi saatettava vastuuseen verotulojen menetyksistä, jotka ovat aiheutuneet näiden velvoitteiden puutteellisen täyttämisen vuoksi, siltä osin kuin niin säädetään sen jäsenvaltion kansallisessa lainsäädännössä, jossa menetys on aiheutunut. Jotta voidaan varmistaa sertifioiduille rahoituksen välittäjille asetetun taakan ja vastuun oikeasuhteisuus, kevennettyjä todentamisvelvollisuuksia olisi sovellettava kaikkiin alennusmenettelyihin, joissa väärinkäytön riski on pieni, ja erityisesti silloin, kun sijoittajalle maksettavan osingon kokonaismäärä osakeomistuksesta yhtiössä on alle 1 000 euroa. Jos väärinkäyttö osoitetaan muulla tavoin, jäsenvaltiot voivat kuitenkin soveltaa kansallisen lainsäädännön mukaisia seuraamuksia, mukaan lukien tässä direktiivissä säädettyjen alennusjärjestelmien epääminen, mutta ne eivät voi asettaa sertifioituja rahoituksen välittäjiä vastuuseen todentamatta jättämisestä.</w:t>
      </w:r>
    </w:p>
    <w:p w14:paraId="4EAE137B" w14:textId="50A90538" w:rsidR="006E3E2B" w:rsidRPr="00CB70BA" w:rsidRDefault="00282923" w:rsidP="00282923">
      <w:pPr>
        <w:pStyle w:val="ManualConsidrant"/>
        <w:rPr>
          <w:noProof/>
        </w:rPr>
      </w:pPr>
      <w:r w:rsidRPr="00CB70BA">
        <w:rPr>
          <w:noProof/>
        </w:rPr>
        <w:t>(10)</w:t>
      </w:r>
      <w:r w:rsidRPr="00CB70BA">
        <w:rPr>
          <w:noProof/>
        </w:rPr>
        <w:tab/>
        <w:t>Tiedetään, että rahoitusjärjestelyjä voidaan käyttää arvopaperin koko tai osittaisen taloudellisen omistajuuden ja/tai asiaankuuluvien sijoitusriskien siirtämiseen. On myös osoitettu, että tällaisia järjestelyjä on käytetty osinkoarbitraasi- ja osingonpesujärjestelyissä, kuten cum ex- ja cum cum -järjestelyissä, ainoana tarkoituksena saada oikeudettomia palautuksia tai kasvattaa sellaisten palautusten määrää, joihin sijoittajalla on ollut tosiasiallinen oikeus. Verohallinnot tarvitsevat siksi verotukseen liittyvien väärinkäytösten torjumiseksi tietoja tällaisista rahoitusjärjestelyistä, joihin kuuluu yleensä laillisia arvopaperitransaktioita, kuten takaisinostosopimuksia tai arvopapereiden lainaksi antamista, sekä johdannaistuotteita, kuten osakefutuureja, joiden kohde-etuutena on tietty osake. Oikeasuhteisen lähestymistavan varmistamiseksi näiden tietojen raportointia olisi vaadittava vain niiltä sertifioiduilta rahoituksen välittäjiltä, jotka ovat ketjussa olevan asemansa vuoksi saattaneet olla suoraan mukana asianomaisessa rahoitusjärjestelyssä. Tällaista raportointia ei vaadita joukkovelkakirjojen ja korkojen osalta.</w:t>
      </w:r>
    </w:p>
    <w:p w14:paraId="072E35F8" w14:textId="77777777" w:rsidR="00771E52" w:rsidRPr="00CB70BA" w:rsidRDefault="00282923" w:rsidP="00282923">
      <w:pPr>
        <w:pStyle w:val="ManualConsidrant"/>
        <w:rPr>
          <w:noProof/>
        </w:rPr>
      </w:pPr>
      <w:r w:rsidRPr="00CB70BA">
        <w:rPr>
          <w:noProof/>
        </w:rPr>
        <w:t>(11)</w:t>
      </w:r>
      <w:r w:rsidRPr="00CB70BA">
        <w:rPr>
          <w:noProof/>
        </w:rPr>
        <w:tab/>
        <w:t xml:space="preserve">Tehokkuuden varmistamiseksi jäsenvaltioiden olisi otettava käyttöön seuraamusjärjestelmä, jota sovelletaan niiden kansallisten sääntöjen rikkomiseen, joilla tämä direktiivi saatetaan osaksi kansallista lainsäädäntöä. Tällaisten seuraamusten olisi oltava tehokkaita, oikeasuhteisia ja varoittavia. </w:t>
      </w:r>
    </w:p>
    <w:p w14:paraId="12D92E3C" w14:textId="77777777" w:rsidR="00771E52" w:rsidRPr="00CB70BA" w:rsidRDefault="00282923" w:rsidP="00282923">
      <w:pPr>
        <w:pStyle w:val="ManualConsidrant"/>
        <w:rPr>
          <w:noProof/>
        </w:rPr>
      </w:pPr>
      <w:r w:rsidRPr="00CB70BA">
        <w:rPr>
          <w:noProof/>
        </w:rPr>
        <w:t>(12)</w:t>
      </w:r>
      <w:r w:rsidRPr="00CB70BA">
        <w:rPr>
          <w:noProof/>
        </w:rPr>
        <w:tab/>
        <w:t xml:space="preserve">Ehdotettujen sääntöjen asianmukainen täytäntöönpano ja sen valvonta kussakin asianomaisessa jäsenvaltiossa on ratkaisevan tärkeää koko pääomamarkkinaunionin edistämisen sekä jäsenvaltioiden veropohjan suojelun kannalta, minkä vuoksi komission olisi seurattava täytäntöönpanoa. Jäsenvaltioiden olisi sen vuoksi toimitettava komissiolle säännöllisesti täytäntöönpanosäädöksessä täsmennetyt tiedot, jotka koskevat tämän direktiivin nojalla hyväksyttyjen kansallisten toimenpiteiden täytäntöönpanoa ja sen valvontaa niiden alueella. Komission olisi laadittava jäsenvaltioiden toimittamien tietojen ja muiden saatavilla olevien tietojen perusteella arviointi, jossa arvioidaan ehdotettujen uusien sääntöjen tehokkuutta. Komission olisi tässä yhteydessä tarkasteltava tarvetta saattaa tällä direktiivillä käyttöön otetut säännöt ajan tasalle. </w:t>
      </w:r>
    </w:p>
    <w:p w14:paraId="30CF5DAF" w14:textId="583C0B61" w:rsidR="00771E52" w:rsidRPr="00CB70BA" w:rsidRDefault="00282923" w:rsidP="00282923">
      <w:pPr>
        <w:pStyle w:val="ManualConsidrant"/>
        <w:rPr>
          <w:noProof/>
        </w:rPr>
      </w:pPr>
      <w:r w:rsidRPr="00CB70BA">
        <w:rPr>
          <w:noProof/>
        </w:rPr>
        <w:t>(13)</w:t>
      </w:r>
      <w:r w:rsidRPr="00CB70BA">
        <w:rPr>
          <w:noProof/>
        </w:rPr>
        <w:tab/>
        <w:t>Jotta voidaan varmistaa yhdenmukaiset edellytykset tämän direktiivin täytäntöönpanolle erityisesti i) digitaalisen verotuksellista kotipaikkaa koskevan todistuksen, ii) rahoituksen välittäjien raportoinnin ja iii) tämän direktiivin mukaisen alennuspyynnön osalta, komissiolle olisi siirrettävä täytäntöönpanovaltaa hyväksyä vakiolomakkeita, joissa on rajoitettu määrä osia, mukaan lukien kielijärjestelyt. Tätä valtaa olisi käytettävä Euroopan parlamentin ja neuvoston asetuksen (EU) N:o 182/2011</w:t>
      </w:r>
      <w:r w:rsidRPr="00CB70BA">
        <w:rPr>
          <w:rStyle w:val="FootnoteReference"/>
          <w:noProof/>
        </w:rPr>
        <w:footnoteReference w:id="31"/>
      </w:r>
      <w:r w:rsidRPr="00CB70BA">
        <w:rPr>
          <w:noProof/>
        </w:rPr>
        <w:t xml:space="preserve"> mukaisesti.</w:t>
      </w:r>
      <w:r w:rsidR="00D9795C">
        <w:rPr>
          <w:noProof/>
        </w:rPr>
        <w:t xml:space="preserve"> </w:t>
      </w:r>
    </w:p>
    <w:p w14:paraId="1E49CAA8" w14:textId="57E3C950" w:rsidR="00771E52" w:rsidRPr="00CB70BA" w:rsidRDefault="00282923" w:rsidP="00282923">
      <w:pPr>
        <w:pStyle w:val="ManualConsidrant"/>
        <w:rPr>
          <w:noProof/>
        </w:rPr>
      </w:pPr>
      <w:r w:rsidRPr="00CB70BA">
        <w:rPr>
          <w:noProof/>
        </w:rPr>
        <w:t>(14)</w:t>
      </w:r>
      <w:r w:rsidRPr="00CB70BA">
        <w:rPr>
          <w:noProof/>
        </w:rPr>
        <w:tab/>
        <w:t>Tämän direktiivin mukaisessa henkilötietojen käsittelyssä olisi noudatettava Euroopan parlamentin ja neuvoston asetusta (EU) 2016/679</w:t>
      </w:r>
      <w:r w:rsidRPr="00CB70BA">
        <w:rPr>
          <w:rStyle w:val="FootnoteReference"/>
          <w:noProof/>
        </w:rPr>
        <w:footnoteReference w:id="32"/>
      </w:r>
      <w:r w:rsidRPr="00CB70BA">
        <w:rPr>
          <w:noProof/>
        </w:rPr>
        <w:t>. Rahoituksen välittäjät ja jäsenvaltiot voivat käsitellä henkilötietoja tämän direktiivin nojalla ainoastaan silloin, kun tietojen käsittelyn tarkoituksena on palvella yleistä julkista etua eli torjua veropetoksia, veronkiertoa ja verovilppiä, suojella verotuloja ja edistää oikeudenmukaista verotusta, mikä vahvistaa sosiaalisen, poliittisen ja taloudellisen osallisuuden mahdollisuuksia jäsenvaltioissa. Jotta tämä tavoite voidaan saavuttaa tehokkaasti, on tarpeen rajoittaa edellä mainitussa asetuksessa säädettyjä tiettyjä yksilöiden oikeuksia, erityisesti oikeutta saada ilmoitus heidän tietojensa käsittelystä ja sen laajuudesta sekä oikeutta antaa suostumus tietyntyyppiseen tietojenkäsittelyyn.</w:t>
      </w:r>
      <w:r w:rsidR="00D9795C">
        <w:rPr>
          <w:noProof/>
        </w:rPr>
        <w:t xml:space="preserve"> </w:t>
      </w:r>
    </w:p>
    <w:p w14:paraId="0FF05ED5" w14:textId="77777777" w:rsidR="00552C80" w:rsidRPr="00CB70BA" w:rsidRDefault="00282923" w:rsidP="00282923">
      <w:pPr>
        <w:pStyle w:val="ManualConsidrant"/>
        <w:rPr>
          <w:noProof/>
        </w:rPr>
      </w:pPr>
      <w:r w:rsidRPr="00CB70BA">
        <w:rPr>
          <w:noProof/>
        </w:rPr>
        <w:t>(15)</w:t>
      </w:r>
      <w:r w:rsidRPr="00CB70BA">
        <w:rPr>
          <w:noProof/>
        </w:rPr>
        <w:tab/>
        <w:t xml:space="preserve">Jäsenvaltiot eivät voi riittävällä tavalla saavuttaa tämän direktiivin tavoitetta, vaan se voidaan saavuttaa paremmin unionin tasolla kyseessä olevien transaktioiden rajatylittävän luonteen vuoksi sekä säännösten noudattamisesta aiheutuvien kustannusten alentamiseksi koko sisämarkkinoilla. Sen vuoksi unioni voi toteuttaa toimenpiteitä Euroopan unionista tehdyn sopimuksen 5 artiklassa vahvistetun toissijaisuusperiaatteen mukaisesti. Mainitussa artiklassa vahvistetun suhteellisuusperiaatteen mukaisesti tässä direktiivissä ei ylitetä sitä, mikä on tarpeen tämän tavoitteen saavuttamiseksi. </w:t>
      </w:r>
    </w:p>
    <w:p w14:paraId="1372D604" w14:textId="478D3AB6" w:rsidR="00771E52" w:rsidRPr="00CB70BA" w:rsidRDefault="00552C80" w:rsidP="00282923">
      <w:pPr>
        <w:pStyle w:val="ManualConsidrant"/>
        <w:rPr>
          <w:noProof/>
        </w:rPr>
      </w:pPr>
      <w:r w:rsidRPr="00CB70BA">
        <w:rPr>
          <w:noProof/>
        </w:rPr>
        <w:t xml:space="preserve">(16) </w:t>
      </w:r>
      <w:r w:rsidRPr="00CB70BA">
        <w:rPr>
          <w:noProof/>
        </w:rPr>
        <w:tab/>
        <w:t>Euroopan tietosuojavaltuutettua on kuultu Euroopan parlamentin ja neuvoston asetuksen (EU) 2018/1725</w:t>
      </w:r>
      <w:r w:rsidRPr="00CB70BA">
        <w:rPr>
          <w:rStyle w:val="FootnoteReference"/>
          <w:noProof/>
        </w:rPr>
        <w:footnoteReference w:id="33"/>
      </w:r>
      <w:r w:rsidRPr="00CB70BA">
        <w:rPr>
          <w:noProof/>
        </w:rPr>
        <w:t xml:space="preserve"> 42 artiklan mukaisesti.</w:t>
      </w:r>
      <w:r w:rsidR="00D9795C">
        <w:rPr>
          <w:noProof/>
        </w:rPr>
        <w:t xml:space="preserve"> </w:t>
      </w:r>
    </w:p>
    <w:p w14:paraId="3789199E" w14:textId="77777777" w:rsidR="00977CF6" w:rsidRPr="00CB70BA" w:rsidRDefault="00977CF6" w:rsidP="000430BD">
      <w:pPr>
        <w:pStyle w:val="Formuledadoption"/>
        <w:rPr>
          <w:noProof/>
        </w:rPr>
      </w:pPr>
      <w:r w:rsidRPr="00CB70BA">
        <w:rPr>
          <w:noProof/>
        </w:rPr>
        <w:t>ON HYVÄKSYNYT TÄMÄN DIREKTIIVIN:</w:t>
      </w:r>
    </w:p>
    <w:p w14:paraId="21A884C9" w14:textId="77777777" w:rsidR="00977CF6" w:rsidRPr="00CB70BA" w:rsidRDefault="00977CF6" w:rsidP="00977CF6">
      <w:pPr>
        <w:jc w:val="center"/>
        <w:rPr>
          <w:b/>
          <w:bCs/>
          <w:i/>
          <w:noProof/>
        </w:rPr>
      </w:pPr>
      <w:r w:rsidRPr="00CB70BA">
        <w:rPr>
          <w:b/>
          <w:noProof/>
        </w:rPr>
        <w:t>I LUKU</w:t>
      </w:r>
    </w:p>
    <w:p w14:paraId="58FAEA4F" w14:textId="77777777" w:rsidR="00977CF6" w:rsidRPr="00CB70BA" w:rsidRDefault="00977CF6" w:rsidP="00977CF6">
      <w:pPr>
        <w:jc w:val="center"/>
        <w:rPr>
          <w:b/>
          <w:bCs/>
          <w:noProof/>
        </w:rPr>
      </w:pPr>
      <w:r w:rsidRPr="00CB70BA">
        <w:rPr>
          <w:b/>
          <w:noProof/>
        </w:rPr>
        <w:t>YLEISET MÄÄRÄYKSET</w:t>
      </w:r>
    </w:p>
    <w:p w14:paraId="2CFBC9FE" w14:textId="77777777" w:rsidR="00977CF6" w:rsidRPr="00CB70BA" w:rsidRDefault="00977CF6" w:rsidP="000430BD">
      <w:pPr>
        <w:pStyle w:val="Titrearticle"/>
        <w:rPr>
          <w:b/>
          <w:bCs/>
          <w:i w:val="0"/>
          <w:iCs/>
          <w:noProof/>
        </w:rPr>
      </w:pPr>
      <w:bookmarkStart w:id="2" w:name="_Hlk132965149"/>
      <w:r w:rsidRPr="00CB70BA">
        <w:rPr>
          <w:noProof/>
        </w:rPr>
        <w:t xml:space="preserve">1 artikla </w:t>
      </w:r>
      <w:r w:rsidRPr="00CB70BA">
        <w:rPr>
          <w:noProof/>
        </w:rPr>
        <w:cr/>
      </w:r>
      <w:r w:rsidRPr="00CB70BA">
        <w:rPr>
          <w:noProof/>
        </w:rPr>
        <w:br/>
      </w:r>
      <w:r w:rsidRPr="00CB70BA">
        <w:rPr>
          <w:b/>
          <w:i w:val="0"/>
          <w:noProof/>
        </w:rPr>
        <w:t>Kohde</w:t>
      </w:r>
    </w:p>
    <w:bookmarkEnd w:id="2"/>
    <w:p w14:paraId="5280E153" w14:textId="77777777" w:rsidR="001956AF" w:rsidRPr="00CB70BA" w:rsidRDefault="001956AF" w:rsidP="001956AF">
      <w:pPr>
        <w:rPr>
          <w:noProof/>
        </w:rPr>
      </w:pPr>
      <w:r w:rsidRPr="00CB70BA">
        <w:rPr>
          <w:noProof/>
        </w:rPr>
        <w:t>Tässä direktiivissä vahvistetaan säännöt digitaalisen verotuksellista kotipaikkaa koskevan todistuksen myöntämisestä jäsenvaltioissa ja menettelystä, jolla alennetaan ylimääräistä lähdeveroa, jonka jäsenvaltio voi pidättää julkisen kaupankäynnin kohteena olevista osakkeista saatavista osingoista ja tapauksen mukaan julkisen kaupankäynnin kohteena olevista joukkovelkakirjoista saatavista koroista, jotka maksetaan rekisteröidyille omistajille, joiden verotuksellinen kotipaikka on kyseisen jäsenvaltion ulkopuolella.</w:t>
      </w:r>
    </w:p>
    <w:p w14:paraId="35511501" w14:textId="77777777" w:rsidR="00AE45C7" w:rsidRPr="00CB70BA" w:rsidRDefault="00AE45C7" w:rsidP="00AE45C7">
      <w:pPr>
        <w:pStyle w:val="Titrearticle"/>
        <w:rPr>
          <w:b/>
          <w:i w:val="0"/>
          <w:noProof/>
        </w:rPr>
      </w:pPr>
      <w:r w:rsidRPr="00CB70BA">
        <w:rPr>
          <w:noProof/>
        </w:rPr>
        <w:t xml:space="preserve">2 artikla </w:t>
      </w:r>
      <w:r w:rsidRPr="00CB70BA">
        <w:rPr>
          <w:noProof/>
        </w:rPr>
        <w:cr/>
      </w:r>
      <w:r w:rsidRPr="00CB70BA">
        <w:rPr>
          <w:noProof/>
        </w:rPr>
        <w:br/>
      </w:r>
      <w:r w:rsidRPr="00CB70BA">
        <w:rPr>
          <w:b/>
          <w:i w:val="0"/>
          <w:noProof/>
        </w:rPr>
        <w:t xml:space="preserve">Soveltamisala </w:t>
      </w:r>
    </w:p>
    <w:p w14:paraId="029F97C4" w14:textId="77777777" w:rsidR="00DC73B0" w:rsidRPr="00CB70BA" w:rsidRDefault="005443A7" w:rsidP="001956AF">
      <w:pPr>
        <w:rPr>
          <w:noProof/>
        </w:rPr>
      </w:pPr>
      <w:r w:rsidRPr="00CB70BA">
        <w:rPr>
          <w:noProof/>
        </w:rPr>
        <w:t>I ja IV lukua sovelletaan kaikkiin jäsenvaltioihin. II lukua sovelletaan kaikkiin jäsenvaltioihin kaikkien sellaisten henkilöiden osalta, joiden verotuksellinen kotipaikka on niiden lainkäyttöalueella.</w:t>
      </w:r>
    </w:p>
    <w:p w14:paraId="3F8DE9DC" w14:textId="13738E61" w:rsidR="005F7AA9" w:rsidRPr="00CB70BA" w:rsidRDefault="00DC0DFA" w:rsidP="001956AF">
      <w:pPr>
        <w:rPr>
          <w:noProof/>
        </w:rPr>
      </w:pPr>
      <w:r w:rsidRPr="00CB70BA">
        <w:rPr>
          <w:noProof/>
        </w:rPr>
        <w:t>III luvussa säädettyjä menettelyjä sovelletaan kaikkiin jäsenvaltioihin, jotka alentavat julkisen kaupankäynnin kohteena olevista osakkeista maksetuista osingoista perittävää ylimääräistä lähdeveroa. Jäsenvaltiot, jotka myöntävät ylimääräisen lähdeveron alennuksen julkisen kaupankäynnin kohteena olevista joukkovelkakirjoista maksetuista koroista, voivat soveltaa III lukua.</w:t>
      </w:r>
    </w:p>
    <w:p w14:paraId="4251647B" w14:textId="77777777" w:rsidR="001956AF" w:rsidRPr="00CB70BA" w:rsidRDefault="001956AF" w:rsidP="008A5257">
      <w:pPr>
        <w:pStyle w:val="Titrearticle"/>
        <w:rPr>
          <w:noProof/>
        </w:rPr>
      </w:pPr>
      <w:r w:rsidRPr="00CB70BA">
        <w:rPr>
          <w:noProof/>
        </w:rPr>
        <w:t xml:space="preserve">3 artikla </w:t>
      </w:r>
      <w:r w:rsidRPr="00CB70BA">
        <w:rPr>
          <w:noProof/>
        </w:rPr>
        <w:cr/>
      </w:r>
      <w:r w:rsidRPr="00CB70BA">
        <w:rPr>
          <w:noProof/>
        </w:rPr>
        <w:br/>
      </w:r>
      <w:r w:rsidRPr="00CB70BA">
        <w:rPr>
          <w:b/>
          <w:i w:val="0"/>
          <w:noProof/>
        </w:rPr>
        <w:t>Määritelmät</w:t>
      </w:r>
    </w:p>
    <w:p w14:paraId="47889F12" w14:textId="77777777" w:rsidR="001956AF" w:rsidRPr="00CB70BA" w:rsidRDefault="001956AF" w:rsidP="008A5257">
      <w:pPr>
        <w:rPr>
          <w:noProof/>
        </w:rPr>
      </w:pPr>
      <w:r w:rsidRPr="00CB70BA">
        <w:rPr>
          <w:noProof/>
        </w:rPr>
        <w:t xml:space="preserve">Tässä direktiivissä tarkoitetaan </w:t>
      </w:r>
    </w:p>
    <w:p w14:paraId="66FA705E" w14:textId="01E6ADB9" w:rsidR="002B5330" w:rsidRPr="00CB70BA" w:rsidRDefault="00C87C97" w:rsidP="00C87C97">
      <w:pPr>
        <w:pStyle w:val="Point0"/>
        <w:rPr>
          <w:noProof/>
        </w:rPr>
      </w:pPr>
      <w:r>
        <w:rPr>
          <w:noProof/>
        </w:rPr>
        <w:t>1)</w:t>
      </w:r>
      <w:r>
        <w:rPr>
          <w:noProof/>
        </w:rPr>
        <w:tab/>
      </w:r>
      <w:r w:rsidR="002B5330" w:rsidRPr="00CB70BA">
        <w:rPr>
          <w:noProof/>
        </w:rPr>
        <w:t>’ylimääräisellä lähdeverolla’ jäsenvaltion rajoitetusti verovelvollisille omistajille maksetuista osingoista tai arvopapereiden koroista yleistä kansallista verokantaa soveltaen perityn lähdeveron määrän ja kyseisen jäsenvaltion samasta osingosta tai korosta kaksinkertaista verotusta koskevan sopimuksen tai tapauksesta riippuen kansallisen erityislainsäädännön mukaisen alemman lähdeveron määrän erotusta;</w:t>
      </w:r>
    </w:p>
    <w:p w14:paraId="30B5A11D" w14:textId="43420D4D" w:rsidR="002B5330" w:rsidRPr="00CB70BA" w:rsidRDefault="00C87C97" w:rsidP="00C87C97">
      <w:pPr>
        <w:pStyle w:val="Point0"/>
        <w:rPr>
          <w:noProof/>
        </w:rPr>
      </w:pPr>
      <w:r>
        <w:rPr>
          <w:noProof/>
        </w:rPr>
        <w:t>2)</w:t>
      </w:r>
      <w:r>
        <w:rPr>
          <w:noProof/>
        </w:rPr>
        <w:tab/>
      </w:r>
      <w:r w:rsidR="002B5330" w:rsidRPr="00CB70BA">
        <w:rPr>
          <w:noProof/>
        </w:rPr>
        <w:t>’julkisen kaupankäynnin kohteena olevalla osakkeella’ osaketta, joka on otettu kaupankäynnin kohteeksi 15 päivänä toukokuuta 2014 annetun direktiivin 2014/65/EU</w:t>
      </w:r>
      <w:r w:rsidR="002B5330" w:rsidRPr="00CB70BA">
        <w:rPr>
          <w:rStyle w:val="FootnoteReference"/>
          <w:noProof/>
        </w:rPr>
        <w:footnoteReference w:id="34"/>
      </w:r>
      <w:r w:rsidR="002B5330" w:rsidRPr="00CB70BA">
        <w:rPr>
          <w:noProof/>
        </w:rPr>
        <w:t xml:space="preserve"> 4 artiklan 21 alakohdassa määritellyllä säännellyllä markkinalla tai mainitun artiklan 22 alakohdassa määritellyssä monenkeskisessä kaupankäyntijärjestelmässä;</w:t>
      </w:r>
    </w:p>
    <w:p w14:paraId="42F29CA4" w14:textId="477877AE" w:rsidR="00EE72EC" w:rsidRPr="00CB70BA" w:rsidRDefault="00C87C97" w:rsidP="00C87C97">
      <w:pPr>
        <w:pStyle w:val="Point0"/>
        <w:rPr>
          <w:noProof/>
        </w:rPr>
      </w:pPr>
      <w:r>
        <w:rPr>
          <w:noProof/>
        </w:rPr>
        <w:t>3)</w:t>
      </w:r>
      <w:r>
        <w:rPr>
          <w:noProof/>
        </w:rPr>
        <w:tab/>
      </w:r>
      <w:r w:rsidR="002B5330" w:rsidRPr="00CB70BA">
        <w:rPr>
          <w:noProof/>
        </w:rPr>
        <w:t xml:space="preserve">’julkisen kaupankäynnin kohteena olevalla joukkovelkakirjalla’ joukkovelkakirjaa, joka on otettu kaupankäynnin kohteeksi 15 päivänä toukokuuta 2014 annetun direktiivin 2014/65/EU 4 artiklan 21 alakohdassa määritellyllä säännellyllä markkinalla, 22 alakohdassa määritellyssä monenkeskisessä kaupankäyntijärjestelmässä tai 23 alakohdassa määritellyssä organisoidussa kaupankäyntijärjestelmässä; </w:t>
      </w:r>
    </w:p>
    <w:p w14:paraId="707027E0" w14:textId="5F57F58B" w:rsidR="002B5330" w:rsidRPr="00CB70BA" w:rsidRDefault="00C87C97" w:rsidP="00C87C97">
      <w:pPr>
        <w:pStyle w:val="Point0"/>
        <w:rPr>
          <w:noProof/>
        </w:rPr>
      </w:pPr>
      <w:r>
        <w:rPr>
          <w:noProof/>
        </w:rPr>
        <w:t>4)</w:t>
      </w:r>
      <w:r>
        <w:rPr>
          <w:noProof/>
        </w:rPr>
        <w:tab/>
      </w:r>
      <w:r w:rsidR="002B5330" w:rsidRPr="00CB70BA">
        <w:rPr>
          <w:noProof/>
        </w:rPr>
        <w:t>’rahoituksen välittäjällä’ 23 päivänä heinäkuuta 2014 annetun asetuksen (EU) N:o 909/2014</w:t>
      </w:r>
      <w:r w:rsidR="002B5330" w:rsidRPr="00CB70BA">
        <w:rPr>
          <w:rStyle w:val="FootnoteReference"/>
          <w:rFonts w:eastAsiaTheme="minorEastAsia"/>
          <w:noProof/>
        </w:rPr>
        <w:footnoteReference w:id="35"/>
      </w:r>
      <w:r w:rsidR="002B5330" w:rsidRPr="00CB70BA">
        <w:rPr>
          <w:noProof/>
        </w:rPr>
        <w:t xml:space="preserve"> 2 artiklan 1 alakohdassa määriteltyä arvopaperikeskusta, asetuksen (EU) N:o 575/2013</w:t>
      </w:r>
      <w:r w:rsidR="002B5330" w:rsidRPr="005F5B3B">
        <w:rPr>
          <w:rStyle w:val="FootnoteReference"/>
          <w:noProof/>
        </w:rPr>
        <w:footnoteReference w:id="36"/>
      </w:r>
      <w:r w:rsidR="002B5330" w:rsidRPr="00CB70BA">
        <w:rPr>
          <w:noProof/>
        </w:rPr>
        <w:t xml:space="preserve"> 4 artiklan 1 kohdan 1 alakohdassa määriteltyä luottolaitosta tai direktiivin 2014/65/EU 4 artiklan 1 kohdan 1 alakohdassa määriteltyä sijoituspalveluyritystä tai kolmannen maan oikeushenkilöä, joka on saanut toimiluvan tarjota arvopaperikeskuksen, luottolaitoksen tai sijoituspalveluyrityksen tarjoamiin palveluihin verrattavissa olevia palveluja kotipaikkanaan olevan kolmannen maan vastaavan lainsäädännön nojalla ja joka on osa arvopapereita liikkeeseen laskevan yhteisön ja kyseisistä arvopapereista maksuja saavan rekisteröidyn omistajan välistä arvopapereiden maksuketjua; </w:t>
      </w:r>
    </w:p>
    <w:p w14:paraId="19B6B696" w14:textId="686F50D5" w:rsidR="002B5330" w:rsidRPr="00CB70BA" w:rsidRDefault="00C87C97" w:rsidP="00C87C97">
      <w:pPr>
        <w:pStyle w:val="Point0"/>
        <w:rPr>
          <w:noProof/>
        </w:rPr>
      </w:pPr>
      <w:r>
        <w:rPr>
          <w:noProof/>
        </w:rPr>
        <w:t>5)</w:t>
      </w:r>
      <w:r>
        <w:rPr>
          <w:noProof/>
        </w:rPr>
        <w:tab/>
      </w:r>
      <w:r w:rsidR="002B5330" w:rsidRPr="00CB70BA">
        <w:rPr>
          <w:noProof/>
        </w:rPr>
        <w:t>’EUID-tunnisteella’ Euroopan parlamentin ja neuvoston direktiivin (EU) 2017/1132</w:t>
      </w:r>
      <w:r w:rsidR="002B5330" w:rsidRPr="00CB70BA">
        <w:rPr>
          <w:rStyle w:val="FootnoteReference"/>
          <w:noProof/>
        </w:rPr>
        <w:t xml:space="preserve"> </w:t>
      </w:r>
      <w:r w:rsidR="002B5330" w:rsidRPr="00CB70BA">
        <w:rPr>
          <w:rStyle w:val="FootnoteReference"/>
          <w:noProof/>
        </w:rPr>
        <w:footnoteReference w:id="37"/>
      </w:r>
      <w:r w:rsidR="002B5330" w:rsidRPr="00CB70BA">
        <w:rPr>
          <w:noProof/>
        </w:rPr>
        <w:t xml:space="preserve"> 16 artiklassa tarkoitettua yritysten eurooppalaista yksilöivää tunnistetta; </w:t>
      </w:r>
    </w:p>
    <w:p w14:paraId="118755DD" w14:textId="73B6728F" w:rsidR="002B5330" w:rsidRPr="00CB70BA" w:rsidRDefault="00C87C97" w:rsidP="00C87C97">
      <w:pPr>
        <w:pStyle w:val="Point0"/>
        <w:rPr>
          <w:noProof/>
        </w:rPr>
      </w:pPr>
      <w:r>
        <w:rPr>
          <w:noProof/>
        </w:rPr>
        <w:t>6)</w:t>
      </w:r>
      <w:r>
        <w:rPr>
          <w:noProof/>
        </w:rPr>
        <w:tab/>
      </w:r>
      <w:r w:rsidR="002B5330" w:rsidRPr="00CB70BA">
        <w:rPr>
          <w:noProof/>
        </w:rPr>
        <w:t>’verotunnisteella’ jäsenvaltiossa verotustarkoituksiin rekisteröidyn omistajan yksilöivää verotunnistetta;</w:t>
      </w:r>
    </w:p>
    <w:p w14:paraId="0FF5A9B3" w14:textId="7FCF2062" w:rsidR="002F4419" w:rsidRPr="00CB70BA" w:rsidRDefault="00C87C97" w:rsidP="00C87C97">
      <w:pPr>
        <w:pStyle w:val="Point0"/>
        <w:rPr>
          <w:noProof/>
        </w:rPr>
      </w:pPr>
      <w:r>
        <w:rPr>
          <w:noProof/>
        </w:rPr>
        <w:t>7)</w:t>
      </w:r>
      <w:r>
        <w:rPr>
          <w:noProof/>
        </w:rPr>
        <w:tab/>
      </w:r>
      <w:r w:rsidR="002F4419" w:rsidRPr="00CB70BA">
        <w:rPr>
          <w:noProof/>
        </w:rPr>
        <w:t>’lähdeveron alentamiseen sovellettavalla menettelyllä’ menettelyä, jossa rekisteröidyn omistajan arvopapereista saamista osingoista tai koroista perittävää ylimääräistä lähdeveroa alennetaan tai se palautetaan;</w:t>
      </w:r>
    </w:p>
    <w:p w14:paraId="5E7BE429" w14:textId="6AF57563" w:rsidR="0054149A" w:rsidRPr="00CB70BA" w:rsidRDefault="00C87C97" w:rsidP="00C87C97">
      <w:pPr>
        <w:pStyle w:val="Point0"/>
        <w:rPr>
          <w:noProof/>
        </w:rPr>
      </w:pPr>
      <w:r>
        <w:rPr>
          <w:noProof/>
        </w:rPr>
        <w:t>8)</w:t>
      </w:r>
      <w:r>
        <w:rPr>
          <w:noProof/>
        </w:rPr>
        <w:tab/>
      </w:r>
      <w:r w:rsidR="00A5262D" w:rsidRPr="00CB70BA">
        <w:rPr>
          <w:noProof/>
        </w:rPr>
        <w:t xml:space="preserve">’toimivaltaisella viranomaisella’ viranomaista, jonka jäsenvaltio on nimennyt 5 artiklan mukaisesti ja johon kuuluvat kaikki henkilöt, jotka kyseinen viranomainen on valtuuttanut kansallisten sääntöjen mukaisesti toimimaan sen puolesta tätä direktiiviä sovellettaessa; </w:t>
      </w:r>
    </w:p>
    <w:p w14:paraId="51ECD235" w14:textId="23885FB3" w:rsidR="00AF47B6" w:rsidRPr="00CB70BA" w:rsidRDefault="00C87C97" w:rsidP="00C87C97">
      <w:pPr>
        <w:pStyle w:val="Point0"/>
        <w:rPr>
          <w:noProof/>
        </w:rPr>
      </w:pPr>
      <w:r>
        <w:rPr>
          <w:noProof/>
        </w:rPr>
        <w:t>9)</w:t>
      </w:r>
      <w:r>
        <w:rPr>
          <w:noProof/>
        </w:rPr>
        <w:tab/>
      </w:r>
      <w:r w:rsidR="00AF47B6" w:rsidRPr="00CB70BA">
        <w:rPr>
          <w:noProof/>
        </w:rPr>
        <w:t>’arvopaperilla’ julkisen kaupankäynnin kohteena olevaa osaketta tai julkisen kaupankäynnin kohteena olevaa joukkovelkakirjaa;</w:t>
      </w:r>
    </w:p>
    <w:p w14:paraId="054928E1" w14:textId="31DBE231" w:rsidR="00930848" w:rsidRPr="00CB70BA" w:rsidRDefault="00C87C97" w:rsidP="00C87C97">
      <w:pPr>
        <w:pStyle w:val="Point0"/>
        <w:rPr>
          <w:noProof/>
          <w:color w:val="333333"/>
        </w:rPr>
      </w:pPr>
      <w:r>
        <w:rPr>
          <w:noProof/>
        </w:rPr>
        <w:t>10)</w:t>
      </w:r>
      <w:r>
        <w:rPr>
          <w:noProof/>
        </w:rPr>
        <w:tab/>
      </w:r>
      <w:r w:rsidR="00930848" w:rsidRPr="00CB70BA">
        <w:rPr>
          <w:noProof/>
        </w:rPr>
        <w:t>’suurella laitoksella’ asetuksen (EU) N:o 575/2013 4 artiklan 1 kohdan 146 alakohdassa määriteltyä suurta laitosta;</w:t>
      </w:r>
    </w:p>
    <w:p w14:paraId="62B1E93F" w14:textId="68B16324" w:rsidR="00826CE9" w:rsidRPr="00CB70BA" w:rsidRDefault="00C87C97" w:rsidP="00C87C97">
      <w:pPr>
        <w:pStyle w:val="Point0"/>
        <w:rPr>
          <w:noProof/>
        </w:rPr>
      </w:pPr>
      <w:r>
        <w:rPr>
          <w:noProof/>
        </w:rPr>
        <w:t>11)</w:t>
      </w:r>
      <w:r>
        <w:rPr>
          <w:noProof/>
        </w:rPr>
        <w:tab/>
      </w:r>
      <w:r w:rsidR="00826CE9" w:rsidRPr="00CB70BA">
        <w:rPr>
          <w:noProof/>
        </w:rPr>
        <w:t>’lähdeveroasiamiehellä’ yhteisöä, jonka lähdejäsenvaltio on valtuuttanut ottamaan vastuulleen lähdeveron vähentämisen arvopapereista maksetuista osingoista tai koroista ja tällaisen lähdeveron siirtämisen lähdejäsenvaltion veroviranomaiselle;</w:t>
      </w:r>
    </w:p>
    <w:p w14:paraId="5E4E07DA" w14:textId="147C3432" w:rsidR="00930848" w:rsidRPr="00CB70BA" w:rsidRDefault="00C87C97" w:rsidP="00C87C97">
      <w:pPr>
        <w:pStyle w:val="Point0"/>
        <w:rPr>
          <w:noProof/>
        </w:rPr>
      </w:pPr>
      <w:r>
        <w:rPr>
          <w:noProof/>
        </w:rPr>
        <w:t>12)</w:t>
      </w:r>
      <w:r>
        <w:rPr>
          <w:noProof/>
        </w:rPr>
        <w:tab/>
      </w:r>
      <w:r w:rsidR="00930848" w:rsidRPr="00CB70BA">
        <w:rPr>
          <w:noProof/>
        </w:rPr>
        <w:t>’täsmäytyspäivällä’ arvopaperin liikkeeseenlaskijan asettamaa päivää, jolloin määritetään kyseisen arvopaperin omistajan henkilöllisyys ja siitä johtuvat oikeudet, mukaan lukien tapauksen mukaan oikeus osallistua yhtiökokoukseen ja äänestää siinä, rahoituksen välittäjän kirjanpitoon työajan päättymisajankohtana arvo-osuuksina kirjattujen toteutettujen positioiden perusteella, asetuksen (EU) 2018/1212</w:t>
      </w:r>
      <w:r w:rsidR="00930848" w:rsidRPr="00CB70BA">
        <w:rPr>
          <w:rStyle w:val="FootnoteReference"/>
          <w:noProof/>
        </w:rPr>
        <w:footnoteReference w:id="38"/>
      </w:r>
      <w:r w:rsidR="00930848" w:rsidRPr="00CB70BA">
        <w:rPr>
          <w:noProof/>
        </w:rPr>
        <w:t xml:space="preserve"> 1 artiklan 7 alakohdan määritelmän mukaisesti; </w:t>
      </w:r>
    </w:p>
    <w:p w14:paraId="72901A99" w14:textId="4503C33D" w:rsidR="00AF47B6" w:rsidRPr="00CB70BA" w:rsidRDefault="00C87C97" w:rsidP="00C87C97">
      <w:pPr>
        <w:pStyle w:val="Point0"/>
        <w:rPr>
          <w:noProof/>
        </w:rPr>
      </w:pPr>
      <w:r>
        <w:rPr>
          <w:noProof/>
        </w:rPr>
        <w:t>13)</w:t>
      </w:r>
      <w:r>
        <w:rPr>
          <w:noProof/>
        </w:rPr>
        <w:tab/>
      </w:r>
      <w:r w:rsidR="00AF47B6" w:rsidRPr="00CB70BA">
        <w:rPr>
          <w:noProof/>
        </w:rPr>
        <w:t>’toimituksella’ arvopaperitapahtuman loppuun saattamista, jos se tehdään kyseisen tapahtuman osapuolten velvoitteiden täyttämiseksi siirtämällä varoja tai arvopapereita taikka molempia, 23 päivänä heinäkuuta 2014 annetun asetuksen (EU) N:o 909/2014 2 artiklan 7 alakohdan määritelmän mukaisesti;</w:t>
      </w:r>
    </w:p>
    <w:p w14:paraId="1D5948B5" w14:textId="06B1AF22" w:rsidR="00826CE9" w:rsidRPr="00CB70BA" w:rsidRDefault="00C87C97" w:rsidP="00C87C97">
      <w:pPr>
        <w:pStyle w:val="Point0"/>
        <w:rPr>
          <w:noProof/>
        </w:rPr>
      </w:pPr>
      <w:r>
        <w:rPr>
          <w:noProof/>
        </w:rPr>
        <w:t>14)</w:t>
      </w:r>
      <w:r>
        <w:rPr>
          <w:noProof/>
        </w:rPr>
        <w:tab/>
      </w:r>
      <w:r w:rsidR="00826CE9" w:rsidRPr="00CB70BA">
        <w:rPr>
          <w:noProof/>
        </w:rPr>
        <w:t>’rekisteröidyllä omistajalla’ luonnollista henkilöä tai oikeushenkilöä, jolla on oikeus saada arvopapereista osinko- tai korkotuloa, joka on jäsenvaltiossa lähdeveron alaista;</w:t>
      </w:r>
    </w:p>
    <w:p w14:paraId="05471B9A" w14:textId="7E21569D" w:rsidR="002F4419" w:rsidRPr="00CB70BA" w:rsidRDefault="00C87C97" w:rsidP="00C87C97">
      <w:pPr>
        <w:pStyle w:val="Point0"/>
        <w:rPr>
          <w:noProof/>
        </w:rPr>
      </w:pPr>
      <w:r>
        <w:rPr>
          <w:noProof/>
        </w:rPr>
        <w:t>15)</w:t>
      </w:r>
      <w:r>
        <w:rPr>
          <w:noProof/>
        </w:rPr>
        <w:tab/>
      </w:r>
      <w:r w:rsidR="002F4419" w:rsidRPr="00CB70BA">
        <w:rPr>
          <w:noProof/>
        </w:rPr>
        <w:t>’sijoitustilillä’ tiliä tai tilejä, jotka rahoituksen välittäjät tarjoavat rekisteröidyille omistajille ja joiden kautta niiden arvopapereita säilytetään tai rekisteröidään ja joille näihin arvopapereihin liittyvät maksut suoritetaan;</w:t>
      </w:r>
    </w:p>
    <w:p w14:paraId="13FAA03D" w14:textId="30BBAA62" w:rsidR="002F4419" w:rsidRPr="00CB70BA" w:rsidRDefault="00C87C97" w:rsidP="00C87C97">
      <w:pPr>
        <w:pStyle w:val="Point0"/>
        <w:rPr>
          <w:noProof/>
        </w:rPr>
      </w:pPr>
      <w:r>
        <w:rPr>
          <w:noProof/>
        </w:rPr>
        <w:t>16)</w:t>
      </w:r>
      <w:r>
        <w:rPr>
          <w:noProof/>
        </w:rPr>
        <w:tab/>
      </w:r>
      <w:r w:rsidR="002F4419" w:rsidRPr="00CB70BA">
        <w:rPr>
          <w:noProof/>
        </w:rPr>
        <w:t>’osingon irtoamispäivällä’ päivää, josta lähtien osakkeilla käydään kauppaa ilman niistä johtuvia oikeuksia, kuten tapauksen mukaan oikeutta osallistua yhtiökokoukseen ja äänestää;</w:t>
      </w:r>
    </w:p>
    <w:p w14:paraId="10E20DF8" w14:textId="32CC1861" w:rsidR="002F4419" w:rsidRPr="00CB70BA" w:rsidRDefault="00C87C97" w:rsidP="00C87C97">
      <w:pPr>
        <w:pStyle w:val="Point0"/>
        <w:rPr>
          <w:noProof/>
        </w:rPr>
      </w:pPr>
      <w:r>
        <w:rPr>
          <w:noProof/>
        </w:rPr>
        <w:t>17)</w:t>
      </w:r>
      <w:r>
        <w:rPr>
          <w:noProof/>
        </w:rPr>
        <w:tab/>
      </w:r>
      <w:r w:rsidR="002F4419" w:rsidRPr="00CB70BA">
        <w:rPr>
          <w:noProof/>
        </w:rPr>
        <w:t>’rahoitusjärjestelyllä’ järjestelyä tai sopimusvelvoitetta, jolla osa julkisen kaupankäynnin kohteena olevan osakkeen, josta maksetaan osinkoa, omistuksesta siirretään tai voitaisiin siirtää pysyvästi tai väliaikaisesti toiselle osapuolelle;</w:t>
      </w:r>
    </w:p>
    <w:p w14:paraId="4B3E9359" w14:textId="187BA7CB" w:rsidR="002F4419" w:rsidRPr="00CB70BA" w:rsidRDefault="00C87C97" w:rsidP="00C87C97">
      <w:pPr>
        <w:pStyle w:val="Point0"/>
        <w:rPr>
          <w:noProof/>
        </w:rPr>
      </w:pPr>
      <w:r>
        <w:rPr>
          <w:noProof/>
        </w:rPr>
        <w:t>18)</w:t>
      </w:r>
      <w:r>
        <w:rPr>
          <w:noProof/>
        </w:rPr>
        <w:tab/>
      </w:r>
      <w:r w:rsidR="002F4419" w:rsidRPr="00CB70BA">
        <w:rPr>
          <w:noProof/>
        </w:rPr>
        <w:t>’arvopapereiden maksuketjulla’ sellaisten rahoituksen välittäjien muodostamaa kokonaisuutta, jotka käsittelevät arvopapereihin liittyvien osinkojen tai korkojen maksamista arvopapereiden liikkeeseenlaskijan ja rekisteröidyn omistajan, jolle tällaisista arvopapereista maksetaan osinkoja tai korkoja, välillä;</w:t>
      </w:r>
    </w:p>
    <w:p w14:paraId="3AA79646" w14:textId="1FFB8855" w:rsidR="00626934" w:rsidRPr="00CB70BA" w:rsidRDefault="00C87C97" w:rsidP="00C87C97">
      <w:pPr>
        <w:pStyle w:val="Point0"/>
        <w:rPr>
          <w:noProof/>
        </w:rPr>
      </w:pPr>
      <w:r>
        <w:rPr>
          <w:noProof/>
        </w:rPr>
        <w:t>19)</w:t>
      </w:r>
      <w:r>
        <w:rPr>
          <w:noProof/>
        </w:rPr>
        <w:tab/>
      </w:r>
      <w:r w:rsidR="00A5262D" w:rsidRPr="00CB70BA">
        <w:rPr>
          <w:noProof/>
        </w:rPr>
        <w:t xml:space="preserve">’kaksinkertaista verotusta koskevalla sopimuksella’ sopimusta, jossa määrätään tulojen ja soveltuvin osin pääoman kaksinkertaisen verotuksen poistamisesta ja joka on voimassa kahden (tai useamman) maan välillä; </w:t>
      </w:r>
    </w:p>
    <w:p w14:paraId="4A3CC635" w14:textId="7111C4AA" w:rsidR="002F4419" w:rsidRPr="00CB70BA" w:rsidRDefault="00C87C97" w:rsidP="00C87C97">
      <w:pPr>
        <w:pStyle w:val="Point0"/>
        <w:rPr>
          <w:noProof/>
        </w:rPr>
      </w:pPr>
      <w:r>
        <w:rPr>
          <w:noProof/>
        </w:rPr>
        <w:t>20)</w:t>
      </w:r>
      <w:r>
        <w:rPr>
          <w:noProof/>
        </w:rPr>
        <w:tab/>
      </w:r>
      <w:r w:rsidR="002F4419" w:rsidRPr="00CB70BA">
        <w:rPr>
          <w:noProof/>
        </w:rPr>
        <w:t>’lähdejäsenvaltiolla’ jäsenvaltiota, jossa on osinkoa tai korkoa maksavan arvopaperin liikkeeseenlaskijan kotipaikka;</w:t>
      </w:r>
    </w:p>
    <w:p w14:paraId="188CC3BC" w14:textId="244D5039" w:rsidR="002F4419" w:rsidRPr="00CB70BA" w:rsidRDefault="00C87C97" w:rsidP="00C87C97">
      <w:pPr>
        <w:pStyle w:val="Point0"/>
        <w:rPr>
          <w:noProof/>
        </w:rPr>
      </w:pPr>
      <w:r>
        <w:rPr>
          <w:noProof/>
        </w:rPr>
        <w:t>21)</w:t>
      </w:r>
      <w:r>
        <w:rPr>
          <w:noProof/>
        </w:rPr>
        <w:tab/>
      </w:r>
      <w:r w:rsidR="002F4419" w:rsidRPr="00CB70BA">
        <w:rPr>
          <w:noProof/>
        </w:rPr>
        <w:t xml:space="preserve">’nopealla palautusjärjestelmällä’ järjestelmää, jossa osingon tai koron maksu suoritetaan yleistä kotimaista lähdeverokantaa soveltaen ja jossa sen jälkeen esitetään pyyntö ylimääräisen lähdeveron palauttamisesta 13 artiklassa säädetyssä määräajassa; </w:t>
      </w:r>
    </w:p>
    <w:p w14:paraId="6B3DCD06" w14:textId="43821E11" w:rsidR="002F4419" w:rsidRPr="00CB70BA" w:rsidRDefault="00C87C97" w:rsidP="00C87C97">
      <w:pPr>
        <w:pStyle w:val="Point0"/>
        <w:rPr>
          <w:noProof/>
        </w:rPr>
      </w:pPr>
      <w:r>
        <w:rPr>
          <w:noProof/>
        </w:rPr>
        <w:t>22)</w:t>
      </w:r>
      <w:r>
        <w:rPr>
          <w:noProof/>
        </w:rPr>
        <w:tab/>
      </w:r>
      <w:r w:rsidR="002F4419" w:rsidRPr="00CB70BA">
        <w:rPr>
          <w:noProof/>
        </w:rPr>
        <w:t xml:space="preserve">’veron alentamista tulon lähteellä koskevalla järjestelmällä’ järjestelmää, jossa osinkojen tai korkojen maksuhetkellä sovelletaan asianmukaista lähdeverokantaa sovellettavien kansallisten sääntöjen ja/tai kansainvälisten sopimusten, kuten kaksinkertaista verotusta koskevan sopimuksen, mukaisesti; </w:t>
      </w:r>
    </w:p>
    <w:p w14:paraId="3CEF5531" w14:textId="1674EE1C" w:rsidR="002F4419" w:rsidRPr="00CB70BA" w:rsidRDefault="00C87C97" w:rsidP="00C87C97">
      <w:pPr>
        <w:pStyle w:val="Point0"/>
        <w:rPr>
          <w:noProof/>
        </w:rPr>
      </w:pPr>
      <w:r>
        <w:rPr>
          <w:noProof/>
        </w:rPr>
        <w:t>23)</w:t>
      </w:r>
      <w:r>
        <w:rPr>
          <w:noProof/>
        </w:rPr>
        <w:tab/>
      </w:r>
      <w:r w:rsidR="002F4419" w:rsidRPr="00CB70BA">
        <w:rPr>
          <w:noProof/>
        </w:rPr>
        <w:t xml:space="preserve">’vakiomuotoisella palautusjärjestelmällä’ järjestelmää, jossa osinkojen tai korkojen maksaminen suoritetaan yleistä kotimaista lähdeverokantaa soveltaen ja sen jälkeen esitetään pyyntö ylimääräisen lähdeveron palauttamisesta 13 artiklassa säädetyn menettelyn ulkopuolella; </w:t>
      </w:r>
    </w:p>
    <w:p w14:paraId="44A415F0" w14:textId="70B7EA60" w:rsidR="00AF037C" w:rsidRPr="00CB70BA" w:rsidRDefault="00C87C97" w:rsidP="00C87C97">
      <w:pPr>
        <w:pStyle w:val="Point0"/>
        <w:rPr>
          <w:noProof/>
        </w:rPr>
      </w:pPr>
      <w:r>
        <w:rPr>
          <w:noProof/>
        </w:rPr>
        <w:t>24)</w:t>
      </w:r>
      <w:r>
        <w:rPr>
          <w:noProof/>
        </w:rPr>
        <w:tab/>
      </w:r>
      <w:r w:rsidR="624166C1" w:rsidRPr="00CB70BA">
        <w:rPr>
          <w:noProof/>
        </w:rPr>
        <w:t>’euromääräisten markkinoiden lyhyellä korolla’ 10 päivänä heinäkuuta 2019 annetuissa Euroopan keskuspankin suuntaviivoissa (EU) 2019/1265</w:t>
      </w:r>
      <w:r w:rsidR="624166C1" w:rsidRPr="00CB70BA">
        <w:rPr>
          <w:rStyle w:val="FootnoteReference"/>
          <w:noProof/>
        </w:rPr>
        <w:footnoteReference w:id="39"/>
      </w:r>
      <w:r w:rsidR="624166C1" w:rsidRPr="00CB70BA">
        <w:rPr>
          <w:noProof/>
        </w:rPr>
        <w:t xml:space="preserve"> määriteltyä euromääräisten markkinoiden lyhyttä korkoa;</w:t>
      </w:r>
    </w:p>
    <w:p w14:paraId="65EA698F" w14:textId="77777777" w:rsidR="004D12F8" w:rsidRPr="00CB70BA" w:rsidRDefault="004D12F8" w:rsidP="004D12F8">
      <w:pPr>
        <w:rPr>
          <w:noProof/>
        </w:rPr>
      </w:pPr>
    </w:p>
    <w:p w14:paraId="6CE076D4" w14:textId="77777777" w:rsidR="001956AF" w:rsidRPr="00CB70BA" w:rsidRDefault="001956AF" w:rsidP="008A5257">
      <w:pPr>
        <w:jc w:val="center"/>
        <w:rPr>
          <w:b/>
          <w:bCs/>
          <w:i/>
          <w:noProof/>
        </w:rPr>
      </w:pPr>
      <w:r w:rsidRPr="00CB70BA">
        <w:rPr>
          <w:b/>
          <w:noProof/>
        </w:rPr>
        <w:t>II LUKU</w:t>
      </w:r>
    </w:p>
    <w:p w14:paraId="7A3B81B9" w14:textId="77777777" w:rsidR="001956AF" w:rsidRPr="00CB70BA" w:rsidRDefault="001956AF" w:rsidP="008A5257">
      <w:pPr>
        <w:jc w:val="center"/>
        <w:rPr>
          <w:noProof/>
        </w:rPr>
      </w:pPr>
      <w:r w:rsidRPr="00CB70BA">
        <w:rPr>
          <w:b/>
          <w:noProof/>
        </w:rPr>
        <w:t>DIGITAALINEN VEROTUKSELLISTA KOTIPAIKKAA KOSKEVA TODISTUS</w:t>
      </w:r>
    </w:p>
    <w:p w14:paraId="57EC86D3" w14:textId="77777777" w:rsidR="001956AF" w:rsidRPr="00CB70BA" w:rsidRDefault="001956AF" w:rsidP="008A5257">
      <w:pPr>
        <w:pStyle w:val="Titrearticle"/>
        <w:rPr>
          <w:b/>
          <w:i w:val="0"/>
          <w:noProof/>
        </w:rPr>
      </w:pPr>
      <w:r w:rsidRPr="00CB70BA">
        <w:rPr>
          <w:noProof/>
        </w:rPr>
        <w:t xml:space="preserve">4 artikla </w:t>
      </w:r>
      <w:r w:rsidRPr="00CB70BA">
        <w:rPr>
          <w:noProof/>
        </w:rPr>
        <w:cr/>
      </w:r>
      <w:r w:rsidRPr="00CB70BA">
        <w:rPr>
          <w:noProof/>
        </w:rPr>
        <w:br/>
      </w:r>
      <w:r w:rsidRPr="00CB70BA">
        <w:rPr>
          <w:b/>
          <w:i w:val="0"/>
          <w:noProof/>
        </w:rPr>
        <w:t>Digitaalinen verotuksellista kotipaikkaa koskeva todistus (eTRC)</w:t>
      </w:r>
    </w:p>
    <w:p w14:paraId="27FD26CB" w14:textId="3689FCCD" w:rsidR="001956AF" w:rsidRPr="00CB70BA" w:rsidRDefault="00A30CB2" w:rsidP="00A30CB2">
      <w:pPr>
        <w:pStyle w:val="ManualNumPar1"/>
        <w:rPr>
          <w:noProof/>
        </w:rPr>
      </w:pPr>
      <w:r w:rsidRPr="00A30CB2">
        <w:t>1.</w:t>
      </w:r>
      <w:r w:rsidRPr="00A30CB2">
        <w:tab/>
      </w:r>
      <w:r w:rsidR="001956AF" w:rsidRPr="00CB70BA">
        <w:rPr>
          <w:noProof/>
        </w:rPr>
        <w:t xml:space="preserve">Jäsenvaltioiden on säädettävä automaattisesta menettelystä digitaalisten verotuksellista kotipaikka koskevien todistusten (eTRC) myöntämiseksi henkilölle, jonka verotuksellisen kotipaikan katsotaan olevan niiden lainkäyttöalueella. </w:t>
      </w:r>
    </w:p>
    <w:p w14:paraId="35C600EE" w14:textId="74247ADA" w:rsidR="001956AF" w:rsidRPr="00CB70BA" w:rsidRDefault="00A30CB2" w:rsidP="00A30CB2">
      <w:pPr>
        <w:pStyle w:val="ManualNumPar1"/>
        <w:rPr>
          <w:noProof/>
        </w:rPr>
      </w:pPr>
      <w:r w:rsidRPr="00A30CB2">
        <w:t>2.</w:t>
      </w:r>
      <w:r w:rsidRPr="00A30CB2">
        <w:tab/>
      </w:r>
      <w:r w:rsidR="00B0739F" w:rsidRPr="00CB70BA">
        <w:rPr>
          <w:noProof/>
        </w:rPr>
        <w:t>Jäsenvaltioiden on myönnettävä eTRC-todistus yhden työpäivän kuluessa pyynnön esittämisestä, jollei 4 kohdasta muuta johdu. eTRC-todistuksen on oltava liitteen I teknisten vaatimusten mukainen, ja sen on sisällettävä seuraavat tiedot:</w:t>
      </w:r>
    </w:p>
    <w:p w14:paraId="081E735F" w14:textId="26FA6243" w:rsidR="001C7FE6" w:rsidRPr="00CB70BA" w:rsidRDefault="00C87C97" w:rsidP="00C87C97">
      <w:pPr>
        <w:pStyle w:val="Point1"/>
        <w:rPr>
          <w:noProof/>
        </w:rPr>
      </w:pPr>
      <w:r>
        <w:rPr>
          <w:noProof/>
        </w:rPr>
        <w:t>a)</w:t>
      </w:r>
      <w:r>
        <w:rPr>
          <w:noProof/>
        </w:rPr>
        <w:tab/>
      </w:r>
      <w:r w:rsidR="001956AF" w:rsidRPr="00CB70BA">
        <w:rPr>
          <w:noProof/>
        </w:rPr>
        <w:t>verovelvollisen etu- ja sukunimi sekä syntymäaika ja -paikka, jos verovelvollinen on luonnollinen henkilö, tai verovelvollisen nimi ja eurooppalainen yksilöivä tunnistenumero (EUID), jos verovelvollinen on yhteisö;</w:t>
      </w:r>
    </w:p>
    <w:p w14:paraId="133CACE0" w14:textId="043279D2" w:rsidR="001956AF" w:rsidRPr="00CB70BA" w:rsidRDefault="00C87C97" w:rsidP="00C87C97">
      <w:pPr>
        <w:pStyle w:val="Point1"/>
        <w:rPr>
          <w:noProof/>
        </w:rPr>
      </w:pPr>
      <w:r>
        <w:rPr>
          <w:noProof/>
        </w:rPr>
        <w:t>b)</w:t>
      </w:r>
      <w:r>
        <w:rPr>
          <w:noProof/>
        </w:rPr>
        <w:tab/>
      </w:r>
      <w:r w:rsidR="000E768E" w:rsidRPr="00CB70BA">
        <w:rPr>
          <w:noProof/>
        </w:rPr>
        <w:t xml:space="preserve">verotunniste; </w:t>
      </w:r>
    </w:p>
    <w:p w14:paraId="19C0CB0B" w14:textId="4D9F4A9E" w:rsidR="001956AF" w:rsidRPr="00CB70BA" w:rsidRDefault="00C87C97" w:rsidP="00C87C97">
      <w:pPr>
        <w:pStyle w:val="Point1"/>
        <w:rPr>
          <w:noProof/>
        </w:rPr>
      </w:pPr>
      <w:r>
        <w:rPr>
          <w:noProof/>
        </w:rPr>
        <w:t>c)</w:t>
      </w:r>
      <w:r>
        <w:rPr>
          <w:noProof/>
        </w:rPr>
        <w:tab/>
      </w:r>
      <w:r w:rsidR="008E56AC" w:rsidRPr="00CB70BA">
        <w:rPr>
          <w:noProof/>
        </w:rPr>
        <w:t>verovelvollisen osoite;</w:t>
      </w:r>
    </w:p>
    <w:p w14:paraId="143A2B48" w14:textId="1D90275C" w:rsidR="001956AF" w:rsidRPr="00CB70BA" w:rsidRDefault="00C87C97" w:rsidP="00C87C97">
      <w:pPr>
        <w:pStyle w:val="Point1"/>
        <w:rPr>
          <w:noProof/>
        </w:rPr>
      </w:pPr>
      <w:r>
        <w:rPr>
          <w:noProof/>
        </w:rPr>
        <w:t>d)</w:t>
      </w:r>
      <w:r>
        <w:rPr>
          <w:noProof/>
        </w:rPr>
        <w:tab/>
      </w:r>
      <w:r w:rsidR="008E56AC" w:rsidRPr="00CB70BA">
        <w:rPr>
          <w:noProof/>
        </w:rPr>
        <w:t>myöntämispäivä;</w:t>
      </w:r>
    </w:p>
    <w:p w14:paraId="169B2B2C" w14:textId="4A56E4FA" w:rsidR="001956AF" w:rsidRPr="00CB70BA" w:rsidRDefault="00C87C97" w:rsidP="00C87C97">
      <w:pPr>
        <w:pStyle w:val="Point1"/>
        <w:rPr>
          <w:noProof/>
        </w:rPr>
      </w:pPr>
      <w:r>
        <w:rPr>
          <w:noProof/>
        </w:rPr>
        <w:t>e)</w:t>
      </w:r>
      <w:r>
        <w:rPr>
          <w:noProof/>
        </w:rPr>
        <w:tab/>
      </w:r>
      <w:r w:rsidR="008E56AC" w:rsidRPr="00CB70BA">
        <w:rPr>
          <w:noProof/>
        </w:rPr>
        <w:t xml:space="preserve">todistuksen kattama ajanjakso; </w:t>
      </w:r>
    </w:p>
    <w:p w14:paraId="59D3EB6F" w14:textId="1A4E2FF0" w:rsidR="0013507F" w:rsidRPr="00CB70BA" w:rsidRDefault="00C87C97" w:rsidP="00C87C97">
      <w:pPr>
        <w:pStyle w:val="Point1"/>
        <w:rPr>
          <w:noProof/>
        </w:rPr>
      </w:pPr>
      <w:r>
        <w:rPr>
          <w:noProof/>
        </w:rPr>
        <w:t>f)</w:t>
      </w:r>
      <w:r>
        <w:rPr>
          <w:noProof/>
        </w:rPr>
        <w:tab/>
      </w:r>
      <w:r w:rsidR="00292952" w:rsidRPr="00CB70BA">
        <w:rPr>
          <w:noProof/>
        </w:rPr>
        <w:t>todistuksen myöntävän veroviranomaisen tunnistetiedot;</w:t>
      </w:r>
    </w:p>
    <w:p w14:paraId="31FBE0DC" w14:textId="517AA06A" w:rsidR="0013507F" w:rsidRPr="00CB70BA" w:rsidRDefault="00C87C97" w:rsidP="00C87C97">
      <w:pPr>
        <w:pStyle w:val="Point1"/>
        <w:rPr>
          <w:noProof/>
        </w:rPr>
      </w:pPr>
      <w:r>
        <w:rPr>
          <w:noProof/>
        </w:rPr>
        <w:t>g)</w:t>
      </w:r>
      <w:r>
        <w:rPr>
          <w:noProof/>
        </w:rPr>
        <w:tab/>
      </w:r>
      <w:r w:rsidR="003539B3" w:rsidRPr="00CB70BA">
        <w:rPr>
          <w:noProof/>
        </w:rPr>
        <w:t>mahdolliset lisätiedot, jotka voivat olla merkityksellisiä, jos todistus myönnetään muuhun tarkoitukseen kuin lähdeveron alentamiseen tämän direktiivin nojalla, tai tiedot, jotka on sisällytettävä verotuksellista kotipaikkaa koskevaan todistukseen EU:n lainsäädännön nojalla.</w:t>
      </w:r>
    </w:p>
    <w:p w14:paraId="26EE221A" w14:textId="59AD9B1D" w:rsidR="001956AF" w:rsidRPr="00CB70BA" w:rsidRDefault="00A30CB2" w:rsidP="00A30CB2">
      <w:pPr>
        <w:pStyle w:val="ManualNumPar1"/>
        <w:rPr>
          <w:noProof/>
        </w:rPr>
      </w:pPr>
      <w:r w:rsidRPr="00A30CB2">
        <w:t>3.</w:t>
      </w:r>
      <w:r w:rsidRPr="00A30CB2">
        <w:tab/>
      </w:r>
      <w:r w:rsidR="001956AF" w:rsidRPr="00CB70BA">
        <w:rPr>
          <w:noProof/>
        </w:rPr>
        <w:t xml:space="preserve">eTRC-todistuksen on katettava vähintään koko se kalenterivuosi, jona tällaista todistusta haetaan, ja olla voimassa kattamansa ajan, paitsi jos ja siihen saakka kun eTRC-todistuksen myöntävällä jäsenvaltiolla on todisteita siitä, että henkilö, jota eTRC-todistus koskee, ei asu sen lainkäyttöalueella. </w:t>
      </w:r>
    </w:p>
    <w:p w14:paraId="189F128B" w14:textId="21872BF2" w:rsidR="001956AF" w:rsidRPr="00CB70BA" w:rsidRDefault="00A30CB2" w:rsidP="00A30CB2">
      <w:pPr>
        <w:pStyle w:val="ManualNumPar1"/>
        <w:rPr>
          <w:noProof/>
        </w:rPr>
      </w:pPr>
      <w:r w:rsidRPr="00A30CB2">
        <w:t>4.</w:t>
      </w:r>
      <w:r w:rsidRPr="00A30CB2">
        <w:tab/>
      </w:r>
      <w:r w:rsidR="005226AB" w:rsidRPr="00CB70BA">
        <w:rPr>
          <w:noProof/>
        </w:rPr>
        <w:t xml:space="preserve">Jos verovelvollisen verotuksellisen kotipaikan todentamiseen tarvitaan enemmän kuin yksi työpäivä, jäsenvaltion on ilmoitettava todistuksen hakijalle tarvittavasta lisäajasta ja viivästyksen syistä. </w:t>
      </w:r>
    </w:p>
    <w:p w14:paraId="299722D5" w14:textId="02F8E573" w:rsidR="001956AF" w:rsidRPr="00CB70BA" w:rsidRDefault="00A30CB2" w:rsidP="00A30CB2">
      <w:pPr>
        <w:pStyle w:val="ManualNumPar1"/>
        <w:rPr>
          <w:noProof/>
        </w:rPr>
      </w:pPr>
      <w:r w:rsidRPr="00A30CB2">
        <w:t>5.</w:t>
      </w:r>
      <w:r w:rsidRPr="00A30CB2">
        <w:tab/>
      </w:r>
      <w:r w:rsidR="001956AF" w:rsidRPr="00CB70BA">
        <w:rPr>
          <w:noProof/>
        </w:rPr>
        <w:t>Jäsenvaltioiden on tunnustettava toisen jäsenvaltion myöntämä eTRC-todistus riittäväksi todisteeksi verovelvollisen kotipaikasta kyseisessä toisessa jäsenvaltiossa 3 kohdan mukaisesti.</w:t>
      </w:r>
    </w:p>
    <w:p w14:paraId="26201208" w14:textId="726760C9" w:rsidR="001956AF" w:rsidRPr="00CB70BA" w:rsidRDefault="00A30CB2" w:rsidP="00A30CB2">
      <w:pPr>
        <w:pStyle w:val="ManualNumPar1"/>
        <w:rPr>
          <w:noProof/>
        </w:rPr>
      </w:pPr>
      <w:r w:rsidRPr="00A30CB2">
        <w:t>6.</w:t>
      </w:r>
      <w:r w:rsidRPr="00A30CB2">
        <w:tab/>
      </w:r>
      <w:r w:rsidR="001956AF" w:rsidRPr="00CB70BA">
        <w:rPr>
          <w:noProof/>
        </w:rPr>
        <w:t>Komissio hyväksyy täytäntöönpanosäädöksiä, joilla vahvistetaan eTRC-todistuksen myöntämiseen käytettävät vakiomuotoiset sähköiset lomakkeet, mukaan lukien kielijärjestelyt, ja tekniset protokollat, mukaan lukien turvallisuusstandardit. Nämä täytäntöönpanosäädökset hyväksytään 18 artiklassa tarkoitettua tarkastelumenettelyä noudattaen.</w:t>
      </w:r>
    </w:p>
    <w:p w14:paraId="37608FC7" w14:textId="77777777" w:rsidR="004D12F8" w:rsidRPr="00CB70BA" w:rsidRDefault="004D12F8" w:rsidP="004D12F8">
      <w:pPr>
        <w:rPr>
          <w:noProof/>
        </w:rPr>
      </w:pPr>
    </w:p>
    <w:p w14:paraId="0E789B17" w14:textId="77777777" w:rsidR="001956AF" w:rsidRPr="00CB70BA" w:rsidRDefault="001956AF" w:rsidP="00350D94">
      <w:pPr>
        <w:jc w:val="center"/>
        <w:rPr>
          <w:b/>
          <w:bCs/>
          <w:i/>
          <w:noProof/>
        </w:rPr>
      </w:pPr>
      <w:bookmarkStart w:id="3" w:name="_Hlk119933448"/>
      <w:r w:rsidRPr="00CB70BA">
        <w:rPr>
          <w:b/>
          <w:noProof/>
        </w:rPr>
        <w:t>III LUKU</w:t>
      </w:r>
    </w:p>
    <w:bookmarkEnd w:id="3"/>
    <w:p w14:paraId="43E27402" w14:textId="77777777" w:rsidR="001956AF" w:rsidRPr="00CB70BA" w:rsidRDefault="001956AF" w:rsidP="00350D94">
      <w:pPr>
        <w:jc w:val="center"/>
        <w:rPr>
          <w:b/>
          <w:bCs/>
          <w:noProof/>
        </w:rPr>
      </w:pPr>
      <w:r w:rsidRPr="00CB70BA">
        <w:rPr>
          <w:b/>
          <w:noProof/>
        </w:rPr>
        <w:t>LÄHDEVERON ALENTAMISEEN SOVELLETTAVAT MENETTELYT</w:t>
      </w:r>
    </w:p>
    <w:p w14:paraId="61894279" w14:textId="77777777" w:rsidR="001956AF" w:rsidRPr="00CB70BA" w:rsidRDefault="001956AF" w:rsidP="00350D94">
      <w:pPr>
        <w:jc w:val="center"/>
        <w:rPr>
          <w:b/>
          <w:bCs/>
          <w:i/>
          <w:noProof/>
        </w:rPr>
      </w:pPr>
    </w:p>
    <w:p w14:paraId="69C7FC50" w14:textId="77777777" w:rsidR="001956AF" w:rsidRPr="00CB70BA" w:rsidRDefault="001956AF" w:rsidP="00350D94">
      <w:pPr>
        <w:jc w:val="center"/>
        <w:rPr>
          <w:b/>
          <w:bCs/>
          <w:i/>
          <w:noProof/>
        </w:rPr>
      </w:pPr>
      <w:r w:rsidRPr="00CB70BA">
        <w:rPr>
          <w:b/>
          <w:i/>
          <w:noProof/>
        </w:rPr>
        <w:t>1 JAKSO</w:t>
      </w:r>
    </w:p>
    <w:p w14:paraId="38277988" w14:textId="77777777" w:rsidR="001956AF" w:rsidRPr="00CB70BA" w:rsidRDefault="00F319EE" w:rsidP="00350D94">
      <w:pPr>
        <w:jc w:val="center"/>
        <w:rPr>
          <w:b/>
          <w:bCs/>
          <w:i/>
          <w:noProof/>
        </w:rPr>
      </w:pPr>
      <w:r w:rsidRPr="00CB70BA">
        <w:rPr>
          <w:b/>
          <w:noProof/>
        </w:rPr>
        <w:t>SERTIFIOIDUT RAHOITUKSEN VÄLITTÄJÄT</w:t>
      </w:r>
    </w:p>
    <w:p w14:paraId="5D6E2288" w14:textId="77777777" w:rsidR="001956AF" w:rsidRPr="00CB70BA" w:rsidRDefault="001956AF" w:rsidP="00350D94">
      <w:pPr>
        <w:pStyle w:val="Titrearticle"/>
        <w:rPr>
          <w:b/>
          <w:bCs/>
          <w:i w:val="0"/>
          <w:iCs/>
          <w:noProof/>
        </w:rPr>
      </w:pPr>
      <w:r w:rsidRPr="00CB70BA">
        <w:rPr>
          <w:noProof/>
        </w:rPr>
        <w:t xml:space="preserve">5 artikla </w:t>
      </w:r>
      <w:r w:rsidRPr="00CB70BA">
        <w:rPr>
          <w:noProof/>
        </w:rPr>
        <w:cr/>
      </w:r>
      <w:r w:rsidRPr="00CB70BA">
        <w:rPr>
          <w:noProof/>
        </w:rPr>
        <w:br/>
      </w:r>
      <w:r w:rsidRPr="00CB70BA">
        <w:rPr>
          <w:b/>
          <w:i w:val="0"/>
          <w:noProof/>
        </w:rPr>
        <w:t xml:space="preserve">Sertifioitujen rahoituksen välittäjien kansallinen rekisteri </w:t>
      </w:r>
    </w:p>
    <w:p w14:paraId="652FAA39" w14:textId="5D35C22F" w:rsidR="00F737CA" w:rsidRPr="00CB70BA" w:rsidRDefault="00A30CB2" w:rsidP="00A30CB2">
      <w:pPr>
        <w:pStyle w:val="ManualNumPar1"/>
        <w:rPr>
          <w:noProof/>
        </w:rPr>
      </w:pPr>
      <w:r w:rsidRPr="00A30CB2">
        <w:t>1.</w:t>
      </w:r>
      <w:r w:rsidRPr="00A30CB2">
        <w:tab/>
      </w:r>
      <w:r w:rsidR="00EB7A3E" w:rsidRPr="00CB70BA">
        <w:rPr>
          <w:noProof/>
        </w:rPr>
        <w:t xml:space="preserve">Jäsenvaltioiden, jotka perivät lähdeveroa osingoista, jotka maksetaan julkisen kaupankäynnin kohteena olevista osakkeista sellaisille rekisteröidyille omistajille, joiden verotuksellinen kotipaikka on kyseisen jäsenvaltion ulkopuolella, ja jotka myöntävät ylimääräisen lähdeveron alennuksia, on perustettava sertifioitujen rahoituksen välittäjien kansallinen rekisteri. Jäsenvaltiot voivat tarvittaessa käyttää tätä kansallista rekisteriä myös julkisen kaupankäynnin kohteena olevista joukkovelkakirjoista maksettavista koroista perittävän ylimääräisen lähdeveron alentamisessa. </w:t>
      </w:r>
    </w:p>
    <w:p w14:paraId="70A23F58" w14:textId="4706714F" w:rsidR="00F319EE" w:rsidRPr="00CB70BA" w:rsidRDefault="00A30CB2" w:rsidP="00A30CB2">
      <w:pPr>
        <w:pStyle w:val="ManualNumPar1"/>
        <w:rPr>
          <w:noProof/>
        </w:rPr>
      </w:pPr>
      <w:r w:rsidRPr="00A30CB2">
        <w:t>2.</w:t>
      </w:r>
      <w:r w:rsidRPr="00A30CB2">
        <w:tab/>
      </w:r>
      <w:r w:rsidR="000D1985" w:rsidRPr="00CB70BA">
        <w:rPr>
          <w:noProof/>
        </w:rPr>
        <w:t>Jäsenvaltiot, jotka perivät lähdeveroa julkisen kaupankäynnin kohteena olevista joukkovelkakirjoista maksettavista koroista mutta eivät julkisen kaupankäynnin kohteena olevista osakkeista maksettavista osingoista, voivat halutessaan perustaa kansallisen rekisterin.</w:t>
      </w:r>
    </w:p>
    <w:p w14:paraId="1B650FBA" w14:textId="6FF28C8A" w:rsidR="00F319EE" w:rsidRPr="00CB70BA" w:rsidRDefault="00A30CB2" w:rsidP="00A30CB2">
      <w:pPr>
        <w:pStyle w:val="ManualNumPar1"/>
        <w:rPr>
          <w:noProof/>
        </w:rPr>
      </w:pPr>
      <w:r w:rsidRPr="00A30CB2">
        <w:t>3.</w:t>
      </w:r>
      <w:r w:rsidRPr="00A30CB2">
        <w:tab/>
      </w:r>
      <w:r w:rsidR="00F319EE" w:rsidRPr="00CB70BA">
        <w:rPr>
          <w:noProof/>
        </w:rPr>
        <w:t>Jäsenvaltioiden, jotka perustavat kansallisen rekisterin 1 ja 2 kohdan mukaisesti, on nimettävä toimivaltainen viranomainen, joka vastaa rekisterin ylläpidosta ja päivittämisestä.</w:t>
      </w:r>
    </w:p>
    <w:p w14:paraId="0F1916AF" w14:textId="6C46B74A" w:rsidR="00F319EE" w:rsidRPr="00CB70BA" w:rsidRDefault="00A30CB2" w:rsidP="00A30CB2">
      <w:pPr>
        <w:pStyle w:val="ManualNumPar1"/>
        <w:rPr>
          <w:noProof/>
        </w:rPr>
      </w:pPr>
      <w:r w:rsidRPr="00A30CB2">
        <w:t>4.</w:t>
      </w:r>
      <w:r w:rsidRPr="00A30CB2">
        <w:tab/>
      </w:r>
      <w:r w:rsidR="00F319EE" w:rsidRPr="00CB70BA">
        <w:rPr>
          <w:noProof/>
        </w:rPr>
        <w:t>Kansallisessa rekisterissä on oltava seuraavat tiedot sertifioiduista rahoituksen välittäjistä:</w:t>
      </w:r>
    </w:p>
    <w:p w14:paraId="5087EF52" w14:textId="63D63A1B" w:rsidR="00F319EE" w:rsidRPr="00CB70BA" w:rsidRDefault="00C87C97" w:rsidP="00C87C97">
      <w:pPr>
        <w:pStyle w:val="Point1"/>
        <w:rPr>
          <w:noProof/>
        </w:rPr>
      </w:pPr>
      <w:r>
        <w:rPr>
          <w:noProof/>
        </w:rPr>
        <w:t>a)</w:t>
      </w:r>
      <w:r>
        <w:rPr>
          <w:noProof/>
        </w:rPr>
        <w:tab/>
      </w:r>
      <w:r w:rsidR="00F319EE" w:rsidRPr="00CB70BA">
        <w:rPr>
          <w:noProof/>
        </w:rPr>
        <w:t>sertifioidun rahoituksen välittäjän nimi;</w:t>
      </w:r>
    </w:p>
    <w:p w14:paraId="09F4FC07" w14:textId="58764DB8" w:rsidR="00F319EE" w:rsidRPr="00CB70BA" w:rsidRDefault="00C87C97" w:rsidP="00C87C97">
      <w:pPr>
        <w:pStyle w:val="Point1"/>
        <w:rPr>
          <w:noProof/>
        </w:rPr>
      </w:pPr>
      <w:r>
        <w:rPr>
          <w:noProof/>
        </w:rPr>
        <w:t>b)</w:t>
      </w:r>
      <w:r>
        <w:rPr>
          <w:noProof/>
        </w:rPr>
        <w:tab/>
      </w:r>
      <w:r w:rsidR="00F319EE" w:rsidRPr="00CB70BA">
        <w:rPr>
          <w:noProof/>
        </w:rPr>
        <w:t>rekisteröintipäivä;</w:t>
      </w:r>
    </w:p>
    <w:p w14:paraId="167546DA" w14:textId="40BDFB23" w:rsidR="00F319EE" w:rsidRPr="00CB70BA" w:rsidRDefault="00C87C97" w:rsidP="00C87C97">
      <w:pPr>
        <w:pStyle w:val="Point1"/>
        <w:rPr>
          <w:noProof/>
        </w:rPr>
      </w:pPr>
      <w:r>
        <w:rPr>
          <w:noProof/>
        </w:rPr>
        <w:t>c)</w:t>
      </w:r>
      <w:r>
        <w:rPr>
          <w:noProof/>
        </w:rPr>
        <w:tab/>
      </w:r>
      <w:r w:rsidR="00F319EE" w:rsidRPr="00CB70BA">
        <w:rPr>
          <w:noProof/>
        </w:rPr>
        <w:t>sertifioidun rahoituksen välittäjän yhteystiedot ja mahdollinen verkkosivusto;</w:t>
      </w:r>
    </w:p>
    <w:p w14:paraId="2C2BD66A" w14:textId="0244F0F1" w:rsidR="00F319EE" w:rsidRPr="00CB70BA" w:rsidRDefault="00C87C97" w:rsidP="00C87C97">
      <w:pPr>
        <w:pStyle w:val="Point1"/>
        <w:rPr>
          <w:noProof/>
        </w:rPr>
      </w:pPr>
      <w:r>
        <w:rPr>
          <w:noProof/>
        </w:rPr>
        <w:t>d)</w:t>
      </w:r>
      <w:r>
        <w:rPr>
          <w:noProof/>
        </w:rPr>
        <w:tab/>
      </w:r>
      <w:r w:rsidR="00F319EE" w:rsidRPr="00CB70BA">
        <w:rPr>
          <w:noProof/>
        </w:rPr>
        <w:t>EUID-tunniste tai, jos sertifioidulla rahoituksen välittäjällä ei ole tällaista tunnistetta, sen sijoittautumismaan antama oikeushenkilötunnus (LEI) tai muu oikeushenkilöiden rekisteröintinumero.</w:t>
      </w:r>
    </w:p>
    <w:p w14:paraId="28CD6358" w14:textId="3E3E04B0" w:rsidR="00F319EE" w:rsidRPr="00CB70BA" w:rsidRDefault="00A30CB2" w:rsidP="00A30CB2">
      <w:pPr>
        <w:pStyle w:val="ManualNumPar1"/>
        <w:rPr>
          <w:noProof/>
        </w:rPr>
      </w:pPr>
      <w:r w:rsidRPr="00A30CB2">
        <w:t>5.</w:t>
      </w:r>
      <w:r w:rsidRPr="00A30CB2">
        <w:tab/>
      </w:r>
      <w:r w:rsidR="00F319EE" w:rsidRPr="00CB70BA">
        <w:rPr>
          <w:noProof/>
        </w:rPr>
        <w:t xml:space="preserve">Kansallinen rekisteri on asetettava julkisesti saataville jäsenvaltion tähän tarkoitukseen luodulla verkkosivustolla, ja se on päivitettävä vähintään kerran kuukaudessa. </w:t>
      </w:r>
    </w:p>
    <w:p w14:paraId="6A6901B4" w14:textId="77777777" w:rsidR="001956AF" w:rsidRPr="00CB70BA" w:rsidRDefault="001956AF" w:rsidP="00350D94">
      <w:pPr>
        <w:pStyle w:val="Titrearticle"/>
        <w:rPr>
          <w:b/>
          <w:bCs/>
          <w:i w:val="0"/>
          <w:iCs/>
          <w:noProof/>
        </w:rPr>
      </w:pPr>
      <w:r w:rsidRPr="00CB70BA">
        <w:rPr>
          <w:noProof/>
        </w:rPr>
        <w:t xml:space="preserve">6 artikla </w:t>
      </w:r>
      <w:r w:rsidRPr="00CB70BA">
        <w:rPr>
          <w:noProof/>
        </w:rPr>
        <w:cr/>
      </w:r>
      <w:r w:rsidRPr="00CB70BA">
        <w:rPr>
          <w:noProof/>
        </w:rPr>
        <w:br/>
      </w:r>
      <w:r w:rsidRPr="00CB70BA">
        <w:rPr>
          <w:b/>
          <w:i w:val="0"/>
          <w:noProof/>
        </w:rPr>
        <w:t>Vaatimus sertifioiduksi rahoituksen välittäjäksi rekisteröitymisestä</w:t>
      </w:r>
    </w:p>
    <w:p w14:paraId="59735551" w14:textId="0E6E72FD" w:rsidR="00974BE9" w:rsidRPr="00CB70BA" w:rsidRDefault="00A30CB2" w:rsidP="00A30CB2">
      <w:pPr>
        <w:pStyle w:val="ManualNumPar1"/>
        <w:rPr>
          <w:noProof/>
        </w:rPr>
      </w:pPr>
      <w:r w:rsidRPr="00A30CB2">
        <w:t>1.</w:t>
      </w:r>
      <w:r w:rsidRPr="00A30CB2">
        <w:tab/>
      </w:r>
      <w:r w:rsidR="00974BE9" w:rsidRPr="00CB70BA">
        <w:rPr>
          <w:noProof/>
        </w:rPr>
        <w:t xml:space="preserve">Jäsenvaltioiden, jotka ylläpitävät 5 artiklan mukaista kansallista rekisteriä, on vaadittava, että kaikki 3 artiklan 10 alakohdassa tarkoitetut suuret laitokset, jotka käsittelevät niiden lainkäyttöalueilta peräisin olevia arvopapereihin liittyviä osinko- ja tapauksen mukaan korkomaksuja, sekä 3 artiklan 4 alakohdassa tarkoitetut arvopaperikeskukset, jotka tarjoavat lähdeveroasiamiehen palveluja samojen maksujen osalta, rekisteröityvät </w:t>
      </w:r>
      <w:bookmarkStart w:id="4" w:name="_Hlk132976132"/>
      <w:r w:rsidR="00974BE9" w:rsidRPr="00CB70BA">
        <w:rPr>
          <w:noProof/>
        </w:rPr>
        <w:t>kyseisen jäsenvaltion kansalliseen rekisteriin</w:t>
      </w:r>
      <w:bookmarkEnd w:id="4"/>
      <w:r w:rsidR="00974BE9" w:rsidRPr="00CB70BA">
        <w:rPr>
          <w:noProof/>
        </w:rPr>
        <w:t>.</w:t>
      </w:r>
    </w:p>
    <w:p w14:paraId="389CF917" w14:textId="4D17358E" w:rsidR="00974BE9" w:rsidRPr="00CB70BA" w:rsidRDefault="00A30CB2" w:rsidP="00A30CB2">
      <w:pPr>
        <w:pStyle w:val="ManualNumPar1"/>
        <w:rPr>
          <w:noProof/>
        </w:rPr>
      </w:pPr>
      <w:r w:rsidRPr="00A30CB2">
        <w:t>2.</w:t>
      </w:r>
      <w:r w:rsidRPr="00A30CB2">
        <w:tab/>
      </w:r>
      <w:r w:rsidR="00974BE9" w:rsidRPr="00CB70BA">
        <w:rPr>
          <w:noProof/>
        </w:rPr>
        <w:t>Jäsenvaltioiden, jotka ylläpitävät kansallista rekisteriä 5 artiklan mukaisesti, on pyynnöstä mahdollistettava kaikkien 7 artiklan vaatimukset täyttävien rahoituksen välittäjien rekisteröinti kyseiseen rekisteriin.</w:t>
      </w:r>
    </w:p>
    <w:p w14:paraId="790CBA13" w14:textId="77777777" w:rsidR="001956AF" w:rsidRPr="00CB70BA" w:rsidRDefault="001956AF" w:rsidP="006F5C2E">
      <w:pPr>
        <w:pStyle w:val="Titrearticle"/>
        <w:rPr>
          <w:b/>
          <w:bCs/>
          <w:i w:val="0"/>
          <w:iCs/>
          <w:noProof/>
        </w:rPr>
      </w:pPr>
      <w:r w:rsidRPr="00CB70BA">
        <w:rPr>
          <w:noProof/>
        </w:rPr>
        <w:t xml:space="preserve">7 artikla </w:t>
      </w:r>
      <w:r w:rsidRPr="00CB70BA">
        <w:rPr>
          <w:noProof/>
        </w:rPr>
        <w:cr/>
      </w:r>
      <w:r w:rsidRPr="00CB70BA">
        <w:rPr>
          <w:noProof/>
        </w:rPr>
        <w:br/>
      </w:r>
      <w:r w:rsidRPr="00CB70BA">
        <w:rPr>
          <w:b/>
          <w:i w:val="0"/>
          <w:noProof/>
        </w:rPr>
        <w:t>Rekisteröintimenettely</w:t>
      </w:r>
    </w:p>
    <w:p w14:paraId="784B591E" w14:textId="19FE5533" w:rsidR="001956AF" w:rsidRPr="00CB70BA" w:rsidRDefault="00A30CB2" w:rsidP="00A30CB2">
      <w:pPr>
        <w:pStyle w:val="ManualNumPar1"/>
        <w:rPr>
          <w:noProof/>
        </w:rPr>
      </w:pPr>
      <w:r w:rsidRPr="00A30CB2">
        <w:t>1.</w:t>
      </w:r>
      <w:r w:rsidRPr="00A30CB2">
        <w:tab/>
      </w:r>
      <w:r w:rsidR="001956AF" w:rsidRPr="00CB70BA">
        <w:rPr>
          <w:noProof/>
        </w:rPr>
        <w:t xml:space="preserve">Jäsenvaltioiden on varmistettava, että rahoituksen välittäjä rekisteröidään sertifioitujen rahoituksen välittäjien kansalliseen rekisteriin kolmen kuukauden kuluessa siitä, kun rahoituksen välittäjä on jättänyt rekisteröintihakemuksen, jossa esitetään todisteet kaikista seuraavista vaatimuksista: </w:t>
      </w:r>
    </w:p>
    <w:p w14:paraId="7DA6DB97" w14:textId="2472218F" w:rsidR="00061B4D" w:rsidRPr="00CB70BA" w:rsidRDefault="00C87C97" w:rsidP="00C87C97">
      <w:pPr>
        <w:pStyle w:val="Point1"/>
        <w:rPr>
          <w:noProof/>
        </w:rPr>
      </w:pPr>
      <w:r>
        <w:rPr>
          <w:noProof/>
        </w:rPr>
        <w:t>a)</w:t>
      </w:r>
      <w:r>
        <w:rPr>
          <w:noProof/>
        </w:rPr>
        <w:tab/>
      </w:r>
      <w:r w:rsidR="000B25F2" w:rsidRPr="00CB70BA">
        <w:rPr>
          <w:noProof/>
        </w:rPr>
        <w:t>verotuksellinen kotipaikka jäsenvaltiossa tai sellaisen kolmannen maan lainkäyttöalueella, jota ei ole mainittu veroasioissa yhteistyöhaluttomia lainkäyttöalueita koskevan EU:n luettelon</w:t>
      </w:r>
      <w:r w:rsidR="000B25F2" w:rsidRPr="00CB70BA">
        <w:rPr>
          <w:rStyle w:val="FootnoteReference"/>
          <w:noProof/>
        </w:rPr>
        <w:footnoteReference w:id="40"/>
      </w:r>
      <w:r w:rsidR="000B25F2" w:rsidRPr="00CB70BA">
        <w:rPr>
          <w:noProof/>
        </w:rPr>
        <w:t xml:space="preserve"> liitteessä I eikä delegoidun asetuksen (EU) 2016/1675</w:t>
      </w:r>
      <w:r w:rsidR="000B25F2" w:rsidRPr="00CB70BA">
        <w:rPr>
          <w:rStyle w:val="FootnoteReference"/>
          <w:noProof/>
        </w:rPr>
        <w:footnoteReference w:id="41"/>
      </w:r>
      <w:r w:rsidR="000B25F2" w:rsidRPr="00CB70BA">
        <w:rPr>
          <w:noProof/>
        </w:rPr>
        <w:t xml:space="preserve"> liitteessä olevassa taulukossa I; </w:t>
      </w:r>
    </w:p>
    <w:p w14:paraId="05432E43" w14:textId="2DFCA57D" w:rsidR="001956AF" w:rsidRPr="00CB70BA" w:rsidRDefault="00C87C97" w:rsidP="00C87C97">
      <w:pPr>
        <w:pStyle w:val="Point1"/>
        <w:rPr>
          <w:noProof/>
        </w:rPr>
      </w:pPr>
      <w:r>
        <w:rPr>
          <w:noProof/>
        </w:rPr>
        <w:t>b)</w:t>
      </w:r>
      <w:r>
        <w:rPr>
          <w:noProof/>
        </w:rPr>
        <w:tab/>
      </w:r>
      <w:r w:rsidR="00051BC3" w:rsidRPr="00CB70BA">
        <w:rPr>
          <w:noProof/>
        </w:rPr>
        <w:t>jos rekisteröintiä hakeva rahoituksen välittäjä on luottolaitos, verotuksellisen kotipaikan lainkäyttöalueella myönnetty toimilupa harjoittaa direktiivin 2013/36/EU liitteessä I olevan 12 tai 14 kohdan tai kolmannen maan vastaavan lainsäädännön mukaista säilytystoimintaa; jos rekisteröintiä hakeva rahoituksen välittäjä on sijoituspalveluyritys, verotuksellisen kotipaikan lainkäyttöalueella myönnetty toimilupa harjoittaa direktiivin 2014/65/EU liitteessä I olevan B osan 1 kohdan tai kolmannen maan vastaavan lainsäädännön mukaista säilytystoimintaa; tai jos rekisteröintiä hakeva rahoituksen välittäjä on arvopaperikeskus, asetuksen (EU) N:o 909/2014 tai kotipaikkana olevan kolmannen maan vastaavan lainsäädännön mukainen verotuksellisen kotipaikan lainkäyttöalueelle myönnetty toimilupa;</w:t>
      </w:r>
    </w:p>
    <w:p w14:paraId="7D52844C" w14:textId="66887295" w:rsidR="004360A9" w:rsidRPr="00CB70BA" w:rsidRDefault="00C87C97" w:rsidP="00C87C97">
      <w:pPr>
        <w:pStyle w:val="Point1"/>
        <w:rPr>
          <w:noProof/>
        </w:rPr>
      </w:pPr>
      <w:r>
        <w:rPr>
          <w:noProof/>
        </w:rPr>
        <w:t>c)</w:t>
      </w:r>
      <w:r>
        <w:rPr>
          <w:noProof/>
        </w:rPr>
        <w:tab/>
      </w:r>
      <w:r w:rsidR="00AF46FA" w:rsidRPr="00CB70BA">
        <w:rPr>
          <w:noProof/>
        </w:rPr>
        <w:t xml:space="preserve">vakuutus </w:t>
      </w:r>
      <w:bookmarkStart w:id="5" w:name="_Hlk132982294"/>
      <w:r w:rsidR="00AF46FA" w:rsidRPr="00CB70BA">
        <w:rPr>
          <w:noProof/>
        </w:rPr>
        <w:t>neuvoston direktiivin 2014/107/EU</w:t>
      </w:r>
      <w:r w:rsidR="00AF46FA" w:rsidRPr="00CB70BA">
        <w:rPr>
          <w:rStyle w:val="FootnoteReference"/>
          <w:noProof/>
        </w:rPr>
        <w:footnoteReference w:id="42"/>
      </w:r>
      <w:r w:rsidR="00AF46FA" w:rsidRPr="00CB70BA">
        <w:rPr>
          <w:noProof/>
        </w:rPr>
        <w:t xml:space="preserve"> säännösten tai soveltuvin osin Euroopan parlamentin ja neuvoston direktiivin 2018/843/EU</w:t>
      </w:r>
      <w:r w:rsidR="00AF46FA" w:rsidRPr="00CB70BA">
        <w:rPr>
          <w:rStyle w:val="FootnoteReference"/>
          <w:noProof/>
        </w:rPr>
        <w:footnoteReference w:id="43"/>
      </w:r>
      <w:r w:rsidR="00AF46FA" w:rsidRPr="00CB70BA">
        <w:rPr>
          <w:noProof/>
        </w:rPr>
        <w:t xml:space="preserve"> säännösten tai sellaisen kolmannen maan lainkäyttöalueen vastaavan lainsäädännön noudattamisesta, jota ei ole mainittu veroasioissa yhteistyöhaluttomia lainkäyttöalueita koskevan EU:n luettelon liitteessä I</w:t>
      </w:r>
      <w:bookmarkEnd w:id="5"/>
      <w:r w:rsidR="00AF46FA" w:rsidRPr="00CB70BA">
        <w:rPr>
          <w:noProof/>
        </w:rPr>
        <w:t xml:space="preserve"> tai delegoidun asetuksen (EU) 2016/1675 liitteessä olevassa taulukossa I.</w:t>
      </w:r>
    </w:p>
    <w:p w14:paraId="61AA4E25" w14:textId="07E5E7E8" w:rsidR="004573F8" w:rsidRPr="00CB70BA" w:rsidRDefault="00A30CB2" w:rsidP="00A30CB2">
      <w:pPr>
        <w:pStyle w:val="ManualNumPar1"/>
        <w:rPr>
          <w:noProof/>
        </w:rPr>
      </w:pPr>
      <w:r w:rsidRPr="00A30CB2">
        <w:t>2.</w:t>
      </w:r>
      <w:r w:rsidRPr="00A30CB2">
        <w:tab/>
      </w:r>
      <w:r w:rsidR="00583BEE" w:rsidRPr="00CB70BA">
        <w:rPr>
          <w:noProof/>
        </w:rPr>
        <w:t>Rahoituksen välittäjien on ilmoitettava viipymättä jäsenvaltion toimivaltaiselle viranomaiselle kaikista a–c alakohdan mukaisesti toimitettujen tietojen muutoksista.</w:t>
      </w:r>
    </w:p>
    <w:p w14:paraId="5D84C911" w14:textId="77777777" w:rsidR="001956AF" w:rsidRPr="00CB70BA" w:rsidRDefault="001956AF" w:rsidP="00974BE9">
      <w:pPr>
        <w:pStyle w:val="Titrearticle"/>
        <w:rPr>
          <w:b/>
          <w:bCs/>
          <w:i w:val="0"/>
          <w:iCs/>
          <w:noProof/>
        </w:rPr>
      </w:pPr>
      <w:r w:rsidRPr="00CB70BA">
        <w:rPr>
          <w:noProof/>
        </w:rPr>
        <w:t xml:space="preserve">8 artikla </w:t>
      </w:r>
      <w:r w:rsidRPr="00CB70BA">
        <w:rPr>
          <w:noProof/>
        </w:rPr>
        <w:cr/>
      </w:r>
      <w:r w:rsidRPr="00CB70BA">
        <w:rPr>
          <w:noProof/>
        </w:rPr>
        <w:br/>
      </w:r>
      <w:r w:rsidRPr="00CB70BA">
        <w:rPr>
          <w:b/>
          <w:i w:val="0"/>
          <w:noProof/>
        </w:rPr>
        <w:t>Kansallisesta rekisteristä poistaminen</w:t>
      </w:r>
    </w:p>
    <w:p w14:paraId="4A227308" w14:textId="3522821A" w:rsidR="001956AF" w:rsidRPr="00CB70BA" w:rsidRDefault="00A30CB2" w:rsidP="00A30CB2">
      <w:pPr>
        <w:pStyle w:val="ManualNumPar1"/>
        <w:rPr>
          <w:noProof/>
        </w:rPr>
      </w:pPr>
      <w:r w:rsidRPr="00A30CB2">
        <w:t>1.</w:t>
      </w:r>
      <w:r w:rsidRPr="00A30CB2">
        <w:tab/>
      </w:r>
      <w:r w:rsidR="001956AF" w:rsidRPr="00CB70BA">
        <w:rPr>
          <w:noProof/>
        </w:rPr>
        <w:t xml:space="preserve">Jäsenvaltioiden on poistettava kansallisesta rekisteristään sertifioitu rahoituksen välittäjä, jos tällainen välittäjä </w:t>
      </w:r>
    </w:p>
    <w:p w14:paraId="26A3DC4A" w14:textId="6AB53C00" w:rsidR="001956AF" w:rsidRPr="00CB70BA" w:rsidRDefault="00C87C97" w:rsidP="00C87C97">
      <w:pPr>
        <w:pStyle w:val="Point1"/>
        <w:rPr>
          <w:noProof/>
        </w:rPr>
      </w:pPr>
      <w:r>
        <w:rPr>
          <w:noProof/>
        </w:rPr>
        <w:t>a)</w:t>
      </w:r>
      <w:r>
        <w:rPr>
          <w:noProof/>
        </w:rPr>
        <w:tab/>
      </w:r>
      <w:r w:rsidR="008C4F04" w:rsidRPr="00CB70BA">
        <w:rPr>
          <w:noProof/>
        </w:rPr>
        <w:t>pyytää poistamista; tai</w:t>
      </w:r>
    </w:p>
    <w:p w14:paraId="7746C950" w14:textId="2108857D" w:rsidR="001956AF" w:rsidRPr="00CB70BA" w:rsidRDefault="00C87C97" w:rsidP="00C87C97">
      <w:pPr>
        <w:pStyle w:val="Point1"/>
        <w:rPr>
          <w:noProof/>
        </w:rPr>
      </w:pPr>
      <w:r>
        <w:rPr>
          <w:noProof/>
        </w:rPr>
        <w:t>b)</w:t>
      </w:r>
      <w:r>
        <w:rPr>
          <w:noProof/>
        </w:rPr>
        <w:tab/>
      </w:r>
      <w:r w:rsidR="001956AF" w:rsidRPr="00CB70BA">
        <w:rPr>
          <w:noProof/>
        </w:rPr>
        <w:t xml:space="preserve">ei enää täytä 7 artiklan vaatimuksia. </w:t>
      </w:r>
    </w:p>
    <w:p w14:paraId="71A5F85F" w14:textId="5FB81C4C" w:rsidR="001439E8" w:rsidRPr="00CB70BA" w:rsidRDefault="00A30CB2" w:rsidP="00A30CB2">
      <w:pPr>
        <w:pStyle w:val="ManualNumPar1"/>
        <w:rPr>
          <w:noProof/>
        </w:rPr>
      </w:pPr>
      <w:r w:rsidRPr="00A30CB2">
        <w:t>2.</w:t>
      </w:r>
      <w:r w:rsidRPr="00A30CB2">
        <w:tab/>
      </w:r>
      <w:r w:rsidR="001439E8" w:rsidRPr="00CB70BA">
        <w:rPr>
          <w:noProof/>
        </w:rPr>
        <w:t>Jäsenvaltiot voivat poistaa kansallisesta rekisteristään sertifioidut rahoituksen välittäjät, joiden on todettu toistuvasti ja tarkoituksellisesti jättäneen täyttämättä seuraavien säädösten mukaiset velvoitteensa:</w:t>
      </w:r>
    </w:p>
    <w:p w14:paraId="07364D86" w14:textId="262838CF" w:rsidR="001439E8" w:rsidRPr="00CB70BA" w:rsidRDefault="00C87C97" w:rsidP="00C87C97">
      <w:pPr>
        <w:pStyle w:val="Point1"/>
        <w:rPr>
          <w:noProof/>
        </w:rPr>
      </w:pPr>
      <w:r>
        <w:rPr>
          <w:noProof/>
        </w:rPr>
        <w:t>a)</w:t>
      </w:r>
      <w:r>
        <w:rPr>
          <w:noProof/>
        </w:rPr>
        <w:tab/>
      </w:r>
      <w:r w:rsidR="001439E8" w:rsidRPr="00CB70BA">
        <w:rPr>
          <w:noProof/>
        </w:rPr>
        <w:t>tämä direktiivi;</w:t>
      </w:r>
    </w:p>
    <w:p w14:paraId="4948CEA4" w14:textId="1D70258D" w:rsidR="001439E8" w:rsidRPr="00CB70BA" w:rsidRDefault="00C87C97" w:rsidP="00C87C97">
      <w:pPr>
        <w:pStyle w:val="Point1"/>
        <w:rPr>
          <w:noProof/>
        </w:rPr>
      </w:pPr>
      <w:r>
        <w:rPr>
          <w:noProof/>
        </w:rPr>
        <w:t>b)</w:t>
      </w:r>
      <w:r>
        <w:rPr>
          <w:noProof/>
        </w:rPr>
        <w:tab/>
      </w:r>
      <w:r w:rsidR="00EE72EC" w:rsidRPr="00CB70BA">
        <w:rPr>
          <w:noProof/>
        </w:rPr>
        <w:t>neuvoston direktiivi 2014/107/EU; tai</w:t>
      </w:r>
    </w:p>
    <w:p w14:paraId="092C55EE" w14:textId="392D0E9C" w:rsidR="001439E8" w:rsidRPr="00CB70BA" w:rsidRDefault="00C87C97" w:rsidP="00C87C97">
      <w:pPr>
        <w:pStyle w:val="Point1"/>
        <w:rPr>
          <w:noProof/>
        </w:rPr>
      </w:pPr>
      <w:r>
        <w:rPr>
          <w:noProof/>
        </w:rPr>
        <w:t>c)</w:t>
      </w:r>
      <w:r>
        <w:rPr>
          <w:noProof/>
        </w:rPr>
        <w:tab/>
      </w:r>
      <w:r w:rsidR="001439E8" w:rsidRPr="00CB70BA">
        <w:rPr>
          <w:noProof/>
        </w:rPr>
        <w:t xml:space="preserve">direktiivi (EU) 2018/843; tai </w:t>
      </w:r>
    </w:p>
    <w:p w14:paraId="04E9319A" w14:textId="5D32318E" w:rsidR="001439E8" w:rsidRPr="00CB70BA" w:rsidRDefault="00C87C97" w:rsidP="00C87C97">
      <w:pPr>
        <w:pStyle w:val="Point1"/>
        <w:rPr>
          <w:noProof/>
        </w:rPr>
      </w:pPr>
      <w:r>
        <w:rPr>
          <w:noProof/>
        </w:rPr>
        <w:t>d)</w:t>
      </w:r>
      <w:r>
        <w:rPr>
          <w:noProof/>
        </w:rPr>
        <w:tab/>
      </w:r>
      <w:r w:rsidR="00F45352" w:rsidRPr="00CB70BA">
        <w:rPr>
          <w:noProof/>
        </w:rPr>
        <w:t>verotuksellisena kotipaikkana olevan kolmannen maan vastaava lainsäädäntö.</w:t>
      </w:r>
    </w:p>
    <w:p w14:paraId="0120A5E2" w14:textId="11DCD3DA" w:rsidR="00D85E7D" w:rsidRPr="00CB70BA" w:rsidRDefault="00A30CB2" w:rsidP="00A30CB2">
      <w:pPr>
        <w:pStyle w:val="ManualNumPar1"/>
        <w:rPr>
          <w:noProof/>
        </w:rPr>
      </w:pPr>
      <w:r w:rsidRPr="00A30CB2">
        <w:t>3.</w:t>
      </w:r>
      <w:r w:rsidRPr="00A30CB2">
        <w:tab/>
      </w:r>
      <w:r w:rsidR="001956AF" w:rsidRPr="00CB70BA">
        <w:rPr>
          <w:noProof/>
        </w:rPr>
        <w:t>Jäsenvaltion, joka poistaa sertifioidun rahoituksen välittäjän kansallisesta rekisteristään, on ilmoitettava asiasta viipymättä kaikille muille jäsenvaltioille, jotka ylläpitävät 5 artiklan mukaista kansallista rekisteriä.</w:t>
      </w:r>
    </w:p>
    <w:p w14:paraId="5C8886C6" w14:textId="15F5CD97" w:rsidR="00F82A9C" w:rsidRPr="00CB70BA" w:rsidRDefault="00A30CB2" w:rsidP="00A30CB2">
      <w:pPr>
        <w:pStyle w:val="ManualNumPar1"/>
        <w:rPr>
          <w:noProof/>
        </w:rPr>
      </w:pPr>
      <w:r w:rsidRPr="00A30CB2">
        <w:t>4.</w:t>
      </w:r>
      <w:r w:rsidRPr="00A30CB2">
        <w:tab/>
      </w:r>
      <w:r w:rsidR="00F82A9C" w:rsidRPr="00CB70BA">
        <w:rPr>
          <w:noProof/>
        </w:rPr>
        <w:t xml:space="preserve">Jäsenvaltioiden on varmistettava, että rahoituksen välittäjä, joka on poistettu kansallisesta rekisteristä 1 kohdan mukaisesti, rekisteröidään uudelleen, jos tämän direktiivin säännösten noudattamatta jättäminen on korjattu, mukaan lukien direktiivin säännösten noudattamatta jättämisestä johtuvien maksamatta olevien määrien maksaminen tai niistä sopiminen. </w:t>
      </w:r>
    </w:p>
    <w:p w14:paraId="7CA73231" w14:textId="77777777" w:rsidR="001956AF" w:rsidRPr="00CB70BA" w:rsidRDefault="001956AF" w:rsidP="004D12F8">
      <w:pPr>
        <w:rPr>
          <w:noProof/>
        </w:rPr>
      </w:pPr>
    </w:p>
    <w:p w14:paraId="353D8C6B" w14:textId="77777777" w:rsidR="001956AF" w:rsidRPr="00CB70BA" w:rsidRDefault="001956AF" w:rsidP="001956AF">
      <w:pPr>
        <w:jc w:val="center"/>
        <w:rPr>
          <w:b/>
          <w:bCs/>
          <w:i/>
          <w:noProof/>
        </w:rPr>
      </w:pPr>
      <w:r w:rsidRPr="00CB70BA">
        <w:rPr>
          <w:b/>
          <w:i/>
          <w:noProof/>
        </w:rPr>
        <w:t>2 JAKSO</w:t>
      </w:r>
    </w:p>
    <w:p w14:paraId="1540C036" w14:textId="77777777" w:rsidR="001956AF" w:rsidRPr="00CB70BA" w:rsidRDefault="001956AF" w:rsidP="008E734B">
      <w:pPr>
        <w:jc w:val="center"/>
        <w:rPr>
          <w:b/>
          <w:bCs/>
          <w:iCs/>
          <w:noProof/>
        </w:rPr>
      </w:pPr>
      <w:r w:rsidRPr="00CB70BA">
        <w:rPr>
          <w:b/>
          <w:noProof/>
        </w:rPr>
        <w:t>RAPORTOINTI</w:t>
      </w:r>
    </w:p>
    <w:p w14:paraId="701A9B33" w14:textId="77777777" w:rsidR="001956AF" w:rsidRPr="00CB70BA" w:rsidRDefault="001956AF" w:rsidP="008E734B">
      <w:pPr>
        <w:pStyle w:val="Titrearticle"/>
        <w:rPr>
          <w:b/>
          <w:bCs/>
          <w:i w:val="0"/>
          <w:iCs/>
          <w:noProof/>
        </w:rPr>
      </w:pPr>
      <w:r w:rsidRPr="00CB70BA">
        <w:rPr>
          <w:noProof/>
        </w:rPr>
        <w:t>9 artikla</w:t>
      </w:r>
      <w:r w:rsidRPr="00CB70BA">
        <w:rPr>
          <w:noProof/>
        </w:rPr>
        <w:cr/>
      </w:r>
      <w:r w:rsidRPr="00CB70BA">
        <w:rPr>
          <w:noProof/>
        </w:rPr>
        <w:br/>
      </w:r>
      <w:r w:rsidRPr="00CB70BA">
        <w:rPr>
          <w:b/>
          <w:i w:val="0"/>
          <w:noProof/>
        </w:rPr>
        <w:t>Raportointivelvollisuus</w:t>
      </w:r>
    </w:p>
    <w:p w14:paraId="47C0ED96" w14:textId="4F589FC3" w:rsidR="00326812" w:rsidRPr="00CB70BA" w:rsidRDefault="00A30CB2" w:rsidP="00A30CB2">
      <w:pPr>
        <w:pStyle w:val="ManualNumPar1"/>
        <w:rPr>
          <w:noProof/>
        </w:rPr>
      </w:pPr>
      <w:r w:rsidRPr="00A30CB2">
        <w:t>1.</w:t>
      </w:r>
      <w:r w:rsidRPr="00A30CB2">
        <w:tab/>
      </w:r>
      <w:r w:rsidR="001956AF" w:rsidRPr="00CB70BA">
        <w:rPr>
          <w:noProof/>
        </w:rPr>
        <w:t xml:space="preserve">Jäsenvaltioiden on toteutettava tarvittavat toimenpiteet, joilla niiden kansallisessa rekisterissä olevat sertifioidut rahoituksen välittäjät velvoitetaan raportoimaan toimivaltaiselle viranomaiselle liitteessä II tarkoitetut tiedot mahdollisimman pian täsmäytyspäivän jälkeen, paitsi jos jotakin transaktion osaa koskeva toimitusohje on avoin täsmäytyspäivänä, jolloin kyseistä tapahtumaa koskeva raportointi on tehtävä mahdollisimman pian toimituksen jälkeen. Jos 20 päivän kuluttua täsmäytyspäivästä jonkin transaktion osan toimitus on edelleen kesken, sertifioitujen rahoituksen välittäjien on raportoitava seuraavien 5 kalenteripäivän kuluessa se osa, jonka toimitus on kesken. </w:t>
      </w:r>
    </w:p>
    <w:p w14:paraId="4F676949" w14:textId="6ECD26DB" w:rsidR="001956AF" w:rsidRPr="00CB70BA" w:rsidRDefault="00A30CB2" w:rsidP="00A30CB2">
      <w:pPr>
        <w:pStyle w:val="ManualNumPar1"/>
        <w:rPr>
          <w:noProof/>
        </w:rPr>
      </w:pPr>
      <w:r w:rsidRPr="00A30CB2">
        <w:t>2.</w:t>
      </w:r>
      <w:r w:rsidRPr="00A30CB2">
        <w:tab/>
      </w:r>
      <w:r w:rsidR="00326812" w:rsidRPr="00CB70BA">
        <w:rPr>
          <w:noProof/>
        </w:rPr>
        <w:t>Jäsenvaltioiden on säädettävä, että sertifioitujen rahoituksen välittäjien ei tarvitse raportoida liitteessä II olevassa E kohdassa tarkoitettuja tietoja, jos rekisteröidylle omistajalle maksettavan osingon kokonaismäärä omistajan omistusosuudesta yhtiössä on enintään 1 000 euroa.</w:t>
      </w:r>
    </w:p>
    <w:p w14:paraId="4D3EEE89" w14:textId="72C79C89" w:rsidR="00567641" w:rsidRPr="00CB70BA" w:rsidRDefault="00A30CB2" w:rsidP="00A30CB2">
      <w:pPr>
        <w:pStyle w:val="ManualNumPar1"/>
        <w:rPr>
          <w:noProof/>
        </w:rPr>
      </w:pPr>
      <w:r w:rsidRPr="00A30CB2">
        <w:t>3.</w:t>
      </w:r>
      <w:r w:rsidRPr="00A30CB2">
        <w:tab/>
      </w:r>
      <w:r w:rsidR="00567641" w:rsidRPr="00CB70BA">
        <w:rPr>
          <w:noProof/>
        </w:rPr>
        <w:t xml:space="preserve">Jäsenvaltioiden, jotka päättävät käyttää 5 artiklan mukaisesti perustettua kansallista rekisteriä korkojen maksuun, on vaadittava sertifioituja rahoituksen välittäjiä raportoimaan liitteessä II olevat tiedot, mutta ne eivät saa vaatia raportoimaan E kohdan mukaisia tietoja. </w:t>
      </w:r>
    </w:p>
    <w:p w14:paraId="0251CF85" w14:textId="4753BEB2" w:rsidR="001956AF" w:rsidRPr="00CB70BA" w:rsidRDefault="00A30CB2" w:rsidP="00A30CB2">
      <w:pPr>
        <w:pStyle w:val="ManualNumPar1"/>
        <w:rPr>
          <w:noProof/>
        </w:rPr>
      </w:pPr>
      <w:r w:rsidRPr="00A30CB2">
        <w:t>4.</w:t>
      </w:r>
      <w:r w:rsidRPr="00A30CB2">
        <w:tab/>
      </w:r>
      <w:r w:rsidR="0098755D" w:rsidRPr="00CB70BA">
        <w:rPr>
          <w:noProof/>
        </w:rPr>
        <w:t>Komissio hyväksyy täytäntöönpanosäädöksiä, joilla vahvistetaan vakiomuotoiset sähköiset lomakkeet, mukaan lukien kielijärjestelyt, ja viestintäkanavia koskevat vaatimukset liitteessä II tarkoitettujen tietojen raportointia varten. Nämä täytäntöönpanosäädökset hyväksytään 18 artiklassa tarkoitettua tarkastelumenettelyä noudattaen.</w:t>
      </w:r>
    </w:p>
    <w:p w14:paraId="1792DB50" w14:textId="16D0121E" w:rsidR="001956AF" w:rsidRPr="00CB70BA" w:rsidRDefault="00A30CB2" w:rsidP="00A30CB2">
      <w:pPr>
        <w:pStyle w:val="ManualNumPar1"/>
        <w:rPr>
          <w:noProof/>
        </w:rPr>
      </w:pPr>
      <w:r w:rsidRPr="00A30CB2">
        <w:t>5.</w:t>
      </w:r>
      <w:r w:rsidRPr="00A30CB2">
        <w:tab/>
      </w:r>
      <w:r w:rsidR="001956AF" w:rsidRPr="00CB70BA">
        <w:rPr>
          <w:noProof/>
        </w:rPr>
        <w:t>Jäsenvaltioiden on vaadittava, että niiden kansallisessa rekisterissä olevat sertifioidut rahoituksen välittäjät säilyttävät raportoituja tietoja tukevat asiakirjat viiden vuoden ajan ja tarjoavat pääsyn mahdollisiin muihin tietoihin sekä pääsyn tiloihinsa tarkastusta varten, ja niiden on vaadittava, että sertifioidut rahoituksen välittäjät poistavat tai anonymisoivat kaikki tällaisiin asiakirjoihin sisältyvät henkilötiedot heti tarkastuksen päätyttyä ja viimeistään viiden vuoden kuluttua raportoinnista.</w:t>
      </w:r>
    </w:p>
    <w:p w14:paraId="77F4562A" w14:textId="77777777" w:rsidR="001956AF" w:rsidRPr="00CB70BA" w:rsidRDefault="001956AF" w:rsidP="008E734B">
      <w:pPr>
        <w:rPr>
          <w:noProof/>
        </w:rPr>
      </w:pPr>
    </w:p>
    <w:p w14:paraId="739A92C0" w14:textId="77777777" w:rsidR="008E734B" w:rsidRPr="00CB70BA" w:rsidRDefault="001956AF" w:rsidP="008E734B">
      <w:pPr>
        <w:jc w:val="center"/>
        <w:rPr>
          <w:b/>
          <w:bCs/>
          <w:i/>
          <w:noProof/>
        </w:rPr>
      </w:pPr>
      <w:r w:rsidRPr="00CB70BA">
        <w:rPr>
          <w:b/>
          <w:i/>
          <w:noProof/>
        </w:rPr>
        <w:t>3 JAKSO</w:t>
      </w:r>
    </w:p>
    <w:p w14:paraId="0BFCB595" w14:textId="77777777" w:rsidR="001956AF" w:rsidRPr="00CB70BA" w:rsidRDefault="001956AF" w:rsidP="008E734B">
      <w:pPr>
        <w:jc w:val="center"/>
        <w:rPr>
          <w:b/>
          <w:bCs/>
          <w:i/>
          <w:noProof/>
        </w:rPr>
      </w:pPr>
      <w:r w:rsidRPr="00CB70BA">
        <w:rPr>
          <w:b/>
          <w:noProof/>
        </w:rPr>
        <w:t>ALENNUSJÄRJESTELMÄT</w:t>
      </w:r>
    </w:p>
    <w:p w14:paraId="78CEC2E8" w14:textId="77777777" w:rsidR="001956AF" w:rsidRPr="00CB70BA" w:rsidRDefault="001956AF" w:rsidP="00BA7238">
      <w:pPr>
        <w:pStyle w:val="Titrearticle"/>
        <w:rPr>
          <w:b/>
          <w:bCs/>
          <w:i w:val="0"/>
          <w:iCs/>
          <w:noProof/>
        </w:rPr>
      </w:pPr>
      <w:r w:rsidRPr="00CB70BA">
        <w:rPr>
          <w:noProof/>
        </w:rPr>
        <w:t xml:space="preserve">10 artikla </w:t>
      </w:r>
      <w:r w:rsidRPr="00CB70BA">
        <w:rPr>
          <w:noProof/>
        </w:rPr>
        <w:cr/>
      </w:r>
      <w:r w:rsidRPr="00CB70BA">
        <w:rPr>
          <w:noProof/>
        </w:rPr>
        <w:br/>
      </w:r>
      <w:r w:rsidRPr="00CB70BA">
        <w:rPr>
          <w:b/>
          <w:i w:val="0"/>
          <w:noProof/>
        </w:rPr>
        <w:t>Veron alentamista tulon lähteellä tai nopeaa palautusta koskeva pyyntö</w:t>
      </w:r>
    </w:p>
    <w:p w14:paraId="2F183DD0" w14:textId="5BDF0BAF" w:rsidR="00F03F98" w:rsidRPr="00CB70BA" w:rsidRDefault="00A30CB2" w:rsidP="00A30CB2">
      <w:pPr>
        <w:pStyle w:val="ManualNumPar1"/>
        <w:rPr>
          <w:noProof/>
        </w:rPr>
      </w:pPr>
      <w:bookmarkStart w:id="6" w:name="_Hlk136606527"/>
      <w:r w:rsidRPr="00A30CB2">
        <w:t>1.</w:t>
      </w:r>
      <w:r w:rsidRPr="00A30CB2">
        <w:tab/>
      </w:r>
      <w:r w:rsidR="001956AF" w:rsidRPr="00CB70BA">
        <w:rPr>
          <w:noProof/>
        </w:rPr>
        <w:t>Jäsenvaltioiden on vaadittava sertifioitua rahoituksen välittäjää, joka ylläpitää osinkoa tai korkoa saavan rekisteröidyn omistajan sijoitustiliä, pyytämään tällaisen rekisteröidyn omistajan puolesta 12 artiklan mukaista lähdeveron alennusta ja/tai 13 artiklan mukaista palautusta, jos seuraavat edellytykset täyttyvät:</w:t>
      </w:r>
    </w:p>
    <w:p w14:paraId="50080E08" w14:textId="1F6F4974" w:rsidR="00F03F98" w:rsidRPr="00CB70BA" w:rsidRDefault="00C87C97" w:rsidP="00C87C97">
      <w:pPr>
        <w:pStyle w:val="Point1"/>
        <w:rPr>
          <w:noProof/>
        </w:rPr>
      </w:pPr>
      <w:r>
        <w:rPr>
          <w:noProof/>
        </w:rPr>
        <w:t>a)</w:t>
      </w:r>
      <w:r>
        <w:rPr>
          <w:noProof/>
        </w:rPr>
        <w:tab/>
      </w:r>
      <w:r w:rsidR="00F03F98" w:rsidRPr="00CB70BA">
        <w:rPr>
          <w:noProof/>
        </w:rPr>
        <w:t xml:space="preserve">Rekisteröity omistaja on valtuuttanut sertifioidun rahoituksen välittäjän pyytämään alennusta ja/tai palautusta sen puolesta; ja </w:t>
      </w:r>
    </w:p>
    <w:p w14:paraId="600F2EF5" w14:textId="1E6419B3" w:rsidR="00497364" w:rsidRPr="00CB70BA" w:rsidRDefault="00C87C97" w:rsidP="00C87C97">
      <w:pPr>
        <w:pStyle w:val="Point1"/>
        <w:rPr>
          <w:noProof/>
        </w:rPr>
      </w:pPr>
      <w:r>
        <w:rPr>
          <w:noProof/>
        </w:rPr>
        <w:t>b)</w:t>
      </w:r>
      <w:r>
        <w:rPr>
          <w:noProof/>
        </w:rPr>
        <w:tab/>
      </w:r>
      <w:r w:rsidR="00F03F98" w:rsidRPr="00CB70BA">
        <w:rPr>
          <w:noProof/>
        </w:rPr>
        <w:t>Sertifioitu rahoituksen välittäjä on tarkastanut ja vahvistanut rekisteröidyn omistajan kelpoisuuden 11 artiklan mukaisesti. Tällaiseen tarkastukseen voi sisältyä myös riskinarviointi, jossa otetaan huomioon luotto- ja petosriski.</w:t>
      </w:r>
      <w:bookmarkEnd w:id="6"/>
    </w:p>
    <w:p w14:paraId="418955FB" w14:textId="7AE91BDE" w:rsidR="001956AF" w:rsidRPr="00CB70BA" w:rsidRDefault="00A30CB2" w:rsidP="00A30CB2">
      <w:pPr>
        <w:pStyle w:val="ManualNumPar1"/>
        <w:rPr>
          <w:noProof/>
        </w:rPr>
      </w:pPr>
      <w:r w:rsidRPr="00A30CB2">
        <w:t>2.</w:t>
      </w:r>
      <w:r w:rsidRPr="00A30CB2">
        <w:tab/>
      </w:r>
      <w:r w:rsidR="001956AF" w:rsidRPr="00CB70BA">
        <w:rPr>
          <w:noProof/>
        </w:rPr>
        <w:t>Sen estämättä, mitä 1 kohdassa säädetään, jäsenvaltiot eivät saa myöntää 12 ja 13 artiklassa säädettyjen järjestelmien mukaista alennusta tai palautusta pyynnön osalta, jos</w:t>
      </w:r>
    </w:p>
    <w:p w14:paraId="4CB44404" w14:textId="7B98DD20" w:rsidR="005B0478" w:rsidRPr="00CB70BA" w:rsidRDefault="00C87C97" w:rsidP="00C87C97">
      <w:pPr>
        <w:pStyle w:val="Point1"/>
        <w:rPr>
          <w:noProof/>
        </w:rPr>
      </w:pPr>
      <w:r>
        <w:rPr>
          <w:noProof/>
        </w:rPr>
        <w:t>a)</w:t>
      </w:r>
      <w:r>
        <w:rPr>
          <w:noProof/>
        </w:rPr>
        <w:tab/>
      </w:r>
      <w:r w:rsidR="005B0478" w:rsidRPr="00CB70BA">
        <w:rPr>
          <w:noProof/>
        </w:rPr>
        <w:t>osinko on maksettu julkisen kaupankäynnin kohteena olevasta osakkeesta, jonka rekisteröity omistaja on hankkinut osingon irtoamispäivää edeltäneiden kahden päivän aikana;</w:t>
      </w:r>
    </w:p>
    <w:p w14:paraId="3AA23262" w14:textId="154F0454" w:rsidR="001956AF" w:rsidRPr="00CB70BA" w:rsidRDefault="00C87C97" w:rsidP="00C87C97">
      <w:pPr>
        <w:pStyle w:val="Point1"/>
        <w:rPr>
          <w:noProof/>
        </w:rPr>
      </w:pPr>
      <w:r>
        <w:rPr>
          <w:noProof/>
        </w:rPr>
        <w:t>b)</w:t>
      </w:r>
      <w:r>
        <w:rPr>
          <w:noProof/>
        </w:rPr>
        <w:tab/>
      </w:r>
      <w:r w:rsidR="003B7A50" w:rsidRPr="00CB70BA">
        <w:rPr>
          <w:noProof/>
        </w:rPr>
        <w:t>osingonmaksu kohde-etuutena olevasta arvopaperista, jonka osalta alennusta pyydetään, liittyy rahoitusjärjestelyyn, jota ei ole selvitetty, jonka voimassaolo ei ole päättynyt tai joka ei ole muutoin päättynyt osingon irtoamispäivänä.</w:t>
      </w:r>
    </w:p>
    <w:p w14:paraId="7B73A6C6" w14:textId="03D419A9" w:rsidR="001956AF" w:rsidRPr="00CB70BA" w:rsidRDefault="00A30CB2" w:rsidP="00A30CB2">
      <w:pPr>
        <w:pStyle w:val="ManualNumPar1"/>
        <w:rPr>
          <w:noProof/>
        </w:rPr>
      </w:pPr>
      <w:r w:rsidRPr="00A30CB2">
        <w:t>3.</w:t>
      </w:r>
      <w:r w:rsidRPr="00A30CB2">
        <w:tab/>
      </w:r>
      <w:r w:rsidR="6D09F942" w:rsidRPr="00CB70BA">
        <w:rPr>
          <w:noProof/>
        </w:rPr>
        <w:t>Sen estämättä, mitä 1 kohdassa säädetään, jäsenvaltiot voivat evätä 12 artiklan mukaista alennusta ja 13 artiklan mukaista palautusta koskevat pyynnöt, jos</w:t>
      </w:r>
    </w:p>
    <w:p w14:paraId="1ED1FD95" w14:textId="338702FF" w:rsidR="3E2E3C02" w:rsidRPr="00CB70BA" w:rsidRDefault="00C87C97" w:rsidP="00C87C97">
      <w:pPr>
        <w:pStyle w:val="Point1"/>
        <w:rPr>
          <w:noProof/>
        </w:rPr>
      </w:pPr>
      <w:r>
        <w:rPr>
          <w:noProof/>
        </w:rPr>
        <w:t>a)</w:t>
      </w:r>
      <w:r>
        <w:rPr>
          <w:noProof/>
        </w:rPr>
        <w:tab/>
      </w:r>
      <w:r w:rsidR="3E2E3C02" w:rsidRPr="00CB70BA">
        <w:rPr>
          <w:noProof/>
        </w:rPr>
        <w:t>vähintään yksi rahoituksen välittäjistä arvopapereiden maksuketjussa ei ole sertifioitu rahoituksen välittäjä eikä ketjun myöhempi sertifioitu rahoituksen välittäjä ole toimittanut toimivaltaiselle viranomaiselle tietoja, jotka rahoituksen välittäjän olisi raportoitava tämän direktiivin mukaisesti, jos se olisi sertifioitu rahoituksen välittäjä; tai</w:t>
      </w:r>
    </w:p>
    <w:p w14:paraId="78F9F625" w14:textId="6D14EF77" w:rsidR="001956AF" w:rsidRPr="00CB70BA" w:rsidRDefault="00C87C97" w:rsidP="00C87C97">
      <w:pPr>
        <w:pStyle w:val="Point1"/>
        <w:rPr>
          <w:noProof/>
        </w:rPr>
      </w:pPr>
      <w:r>
        <w:rPr>
          <w:noProof/>
        </w:rPr>
        <w:t>b)</w:t>
      </w:r>
      <w:r>
        <w:rPr>
          <w:noProof/>
        </w:rPr>
        <w:tab/>
      </w:r>
      <w:r w:rsidR="00340191" w:rsidRPr="00CB70BA">
        <w:rPr>
          <w:noProof/>
        </w:rPr>
        <w:t xml:space="preserve">vaaditaan vapautusta lähdeverosta. </w:t>
      </w:r>
    </w:p>
    <w:p w14:paraId="2864F269" w14:textId="77777777" w:rsidR="001956AF" w:rsidRPr="00CB70BA" w:rsidRDefault="001956AF" w:rsidP="000A0493">
      <w:pPr>
        <w:pStyle w:val="Titrearticle"/>
        <w:rPr>
          <w:b/>
          <w:bCs/>
          <w:i w:val="0"/>
          <w:iCs/>
          <w:noProof/>
        </w:rPr>
      </w:pPr>
      <w:r w:rsidRPr="00CB70BA">
        <w:rPr>
          <w:noProof/>
        </w:rPr>
        <w:t xml:space="preserve">11 artikla </w:t>
      </w:r>
      <w:r w:rsidRPr="00CB70BA">
        <w:rPr>
          <w:noProof/>
        </w:rPr>
        <w:cr/>
      </w:r>
      <w:r w:rsidRPr="00CB70BA">
        <w:rPr>
          <w:noProof/>
        </w:rPr>
        <w:br/>
      </w:r>
      <w:r w:rsidRPr="00CB70BA">
        <w:rPr>
          <w:b/>
          <w:i w:val="0"/>
          <w:noProof/>
        </w:rPr>
        <w:t>Rekisteröidyn omistajan kelpoisuutta koskeva huolellisuusvelvoite</w:t>
      </w:r>
    </w:p>
    <w:p w14:paraId="43B4817B" w14:textId="782A24D6" w:rsidR="001956AF" w:rsidRPr="00CB70BA" w:rsidRDefault="00A30CB2" w:rsidP="00A30CB2">
      <w:pPr>
        <w:pStyle w:val="ManualNumPar1"/>
        <w:rPr>
          <w:noProof/>
        </w:rPr>
      </w:pPr>
      <w:r w:rsidRPr="00A30CB2">
        <w:t>1.</w:t>
      </w:r>
      <w:r w:rsidRPr="00A30CB2">
        <w:tab/>
      </w:r>
      <w:r w:rsidR="001956AF" w:rsidRPr="00CB70BA">
        <w:rPr>
          <w:noProof/>
        </w:rPr>
        <w:t>Jäsenvaltioiden on varmistettava, että sertifioitu rahoituksen välittäjä, joka pyytää 12 artiklan mukaista alennusta ja/tai 13 artiklan mukaista palautusta rekisteröidyn omistajan puolesta, saa tällaiselta rekisteröidyltä omistajalta vakuutuksen siitä, että rekisteröity omistaja</w:t>
      </w:r>
    </w:p>
    <w:p w14:paraId="7ED835A1" w14:textId="5120D19D" w:rsidR="001956AF" w:rsidRPr="00CB70BA" w:rsidRDefault="00C87C97" w:rsidP="00C87C97">
      <w:pPr>
        <w:pStyle w:val="Point1"/>
        <w:rPr>
          <w:noProof/>
        </w:rPr>
      </w:pPr>
      <w:r>
        <w:rPr>
          <w:noProof/>
        </w:rPr>
        <w:t>a)</w:t>
      </w:r>
      <w:r>
        <w:rPr>
          <w:noProof/>
        </w:rPr>
        <w:tab/>
      </w:r>
      <w:r w:rsidR="001956AF" w:rsidRPr="00CB70BA">
        <w:rPr>
          <w:noProof/>
        </w:rPr>
        <w:t>on lähdejäsenvaltion kansallisessa lainsäädännössä määritelty osingon tai koron tosiasiallinen edunsaaja; ja</w:t>
      </w:r>
    </w:p>
    <w:p w14:paraId="478E5B8C" w14:textId="5EFFA1CC" w:rsidR="001956AF" w:rsidRPr="00CB70BA" w:rsidRDefault="00C87C97" w:rsidP="00C87C97">
      <w:pPr>
        <w:pStyle w:val="Point1"/>
        <w:rPr>
          <w:noProof/>
        </w:rPr>
      </w:pPr>
      <w:r>
        <w:rPr>
          <w:noProof/>
        </w:rPr>
        <w:t>b)</w:t>
      </w:r>
      <w:r>
        <w:rPr>
          <w:noProof/>
        </w:rPr>
        <w:tab/>
      </w:r>
      <w:r w:rsidR="001956AF" w:rsidRPr="00CB70BA">
        <w:rPr>
          <w:noProof/>
        </w:rPr>
        <w:t>se ei ole mukana kohde-etuutena olevaan julkisen kaupankäynnin kohteena olevaan osakkeeseen liittyvässä rahoitusjärjestelyssä, jota ei ole selvitetty, jonka voimassaolo ei ole päättynyt tai jota ei ole muutoin päätetty osingon irtoamispäivänä.</w:t>
      </w:r>
    </w:p>
    <w:p w14:paraId="3B5ADFA7" w14:textId="7D7121C9" w:rsidR="001956AF" w:rsidRPr="00CB70BA" w:rsidRDefault="00A30CB2" w:rsidP="00A30CB2">
      <w:pPr>
        <w:pStyle w:val="ManualNumPar1"/>
        <w:rPr>
          <w:noProof/>
        </w:rPr>
      </w:pPr>
      <w:r w:rsidRPr="00A30CB2">
        <w:t>2.</w:t>
      </w:r>
      <w:r w:rsidRPr="00A30CB2">
        <w:tab/>
      </w:r>
      <w:r w:rsidR="001956AF" w:rsidRPr="00CB70BA">
        <w:rPr>
          <w:noProof/>
        </w:rPr>
        <w:t xml:space="preserve">Jäsenvaltioiden on varmistettava, että sertifioidut rahoituksen välittäjät, jotka pyytävät 12 artiklan mukaista alennusta ja/tai 13 artiklan mukaista palautusta rekisteröidyn omistajan puolesta, tarkistavat seuraavat: </w:t>
      </w:r>
    </w:p>
    <w:p w14:paraId="2842E2AF" w14:textId="16A236DC" w:rsidR="001956AF" w:rsidRPr="00CB70BA" w:rsidRDefault="00C87C97" w:rsidP="00C87C97">
      <w:pPr>
        <w:pStyle w:val="Point1"/>
        <w:rPr>
          <w:noProof/>
        </w:rPr>
      </w:pPr>
      <w:r>
        <w:rPr>
          <w:noProof/>
        </w:rPr>
        <w:t>a)</w:t>
      </w:r>
      <w:r>
        <w:rPr>
          <w:noProof/>
        </w:rPr>
        <w:tab/>
      </w:r>
      <w:r w:rsidR="008E49A6" w:rsidRPr="00CB70BA">
        <w:rPr>
          <w:noProof/>
        </w:rPr>
        <w:t xml:space="preserve">rekisteröidyn omistajan eTRC-todistus ja/tai asianmukainen todiste verotuksellisesta kotipaikasta kolmannessa maassa; </w:t>
      </w:r>
    </w:p>
    <w:p w14:paraId="28FF2553" w14:textId="7D64ECBA" w:rsidR="001956AF" w:rsidRPr="00CB70BA" w:rsidRDefault="00C87C97" w:rsidP="00C87C97">
      <w:pPr>
        <w:pStyle w:val="Point1"/>
        <w:rPr>
          <w:noProof/>
        </w:rPr>
      </w:pPr>
      <w:r>
        <w:rPr>
          <w:noProof/>
        </w:rPr>
        <w:t>b)</w:t>
      </w:r>
      <w:r>
        <w:rPr>
          <w:noProof/>
        </w:rPr>
        <w:tab/>
      </w:r>
      <w:r w:rsidR="001956AF" w:rsidRPr="00CB70BA">
        <w:rPr>
          <w:noProof/>
        </w:rPr>
        <w:t>rekisteröidyn omistajan ilmoitus ja verotuksellinen kotipaikka verrattuna tietoihin, jotka on saatu sertifioidun rahoituksen välittäjän käyttämistä sisäisistä valvontamekanismeista direktiivin (EU) 2015/849</w:t>
      </w:r>
      <w:r w:rsidR="001956AF" w:rsidRPr="00CB70BA">
        <w:rPr>
          <w:rStyle w:val="FootnoteReference"/>
          <w:noProof/>
        </w:rPr>
        <w:footnoteReference w:id="44"/>
      </w:r>
      <w:r w:rsidR="001956AF" w:rsidRPr="00CB70BA">
        <w:rPr>
          <w:noProof/>
        </w:rPr>
        <w:t xml:space="preserve"> mukaisten rahanpesuun ja terrorismin rahoitukseen liittyvien velvoitteiden noudattamiseksi, tai vastaaviin tietoihin, joita vaaditaan kolmansissa maissa;</w:t>
      </w:r>
    </w:p>
    <w:p w14:paraId="5F479B25" w14:textId="6BEF1F2E" w:rsidR="001956AF" w:rsidRPr="00CB70BA" w:rsidRDefault="00C87C97" w:rsidP="00C87C97">
      <w:pPr>
        <w:pStyle w:val="Point1"/>
        <w:rPr>
          <w:noProof/>
        </w:rPr>
      </w:pPr>
      <w:r>
        <w:rPr>
          <w:noProof/>
        </w:rPr>
        <w:t>c)</w:t>
      </w:r>
      <w:r>
        <w:rPr>
          <w:noProof/>
        </w:rPr>
        <w:tab/>
      </w:r>
      <w:r w:rsidR="008E49A6" w:rsidRPr="00CB70BA">
        <w:rPr>
          <w:noProof/>
        </w:rPr>
        <w:t xml:space="preserve">rekisteröidyn omistajan oikeus tiettyyn alennettuun lähdeverokantaan lähdejäsenvaltion ja niiden lainkäyttöalueiden välisen kaksinkertaista verotusta koskevan sopimuksen mukaisesti, joilla rekisteröidyn omistajan verotuksellinen kotipaikka sijaitsee, tai lähdejäsenvaltion asiaa koskevan kansallisen lainsäädännön mukaisesti; </w:t>
      </w:r>
    </w:p>
    <w:p w14:paraId="5917CAE8" w14:textId="6FC8F2AD" w:rsidR="00EE06AE" w:rsidRPr="00CB70BA" w:rsidRDefault="00C87C97" w:rsidP="00C87C97">
      <w:pPr>
        <w:pStyle w:val="Point1"/>
        <w:rPr>
          <w:noProof/>
        </w:rPr>
      </w:pPr>
      <w:r>
        <w:rPr>
          <w:noProof/>
        </w:rPr>
        <w:t>d)</w:t>
      </w:r>
      <w:r>
        <w:rPr>
          <w:noProof/>
        </w:rPr>
        <w:tab/>
      </w:r>
      <w:r w:rsidR="00C05948" w:rsidRPr="00CB70BA">
        <w:rPr>
          <w:noProof/>
        </w:rPr>
        <w:t>osingonmaksun tapauksessa ja sertifioidun rahoituksen välittäjän käytettävissä olevien tietojen perusteella sellaisen rahoitusjärjestelyn mahdollinen olemassaolo, jota ei ole selvitetty, jonka voimassaolo ei ole päättynyt tai jota ei ole muutoin päätetty osingon irtoamispäivänä, paitsi jos rekisteröidylle omistajalle maksettava osinko kustakin sen omistamasta samanlaisten osakkeiden ryhmästä on enintään 1 000 euroa.</w:t>
      </w:r>
    </w:p>
    <w:p w14:paraId="00D018C7" w14:textId="065B73AB" w:rsidR="00EE06AE" w:rsidRPr="00CB70BA" w:rsidRDefault="00A30CB2" w:rsidP="00A30CB2">
      <w:pPr>
        <w:pStyle w:val="ManualNumPar1"/>
        <w:rPr>
          <w:noProof/>
        </w:rPr>
      </w:pPr>
      <w:r w:rsidRPr="00A30CB2">
        <w:t>3.</w:t>
      </w:r>
      <w:r w:rsidRPr="00A30CB2">
        <w:tab/>
      </w:r>
      <w:r w:rsidR="00EE06AE" w:rsidRPr="00CB70BA">
        <w:rPr>
          <w:noProof/>
        </w:rPr>
        <w:t>Jäsenvaltioiden on varmistettava, että sertifioiduilla rahoituksen välittäjillä on riittävät menettelyt, joilla ne suorittavat 2 kohdan mukaiset tarkastukset.</w:t>
      </w:r>
    </w:p>
    <w:p w14:paraId="4A532C63" w14:textId="77777777" w:rsidR="001956AF" w:rsidRPr="00CB70BA" w:rsidRDefault="001956AF" w:rsidP="00655C22">
      <w:pPr>
        <w:pStyle w:val="Titrearticle"/>
        <w:rPr>
          <w:b/>
          <w:bCs/>
          <w:i w:val="0"/>
          <w:iCs/>
          <w:noProof/>
        </w:rPr>
      </w:pPr>
      <w:r w:rsidRPr="00CB70BA">
        <w:rPr>
          <w:noProof/>
        </w:rPr>
        <w:t xml:space="preserve">12 artikla </w:t>
      </w:r>
      <w:r w:rsidRPr="00CB70BA">
        <w:rPr>
          <w:noProof/>
        </w:rPr>
        <w:cr/>
      </w:r>
      <w:r w:rsidRPr="00CB70BA">
        <w:rPr>
          <w:noProof/>
        </w:rPr>
        <w:br/>
      </w:r>
      <w:r w:rsidRPr="00CB70BA">
        <w:rPr>
          <w:b/>
          <w:i w:val="0"/>
          <w:noProof/>
        </w:rPr>
        <w:t>Veron alentamista tulon lähteellä koskeva järjestelmä</w:t>
      </w:r>
    </w:p>
    <w:p w14:paraId="73DA9E3D" w14:textId="77777777" w:rsidR="001956AF" w:rsidRPr="00CB70BA" w:rsidRDefault="00AC23A2" w:rsidP="004D12F8">
      <w:pPr>
        <w:rPr>
          <w:noProof/>
        </w:rPr>
      </w:pPr>
      <w:r w:rsidRPr="00CB70BA">
        <w:rPr>
          <w:noProof/>
        </w:rPr>
        <w:t xml:space="preserve">Jäsenvaltiot voivat sallia, että </w:t>
      </w:r>
      <w:bookmarkStart w:id="7" w:name="_Hlk133000417"/>
      <w:r w:rsidRPr="00CB70BA">
        <w:rPr>
          <w:noProof/>
        </w:rPr>
        <w:t>sertifioidut rahoituksen välittäjät, jotka ylläpitävät rekisteröidyn omistajan sijoitustiliä, pyytävät</w:t>
      </w:r>
      <w:bookmarkEnd w:id="7"/>
      <w:r w:rsidRPr="00CB70BA">
        <w:rPr>
          <w:noProof/>
        </w:rPr>
        <w:t xml:space="preserve"> veron alentamista tulon lähteellä rekisteröidyn omistajan puolesta 10 artiklan mukaisesti toimittamalla lähdeveroasiamiehelle seuraavat tiedot:</w:t>
      </w:r>
    </w:p>
    <w:p w14:paraId="24F59262" w14:textId="4BEFCACE" w:rsidR="001956AF" w:rsidRPr="00CB70BA" w:rsidRDefault="00C87C97" w:rsidP="00C87C97">
      <w:pPr>
        <w:pStyle w:val="Point0"/>
        <w:rPr>
          <w:noProof/>
        </w:rPr>
      </w:pPr>
      <w:r>
        <w:rPr>
          <w:noProof/>
        </w:rPr>
        <w:t>a)</w:t>
      </w:r>
      <w:r>
        <w:rPr>
          <w:noProof/>
        </w:rPr>
        <w:tab/>
      </w:r>
      <w:r w:rsidR="00CC5F96" w:rsidRPr="00CB70BA">
        <w:rPr>
          <w:noProof/>
        </w:rPr>
        <w:t>rekisteröidyn omistajan verotuksellinen kotipaikka; ja</w:t>
      </w:r>
    </w:p>
    <w:p w14:paraId="7BFD75C4" w14:textId="1A511469" w:rsidR="001956AF" w:rsidRPr="00CB70BA" w:rsidRDefault="00C87C97" w:rsidP="00C87C97">
      <w:pPr>
        <w:pStyle w:val="Point0"/>
        <w:rPr>
          <w:noProof/>
        </w:rPr>
      </w:pPr>
      <w:r>
        <w:rPr>
          <w:noProof/>
        </w:rPr>
        <w:t>b)</w:t>
      </w:r>
      <w:r>
        <w:rPr>
          <w:noProof/>
        </w:rPr>
        <w:tab/>
      </w:r>
      <w:r w:rsidR="00CC5F96" w:rsidRPr="00CB70BA">
        <w:rPr>
          <w:noProof/>
        </w:rPr>
        <w:t xml:space="preserve">lähdeverokanta, jota sovelletaan maksuihin kaksinkertaista verotusta koskevan sopimuksen tai asiaa koskevan kansallisen lainsäädännön mukaisesti. </w:t>
      </w:r>
    </w:p>
    <w:p w14:paraId="459BDAF0" w14:textId="77777777" w:rsidR="001956AF" w:rsidRPr="00CB70BA" w:rsidRDefault="001956AF" w:rsidP="008010FF">
      <w:pPr>
        <w:pStyle w:val="Titrearticle"/>
        <w:rPr>
          <w:b/>
          <w:bCs/>
          <w:i w:val="0"/>
          <w:iCs/>
          <w:noProof/>
        </w:rPr>
      </w:pPr>
      <w:r w:rsidRPr="00CB70BA">
        <w:rPr>
          <w:noProof/>
        </w:rPr>
        <w:t xml:space="preserve">13 artikla </w:t>
      </w:r>
      <w:r w:rsidRPr="00CB70BA">
        <w:rPr>
          <w:noProof/>
        </w:rPr>
        <w:cr/>
      </w:r>
      <w:r w:rsidRPr="00CB70BA">
        <w:rPr>
          <w:noProof/>
        </w:rPr>
        <w:br/>
      </w:r>
      <w:r w:rsidRPr="00CB70BA">
        <w:rPr>
          <w:b/>
          <w:i w:val="0"/>
          <w:noProof/>
        </w:rPr>
        <w:t>Nopea palautusjärjestelmä</w:t>
      </w:r>
    </w:p>
    <w:p w14:paraId="072AF10C" w14:textId="510D4D4D" w:rsidR="001956AF" w:rsidRPr="00CB70BA" w:rsidRDefault="00A30CB2" w:rsidP="00A30CB2">
      <w:pPr>
        <w:pStyle w:val="ManualNumPar1"/>
        <w:rPr>
          <w:noProof/>
        </w:rPr>
      </w:pPr>
      <w:r w:rsidRPr="00A30CB2">
        <w:t>1.</w:t>
      </w:r>
      <w:r w:rsidRPr="00A30CB2">
        <w:tab/>
      </w:r>
      <w:r w:rsidR="001F36D2" w:rsidRPr="00CB70BA">
        <w:rPr>
          <w:noProof/>
        </w:rPr>
        <w:t>Jäsenvaltiot voivat sallia, että sertifioidut rahoituksen välittäjät, jotka ylläpitävät rekisteröidyn omistajan sijoitustiliä, pyytävät ylimääräisen lähdeveron nopeaa palauttamista tällaisen rekisteröidyn omistajan puolesta 10 artiklan mukaisesti, jos tämän artiklan 3 kohdassa tarkoitetut tiedot toimitetaan mahdollisimman pian maksupäivän jälkeen ja viimeistään 25 kalenteripäivän kuluessa osingon tai koron maksupäivästä.</w:t>
      </w:r>
    </w:p>
    <w:p w14:paraId="156E1442" w14:textId="2CA50067" w:rsidR="00C53616" w:rsidRPr="00CB70BA" w:rsidRDefault="00A30CB2" w:rsidP="00A30CB2">
      <w:pPr>
        <w:pStyle w:val="ManualNumPar1"/>
        <w:rPr>
          <w:noProof/>
        </w:rPr>
      </w:pPr>
      <w:r w:rsidRPr="00A30CB2">
        <w:t>2.</w:t>
      </w:r>
      <w:r w:rsidRPr="00A30CB2">
        <w:tab/>
      </w:r>
      <w:r w:rsidR="001F36D2" w:rsidRPr="00CB70BA">
        <w:rPr>
          <w:noProof/>
        </w:rPr>
        <w:t>Jäsenvaltioiden on käsiteltävä 1 kohdan mukaisesti esitetty palautuspyyntö 25 kalenteripäivän kuluessa pyynnön päivämäärästä tai siitä päivästä, jona kaikki asianomaiset sertifioidut rahoituksen välittäjät ovat täyttäneet tämän direktiivin mukaiset raportointivelvoitteet, sen mukaan, kumpi ajankohta on myöhäisempi. Jäsenvaltioiden on sovellettava tällaisen palautuksen määrään korkoa 14 artiklan mukaisesti kultakin 25. päivän jälkeiseltä viivästyspäivältä.</w:t>
      </w:r>
    </w:p>
    <w:p w14:paraId="3B0BD29D" w14:textId="282B9FFA" w:rsidR="001956AF" w:rsidRPr="00CB70BA" w:rsidRDefault="00A30CB2" w:rsidP="00A30CB2">
      <w:pPr>
        <w:pStyle w:val="ManualNumPar1"/>
        <w:rPr>
          <w:noProof/>
        </w:rPr>
      </w:pPr>
      <w:r w:rsidRPr="00A30CB2">
        <w:t>3.</w:t>
      </w:r>
      <w:r w:rsidRPr="00A30CB2">
        <w:tab/>
      </w:r>
      <w:r w:rsidR="00AC23A2" w:rsidRPr="00CB70BA">
        <w:rPr>
          <w:noProof/>
        </w:rPr>
        <w:t>Nopeaa palautusta pyytävän sertifioidun rahoituksen välittäjän on toimitettava asianomaiselle jäsenvaltiolle seuraavat tiedot:</w:t>
      </w:r>
    </w:p>
    <w:p w14:paraId="4F9B9213" w14:textId="11DF13BD" w:rsidR="001F36D2" w:rsidRPr="00CB70BA" w:rsidRDefault="00C87C97" w:rsidP="00C87C97">
      <w:pPr>
        <w:pStyle w:val="Point1"/>
        <w:rPr>
          <w:noProof/>
        </w:rPr>
      </w:pPr>
      <w:r>
        <w:rPr>
          <w:noProof/>
        </w:rPr>
        <w:t>a)</w:t>
      </w:r>
      <w:r>
        <w:rPr>
          <w:noProof/>
        </w:rPr>
        <w:tab/>
      </w:r>
      <w:r w:rsidR="003E7F0F" w:rsidRPr="00CB70BA">
        <w:rPr>
          <w:noProof/>
        </w:rPr>
        <w:t>liitteessä II olevassa B kohdassa tarkoitetun osinko- tai korkomaksun tunnistetiedot;</w:t>
      </w:r>
    </w:p>
    <w:p w14:paraId="1E3FAFDB" w14:textId="6426D10E" w:rsidR="001F36D2" w:rsidRPr="00CB70BA" w:rsidRDefault="00C87C97" w:rsidP="00C87C97">
      <w:pPr>
        <w:pStyle w:val="Point1"/>
        <w:rPr>
          <w:noProof/>
        </w:rPr>
      </w:pPr>
      <w:r>
        <w:rPr>
          <w:noProof/>
        </w:rPr>
        <w:t>b)</w:t>
      </w:r>
      <w:r>
        <w:rPr>
          <w:noProof/>
        </w:rPr>
        <w:tab/>
      </w:r>
      <w:r w:rsidR="003E7F0F" w:rsidRPr="00CB70BA">
        <w:rPr>
          <w:noProof/>
        </w:rPr>
        <w:t>sovellettavan lähdeverokannan oikeusperusta ja palautettavan ylimääräisen veron kokonaismäärä;</w:t>
      </w:r>
    </w:p>
    <w:p w14:paraId="0C4A2CF1" w14:textId="5E7884BF" w:rsidR="00AC23A2" w:rsidRPr="00CB70BA" w:rsidRDefault="00C87C97" w:rsidP="00C87C97">
      <w:pPr>
        <w:pStyle w:val="Point1"/>
        <w:rPr>
          <w:noProof/>
        </w:rPr>
      </w:pPr>
      <w:r>
        <w:rPr>
          <w:noProof/>
        </w:rPr>
        <w:t>c)</w:t>
      </w:r>
      <w:r>
        <w:rPr>
          <w:noProof/>
        </w:rPr>
        <w:tab/>
      </w:r>
      <w:r w:rsidR="00B36ECF" w:rsidRPr="00CB70BA">
        <w:rPr>
          <w:noProof/>
        </w:rPr>
        <w:t>rekisteröidyn omistajan verotuksellinen kotipaikka;</w:t>
      </w:r>
    </w:p>
    <w:p w14:paraId="14AADEDD" w14:textId="427F3997" w:rsidR="001F36D2" w:rsidRPr="00CB70BA" w:rsidRDefault="00C87C97" w:rsidP="00C87C97">
      <w:pPr>
        <w:pStyle w:val="Point1"/>
        <w:rPr>
          <w:noProof/>
        </w:rPr>
      </w:pPr>
      <w:r>
        <w:rPr>
          <w:noProof/>
        </w:rPr>
        <w:t>d)</w:t>
      </w:r>
      <w:r>
        <w:rPr>
          <w:noProof/>
        </w:rPr>
        <w:tab/>
      </w:r>
      <w:r w:rsidR="003E7F0F" w:rsidRPr="00CB70BA">
        <w:rPr>
          <w:noProof/>
        </w:rPr>
        <w:t>edellä olevan 11 artiklan mukaisesti annettu rekisteröidyn omistajan ilmoitus.</w:t>
      </w:r>
    </w:p>
    <w:p w14:paraId="7A34786F" w14:textId="49038C56" w:rsidR="003B7A50" w:rsidRPr="00CB70BA" w:rsidRDefault="00A30CB2" w:rsidP="00A30CB2">
      <w:pPr>
        <w:pStyle w:val="ManualNumPar1"/>
        <w:rPr>
          <w:noProof/>
        </w:rPr>
      </w:pPr>
      <w:r w:rsidRPr="00A30CB2">
        <w:t>4.</w:t>
      </w:r>
      <w:r w:rsidRPr="00A30CB2">
        <w:tab/>
      </w:r>
      <w:r w:rsidR="003B7A50" w:rsidRPr="00CB70BA">
        <w:rPr>
          <w:noProof/>
        </w:rPr>
        <w:t>Komissio hyväksyy täytäntöönpanosäädöksiä, joilla vahvistetaan eTRC-todistuksen myöntämiseen käytettävät vakiomuotoiset sähköiset lomakkeet, mukaan lukien kielijärjestelyt, ja tämän artiklan mukaisten pyyntöjen toimittamisessa käytettäviä viestintäkanavia koskevat vaatimukset. Nämä täytäntöönpanosäädökset hyväksytään 18 artiklassa tarkoitettua tarkastelumenettelyä noudattaen.</w:t>
      </w:r>
    </w:p>
    <w:p w14:paraId="49FD2459" w14:textId="77777777" w:rsidR="001956AF" w:rsidRPr="00CB70BA" w:rsidRDefault="001956AF" w:rsidP="000E37A2">
      <w:pPr>
        <w:pStyle w:val="Titrearticle"/>
        <w:rPr>
          <w:b/>
          <w:bCs/>
          <w:i w:val="0"/>
          <w:iCs/>
          <w:noProof/>
        </w:rPr>
      </w:pPr>
      <w:r w:rsidRPr="00CB70BA">
        <w:rPr>
          <w:noProof/>
        </w:rPr>
        <w:t xml:space="preserve">14 artikla </w:t>
      </w:r>
      <w:r w:rsidRPr="00CB70BA">
        <w:rPr>
          <w:noProof/>
        </w:rPr>
        <w:cr/>
      </w:r>
      <w:r w:rsidRPr="00CB70BA">
        <w:rPr>
          <w:noProof/>
        </w:rPr>
        <w:br/>
      </w:r>
      <w:r w:rsidRPr="00CB70BA">
        <w:rPr>
          <w:b/>
          <w:i w:val="0"/>
          <w:noProof/>
        </w:rPr>
        <w:t>Viivästyskorot</w:t>
      </w:r>
    </w:p>
    <w:p w14:paraId="0F684513" w14:textId="77777777" w:rsidR="001956AF" w:rsidRPr="00CB70BA" w:rsidRDefault="004A0A00" w:rsidP="004D12F8">
      <w:pPr>
        <w:rPr>
          <w:noProof/>
        </w:rPr>
      </w:pPr>
      <w:r w:rsidRPr="00CB70BA">
        <w:rPr>
          <w:noProof/>
        </w:rPr>
        <w:t xml:space="preserve">Jäsenvaltioiden on sovellettava 13 artiklan 2 kohdan mukaisesti korkoa, joka on yhtä suuri kuin korko tai vastaava maksu, jota jäsenvaltio soveltaa rekisteröityjen omistajien tuloveron viivästyneisiin maksuihin, tai, jos jäsenvaltioiden kansalliseen lainsäädäntöön ei sisälly tällaista säännöstä, euromääräisten markkinoiden lyhyttä korkoa, johon on lisätty 50 peruspistettä, tai, jos maat eivät ole osa Euroopan valuuttakurssimekanismia, niiden keskuspankin käyttämää vastaavaa korkoa, johon on lisätty 50 peruspistettä. </w:t>
      </w:r>
    </w:p>
    <w:p w14:paraId="2E2E9C1B" w14:textId="77777777" w:rsidR="001956AF" w:rsidRPr="00CB70BA" w:rsidRDefault="001956AF" w:rsidP="000E37A2">
      <w:pPr>
        <w:pStyle w:val="Titrearticle"/>
        <w:rPr>
          <w:b/>
          <w:bCs/>
          <w:i w:val="0"/>
          <w:iCs/>
          <w:noProof/>
        </w:rPr>
      </w:pPr>
      <w:r w:rsidRPr="00CB70BA">
        <w:rPr>
          <w:noProof/>
        </w:rPr>
        <w:t xml:space="preserve">15 artikla </w:t>
      </w:r>
      <w:r w:rsidRPr="00CB70BA">
        <w:rPr>
          <w:noProof/>
        </w:rPr>
        <w:cr/>
      </w:r>
      <w:r w:rsidRPr="00CB70BA">
        <w:rPr>
          <w:noProof/>
        </w:rPr>
        <w:br/>
      </w:r>
      <w:r w:rsidRPr="00CB70BA">
        <w:rPr>
          <w:b/>
          <w:i w:val="0"/>
          <w:noProof/>
        </w:rPr>
        <w:t>Vakiomuotoinen palautusjärjestelmä</w:t>
      </w:r>
    </w:p>
    <w:p w14:paraId="4D27861C" w14:textId="3CC3A55A" w:rsidR="001956AF" w:rsidRPr="00CB70BA" w:rsidRDefault="004A0A00" w:rsidP="000E37A2">
      <w:pPr>
        <w:rPr>
          <w:noProof/>
        </w:rPr>
      </w:pPr>
      <w:r w:rsidRPr="00CB70BA">
        <w:rPr>
          <w:noProof/>
        </w:rPr>
        <w:t xml:space="preserve">Jäsenvaltioiden on toteutettava asianmukaiset toimenpiteet sen varmistamiseksi, että jos 12 ja 13 artiklaa ei sovelleta osinkoihin, koska tämän direktiivin edellytykset eivät täyty, rekisteröity omistaja tai sen valtuutettu edustaja, joka pyytää tällaisista osingoista kannettavan ylimääräisen lähdeveron palauttamista, toimittaa vähintään liitteessä II olevassa E kohdassa vaaditut tiedot, paitsi jos rekisteröidylle omistajalle maksettavan osingon kokonaismäärä omistajan omistusosuudesta yhtiössä on enintään 1 000 euroa tai jos nämä tiedot on jo toimitettu 9 artiklan mukaisten velvoitteiden mukaisesti. </w:t>
      </w:r>
    </w:p>
    <w:p w14:paraId="0050B2E6" w14:textId="77777777" w:rsidR="000E37A2" w:rsidRPr="00CB70BA" w:rsidRDefault="001956AF" w:rsidP="000E37A2">
      <w:pPr>
        <w:pStyle w:val="Titrearticle"/>
        <w:rPr>
          <w:b/>
          <w:bCs/>
          <w:i w:val="0"/>
          <w:iCs/>
          <w:noProof/>
        </w:rPr>
      </w:pPr>
      <w:r w:rsidRPr="00CB70BA">
        <w:rPr>
          <w:noProof/>
        </w:rPr>
        <w:t xml:space="preserve">16 artikla </w:t>
      </w:r>
      <w:r w:rsidRPr="00CB70BA">
        <w:rPr>
          <w:noProof/>
        </w:rPr>
        <w:cr/>
      </w:r>
      <w:r w:rsidRPr="00CB70BA">
        <w:rPr>
          <w:noProof/>
        </w:rPr>
        <w:br/>
      </w:r>
      <w:r w:rsidRPr="00CB70BA">
        <w:rPr>
          <w:b/>
          <w:i w:val="0"/>
          <w:noProof/>
        </w:rPr>
        <w:t>Siviilioikeudellinen vastuu</w:t>
      </w:r>
    </w:p>
    <w:p w14:paraId="32EBC30C" w14:textId="77777777" w:rsidR="00C86220" w:rsidRPr="00CB70BA" w:rsidRDefault="00C86220" w:rsidP="004D12F8">
      <w:pPr>
        <w:rPr>
          <w:noProof/>
        </w:rPr>
      </w:pPr>
      <w:r w:rsidRPr="00CB70BA">
        <w:rPr>
          <w:noProof/>
        </w:rPr>
        <w:t>Jäsenvaltioiden on toteutettava asianmukaiset toimenpiteet sen varmistamiseksi, että jos sertifioitu rahoituksen välittäjä laiminlyö tahallisesti tai tuottamuksellisesti 9, 10, 11, 12 ja 13 artiklan mukaisia velvoitteitaan, sertifioitu rahoituksen välittäjä voidaan saattaa vastuuseen lähdeverotulojen menetyksestä, joka jäsenvaltiolle on aiheutunut 12 tai 13 artiklan mukaisen pyynnön johdosta, tai osasta siitä.</w:t>
      </w:r>
    </w:p>
    <w:p w14:paraId="19A6849F" w14:textId="77777777" w:rsidR="00091220" w:rsidRPr="00CB70BA" w:rsidRDefault="00091220" w:rsidP="00091220">
      <w:pPr>
        <w:pStyle w:val="Titrearticle"/>
        <w:rPr>
          <w:b/>
          <w:bCs/>
          <w:i w:val="0"/>
          <w:iCs/>
          <w:noProof/>
        </w:rPr>
      </w:pPr>
      <w:r w:rsidRPr="00CB70BA">
        <w:rPr>
          <w:noProof/>
        </w:rPr>
        <w:t xml:space="preserve">17 artikla </w:t>
      </w:r>
      <w:r w:rsidRPr="00CB70BA">
        <w:rPr>
          <w:noProof/>
        </w:rPr>
        <w:cr/>
      </w:r>
      <w:r w:rsidRPr="00CB70BA">
        <w:rPr>
          <w:noProof/>
        </w:rPr>
        <w:br/>
      </w:r>
      <w:r w:rsidRPr="00CB70BA">
        <w:rPr>
          <w:b/>
          <w:i w:val="0"/>
          <w:noProof/>
        </w:rPr>
        <w:t>Seuraamukset</w:t>
      </w:r>
    </w:p>
    <w:p w14:paraId="243A80C9" w14:textId="77777777" w:rsidR="001956AF" w:rsidRPr="00CB70BA" w:rsidRDefault="001956AF" w:rsidP="004D12F8">
      <w:pPr>
        <w:rPr>
          <w:noProof/>
        </w:rPr>
      </w:pPr>
      <w:r w:rsidRPr="00CB70BA">
        <w:rPr>
          <w:noProof/>
        </w:rPr>
        <w:t>Jäsenvaltioiden on annettava säännöt seuraamuksista, joita sovelletaan tämän direktiivin nojalla annettujen kansallisten säännösten rikkomiseen, ja toteutettava kaikki tarvittavat toimenpiteet seuraamusten täytäntöönpanon varmistamiseksi. Näiden seuraamusten on oltava tehokkaita, oikeasuhteisia ja varoittavia.</w:t>
      </w:r>
    </w:p>
    <w:p w14:paraId="736B5B42" w14:textId="77777777" w:rsidR="004D12F8" w:rsidRPr="00CB70BA" w:rsidRDefault="004D12F8" w:rsidP="004D12F8">
      <w:pPr>
        <w:rPr>
          <w:noProof/>
        </w:rPr>
      </w:pPr>
    </w:p>
    <w:p w14:paraId="7898F4AD" w14:textId="77777777" w:rsidR="001956AF" w:rsidRPr="00CB70BA" w:rsidRDefault="001956AF" w:rsidP="00680737">
      <w:pPr>
        <w:jc w:val="center"/>
        <w:rPr>
          <w:b/>
          <w:bCs/>
          <w:i/>
          <w:noProof/>
        </w:rPr>
      </w:pPr>
      <w:r w:rsidRPr="00CB70BA">
        <w:rPr>
          <w:b/>
          <w:noProof/>
        </w:rPr>
        <w:t>IV LUKU</w:t>
      </w:r>
    </w:p>
    <w:p w14:paraId="1EEF7AE0" w14:textId="77777777" w:rsidR="001956AF" w:rsidRPr="00CB70BA" w:rsidRDefault="001956AF" w:rsidP="001956AF">
      <w:pPr>
        <w:jc w:val="center"/>
        <w:rPr>
          <w:b/>
          <w:noProof/>
          <w:szCs w:val="24"/>
        </w:rPr>
      </w:pPr>
      <w:r w:rsidRPr="00CB70BA">
        <w:rPr>
          <w:b/>
          <w:noProof/>
        </w:rPr>
        <w:t>LOPPUSÄÄNNÖKSET</w:t>
      </w:r>
    </w:p>
    <w:p w14:paraId="644997BF" w14:textId="77777777" w:rsidR="001956AF" w:rsidRPr="00CB70BA" w:rsidRDefault="001956AF" w:rsidP="00680737">
      <w:pPr>
        <w:pStyle w:val="Titrearticle"/>
        <w:rPr>
          <w:b/>
          <w:bCs/>
          <w:i w:val="0"/>
          <w:iCs/>
          <w:noProof/>
        </w:rPr>
      </w:pPr>
      <w:r w:rsidRPr="00CB70BA">
        <w:rPr>
          <w:noProof/>
        </w:rPr>
        <w:t xml:space="preserve">18 artikla </w:t>
      </w:r>
      <w:r w:rsidRPr="00CB70BA">
        <w:rPr>
          <w:noProof/>
        </w:rPr>
        <w:cr/>
      </w:r>
      <w:r w:rsidRPr="00CB70BA">
        <w:rPr>
          <w:noProof/>
        </w:rPr>
        <w:br/>
      </w:r>
      <w:r w:rsidRPr="00CB70BA">
        <w:rPr>
          <w:b/>
          <w:i w:val="0"/>
          <w:noProof/>
        </w:rPr>
        <w:t>Komiteamenettely</w:t>
      </w:r>
    </w:p>
    <w:p w14:paraId="764F7950" w14:textId="7C93B13E" w:rsidR="001956AF" w:rsidRPr="00CB70BA" w:rsidDel="002C0103" w:rsidRDefault="00A30CB2" w:rsidP="00A30CB2">
      <w:pPr>
        <w:pStyle w:val="ManualNumPar1"/>
        <w:rPr>
          <w:noProof/>
        </w:rPr>
      </w:pPr>
      <w:r w:rsidRPr="00A30CB2">
        <w:t>1.</w:t>
      </w:r>
      <w:r w:rsidRPr="00A30CB2">
        <w:tab/>
      </w:r>
      <w:r w:rsidR="00115ED7" w:rsidRPr="00CB70BA">
        <w:rPr>
          <w:noProof/>
        </w:rPr>
        <w:t>Komissiota avustaa komitea. Tämän komitea on asetuksessa (EU) N:o 182/2011</w:t>
      </w:r>
      <w:r w:rsidR="00115ED7" w:rsidRPr="00CB70BA">
        <w:rPr>
          <w:rStyle w:val="FootnoteReference"/>
          <w:noProof/>
        </w:rPr>
        <w:footnoteReference w:id="45"/>
      </w:r>
      <w:r w:rsidR="00115ED7" w:rsidRPr="00CB70BA">
        <w:rPr>
          <w:noProof/>
        </w:rPr>
        <w:t xml:space="preserve"> tarkoitettu komitea.</w:t>
      </w:r>
    </w:p>
    <w:p w14:paraId="61EDE6B9" w14:textId="605D7664" w:rsidR="001956AF" w:rsidRPr="00CB70BA" w:rsidDel="002C0103" w:rsidRDefault="00A30CB2" w:rsidP="00A30CB2">
      <w:pPr>
        <w:pStyle w:val="ManualNumPar1"/>
        <w:rPr>
          <w:noProof/>
        </w:rPr>
      </w:pPr>
      <w:r w:rsidRPr="00A30CB2">
        <w:t>2.</w:t>
      </w:r>
      <w:r w:rsidRPr="00A30CB2">
        <w:tab/>
      </w:r>
      <w:r w:rsidR="001F36D2" w:rsidRPr="00CB70BA">
        <w:rPr>
          <w:noProof/>
        </w:rPr>
        <w:t>Kun viitataan tähän kohtaan, sovelletaan asetuksen (EU) N:o 182/2011 5 artiklaa.</w:t>
      </w:r>
    </w:p>
    <w:p w14:paraId="7EB9405D" w14:textId="77777777" w:rsidR="00BB1F33" w:rsidRPr="00CB70BA" w:rsidRDefault="001956AF" w:rsidP="00BB1F33">
      <w:pPr>
        <w:pStyle w:val="Titrearticle"/>
        <w:rPr>
          <w:b/>
          <w:bCs/>
          <w:i w:val="0"/>
          <w:iCs/>
          <w:noProof/>
        </w:rPr>
      </w:pPr>
      <w:r w:rsidRPr="00CB70BA">
        <w:rPr>
          <w:noProof/>
        </w:rPr>
        <w:t xml:space="preserve">19 artikla </w:t>
      </w:r>
      <w:r w:rsidRPr="00CB70BA">
        <w:rPr>
          <w:noProof/>
        </w:rPr>
        <w:cr/>
      </w:r>
      <w:r w:rsidRPr="00CB70BA">
        <w:rPr>
          <w:noProof/>
        </w:rPr>
        <w:br/>
      </w:r>
      <w:r w:rsidRPr="00CB70BA">
        <w:rPr>
          <w:b/>
          <w:i w:val="0"/>
          <w:noProof/>
        </w:rPr>
        <w:t>Arviointi</w:t>
      </w:r>
    </w:p>
    <w:p w14:paraId="23E724FA" w14:textId="59B06D49" w:rsidR="001956AF" w:rsidRPr="00CB70BA" w:rsidRDefault="00A30CB2" w:rsidP="00A30CB2">
      <w:pPr>
        <w:pStyle w:val="ManualNumPar1"/>
        <w:rPr>
          <w:noProof/>
        </w:rPr>
      </w:pPr>
      <w:r w:rsidRPr="00A30CB2">
        <w:t>1.</w:t>
      </w:r>
      <w:r w:rsidRPr="00A30CB2">
        <w:tab/>
      </w:r>
      <w:r w:rsidR="001956AF" w:rsidRPr="00CB70BA">
        <w:rPr>
          <w:noProof/>
        </w:rPr>
        <w:t>Komissio tarkastelee ja arvioi tämän direktiivin toimintaa viiden vuoden välein sen jälkeen, kun kansalliset säännöt, joilla direktiivi saatetaan osaksi kansallista lainsäädäntöä, ovat tulleet voimaan. Euroopan parlamentille ja neuvostolle toimitetaan joulukuuhun 2031 mennessä ja joka viides vuosi kertomus direktiivin arvioinnista ja mahdollisesta tarpeesta muuttaa sen yksittäisiä säännöksiä.</w:t>
      </w:r>
    </w:p>
    <w:p w14:paraId="75824197" w14:textId="6F563808" w:rsidR="001956AF" w:rsidRPr="00CB70BA" w:rsidRDefault="00A30CB2" w:rsidP="00A30CB2">
      <w:pPr>
        <w:pStyle w:val="ManualNumPar1"/>
        <w:rPr>
          <w:noProof/>
        </w:rPr>
      </w:pPr>
      <w:r w:rsidRPr="00A30CB2">
        <w:t>2.</w:t>
      </w:r>
      <w:r w:rsidRPr="00A30CB2">
        <w:tab/>
      </w:r>
      <w:r w:rsidR="001956AF" w:rsidRPr="00CB70BA">
        <w:rPr>
          <w:noProof/>
        </w:rPr>
        <w:t xml:space="preserve">Jäsenvaltioiden on toimitettava 3 kohdan mukaisesti komissiolle direktiivin arviointia varten tarvittavat tiedot, jotta voidaan parantaa lähdeveron alentamiseen sovellettavia menettelyjä kaksinkertaisen verotuksen vähentämiseksi ja verotukseen liittyvien väärinkäytösten torjumiseksi. </w:t>
      </w:r>
    </w:p>
    <w:p w14:paraId="211B3598" w14:textId="4E215211" w:rsidR="001956AF" w:rsidRPr="00CB70BA" w:rsidRDefault="00A30CB2" w:rsidP="00A30CB2">
      <w:pPr>
        <w:pStyle w:val="ManualNumPar1"/>
        <w:rPr>
          <w:noProof/>
        </w:rPr>
      </w:pPr>
      <w:r w:rsidRPr="00A30CB2">
        <w:t>3.</w:t>
      </w:r>
      <w:r w:rsidRPr="00A30CB2">
        <w:tab/>
      </w:r>
      <w:r w:rsidR="001956AF" w:rsidRPr="00CB70BA">
        <w:rPr>
          <w:noProof/>
        </w:rPr>
        <w:t xml:space="preserve">Komissio täsmentää täytäntöönpanosäädöksillä tiedot, jotka jäsenvaltioiden on toimitettava arviointia varten, sekä kyseisten tietojen toimittamismuodon ja -edellytykset. </w:t>
      </w:r>
    </w:p>
    <w:p w14:paraId="2BE3C5E3" w14:textId="32BE6B26" w:rsidR="001956AF" w:rsidRPr="00CB70BA" w:rsidRDefault="00A30CB2" w:rsidP="00A30CB2">
      <w:pPr>
        <w:pStyle w:val="ManualNumPar1"/>
        <w:rPr>
          <w:noProof/>
        </w:rPr>
      </w:pPr>
      <w:r w:rsidRPr="00A30CB2">
        <w:t>4.</w:t>
      </w:r>
      <w:r w:rsidRPr="00A30CB2">
        <w:tab/>
      </w:r>
      <w:r w:rsidR="001956AF" w:rsidRPr="00CB70BA">
        <w:rPr>
          <w:noProof/>
        </w:rPr>
        <w:t xml:space="preserve">Komissio pitää sille 2 kohdan mukaisesti toimitetut tiedot luottamuksellisina unionin toimielimiin sovellettavien säännösten mukaisesti. </w:t>
      </w:r>
    </w:p>
    <w:p w14:paraId="5C2B5BBF" w14:textId="35EF272B" w:rsidR="001956AF" w:rsidRPr="00CB70BA" w:rsidRDefault="00A30CB2" w:rsidP="00A30CB2">
      <w:pPr>
        <w:pStyle w:val="ManualNumPar1"/>
        <w:rPr>
          <w:noProof/>
        </w:rPr>
      </w:pPr>
      <w:r w:rsidRPr="00A30CB2">
        <w:t>5.</w:t>
      </w:r>
      <w:r w:rsidRPr="00A30CB2">
        <w:tab/>
      </w:r>
      <w:r w:rsidR="001956AF" w:rsidRPr="00CB70BA">
        <w:rPr>
          <w:noProof/>
        </w:rPr>
        <w:t xml:space="preserve">Jäsenvaltion komissiolle 2 kohdan mukaisesti toimittamia tietoja sekä kaikkia komission tällaisia tietoja käyttäen laatimia kertomuksia tai asiakirjoja voidaan lähettää muille jäsenvaltioille. Lähetettyjä tietoja koskee salassapitovelvollisuus, ja niihin on sovellettava tiedot vastaanottaneen jäsenvaltion kansallisessa lainsäädännössä samankaltaisille tiedoille säädettyä suojaa. </w:t>
      </w:r>
    </w:p>
    <w:p w14:paraId="066B96C4" w14:textId="77777777" w:rsidR="00A30556" w:rsidRPr="00CB70BA" w:rsidRDefault="00A30556" w:rsidP="00A30556">
      <w:pPr>
        <w:pStyle w:val="Titrearticle"/>
        <w:rPr>
          <w:b/>
          <w:bCs/>
          <w:i w:val="0"/>
          <w:iCs/>
          <w:noProof/>
        </w:rPr>
      </w:pPr>
      <w:r w:rsidRPr="00CB70BA">
        <w:rPr>
          <w:noProof/>
        </w:rPr>
        <w:t xml:space="preserve">20 artikla </w:t>
      </w:r>
      <w:r w:rsidRPr="00CB70BA">
        <w:rPr>
          <w:noProof/>
        </w:rPr>
        <w:cr/>
      </w:r>
      <w:r w:rsidRPr="00CB70BA">
        <w:rPr>
          <w:noProof/>
        </w:rPr>
        <w:br/>
      </w:r>
      <w:r w:rsidRPr="00CB70BA">
        <w:rPr>
          <w:b/>
          <w:i w:val="0"/>
          <w:noProof/>
        </w:rPr>
        <w:t>Henkilötietojen suoja</w:t>
      </w:r>
    </w:p>
    <w:p w14:paraId="688391A7" w14:textId="0547FE30" w:rsidR="00E85A28" w:rsidRPr="00CB70BA" w:rsidRDefault="00A30CB2" w:rsidP="00A30CB2">
      <w:pPr>
        <w:pStyle w:val="ManualNumPar1"/>
        <w:rPr>
          <w:noProof/>
        </w:rPr>
      </w:pPr>
      <w:bookmarkStart w:id="9" w:name="_Hlk135840988"/>
      <w:r w:rsidRPr="00A30CB2">
        <w:t>1.</w:t>
      </w:r>
      <w:r w:rsidRPr="00A30CB2">
        <w:tab/>
      </w:r>
      <w:r w:rsidR="00E85A28" w:rsidRPr="00CB70BA">
        <w:rPr>
          <w:noProof/>
        </w:rPr>
        <w:t>Jäsenvaltioiden on rajoitettava Euroopan parlamentin ja neuvoston asetuksen (EU) 2016/679</w:t>
      </w:r>
      <w:r w:rsidR="00E85A28" w:rsidRPr="00CB70BA">
        <w:rPr>
          <w:rStyle w:val="FootnoteReference"/>
          <w:noProof/>
          <w:szCs w:val="24"/>
        </w:rPr>
        <w:footnoteReference w:id="46"/>
      </w:r>
      <w:r w:rsidR="00E85A28" w:rsidRPr="00CB70BA">
        <w:rPr>
          <w:noProof/>
        </w:rPr>
        <w:t xml:space="preserve"> 15–19 artiklan mukaisia rekisteröidyn oikeuksia vain siinä määrin ja vain niin kauan kuin on ehdottoman välttämätöntä, jotta niiden toimivaltaiset viranomaiset voivat vähentää veropetosten, veronkierron tai verovilpin riskiä jäsenvaltioissa, erityisesti tarkistamalla, että rekisteröityyn omistajaan sovelletaan oikeaa lähdeverokantaa, tai varmistamalla, että rekisteröity omistaja saa kohtuullisessa ajassa veron alennuksen, jos hänellä on siihen oikeus.</w:t>
      </w:r>
      <w:bookmarkEnd w:id="9"/>
    </w:p>
    <w:p w14:paraId="1A779334" w14:textId="4CFC474C" w:rsidR="00E85A28" w:rsidRPr="00CB70BA" w:rsidRDefault="00A30CB2" w:rsidP="00A30CB2">
      <w:pPr>
        <w:pStyle w:val="ManualNumPar1"/>
        <w:rPr>
          <w:noProof/>
        </w:rPr>
      </w:pPr>
      <w:r w:rsidRPr="00A30CB2">
        <w:t>2.</w:t>
      </w:r>
      <w:r w:rsidRPr="00A30CB2">
        <w:tab/>
      </w:r>
      <w:r w:rsidR="00E85A28" w:rsidRPr="00CB70BA">
        <w:rPr>
          <w:noProof/>
        </w:rPr>
        <w:t xml:space="preserve">Kun sertifioidut rahoituksen välittäjät ja jäsenvaltioiden toimivaltaiset viranomaiset käsittelevät henkilötietoja, niitä on pidettävä asetuksen (EU) 2016/679 4 artiklan 7 alakohdassa tarkoitettuina rekisterinpitäjinä niiden tämän direktiivin mukaisten toimien yhteydessä. </w:t>
      </w:r>
    </w:p>
    <w:p w14:paraId="7856FC11" w14:textId="45E067D6" w:rsidR="00E85A28" w:rsidRPr="00CB70BA" w:rsidRDefault="00A30CB2" w:rsidP="00A30CB2">
      <w:pPr>
        <w:pStyle w:val="ManualNumPar1"/>
        <w:rPr>
          <w:noProof/>
        </w:rPr>
      </w:pPr>
      <w:r w:rsidRPr="00A30CB2">
        <w:t>3.</w:t>
      </w:r>
      <w:r w:rsidRPr="00A30CB2">
        <w:tab/>
      </w:r>
      <w:r w:rsidR="00E85A28" w:rsidRPr="00CB70BA">
        <w:rPr>
          <w:noProof/>
        </w:rPr>
        <w:t>Tämän direktiivin mukaisesti käsiteltyjä tietoja, henkilötiedot mukaan lukien, on säilytettävä vain niin kauan kuin on tarpeen tämän direktiivin tavoitteiden saavuttamiseksi kunkin rekisterinpitäjän määräaikaa koskevien kansallisten sääntöjen mukaisesti, mutta joka tapauksessa enintään kymmenen vuotta.</w:t>
      </w:r>
    </w:p>
    <w:p w14:paraId="3C1111A3" w14:textId="77777777" w:rsidR="000659D6" w:rsidRPr="00CB70BA" w:rsidRDefault="000659D6" w:rsidP="000659D6">
      <w:pPr>
        <w:pStyle w:val="Titrearticle"/>
        <w:rPr>
          <w:b/>
          <w:bCs/>
          <w:i w:val="0"/>
          <w:iCs/>
          <w:noProof/>
        </w:rPr>
      </w:pPr>
      <w:r w:rsidRPr="00CB70BA">
        <w:rPr>
          <w:noProof/>
        </w:rPr>
        <w:t xml:space="preserve">21 artikla </w:t>
      </w:r>
      <w:r w:rsidRPr="00CB70BA">
        <w:rPr>
          <w:noProof/>
        </w:rPr>
        <w:cr/>
      </w:r>
      <w:r w:rsidRPr="00CB70BA">
        <w:rPr>
          <w:noProof/>
        </w:rPr>
        <w:br/>
      </w:r>
      <w:r w:rsidRPr="00CB70BA">
        <w:rPr>
          <w:b/>
          <w:i w:val="0"/>
          <w:noProof/>
        </w:rPr>
        <w:t xml:space="preserve">Ilmoittaminen </w:t>
      </w:r>
    </w:p>
    <w:p w14:paraId="75DE5E9F" w14:textId="77777777" w:rsidR="000659D6" w:rsidRPr="00CB70BA" w:rsidRDefault="000659D6" w:rsidP="006126D6">
      <w:pPr>
        <w:rPr>
          <w:noProof/>
        </w:rPr>
      </w:pPr>
      <w:r w:rsidRPr="00CB70BA">
        <w:rPr>
          <w:noProof/>
        </w:rPr>
        <w:t xml:space="preserve">Jäsenvaltion, joka perustaa kansallisen rekisterin ja pitää sitä yllä 5 artiklan mukaisesti, on ilmoitettava komissiolle ja muille jäsenvaltioille siitä sekä tällaista rekisteriä koskevien sääntöjen mahdollisista myöhemmistä muutoksista. Komissio julkaisee nämä tiedot </w:t>
      </w:r>
      <w:r w:rsidRPr="00CB70BA">
        <w:rPr>
          <w:i/>
          <w:noProof/>
        </w:rPr>
        <w:t>Euroopan unionin virallisessa lehdessä</w:t>
      </w:r>
      <w:r w:rsidRPr="00CB70BA">
        <w:rPr>
          <w:noProof/>
        </w:rPr>
        <w:t xml:space="preserve"> ja saattaa ne tarvittaessa ajan tasalle.</w:t>
      </w:r>
    </w:p>
    <w:p w14:paraId="6EE0F3BE" w14:textId="77777777" w:rsidR="001956AF" w:rsidRPr="00CB70BA" w:rsidRDefault="001956AF" w:rsidP="00A97BAF">
      <w:pPr>
        <w:pStyle w:val="Titrearticle"/>
        <w:rPr>
          <w:b/>
          <w:bCs/>
          <w:i w:val="0"/>
          <w:iCs/>
          <w:noProof/>
        </w:rPr>
      </w:pPr>
      <w:r w:rsidRPr="00CB70BA">
        <w:rPr>
          <w:noProof/>
        </w:rPr>
        <w:t xml:space="preserve">22 artikla </w:t>
      </w:r>
      <w:r w:rsidRPr="00CB70BA">
        <w:rPr>
          <w:noProof/>
        </w:rPr>
        <w:cr/>
      </w:r>
      <w:r w:rsidRPr="00CB70BA">
        <w:rPr>
          <w:noProof/>
        </w:rPr>
        <w:br/>
      </w:r>
      <w:r w:rsidRPr="00CB70BA">
        <w:rPr>
          <w:b/>
          <w:i w:val="0"/>
          <w:noProof/>
        </w:rPr>
        <w:t>Saattaminen osaksi kansallista lainsäädäntöä</w:t>
      </w:r>
    </w:p>
    <w:p w14:paraId="46F3B523" w14:textId="0B9A9F5D" w:rsidR="001956AF" w:rsidRPr="00CB70BA" w:rsidRDefault="00A30CB2" w:rsidP="00A30CB2">
      <w:pPr>
        <w:pStyle w:val="ManualNumPar1"/>
        <w:rPr>
          <w:noProof/>
        </w:rPr>
      </w:pPr>
      <w:r w:rsidRPr="00A30CB2">
        <w:t>1.</w:t>
      </w:r>
      <w:r w:rsidRPr="00A30CB2">
        <w:tab/>
      </w:r>
      <w:r w:rsidR="001956AF" w:rsidRPr="00CB70BA">
        <w:rPr>
          <w:noProof/>
        </w:rPr>
        <w:t>Jäsenvaltioiden on annettava ja julkaistava tämän direktiivin noudattamisen edellyttämät lait, asetukset ja hallinnolliset määräykset viimeistään 31 päivänä joulukuuta 2026. Niiden on viipymättä toimitettava nämä säännökset kirjallisina komissiolle.</w:t>
      </w:r>
    </w:p>
    <w:p w14:paraId="0E78D5F6" w14:textId="77777777" w:rsidR="00AE0FCF" w:rsidRPr="00CB70BA" w:rsidRDefault="00AE0FCF" w:rsidP="00E75766">
      <w:pPr>
        <w:pStyle w:val="Text1"/>
        <w:rPr>
          <w:noProof/>
        </w:rPr>
      </w:pPr>
      <w:r w:rsidRPr="00CB70BA">
        <w:rPr>
          <w:noProof/>
        </w:rPr>
        <w:t>Niiden on sovellettava näitä säännöksiä 1 päivästä tammikuuta 2027.</w:t>
      </w:r>
    </w:p>
    <w:p w14:paraId="4CB4F477" w14:textId="77777777" w:rsidR="001956AF" w:rsidRPr="00CB70BA" w:rsidRDefault="001956AF" w:rsidP="00E75766">
      <w:pPr>
        <w:pStyle w:val="Text1"/>
        <w:rPr>
          <w:noProof/>
        </w:rPr>
      </w:pPr>
      <w:r w:rsidRPr="00CB70BA">
        <w:rPr>
          <w:noProof/>
        </w:rPr>
        <w:t>Näissä jäsenvaltioiden antamissa säädöksissä on viitattava tähän direktiiviin tai niihin on liitettävä tällainen viittaus, kun ne julkaistaan virallisesti. Jäsenvaltioiden on säädettävä siitä, miten viittaukset tehdään.</w:t>
      </w:r>
    </w:p>
    <w:p w14:paraId="5513589D" w14:textId="2F6332A5" w:rsidR="001956AF" w:rsidRPr="00CB70BA" w:rsidRDefault="00A30CB2" w:rsidP="00A30CB2">
      <w:pPr>
        <w:pStyle w:val="ManualNumPar1"/>
        <w:rPr>
          <w:noProof/>
        </w:rPr>
      </w:pPr>
      <w:r w:rsidRPr="00A30CB2">
        <w:t>2.</w:t>
      </w:r>
      <w:r w:rsidRPr="00A30CB2">
        <w:tab/>
      </w:r>
      <w:r w:rsidR="001956AF" w:rsidRPr="00CB70BA">
        <w:rPr>
          <w:noProof/>
        </w:rPr>
        <w:t>Jäsenvaltioiden on toimitettava tässä direktiivissä tarkoitetuista kysymyksistä antamansa keskeiset kansalliset säännökset kirjallisina komissiolle.</w:t>
      </w:r>
    </w:p>
    <w:p w14:paraId="623B61A4" w14:textId="77777777" w:rsidR="001956AF" w:rsidRPr="00CB70BA" w:rsidRDefault="001956AF" w:rsidP="00A97BAF">
      <w:pPr>
        <w:pStyle w:val="Titrearticle"/>
        <w:rPr>
          <w:b/>
          <w:bCs/>
          <w:i w:val="0"/>
          <w:iCs/>
          <w:noProof/>
        </w:rPr>
      </w:pPr>
      <w:r w:rsidRPr="00CB70BA">
        <w:rPr>
          <w:noProof/>
        </w:rPr>
        <w:t xml:space="preserve">23 artikla </w:t>
      </w:r>
      <w:r w:rsidRPr="00CB70BA">
        <w:rPr>
          <w:noProof/>
        </w:rPr>
        <w:cr/>
      </w:r>
      <w:r w:rsidRPr="00CB70BA">
        <w:rPr>
          <w:noProof/>
        </w:rPr>
        <w:br/>
      </w:r>
      <w:r w:rsidRPr="00CB70BA">
        <w:rPr>
          <w:b/>
          <w:i w:val="0"/>
          <w:noProof/>
        </w:rPr>
        <w:t>Voimaantulo</w:t>
      </w:r>
    </w:p>
    <w:p w14:paraId="1B1DABEB" w14:textId="77777777" w:rsidR="001956AF" w:rsidRPr="00CB70BA" w:rsidRDefault="001956AF" w:rsidP="00A97BAF">
      <w:pPr>
        <w:rPr>
          <w:noProof/>
        </w:rPr>
      </w:pPr>
      <w:r w:rsidRPr="00CB70BA">
        <w:rPr>
          <w:noProof/>
        </w:rPr>
        <w:t xml:space="preserve">Tämä direktiivi tulee voimaan kahdentenakymmenentenä päivänä sen jälkeen, kun se on julkaistu </w:t>
      </w:r>
      <w:r w:rsidRPr="00CB70BA">
        <w:rPr>
          <w:i/>
          <w:noProof/>
        </w:rPr>
        <w:t>Euroopan unionin virallisessa lehdessä</w:t>
      </w:r>
      <w:r w:rsidRPr="00CB70BA">
        <w:rPr>
          <w:noProof/>
        </w:rPr>
        <w:t>.</w:t>
      </w:r>
    </w:p>
    <w:p w14:paraId="5C5919F4" w14:textId="77777777" w:rsidR="001956AF" w:rsidRPr="00CB70BA" w:rsidRDefault="001956AF" w:rsidP="00A97BAF">
      <w:pPr>
        <w:pStyle w:val="Titrearticle"/>
        <w:rPr>
          <w:noProof/>
        </w:rPr>
      </w:pPr>
      <w:r w:rsidRPr="00CB70BA">
        <w:rPr>
          <w:noProof/>
        </w:rPr>
        <w:t xml:space="preserve">24 artikla </w:t>
      </w:r>
      <w:r w:rsidRPr="00CB70BA">
        <w:rPr>
          <w:noProof/>
        </w:rPr>
        <w:cr/>
      </w:r>
      <w:r w:rsidRPr="00CB70BA">
        <w:rPr>
          <w:noProof/>
        </w:rPr>
        <w:br/>
      </w:r>
      <w:r w:rsidRPr="00CB70BA">
        <w:rPr>
          <w:b/>
          <w:noProof/>
        </w:rPr>
        <w:t>Osoitus</w:t>
      </w:r>
    </w:p>
    <w:p w14:paraId="61459FB2" w14:textId="77777777" w:rsidR="001956AF" w:rsidRPr="00CB70BA" w:rsidRDefault="001956AF" w:rsidP="001956AF">
      <w:pPr>
        <w:rPr>
          <w:noProof/>
        </w:rPr>
      </w:pPr>
      <w:r w:rsidRPr="00CB70BA">
        <w:rPr>
          <w:noProof/>
        </w:rPr>
        <w:t>Tämä direktiivi on osoitettu kaikille jäsenvaltioille.</w:t>
      </w:r>
    </w:p>
    <w:p w14:paraId="470C6BBF" w14:textId="77777777" w:rsidR="001956AF" w:rsidRPr="00CB70BA" w:rsidRDefault="001956AF" w:rsidP="001956AF">
      <w:pPr>
        <w:rPr>
          <w:noProof/>
        </w:rPr>
      </w:pPr>
    </w:p>
    <w:p w14:paraId="428E506F" w14:textId="00970D13" w:rsidR="001956AF" w:rsidRPr="00CB70BA" w:rsidRDefault="00F92568" w:rsidP="00257B53">
      <w:pPr>
        <w:pStyle w:val="Fait"/>
        <w:rPr>
          <w:noProof/>
        </w:rPr>
      </w:pPr>
      <w:r w:rsidRPr="00F92568">
        <w:t>Tehty Brysselissä</w:t>
      </w:r>
    </w:p>
    <w:p w14:paraId="68B08831" w14:textId="77777777" w:rsidR="001956AF" w:rsidRPr="00CB70BA" w:rsidRDefault="001956AF" w:rsidP="00257B53">
      <w:pPr>
        <w:pStyle w:val="Institutionquisigne"/>
        <w:rPr>
          <w:noProof/>
        </w:rPr>
      </w:pPr>
      <w:r w:rsidRPr="00CB70BA">
        <w:rPr>
          <w:noProof/>
        </w:rPr>
        <w:tab/>
        <w:t>Neuvoston puolesta</w:t>
      </w:r>
    </w:p>
    <w:p w14:paraId="57659FC8" w14:textId="77777777" w:rsidR="00854600" w:rsidRPr="00CB70BA" w:rsidRDefault="001956AF" w:rsidP="00854600">
      <w:pPr>
        <w:pStyle w:val="Personnequisigne"/>
        <w:rPr>
          <w:noProof/>
        </w:rPr>
      </w:pPr>
      <w:r w:rsidRPr="00CB70BA">
        <w:rPr>
          <w:noProof/>
        </w:rPr>
        <w:tab/>
        <w:t>Puheenjohtaja</w:t>
      </w:r>
      <w:bookmarkStart w:id="10" w:name="_Hlk133567753"/>
    </w:p>
    <w:p w14:paraId="70AFAFA5" w14:textId="77777777" w:rsidR="00854600" w:rsidRPr="00CB70BA" w:rsidRDefault="00854600">
      <w:pPr>
        <w:spacing w:before="0" w:after="200" w:line="276" w:lineRule="auto"/>
        <w:jc w:val="left"/>
        <w:rPr>
          <w:i/>
          <w:noProof/>
        </w:rPr>
      </w:pPr>
      <w:r w:rsidRPr="00CB70BA">
        <w:rPr>
          <w:noProof/>
        </w:rPr>
        <w:br w:type="page"/>
      </w:r>
    </w:p>
    <w:bookmarkEnd w:id="10"/>
    <w:p w14:paraId="1EF22DAD" w14:textId="77777777" w:rsidR="001714E3" w:rsidRPr="00CB70BA" w:rsidRDefault="001714E3" w:rsidP="00854600">
      <w:pPr>
        <w:rPr>
          <w:noProof/>
        </w:rPr>
        <w:sectPr w:rsidR="001714E3" w:rsidRPr="00CB70BA" w:rsidSect="00811919">
          <w:pgSz w:w="11907" w:h="16839"/>
          <w:pgMar w:top="1134" w:right="1417" w:bottom="1134" w:left="1417" w:header="709" w:footer="709" w:gutter="0"/>
          <w:cols w:space="708"/>
          <w:docGrid w:linePitch="360"/>
        </w:sectPr>
      </w:pPr>
    </w:p>
    <w:p w14:paraId="531DDE80" w14:textId="77777777" w:rsidR="001B6AB1" w:rsidRDefault="001B6AB1" w:rsidP="001B6AB1">
      <w:pPr>
        <w:pStyle w:val="Fichefinanciretitre"/>
        <w:keepNext/>
        <w:rPr>
          <w:noProof/>
        </w:rPr>
      </w:pPr>
      <w:r>
        <w:rPr>
          <w:noProof/>
        </w:rPr>
        <w:t>SÄÄDÖSEHDOTUKSEEN LIITTYVÄ RAHOITUSSELVITYS</w:t>
      </w:r>
    </w:p>
    <w:p w14:paraId="3BEDC0D9" w14:textId="77777777" w:rsidR="001B6AB1" w:rsidRDefault="001B6AB1" w:rsidP="001B6AB1">
      <w:pPr>
        <w:pStyle w:val="ManualHeading1"/>
        <w:rPr>
          <w:noProof/>
        </w:rPr>
      </w:pPr>
      <w:r>
        <w:rPr>
          <w:noProof/>
        </w:rPr>
        <w:t>1.</w:t>
      </w:r>
      <w:r>
        <w:rPr>
          <w:noProof/>
        </w:rPr>
        <w:tab/>
        <w:t>PERUSTIEDOT EHDOTUKSESTA/ALOITTEESTA</w:t>
      </w:r>
    </w:p>
    <w:p w14:paraId="2B0C1156" w14:textId="77777777" w:rsidR="001B6AB1" w:rsidRDefault="001B6AB1" w:rsidP="001B6AB1">
      <w:pPr>
        <w:pStyle w:val="ManualHeading2"/>
        <w:rPr>
          <w:noProof/>
        </w:rPr>
      </w:pPr>
      <w:r>
        <w:rPr>
          <w:noProof/>
        </w:rPr>
        <w:tab/>
        <w:t>1.1.</w:t>
      </w:r>
      <w:r>
        <w:rPr>
          <w:noProof/>
        </w:rPr>
        <w:tab/>
        <w:t>Ehdotuksen/aloitteen nimi</w:t>
      </w:r>
    </w:p>
    <w:p w14:paraId="0901D52E" w14:textId="77777777" w:rsidR="001B6AB1" w:rsidRPr="000C056D" w:rsidRDefault="001B6AB1" w:rsidP="001B6AB1">
      <w:pPr>
        <w:pStyle w:val="ManualHeading2"/>
        <w:rPr>
          <w:b w:val="0"/>
          <w:bCs/>
          <w:noProof/>
        </w:rPr>
      </w:pPr>
      <w:r>
        <w:rPr>
          <w:noProof/>
        </w:rPr>
        <w:tab/>
      </w:r>
      <w:r>
        <w:rPr>
          <w:b w:val="0"/>
          <w:noProof/>
        </w:rPr>
        <w:t>Kaksinkertaisen verotuksen välttämistä ja lähdeverotukseen liittyvien väärinkäytösten estämistä koskeva uusi EU:n järjestelmä, ns. FASTER-järjestelmä (ylimääräisten lähdeverojen nopeampi ja turvallisempi alentaminen)</w:t>
      </w:r>
    </w:p>
    <w:p w14:paraId="265BFD62" w14:textId="77777777" w:rsidR="001B6AB1" w:rsidRDefault="001B6AB1" w:rsidP="001B6AB1">
      <w:pPr>
        <w:pStyle w:val="ManualHeading2"/>
        <w:rPr>
          <w:noProof/>
        </w:rPr>
      </w:pPr>
      <w:r>
        <w:rPr>
          <w:noProof/>
        </w:rPr>
        <w:tab/>
        <w:t>1.2.</w:t>
      </w:r>
      <w:r>
        <w:rPr>
          <w:noProof/>
        </w:rPr>
        <w:tab/>
        <w:t>Toimintalohko(t)</w:t>
      </w:r>
    </w:p>
    <w:p w14:paraId="321470DE" w14:textId="77777777" w:rsidR="001B6AB1" w:rsidRPr="00E63630" w:rsidRDefault="001B6AB1" w:rsidP="001B6AB1">
      <w:pPr>
        <w:pStyle w:val="ManualHeading2"/>
        <w:rPr>
          <w:b w:val="0"/>
          <w:bCs/>
          <w:noProof/>
        </w:rPr>
      </w:pPr>
      <w:r>
        <w:rPr>
          <w:noProof/>
        </w:rPr>
        <w:tab/>
      </w:r>
      <w:r>
        <w:rPr>
          <w:b w:val="0"/>
          <w:noProof/>
        </w:rPr>
        <w:t>Veropolitiikka.</w:t>
      </w:r>
    </w:p>
    <w:p w14:paraId="553ACD70" w14:textId="77777777" w:rsidR="001B6AB1" w:rsidRDefault="001B6AB1" w:rsidP="001B6AB1">
      <w:pPr>
        <w:pStyle w:val="ManualHeading2"/>
        <w:rPr>
          <w:noProof/>
        </w:rPr>
      </w:pPr>
      <w:r>
        <w:rPr>
          <w:noProof/>
        </w:rPr>
        <w:tab/>
        <w:t>1.3.</w:t>
      </w:r>
      <w:r>
        <w:rPr>
          <w:noProof/>
        </w:rPr>
        <w:tab/>
        <w:t>Ehdotus/aloite liittyy</w:t>
      </w:r>
    </w:p>
    <w:p w14:paraId="4BE824E4" w14:textId="77777777" w:rsidR="001B6AB1" w:rsidRPr="00E63630" w:rsidRDefault="001B6AB1" w:rsidP="001B6AB1">
      <w:pPr>
        <w:pStyle w:val="ManualHeading2"/>
        <w:rPr>
          <w:b w:val="0"/>
          <w:bCs/>
          <w:noProof/>
        </w:rPr>
      </w:pPr>
      <w:r>
        <w:rPr>
          <w:noProof/>
        </w:rPr>
        <w:tab/>
      </w:r>
      <w:r>
        <w:rPr>
          <w:b w:val="0"/>
          <w:noProof/>
        </w:rPr>
        <w:t xml:space="preserve">Uuteen toimeen </w:t>
      </w:r>
    </w:p>
    <w:p w14:paraId="23DC2B8D" w14:textId="77777777" w:rsidR="001B6AB1" w:rsidRDefault="001B6AB1" w:rsidP="001B6AB1">
      <w:pPr>
        <w:pStyle w:val="ManualHeading2"/>
        <w:rPr>
          <w:noProof/>
        </w:rPr>
      </w:pPr>
      <w:r>
        <w:rPr>
          <w:noProof/>
        </w:rPr>
        <w:tab/>
        <w:t>1.4.</w:t>
      </w:r>
      <w:r>
        <w:rPr>
          <w:noProof/>
        </w:rPr>
        <w:tab/>
        <w:t>Tavoite (Tavoitteet)</w:t>
      </w:r>
    </w:p>
    <w:p w14:paraId="507F8934" w14:textId="77777777" w:rsidR="001B6AB1" w:rsidRDefault="001B6AB1" w:rsidP="001B6AB1">
      <w:pPr>
        <w:pStyle w:val="ManualHeading3"/>
        <w:rPr>
          <w:noProof/>
        </w:rPr>
      </w:pPr>
      <w:r>
        <w:rPr>
          <w:noProof/>
        </w:rPr>
        <w:tab/>
        <w:t>1.4.1.</w:t>
      </w:r>
      <w:r>
        <w:rPr>
          <w:noProof/>
        </w:rPr>
        <w:tab/>
        <w:t>Yleistavoite (Yleistavoitteet)</w:t>
      </w:r>
    </w:p>
    <w:p w14:paraId="47BF6695" w14:textId="77777777" w:rsidR="001B6AB1" w:rsidRPr="00447163" w:rsidRDefault="001B6AB1" w:rsidP="001B6AB1">
      <w:pPr>
        <w:pStyle w:val="ManualHeading3"/>
        <w:rPr>
          <w:i w:val="0"/>
          <w:iCs/>
          <w:noProof/>
        </w:rPr>
      </w:pPr>
      <w:r>
        <w:rPr>
          <w:noProof/>
        </w:rPr>
        <w:tab/>
      </w:r>
      <w:r>
        <w:rPr>
          <w:i w:val="0"/>
          <w:noProof/>
        </w:rPr>
        <w:t>1) Rajat ylittävien investointien helpottaminen EU:ssa antamalla veronmaksajille asianmukainen ja tehokas pääsy kaksinkertaista verotusta koskevien sopimusten ja EU:n direktiivien mukaisiin veroetuuksiin</w:t>
      </w:r>
    </w:p>
    <w:p w14:paraId="14CF420A" w14:textId="77777777" w:rsidR="001B6AB1" w:rsidRPr="00447163" w:rsidRDefault="001B6AB1" w:rsidP="001B6AB1">
      <w:pPr>
        <w:pStyle w:val="ManualHeading3"/>
        <w:rPr>
          <w:i w:val="0"/>
          <w:iCs/>
          <w:noProof/>
        </w:rPr>
      </w:pPr>
      <w:r>
        <w:rPr>
          <w:noProof/>
        </w:rPr>
        <w:tab/>
      </w:r>
      <w:r>
        <w:rPr>
          <w:i w:val="0"/>
          <w:noProof/>
        </w:rPr>
        <w:t>2) Verotukseen liittyvien väärinkäytösten estäminen lähdeveromenettelyissä</w:t>
      </w:r>
    </w:p>
    <w:p w14:paraId="6E25404A" w14:textId="77777777" w:rsidR="001B6AB1" w:rsidRPr="00447163" w:rsidRDefault="001B6AB1" w:rsidP="001B6AB1">
      <w:pPr>
        <w:pStyle w:val="ManualHeading3"/>
        <w:rPr>
          <w:i w:val="0"/>
          <w:iCs/>
          <w:noProof/>
        </w:rPr>
      </w:pPr>
      <w:r>
        <w:rPr>
          <w:noProof/>
        </w:rPr>
        <w:tab/>
      </w:r>
      <w:r>
        <w:rPr>
          <w:i w:val="0"/>
          <w:noProof/>
        </w:rPr>
        <w:t>3) Taloudelliset hyödyt</w:t>
      </w:r>
    </w:p>
    <w:p w14:paraId="26203BBD" w14:textId="77777777" w:rsidR="001B6AB1" w:rsidRDefault="001B6AB1" w:rsidP="001B6AB1">
      <w:pPr>
        <w:pStyle w:val="ManualHeading3"/>
        <w:rPr>
          <w:noProof/>
        </w:rPr>
      </w:pPr>
      <w:r>
        <w:rPr>
          <w:noProof/>
        </w:rPr>
        <w:tab/>
        <w:t>1.4.2.</w:t>
      </w:r>
      <w:r>
        <w:rPr>
          <w:noProof/>
        </w:rPr>
        <w:tab/>
        <w:t>Erityistavoite (Erityistavoitteet)</w:t>
      </w:r>
    </w:p>
    <w:p w14:paraId="3DA08805" w14:textId="77777777" w:rsidR="001B6AB1" w:rsidRPr="00447163" w:rsidRDefault="001B6AB1" w:rsidP="001B6AB1">
      <w:pPr>
        <w:pStyle w:val="ManualHeading3"/>
        <w:rPr>
          <w:i w:val="0"/>
          <w:iCs/>
          <w:noProof/>
        </w:rPr>
      </w:pPr>
      <w:r>
        <w:rPr>
          <w:noProof/>
        </w:rPr>
        <w:tab/>
      </w:r>
      <w:r>
        <w:rPr>
          <w:i w:val="0"/>
          <w:noProof/>
        </w:rPr>
        <w:t xml:space="preserve">1) </w:t>
      </w:r>
      <w:r>
        <w:rPr>
          <w:i w:val="0"/>
          <w:noProof/>
          <w:sz w:val="22"/>
        </w:rPr>
        <w:t xml:space="preserve">Lyhennetään ylimääräisen lähdeveron alentamiseen tai palauttamiseen kuluvaa aikaa </w:t>
      </w:r>
    </w:p>
    <w:p w14:paraId="528EF0CC" w14:textId="77777777" w:rsidR="001B6AB1" w:rsidRPr="00447163" w:rsidRDefault="001B6AB1" w:rsidP="001B6AB1">
      <w:pPr>
        <w:pStyle w:val="ManualHeading3"/>
        <w:rPr>
          <w:i w:val="0"/>
          <w:iCs/>
          <w:noProof/>
        </w:rPr>
      </w:pPr>
      <w:r>
        <w:rPr>
          <w:noProof/>
        </w:rPr>
        <w:tab/>
      </w:r>
      <w:r>
        <w:rPr>
          <w:i w:val="0"/>
          <w:noProof/>
        </w:rPr>
        <w:t xml:space="preserve">2) </w:t>
      </w:r>
      <w:r>
        <w:rPr>
          <w:i w:val="0"/>
          <w:noProof/>
          <w:sz w:val="22"/>
        </w:rPr>
        <w:t>Varmistetaan, että rahoituksen välittäjät noudattavat asiakkaan due diligence -vaatimuksia ja raportoivat niistä veroviranomaisille.</w:t>
      </w:r>
    </w:p>
    <w:p w14:paraId="50B898CD" w14:textId="77777777" w:rsidR="001B6AB1" w:rsidRPr="00447163" w:rsidRDefault="001B6AB1" w:rsidP="001B6AB1">
      <w:pPr>
        <w:pStyle w:val="ManualHeading3"/>
        <w:rPr>
          <w:i w:val="0"/>
          <w:iCs/>
          <w:noProof/>
        </w:rPr>
      </w:pPr>
      <w:r>
        <w:rPr>
          <w:noProof/>
        </w:rPr>
        <w:tab/>
      </w:r>
      <w:r>
        <w:rPr>
          <w:i w:val="0"/>
          <w:noProof/>
        </w:rPr>
        <w:t>3) Lähdeveroon liittyvien väärinkäytösten estäminen (Cum/Ex ja Cum/Cum)</w:t>
      </w:r>
    </w:p>
    <w:p w14:paraId="54CAD061" w14:textId="77777777" w:rsidR="001B6AB1" w:rsidRPr="00447163" w:rsidRDefault="001B6AB1" w:rsidP="001B6AB1">
      <w:pPr>
        <w:pStyle w:val="ManualHeading3"/>
        <w:rPr>
          <w:i w:val="0"/>
          <w:iCs/>
          <w:noProof/>
        </w:rPr>
      </w:pPr>
      <w:r>
        <w:rPr>
          <w:noProof/>
        </w:rPr>
        <w:tab/>
      </w:r>
      <w:r>
        <w:rPr>
          <w:i w:val="0"/>
          <w:noProof/>
        </w:rPr>
        <w:t>4</w:t>
      </w:r>
      <w:r>
        <w:rPr>
          <w:i w:val="0"/>
          <w:noProof/>
          <w:sz w:val="22"/>
        </w:rPr>
        <w:t xml:space="preserve">) Jäsenvaltioiden veroviranomaisille annetaan välineet, joilla ne voivat käsitellä veron palauttamista/alentamista tulon lähteellä koskevia menettelyjä turvallisesti ja oikea-aikaisesti </w:t>
      </w:r>
    </w:p>
    <w:p w14:paraId="03A90643" w14:textId="77777777" w:rsidR="001B6AB1" w:rsidRDefault="001B6AB1" w:rsidP="001B6AB1">
      <w:pPr>
        <w:pStyle w:val="ManualHeading3"/>
        <w:rPr>
          <w:noProof/>
        </w:rPr>
      </w:pPr>
      <w:r>
        <w:rPr>
          <w:noProof/>
        </w:rPr>
        <w:tab/>
        <w:t>5) Ehdotuksen vaikutus talouteen</w:t>
      </w:r>
    </w:p>
    <w:p w14:paraId="0661F6D5" w14:textId="77777777" w:rsidR="001B6AB1" w:rsidRDefault="001B6AB1" w:rsidP="001B6AB1">
      <w:pPr>
        <w:pStyle w:val="ManualHeading3"/>
        <w:rPr>
          <w:noProof/>
        </w:rPr>
      </w:pPr>
      <w:r>
        <w:rPr>
          <w:noProof/>
        </w:rPr>
        <w:tab/>
        <w:t>1.4.3.</w:t>
      </w:r>
      <w:r>
        <w:rPr>
          <w:noProof/>
        </w:rPr>
        <w:tab/>
        <w:t>Odotettavissa olevat tulokset ja vaikutukset</w:t>
      </w:r>
    </w:p>
    <w:p w14:paraId="77470F95" w14:textId="77777777" w:rsidR="001B6AB1" w:rsidRPr="00EA1957" w:rsidRDefault="001B6AB1" w:rsidP="001B6AB1">
      <w:pPr>
        <w:pStyle w:val="ManualHeading3"/>
        <w:rPr>
          <w:i w:val="0"/>
          <w:iCs/>
          <w:noProof/>
        </w:rPr>
      </w:pPr>
      <w:r>
        <w:rPr>
          <w:noProof/>
        </w:rPr>
        <w:tab/>
      </w:r>
      <w:r>
        <w:rPr>
          <w:i w:val="0"/>
          <w:noProof/>
        </w:rPr>
        <w:t>Ehdotuksessa määritellyillä määräajoilla varmistettaisiin, että lähdeveropalautukset palautettaisiin nopeammin tai että maksun ajankohtana sovellettaisiin alhaisempaa lähdeverokantaa. Raportointivelvollisuudella varmistettaisiin, että tiedot raportoidaan veroviranomaisille avoimuuden mahdollistamiseksi ja että tällaisia tietoja käytetään tehokkaasti veropetosten, verovilpin ja veronkierron torjuntaan lähdeveron palautus-/alennusjärjestelmissä samalla kun varmistetaan järjestelmän tehokkuus. Toissijaisena tavoitteena on vaikuttaa myönteisesti BKT:n, palkkojen ja työllisyyden kaltaisiin taloudellisiin indikaattoreihin.</w:t>
      </w:r>
    </w:p>
    <w:p w14:paraId="7C2DCEE5" w14:textId="77777777" w:rsidR="001B6AB1" w:rsidRDefault="001B6AB1" w:rsidP="001B6AB1">
      <w:pPr>
        <w:pStyle w:val="ManualHeading3"/>
        <w:rPr>
          <w:noProof/>
        </w:rPr>
      </w:pPr>
      <w:r>
        <w:rPr>
          <w:noProof/>
        </w:rPr>
        <w:tab/>
        <w:t>1.4.4.</w:t>
      </w:r>
      <w:r>
        <w:rPr>
          <w:noProof/>
        </w:rPr>
        <w:tab/>
        <w:t>Tulosindikaattorit</w:t>
      </w:r>
    </w:p>
    <w:tbl>
      <w:tblPr>
        <w:tblStyle w:val="TableGrid"/>
        <w:tblW w:w="0" w:type="auto"/>
        <w:tblInd w:w="850" w:type="dxa"/>
        <w:tblLook w:val="04A0" w:firstRow="1" w:lastRow="0" w:firstColumn="1" w:lastColumn="0" w:noHBand="0" w:noVBand="1"/>
      </w:tblPr>
      <w:tblGrid>
        <w:gridCol w:w="2796"/>
        <w:gridCol w:w="3051"/>
        <w:gridCol w:w="2590"/>
      </w:tblGrid>
      <w:tr w:rsidR="001B6AB1" w14:paraId="05C2A041" w14:textId="77777777" w:rsidTr="00B330E1">
        <w:tc>
          <w:tcPr>
            <w:tcW w:w="2811" w:type="dxa"/>
          </w:tcPr>
          <w:p w14:paraId="04672C7E" w14:textId="77777777" w:rsidR="001B6AB1" w:rsidRDefault="001B6AB1" w:rsidP="00B330E1">
            <w:pPr>
              <w:pStyle w:val="ManualHeading2"/>
              <w:ind w:left="0" w:firstLine="0"/>
              <w:rPr>
                <w:noProof/>
              </w:rPr>
            </w:pPr>
            <w:r>
              <w:rPr>
                <w:noProof/>
                <w:sz w:val="22"/>
              </w:rPr>
              <w:t xml:space="preserve">Erityistavoite </w:t>
            </w:r>
          </w:p>
        </w:tc>
        <w:tc>
          <w:tcPr>
            <w:tcW w:w="2813" w:type="dxa"/>
          </w:tcPr>
          <w:p w14:paraId="052296A6" w14:textId="77777777" w:rsidR="001B6AB1" w:rsidRDefault="001B6AB1" w:rsidP="00B330E1">
            <w:pPr>
              <w:pStyle w:val="ManualHeading2"/>
              <w:ind w:left="0" w:firstLine="0"/>
              <w:rPr>
                <w:noProof/>
              </w:rPr>
            </w:pPr>
            <w:r>
              <w:rPr>
                <w:noProof/>
                <w:sz w:val="22"/>
              </w:rPr>
              <w:t>Indikaattorit</w:t>
            </w:r>
          </w:p>
        </w:tc>
        <w:tc>
          <w:tcPr>
            <w:tcW w:w="2813" w:type="dxa"/>
          </w:tcPr>
          <w:p w14:paraId="1AFA0C9D" w14:textId="77777777" w:rsidR="001B6AB1" w:rsidRDefault="001B6AB1" w:rsidP="00B330E1">
            <w:pPr>
              <w:pStyle w:val="ManualHeading2"/>
              <w:ind w:left="0" w:firstLine="0"/>
              <w:rPr>
                <w:noProof/>
              </w:rPr>
            </w:pPr>
            <w:r>
              <w:rPr>
                <w:noProof/>
                <w:sz w:val="22"/>
              </w:rPr>
              <w:t>Mittausvälineet</w:t>
            </w:r>
          </w:p>
        </w:tc>
      </w:tr>
      <w:tr w:rsidR="001B6AB1" w14:paraId="564D429E" w14:textId="77777777" w:rsidTr="00B330E1">
        <w:tc>
          <w:tcPr>
            <w:tcW w:w="2811" w:type="dxa"/>
          </w:tcPr>
          <w:p w14:paraId="168AA074" w14:textId="77777777" w:rsidR="001B6AB1" w:rsidRPr="00447163" w:rsidRDefault="001B6AB1" w:rsidP="00B330E1">
            <w:pPr>
              <w:pStyle w:val="ManualHeading2"/>
              <w:ind w:left="0" w:firstLine="0"/>
              <w:rPr>
                <w:b w:val="0"/>
                <w:bCs/>
                <w:noProof/>
              </w:rPr>
            </w:pPr>
            <w:r>
              <w:rPr>
                <w:b w:val="0"/>
                <w:noProof/>
                <w:sz w:val="22"/>
              </w:rPr>
              <w:t xml:space="preserve">Lyhennetään ylimääräisen lähdeveron alentamiseen/palauttamiseen kuluvaa aikaa </w:t>
            </w:r>
          </w:p>
        </w:tc>
        <w:tc>
          <w:tcPr>
            <w:tcW w:w="2813" w:type="dxa"/>
          </w:tcPr>
          <w:p w14:paraId="5F3A3684" w14:textId="77777777" w:rsidR="001B6AB1" w:rsidRPr="00447163" w:rsidRDefault="001B6AB1" w:rsidP="00B330E1">
            <w:pPr>
              <w:pStyle w:val="ManualHeading2"/>
              <w:ind w:left="0" w:firstLine="0"/>
              <w:rPr>
                <w:b w:val="0"/>
                <w:bCs/>
                <w:noProof/>
              </w:rPr>
            </w:pPr>
            <w:r>
              <w:rPr>
                <w:b w:val="0"/>
                <w:noProof/>
                <w:sz w:val="22"/>
              </w:rPr>
              <w:t xml:space="preserve">Onko lähdeveropalautusten maksamiseen kuluva aika ehdotuksessa ennalta määriteltyjen maksuaikojen mukainen ja, soveltuvin osin, maksetaanko sijoittajille viivästyskorkoa myöhästyneiden palautusten vuoksi </w:t>
            </w:r>
          </w:p>
        </w:tc>
        <w:tc>
          <w:tcPr>
            <w:tcW w:w="2813" w:type="dxa"/>
          </w:tcPr>
          <w:p w14:paraId="574A3E84" w14:textId="77777777" w:rsidR="001B6AB1" w:rsidRPr="00447163" w:rsidRDefault="001B6AB1" w:rsidP="00B330E1">
            <w:pPr>
              <w:pStyle w:val="ManualHeading2"/>
              <w:ind w:left="0" w:firstLine="0"/>
              <w:rPr>
                <w:b w:val="0"/>
                <w:bCs/>
                <w:noProof/>
              </w:rPr>
            </w:pPr>
            <w:r>
              <w:rPr>
                <w:b w:val="0"/>
                <w:noProof/>
                <w:sz w:val="22"/>
              </w:rPr>
              <w:t>Vuosittaiset tiedot, jotka on toimitettava komissiolle tulon lähteenä olevien jäsenvaltioiden perusteella jaoteltuna</w:t>
            </w:r>
          </w:p>
        </w:tc>
      </w:tr>
      <w:tr w:rsidR="001B6AB1" w14:paraId="4C248679" w14:textId="77777777" w:rsidTr="00B330E1">
        <w:tc>
          <w:tcPr>
            <w:tcW w:w="2811" w:type="dxa"/>
          </w:tcPr>
          <w:p w14:paraId="6D017A1E" w14:textId="77777777" w:rsidR="001B6AB1" w:rsidRPr="00346140" w:rsidRDefault="001B6AB1" w:rsidP="00B330E1">
            <w:pPr>
              <w:pStyle w:val="ManualHeading2"/>
              <w:ind w:left="0" w:firstLine="0"/>
              <w:rPr>
                <w:b w:val="0"/>
                <w:bCs/>
                <w:noProof/>
              </w:rPr>
            </w:pPr>
            <w:r>
              <w:rPr>
                <w:b w:val="0"/>
                <w:noProof/>
                <w:sz w:val="22"/>
              </w:rPr>
              <w:t xml:space="preserve">Sen varmistaminen, että sertifioidut rahoituksen välittäjät noudattavat asiakkaan due diligence -velvollisuuksia ja raportointivelvoitteita </w:t>
            </w:r>
          </w:p>
        </w:tc>
        <w:tc>
          <w:tcPr>
            <w:tcW w:w="2813" w:type="dxa"/>
          </w:tcPr>
          <w:p w14:paraId="6CB6BF1E" w14:textId="77777777" w:rsidR="001B6AB1" w:rsidRPr="00346140" w:rsidRDefault="001B6AB1" w:rsidP="00B330E1">
            <w:pPr>
              <w:pStyle w:val="ManualHeading2"/>
              <w:ind w:left="0" w:firstLine="0"/>
              <w:rPr>
                <w:b w:val="0"/>
                <w:bCs/>
                <w:noProof/>
              </w:rPr>
            </w:pPr>
            <w:r>
              <w:rPr>
                <w:b w:val="0"/>
                <w:noProof/>
                <w:sz w:val="22"/>
              </w:rPr>
              <w:t xml:space="preserve">Jäsenvaltion suorittama seuranta, jolla varmistetaan, että EU:n rahoituksen välittäjät (jotka jaotellaan sen jäsenvaltion perusteella, jossa ne on rekisteröity kansalliseen rekisteriin) ja EU:n ulkopuoliset rahoituksen välittäjät (jotka jaotellaan sen jäsenvaltion perusteella, jossa ne on rekisteröity) noudattavat vaatimuksia </w:t>
            </w:r>
          </w:p>
        </w:tc>
        <w:tc>
          <w:tcPr>
            <w:tcW w:w="2813" w:type="dxa"/>
          </w:tcPr>
          <w:p w14:paraId="39CEC33B" w14:textId="77777777" w:rsidR="001B6AB1" w:rsidRPr="00346140" w:rsidRDefault="001B6AB1" w:rsidP="00B330E1">
            <w:pPr>
              <w:pStyle w:val="ManualHeading2"/>
              <w:ind w:left="0" w:firstLine="0"/>
              <w:rPr>
                <w:b w:val="0"/>
                <w:bCs/>
                <w:noProof/>
              </w:rPr>
            </w:pPr>
            <w:r>
              <w:rPr>
                <w:b w:val="0"/>
                <w:noProof/>
                <w:sz w:val="22"/>
              </w:rPr>
              <w:t>Vuosikertomus, jonka jäsenvaltio toimittaa sen kansallisen rekisterin yhteydessä, johon rahoituksen välittäjä on rekisteröity.</w:t>
            </w:r>
          </w:p>
        </w:tc>
      </w:tr>
      <w:tr w:rsidR="001B6AB1" w14:paraId="19A788FE" w14:textId="77777777" w:rsidTr="00B330E1">
        <w:tc>
          <w:tcPr>
            <w:tcW w:w="2811" w:type="dxa"/>
          </w:tcPr>
          <w:p w14:paraId="3047BA35" w14:textId="77777777" w:rsidR="001B6AB1" w:rsidRPr="00926375" w:rsidRDefault="001B6AB1" w:rsidP="00B330E1">
            <w:pPr>
              <w:pStyle w:val="ManualHeading2"/>
              <w:ind w:left="0" w:firstLine="0"/>
              <w:rPr>
                <w:b w:val="0"/>
                <w:bCs/>
                <w:noProof/>
              </w:rPr>
            </w:pPr>
            <w:r>
              <w:rPr>
                <w:b w:val="0"/>
                <w:noProof/>
                <w:sz w:val="22"/>
              </w:rPr>
              <w:t>Verovilpin estäminen</w:t>
            </w:r>
          </w:p>
        </w:tc>
        <w:tc>
          <w:tcPr>
            <w:tcW w:w="2813" w:type="dxa"/>
          </w:tcPr>
          <w:p w14:paraId="4ABF4C75" w14:textId="77777777" w:rsidR="001B6AB1" w:rsidRPr="00926375" w:rsidRDefault="001B6AB1" w:rsidP="00B330E1">
            <w:pPr>
              <w:pStyle w:val="ManualHeading2"/>
              <w:ind w:left="0" w:firstLine="0"/>
              <w:rPr>
                <w:b w:val="0"/>
                <w:bCs/>
                <w:noProof/>
              </w:rPr>
            </w:pPr>
            <w:r>
              <w:rPr>
                <w:b w:val="0"/>
                <w:noProof/>
                <w:sz w:val="22"/>
              </w:rPr>
              <w:t xml:space="preserve">Lähdejäsenvaltion tekemä vuotuinen arviointi välittäjien/lähdeveroasiamiesten ilmoittamien tietojen hyödyllisyydestä verotukseen liittyvien väärinkäytösten havaitsemisessa ja ehkäisemisessä. Arviointiin sisältyy raportoitujen tietojen käyttö ja hyödyt (väärinkäytöstapausten lukumäärä ja niihin liittyvät määrät) lähdeveroihin liittyvien väärinkäytösten havaitsemisessa ja torjumisessa (Cum/Ex ja Cum/Cum). </w:t>
            </w:r>
          </w:p>
        </w:tc>
        <w:tc>
          <w:tcPr>
            <w:tcW w:w="2813" w:type="dxa"/>
          </w:tcPr>
          <w:p w14:paraId="27E5101A" w14:textId="77777777" w:rsidR="001B6AB1" w:rsidRPr="00926375" w:rsidRDefault="001B6AB1" w:rsidP="00B330E1">
            <w:pPr>
              <w:pStyle w:val="ManualHeading2"/>
              <w:ind w:left="0" w:firstLine="0"/>
              <w:rPr>
                <w:b w:val="0"/>
                <w:bCs/>
                <w:noProof/>
              </w:rPr>
            </w:pPr>
            <w:r>
              <w:rPr>
                <w:b w:val="0"/>
                <w:noProof/>
                <w:sz w:val="22"/>
              </w:rPr>
              <w:t>Lähdejäsenvaltion komissiolle toimittama vuotuinen arviointi.</w:t>
            </w:r>
          </w:p>
        </w:tc>
      </w:tr>
      <w:tr w:rsidR="001B6AB1" w14:paraId="55C54372" w14:textId="77777777" w:rsidTr="00B330E1">
        <w:tc>
          <w:tcPr>
            <w:tcW w:w="2811" w:type="dxa"/>
          </w:tcPr>
          <w:p w14:paraId="4B3F400E" w14:textId="77777777" w:rsidR="001B6AB1" w:rsidRPr="00926375" w:rsidRDefault="001B6AB1" w:rsidP="00B330E1">
            <w:pPr>
              <w:pStyle w:val="ManualHeading2"/>
              <w:ind w:left="0" w:firstLine="0"/>
              <w:rPr>
                <w:b w:val="0"/>
                <w:bCs/>
                <w:noProof/>
              </w:rPr>
            </w:pPr>
            <w:r>
              <w:rPr>
                <w:b w:val="0"/>
                <w:noProof/>
                <w:sz w:val="22"/>
              </w:rPr>
              <w:t xml:space="preserve">Annetaan jäsenvaltioiden veroviranomaisille välineet, joilla ne voivat turvallisella tavalla käsitellä palautus-/alentamismenettelyjä niiden lähteellä </w:t>
            </w:r>
          </w:p>
        </w:tc>
        <w:tc>
          <w:tcPr>
            <w:tcW w:w="2813" w:type="dxa"/>
          </w:tcPr>
          <w:p w14:paraId="54893360" w14:textId="77777777" w:rsidR="001B6AB1" w:rsidRPr="00926375" w:rsidRDefault="001B6AB1" w:rsidP="00B330E1">
            <w:pPr>
              <w:spacing w:line="276" w:lineRule="auto"/>
              <w:rPr>
                <w:rFonts w:eastAsia="Calibri"/>
                <w:bCs/>
                <w:noProof/>
                <w:sz w:val="22"/>
                <w:szCs w:val="22"/>
              </w:rPr>
            </w:pPr>
            <w:r>
              <w:rPr>
                <w:noProof/>
                <w:sz w:val="22"/>
              </w:rPr>
              <w:t xml:space="preserve">Rahoituksen välittäjien / lähdeveroasiamiesten lähdejäsenvaltion veroviranomaisille ilmoittamien tietojen oikeellisuus ja täydellisyys </w:t>
            </w:r>
          </w:p>
          <w:p w14:paraId="2E84BEFF" w14:textId="77777777" w:rsidR="001B6AB1" w:rsidRPr="00926375" w:rsidRDefault="001B6AB1" w:rsidP="00B330E1">
            <w:pPr>
              <w:pStyle w:val="ManualHeading2"/>
              <w:ind w:left="0" w:firstLine="0"/>
              <w:rPr>
                <w:b w:val="0"/>
                <w:bCs/>
                <w:noProof/>
              </w:rPr>
            </w:pPr>
            <w:r>
              <w:rPr>
                <w:b w:val="0"/>
                <w:noProof/>
                <w:sz w:val="22"/>
              </w:rPr>
              <w:t>Lähdejäsenvaltion tekemä vuotuinen arviointi vastuun kohdentamista koskevien sääntöjen täytäntöönpanokelpoisuudesta kansallisella tasolla</w:t>
            </w:r>
          </w:p>
        </w:tc>
        <w:tc>
          <w:tcPr>
            <w:tcW w:w="2813" w:type="dxa"/>
          </w:tcPr>
          <w:p w14:paraId="359FFD4D" w14:textId="23BA6532" w:rsidR="001B6AB1" w:rsidRPr="00926375" w:rsidRDefault="001B6AB1" w:rsidP="00B330E1">
            <w:pPr>
              <w:pStyle w:val="ManualHeading2"/>
              <w:ind w:left="0" w:firstLine="0"/>
              <w:rPr>
                <w:b w:val="0"/>
                <w:bCs/>
                <w:noProof/>
              </w:rPr>
            </w:pPr>
            <w:r>
              <w:rPr>
                <w:b w:val="0"/>
                <w:noProof/>
                <w:sz w:val="22"/>
              </w:rPr>
              <w:t>Lähdejäsenvaltion komissiolle toimittama vuotuinen arviointi.</w:t>
            </w:r>
            <w:r w:rsidR="00D9795C">
              <w:rPr>
                <w:b w:val="0"/>
                <w:noProof/>
                <w:sz w:val="22"/>
              </w:rPr>
              <w:t xml:space="preserve"> </w:t>
            </w:r>
          </w:p>
        </w:tc>
      </w:tr>
      <w:tr w:rsidR="001B6AB1" w14:paraId="4DC68B63" w14:textId="77777777" w:rsidTr="00B330E1">
        <w:tc>
          <w:tcPr>
            <w:tcW w:w="2811" w:type="dxa"/>
          </w:tcPr>
          <w:p w14:paraId="0BB94967" w14:textId="77777777" w:rsidR="001B6AB1" w:rsidRPr="00926375" w:rsidRDefault="001B6AB1" w:rsidP="00B330E1">
            <w:pPr>
              <w:pStyle w:val="ManualHeading2"/>
              <w:ind w:left="0" w:firstLine="0"/>
              <w:rPr>
                <w:b w:val="0"/>
                <w:bCs/>
                <w:noProof/>
              </w:rPr>
            </w:pPr>
            <w:r>
              <w:rPr>
                <w:b w:val="0"/>
                <w:noProof/>
                <w:sz w:val="22"/>
              </w:rPr>
              <w:t>Ehdotuksen vaikutus EU:n talouteen</w:t>
            </w:r>
          </w:p>
        </w:tc>
        <w:tc>
          <w:tcPr>
            <w:tcW w:w="2813" w:type="dxa"/>
          </w:tcPr>
          <w:p w14:paraId="5E41B7DA" w14:textId="77777777" w:rsidR="001B6AB1" w:rsidRPr="00926375" w:rsidRDefault="001B6AB1" w:rsidP="00B330E1">
            <w:pPr>
              <w:pStyle w:val="ManualHeading2"/>
              <w:ind w:left="0" w:firstLine="0"/>
              <w:rPr>
                <w:b w:val="0"/>
                <w:bCs/>
                <w:noProof/>
              </w:rPr>
            </w:pPr>
            <w:r>
              <w:rPr>
                <w:b w:val="0"/>
                <w:noProof/>
                <w:sz w:val="22"/>
              </w:rPr>
              <w:t xml:space="preserve">Arvio ehdotuksen taloudellisista vaikutuksista BKT:hen, investointeihin, palkkoihin ja työllisyyteen. Arviointiin sisältyy tietolähteet ja menetelmät, joita on käytetty ehdotukseen liittyvän vaikutustenarvioinnin liitteessä 4 olevissa yhteisen tutkimuskeskuksen tutkimuksissa, mukaan lukien rajat ylittävää turvallisuutta koskeva CPIS:n tutkimus. </w:t>
            </w:r>
          </w:p>
        </w:tc>
        <w:tc>
          <w:tcPr>
            <w:tcW w:w="2813" w:type="dxa"/>
          </w:tcPr>
          <w:p w14:paraId="1A371252" w14:textId="77777777" w:rsidR="001B6AB1" w:rsidRPr="00926375" w:rsidRDefault="001B6AB1" w:rsidP="00B330E1">
            <w:pPr>
              <w:pStyle w:val="ManualHeading2"/>
              <w:ind w:left="0" w:firstLine="0"/>
              <w:rPr>
                <w:b w:val="0"/>
                <w:bCs/>
                <w:noProof/>
              </w:rPr>
            </w:pPr>
            <w:r>
              <w:rPr>
                <w:b w:val="0"/>
                <w:noProof/>
                <w:sz w:val="22"/>
              </w:rPr>
              <w:t xml:space="preserve">Komission tekemä vuotuinen arviointi </w:t>
            </w:r>
          </w:p>
        </w:tc>
      </w:tr>
    </w:tbl>
    <w:p w14:paraId="54DE2643" w14:textId="77777777" w:rsidR="001B6AB1" w:rsidRDefault="001B6AB1" w:rsidP="001B6AB1">
      <w:pPr>
        <w:pStyle w:val="ManualHeading2"/>
        <w:rPr>
          <w:noProof/>
        </w:rPr>
      </w:pPr>
    </w:p>
    <w:p w14:paraId="696EB540" w14:textId="77777777" w:rsidR="001B6AB1" w:rsidRDefault="001B6AB1" w:rsidP="001B6AB1">
      <w:pPr>
        <w:pStyle w:val="ManualHeading2"/>
        <w:rPr>
          <w:noProof/>
        </w:rPr>
      </w:pPr>
    </w:p>
    <w:p w14:paraId="572C3B14" w14:textId="77777777" w:rsidR="001B6AB1" w:rsidRDefault="001B6AB1" w:rsidP="001B6AB1">
      <w:pPr>
        <w:pStyle w:val="ManualHeading2"/>
        <w:rPr>
          <w:noProof/>
        </w:rPr>
      </w:pPr>
      <w:r>
        <w:rPr>
          <w:noProof/>
        </w:rPr>
        <w:tab/>
        <w:t>1.5.</w:t>
      </w:r>
      <w:r>
        <w:rPr>
          <w:noProof/>
        </w:rPr>
        <w:tab/>
        <w:t>Ehdotuksen/aloitteen perustelut</w:t>
      </w:r>
    </w:p>
    <w:p w14:paraId="56E35E82" w14:textId="77777777" w:rsidR="001B6AB1" w:rsidRDefault="001B6AB1" w:rsidP="001B6AB1">
      <w:pPr>
        <w:pStyle w:val="ManualHeading3"/>
        <w:rPr>
          <w:noProof/>
        </w:rPr>
      </w:pPr>
      <w:r>
        <w:rPr>
          <w:noProof/>
        </w:rPr>
        <w:tab/>
        <w:t>1.5.1.</w:t>
      </w:r>
      <w:r>
        <w:rPr>
          <w:noProof/>
        </w:rPr>
        <w:tab/>
        <w:t>Vaatimukset, jotka on täytettävä lyhyellä tai pitkällä aikavälillä, mukaan lukien yksityiskohtainen aikataulu aloitteen täytäntöönpanolle</w:t>
      </w:r>
    </w:p>
    <w:p w14:paraId="6BAD7ECF" w14:textId="77777777" w:rsidR="001B6AB1" w:rsidRDefault="00894C68" w:rsidP="001B6AB1">
      <w:pPr>
        <w:pStyle w:val="Text1"/>
        <w:rPr>
          <w:noProof/>
        </w:rPr>
      </w:pPr>
      <w:r>
        <w:rPr>
          <w:noProof/>
        </w:rPr>
      </w:r>
      <w:r>
        <w:rPr>
          <w:noProof/>
        </w:rPr>
        <w:pict w14:anchorId="7B810824">
          <v:shapetype id="_x0000_t202" coordsize="21600,21600" o:spt="202" path="m,l,21600r21600,l21600,xe">
            <v:stroke joinstyle="miter"/>
            <v:path gradientshapeok="t" o:connecttype="rect"/>
          </v:shapetype>
          <v:shape id="_x0000_s2058" type="#_x0000_t202" style="width:406.3pt;height:464.25pt;visibility:visible;mso-wrap-style:square;mso-left-percent:-10001;mso-top-percent:-10001;mso-position-horizontal:absolute;mso-position-horizontal-relative:char;mso-position-vertical:absolute;mso-position-vertical-relative:line;mso-left-percent:-10001;mso-top-percent:-10001;v-text-anchor:top">
            <v:textbox>
              <w:txbxContent>
                <w:p w14:paraId="13B3E7F3" w14:textId="77777777" w:rsidR="001B6AB1" w:rsidRDefault="001B6AB1" w:rsidP="001B6AB1">
                  <w:r>
                    <w:t>Komission on toteutettava seuraavat toimenpiteet aloitteen täytäntöönpanemiseksi: 1) teknisen tuen antaminen eTRC-todistusten myöntämistä koskevan järjestelmän panemiseksi täytäntöön; ja 2) puitteiden luominen järjestelmälle, jossa rahoituksen välittäjät raportoivat ja pyytävät jäsenvaltioilta lomakkeita.</w:t>
                  </w:r>
                </w:p>
                <w:p w14:paraId="77D610B1" w14:textId="77777777" w:rsidR="001B6AB1" w:rsidRDefault="001B6AB1" w:rsidP="001B6AB1">
                  <w:r>
                    <w:t xml:space="preserve">eTRC-todistukset suojataan sähköisellä leimalla, joka on sähköisestä tunnistamisesta ja sähköisiin transaktioihin liittyvistä luottamuspalveluista sisämarkkinoilla 23 päivänä heinäkuuta 2014 annetun asetuksen (EU) N:o 910/2014 (eIDAS-asetus) mukainen. Myöhemmässä vaiheessa jäsenvaltiot harkitsevat todennettavissa oleviin valtuustietoihin perustuvan todentamisprosessin ottamista käyttöön, jos EU:n tekniset vaatimukset täyttyvät. eTRC-todistusten ja todentamisprosessin odotetaan olevan käytössä 18 kuukauden kuluessa direktiivin antamisesta. </w:t>
                  </w:r>
                </w:p>
                <w:p w14:paraId="6A4B5813" w14:textId="77777777" w:rsidR="001B6AB1" w:rsidRPr="00022846" w:rsidRDefault="001B6AB1" w:rsidP="001B6AB1">
                  <w:r>
                    <w:t xml:space="preserve">Komission edellytetään antavan käyttöön luotettavien liikkeeseenlaskijoiden julkisten avainten rekisterin (olettaen, että julkisia avaimia on muutettava määräajoin) eTRC-todistusten täytäntöönpanoa varten jäsenvaltioissa. </w:t>
                  </w:r>
                </w:p>
                <w:p w14:paraId="677EC1D1" w14:textId="77777777" w:rsidR="001B6AB1" w:rsidRDefault="001B6AB1" w:rsidP="001B6AB1">
                  <w:r>
                    <w:t xml:space="preserve">Lisäksi komissio tukee teknistä komiteaa verotuksellista kotipaikkaa koskevan digitaalisen todistuksen teknisen perustan mahdollisissa muutoksissa tai uudessa teknisessä kehityksessä. </w:t>
                  </w:r>
                </w:p>
                <w:p w14:paraId="04DE64DE" w14:textId="77777777" w:rsidR="001B6AB1" w:rsidRPr="00CA3E5A" w:rsidRDefault="001B6AB1" w:rsidP="001B6AB1">
                  <w:r>
                    <w:t>Ehdotuksen soveltamisalaan kuuluvien rahoituksen välittäjien on raportoitava jäsenvaltioille julkisen kaupankäynnin kohteena olevista osakkeista maksetuista osingoista ja/tai julkisen kaupankäynnin kohteena olevista joukkovelkakirjoista maksetuista koroista. Tiedot, jotka on raportoitava, vahvistetaan ehdotuksessa. Siirretään komissiolle valta antaa täytäntöönpanosäädöksiä, jotka koskevat raportoitavien tietojen sisältöä. Lisäksi komissio vahvistaa täytäntöönpanosäädöksellä tietojen raportoinnissa käytettävät vakiomuotoiset sähköiset lomakkeet, jotka ovat xml-muotoisia tai vastaavassa muodossa, mukaan lukien kielijärjestelyt. Komissio täsmentää myös raportointijärjestelmien viestintäkanavia/-protokollia koskevat vaatimukset, joissa edellytetään rahoituksen välittäjiä vaihtamaan tietoja jäsenvaltioiden veroviranomaisten kanssa ehdotuksen soveltamisalalla.</w:t>
                  </w:r>
                </w:p>
              </w:txbxContent>
            </v:textbox>
            <w10:anchorlock/>
          </v:shape>
        </w:pict>
      </w:r>
    </w:p>
    <w:p w14:paraId="79E6C661" w14:textId="77777777" w:rsidR="001B6AB1" w:rsidRDefault="001B6AB1" w:rsidP="001B6AB1">
      <w:pPr>
        <w:rPr>
          <w:noProof/>
        </w:rPr>
      </w:pPr>
    </w:p>
    <w:p w14:paraId="255568C2" w14:textId="77777777" w:rsidR="001B6AB1" w:rsidRDefault="001B6AB1" w:rsidP="001B6AB1">
      <w:pPr>
        <w:pStyle w:val="ManualHeading3"/>
        <w:rPr>
          <w:noProof/>
        </w:rPr>
      </w:pPr>
      <w:r>
        <w:rPr>
          <w:noProof/>
        </w:rPr>
        <w:tab/>
        <w:t>1.5.2.</w:t>
      </w:r>
      <w:r>
        <w:rPr>
          <w:noProof/>
        </w:rPr>
        <w:tab/>
        <w:t>Unionin osallistumisesta saatava lisäarvo (joka voi olla seurausta eri tekijöistä, kuten koordinoinnin paranemisesta, oikeusvarmuudesta tai toiminnan vaikuttavuuden tai täydentävyyden paranemisesta). Unionin osallistumisesta saatavalla lisäarvolla tarkoitetaan tässä kohdassa arvoa, jonka unionin osallistuminen tuottaa sen arvon lisäksi, joka olisi saatu aikaan pelkillä jäsenvaltioiden toimilla</w:t>
      </w:r>
    </w:p>
    <w:p w14:paraId="58A09525" w14:textId="77777777" w:rsidR="001B6AB1" w:rsidRPr="00052297" w:rsidRDefault="00894C68" w:rsidP="001B6AB1">
      <w:pPr>
        <w:rPr>
          <w:i/>
          <w:noProof/>
        </w:rPr>
      </w:pPr>
      <w:r>
        <w:rPr>
          <w:noProof/>
        </w:rPr>
      </w:r>
      <w:r>
        <w:rPr>
          <w:noProof/>
        </w:rPr>
        <w:pict w14:anchorId="20225021">
          <v:shape id="Text Box 1" o:spid="_x0000_s2057" type="#_x0000_t202" style="width:409pt;height:189.45pt;visibility:visible;mso-left-percent:-10001;mso-top-percent:-10001;mso-position-horizontal:absolute;mso-position-horizontal-relative:char;mso-position-vertical:absolute;mso-position-vertical-relative:line;mso-left-percent:-10001;mso-top-percent:-10001">
            <v:textbox>
              <w:txbxContent>
                <w:p w14:paraId="62D04860" w14:textId="77777777" w:rsidR="001B6AB1" w:rsidRPr="00370347" w:rsidRDefault="001B6AB1" w:rsidP="001B6AB1">
                  <w:r>
                    <w:t>Ylimääräisen lähdeveron alennus-/palautusprosessin virtaviivaistamiseksi ja lähdeveropalautusten nopeuttamiseksi on suositeltavaa välttää erilaisia vaatimuksia, joita eri jäsenvaltiot soveltavat yksipuolisesti eri menettelyjä noudattaen.</w:t>
                  </w:r>
                </w:p>
                <w:p w14:paraId="6B757FC3" w14:textId="77777777" w:rsidR="001B6AB1" w:rsidRPr="00E324B4" w:rsidRDefault="001B6AB1" w:rsidP="001B6AB1">
                  <w:r>
                    <w:t>Koko EU:n yhteisen vakioraportointijärjestelmän ansiosta kaikilla jäsenvaltioilla on täysi avoimuus osingon- ja koronmaksuketjussa.  Näin ei tällä hetkellä ole. Saadut tiedot auttavat tunnistamaan ja estämään lähdeveron alennukseen/palautukseen liittyvät väärinkäytökset (Cum/Ex ja Cum/Cum).</w:t>
                  </w:r>
                </w:p>
                <w:p w14:paraId="15B34378" w14:textId="77777777" w:rsidR="001B6AB1" w:rsidRDefault="001B6AB1" w:rsidP="001B6AB1">
                  <w:r>
                    <w:t xml:space="preserve">EU:n tason ratkaisun, jossa lähdeveron alennusmenettelyjen keskeiset piirteet digitalisoidaan ja yhdenmukaistetaan suhteellisuusperiaatetta noudattaen, odotetaan keventävän hallinnollista rasitetta ja säästävän siten veroviranomaisten, sijoittajien ja rahoituksen välittäjien aikaa ja kustannuksia. </w:t>
                  </w:r>
                </w:p>
              </w:txbxContent>
            </v:textbox>
            <w10:anchorlock/>
          </v:shape>
        </w:pict>
      </w:r>
    </w:p>
    <w:p w14:paraId="23868EE6" w14:textId="77777777" w:rsidR="001B6AB1" w:rsidRPr="00052297" w:rsidRDefault="001B6AB1" w:rsidP="001B6AB1">
      <w:pPr>
        <w:rPr>
          <w:noProof/>
        </w:rPr>
      </w:pPr>
      <w:r>
        <w:rPr>
          <w:noProof/>
        </w:rPr>
        <w:tab/>
      </w:r>
      <w:r>
        <w:rPr>
          <w:noProof/>
        </w:rPr>
        <w:tab/>
      </w:r>
    </w:p>
    <w:p w14:paraId="7C24DAF4" w14:textId="77777777" w:rsidR="001B6AB1" w:rsidRPr="005837D8" w:rsidRDefault="001B6AB1" w:rsidP="001B6AB1">
      <w:pPr>
        <w:pStyle w:val="ManualHeading3"/>
        <w:rPr>
          <w:noProof/>
        </w:rPr>
      </w:pPr>
      <w:r>
        <w:rPr>
          <w:noProof/>
        </w:rPr>
        <w:tab/>
        <w:t>1.5.3.</w:t>
      </w:r>
      <w:r>
        <w:rPr>
          <w:noProof/>
        </w:rPr>
        <w:tab/>
        <w:t>Vastaavista toimista saadut kokemukset</w:t>
      </w:r>
    </w:p>
    <w:p w14:paraId="2CF0B4D5" w14:textId="77777777" w:rsidR="001B6AB1" w:rsidRPr="00052297" w:rsidRDefault="00894C68" w:rsidP="001B6AB1">
      <w:pPr>
        <w:rPr>
          <w:noProof/>
        </w:rPr>
      </w:pPr>
      <w:r>
        <w:rPr>
          <w:noProof/>
        </w:rPr>
      </w:r>
      <w:r>
        <w:rPr>
          <w:noProof/>
        </w:rPr>
        <w:pict w14:anchorId="5F68CFFD">
          <v:shape id="Text Box 3" o:spid="_x0000_s2056" type="#_x0000_t202" style="width:405pt;height:135.6pt;visibility:visible;mso-left-percent:-10001;mso-top-percent:-10001;mso-position-horizontal:absolute;mso-position-horizontal-relative:char;mso-position-vertical:absolute;mso-position-vertical-relative:line;mso-left-percent:-10001;mso-top-percent:-10001">
            <v:textbox>
              <w:txbxContent>
                <w:p w14:paraId="19300E2A" w14:textId="77777777" w:rsidR="001B6AB1" w:rsidRDefault="001B6AB1" w:rsidP="001B6AB1">
                  <w:r>
                    <w:t xml:space="preserve">Aloite on uusi EU:n tason mekanismi. Tähän mennessä vain muutamat jäsenvaltiot ovat ottaneet käyttöön nopeita palautusjärjestelmiä, ja niillä on ollut ongelmia niiden täytäntöönpanossa. </w:t>
                  </w:r>
                </w:p>
                <w:p w14:paraId="639C243E" w14:textId="77777777" w:rsidR="001B6AB1" w:rsidRDefault="001B6AB1" w:rsidP="001B6AB1">
                  <w:r>
                    <w:t>Tällä hetkellä rahoituksen välittäjät raportoivat tietoja vain harvoin. Tietoja raportoivat yleensä vain rahoitusketjun arvopapereiden liikkeeseenlaskijat / lähdeveroasiamiehet. Aloitteella taattaisiin osinko- ja korkomaksujen täysi avoimuus rahoitusketjussa lähdeveroalennuksiin/-palautuksiin liittyvien väärinkäytösten havaitsemiseksi ja estämiseksi.</w:t>
                  </w:r>
                </w:p>
              </w:txbxContent>
            </v:textbox>
            <w10:anchorlock/>
          </v:shape>
        </w:pict>
      </w:r>
      <w:r w:rsidR="001B6AB1">
        <w:rPr>
          <w:noProof/>
        </w:rPr>
        <w:tab/>
      </w:r>
    </w:p>
    <w:p w14:paraId="29562254" w14:textId="77777777" w:rsidR="001B6AB1" w:rsidRPr="005837D8" w:rsidRDefault="001B6AB1" w:rsidP="001B6AB1">
      <w:pPr>
        <w:pStyle w:val="ManualHeading3"/>
        <w:rPr>
          <w:noProof/>
        </w:rPr>
      </w:pPr>
      <w:r>
        <w:rPr>
          <w:noProof/>
        </w:rPr>
        <w:tab/>
        <w:t>1.5.4.</w:t>
      </w:r>
      <w:r>
        <w:rPr>
          <w:noProof/>
        </w:rPr>
        <w:tab/>
        <w:t>Yhteensopivuus monivuotisen rahoituskehyksen kanssa ja mahdolliset synergiaedut suhteessa muihin kyseeseen tuleviin välineisiin</w:t>
      </w:r>
    </w:p>
    <w:p w14:paraId="686FA6E9" w14:textId="7DCEC69C" w:rsidR="001B6AB1" w:rsidRPr="00A205C2" w:rsidRDefault="00894C68" w:rsidP="001B6AB1">
      <w:pPr>
        <w:rPr>
          <w:noProof/>
        </w:rPr>
      </w:pPr>
      <w:r>
        <w:rPr>
          <w:noProof/>
          <w:color w:val="2B579A"/>
          <w:shd w:val="clear" w:color="auto" w:fill="E6E6E6"/>
        </w:rPr>
      </w:r>
      <w:r>
        <w:rPr>
          <w:noProof/>
          <w:color w:val="2B579A"/>
          <w:shd w:val="clear" w:color="auto" w:fill="E6E6E6"/>
        </w:rPr>
        <w:pict w14:anchorId="52FFFA1F">
          <v:shape id="Text Box 2" o:spid="_x0000_s2055" type="#_x0000_t202" style="width:407.7pt;height:145.25pt;visibility:visible;mso-left-percent:-10001;mso-top-percent:-10001;mso-position-horizontal:absolute;mso-position-horizontal-relative:char;mso-position-vertical:absolute;mso-position-vertical-relative:line;mso-left-percent:-10001;mso-top-percent:-10001">
            <v:textbox>
              <w:txbxContent>
                <w:p w14:paraId="78274732" w14:textId="77777777" w:rsidR="001B6AB1" w:rsidRPr="00052297" w:rsidRDefault="001B6AB1" w:rsidP="001B6AB1">
                  <w:pPr>
                    <w:pBdr>
                      <w:top w:val="nil"/>
                      <w:left w:val="nil"/>
                      <w:bottom w:val="nil"/>
                      <w:right w:val="nil"/>
                      <w:between w:val="nil"/>
                      <w:bar w:val="nil"/>
                    </w:pBdr>
                    <w:spacing w:before="0" w:after="240"/>
                    <w:rPr>
                      <w:rFonts w:eastAsia="Arial Unicode MS"/>
                    </w:rPr>
                  </w:pPr>
                  <w:r>
                    <w:t xml:space="preserve">Tässä direktiivissä otetaan huomioon yksi elvytysstrategiaa tukevassa oikeudenmukaista ja yksinkertaista verotusta koskevassa toimintasuunnitelmassa ja pääomamarkkinaunionia ihmisille ja yrityksille koskevassa toimintasuunnitelmassa 2.0 esitetyistä toimista. </w:t>
                  </w:r>
                </w:p>
                <w:p w14:paraId="15E33FDA" w14:textId="77777777" w:rsidR="001B6AB1" w:rsidRDefault="001B6AB1" w:rsidP="001B6AB1">
                  <w:pPr>
                    <w:pBdr>
                      <w:top w:val="nil"/>
                      <w:left w:val="nil"/>
                      <w:bottom w:val="nil"/>
                      <w:right w:val="nil"/>
                      <w:between w:val="nil"/>
                      <w:bar w:val="nil"/>
                    </w:pBdr>
                    <w:spacing w:before="0" w:after="240"/>
                    <w:rPr>
                      <w:rFonts w:eastAsia="Arial Unicode MS"/>
                    </w:rPr>
                  </w:pPr>
                  <w:r>
                    <w:t>Oikeudenmukaisen verotuksen varmistaminen edellyttää verotukseen liittyvien väärinkäytösten ehkäisemistä. Ehdotuksessa käytetään vastaavia menettelyjä, järjestelyjä ja tietoteknisiä välineitä, jotka on joko otettu käyttöön tai jotka ovat kehitteillä hallinnollista yhteistyötä koskevan direktiivin puitteissa.</w:t>
                  </w:r>
                </w:p>
              </w:txbxContent>
            </v:textbox>
            <w10:anchorlock/>
          </v:shape>
        </w:pict>
      </w:r>
    </w:p>
    <w:p w14:paraId="1E6333E7" w14:textId="77777777" w:rsidR="001B6AB1" w:rsidRPr="00052297" w:rsidRDefault="001B6AB1" w:rsidP="001B6AB1">
      <w:pPr>
        <w:pStyle w:val="ManualHeading3"/>
        <w:rPr>
          <w:noProof/>
        </w:rPr>
      </w:pPr>
      <w:r>
        <w:rPr>
          <w:noProof/>
        </w:rPr>
        <w:tab/>
        <w:t>1.5.5.</w:t>
      </w:r>
      <w:r>
        <w:rPr>
          <w:noProof/>
        </w:rPr>
        <w:tab/>
        <w:t>Arvio käytettävissä olevista rahoitusvaihtoehdoista, mukaan lukien mahdollisuudet määrärahojen uudelleenkohdentamiseen</w:t>
      </w:r>
      <w:r>
        <w:rPr>
          <w:noProof/>
        </w:rPr>
        <w:tab/>
      </w:r>
      <w:r>
        <w:rPr>
          <w:noProof/>
        </w:rPr>
        <w:tab/>
      </w:r>
    </w:p>
    <w:p w14:paraId="5ECAF70A" w14:textId="77777777" w:rsidR="001B6AB1" w:rsidRPr="00052297" w:rsidRDefault="00894C68" w:rsidP="001B6AB1">
      <w:pPr>
        <w:rPr>
          <w:noProof/>
        </w:rPr>
      </w:pPr>
      <w:r>
        <w:rPr>
          <w:noProof/>
        </w:rPr>
      </w:r>
      <w:r>
        <w:rPr>
          <w:noProof/>
        </w:rPr>
        <w:pict w14:anchorId="412B4F9A">
          <v:shape id="_x0000_s2054" type="#_x0000_t202" style="width:408.8pt;height:131.45pt;visibility:visible;mso-left-percent:-10001;mso-top-percent:-10001;mso-position-horizontal:absolute;mso-position-horizontal-relative:char;mso-position-vertical:absolute;mso-position-vertical-relative:line;mso-left-percent:-10001;mso-top-percent:-10001">
            <v:textbox>
              <w:txbxContent>
                <w:p w14:paraId="4A155D3F" w14:textId="77777777" w:rsidR="001B6AB1" w:rsidRPr="003F2CA4" w:rsidRDefault="001B6AB1" w:rsidP="001B6AB1">
                  <w:pPr>
                    <w:pStyle w:val="ManualHeading2"/>
                    <w:ind w:left="720" w:firstLine="0"/>
                    <w:jc w:val="left"/>
                    <w:rPr>
                      <w:b w:val="0"/>
                      <w:bCs/>
                    </w:rPr>
                  </w:pPr>
                  <w:r>
                    <w:rPr>
                      <w:b w:val="0"/>
                    </w:rPr>
                    <w:t>Komissio avustaa jäsenvaltioita eTRC-todistusten täytäntöönpanossa, mukaan lukien jatkuva tekninen tuki. Lisäksi komission on annettava jäsenvaltioille tukea jatkuvasti rahoituksen välittäjiä koskevien raportointijärjestelyjen puitteiden täytäntöönpanemiseksi ja seuraamiseksi. Asianomaiset kustannukset rahoitetaan EU:n talousarviosta.</w:t>
                  </w:r>
                </w:p>
                <w:p w14:paraId="30A70591" w14:textId="77777777" w:rsidR="001B6AB1" w:rsidRPr="003F2CA4" w:rsidRDefault="001B6AB1" w:rsidP="001B6AB1">
                  <w:pPr>
                    <w:pStyle w:val="ManualHeading2"/>
                    <w:ind w:left="720" w:firstLine="0"/>
                    <w:jc w:val="left"/>
                    <w:rPr>
                      <w:b w:val="0"/>
                      <w:bCs/>
                    </w:rPr>
                  </w:pPr>
                  <w:r>
                    <w:rPr>
                      <w:b w:val="0"/>
                    </w:rPr>
                    <w:t>Muutoin kaavailtujen toimenpiteiden täytäntöönpano on jäsenvaltioiden vastuulla.</w:t>
                  </w:r>
                </w:p>
              </w:txbxContent>
            </v:textbox>
            <w10:anchorlock/>
          </v:shape>
        </w:pict>
      </w:r>
      <w:r w:rsidR="001B6AB1">
        <w:rPr>
          <w:noProof/>
        </w:rPr>
        <w:tab/>
      </w:r>
    </w:p>
    <w:p w14:paraId="2B741778" w14:textId="77777777" w:rsidR="001B6AB1" w:rsidRPr="00052297" w:rsidRDefault="001B6AB1" w:rsidP="001B6AB1">
      <w:pPr>
        <w:rPr>
          <w:noProof/>
        </w:rPr>
      </w:pPr>
    </w:p>
    <w:p w14:paraId="1FB53275" w14:textId="77777777" w:rsidR="001B6AB1" w:rsidRPr="00052297" w:rsidRDefault="001B6AB1" w:rsidP="001B6AB1">
      <w:pPr>
        <w:pStyle w:val="ManualHeading2"/>
        <w:rPr>
          <w:b w:val="0"/>
          <w:noProof/>
        </w:rPr>
      </w:pPr>
      <w:r>
        <w:rPr>
          <w:noProof/>
        </w:rPr>
        <w:tab/>
        <w:t>1.6.</w:t>
      </w:r>
      <w:r>
        <w:rPr>
          <w:noProof/>
        </w:rPr>
        <w:tab/>
        <w:t>Ehdotetun toimen/aloitteen kesto ja rahoitusvaikutukset</w:t>
      </w:r>
    </w:p>
    <w:p w14:paraId="055D8082" w14:textId="77777777" w:rsidR="001B6AB1" w:rsidRPr="00052297" w:rsidRDefault="001B6AB1" w:rsidP="001B6AB1">
      <w:pPr>
        <w:rPr>
          <w:noProof/>
        </w:rPr>
      </w:pPr>
      <w:r>
        <w:rPr>
          <w:noProof/>
        </w:rPr>
        <w:tab/>
      </w:r>
    </w:p>
    <w:p w14:paraId="6F17B212" w14:textId="77777777" w:rsidR="001B6AB1" w:rsidRPr="00052297" w:rsidRDefault="001B6AB1" w:rsidP="001B6AB1">
      <w:pPr>
        <w:tabs>
          <w:tab w:val="num" w:pos="1134"/>
        </w:tabs>
        <w:ind w:left="1134" w:hanging="283"/>
        <w:rPr>
          <w:rFonts w:eastAsia="Times New Roman"/>
          <w:noProof/>
        </w:rPr>
      </w:pPr>
      <w:r>
        <w:rPr>
          <w:rFonts w:ascii="Wingdings" w:hAnsi="Wingdings"/>
          <w:noProof/>
        </w:rPr>
        <w:sym w:font="Wingdings" w:char="F0A8"/>
      </w:r>
      <w:r>
        <w:rPr>
          <w:noProof/>
        </w:rPr>
        <w:tab/>
      </w:r>
      <w:r>
        <w:rPr>
          <w:b/>
          <w:noProof/>
        </w:rPr>
        <w:t>kesto on rajattu</w:t>
      </w:r>
      <w:r>
        <w:rPr>
          <w:noProof/>
        </w:rPr>
        <w:t xml:space="preserve"> </w:t>
      </w:r>
    </w:p>
    <w:p w14:paraId="7B175B3D" w14:textId="77777777" w:rsidR="001B6AB1" w:rsidRPr="00052297" w:rsidRDefault="001B6AB1" w:rsidP="001B6AB1">
      <w:pPr>
        <w:tabs>
          <w:tab w:val="num" w:pos="1134"/>
        </w:tabs>
        <w:ind w:left="1134" w:hanging="283"/>
        <w:rPr>
          <w:rFonts w:eastAsia="Times New Roman"/>
          <w:noProof/>
        </w:rPr>
      </w:pPr>
      <w:r>
        <w:rPr>
          <w:rFonts w:ascii="Wingdings" w:hAnsi="Wingdings"/>
          <w:noProof/>
        </w:rPr>
        <w:sym w:font="Wingdings" w:char="F0A8"/>
      </w:r>
      <w:r>
        <w:rPr>
          <w:noProof/>
        </w:rPr>
        <w:tab/>
        <w:t xml:space="preserve">toiminta alkaa [PP/KK]VVVV ja päättyy [PP/KK]VVVV. </w:t>
      </w:r>
    </w:p>
    <w:p w14:paraId="4A14395B" w14:textId="77777777" w:rsidR="001B6AB1" w:rsidRPr="00052297" w:rsidRDefault="001B6AB1" w:rsidP="001B6AB1">
      <w:pPr>
        <w:tabs>
          <w:tab w:val="num" w:pos="1134"/>
        </w:tabs>
        <w:ind w:left="1134" w:hanging="283"/>
        <w:rPr>
          <w:rFonts w:eastAsia="Times New Roman"/>
          <w:noProof/>
        </w:rPr>
      </w:pPr>
      <w:r>
        <w:rPr>
          <w:rFonts w:ascii="Wingdings" w:hAnsi="Wingdings"/>
          <w:noProof/>
        </w:rPr>
        <w:sym w:font="Wingdings" w:char="F0A8"/>
      </w:r>
      <w:r>
        <w:rPr>
          <w:noProof/>
        </w:rPr>
        <w:tab/>
        <w:t xml:space="preserve">maksusitoumusmäärärahoihin kohdistuvat rahoitusvaikutukset koskevat vuosia YYYY–YYYY ja maksumäärärahoihin kohdistuvat rahoitusvaikutukset vuosia YYYY–YYYY. </w:t>
      </w:r>
    </w:p>
    <w:p w14:paraId="04E93E31" w14:textId="77777777" w:rsidR="001B6AB1" w:rsidRPr="00052297" w:rsidRDefault="001B6AB1" w:rsidP="00F42FD8">
      <w:pPr>
        <w:pStyle w:val="Tiret1"/>
        <w:rPr>
          <w:noProof/>
        </w:rPr>
      </w:pPr>
      <w:r>
        <w:rPr>
          <w:b/>
          <w:noProof/>
        </w:rPr>
        <w:t>X</w:t>
      </w:r>
      <w:r>
        <w:rPr>
          <w:b/>
          <w:i/>
          <w:noProof/>
        </w:rPr>
        <w:t xml:space="preserve"> </w:t>
      </w:r>
      <w:r>
        <w:rPr>
          <w:b/>
          <w:noProof/>
        </w:rPr>
        <w:t>kestoa ei ole rajattu</w:t>
      </w:r>
    </w:p>
    <w:p w14:paraId="03038105" w14:textId="77777777" w:rsidR="001B6AB1" w:rsidRPr="00052297" w:rsidRDefault="001B6AB1" w:rsidP="001B6AB1">
      <w:pPr>
        <w:tabs>
          <w:tab w:val="num" w:pos="1134"/>
        </w:tabs>
        <w:ind w:left="1134" w:hanging="283"/>
        <w:rPr>
          <w:rFonts w:eastAsia="Times New Roman"/>
          <w:noProof/>
        </w:rPr>
      </w:pPr>
      <w:r>
        <w:rPr>
          <w:noProof/>
        </w:rPr>
        <w:t>Käynnistysvaihe alkaa vuonna VVVV ja päättyy vuonna VVVV,</w:t>
      </w:r>
    </w:p>
    <w:p w14:paraId="38795E88" w14:textId="77777777" w:rsidR="001B6AB1" w:rsidRPr="00052297" w:rsidRDefault="001B6AB1" w:rsidP="001B6AB1">
      <w:pPr>
        <w:tabs>
          <w:tab w:val="num" w:pos="1134"/>
        </w:tabs>
        <w:ind w:left="1134" w:hanging="283"/>
        <w:rPr>
          <w:rFonts w:eastAsia="Times New Roman"/>
          <w:noProof/>
        </w:rPr>
      </w:pPr>
      <w:r>
        <w:rPr>
          <w:noProof/>
        </w:rPr>
        <w:t>minkä jälkeen toteutus täydessä laajuudessa.</w:t>
      </w:r>
    </w:p>
    <w:p w14:paraId="232C465A" w14:textId="77777777" w:rsidR="001B6AB1" w:rsidRPr="00052297" w:rsidRDefault="001B6AB1" w:rsidP="001B6AB1">
      <w:pPr>
        <w:ind w:left="851"/>
        <w:rPr>
          <w:rFonts w:eastAsia="Times New Roman"/>
          <w:noProof/>
          <w:lang w:eastAsia="de-DE"/>
        </w:rPr>
      </w:pPr>
    </w:p>
    <w:p w14:paraId="7493A4FD" w14:textId="77777777" w:rsidR="001B6AB1" w:rsidRPr="005837D8" w:rsidRDefault="001B6AB1" w:rsidP="001B6AB1">
      <w:pPr>
        <w:pStyle w:val="ManualHeading2"/>
        <w:rPr>
          <w:noProof/>
        </w:rPr>
      </w:pPr>
      <w:r>
        <w:rPr>
          <w:noProof/>
        </w:rPr>
        <w:tab/>
        <w:t>1.7.</w:t>
      </w:r>
      <w:r>
        <w:rPr>
          <w:noProof/>
        </w:rPr>
        <w:tab/>
      </w:r>
      <w:bookmarkStart w:id="11" w:name="_Toc514938040"/>
      <w:bookmarkStart w:id="12" w:name="_Toc520485041"/>
      <w:r>
        <w:rPr>
          <w:noProof/>
        </w:rPr>
        <w:t>Hallinnointitapa (Hallinnointitavat)</w:t>
      </w:r>
      <w:bookmarkEnd w:id="11"/>
      <w:bookmarkEnd w:id="12"/>
      <w:r>
        <w:rPr>
          <w:noProof/>
        </w:rPr>
        <w:t xml:space="preserve"> </w:t>
      </w:r>
    </w:p>
    <w:p w14:paraId="5F2D63E3" w14:textId="77777777" w:rsidR="001B6AB1" w:rsidRPr="00052297" w:rsidRDefault="001B6AB1" w:rsidP="00F42FD8">
      <w:pPr>
        <w:pStyle w:val="Tiret1"/>
        <w:rPr>
          <w:noProof/>
        </w:rPr>
      </w:pPr>
      <w:r>
        <w:rPr>
          <w:b/>
          <w:noProof/>
        </w:rPr>
        <w:t>X</w:t>
      </w:r>
      <w:r>
        <w:rPr>
          <w:i/>
          <w:noProof/>
        </w:rPr>
        <w:t xml:space="preserve"> </w:t>
      </w:r>
      <w:r>
        <w:rPr>
          <w:b/>
          <w:noProof/>
        </w:rPr>
        <w:t>Suora hallinnointi, jonka komissio toteuttaa</w:t>
      </w:r>
      <w:r>
        <w:rPr>
          <w:noProof/>
        </w:rPr>
        <w:t xml:space="preserve"> käyttämällä</w:t>
      </w:r>
    </w:p>
    <w:p w14:paraId="6B5DDD8B" w14:textId="77777777" w:rsidR="001B6AB1" w:rsidRPr="00052297" w:rsidRDefault="001B6AB1" w:rsidP="001B6AB1">
      <w:pPr>
        <w:tabs>
          <w:tab w:val="num" w:pos="1134"/>
        </w:tabs>
        <w:ind w:left="1134" w:hanging="283"/>
        <w:rPr>
          <w:rFonts w:eastAsia="Times New Roman" w:cs="EUAlbertina"/>
          <w:noProof/>
        </w:rPr>
      </w:pPr>
      <w:r>
        <w:rPr>
          <w:b/>
          <w:noProof/>
        </w:rPr>
        <w:t>X</w:t>
      </w:r>
      <w:r>
        <w:rPr>
          <w:noProof/>
        </w:rPr>
        <w:t xml:space="preserve"> yksiköitään, myös unionin edustustoissa olevaa henkilöstöään </w:t>
      </w:r>
    </w:p>
    <w:p w14:paraId="0B0914C9" w14:textId="77777777" w:rsidR="001B6AB1" w:rsidRPr="00052297" w:rsidRDefault="001B6AB1" w:rsidP="001B6AB1">
      <w:pPr>
        <w:tabs>
          <w:tab w:val="num" w:pos="1134"/>
        </w:tabs>
        <w:ind w:left="1134" w:hanging="283"/>
        <w:rPr>
          <w:rFonts w:eastAsia="Times New Roman"/>
          <w:noProof/>
        </w:rPr>
      </w:pPr>
      <w:r>
        <w:rPr>
          <w:rFonts w:ascii="Wingdings" w:hAnsi="Wingdings"/>
          <w:noProof/>
        </w:rPr>
        <w:sym w:font="Wingdings" w:char="F0A8"/>
      </w:r>
      <w:r>
        <w:rPr>
          <w:noProof/>
        </w:rPr>
        <w:tab/>
        <w:t xml:space="preserve">toimeenpanovirastoja </w:t>
      </w:r>
    </w:p>
    <w:p w14:paraId="766F1D16" w14:textId="77777777" w:rsidR="001B6AB1" w:rsidRPr="00052297" w:rsidRDefault="001B6AB1" w:rsidP="00F42FD8">
      <w:pPr>
        <w:pStyle w:val="Tiret1"/>
        <w:rPr>
          <w:noProof/>
        </w:rPr>
      </w:pPr>
      <w:r>
        <w:rPr>
          <w:rFonts w:ascii="Wingdings" w:hAnsi="Wingdings"/>
          <w:noProof/>
        </w:rPr>
        <w:sym w:font="Wingdings" w:char="F0A8"/>
      </w:r>
      <w:r>
        <w:rPr>
          <w:b/>
          <w:i/>
          <w:noProof/>
        </w:rPr>
        <w:t xml:space="preserve"> </w:t>
      </w:r>
      <w:r>
        <w:rPr>
          <w:b/>
          <w:noProof/>
        </w:rPr>
        <w:t>Hallinnointi yhteistyössä</w:t>
      </w:r>
      <w:r>
        <w:rPr>
          <w:noProof/>
        </w:rPr>
        <w:t xml:space="preserve"> jäsenvaltioiden kanssa </w:t>
      </w:r>
    </w:p>
    <w:p w14:paraId="1FBBCC6E" w14:textId="77777777" w:rsidR="001B6AB1" w:rsidRPr="00052297" w:rsidRDefault="001B6AB1" w:rsidP="00F42FD8">
      <w:pPr>
        <w:pStyle w:val="Tiret1"/>
        <w:rPr>
          <w:noProof/>
        </w:rPr>
      </w:pPr>
      <w:r>
        <w:rPr>
          <w:rFonts w:ascii="Wingdings" w:hAnsi="Wingdings"/>
          <w:noProof/>
        </w:rPr>
        <w:sym w:font="Wingdings" w:char="F0A8"/>
      </w:r>
      <w:r>
        <w:rPr>
          <w:i/>
          <w:noProof/>
        </w:rPr>
        <w:t xml:space="preserve"> </w:t>
      </w:r>
      <w:r>
        <w:rPr>
          <w:b/>
          <w:noProof/>
        </w:rPr>
        <w:t>Välillinen hallinnointi</w:t>
      </w:r>
      <w:r>
        <w:rPr>
          <w:noProof/>
        </w:rPr>
        <w:t>, jossa täytäntöönpanotehtäviä on siirretty</w:t>
      </w:r>
    </w:p>
    <w:p w14:paraId="029E601F" w14:textId="77777777" w:rsidR="001B6AB1" w:rsidRPr="00052297" w:rsidRDefault="001B6AB1" w:rsidP="001B6AB1">
      <w:pPr>
        <w:tabs>
          <w:tab w:val="num" w:pos="1134"/>
        </w:tabs>
        <w:ind w:left="1134" w:hanging="283"/>
        <w:rPr>
          <w:rFonts w:eastAsia="Times New Roman"/>
          <w:noProof/>
        </w:rPr>
      </w:pPr>
      <w:r>
        <w:rPr>
          <w:rFonts w:ascii="Wingdings" w:hAnsi="Wingdings"/>
          <w:noProof/>
        </w:rPr>
        <w:sym w:font="Wingdings" w:char="F0A8"/>
      </w:r>
      <w:r>
        <w:rPr>
          <w:noProof/>
        </w:rPr>
        <w:t xml:space="preserve"> kolmansille maille tai niiden nimeämille elimille</w:t>
      </w:r>
    </w:p>
    <w:p w14:paraId="10DA35AB" w14:textId="77777777" w:rsidR="001B6AB1" w:rsidRPr="00052297" w:rsidRDefault="001B6AB1" w:rsidP="001B6AB1">
      <w:pPr>
        <w:tabs>
          <w:tab w:val="num" w:pos="1134"/>
        </w:tabs>
        <w:ind w:left="1134" w:hanging="283"/>
        <w:rPr>
          <w:rFonts w:eastAsia="Times New Roman"/>
          <w:noProof/>
        </w:rPr>
      </w:pPr>
      <w:r>
        <w:rPr>
          <w:rFonts w:ascii="Wingdings" w:hAnsi="Wingdings"/>
          <w:noProof/>
        </w:rPr>
        <w:sym w:font="Wingdings" w:char="F0A8"/>
      </w:r>
      <w:r>
        <w:rPr>
          <w:noProof/>
        </w:rPr>
        <w:t xml:space="preserve"> kansainvälisille järjestöille ja niiden erityisjärjestöille (tarkennettava)</w:t>
      </w:r>
    </w:p>
    <w:p w14:paraId="1E49A1A4" w14:textId="77777777" w:rsidR="001B6AB1" w:rsidRPr="00052297" w:rsidRDefault="001B6AB1" w:rsidP="001B6AB1">
      <w:pPr>
        <w:tabs>
          <w:tab w:val="num" w:pos="1134"/>
        </w:tabs>
        <w:ind w:left="1134" w:hanging="283"/>
        <w:rPr>
          <w:rFonts w:eastAsia="Times New Roman"/>
          <w:noProof/>
        </w:rPr>
      </w:pPr>
      <w:r>
        <w:rPr>
          <w:rFonts w:ascii="Wingdings" w:hAnsi="Wingdings"/>
          <w:noProof/>
        </w:rPr>
        <w:sym w:font="Wingdings" w:char="F0A8"/>
      </w:r>
      <w:r>
        <w:rPr>
          <w:noProof/>
        </w:rPr>
        <w:t xml:space="preserve"> Euroopan investointipankille tai Euroopan investointirahastolle</w:t>
      </w:r>
    </w:p>
    <w:p w14:paraId="09CAC3C2" w14:textId="77777777" w:rsidR="001B6AB1" w:rsidRPr="00052297" w:rsidRDefault="001B6AB1" w:rsidP="001B6AB1">
      <w:pPr>
        <w:tabs>
          <w:tab w:val="num" w:pos="1134"/>
        </w:tabs>
        <w:ind w:left="1134" w:hanging="283"/>
        <w:rPr>
          <w:rFonts w:eastAsia="Times New Roman"/>
          <w:noProof/>
        </w:rPr>
      </w:pPr>
      <w:r>
        <w:rPr>
          <w:rFonts w:ascii="Wingdings" w:hAnsi="Wingdings"/>
          <w:noProof/>
        </w:rPr>
        <w:sym w:font="Wingdings" w:char="F0A8"/>
      </w:r>
      <w:r>
        <w:rPr>
          <w:noProof/>
        </w:rPr>
        <w:t xml:space="preserve"> varainhoitoasetuksen 70 ja 71 artiklassa tarkoitetuille elimille</w:t>
      </w:r>
    </w:p>
    <w:p w14:paraId="42C49F46" w14:textId="77777777" w:rsidR="001B6AB1" w:rsidRPr="00052297" w:rsidRDefault="001B6AB1" w:rsidP="001B6AB1">
      <w:pPr>
        <w:tabs>
          <w:tab w:val="num" w:pos="1134"/>
        </w:tabs>
        <w:ind w:left="1134" w:hanging="283"/>
        <w:rPr>
          <w:rFonts w:eastAsia="Times New Roman"/>
          <w:noProof/>
        </w:rPr>
      </w:pPr>
      <w:r>
        <w:rPr>
          <w:rFonts w:ascii="Wingdings" w:hAnsi="Wingdings"/>
          <w:noProof/>
        </w:rPr>
        <w:sym w:font="Wingdings" w:char="F0A8"/>
      </w:r>
      <w:r>
        <w:rPr>
          <w:noProof/>
        </w:rPr>
        <w:t xml:space="preserve"> julkisoikeudellisille yhteisöille</w:t>
      </w:r>
    </w:p>
    <w:p w14:paraId="0C1F2A4F" w14:textId="77777777" w:rsidR="001B6AB1" w:rsidRPr="00052297" w:rsidRDefault="001B6AB1" w:rsidP="001B6AB1">
      <w:pPr>
        <w:tabs>
          <w:tab w:val="num" w:pos="1134"/>
        </w:tabs>
        <w:ind w:left="1134" w:hanging="283"/>
        <w:rPr>
          <w:rFonts w:eastAsia="Times New Roman"/>
          <w:noProof/>
        </w:rPr>
      </w:pPr>
      <w:r>
        <w:rPr>
          <w:rFonts w:ascii="Wingdings" w:hAnsi="Wingdings"/>
          <w:noProof/>
        </w:rPr>
        <w:sym w:font="Wingdings" w:char="F0A8"/>
      </w:r>
      <w:r>
        <w:rPr>
          <w:noProof/>
        </w:rPr>
        <w:t xml:space="preserve"> sellaisille julkisen palvelun tehtäviä hoitaville yksityisoikeudellisille elimille, joille annetaan riittävät rahoitustakuut;</w:t>
      </w:r>
    </w:p>
    <w:p w14:paraId="22A6BF11" w14:textId="77777777" w:rsidR="001B6AB1" w:rsidRPr="00052297" w:rsidRDefault="001B6AB1" w:rsidP="001B6AB1">
      <w:pPr>
        <w:tabs>
          <w:tab w:val="num" w:pos="1134"/>
        </w:tabs>
        <w:ind w:left="1134" w:hanging="283"/>
        <w:rPr>
          <w:rFonts w:eastAsia="Times New Roman"/>
          <w:noProof/>
        </w:rPr>
      </w:pPr>
      <w:r>
        <w:rPr>
          <w:rFonts w:ascii="Wingdings" w:hAnsi="Wingdings"/>
          <w:noProof/>
        </w:rPr>
        <w:sym w:font="Wingdings" w:char="F0A8"/>
      </w:r>
      <w:r>
        <w:rPr>
          <w:noProof/>
        </w:rPr>
        <w:t xml:space="preserve"> sellaisille jäsenvaltion yksityisoikeuden mukaisille elimille, joille on annettu tehtäväksi julkisen ja yksityisen sektorin kumppanuuden täytäntöönpano ja joille annetaan riittävät rahoitustakuut;</w:t>
      </w:r>
    </w:p>
    <w:p w14:paraId="71FCA2A6" w14:textId="77777777" w:rsidR="001B6AB1" w:rsidRPr="00052297" w:rsidRDefault="001B6AB1" w:rsidP="001B6AB1">
      <w:pPr>
        <w:tabs>
          <w:tab w:val="num" w:pos="1134"/>
        </w:tabs>
        <w:ind w:left="1134" w:hanging="283"/>
        <w:rPr>
          <w:rFonts w:eastAsia="Times New Roman"/>
          <w:noProof/>
        </w:rPr>
      </w:pPr>
      <w:r>
        <w:rPr>
          <w:rFonts w:ascii="Wingdings" w:hAnsi="Wingdings"/>
          <w:noProof/>
        </w:rPr>
        <w:sym w:font="Wingdings" w:char="F0A8"/>
      </w:r>
      <w:r>
        <w:rPr>
          <w:noProof/>
        </w:rPr>
        <w:t xml:space="preserve"> henkilöille, joille on annettu tehtäväksi toteuttaa SEU-sopimuksen V osaston mukaisia yhteisen ulko- ja turvallisuuspolitiikan erityistoimia ja jotka nimetään asiaa koskevassa perussäädöksessä.</w:t>
      </w:r>
    </w:p>
    <w:p w14:paraId="03F8B258" w14:textId="77777777" w:rsidR="001B6AB1" w:rsidRDefault="001B6AB1" w:rsidP="001B6AB1">
      <w:pPr>
        <w:rPr>
          <w:noProof/>
        </w:rPr>
      </w:pPr>
    </w:p>
    <w:p w14:paraId="76DE8D24" w14:textId="77777777" w:rsidR="001B6AB1" w:rsidRDefault="001B6AB1" w:rsidP="001B6AB1">
      <w:pPr>
        <w:pStyle w:val="ManualHeading1"/>
        <w:rPr>
          <w:noProof/>
        </w:rPr>
      </w:pPr>
      <w:r>
        <w:rPr>
          <w:noProof/>
        </w:rPr>
        <w:t>2.</w:t>
      </w:r>
      <w:r>
        <w:rPr>
          <w:noProof/>
        </w:rPr>
        <w:tab/>
        <w:t>HALLINNOINTI</w:t>
      </w:r>
    </w:p>
    <w:p w14:paraId="52D9A09A" w14:textId="77777777" w:rsidR="001B6AB1" w:rsidRDefault="001B6AB1" w:rsidP="001B6AB1">
      <w:pPr>
        <w:pStyle w:val="ManualHeading2"/>
        <w:rPr>
          <w:noProof/>
        </w:rPr>
      </w:pPr>
      <w:r>
        <w:rPr>
          <w:noProof/>
        </w:rPr>
        <w:tab/>
        <w:t>2.1.</w:t>
      </w:r>
      <w:r>
        <w:rPr>
          <w:noProof/>
        </w:rPr>
        <w:tab/>
        <w:t>Seuranta- ja raportointisäännöt</w:t>
      </w:r>
    </w:p>
    <w:p w14:paraId="01F31DF9" w14:textId="77777777" w:rsidR="001B6AB1" w:rsidRPr="006514F1" w:rsidRDefault="00894C68" w:rsidP="001B6AB1">
      <w:pPr>
        <w:pStyle w:val="Text1"/>
        <w:rPr>
          <w:noProof/>
        </w:rPr>
      </w:pPr>
      <w:r>
        <w:rPr>
          <w:noProof/>
        </w:rPr>
      </w:r>
      <w:r>
        <w:rPr>
          <w:noProof/>
        </w:rPr>
        <w:pict w14:anchorId="3599A6B4">
          <v:shape id="_x0000_s2053" type="#_x0000_t202" style="width:450.5pt;height:187.5pt;visibility:visible;mso-left-percent:-10001;mso-top-percent:-10001;mso-position-horizontal:absolute;mso-position-horizontal-relative:char;mso-position-vertical:absolute;mso-position-vertical-relative:line;mso-left-percent:-10001;mso-top-percent:-10001">
            <v:textbox style="mso-next-textbox:#_x0000_s2053">
              <w:txbxContent>
                <w:p w14:paraId="128D50B0" w14:textId="77777777" w:rsidR="001B6AB1" w:rsidRDefault="001B6AB1" w:rsidP="001B6AB1">
                  <w:r>
                    <w:t xml:space="preserve">Komissio varmistaa, että tarvittavat järjestelyt on otettu käyttöön aloitteen toiminnan seuraamiseksi ja arvioimiseksi, ja arvioi sitä suhteessa sen pääasiallisiin poliittisiin tavoitteisiin. </w:t>
                  </w:r>
                </w:p>
                <w:p w14:paraId="525D2E94" w14:textId="77777777" w:rsidR="001B6AB1" w:rsidRDefault="001B6AB1" w:rsidP="001B6AB1">
                  <w:r>
                    <w:t>Jäsenvaltioiden on toimitettava komissiolle vuosittain tiedot, jotka esitetään edellä olevassa tulosindikaattoreita koskevassa taulukossa ja joita käytetään direktiivin noudattamisen valvonnassa. Kun seurantatietoja on saatavilla, komissio arvioi tarvittaessa, onko joitakin niiden ominaisuuksia syytä tarkistaa eTRC-todistukselle annettavan teknisen tuen ja raportointijärjestelmää koskevan täytäntöönpanosäädöksen mukaisesti.</w:t>
                  </w:r>
                </w:p>
                <w:p w14:paraId="5BD0B7E9" w14:textId="77777777" w:rsidR="001B6AB1" w:rsidRDefault="001B6AB1" w:rsidP="001B6AB1">
                  <w:r>
                    <w:t>Viiden vuoden kuluttua direktiivin täytäntöönpanosta tehdään arviointi, jonka perusteella komissio voi tarkastella uudelleen politiikan tuloksia suhteessa sen tavoitteisiin sekä kokonaisvaikutuksia, jotka liittyvät lähdeverojen palautus-/alennusjärjestelmien parantamiseen EU:ssa ja lähdeveroon liittyvien väärinkäytösten estämiseen.</w:t>
                  </w:r>
                </w:p>
              </w:txbxContent>
            </v:textbox>
            <w10:anchorlock/>
          </v:shape>
        </w:pict>
      </w:r>
    </w:p>
    <w:p w14:paraId="66D18DC1" w14:textId="77777777" w:rsidR="001B6AB1" w:rsidRDefault="001B6AB1" w:rsidP="001B6AB1">
      <w:pPr>
        <w:pStyle w:val="Text2"/>
        <w:rPr>
          <w:noProof/>
        </w:rPr>
      </w:pPr>
    </w:p>
    <w:p w14:paraId="10381D14" w14:textId="77777777" w:rsidR="001B6AB1" w:rsidRDefault="001B6AB1" w:rsidP="001B6AB1">
      <w:pPr>
        <w:pStyle w:val="ManualHeading2"/>
        <w:rPr>
          <w:noProof/>
        </w:rPr>
      </w:pPr>
      <w:r>
        <w:rPr>
          <w:noProof/>
        </w:rPr>
        <w:tab/>
        <w:t>2.2.</w:t>
      </w:r>
      <w:r>
        <w:rPr>
          <w:noProof/>
        </w:rPr>
        <w:tab/>
        <w:t>Hallinnointi- ja valvontajärjestelmä(t)</w:t>
      </w:r>
    </w:p>
    <w:p w14:paraId="53C04B53" w14:textId="77777777" w:rsidR="001B6AB1" w:rsidRDefault="001B6AB1" w:rsidP="001B6AB1">
      <w:pPr>
        <w:pStyle w:val="ManualHeading3"/>
        <w:rPr>
          <w:noProof/>
        </w:rPr>
      </w:pPr>
      <w:r>
        <w:rPr>
          <w:noProof/>
        </w:rPr>
        <w:tab/>
        <w:t>2.2.1.</w:t>
      </w:r>
      <w:r>
        <w:rPr>
          <w:noProof/>
        </w:rPr>
        <w:tab/>
        <w:t>Perustelut ehdotetu(i)lle hallinnointitavalle(/-tavoille), rahoituksen toteutusmekanismille(/-mekanismeille), maksujärjestelyille sekä valvontastrategialle</w:t>
      </w:r>
    </w:p>
    <w:p w14:paraId="13169ECC" w14:textId="77777777" w:rsidR="001B6AB1" w:rsidRDefault="00894C68" w:rsidP="001B6AB1">
      <w:pPr>
        <w:pStyle w:val="Text1"/>
        <w:rPr>
          <w:noProof/>
        </w:rPr>
      </w:pPr>
      <w:r>
        <w:rPr>
          <w:noProof/>
        </w:rPr>
      </w:r>
      <w:r>
        <w:rPr>
          <w:noProof/>
        </w:rPr>
        <w:pict w14:anchorId="629D2679">
          <v:shape id="_x0000_s2052" type="#_x0000_t202" style="width:447pt;height:140.55pt;visibility:visible;mso-left-percent:-10001;mso-top-percent:-10001;mso-position-horizontal:absolute;mso-position-horizontal-relative:char;mso-position-vertical:absolute;mso-position-vertical-relative:line;mso-left-percent:-10001;mso-top-percent:-10001">
            <v:textbox>
              <w:txbxContent>
                <w:p w14:paraId="712C3ECE" w14:textId="77777777" w:rsidR="001B6AB1" w:rsidRDefault="001B6AB1" w:rsidP="001B6AB1">
                  <w:r>
                    <w:t>Aloitteen täytäntöönpano on riippuvainen jäsenvaltioiden toimivaltaisista viranomaisista (veroviranomaisista). Ne vastaavat omien kansallisten järjestelmiensä rahoituksesta, mukaan lukien eTRC-todistuksen täytäntöönpano, ja kansallisten järjestelmien perustamisesta, jotta ne voivat vastaanottaa ilmoituksia ja pyyntöjä rahoituksen välittäjiltä.</w:t>
                  </w:r>
                </w:p>
                <w:p w14:paraId="49726AE2" w14:textId="77777777" w:rsidR="001B6AB1" w:rsidRDefault="001B6AB1" w:rsidP="001B6AB1">
                  <w:r>
                    <w:t xml:space="preserve">Komissio rahoittaa eTRC-todistukselle annettavan teknisen avun sekä raportointijärjestelmiä ja pyyntölomakkeita koskevien puitteiden perustamisen EU:n tasolla. </w:t>
                  </w:r>
                </w:p>
              </w:txbxContent>
            </v:textbox>
            <w10:anchorlock/>
          </v:shape>
        </w:pict>
      </w:r>
    </w:p>
    <w:p w14:paraId="65D6C44F" w14:textId="77777777" w:rsidR="001B6AB1" w:rsidRDefault="001B6AB1" w:rsidP="001B6AB1">
      <w:pPr>
        <w:pStyle w:val="Text3"/>
        <w:rPr>
          <w:noProof/>
        </w:rPr>
      </w:pPr>
    </w:p>
    <w:p w14:paraId="7B36007C" w14:textId="77777777" w:rsidR="001B6AB1" w:rsidRDefault="001B6AB1" w:rsidP="001B6AB1">
      <w:pPr>
        <w:pStyle w:val="ManualHeading3"/>
        <w:rPr>
          <w:noProof/>
        </w:rPr>
      </w:pPr>
      <w:r>
        <w:rPr>
          <w:noProof/>
        </w:rPr>
        <w:tab/>
        <w:t>2.2.2. Tiedot todetuista riskeistä ja niiden vähentämiseksi käyttöön otetuista sisäisistä valvontajärjestelmistä</w:t>
      </w:r>
    </w:p>
    <w:p w14:paraId="61BD8390" w14:textId="77777777" w:rsidR="001B6AB1" w:rsidRPr="009E77B1" w:rsidRDefault="001B6AB1" w:rsidP="001B6AB1">
      <w:pPr>
        <w:pStyle w:val="Text1"/>
        <w:pBdr>
          <w:top w:val="single" w:sz="4" w:space="1" w:color="auto"/>
          <w:left w:val="single" w:sz="4" w:space="4" w:color="auto"/>
          <w:bottom w:val="single" w:sz="4" w:space="1" w:color="auto"/>
          <w:right w:val="single" w:sz="4" w:space="4" w:color="auto"/>
        </w:pBdr>
        <w:rPr>
          <w:noProof/>
        </w:rPr>
      </w:pPr>
      <w:r>
        <w:rPr>
          <w:noProof/>
        </w:rPr>
        <w:t xml:space="preserve">Sen varmistamiseksi, että lähdeverot palautetaan tai alennetaan määräajan kuluessa, jäsenvaltioiden on toimitettava komissiolle vuosittain tilastotiedot siitä, kuinka paljon ylimääräistä lähdeveroa on palautettu/alennettu määräajan kuluessa ja kuinka paljon määräajan jälkeen. Jälkimmäistä varten olisi esitettävä perusteet. Lisäksi jäsenvaltioiden edellytetään maksavan verovelvolliselle viivästyskorkoa, silloin kun palautus on maksettu perusteetta vasta määräajan jälkeen. </w:t>
      </w:r>
    </w:p>
    <w:p w14:paraId="3E6D2885" w14:textId="77777777" w:rsidR="001B6AB1" w:rsidRPr="009E77B1" w:rsidRDefault="001B6AB1" w:rsidP="001B6AB1">
      <w:pPr>
        <w:pStyle w:val="Text1"/>
        <w:pBdr>
          <w:top w:val="single" w:sz="4" w:space="1" w:color="auto"/>
          <w:left w:val="single" w:sz="4" w:space="4" w:color="auto"/>
          <w:bottom w:val="single" w:sz="4" w:space="1" w:color="auto"/>
          <w:right w:val="single" w:sz="4" w:space="4" w:color="auto"/>
        </w:pBdr>
        <w:rPr>
          <w:noProof/>
        </w:rPr>
      </w:pPr>
      <w:r>
        <w:rPr>
          <w:noProof/>
        </w:rPr>
        <w:t>Mitä tulee siihen, miten kansalliseen rekisteriin rekisteröidyt sertifioidut rahoituksen välittäjät noudattavat vaatimuksia, jäsenvaltioiden on toimitettava komissiolle vuosittain kertomus tarkastuksista ja toimista, joita ne ovat toteuttaneet varmistaakseen, että niiden rahoituksen välittäjät noudattavat direktiivin mukaisia velvoitteitaan, mukaan lukien raportointivelvoitteet. Lisäksi rahoituksen välittäjien katsotaan olevan vastuussa tämän direktiivin mukaisten velvoitteidensa rikkomisesta, jos niiden toiminta on johtanut verotulojen menetykseen.</w:t>
      </w:r>
    </w:p>
    <w:p w14:paraId="7CB83DCB" w14:textId="77777777" w:rsidR="001B6AB1" w:rsidRPr="009E77B1" w:rsidRDefault="001B6AB1" w:rsidP="001B6AB1">
      <w:pPr>
        <w:pStyle w:val="Text1"/>
        <w:pBdr>
          <w:top w:val="single" w:sz="4" w:space="1" w:color="auto"/>
          <w:left w:val="single" w:sz="4" w:space="4" w:color="auto"/>
          <w:bottom w:val="single" w:sz="4" w:space="1" w:color="auto"/>
          <w:right w:val="single" w:sz="4" w:space="4" w:color="auto"/>
        </w:pBdr>
        <w:rPr>
          <w:noProof/>
        </w:rPr>
      </w:pPr>
      <w:r>
        <w:rPr>
          <w:noProof/>
        </w:rPr>
        <w:t>Jäsenvaltioiden on toimitettava komissiolle vuosittain kertomus direktiivin nojalla raportoitujen tietojen käytöstä ylimääräisen lähdeveron alennuksiin/palautuksiin liittyvien väärinkäytösten havaitsemiseen ja torjumiseen.</w:t>
      </w:r>
    </w:p>
    <w:p w14:paraId="43279FE3" w14:textId="77777777" w:rsidR="001B6AB1" w:rsidRDefault="001B6AB1" w:rsidP="001B6AB1">
      <w:pPr>
        <w:pStyle w:val="Text1"/>
        <w:pBdr>
          <w:top w:val="single" w:sz="4" w:space="1" w:color="auto"/>
          <w:left w:val="single" w:sz="4" w:space="4" w:color="auto"/>
          <w:bottom w:val="single" w:sz="4" w:space="1" w:color="auto"/>
          <w:right w:val="single" w:sz="4" w:space="4" w:color="auto"/>
        </w:pBdr>
        <w:rPr>
          <w:noProof/>
        </w:rPr>
      </w:pPr>
      <w:r>
        <w:rPr>
          <w:noProof/>
        </w:rPr>
        <w:t xml:space="preserve">Valvontastrategian keskeiset osat ovat seuraavat: </w:t>
      </w:r>
    </w:p>
    <w:p w14:paraId="622DAD24" w14:textId="77777777" w:rsidR="001B6AB1" w:rsidRDefault="001B6AB1" w:rsidP="001B6AB1">
      <w:pPr>
        <w:pStyle w:val="Text1"/>
        <w:pBdr>
          <w:top w:val="single" w:sz="4" w:space="1" w:color="auto"/>
          <w:left w:val="single" w:sz="4" w:space="4" w:color="auto"/>
          <w:bottom w:val="single" w:sz="4" w:space="1" w:color="auto"/>
          <w:right w:val="single" w:sz="4" w:space="4" w:color="auto"/>
        </w:pBdr>
        <w:rPr>
          <w:noProof/>
        </w:rPr>
      </w:pPr>
      <w:r>
        <w:rPr>
          <w:noProof/>
        </w:rPr>
        <w:t xml:space="preserve">Hankintasopimukset </w:t>
      </w:r>
    </w:p>
    <w:p w14:paraId="0D582A94" w14:textId="77777777" w:rsidR="001B6AB1" w:rsidRDefault="001B6AB1" w:rsidP="001B6AB1">
      <w:pPr>
        <w:pStyle w:val="Text1"/>
        <w:pBdr>
          <w:top w:val="single" w:sz="4" w:space="1" w:color="auto"/>
          <w:left w:val="single" w:sz="4" w:space="4" w:color="auto"/>
          <w:bottom w:val="single" w:sz="4" w:space="1" w:color="auto"/>
          <w:right w:val="single" w:sz="4" w:space="4" w:color="auto"/>
        </w:pBdr>
        <w:rPr>
          <w:noProof/>
        </w:rPr>
      </w:pPr>
      <w:r>
        <w:rPr>
          <w:noProof/>
        </w:rPr>
        <w:t xml:space="preserve">Varainhoitoasetuksessa määritellyt hankintojen valvontamenettelyt: hankintasopimuksia laadittaessa sovelletaan aina komission yksiköiden vakiintuneita maksunvarmennusmenettelyjä ottaen huomiota sopimusvelvoitteet sekä moitteettoman varainhoidon ja yleisen hallinnon. Kaikissa komission ja edunsaajien välillä tehdyissä sopimuksissa määrätään petostentorjunnasta (valvonta, kertomukset jne.). Jokaisen yksittäisen sopimuksen perustana ovat laaditut yksityiskohtaiset ohjesäännöt. Hyväksymisprosessissa noudatetaan tiukasti TAXUDin TEMPO-menetelmää, jossa suoritteita tarkastellaan uudelleen ja muutetaan tarvittaessa ja lopuksi ne hyväksytään (tai hylätään) erikseen. Kauppalaskua ei voida maksaa ilman hyväksymisilmoitusta. </w:t>
      </w:r>
    </w:p>
    <w:p w14:paraId="0A6623D8" w14:textId="77777777" w:rsidR="001B6AB1" w:rsidRDefault="001B6AB1" w:rsidP="001B6AB1">
      <w:pPr>
        <w:pStyle w:val="Text1"/>
        <w:pBdr>
          <w:top w:val="single" w:sz="4" w:space="1" w:color="auto"/>
          <w:left w:val="single" w:sz="4" w:space="4" w:color="auto"/>
          <w:bottom w:val="single" w:sz="4" w:space="1" w:color="auto"/>
          <w:right w:val="single" w:sz="4" w:space="4" w:color="auto"/>
        </w:pBdr>
        <w:rPr>
          <w:noProof/>
        </w:rPr>
      </w:pPr>
      <w:r>
        <w:rPr>
          <w:noProof/>
        </w:rPr>
        <w:t xml:space="preserve">Hankintojen tekninen tarkastus </w:t>
      </w:r>
    </w:p>
    <w:p w14:paraId="0B79D22A" w14:textId="77777777" w:rsidR="001B6AB1" w:rsidRDefault="001B6AB1" w:rsidP="001B6AB1">
      <w:pPr>
        <w:pStyle w:val="Text1"/>
        <w:pBdr>
          <w:top w:val="single" w:sz="4" w:space="1" w:color="auto"/>
          <w:left w:val="single" w:sz="4" w:space="4" w:color="auto"/>
          <w:bottom w:val="single" w:sz="4" w:space="1" w:color="auto"/>
          <w:right w:val="single" w:sz="4" w:space="4" w:color="auto"/>
        </w:pBdr>
        <w:rPr>
          <w:noProof/>
        </w:rPr>
      </w:pPr>
      <w:r>
        <w:rPr>
          <w:noProof/>
        </w:rPr>
        <w:t xml:space="preserve">TAXUD valvoo suoritteita ja toimeksisaajien toteuttamia toimia ja palveluja. Se tekee toimeksisaajilleen myös säännöllisiä turvallisuus- ja laaduntarkastuksia. Laaduntarkastuksilla todennetaan, vastaavatko toimeksisaajien menettelyt tosiasiassa niiden laatusuunnitelmissa määriteltyjä sääntöjä ja menettelyjä. Turvallisuustarkastuksissa keskitytään yksittäisiin prosesseihin, menettelyihin ja järjestelyihin. </w:t>
      </w:r>
    </w:p>
    <w:p w14:paraId="5B804DAD" w14:textId="77777777" w:rsidR="001B6AB1" w:rsidRDefault="001B6AB1" w:rsidP="001B6AB1">
      <w:pPr>
        <w:pStyle w:val="Text1"/>
        <w:pBdr>
          <w:top w:val="single" w:sz="4" w:space="1" w:color="auto"/>
          <w:left w:val="single" w:sz="4" w:space="4" w:color="auto"/>
          <w:bottom w:val="single" w:sz="4" w:space="1" w:color="auto"/>
          <w:right w:val="single" w:sz="4" w:space="4" w:color="auto"/>
        </w:pBdr>
        <w:rPr>
          <w:noProof/>
        </w:rPr>
      </w:pPr>
      <w:r>
        <w:rPr>
          <w:noProof/>
        </w:rPr>
        <w:t xml:space="preserve">Edellä mainittujen tarkastusten lisäksi TAXUD tekee perinteiset rahoitustarkastukset: </w:t>
      </w:r>
    </w:p>
    <w:p w14:paraId="6430DD6E" w14:textId="77777777" w:rsidR="001B6AB1" w:rsidRDefault="001B6AB1" w:rsidP="001B6AB1">
      <w:pPr>
        <w:pStyle w:val="Text1"/>
        <w:pBdr>
          <w:top w:val="single" w:sz="4" w:space="1" w:color="auto"/>
          <w:left w:val="single" w:sz="4" w:space="4" w:color="auto"/>
          <w:bottom w:val="single" w:sz="4" w:space="1" w:color="auto"/>
          <w:right w:val="single" w:sz="4" w:space="4" w:color="auto"/>
        </w:pBdr>
        <w:rPr>
          <w:noProof/>
        </w:rPr>
      </w:pPr>
      <w:r>
        <w:rPr>
          <w:noProof/>
        </w:rPr>
        <w:t xml:space="preserve">Sitoumusten ennakkovarmennus </w:t>
      </w:r>
    </w:p>
    <w:p w14:paraId="41ABC144" w14:textId="77777777" w:rsidR="001B6AB1" w:rsidRDefault="001B6AB1" w:rsidP="001B6AB1">
      <w:pPr>
        <w:pStyle w:val="Text1"/>
        <w:pBdr>
          <w:top w:val="single" w:sz="4" w:space="1" w:color="auto"/>
          <w:left w:val="single" w:sz="4" w:space="4" w:color="auto"/>
          <w:bottom w:val="single" w:sz="4" w:space="1" w:color="auto"/>
          <w:right w:val="single" w:sz="4" w:space="4" w:color="auto"/>
        </w:pBdr>
        <w:rPr>
          <w:noProof/>
        </w:rPr>
      </w:pPr>
      <w:r>
        <w:rPr>
          <w:noProof/>
        </w:rPr>
        <w:t xml:space="preserve">Kaikki TAXUDin sitoumukset varmentaa talous ja HR Business Correspondent ‑yksikön päällikkö. Näin ollen sidotuista määristä 100 % kuuluu ennakkovarmennuksen piiriin. Tällä menettelyllä voidaan varmistaa liiketoimien laillisuuden ja sääntöjenmukaisuuden korkea taso. </w:t>
      </w:r>
    </w:p>
    <w:p w14:paraId="752234A7" w14:textId="77777777" w:rsidR="001B6AB1" w:rsidRDefault="001B6AB1" w:rsidP="001B6AB1">
      <w:pPr>
        <w:pStyle w:val="Text1"/>
        <w:pBdr>
          <w:top w:val="single" w:sz="4" w:space="1" w:color="auto"/>
          <w:left w:val="single" w:sz="4" w:space="4" w:color="auto"/>
          <w:bottom w:val="single" w:sz="4" w:space="1" w:color="auto"/>
          <w:right w:val="single" w:sz="4" w:space="4" w:color="auto"/>
        </w:pBdr>
        <w:rPr>
          <w:noProof/>
        </w:rPr>
      </w:pPr>
      <w:r>
        <w:rPr>
          <w:noProof/>
        </w:rPr>
        <w:t xml:space="preserve">Maksujen ennakkovarmennus </w:t>
      </w:r>
    </w:p>
    <w:p w14:paraId="3C4ADA89" w14:textId="77777777" w:rsidR="001B6AB1" w:rsidRDefault="001B6AB1" w:rsidP="001B6AB1">
      <w:pPr>
        <w:pStyle w:val="Text1"/>
        <w:pBdr>
          <w:top w:val="single" w:sz="4" w:space="1" w:color="auto"/>
          <w:left w:val="single" w:sz="4" w:space="4" w:color="auto"/>
          <w:bottom w:val="single" w:sz="4" w:space="1" w:color="auto"/>
          <w:right w:val="single" w:sz="4" w:space="4" w:color="auto"/>
        </w:pBdr>
        <w:rPr>
          <w:noProof/>
        </w:rPr>
      </w:pPr>
      <w:r>
        <w:rPr>
          <w:noProof/>
        </w:rPr>
        <w:t xml:space="preserve">Kaikki maksut varmennetaan etukäteen. Lisäksi kaikista menoluokista valitaan viikoittain satunnaisesti ainakin yksi maksu, jolle talous ja HR Business Correspondent -yksikön päällikkö tekee ylimääräisen ennakkovarmennuksen. Kattavuudelle ei ole asetettu tavoitetta, koska kyseisen varmennuksen tarkoituksena on tarkastaa maksut satunnaisesti sen varmentamiseksi, että kaikki maksut on laadittu vaatimusten mukaisesti. Muut maksut käsitellään päivittäin voimassa olevia sääntöjä noudattaen. </w:t>
      </w:r>
    </w:p>
    <w:p w14:paraId="1EAE9AF4" w14:textId="77777777" w:rsidR="001B6AB1" w:rsidRDefault="001B6AB1" w:rsidP="001B6AB1">
      <w:pPr>
        <w:pStyle w:val="Text1"/>
        <w:pBdr>
          <w:top w:val="single" w:sz="4" w:space="1" w:color="auto"/>
          <w:left w:val="single" w:sz="4" w:space="4" w:color="auto"/>
          <w:bottom w:val="single" w:sz="4" w:space="1" w:color="auto"/>
          <w:right w:val="single" w:sz="4" w:space="4" w:color="auto"/>
        </w:pBdr>
        <w:rPr>
          <w:noProof/>
        </w:rPr>
      </w:pPr>
      <w:r>
        <w:rPr>
          <w:noProof/>
        </w:rPr>
        <w:t xml:space="preserve">Edelleenvaltuutettujen tulojen ja menojen hyväksyjien vakuutukset </w:t>
      </w:r>
    </w:p>
    <w:p w14:paraId="2B7B4CAC" w14:textId="77777777" w:rsidR="001B6AB1" w:rsidRDefault="001B6AB1" w:rsidP="001B6AB1">
      <w:pPr>
        <w:pStyle w:val="Text1"/>
        <w:pBdr>
          <w:top w:val="single" w:sz="4" w:space="1" w:color="auto"/>
          <w:left w:val="single" w:sz="4" w:space="4" w:color="auto"/>
          <w:bottom w:val="single" w:sz="4" w:space="1" w:color="auto"/>
          <w:right w:val="single" w:sz="4" w:space="4" w:color="auto"/>
        </w:pBdr>
        <w:rPr>
          <w:noProof/>
        </w:rPr>
      </w:pPr>
      <w:r>
        <w:rPr>
          <w:noProof/>
        </w:rPr>
        <w:t>Kaikki edelleenvaltuutetut tulojen ja menojen hyväksyjät allekirjoittavat vakuutukset kyseisen vuoden toimintakertomuksen tueksi. Kyseiset vakuutukset kattavat ohjelman mukaiset toimet. Edelleenvaltuutetut tulojen ja menojen hyväksyjät vakuuttavat, että talousarvion täytäntöönpanoon liittyvät toimet on hoidettu moitteettoman varainhoidon periaatteiden mukaisesti, että käytössä olevilla hallinnointi- ja valvontajärjestelmillä on saatu tyydyttävä varmuus rahaliikenteen laillisuudesta ja sääntöjenmukaisuudesta ja että näihin toimiin liittyvät riskit on tunnistettu ja raportoitu ja että niiden lieventämiseksi on ryhdytty toimeen.</w:t>
      </w:r>
    </w:p>
    <w:p w14:paraId="343927A5" w14:textId="77777777" w:rsidR="001B6AB1" w:rsidRDefault="001B6AB1" w:rsidP="001B6AB1">
      <w:pPr>
        <w:pStyle w:val="Text3"/>
        <w:ind w:left="0"/>
        <w:rPr>
          <w:noProof/>
        </w:rPr>
      </w:pPr>
    </w:p>
    <w:p w14:paraId="0FB2B185" w14:textId="77777777" w:rsidR="001B6AB1" w:rsidRDefault="001B6AB1" w:rsidP="001B6AB1">
      <w:pPr>
        <w:pStyle w:val="ManualHeading3"/>
        <w:rPr>
          <w:noProof/>
        </w:rPr>
      </w:pPr>
      <w:r>
        <w:rPr>
          <w:noProof/>
        </w:rPr>
        <w:tab/>
        <w:t>2.2.3.</w:t>
      </w:r>
      <w:r>
        <w:rPr>
          <w:noProof/>
        </w:rPr>
        <w:tab/>
        <w:t>Valvonnan kustannustehokkuutta (valvontakustannusten suhde hallinnoitujen varojen arvoon) koskevat arviot ja perustelut sekä arviot maksujen suoritusajankohdan ja toimen päättämisajankohdan odotetuista virheriskitasoista</w:t>
      </w:r>
    </w:p>
    <w:p w14:paraId="55510738" w14:textId="055DEE06" w:rsidR="001B6AB1" w:rsidRDefault="001B6AB1" w:rsidP="001B6AB1">
      <w:pPr>
        <w:pStyle w:val="Text1"/>
        <w:rPr>
          <w:noProof/>
        </w:rPr>
      </w:pPr>
      <w:r>
        <w:rPr>
          <w:noProof/>
        </w:rPr>
        <w:tab/>
      </w:r>
      <w:r w:rsidR="00894C68">
        <w:rPr>
          <w:noProof/>
        </w:rPr>
      </w:r>
      <w:r w:rsidR="00894C68">
        <w:rPr>
          <w:noProof/>
        </w:rPr>
        <w:pict w14:anchorId="41D9DD0E">
          <v:shape id="_x0000_s2051" type="#_x0000_t202" style="width:433pt;height:162pt;visibility:visible;mso-left-percent:-10001;mso-top-percent:-10001;mso-position-horizontal:absolute;mso-position-horizontal-relative:char;mso-position-vertical:absolute;mso-position-vertical-relative:line;mso-left-percent:-10001;mso-top-percent:-10001">
            <v:textbox>
              <w:txbxContent>
                <w:p w14:paraId="457B384B" w14:textId="77777777" w:rsidR="001B6AB1" w:rsidRDefault="001B6AB1" w:rsidP="001B6AB1">
                  <w:r>
                    <w:t>Valvonnan avulla TAXUD voi saada riittävän varmuuden menojen laadusta ja sääntöjenmukaisuudesta, mikä vähentää sääntöjen noudattamatta jättämisen riskiä. Edellä mainitun valvontastrategian toimien ansiosta mahdollisten riskin taso jää alle tavoitetason (2 prosenttia), ja kaikki edunsaajat saavat niistä täyden hyödyn. Riskejä vielä enemmän vähentävät lisätoimet aiheuttaisivat suhteettoman suuria kustannuksia, minkä vuoksi niitä ei suunnitella. Edellä mainitun valvontastrategian täytäntöönpanoon liittyvät kokonaiskustannukset (Fiscalis-ohjelman mukaisten menojen osalta) ovat vain 1,6 prosenttia kaikista maksuista. Sen odotetaan pysyvän samalla tasolla. Valvontastrategialla rajoitetaan sääntöjen noudattamatta jättämisen riski lähes nollaan, joten se on asianomaisten riskien kannalta oikeasuhteinen.</w:t>
                  </w:r>
                </w:p>
              </w:txbxContent>
            </v:textbox>
            <w10:anchorlock/>
          </v:shape>
        </w:pict>
      </w:r>
    </w:p>
    <w:p w14:paraId="208EC943" w14:textId="77777777" w:rsidR="001B6AB1" w:rsidRDefault="001B6AB1" w:rsidP="001B6AB1">
      <w:pPr>
        <w:pStyle w:val="Text2"/>
        <w:rPr>
          <w:noProof/>
        </w:rPr>
      </w:pPr>
    </w:p>
    <w:p w14:paraId="20CBC19E" w14:textId="77777777" w:rsidR="001B6AB1" w:rsidRPr="005837D8" w:rsidRDefault="001B6AB1" w:rsidP="001B6AB1">
      <w:pPr>
        <w:pStyle w:val="ManualHeading2"/>
        <w:rPr>
          <w:noProof/>
        </w:rPr>
      </w:pPr>
      <w:r>
        <w:rPr>
          <w:noProof/>
        </w:rPr>
        <w:tab/>
        <w:t>2.3.</w:t>
      </w:r>
      <w:r>
        <w:rPr>
          <w:noProof/>
        </w:rPr>
        <w:tab/>
        <w:t>Toimenpiteet petosten ja sääntöjenvastaisuuksien ehkäisemiseksi</w:t>
      </w:r>
    </w:p>
    <w:p w14:paraId="43CF9FAB" w14:textId="77777777" w:rsidR="001B6AB1" w:rsidRDefault="00894C68" w:rsidP="001B6AB1">
      <w:pPr>
        <w:pStyle w:val="Text1"/>
        <w:rPr>
          <w:noProof/>
        </w:rPr>
      </w:pPr>
      <w:r>
        <w:rPr>
          <w:noProof/>
        </w:rPr>
      </w:r>
      <w:r>
        <w:rPr>
          <w:noProof/>
        </w:rPr>
        <w:pict w14:anchorId="5E02278B">
          <v:shape id="_x0000_s2050" type="#_x0000_t202" style="width:444.5pt;height:119.25pt;visibility:visible;mso-left-percent:-10001;mso-top-percent:-10001;mso-position-horizontal:absolute;mso-position-horizontal-relative:char;mso-position-vertical:absolute;mso-position-vertical-relative:line;mso-left-percent:-10001;mso-top-percent:-10001">
            <v:textbox>
              <w:txbxContent>
                <w:p w14:paraId="232B6712" w14:textId="77777777" w:rsidR="001B6AB1" w:rsidRDefault="001B6AB1" w:rsidP="001B6AB1">
                  <w:r>
                    <w:t>Euroopan petostentorjuntavirasto (OLAF) voi Euroopan parlamentin ja neuvoston asetuksessa (EY) N:o 1073/1999 ja neuvoston asetuksessa (Euratom, EY) N:o 2185/964 säädettyjen säännösten ja menettelyjen mukaisesti tehdä tutkimuksia, mukaan lukien paikan päällä tehtävät todentamiset ja tarkastukset, selvittääkseen, onko avustussopimukseen tai -päätökseen taikka tämän asetuksen nojalla rahoitettuun sopimukseen liittynyt unionin taloudellisia etuja vahingoittavia petoksia, lahjontaa tai muuta laitonta toimintaa.</w:t>
                  </w:r>
                </w:p>
              </w:txbxContent>
            </v:textbox>
            <w10:anchorlock/>
          </v:shape>
        </w:pict>
      </w:r>
    </w:p>
    <w:p w14:paraId="0F2D31B9" w14:textId="77777777" w:rsidR="001B6AB1" w:rsidRDefault="001B6AB1" w:rsidP="001B6AB1">
      <w:pPr>
        <w:pStyle w:val="Text1"/>
        <w:rPr>
          <w:noProof/>
        </w:rPr>
      </w:pPr>
    </w:p>
    <w:p w14:paraId="53D94E70" w14:textId="77777777" w:rsidR="001B6AB1" w:rsidRDefault="001B6AB1" w:rsidP="001B6AB1">
      <w:pPr>
        <w:pStyle w:val="Text1"/>
        <w:rPr>
          <w:noProof/>
        </w:rPr>
      </w:pPr>
      <w:r>
        <w:rPr>
          <w:noProof/>
        </w:rPr>
        <w:br w:type="page"/>
      </w:r>
    </w:p>
    <w:p w14:paraId="52A2FC6C" w14:textId="77777777" w:rsidR="001B6AB1" w:rsidRPr="006918A0" w:rsidRDefault="001B6AB1" w:rsidP="001B6AB1">
      <w:pPr>
        <w:pStyle w:val="ManualHeading1"/>
        <w:rPr>
          <w:noProof/>
        </w:rPr>
      </w:pPr>
      <w:r>
        <w:rPr>
          <w:noProof/>
        </w:rPr>
        <w:t>3.</w:t>
      </w:r>
      <w:r>
        <w:rPr>
          <w:noProof/>
        </w:rPr>
        <w:tab/>
        <w:t xml:space="preserve">EHDOTUKSEN ARVIOIDUT RAHOITUSVAIKUTUKSET </w:t>
      </w:r>
    </w:p>
    <w:p w14:paraId="51BA9DFD" w14:textId="77777777" w:rsidR="001B6AB1" w:rsidRPr="006918A0" w:rsidRDefault="001B6AB1" w:rsidP="001B6AB1">
      <w:pPr>
        <w:pStyle w:val="ManualHeading2"/>
        <w:rPr>
          <w:noProof/>
        </w:rPr>
      </w:pPr>
      <w:bookmarkStart w:id="13" w:name="_Toc514938051"/>
      <w:bookmarkStart w:id="14" w:name="_Toc520485050"/>
      <w:r>
        <w:rPr>
          <w:noProof/>
        </w:rPr>
        <w:tab/>
        <w:t>3.1</w:t>
      </w:r>
      <w:r>
        <w:rPr>
          <w:noProof/>
        </w:rPr>
        <w:tab/>
        <w:t>Kyseeseen tulevat monivuotisen rahoituskehyksen otsakkeet ja menopuolen budjettikohdat</w:t>
      </w:r>
      <w:bookmarkEnd w:id="13"/>
      <w:bookmarkEnd w:id="14"/>
      <w:r>
        <w:rPr>
          <w:noProof/>
        </w:rPr>
        <w:t xml:space="preserve"> </w:t>
      </w:r>
    </w:p>
    <w:p w14:paraId="7F4BDC2E" w14:textId="77777777" w:rsidR="001B6AB1" w:rsidRPr="006918A0" w:rsidRDefault="001B6AB1" w:rsidP="001B6AB1">
      <w:pPr>
        <w:tabs>
          <w:tab w:val="num" w:pos="1134"/>
        </w:tabs>
        <w:ind w:left="1134" w:hanging="283"/>
        <w:rPr>
          <w:rFonts w:eastAsia="Times New Roman"/>
          <w:noProof/>
        </w:rPr>
      </w:pPr>
      <w:r>
        <w:rPr>
          <w:noProof/>
        </w:rPr>
        <w:t xml:space="preserve">Talousarviossa jo olevat budjettikohdat </w:t>
      </w:r>
    </w:p>
    <w:p w14:paraId="1C4AD8C9" w14:textId="77777777" w:rsidR="001B6AB1" w:rsidRPr="006918A0" w:rsidRDefault="001B6AB1" w:rsidP="001B6AB1">
      <w:pPr>
        <w:ind w:left="850"/>
        <w:rPr>
          <w:i/>
          <w:noProof/>
        </w:rPr>
      </w:pPr>
      <w:r>
        <w:rPr>
          <w:i/>
          <w:noProof/>
        </w:rPr>
        <w:t xml:space="preserve">Monivuotisen rahoituskehyksen otsakkeiden ja budjettikohtien mukaisessa </w:t>
      </w:r>
      <w:r>
        <w:rPr>
          <w:i/>
          <w:noProof/>
          <w:u w:val="single"/>
        </w:rPr>
        <w:t>järjestyksessä</w:t>
      </w:r>
      <w:r>
        <w:rPr>
          <w:i/>
          <w:noProof/>
        </w:rPr>
        <w:t>.</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1B6AB1" w:rsidRPr="006918A0" w14:paraId="77985A76" w14:textId="77777777" w:rsidTr="00B330E1">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7E6B4519" w14:textId="77777777" w:rsidR="001B6AB1" w:rsidRPr="006918A0" w:rsidRDefault="001B6AB1" w:rsidP="00B330E1">
            <w:pPr>
              <w:spacing w:before="60" w:after="60" w:line="276" w:lineRule="auto"/>
              <w:jc w:val="center"/>
              <w:rPr>
                <w:noProof/>
              </w:rPr>
            </w:pPr>
            <w:r>
              <w:rPr>
                <w:noProof/>
                <w:sz w:val="18"/>
              </w:rPr>
              <w:t>Monivuotisen rahoituskehyksen otsake</w:t>
            </w:r>
          </w:p>
        </w:tc>
        <w:tc>
          <w:tcPr>
            <w:tcW w:w="3960" w:type="dxa"/>
            <w:tcBorders>
              <w:top w:val="single" w:sz="4" w:space="0" w:color="auto"/>
              <w:left w:val="single" w:sz="4" w:space="0" w:color="auto"/>
              <w:bottom w:val="single" w:sz="4" w:space="0" w:color="auto"/>
              <w:right w:val="single" w:sz="4" w:space="0" w:color="auto"/>
            </w:tcBorders>
            <w:vAlign w:val="center"/>
            <w:hideMark/>
          </w:tcPr>
          <w:p w14:paraId="7446C51E" w14:textId="77777777" w:rsidR="001B6AB1" w:rsidRPr="006918A0" w:rsidRDefault="001B6AB1" w:rsidP="00B330E1">
            <w:pPr>
              <w:spacing w:before="60" w:after="60" w:line="276" w:lineRule="auto"/>
              <w:jc w:val="center"/>
              <w:rPr>
                <w:noProof/>
              </w:rPr>
            </w:pPr>
            <w:r>
              <w:rPr>
                <w:noProof/>
                <w:sz w:val="20"/>
              </w:rPr>
              <w:t>Budjettikohta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05059C" w14:textId="77777777" w:rsidR="001B6AB1" w:rsidRPr="006918A0" w:rsidRDefault="001B6AB1" w:rsidP="00B330E1">
            <w:pPr>
              <w:spacing w:before="60" w:after="60" w:line="276" w:lineRule="auto"/>
              <w:jc w:val="center"/>
              <w:rPr>
                <w:noProof/>
              </w:rPr>
            </w:pPr>
            <w:r>
              <w:rPr>
                <w:noProof/>
                <w:sz w:val="18"/>
              </w:rPr>
              <w:t>Menolaji</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14:paraId="0DB5194D" w14:textId="77777777" w:rsidR="001B6AB1" w:rsidRPr="006918A0" w:rsidRDefault="001B6AB1" w:rsidP="00B330E1">
            <w:pPr>
              <w:spacing w:before="60" w:after="60" w:line="276" w:lineRule="auto"/>
              <w:jc w:val="center"/>
              <w:rPr>
                <w:noProof/>
              </w:rPr>
            </w:pPr>
            <w:r>
              <w:rPr>
                <w:noProof/>
                <w:sz w:val="20"/>
              </w:rPr>
              <w:t xml:space="preserve">Rahoitusosuudet </w:t>
            </w:r>
          </w:p>
        </w:tc>
      </w:tr>
      <w:tr w:rsidR="001B6AB1" w:rsidRPr="006918A0" w14:paraId="27C7AEBD" w14:textId="77777777" w:rsidTr="00B330E1">
        <w:tc>
          <w:tcPr>
            <w:tcW w:w="1080" w:type="dxa"/>
            <w:vMerge/>
            <w:tcBorders>
              <w:top w:val="single" w:sz="4" w:space="0" w:color="auto"/>
              <w:left w:val="single" w:sz="4" w:space="0" w:color="auto"/>
              <w:bottom w:val="single" w:sz="4" w:space="0" w:color="auto"/>
              <w:right w:val="single" w:sz="4" w:space="0" w:color="auto"/>
            </w:tcBorders>
            <w:vAlign w:val="center"/>
            <w:hideMark/>
          </w:tcPr>
          <w:p w14:paraId="2AD3699D" w14:textId="77777777" w:rsidR="001B6AB1" w:rsidRPr="006918A0" w:rsidRDefault="001B6AB1" w:rsidP="00B330E1">
            <w:pPr>
              <w:spacing w:before="0" w:after="0" w:line="276" w:lineRule="auto"/>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14:paraId="0B87728C" w14:textId="77777777" w:rsidR="001B6AB1" w:rsidRPr="00A83E47" w:rsidRDefault="001B6AB1" w:rsidP="00B330E1">
            <w:pPr>
              <w:spacing w:line="276" w:lineRule="auto"/>
              <w:rPr>
                <w:noProof/>
              </w:rPr>
            </w:pPr>
            <w:r>
              <w:rPr>
                <w:noProof/>
                <w:sz w:val="20"/>
              </w:rPr>
              <w:t xml:space="preserve">Numero: </w:t>
            </w:r>
            <w:r>
              <w:rPr>
                <w:noProof/>
              </w:rPr>
              <w:t>03 04 0100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6421569" w14:textId="77777777" w:rsidR="001B6AB1" w:rsidRPr="006918A0" w:rsidRDefault="001B6AB1" w:rsidP="00B330E1">
            <w:pPr>
              <w:spacing w:line="276" w:lineRule="auto"/>
              <w:jc w:val="center"/>
              <w:rPr>
                <w:noProof/>
              </w:rPr>
            </w:pPr>
            <w:r>
              <w:rPr>
                <w:noProof/>
                <w:sz w:val="18"/>
              </w:rPr>
              <w:t>JM/EI-JM</w:t>
            </w:r>
            <w:r>
              <w:rPr>
                <w:rStyle w:val="FootnoteReference"/>
                <w:noProof/>
              </w:rPr>
              <w:footnoteReference w:id="47"/>
            </w:r>
          </w:p>
        </w:tc>
        <w:tc>
          <w:tcPr>
            <w:tcW w:w="956" w:type="dxa"/>
            <w:tcBorders>
              <w:top w:val="single" w:sz="4" w:space="0" w:color="auto"/>
              <w:left w:val="single" w:sz="4" w:space="0" w:color="auto"/>
              <w:bottom w:val="single" w:sz="4" w:space="0" w:color="auto"/>
              <w:right w:val="single" w:sz="4" w:space="0" w:color="auto"/>
            </w:tcBorders>
            <w:vAlign w:val="center"/>
          </w:tcPr>
          <w:p w14:paraId="103C51F6" w14:textId="77777777" w:rsidR="001B6AB1" w:rsidRPr="006918A0" w:rsidRDefault="001B6AB1" w:rsidP="00B330E1">
            <w:pPr>
              <w:spacing w:line="276" w:lineRule="auto"/>
              <w:jc w:val="center"/>
              <w:rPr>
                <w:noProof/>
              </w:rPr>
            </w:pPr>
            <w:r>
              <w:rPr>
                <w:noProof/>
                <w:sz w:val="18"/>
              </w:rPr>
              <w:t>EFTA-mailta</w:t>
            </w:r>
            <w:r>
              <w:rPr>
                <w:rStyle w:val="FootnoteReference"/>
                <w:noProof/>
              </w:rPr>
              <w:footnoteReference w:id="48"/>
            </w:r>
          </w:p>
          <w:p w14:paraId="752104A9" w14:textId="77777777" w:rsidR="001B6AB1" w:rsidRPr="006918A0" w:rsidRDefault="001B6AB1" w:rsidP="00B330E1">
            <w:pPr>
              <w:spacing w:before="0" w:after="0" w:line="276" w:lineRule="auto"/>
              <w:jc w:val="center"/>
              <w:rPr>
                <w:b/>
                <w:noProof/>
                <w:sz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0EBCAD60" w14:textId="77777777" w:rsidR="001B6AB1" w:rsidRPr="006918A0" w:rsidRDefault="001B6AB1" w:rsidP="00B330E1">
            <w:pPr>
              <w:spacing w:line="276" w:lineRule="auto"/>
              <w:jc w:val="center"/>
              <w:rPr>
                <w:noProof/>
              </w:rPr>
            </w:pPr>
            <w:r>
              <w:rPr>
                <w:noProof/>
                <w:sz w:val="18"/>
              </w:rPr>
              <w:t>ehdokasmailta</w:t>
            </w:r>
            <w:r>
              <w:rPr>
                <w:rStyle w:val="FootnoteReference"/>
                <w:noProof/>
              </w:rPr>
              <w:footnoteReference w:id="49"/>
            </w:r>
          </w:p>
          <w:p w14:paraId="7753F797" w14:textId="77777777" w:rsidR="001B6AB1" w:rsidRPr="006918A0" w:rsidRDefault="001B6AB1" w:rsidP="00B330E1">
            <w:pPr>
              <w:spacing w:before="0" w:after="0" w:line="276" w:lineRule="auto"/>
              <w:jc w:val="center"/>
              <w:rPr>
                <w:noProof/>
                <w:sz w:val="18"/>
              </w:rPr>
            </w:pPr>
          </w:p>
        </w:tc>
        <w:tc>
          <w:tcPr>
            <w:tcW w:w="956" w:type="dxa"/>
            <w:tcBorders>
              <w:top w:val="single" w:sz="4" w:space="0" w:color="auto"/>
              <w:left w:val="single" w:sz="4" w:space="0" w:color="auto"/>
              <w:bottom w:val="single" w:sz="4" w:space="0" w:color="auto"/>
              <w:right w:val="single" w:sz="4" w:space="0" w:color="auto"/>
            </w:tcBorders>
            <w:vAlign w:val="center"/>
            <w:hideMark/>
          </w:tcPr>
          <w:p w14:paraId="6B4E5324" w14:textId="77777777" w:rsidR="001B6AB1" w:rsidRPr="006918A0" w:rsidRDefault="001B6AB1" w:rsidP="00B330E1">
            <w:pPr>
              <w:spacing w:line="276" w:lineRule="auto"/>
              <w:jc w:val="center"/>
              <w:rPr>
                <w:noProof/>
                <w:sz w:val="18"/>
              </w:rPr>
            </w:pPr>
            <w:r>
              <w:rPr>
                <w:noProof/>
                <w:sz w:val="18"/>
              </w:rPr>
              <w:t>kolmansilta mailta</w:t>
            </w:r>
          </w:p>
        </w:tc>
        <w:tc>
          <w:tcPr>
            <w:tcW w:w="1448" w:type="dxa"/>
            <w:tcBorders>
              <w:top w:val="single" w:sz="4" w:space="0" w:color="auto"/>
              <w:left w:val="single" w:sz="4" w:space="0" w:color="auto"/>
              <w:bottom w:val="single" w:sz="4" w:space="0" w:color="auto"/>
              <w:right w:val="single" w:sz="4" w:space="0" w:color="auto"/>
            </w:tcBorders>
            <w:vAlign w:val="center"/>
            <w:hideMark/>
          </w:tcPr>
          <w:p w14:paraId="36D86C83" w14:textId="77777777" w:rsidR="001B6AB1" w:rsidRPr="006918A0" w:rsidRDefault="001B6AB1" w:rsidP="00B330E1">
            <w:pPr>
              <w:spacing w:line="276" w:lineRule="auto"/>
              <w:jc w:val="center"/>
              <w:rPr>
                <w:noProof/>
              </w:rPr>
            </w:pPr>
            <w:r>
              <w:rPr>
                <w:noProof/>
                <w:sz w:val="16"/>
              </w:rPr>
              <w:t xml:space="preserve">varainhoitoasetuksen 21 artiklan 2 kohdan b alakohdassa tarkoitetut rahoitusosuudet </w:t>
            </w:r>
          </w:p>
        </w:tc>
      </w:tr>
      <w:tr w:rsidR="001B6AB1" w:rsidRPr="006918A0" w14:paraId="68CE7CAF" w14:textId="77777777" w:rsidTr="00B330E1">
        <w:tc>
          <w:tcPr>
            <w:tcW w:w="1080" w:type="dxa"/>
            <w:tcBorders>
              <w:top w:val="single" w:sz="4" w:space="0" w:color="auto"/>
              <w:left w:val="single" w:sz="4" w:space="0" w:color="auto"/>
              <w:bottom w:val="single" w:sz="4" w:space="0" w:color="auto"/>
              <w:right w:val="single" w:sz="4" w:space="0" w:color="auto"/>
            </w:tcBorders>
            <w:vAlign w:val="center"/>
            <w:hideMark/>
          </w:tcPr>
          <w:p w14:paraId="328757A3" w14:textId="77777777" w:rsidR="001B6AB1" w:rsidRPr="006918A0" w:rsidRDefault="001B6AB1" w:rsidP="00B330E1">
            <w:pPr>
              <w:spacing w:line="276" w:lineRule="auto"/>
              <w:jc w:val="center"/>
              <w:rPr>
                <w:noProof/>
                <w:color w:val="0000FF"/>
              </w:rPr>
            </w:pPr>
            <w:r>
              <w:rPr>
                <w:noProof/>
              </w:rPr>
              <w:t>1 – Sisämarkkinat, innovointi ja digitaalitalous</w:t>
            </w:r>
          </w:p>
        </w:tc>
        <w:tc>
          <w:tcPr>
            <w:tcW w:w="3960" w:type="dxa"/>
            <w:tcBorders>
              <w:top w:val="single" w:sz="4" w:space="0" w:color="auto"/>
              <w:left w:val="single" w:sz="4" w:space="0" w:color="auto"/>
              <w:bottom w:val="single" w:sz="4" w:space="0" w:color="auto"/>
              <w:right w:val="single" w:sz="4" w:space="0" w:color="auto"/>
            </w:tcBorders>
            <w:vAlign w:val="center"/>
          </w:tcPr>
          <w:p w14:paraId="0D39CCED" w14:textId="77777777" w:rsidR="001B6AB1" w:rsidRPr="00A83E47" w:rsidRDefault="001B6AB1" w:rsidP="00B330E1">
            <w:pPr>
              <w:spacing w:line="276" w:lineRule="auto"/>
              <w:rPr>
                <w:noProof/>
              </w:rPr>
            </w:pPr>
            <w:r>
              <w:rPr>
                <w:noProof/>
              </w:rPr>
              <w:t>Verotusjärjestelmien asianmukaisen toiminnan parantaminen</w:t>
            </w:r>
          </w:p>
          <w:p w14:paraId="7D776939" w14:textId="77777777" w:rsidR="001B6AB1" w:rsidRPr="006918A0" w:rsidRDefault="001B6AB1" w:rsidP="00B330E1">
            <w:pPr>
              <w:spacing w:after="60" w:line="276" w:lineRule="auto"/>
              <w:rPr>
                <w:noProof/>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90CBAB2" w14:textId="77777777" w:rsidR="001B6AB1" w:rsidRPr="006918A0" w:rsidRDefault="001B6AB1" w:rsidP="00B330E1">
            <w:pPr>
              <w:spacing w:line="276" w:lineRule="auto"/>
              <w:jc w:val="center"/>
              <w:rPr>
                <w:noProof/>
                <w:color w:val="0000FF"/>
              </w:rPr>
            </w:pPr>
            <w:r>
              <w:rPr>
                <w:noProof/>
              </w:rPr>
              <w:t>JM</w:t>
            </w:r>
          </w:p>
        </w:tc>
        <w:tc>
          <w:tcPr>
            <w:tcW w:w="956" w:type="dxa"/>
            <w:tcBorders>
              <w:top w:val="single" w:sz="4" w:space="0" w:color="auto"/>
              <w:left w:val="single" w:sz="4" w:space="0" w:color="auto"/>
              <w:bottom w:val="single" w:sz="4" w:space="0" w:color="auto"/>
              <w:right w:val="single" w:sz="4" w:space="0" w:color="auto"/>
            </w:tcBorders>
            <w:vAlign w:val="center"/>
            <w:hideMark/>
          </w:tcPr>
          <w:p w14:paraId="28633CC5" w14:textId="77777777" w:rsidR="001B6AB1" w:rsidRPr="006918A0" w:rsidRDefault="001B6AB1" w:rsidP="00B330E1">
            <w:pPr>
              <w:spacing w:line="276" w:lineRule="auto"/>
              <w:jc w:val="center"/>
              <w:rPr>
                <w:noProof/>
                <w:sz w:val="20"/>
                <w:szCs w:val="20"/>
              </w:rPr>
            </w:pPr>
            <w:r>
              <w:rPr>
                <w:noProof/>
                <w:sz w:val="20"/>
              </w:rPr>
              <w:t>EI</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1F1FF2" w14:textId="77777777" w:rsidR="001B6AB1" w:rsidRPr="006918A0" w:rsidRDefault="001B6AB1" w:rsidP="00B330E1">
            <w:pPr>
              <w:spacing w:line="276" w:lineRule="auto"/>
              <w:jc w:val="center"/>
              <w:rPr>
                <w:noProof/>
                <w:sz w:val="20"/>
                <w:szCs w:val="20"/>
              </w:rPr>
            </w:pPr>
            <w:r>
              <w:rPr>
                <w:noProof/>
                <w:sz w:val="20"/>
              </w:rPr>
              <w:t>EI</w:t>
            </w:r>
          </w:p>
        </w:tc>
        <w:tc>
          <w:tcPr>
            <w:tcW w:w="956" w:type="dxa"/>
            <w:tcBorders>
              <w:top w:val="single" w:sz="4" w:space="0" w:color="auto"/>
              <w:left w:val="single" w:sz="4" w:space="0" w:color="auto"/>
              <w:bottom w:val="single" w:sz="4" w:space="0" w:color="auto"/>
              <w:right w:val="single" w:sz="4" w:space="0" w:color="auto"/>
            </w:tcBorders>
            <w:vAlign w:val="center"/>
            <w:hideMark/>
          </w:tcPr>
          <w:p w14:paraId="7F193A3D" w14:textId="77777777" w:rsidR="001B6AB1" w:rsidRPr="006918A0" w:rsidRDefault="001B6AB1" w:rsidP="00B330E1">
            <w:pPr>
              <w:spacing w:line="276" w:lineRule="auto"/>
              <w:jc w:val="center"/>
              <w:rPr>
                <w:noProof/>
                <w:sz w:val="20"/>
                <w:szCs w:val="20"/>
              </w:rPr>
            </w:pPr>
            <w:r>
              <w:rPr>
                <w:noProof/>
                <w:sz w:val="20"/>
              </w:rPr>
              <w:t>EI</w:t>
            </w:r>
          </w:p>
        </w:tc>
        <w:tc>
          <w:tcPr>
            <w:tcW w:w="1448" w:type="dxa"/>
            <w:tcBorders>
              <w:top w:val="single" w:sz="4" w:space="0" w:color="auto"/>
              <w:left w:val="single" w:sz="4" w:space="0" w:color="auto"/>
              <w:bottom w:val="single" w:sz="4" w:space="0" w:color="auto"/>
              <w:right w:val="single" w:sz="4" w:space="0" w:color="auto"/>
            </w:tcBorders>
            <w:vAlign w:val="center"/>
            <w:hideMark/>
          </w:tcPr>
          <w:p w14:paraId="05DC2044" w14:textId="77777777" w:rsidR="001B6AB1" w:rsidRPr="006918A0" w:rsidRDefault="001B6AB1" w:rsidP="00B330E1">
            <w:pPr>
              <w:spacing w:line="276" w:lineRule="auto"/>
              <w:jc w:val="center"/>
              <w:rPr>
                <w:noProof/>
                <w:sz w:val="20"/>
                <w:szCs w:val="20"/>
              </w:rPr>
            </w:pPr>
            <w:r>
              <w:rPr>
                <w:noProof/>
                <w:sz w:val="20"/>
              </w:rPr>
              <w:t>EI</w:t>
            </w:r>
          </w:p>
        </w:tc>
      </w:tr>
    </w:tbl>
    <w:p w14:paraId="54923750" w14:textId="77777777" w:rsidR="001B6AB1" w:rsidRPr="006918A0" w:rsidRDefault="001B6AB1" w:rsidP="001B6AB1">
      <w:pPr>
        <w:tabs>
          <w:tab w:val="num" w:pos="1134"/>
        </w:tabs>
        <w:ind w:left="1134" w:hanging="283"/>
        <w:rPr>
          <w:rFonts w:eastAsia="Times New Roman"/>
          <w:noProof/>
        </w:rPr>
      </w:pPr>
      <w:r>
        <w:rPr>
          <w:noProof/>
        </w:rPr>
        <w:t xml:space="preserve">Uudet perustettaviksi esitetyt budjettikohdat </w:t>
      </w:r>
    </w:p>
    <w:p w14:paraId="0860EDEE" w14:textId="77777777" w:rsidR="001B6AB1" w:rsidRPr="006918A0" w:rsidRDefault="001B6AB1" w:rsidP="001B6AB1">
      <w:pPr>
        <w:ind w:left="850"/>
        <w:rPr>
          <w:i/>
          <w:noProof/>
          <w:sz w:val="20"/>
        </w:rPr>
      </w:pPr>
      <w:r>
        <w:rPr>
          <w:i/>
          <w:noProof/>
        </w:rPr>
        <w:t xml:space="preserve">Monivuotisen rahoituskehyksen otsakkeiden ja budjettikohtien mukaisessa </w:t>
      </w:r>
      <w:r>
        <w:rPr>
          <w:i/>
          <w:noProof/>
          <w:u w:val="single"/>
        </w:rPr>
        <w:t>järjestyksessä</w:t>
      </w:r>
      <w:r>
        <w:rPr>
          <w:i/>
          <w:noProof/>
        </w:rPr>
        <w:t>.</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1B6AB1" w:rsidRPr="006918A0" w14:paraId="508BAADE" w14:textId="77777777" w:rsidTr="00B330E1">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09946C3A" w14:textId="77777777" w:rsidR="001B6AB1" w:rsidRPr="006918A0" w:rsidRDefault="001B6AB1" w:rsidP="00B330E1">
            <w:pPr>
              <w:spacing w:before="60" w:after="60" w:line="276" w:lineRule="auto"/>
              <w:jc w:val="center"/>
              <w:rPr>
                <w:noProof/>
                <w:sz w:val="18"/>
                <w:szCs w:val="18"/>
              </w:rPr>
            </w:pPr>
            <w:r>
              <w:rPr>
                <w:noProof/>
                <w:sz w:val="18"/>
              </w:rPr>
              <w:t>Monivuotisen rahoituskehyksen otsake</w:t>
            </w:r>
          </w:p>
        </w:tc>
        <w:tc>
          <w:tcPr>
            <w:tcW w:w="3960" w:type="dxa"/>
            <w:tcBorders>
              <w:top w:val="single" w:sz="4" w:space="0" w:color="auto"/>
              <w:left w:val="single" w:sz="4" w:space="0" w:color="auto"/>
              <w:bottom w:val="single" w:sz="4" w:space="0" w:color="auto"/>
              <w:right w:val="single" w:sz="4" w:space="0" w:color="auto"/>
            </w:tcBorders>
            <w:vAlign w:val="center"/>
            <w:hideMark/>
          </w:tcPr>
          <w:p w14:paraId="1E08995B" w14:textId="77777777" w:rsidR="001B6AB1" w:rsidRPr="006918A0" w:rsidRDefault="001B6AB1" w:rsidP="00B330E1">
            <w:pPr>
              <w:spacing w:before="60" w:after="60" w:line="276" w:lineRule="auto"/>
              <w:jc w:val="center"/>
              <w:rPr>
                <w:noProof/>
              </w:rPr>
            </w:pPr>
            <w:r>
              <w:rPr>
                <w:noProof/>
                <w:sz w:val="20"/>
              </w:rPr>
              <w:t>Budjettikohta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AEFF8F2" w14:textId="77777777" w:rsidR="001B6AB1" w:rsidRPr="006918A0" w:rsidRDefault="001B6AB1" w:rsidP="00B330E1">
            <w:pPr>
              <w:spacing w:before="60" w:after="60" w:line="276" w:lineRule="auto"/>
              <w:jc w:val="center"/>
              <w:rPr>
                <w:noProof/>
              </w:rPr>
            </w:pPr>
            <w:r>
              <w:rPr>
                <w:noProof/>
                <w:sz w:val="18"/>
              </w:rPr>
              <w:t>Menolaji</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14:paraId="732E414A" w14:textId="77777777" w:rsidR="001B6AB1" w:rsidRPr="006918A0" w:rsidRDefault="001B6AB1" w:rsidP="00B330E1">
            <w:pPr>
              <w:spacing w:before="60" w:after="60" w:line="276" w:lineRule="auto"/>
              <w:jc w:val="center"/>
              <w:rPr>
                <w:noProof/>
              </w:rPr>
            </w:pPr>
            <w:r>
              <w:rPr>
                <w:noProof/>
                <w:sz w:val="20"/>
              </w:rPr>
              <w:t xml:space="preserve">Rahoitusosuudet </w:t>
            </w:r>
          </w:p>
        </w:tc>
      </w:tr>
      <w:tr w:rsidR="001B6AB1" w:rsidRPr="006918A0" w14:paraId="06DD2D22" w14:textId="77777777" w:rsidTr="00B330E1">
        <w:tc>
          <w:tcPr>
            <w:tcW w:w="1080" w:type="dxa"/>
            <w:vMerge/>
            <w:tcBorders>
              <w:top w:val="single" w:sz="4" w:space="0" w:color="auto"/>
              <w:left w:val="single" w:sz="4" w:space="0" w:color="auto"/>
              <w:bottom w:val="single" w:sz="4" w:space="0" w:color="auto"/>
              <w:right w:val="single" w:sz="4" w:space="0" w:color="auto"/>
            </w:tcBorders>
            <w:vAlign w:val="center"/>
            <w:hideMark/>
          </w:tcPr>
          <w:p w14:paraId="1926F193" w14:textId="77777777" w:rsidR="001B6AB1" w:rsidRPr="006918A0" w:rsidRDefault="001B6AB1" w:rsidP="00B330E1">
            <w:pPr>
              <w:spacing w:before="0" w:after="0" w:line="276" w:lineRule="auto"/>
              <w:jc w:val="left"/>
              <w:rPr>
                <w:noProof/>
                <w:sz w:val="18"/>
                <w:szCs w:val="18"/>
              </w:rPr>
            </w:pPr>
          </w:p>
        </w:tc>
        <w:tc>
          <w:tcPr>
            <w:tcW w:w="3960" w:type="dxa"/>
            <w:tcBorders>
              <w:top w:val="single" w:sz="4" w:space="0" w:color="auto"/>
              <w:left w:val="single" w:sz="4" w:space="0" w:color="auto"/>
              <w:bottom w:val="single" w:sz="4" w:space="0" w:color="auto"/>
              <w:right w:val="single" w:sz="4" w:space="0" w:color="auto"/>
            </w:tcBorders>
            <w:vAlign w:val="center"/>
            <w:hideMark/>
          </w:tcPr>
          <w:p w14:paraId="060E4F99" w14:textId="7AB9050D" w:rsidR="001B6AB1" w:rsidRPr="006918A0" w:rsidRDefault="001B6AB1" w:rsidP="00B330E1">
            <w:pPr>
              <w:spacing w:line="276" w:lineRule="auto"/>
              <w:rPr>
                <w:noProof/>
              </w:rPr>
            </w:pPr>
            <w:r>
              <w:rPr>
                <w:noProof/>
                <w:sz w:val="20"/>
              </w:rPr>
              <w:t>Numero</w:t>
            </w:r>
            <w:r w:rsidR="00D9795C">
              <w:rPr>
                <w:noProof/>
                <w:sz w:val="20"/>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E106716" w14:textId="77777777" w:rsidR="001B6AB1" w:rsidRPr="006918A0" w:rsidRDefault="001B6AB1" w:rsidP="00B330E1">
            <w:pPr>
              <w:spacing w:line="276" w:lineRule="auto"/>
              <w:jc w:val="center"/>
              <w:rPr>
                <w:noProof/>
              </w:rPr>
            </w:pPr>
            <w:r>
              <w:rPr>
                <w:noProof/>
                <w:sz w:val="18"/>
              </w:rPr>
              <w:t>JM/EI-JM</w:t>
            </w:r>
          </w:p>
        </w:tc>
        <w:tc>
          <w:tcPr>
            <w:tcW w:w="956" w:type="dxa"/>
            <w:tcBorders>
              <w:top w:val="single" w:sz="4" w:space="0" w:color="auto"/>
              <w:left w:val="single" w:sz="4" w:space="0" w:color="auto"/>
              <w:bottom w:val="single" w:sz="4" w:space="0" w:color="auto"/>
              <w:right w:val="single" w:sz="4" w:space="0" w:color="auto"/>
            </w:tcBorders>
            <w:vAlign w:val="center"/>
            <w:hideMark/>
          </w:tcPr>
          <w:p w14:paraId="064FB447" w14:textId="77777777" w:rsidR="001B6AB1" w:rsidRPr="006918A0" w:rsidRDefault="001B6AB1" w:rsidP="00B330E1">
            <w:pPr>
              <w:spacing w:line="276" w:lineRule="auto"/>
              <w:jc w:val="center"/>
              <w:rPr>
                <w:noProof/>
                <w:sz w:val="18"/>
              </w:rPr>
            </w:pPr>
            <w:r>
              <w:rPr>
                <w:noProof/>
                <w:sz w:val="18"/>
              </w:rPr>
              <w:t>EFTA-mailta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C3AFE1" w14:textId="77777777" w:rsidR="001B6AB1" w:rsidRPr="006918A0" w:rsidRDefault="001B6AB1" w:rsidP="00B330E1">
            <w:pPr>
              <w:spacing w:line="276" w:lineRule="auto"/>
              <w:jc w:val="center"/>
              <w:rPr>
                <w:noProof/>
                <w:sz w:val="18"/>
              </w:rPr>
            </w:pPr>
            <w:r>
              <w:rPr>
                <w:noProof/>
                <w:sz w:val="18"/>
              </w:rPr>
              <w:t>ehdokasmailta</w:t>
            </w:r>
          </w:p>
        </w:tc>
        <w:tc>
          <w:tcPr>
            <w:tcW w:w="956" w:type="dxa"/>
            <w:tcBorders>
              <w:top w:val="single" w:sz="4" w:space="0" w:color="auto"/>
              <w:left w:val="single" w:sz="4" w:space="0" w:color="auto"/>
              <w:bottom w:val="single" w:sz="4" w:space="0" w:color="auto"/>
              <w:right w:val="single" w:sz="4" w:space="0" w:color="auto"/>
            </w:tcBorders>
            <w:vAlign w:val="center"/>
            <w:hideMark/>
          </w:tcPr>
          <w:p w14:paraId="003F2B66" w14:textId="77777777" w:rsidR="001B6AB1" w:rsidRPr="006918A0" w:rsidRDefault="001B6AB1" w:rsidP="00B330E1">
            <w:pPr>
              <w:spacing w:line="276" w:lineRule="auto"/>
              <w:jc w:val="center"/>
              <w:rPr>
                <w:noProof/>
                <w:sz w:val="18"/>
              </w:rPr>
            </w:pPr>
            <w:r>
              <w:rPr>
                <w:noProof/>
                <w:sz w:val="18"/>
              </w:rPr>
              <w:t>kolmansilta mailta</w:t>
            </w:r>
          </w:p>
        </w:tc>
        <w:tc>
          <w:tcPr>
            <w:tcW w:w="1448" w:type="dxa"/>
            <w:tcBorders>
              <w:top w:val="single" w:sz="4" w:space="0" w:color="auto"/>
              <w:left w:val="single" w:sz="4" w:space="0" w:color="auto"/>
              <w:bottom w:val="single" w:sz="4" w:space="0" w:color="auto"/>
              <w:right w:val="single" w:sz="4" w:space="0" w:color="auto"/>
            </w:tcBorders>
            <w:vAlign w:val="center"/>
            <w:hideMark/>
          </w:tcPr>
          <w:p w14:paraId="1270A7AC" w14:textId="77777777" w:rsidR="001B6AB1" w:rsidRPr="006918A0" w:rsidRDefault="001B6AB1" w:rsidP="00B330E1">
            <w:pPr>
              <w:spacing w:line="276" w:lineRule="auto"/>
              <w:jc w:val="center"/>
              <w:rPr>
                <w:noProof/>
              </w:rPr>
            </w:pPr>
            <w:r>
              <w:rPr>
                <w:noProof/>
                <w:sz w:val="16"/>
              </w:rPr>
              <w:t xml:space="preserve">varainhoitoasetuksen 21 artiklan 2 kohdan b alakohdassa tarkoitetut rahoitusosuudet </w:t>
            </w:r>
          </w:p>
        </w:tc>
      </w:tr>
      <w:tr w:rsidR="001B6AB1" w:rsidRPr="006918A0" w14:paraId="4E0DD089" w14:textId="77777777" w:rsidTr="00B330E1">
        <w:tc>
          <w:tcPr>
            <w:tcW w:w="1080" w:type="dxa"/>
            <w:tcBorders>
              <w:top w:val="single" w:sz="4" w:space="0" w:color="auto"/>
              <w:left w:val="single" w:sz="4" w:space="0" w:color="auto"/>
              <w:bottom w:val="single" w:sz="4" w:space="0" w:color="auto"/>
              <w:right w:val="single" w:sz="4" w:space="0" w:color="auto"/>
            </w:tcBorders>
            <w:vAlign w:val="center"/>
          </w:tcPr>
          <w:p w14:paraId="6E19234F" w14:textId="77777777" w:rsidR="001B6AB1" w:rsidRPr="006918A0" w:rsidRDefault="001B6AB1" w:rsidP="00B330E1">
            <w:pPr>
              <w:spacing w:line="276" w:lineRule="auto"/>
              <w:jc w:val="center"/>
              <w:rPr>
                <w:noProof/>
                <w:color w:val="0000FF"/>
              </w:rPr>
            </w:pPr>
          </w:p>
        </w:tc>
        <w:tc>
          <w:tcPr>
            <w:tcW w:w="3960" w:type="dxa"/>
            <w:tcBorders>
              <w:top w:val="single" w:sz="4" w:space="0" w:color="auto"/>
              <w:left w:val="single" w:sz="4" w:space="0" w:color="auto"/>
              <w:bottom w:val="single" w:sz="4" w:space="0" w:color="auto"/>
              <w:right w:val="single" w:sz="4" w:space="0" w:color="auto"/>
            </w:tcBorders>
            <w:vAlign w:val="center"/>
          </w:tcPr>
          <w:p w14:paraId="556C754E" w14:textId="77777777" w:rsidR="001B6AB1" w:rsidRPr="006918A0" w:rsidRDefault="001B6AB1" w:rsidP="00B330E1">
            <w:pPr>
              <w:spacing w:before="60" w:line="276" w:lineRule="auto"/>
              <w:rPr>
                <w:noProof/>
              </w:rPr>
            </w:pPr>
            <w:r>
              <w:rPr>
                <w:noProof/>
              </w:rPr>
              <w:t>[XX.YY.YY.YY]</w:t>
            </w:r>
          </w:p>
          <w:p w14:paraId="3CDD1B0F" w14:textId="77777777" w:rsidR="001B6AB1" w:rsidRPr="006918A0" w:rsidRDefault="001B6AB1" w:rsidP="00B330E1">
            <w:pPr>
              <w:spacing w:after="60" w:line="276" w:lineRule="auto"/>
              <w:rPr>
                <w:noProof/>
                <w:color w:val="0000FF"/>
              </w:rPr>
            </w:pPr>
          </w:p>
        </w:tc>
        <w:tc>
          <w:tcPr>
            <w:tcW w:w="1080" w:type="dxa"/>
            <w:tcBorders>
              <w:top w:val="single" w:sz="4" w:space="0" w:color="auto"/>
              <w:left w:val="single" w:sz="4" w:space="0" w:color="auto"/>
              <w:bottom w:val="single" w:sz="4" w:space="0" w:color="auto"/>
              <w:right w:val="single" w:sz="4" w:space="0" w:color="auto"/>
            </w:tcBorders>
            <w:vAlign w:val="center"/>
          </w:tcPr>
          <w:p w14:paraId="0963F39B" w14:textId="77777777" w:rsidR="001B6AB1" w:rsidRPr="006918A0" w:rsidRDefault="001B6AB1" w:rsidP="00B330E1">
            <w:pPr>
              <w:spacing w:line="276" w:lineRule="auto"/>
              <w:jc w:val="center"/>
              <w:rPr>
                <w:noProof/>
                <w:color w:val="0000FF"/>
              </w:rPr>
            </w:pPr>
          </w:p>
        </w:tc>
        <w:tc>
          <w:tcPr>
            <w:tcW w:w="956" w:type="dxa"/>
            <w:tcBorders>
              <w:top w:val="single" w:sz="4" w:space="0" w:color="auto"/>
              <w:left w:val="single" w:sz="4" w:space="0" w:color="auto"/>
              <w:bottom w:val="single" w:sz="4" w:space="0" w:color="auto"/>
              <w:right w:val="single" w:sz="4" w:space="0" w:color="auto"/>
            </w:tcBorders>
            <w:vAlign w:val="center"/>
            <w:hideMark/>
          </w:tcPr>
          <w:p w14:paraId="5A853D06" w14:textId="77777777" w:rsidR="001B6AB1" w:rsidRPr="006918A0" w:rsidRDefault="001B6AB1" w:rsidP="00B330E1">
            <w:pPr>
              <w:spacing w:line="276" w:lineRule="auto"/>
              <w:jc w:val="center"/>
              <w:rPr>
                <w:noProof/>
                <w:sz w:val="20"/>
                <w:szCs w:val="20"/>
              </w:rPr>
            </w:pPr>
            <w:r>
              <w:rPr>
                <w:noProof/>
                <w:sz w:val="20"/>
              </w:rPr>
              <w:t>KYLLÄ/EI</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4830677" w14:textId="77777777" w:rsidR="001B6AB1" w:rsidRPr="006918A0" w:rsidRDefault="001B6AB1" w:rsidP="00B330E1">
            <w:pPr>
              <w:spacing w:line="276" w:lineRule="auto"/>
              <w:jc w:val="center"/>
              <w:rPr>
                <w:noProof/>
                <w:color w:val="0000FF"/>
                <w:sz w:val="20"/>
                <w:szCs w:val="20"/>
              </w:rPr>
            </w:pPr>
            <w:r>
              <w:rPr>
                <w:noProof/>
                <w:sz w:val="20"/>
              </w:rPr>
              <w:t>KYLLÄ/EI</w:t>
            </w:r>
          </w:p>
        </w:tc>
        <w:tc>
          <w:tcPr>
            <w:tcW w:w="956" w:type="dxa"/>
            <w:tcBorders>
              <w:top w:val="single" w:sz="4" w:space="0" w:color="auto"/>
              <w:left w:val="single" w:sz="4" w:space="0" w:color="auto"/>
              <w:bottom w:val="single" w:sz="4" w:space="0" w:color="auto"/>
              <w:right w:val="single" w:sz="4" w:space="0" w:color="auto"/>
            </w:tcBorders>
            <w:vAlign w:val="center"/>
            <w:hideMark/>
          </w:tcPr>
          <w:p w14:paraId="719BE3A9" w14:textId="77777777" w:rsidR="001B6AB1" w:rsidRPr="006918A0" w:rsidRDefault="001B6AB1" w:rsidP="00B330E1">
            <w:pPr>
              <w:spacing w:line="276" w:lineRule="auto"/>
              <w:jc w:val="center"/>
              <w:rPr>
                <w:noProof/>
                <w:color w:val="0000FF"/>
                <w:sz w:val="20"/>
                <w:szCs w:val="20"/>
              </w:rPr>
            </w:pPr>
            <w:r>
              <w:rPr>
                <w:noProof/>
                <w:sz w:val="20"/>
              </w:rPr>
              <w:t>KYLLÄ/EI</w:t>
            </w:r>
          </w:p>
        </w:tc>
        <w:tc>
          <w:tcPr>
            <w:tcW w:w="1448" w:type="dxa"/>
            <w:tcBorders>
              <w:top w:val="single" w:sz="4" w:space="0" w:color="auto"/>
              <w:left w:val="single" w:sz="4" w:space="0" w:color="auto"/>
              <w:bottom w:val="single" w:sz="4" w:space="0" w:color="auto"/>
              <w:right w:val="single" w:sz="4" w:space="0" w:color="auto"/>
            </w:tcBorders>
            <w:vAlign w:val="center"/>
            <w:hideMark/>
          </w:tcPr>
          <w:p w14:paraId="0479C1D6" w14:textId="77777777" w:rsidR="001B6AB1" w:rsidRPr="006918A0" w:rsidRDefault="001B6AB1" w:rsidP="00B330E1">
            <w:pPr>
              <w:spacing w:line="276" w:lineRule="auto"/>
              <w:jc w:val="center"/>
              <w:rPr>
                <w:noProof/>
                <w:sz w:val="20"/>
                <w:szCs w:val="20"/>
              </w:rPr>
            </w:pPr>
            <w:r>
              <w:rPr>
                <w:noProof/>
                <w:sz w:val="20"/>
              </w:rPr>
              <w:t>KYLLÄ/EI</w:t>
            </w:r>
          </w:p>
        </w:tc>
      </w:tr>
    </w:tbl>
    <w:p w14:paraId="0305EE8A" w14:textId="77777777" w:rsidR="001B6AB1" w:rsidRPr="006918A0" w:rsidRDefault="001B6AB1" w:rsidP="001B6AB1">
      <w:pPr>
        <w:spacing w:before="0" w:after="0"/>
        <w:jc w:val="left"/>
        <w:rPr>
          <w:noProof/>
        </w:rPr>
        <w:sectPr w:rsidR="001B6AB1" w:rsidRPr="006918A0" w:rsidSect="00811919">
          <w:pgSz w:w="11907" w:h="16840"/>
          <w:pgMar w:top="1134" w:right="1418" w:bottom="1134" w:left="1418" w:header="709" w:footer="709" w:gutter="0"/>
          <w:cols w:space="720"/>
          <w:docGrid w:linePitch="326"/>
        </w:sectPr>
      </w:pPr>
    </w:p>
    <w:p w14:paraId="159CE4A6" w14:textId="77777777" w:rsidR="001B6AB1" w:rsidRPr="006918A0" w:rsidRDefault="001B6AB1" w:rsidP="001B6AB1">
      <w:pPr>
        <w:pStyle w:val="ManualHeading2"/>
        <w:rPr>
          <w:noProof/>
        </w:rPr>
      </w:pPr>
      <w:bookmarkStart w:id="15" w:name="_Toc514938052"/>
      <w:bookmarkStart w:id="16" w:name="_Toc520485051"/>
      <w:r>
        <w:rPr>
          <w:noProof/>
        </w:rPr>
        <w:tab/>
        <w:t>3.2</w:t>
      </w:r>
      <w:r>
        <w:rPr>
          <w:noProof/>
        </w:rPr>
        <w:tab/>
        <w:t>Arvioidut vaikutukset määrärahoihin</w:t>
      </w:r>
      <w:bookmarkEnd w:id="15"/>
      <w:bookmarkEnd w:id="16"/>
      <w:r>
        <w:rPr>
          <w:noProof/>
        </w:rPr>
        <w:t xml:space="preserve"> </w:t>
      </w:r>
    </w:p>
    <w:p w14:paraId="3EFC76D8" w14:textId="77777777" w:rsidR="001B6AB1" w:rsidRPr="006918A0" w:rsidRDefault="001B6AB1" w:rsidP="001B6AB1">
      <w:pPr>
        <w:pStyle w:val="ManualHeading3"/>
        <w:rPr>
          <w:noProof/>
        </w:rPr>
      </w:pPr>
      <w:bookmarkStart w:id="17" w:name="_Toc514938053"/>
      <w:bookmarkStart w:id="18" w:name="_Toc520485052"/>
      <w:r>
        <w:rPr>
          <w:noProof/>
        </w:rPr>
        <w:tab/>
        <w:t>3.2.1</w:t>
      </w:r>
      <w:r>
        <w:rPr>
          <w:noProof/>
        </w:rPr>
        <w:tab/>
        <w:t>Yhteenveto arvioiduista vaikutuksista toimintamäärärahoihin</w:t>
      </w:r>
      <w:bookmarkEnd w:id="17"/>
      <w:bookmarkEnd w:id="18"/>
      <w:r>
        <w:rPr>
          <w:noProof/>
        </w:rPr>
        <w:t xml:space="preserve"> </w:t>
      </w:r>
    </w:p>
    <w:p w14:paraId="76681255" w14:textId="77777777" w:rsidR="001B6AB1" w:rsidRPr="006918A0" w:rsidRDefault="001B6AB1" w:rsidP="001B6AB1">
      <w:pPr>
        <w:tabs>
          <w:tab w:val="num" w:pos="1134"/>
        </w:tabs>
        <w:ind w:left="1134" w:hanging="283"/>
        <w:rPr>
          <w:rFonts w:eastAsia="Times New Roman"/>
          <w:noProof/>
        </w:rPr>
      </w:pPr>
      <w:r>
        <w:rPr>
          <w:rFonts w:ascii="Wingdings" w:hAnsi="Wingdings"/>
          <w:noProof/>
        </w:rPr>
        <w:sym w:font="Wingdings" w:char="F0A8"/>
      </w:r>
      <w:r>
        <w:rPr>
          <w:noProof/>
        </w:rPr>
        <w:tab/>
        <w:t xml:space="preserve">Ehdotus/aloite ei edellytä toimintamäärärahoja. </w:t>
      </w:r>
    </w:p>
    <w:p w14:paraId="11944D3A" w14:textId="77777777" w:rsidR="001B6AB1" w:rsidRPr="006918A0" w:rsidRDefault="001B6AB1" w:rsidP="001B6AB1">
      <w:pPr>
        <w:tabs>
          <w:tab w:val="num" w:pos="1134"/>
        </w:tabs>
        <w:ind w:left="1134" w:hanging="283"/>
        <w:rPr>
          <w:rFonts w:eastAsia="Times New Roman"/>
          <w:noProof/>
        </w:rPr>
      </w:pPr>
      <w:r>
        <w:rPr>
          <w:rFonts w:ascii="Wingdings" w:hAnsi="Wingdings"/>
          <w:noProof/>
        </w:rPr>
        <w:sym w:font="Wingdings" w:char="F0FD"/>
      </w:r>
      <w:r>
        <w:rPr>
          <w:noProof/>
        </w:rPr>
        <w:tab/>
        <w:t>Ehdotus/aloite edellyttää toimintamäärärahoja seuraavasti:</w:t>
      </w:r>
    </w:p>
    <w:p w14:paraId="016377C6" w14:textId="77777777" w:rsidR="001B6AB1" w:rsidRPr="006918A0" w:rsidRDefault="001B6AB1" w:rsidP="001B6AB1">
      <w:pPr>
        <w:jc w:val="right"/>
        <w:rPr>
          <w:noProof/>
          <w:sz w:val="18"/>
          <w:szCs w:val="18"/>
        </w:rPr>
      </w:pPr>
      <w:r>
        <w:rPr>
          <w:noProof/>
          <w:sz w:val="18"/>
        </w:rPr>
        <w:t>milj. euroa (kolmen desimaalin tarkkuudella)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B6AB1" w:rsidRPr="006918A0" w14:paraId="24192224" w14:textId="77777777" w:rsidTr="00B330E1">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5FF6A844" w14:textId="77777777" w:rsidR="001B6AB1" w:rsidRPr="006918A0" w:rsidRDefault="001B6AB1" w:rsidP="00B330E1">
            <w:pPr>
              <w:spacing w:before="60" w:after="60" w:line="276" w:lineRule="auto"/>
              <w:jc w:val="center"/>
              <w:rPr>
                <w:b/>
                <w:noProof/>
              </w:rPr>
            </w:pPr>
            <w:r>
              <w:rPr>
                <w:b/>
                <w:noProof/>
              </w:rPr>
              <w:t xml:space="preserve">Monivuotisen rahoituskehyksen otsake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A22188" w14:textId="77777777" w:rsidR="001B6AB1" w:rsidRPr="00A83E47" w:rsidRDefault="001B6AB1" w:rsidP="00B330E1">
            <w:pPr>
              <w:spacing w:before="60" w:after="60" w:line="276" w:lineRule="auto"/>
              <w:jc w:val="center"/>
              <w:rPr>
                <w:noProof/>
              </w:rPr>
            </w:pPr>
            <w:r>
              <w:rPr>
                <w:noProof/>
              </w:rPr>
              <w:t>Numero</w:t>
            </w:r>
          </w:p>
          <w:p w14:paraId="2AED21C5" w14:textId="77777777" w:rsidR="001B6AB1" w:rsidRPr="006918A0" w:rsidRDefault="001B6AB1" w:rsidP="00B330E1">
            <w:pPr>
              <w:spacing w:before="60" w:after="60" w:line="276" w:lineRule="auto"/>
              <w:jc w:val="center"/>
              <w:rPr>
                <w:noProof/>
              </w:rPr>
            </w:pPr>
            <w:r>
              <w:rPr>
                <w:noProof/>
              </w:rPr>
              <w:t>1</w:t>
            </w:r>
          </w:p>
        </w:tc>
        <w:tc>
          <w:tcPr>
            <w:tcW w:w="7817" w:type="dxa"/>
            <w:tcBorders>
              <w:top w:val="single" w:sz="4" w:space="0" w:color="auto"/>
              <w:left w:val="single" w:sz="4" w:space="0" w:color="auto"/>
              <w:bottom w:val="single" w:sz="4" w:space="0" w:color="auto"/>
              <w:right w:val="single" w:sz="4" w:space="0" w:color="auto"/>
            </w:tcBorders>
            <w:vAlign w:val="center"/>
            <w:hideMark/>
          </w:tcPr>
          <w:p w14:paraId="6635415B" w14:textId="77777777" w:rsidR="001B6AB1" w:rsidRPr="006918A0" w:rsidRDefault="001B6AB1" w:rsidP="00B330E1">
            <w:pPr>
              <w:spacing w:before="60" w:after="60" w:line="276" w:lineRule="auto"/>
              <w:rPr>
                <w:noProof/>
              </w:rPr>
            </w:pPr>
            <w:r>
              <w:rPr>
                <w:noProof/>
              </w:rPr>
              <w:t>Sisämarkkinat, innovointi ja digitaalitalous</w:t>
            </w:r>
          </w:p>
        </w:tc>
      </w:tr>
    </w:tbl>
    <w:p w14:paraId="733F8FFF" w14:textId="77777777" w:rsidR="001B6AB1" w:rsidRPr="006918A0" w:rsidRDefault="001B6AB1" w:rsidP="001B6AB1">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2099"/>
        <w:gridCol w:w="23"/>
      </w:tblGrid>
      <w:tr w:rsidR="001B6AB1" w:rsidRPr="006918A0" w14:paraId="27E97A2A" w14:textId="77777777" w:rsidTr="00B330E1">
        <w:trPr>
          <w:gridAfter w:val="1"/>
          <w:wAfter w:w="23" w:type="dxa"/>
        </w:trPr>
        <w:tc>
          <w:tcPr>
            <w:tcW w:w="3960" w:type="dxa"/>
            <w:tcBorders>
              <w:top w:val="single" w:sz="4" w:space="0" w:color="auto"/>
              <w:left w:val="single" w:sz="4" w:space="0" w:color="auto"/>
              <w:bottom w:val="single" w:sz="4" w:space="0" w:color="auto"/>
              <w:right w:val="single" w:sz="4" w:space="0" w:color="auto"/>
            </w:tcBorders>
            <w:vAlign w:val="center"/>
            <w:hideMark/>
          </w:tcPr>
          <w:p w14:paraId="6884306E" w14:textId="77777777" w:rsidR="001B6AB1" w:rsidRPr="006918A0" w:rsidRDefault="001B6AB1" w:rsidP="00B330E1">
            <w:pPr>
              <w:spacing w:line="276" w:lineRule="auto"/>
              <w:jc w:val="center"/>
              <w:rPr>
                <w:noProof/>
              </w:rPr>
            </w:pPr>
            <w:r>
              <w:rPr>
                <w:noProof/>
              </w:rPr>
              <w:t>Pääosasto: TAXUD</w:t>
            </w:r>
          </w:p>
        </w:tc>
        <w:tc>
          <w:tcPr>
            <w:tcW w:w="1560" w:type="dxa"/>
            <w:gridSpan w:val="2"/>
            <w:tcBorders>
              <w:top w:val="single" w:sz="4" w:space="0" w:color="auto"/>
              <w:left w:val="single" w:sz="4" w:space="0" w:color="auto"/>
              <w:bottom w:val="single" w:sz="4" w:space="0" w:color="auto"/>
              <w:right w:val="single" w:sz="4" w:space="0" w:color="auto"/>
            </w:tcBorders>
          </w:tcPr>
          <w:p w14:paraId="3242E379" w14:textId="77777777" w:rsidR="001B6AB1" w:rsidRPr="006918A0" w:rsidRDefault="001B6AB1" w:rsidP="00B330E1">
            <w:pPr>
              <w:spacing w:line="276" w:lineRule="auto"/>
              <w:rPr>
                <w:noProof/>
                <w:sz w:val="20"/>
              </w:rPr>
            </w:pPr>
          </w:p>
        </w:tc>
        <w:tc>
          <w:tcPr>
            <w:tcW w:w="534" w:type="dxa"/>
            <w:tcBorders>
              <w:top w:val="single" w:sz="4" w:space="0" w:color="auto"/>
              <w:left w:val="single" w:sz="4" w:space="0" w:color="auto"/>
              <w:bottom w:val="single" w:sz="4" w:space="0" w:color="auto"/>
              <w:right w:val="single" w:sz="4" w:space="0" w:color="auto"/>
            </w:tcBorders>
          </w:tcPr>
          <w:p w14:paraId="4B1D67EE" w14:textId="77777777" w:rsidR="001B6AB1" w:rsidRPr="006918A0" w:rsidRDefault="001B6AB1" w:rsidP="00B330E1">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2290089" w14:textId="77777777" w:rsidR="001B6AB1" w:rsidRPr="006918A0" w:rsidRDefault="001B6AB1" w:rsidP="00B330E1">
            <w:pPr>
              <w:spacing w:line="276" w:lineRule="auto"/>
              <w:jc w:val="center"/>
              <w:rPr>
                <w:noProof/>
                <w:sz w:val="20"/>
              </w:rPr>
            </w:pPr>
            <w:r>
              <w:rPr>
                <w:noProof/>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14:paraId="3A0650E6" w14:textId="77777777" w:rsidR="001B6AB1" w:rsidRPr="006918A0" w:rsidRDefault="001B6AB1" w:rsidP="00B330E1">
            <w:pPr>
              <w:spacing w:line="276" w:lineRule="auto"/>
              <w:jc w:val="center"/>
              <w:rPr>
                <w:noProof/>
                <w:sz w:val="20"/>
              </w:rPr>
            </w:pPr>
            <w:r>
              <w:rPr>
                <w:noProof/>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14:paraId="1F5A6C30" w14:textId="77777777" w:rsidR="001B6AB1" w:rsidRPr="006918A0" w:rsidRDefault="001B6AB1" w:rsidP="00B330E1">
            <w:pPr>
              <w:spacing w:line="276" w:lineRule="auto"/>
              <w:jc w:val="center"/>
              <w:rPr>
                <w:noProof/>
                <w:sz w:val="20"/>
              </w:rPr>
            </w:pPr>
            <w:r>
              <w:rPr>
                <w:noProof/>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14:paraId="6AF51EBD" w14:textId="77777777" w:rsidR="001B6AB1" w:rsidRPr="006918A0" w:rsidRDefault="001B6AB1" w:rsidP="00B330E1">
            <w:pPr>
              <w:spacing w:line="276" w:lineRule="auto"/>
              <w:jc w:val="center"/>
              <w:rPr>
                <w:noProof/>
                <w:sz w:val="20"/>
              </w:rPr>
            </w:pPr>
            <w:r>
              <w:rPr>
                <w:noProof/>
              </w:rPr>
              <w:t>2026</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14:paraId="58A9266E" w14:textId="77777777" w:rsidR="001B6AB1" w:rsidRPr="006918A0" w:rsidRDefault="001B6AB1" w:rsidP="00B330E1">
            <w:pPr>
              <w:spacing w:line="276" w:lineRule="auto"/>
              <w:jc w:val="center"/>
              <w:rPr>
                <w:b/>
                <w:noProof/>
                <w:sz w:val="18"/>
              </w:rPr>
            </w:pPr>
            <w:r>
              <w:rPr>
                <w:noProof/>
                <w:sz w:val="18"/>
              </w:rPr>
              <w:t>ja näitä seuraavat vuodet (ilmoitetaan kaikki vuodet, joille ehdotuksen/aloitteen vaikutukset ulottuvat, ks. kohta 1.6)</w:t>
            </w:r>
          </w:p>
        </w:tc>
        <w:tc>
          <w:tcPr>
            <w:tcW w:w="2099" w:type="dxa"/>
            <w:tcBorders>
              <w:top w:val="single" w:sz="4" w:space="0" w:color="auto"/>
              <w:left w:val="single" w:sz="4" w:space="0" w:color="auto"/>
              <w:bottom w:val="single" w:sz="4" w:space="0" w:color="auto"/>
              <w:right w:val="single" w:sz="4" w:space="0" w:color="auto"/>
            </w:tcBorders>
            <w:vAlign w:val="center"/>
            <w:hideMark/>
          </w:tcPr>
          <w:p w14:paraId="6C3427D8" w14:textId="77777777" w:rsidR="001B6AB1" w:rsidRPr="006918A0" w:rsidRDefault="001B6AB1" w:rsidP="00B330E1">
            <w:pPr>
              <w:spacing w:line="276" w:lineRule="auto"/>
              <w:jc w:val="center"/>
              <w:rPr>
                <w:b/>
                <w:noProof/>
                <w:sz w:val="20"/>
              </w:rPr>
            </w:pPr>
            <w:r>
              <w:rPr>
                <w:b/>
                <w:noProof/>
                <w:sz w:val="20"/>
              </w:rPr>
              <w:t>YHTEENSÄ</w:t>
            </w:r>
          </w:p>
        </w:tc>
      </w:tr>
      <w:tr w:rsidR="001B6AB1" w:rsidRPr="006918A0" w14:paraId="32D1E88B" w14:textId="77777777" w:rsidTr="00B330E1">
        <w:trPr>
          <w:gridAfter w:val="1"/>
          <w:wAfter w:w="23" w:type="dxa"/>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hideMark/>
          </w:tcPr>
          <w:p w14:paraId="430057ED" w14:textId="77777777" w:rsidR="001B6AB1" w:rsidRPr="006918A0" w:rsidRDefault="001B6AB1" w:rsidP="00B330E1">
            <w:pPr>
              <w:spacing w:before="20" w:after="20" w:line="276" w:lineRule="auto"/>
              <w:rPr>
                <w:noProof/>
                <w:sz w:val="21"/>
              </w:rPr>
            </w:pPr>
            <w:r>
              <w:rPr>
                <w:rFonts w:ascii="Wingdings" w:hAnsi="Wingdings"/>
                <w:noProof/>
                <w:sz w:val="21"/>
              </w:rPr>
              <w:sym w:font="Wingdings" w:char="F09F"/>
            </w:r>
            <w:r>
              <w:rPr>
                <w:noProof/>
                <w:sz w:val="21"/>
              </w:rPr>
              <w:t xml:space="preserve"> Toimintamäärärahat </w:t>
            </w:r>
          </w:p>
        </w:tc>
        <w:tc>
          <w:tcPr>
            <w:tcW w:w="868" w:type="dxa"/>
            <w:tcBorders>
              <w:top w:val="single" w:sz="4" w:space="0" w:color="auto"/>
              <w:left w:val="single" w:sz="4" w:space="0" w:color="auto"/>
              <w:bottom w:val="single" w:sz="4" w:space="0" w:color="auto"/>
              <w:right w:val="single" w:sz="4" w:space="0" w:color="auto"/>
            </w:tcBorders>
            <w:vAlign w:val="center"/>
          </w:tcPr>
          <w:p w14:paraId="7F3A018D" w14:textId="77777777" w:rsidR="001B6AB1" w:rsidRPr="006918A0" w:rsidRDefault="001B6AB1" w:rsidP="00B330E1">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6F5A71FC" w14:textId="77777777" w:rsidR="001B6AB1" w:rsidRPr="006918A0" w:rsidRDefault="001B6AB1" w:rsidP="00B330E1">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7BD3C2CF" w14:textId="77777777" w:rsidR="001B6AB1" w:rsidRPr="006918A0" w:rsidRDefault="001B6AB1" w:rsidP="00B330E1">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05E57F8E" w14:textId="77777777" w:rsidR="001B6AB1" w:rsidRPr="006918A0" w:rsidRDefault="001B6AB1" w:rsidP="00B330E1">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05B23E8" w14:textId="77777777" w:rsidR="001B6AB1" w:rsidRPr="006918A0" w:rsidRDefault="001B6AB1" w:rsidP="00B330E1">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37D5365" w14:textId="77777777" w:rsidR="001B6AB1" w:rsidRPr="006918A0" w:rsidRDefault="001B6AB1" w:rsidP="00B330E1">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09F53AE9" w14:textId="77777777" w:rsidR="001B6AB1" w:rsidRPr="006918A0" w:rsidRDefault="001B6AB1" w:rsidP="00B330E1">
            <w:pPr>
              <w:spacing w:line="276" w:lineRule="auto"/>
              <w:rPr>
                <w:b/>
                <w:noProof/>
                <w:sz w:val="20"/>
              </w:rPr>
            </w:pPr>
          </w:p>
        </w:tc>
        <w:tc>
          <w:tcPr>
            <w:tcW w:w="2099" w:type="dxa"/>
            <w:tcBorders>
              <w:top w:val="single" w:sz="4" w:space="0" w:color="auto"/>
              <w:left w:val="single" w:sz="4" w:space="0" w:color="auto"/>
              <w:bottom w:val="single" w:sz="4" w:space="0" w:color="auto"/>
              <w:right w:val="single" w:sz="4" w:space="0" w:color="auto"/>
            </w:tcBorders>
            <w:vAlign w:val="center"/>
          </w:tcPr>
          <w:p w14:paraId="1FE1C1BB" w14:textId="77777777" w:rsidR="001B6AB1" w:rsidRPr="006918A0" w:rsidRDefault="001B6AB1" w:rsidP="00B330E1">
            <w:pPr>
              <w:spacing w:line="276" w:lineRule="auto"/>
              <w:rPr>
                <w:b/>
                <w:noProof/>
                <w:sz w:val="20"/>
              </w:rPr>
            </w:pPr>
          </w:p>
        </w:tc>
      </w:tr>
      <w:tr w:rsidR="001B6AB1" w:rsidRPr="006918A0" w14:paraId="0B02BEB0" w14:textId="77777777" w:rsidTr="00B330E1">
        <w:trPr>
          <w:gridAfter w:val="1"/>
          <w:wAfter w:w="23" w:type="dxa"/>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39D2EC85" w14:textId="77777777" w:rsidR="001B6AB1" w:rsidRPr="006918A0" w:rsidRDefault="001B6AB1" w:rsidP="00B330E1">
            <w:pPr>
              <w:spacing w:line="276" w:lineRule="auto"/>
              <w:rPr>
                <w:noProof/>
              </w:rPr>
            </w:pPr>
            <w:r>
              <w:rPr>
                <w:noProof/>
                <w:sz w:val="20"/>
              </w:rPr>
              <w:t>Budjettikohta</w:t>
            </w:r>
            <w:r>
              <w:rPr>
                <w:rStyle w:val="FootnoteReference"/>
                <w:noProof/>
              </w:rPr>
              <w:footnoteReference w:id="50"/>
            </w:r>
            <w:r>
              <w:rPr>
                <w:noProof/>
                <w:sz w:val="20"/>
              </w:rPr>
              <w:t xml:space="preserve"> 03.04.01</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BC883DA" w14:textId="77777777" w:rsidR="001B6AB1" w:rsidRPr="006918A0" w:rsidRDefault="001B6AB1" w:rsidP="00B330E1">
            <w:pPr>
              <w:spacing w:before="20" w:after="20" w:line="276" w:lineRule="auto"/>
              <w:rPr>
                <w:noProof/>
                <w:sz w:val="18"/>
              </w:rPr>
            </w:pPr>
            <w:r>
              <w:rPr>
                <w:noProof/>
                <w:sz w:val="18"/>
              </w:rPr>
              <w:t>Sitoumukset</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067744B9" w14:textId="77777777" w:rsidR="001B6AB1" w:rsidRPr="006918A0" w:rsidRDefault="001B6AB1" w:rsidP="00B330E1">
            <w:pPr>
              <w:spacing w:before="20" w:after="20" w:line="276" w:lineRule="auto"/>
              <w:jc w:val="center"/>
              <w:rPr>
                <w:noProof/>
                <w:sz w:val="14"/>
              </w:rPr>
            </w:pPr>
            <w:r>
              <w:rPr>
                <w:noProof/>
                <w:sz w:val="14"/>
              </w:rPr>
              <w:t>(1a)</w:t>
            </w:r>
          </w:p>
        </w:tc>
        <w:tc>
          <w:tcPr>
            <w:tcW w:w="868" w:type="dxa"/>
            <w:tcBorders>
              <w:top w:val="single" w:sz="4" w:space="0" w:color="auto"/>
              <w:left w:val="single" w:sz="4" w:space="0" w:color="auto"/>
              <w:bottom w:val="single" w:sz="4" w:space="0" w:color="auto"/>
              <w:right w:val="single" w:sz="4" w:space="0" w:color="auto"/>
            </w:tcBorders>
            <w:hideMark/>
          </w:tcPr>
          <w:p w14:paraId="289430DE" w14:textId="77777777" w:rsidR="001B6AB1" w:rsidRPr="006918A0" w:rsidRDefault="001B6AB1" w:rsidP="00B330E1">
            <w:pPr>
              <w:spacing w:before="20" w:after="20" w:line="276" w:lineRule="auto"/>
              <w:jc w:val="right"/>
              <w:rPr>
                <w:noProof/>
                <w:sz w:val="20"/>
              </w:rPr>
            </w:pPr>
            <w:r>
              <w:rPr>
                <w:noProof/>
                <w:sz w:val="20"/>
              </w:rPr>
              <w:t>0,150</w:t>
            </w:r>
          </w:p>
        </w:tc>
        <w:tc>
          <w:tcPr>
            <w:tcW w:w="868" w:type="dxa"/>
            <w:tcBorders>
              <w:top w:val="single" w:sz="4" w:space="0" w:color="auto"/>
              <w:left w:val="single" w:sz="4" w:space="0" w:color="auto"/>
              <w:bottom w:val="single" w:sz="4" w:space="0" w:color="auto"/>
              <w:right w:val="single" w:sz="4" w:space="0" w:color="auto"/>
            </w:tcBorders>
            <w:hideMark/>
          </w:tcPr>
          <w:p w14:paraId="58238F4F" w14:textId="77777777" w:rsidR="001B6AB1" w:rsidRPr="006918A0" w:rsidRDefault="001B6AB1" w:rsidP="00B330E1">
            <w:pPr>
              <w:spacing w:before="20" w:after="20" w:line="276" w:lineRule="auto"/>
              <w:jc w:val="right"/>
              <w:rPr>
                <w:noProof/>
                <w:sz w:val="20"/>
              </w:rPr>
            </w:pPr>
            <w:r>
              <w:rPr>
                <w:noProof/>
                <w:sz w:val="20"/>
              </w:rPr>
              <w:t>0,400</w:t>
            </w:r>
          </w:p>
        </w:tc>
        <w:tc>
          <w:tcPr>
            <w:tcW w:w="868" w:type="dxa"/>
            <w:tcBorders>
              <w:top w:val="single" w:sz="4" w:space="0" w:color="auto"/>
              <w:left w:val="single" w:sz="4" w:space="0" w:color="auto"/>
              <w:bottom w:val="single" w:sz="4" w:space="0" w:color="auto"/>
              <w:right w:val="single" w:sz="4" w:space="0" w:color="auto"/>
            </w:tcBorders>
            <w:hideMark/>
          </w:tcPr>
          <w:p w14:paraId="673DC1A8" w14:textId="77777777" w:rsidR="001B6AB1" w:rsidRPr="006918A0" w:rsidRDefault="001B6AB1" w:rsidP="00B330E1">
            <w:pPr>
              <w:spacing w:before="20" w:after="20" w:line="276" w:lineRule="auto"/>
              <w:jc w:val="right"/>
              <w:rPr>
                <w:noProof/>
                <w:sz w:val="20"/>
              </w:rPr>
            </w:pPr>
            <w:r>
              <w:rPr>
                <w:noProof/>
                <w:sz w:val="20"/>
              </w:rPr>
              <w:t>0,200</w:t>
            </w:r>
          </w:p>
        </w:tc>
        <w:tc>
          <w:tcPr>
            <w:tcW w:w="868" w:type="dxa"/>
            <w:tcBorders>
              <w:top w:val="single" w:sz="4" w:space="0" w:color="auto"/>
              <w:left w:val="single" w:sz="4" w:space="0" w:color="auto"/>
              <w:bottom w:val="single" w:sz="4" w:space="0" w:color="auto"/>
              <w:right w:val="single" w:sz="4" w:space="0" w:color="auto"/>
            </w:tcBorders>
            <w:hideMark/>
          </w:tcPr>
          <w:p w14:paraId="473B42D1" w14:textId="77777777" w:rsidR="001B6AB1" w:rsidRPr="006918A0" w:rsidRDefault="001B6AB1" w:rsidP="00B330E1">
            <w:pPr>
              <w:spacing w:before="20" w:after="20" w:line="276" w:lineRule="auto"/>
              <w:jc w:val="right"/>
              <w:rPr>
                <w:noProof/>
                <w:sz w:val="20"/>
              </w:rPr>
            </w:pPr>
            <w:r>
              <w:rPr>
                <w:noProof/>
                <w:sz w:val="20"/>
              </w:rPr>
              <w:t>0,330</w:t>
            </w:r>
          </w:p>
        </w:tc>
        <w:tc>
          <w:tcPr>
            <w:tcW w:w="868" w:type="dxa"/>
            <w:tcBorders>
              <w:top w:val="single" w:sz="4" w:space="0" w:color="auto"/>
              <w:left w:val="single" w:sz="4" w:space="0" w:color="auto"/>
              <w:bottom w:val="single" w:sz="4" w:space="0" w:color="auto"/>
              <w:right w:val="single" w:sz="4" w:space="0" w:color="auto"/>
            </w:tcBorders>
            <w:hideMark/>
          </w:tcPr>
          <w:p w14:paraId="477F1E46" w14:textId="77777777" w:rsidR="001B6AB1" w:rsidRPr="006918A0" w:rsidRDefault="001B6AB1" w:rsidP="00B330E1">
            <w:pPr>
              <w:spacing w:before="20" w:after="20" w:line="276" w:lineRule="auto"/>
              <w:jc w:val="right"/>
              <w:rPr>
                <w:noProof/>
                <w:sz w:val="20"/>
              </w:rPr>
            </w:pPr>
            <w:r>
              <w:rPr>
                <w:noProof/>
                <w:sz w:val="20"/>
              </w:rPr>
              <w:t>0,180</w:t>
            </w:r>
          </w:p>
        </w:tc>
        <w:tc>
          <w:tcPr>
            <w:tcW w:w="868" w:type="dxa"/>
            <w:tcBorders>
              <w:top w:val="single" w:sz="4" w:space="0" w:color="auto"/>
              <w:left w:val="single" w:sz="4" w:space="0" w:color="auto"/>
              <w:bottom w:val="single" w:sz="4" w:space="0" w:color="auto"/>
              <w:right w:val="single" w:sz="4" w:space="0" w:color="auto"/>
            </w:tcBorders>
          </w:tcPr>
          <w:p w14:paraId="72B92ECE" w14:textId="77777777" w:rsidR="001B6AB1" w:rsidRPr="006918A0" w:rsidRDefault="001B6AB1" w:rsidP="00B330E1">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45458AB3" w14:textId="77777777" w:rsidR="001B6AB1" w:rsidRPr="006918A0" w:rsidRDefault="001B6AB1" w:rsidP="00B330E1">
            <w:pPr>
              <w:spacing w:before="20" w:after="20" w:line="276" w:lineRule="auto"/>
              <w:jc w:val="right"/>
              <w:rPr>
                <w:noProof/>
                <w:sz w:val="20"/>
              </w:rPr>
            </w:pPr>
          </w:p>
        </w:tc>
        <w:tc>
          <w:tcPr>
            <w:tcW w:w="2099" w:type="dxa"/>
            <w:tcBorders>
              <w:top w:val="single" w:sz="4" w:space="0" w:color="auto"/>
              <w:left w:val="single" w:sz="4" w:space="0" w:color="auto"/>
              <w:bottom w:val="single" w:sz="4" w:space="0" w:color="auto"/>
              <w:right w:val="single" w:sz="4" w:space="0" w:color="auto"/>
            </w:tcBorders>
            <w:hideMark/>
          </w:tcPr>
          <w:p w14:paraId="17E6C43B" w14:textId="77777777" w:rsidR="001B6AB1" w:rsidRPr="006918A0" w:rsidRDefault="001B6AB1" w:rsidP="00B330E1">
            <w:pPr>
              <w:spacing w:before="20" w:after="20" w:line="276" w:lineRule="auto"/>
              <w:jc w:val="right"/>
              <w:rPr>
                <w:b/>
                <w:bCs/>
                <w:noProof/>
                <w:sz w:val="20"/>
              </w:rPr>
            </w:pPr>
            <w:r>
              <w:rPr>
                <w:b/>
                <w:noProof/>
                <w:sz w:val="20"/>
              </w:rPr>
              <w:t>1,26</w:t>
            </w:r>
          </w:p>
        </w:tc>
      </w:tr>
      <w:tr w:rsidR="001B6AB1" w:rsidRPr="006918A0" w14:paraId="5B198B0D" w14:textId="77777777" w:rsidTr="00B330E1">
        <w:tc>
          <w:tcPr>
            <w:tcW w:w="3960" w:type="dxa"/>
            <w:vMerge/>
            <w:tcBorders>
              <w:top w:val="single" w:sz="4" w:space="0" w:color="auto"/>
              <w:left w:val="single" w:sz="4" w:space="0" w:color="auto"/>
              <w:bottom w:val="single" w:sz="4" w:space="0" w:color="auto"/>
              <w:right w:val="single" w:sz="4" w:space="0" w:color="auto"/>
            </w:tcBorders>
            <w:vAlign w:val="center"/>
            <w:hideMark/>
          </w:tcPr>
          <w:p w14:paraId="035A22B5" w14:textId="77777777" w:rsidR="001B6AB1" w:rsidRPr="006918A0" w:rsidRDefault="001B6AB1" w:rsidP="00B330E1">
            <w:pPr>
              <w:spacing w:before="0" w:after="0" w:line="276" w:lineRule="auto"/>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33F23925" w14:textId="77777777" w:rsidR="001B6AB1" w:rsidRPr="006918A0" w:rsidRDefault="001B6AB1" w:rsidP="00B330E1">
            <w:pPr>
              <w:spacing w:before="20" w:after="20" w:line="276" w:lineRule="auto"/>
              <w:rPr>
                <w:noProof/>
                <w:sz w:val="18"/>
              </w:rPr>
            </w:pPr>
            <w:r>
              <w:rPr>
                <w:noProof/>
                <w:sz w:val="18"/>
              </w:rPr>
              <w:t>Maksut</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6E870D8A" w14:textId="77777777" w:rsidR="001B6AB1" w:rsidRPr="006918A0" w:rsidRDefault="001B6AB1" w:rsidP="00B330E1">
            <w:pPr>
              <w:spacing w:before="20" w:after="20" w:line="276" w:lineRule="auto"/>
              <w:jc w:val="center"/>
              <w:rPr>
                <w:noProof/>
                <w:sz w:val="14"/>
              </w:rPr>
            </w:pPr>
            <w:r>
              <w:rPr>
                <w:noProof/>
                <w:sz w:val="14"/>
              </w:rPr>
              <w:t>(2 a)</w:t>
            </w:r>
          </w:p>
        </w:tc>
        <w:tc>
          <w:tcPr>
            <w:tcW w:w="868" w:type="dxa"/>
            <w:tcBorders>
              <w:top w:val="single" w:sz="4" w:space="0" w:color="auto"/>
              <w:left w:val="single" w:sz="4" w:space="0" w:color="auto"/>
              <w:bottom w:val="single" w:sz="4" w:space="0" w:color="auto"/>
              <w:right w:val="single" w:sz="4" w:space="0" w:color="auto"/>
            </w:tcBorders>
          </w:tcPr>
          <w:p w14:paraId="4E1F63D0" w14:textId="77777777" w:rsidR="001B6AB1" w:rsidRPr="006918A0" w:rsidRDefault="001B6AB1" w:rsidP="00B330E1">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hideMark/>
          </w:tcPr>
          <w:p w14:paraId="254505FF" w14:textId="77777777" w:rsidR="001B6AB1" w:rsidRPr="006918A0" w:rsidRDefault="001B6AB1" w:rsidP="00B330E1">
            <w:pPr>
              <w:spacing w:before="20" w:after="20" w:line="276" w:lineRule="auto"/>
              <w:jc w:val="right"/>
              <w:rPr>
                <w:noProof/>
                <w:sz w:val="20"/>
              </w:rPr>
            </w:pPr>
            <w:r>
              <w:rPr>
                <w:noProof/>
                <w:sz w:val="20"/>
              </w:rPr>
              <w:t>0,150</w:t>
            </w:r>
          </w:p>
        </w:tc>
        <w:tc>
          <w:tcPr>
            <w:tcW w:w="868" w:type="dxa"/>
            <w:tcBorders>
              <w:top w:val="single" w:sz="4" w:space="0" w:color="auto"/>
              <w:left w:val="single" w:sz="4" w:space="0" w:color="auto"/>
              <w:bottom w:val="single" w:sz="4" w:space="0" w:color="auto"/>
              <w:right w:val="single" w:sz="4" w:space="0" w:color="auto"/>
            </w:tcBorders>
            <w:hideMark/>
          </w:tcPr>
          <w:p w14:paraId="6403BC89" w14:textId="77777777" w:rsidR="001B6AB1" w:rsidRPr="006918A0" w:rsidRDefault="001B6AB1" w:rsidP="00B330E1">
            <w:pPr>
              <w:spacing w:before="20" w:after="20" w:line="276" w:lineRule="auto"/>
              <w:jc w:val="right"/>
              <w:rPr>
                <w:noProof/>
                <w:sz w:val="20"/>
              </w:rPr>
            </w:pPr>
            <w:r>
              <w:rPr>
                <w:noProof/>
                <w:sz w:val="20"/>
              </w:rPr>
              <w:t>0,400</w:t>
            </w:r>
          </w:p>
        </w:tc>
        <w:tc>
          <w:tcPr>
            <w:tcW w:w="868" w:type="dxa"/>
            <w:tcBorders>
              <w:top w:val="single" w:sz="4" w:space="0" w:color="auto"/>
              <w:left w:val="single" w:sz="4" w:space="0" w:color="auto"/>
              <w:bottom w:val="single" w:sz="4" w:space="0" w:color="auto"/>
              <w:right w:val="single" w:sz="4" w:space="0" w:color="auto"/>
            </w:tcBorders>
            <w:hideMark/>
          </w:tcPr>
          <w:p w14:paraId="7E64B6BF" w14:textId="77777777" w:rsidR="001B6AB1" w:rsidRPr="006918A0" w:rsidRDefault="001B6AB1" w:rsidP="00B330E1">
            <w:pPr>
              <w:spacing w:before="20" w:after="20" w:line="276" w:lineRule="auto"/>
              <w:jc w:val="right"/>
              <w:rPr>
                <w:noProof/>
                <w:sz w:val="20"/>
              </w:rPr>
            </w:pPr>
            <w:r>
              <w:rPr>
                <w:noProof/>
                <w:sz w:val="20"/>
              </w:rPr>
              <w:t>0,200</w:t>
            </w:r>
          </w:p>
        </w:tc>
        <w:tc>
          <w:tcPr>
            <w:tcW w:w="868" w:type="dxa"/>
            <w:tcBorders>
              <w:top w:val="single" w:sz="4" w:space="0" w:color="auto"/>
              <w:left w:val="single" w:sz="4" w:space="0" w:color="auto"/>
              <w:bottom w:val="single" w:sz="4" w:space="0" w:color="auto"/>
              <w:right w:val="single" w:sz="4" w:space="0" w:color="auto"/>
            </w:tcBorders>
            <w:hideMark/>
          </w:tcPr>
          <w:p w14:paraId="78C3BB90" w14:textId="77777777" w:rsidR="001B6AB1" w:rsidRPr="006918A0" w:rsidRDefault="001B6AB1" w:rsidP="00B330E1">
            <w:pPr>
              <w:spacing w:before="20" w:after="20" w:line="276" w:lineRule="auto"/>
              <w:jc w:val="right"/>
              <w:rPr>
                <w:noProof/>
                <w:sz w:val="20"/>
              </w:rPr>
            </w:pPr>
            <w:r>
              <w:rPr>
                <w:noProof/>
                <w:sz w:val="20"/>
              </w:rPr>
              <w:t>0,330</w:t>
            </w:r>
          </w:p>
        </w:tc>
        <w:tc>
          <w:tcPr>
            <w:tcW w:w="868" w:type="dxa"/>
            <w:tcBorders>
              <w:top w:val="single" w:sz="4" w:space="0" w:color="auto"/>
              <w:left w:val="single" w:sz="4" w:space="0" w:color="auto"/>
              <w:bottom w:val="single" w:sz="4" w:space="0" w:color="auto"/>
              <w:right w:val="single" w:sz="4" w:space="0" w:color="auto"/>
            </w:tcBorders>
            <w:hideMark/>
          </w:tcPr>
          <w:p w14:paraId="07FF7F06" w14:textId="77777777" w:rsidR="001B6AB1" w:rsidRPr="006918A0" w:rsidRDefault="001B6AB1" w:rsidP="00B330E1">
            <w:pPr>
              <w:spacing w:before="20" w:after="20" w:line="276" w:lineRule="auto"/>
              <w:jc w:val="right"/>
              <w:rPr>
                <w:noProof/>
                <w:sz w:val="20"/>
              </w:rPr>
            </w:pPr>
            <w:r>
              <w:rPr>
                <w:noProof/>
                <w:sz w:val="20"/>
              </w:rPr>
              <w:t>0,180</w:t>
            </w:r>
          </w:p>
        </w:tc>
        <w:tc>
          <w:tcPr>
            <w:tcW w:w="868" w:type="dxa"/>
            <w:tcBorders>
              <w:top w:val="single" w:sz="4" w:space="0" w:color="auto"/>
              <w:left w:val="single" w:sz="4" w:space="0" w:color="auto"/>
              <w:bottom w:val="single" w:sz="4" w:space="0" w:color="auto"/>
              <w:right w:val="single" w:sz="4" w:space="0" w:color="auto"/>
            </w:tcBorders>
          </w:tcPr>
          <w:p w14:paraId="6FB8B875" w14:textId="77777777" w:rsidR="001B6AB1" w:rsidRPr="006918A0" w:rsidRDefault="001B6AB1" w:rsidP="00B330E1">
            <w:pPr>
              <w:spacing w:before="20" w:after="20" w:line="276" w:lineRule="auto"/>
              <w:jc w:val="right"/>
              <w:rPr>
                <w:noProof/>
                <w:sz w:val="20"/>
              </w:rPr>
            </w:pPr>
          </w:p>
        </w:tc>
        <w:tc>
          <w:tcPr>
            <w:tcW w:w="2122" w:type="dxa"/>
            <w:gridSpan w:val="2"/>
            <w:tcBorders>
              <w:top w:val="single" w:sz="4" w:space="0" w:color="auto"/>
              <w:left w:val="single" w:sz="4" w:space="0" w:color="auto"/>
              <w:bottom w:val="single" w:sz="4" w:space="0" w:color="auto"/>
              <w:right w:val="single" w:sz="4" w:space="0" w:color="auto"/>
            </w:tcBorders>
            <w:hideMark/>
          </w:tcPr>
          <w:p w14:paraId="1C8951F3" w14:textId="77777777" w:rsidR="001B6AB1" w:rsidRPr="006918A0" w:rsidRDefault="001B6AB1" w:rsidP="00B330E1">
            <w:pPr>
              <w:spacing w:before="20" w:after="20" w:line="276" w:lineRule="auto"/>
              <w:jc w:val="right"/>
              <w:rPr>
                <w:b/>
                <w:bCs/>
                <w:noProof/>
                <w:sz w:val="20"/>
              </w:rPr>
            </w:pPr>
            <w:r>
              <w:rPr>
                <w:b/>
                <w:noProof/>
                <w:sz w:val="20"/>
              </w:rPr>
              <w:t>1,26</w:t>
            </w:r>
          </w:p>
        </w:tc>
      </w:tr>
      <w:tr w:rsidR="001B6AB1" w:rsidRPr="006918A0" w14:paraId="12DC8615" w14:textId="77777777" w:rsidTr="00B330E1">
        <w:trPr>
          <w:gridAfter w:val="1"/>
          <w:wAfter w:w="23" w:type="dxa"/>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7DF85F44" w14:textId="77777777" w:rsidR="001B6AB1" w:rsidRPr="006918A0" w:rsidRDefault="001B6AB1" w:rsidP="00B330E1">
            <w:pPr>
              <w:spacing w:line="276" w:lineRule="auto"/>
              <w:rPr>
                <w:noProof/>
              </w:rPr>
            </w:pPr>
            <w:r>
              <w:rPr>
                <w:noProof/>
                <w:sz w:val="20"/>
              </w:rPr>
              <w:t>Budjettikohta</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C6BA2F9" w14:textId="77777777" w:rsidR="001B6AB1" w:rsidRPr="006918A0" w:rsidRDefault="001B6AB1" w:rsidP="00B330E1">
            <w:pPr>
              <w:spacing w:before="20" w:after="20" w:line="276" w:lineRule="auto"/>
              <w:rPr>
                <w:noProof/>
                <w:sz w:val="18"/>
              </w:rPr>
            </w:pPr>
            <w:r>
              <w:rPr>
                <w:noProof/>
                <w:sz w:val="18"/>
              </w:rPr>
              <w:t>Sitoumukset</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0857FA42" w14:textId="77777777" w:rsidR="001B6AB1" w:rsidRPr="006918A0" w:rsidRDefault="001B6AB1" w:rsidP="00B330E1">
            <w:pPr>
              <w:spacing w:before="20" w:after="20" w:line="276" w:lineRule="auto"/>
              <w:jc w:val="center"/>
              <w:rPr>
                <w:noProof/>
                <w:sz w:val="14"/>
              </w:rPr>
            </w:pPr>
            <w:r>
              <w:rPr>
                <w:noProof/>
                <w:sz w:val="14"/>
              </w:rPr>
              <w:t>(1b)</w:t>
            </w:r>
          </w:p>
        </w:tc>
        <w:tc>
          <w:tcPr>
            <w:tcW w:w="868" w:type="dxa"/>
            <w:tcBorders>
              <w:top w:val="single" w:sz="4" w:space="0" w:color="auto"/>
              <w:left w:val="single" w:sz="4" w:space="0" w:color="auto"/>
              <w:bottom w:val="single" w:sz="4" w:space="0" w:color="auto"/>
              <w:right w:val="single" w:sz="4" w:space="0" w:color="auto"/>
            </w:tcBorders>
          </w:tcPr>
          <w:p w14:paraId="32287A9D" w14:textId="77777777" w:rsidR="001B6AB1" w:rsidRPr="006918A0" w:rsidRDefault="001B6AB1" w:rsidP="00B330E1">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55F49B32" w14:textId="77777777" w:rsidR="001B6AB1" w:rsidRPr="006918A0" w:rsidRDefault="001B6AB1" w:rsidP="00B330E1">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23F2B5EA" w14:textId="77777777" w:rsidR="001B6AB1" w:rsidRPr="006918A0" w:rsidRDefault="001B6AB1" w:rsidP="00B330E1">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3139A94D" w14:textId="77777777" w:rsidR="001B6AB1" w:rsidRPr="006918A0" w:rsidRDefault="001B6AB1" w:rsidP="00B330E1">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0C20B9E8" w14:textId="77777777" w:rsidR="001B6AB1" w:rsidRPr="006918A0" w:rsidRDefault="001B6AB1" w:rsidP="00B330E1">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5E889EF8" w14:textId="77777777" w:rsidR="001B6AB1" w:rsidRPr="006918A0" w:rsidRDefault="001B6AB1" w:rsidP="00B330E1">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3A4777F2" w14:textId="77777777" w:rsidR="001B6AB1" w:rsidRPr="006918A0" w:rsidRDefault="001B6AB1" w:rsidP="00B330E1">
            <w:pPr>
              <w:spacing w:before="20" w:after="20" w:line="276" w:lineRule="auto"/>
              <w:jc w:val="right"/>
              <w:rPr>
                <w:noProof/>
                <w:sz w:val="20"/>
              </w:rPr>
            </w:pPr>
          </w:p>
        </w:tc>
        <w:tc>
          <w:tcPr>
            <w:tcW w:w="2099" w:type="dxa"/>
            <w:tcBorders>
              <w:top w:val="single" w:sz="4" w:space="0" w:color="auto"/>
              <w:left w:val="single" w:sz="4" w:space="0" w:color="auto"/>
              <w:bottom w:val="single" w:sz="4" w:space="0" w:color="auto"/>
              <w:right w:val="single" w:sz="4" w:space="0" w:color="auto"/>
            </w:tcBorders>
          </w:tcPr>
          <w:p w14:paraId="62D14F4F" w14:textId="77777777" w:rsidR="001B6AB1" w:rsidRPr="006918A0" w:rsidRDefault="001B6AB1" w:rsidP="00B330E1">
            <w:pPr>
              <w:spacing w:before="20" w:after="20" w:line="276" w:lineRule="auto"/>
              <w:jc w:val="right"/>
              <w:rPr>
                <w:b/>
                <w:bCs/>
                <w:noProof/>
                <w:sz w:val="20"/>
              </w:rPr>
            </w:pPr>
          </w:p>
        </w:tc>
      </w:tr>
      <w:tr w:rsidR="001B6AB1" w:rsidRPr="006918A0" w14:paraId="2177160B" w14:textId="77777777" w:rsidTr="00B330E1">
        <w:trPr>
          <w:gridAfter w:val="1"/>
          <w:wAfter w:w="23" w:type="dxa"/>
        </w:trPr>
        <w:tc>
          <w:tcPr>
            <w:tcW w:w="3960" w:type="dxa"/>
            <w:vMerge/>
            <w:tcBorders>
              <w:top w:val="single" w:sz="4" w:space="0" w:color="auto"/>
              <w:left w:val="single" w:sz="4" w:space="0" w:color="auto"/>
              <w:bottom w:val="single" w:sz="4" w:space="0" w:color="auto"/>
              <w:right w:val="single" w:sz="4" w:space="0" w:color="auto"/>
            </w:tcBorders>
            <w:vAlign w:val="center"/>
            <w:hideMark/>
          </w:tcPr>
          <w:p w14:paraId="31109B30" w14:textId="77777777" w:rsidR="001B6AB1" w:rsidRPr="006918A0" w:rsidRDefault="001B6AB1" w:rsidP="00B330E1">
            <w:pPr>
              <w:spacing w:before="0" w:after="0" w:line="276" w:lineRule="auto"/>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651E45D2" w14:textId="77777777" w:rsidR="001B6AB1" w:rsidRPr="006918A0" w:rsidRDefault="001B6AB1" w:rsidP="00B330E1">
            <w:pPr>
              <w:spacing w:before="20" w:after="20" w:line="276" w:lineRule="auto"/>
              <w:rPr>
                <w:noProof/>
                <w:sz w:val="18"/>
              </w:rPr>
            </w:pPr>
            <w:r>
              <w:rPr>
                <w:noProof/>
                <w:sz w:val="18"/>
              </w:rPr>
              <w:t>Maksut</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55696AC5" w14:textId="77777777" w:rsidR="001B6AB1" w:rsidRPr="006918A0" w:rsidRDefault="001B6AB1" w:rsidP="00B330E1">
            <w:pPr>
              <w:spacing w:before="20" w:after="20" w:line="276" w:lineRule="auto"/>
              <w:jc w:val="center"/>
              <w:rPr>
                <w:noProof/>
                <w:sz w:val="14"/>
              </w:rPr>
            </w:pPr>
            <w:r>
              <w:rPr>
                <w:noProof/>
                <w:sz w:val="14"/>
              </w:rPr>
              <w:t>(2b)</w:t>
            </w:r>
          </w:p>
        </w:tc>
        <w:tc>
          <w:tcPr>
            <w:tcW w:w="868" w:type="dxa"/>
            <w:tcBorders>
              <w:top w:val="single" w:sz="4" w:space="0" w:color="auto"/>
              <w:left w:val="single" w:sz="4" w:space="0" w:color="auto"/>
              <w:bottom w:val="single" w:sz="4" w:space="0" w:color="auto"/>
              <w:right w:val="single" w:sz="4" w:space="0" w:color="auto"/>
            </w:tcBorders>
          </w:tcPr>
          <w:p w14:paraId="4831ED78" w14:textId="77777777" w:rsidR="001B6AB1" w:rsidRPr="006918A0" w:rsidRDefault="001B6AB1" w:rsidP="00B330E1">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3E6FEFA2" w14:textId="77777777" w:rsidR="001B6AB1" w:rsidRPr="006918A0" w:rsidRDefault="001B6AB1" w:rsidP="00B330E1">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6748E7ED" w14:textId="77777777" w:rsidR="001B6AB1" w:rsidRPr="006918A0" w:rsidRDefault="001B6AB1" w:rsidP="00B330E1">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72F65346" w14:textId="77777777" w:rsidR="001B6AB1" w:rsidRPr="006918A0" w:rsidRDefault="001B6AB1" w:rsidP="00B330E1">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6EE59F03" w14:textId="77777777" w:rsidR="001B6AB1" w:rsidRPr="006918A0" w:rsidRDefault="001B6AB1" w:rsidP="00B330E1">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7A121638" w14:textId="77777777" w:rsidR="001B6AB1" w:rsidRPr="006918A0" w:rsidRDefault="001B6AB1" w:rsidP="00B330E1">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22EB6459" w14:textId="77777777" w:rsidR="001B6AB1" w:rsidRPr="006918A0" w:rsidRDefault="001B6AB1" w:rsidP="00B330E1">
            <w:pPr>
              <w:spacing w:before="20" w:after="20" w:line="276" w:lineRule="auto"/>
              <w:jc w:val="right"/>
              <w:rPr>
                <w:noProof/>
                <w:sz w:val="20"/>
              </w:rPr>
            </w:pPr>
          </w:p>
        </w:tc>
        <w:tc>
          <w:tcPr>
            <w:tcW w:w="2099" w:type="dxa"/>
            <w:tcBorders>
              <w:top w:val="single" w:sz="4" w:space="0" w:color="auto"/>
              <w:left w:val="single" w:sz="4" w:space="0" w:color="auto"/>
              <w:bottom w:val="single" w:sz="4" w:space="0" w:color="auto"/>
              <w:right w:val="single" w:sz="4" w:space="0" w:color="auto"/>
            </w:tcBorders>
          </w:tcPr>
          <w:p w14:paraId="3B756381" w14:textId="77777777" w:rsidR="001B6AB1" w:rsidRPr="006918A0" w:rsidRDefault="001B6AB1" w:rsidP="00B330E1">
            <w:pPr>
              <w:spacing w:before="20" w:after="20" w:line="276" w:lineRule="auto"/>
              <w:jc w:val="right"/>
              <w:rPr>
                <w:b/>
                <w:bCs/>
                <w:noProof/>
                <w:sz w:val="20"/>
              </w:rPr>
            </w:pPr>
          </w:p>
        </w:tc>
      </w:tr>
      <w:tr w:rsidR="001B6AB1" w:rsidRPr="006918A0" w14:paraId="3D3FF362" w14:textId="77777777" w:rsidTr="00B330E1">
        <w:trPr>
          <w:gridAfter w:val="1"/>
          <w:wAfter w:w="23" w:type="dxa"/>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14:paraId="70957717" w14:textId="77777777" w:rsidR="001B6AB1" w:rsidRPr="006918A0" w:rsidRDefault="001B6AB1" w:rsidP="00B330E1">
            <w:pPr>
              <w:spacing w:before="20" w:after="20" w:line="276" w:lineRule="auto"/>
              <w:rPr>
                <w:noProof/>
              </w:rPr>
            </w:pPr>
            <w:r>
              <w:rPr>
                <w:noProof/>
                <w:sz w:val="21"/>
              </w:rPr>
              <w:t>Tiettyjen ohjelmien määrärahoista katettavat hallintomäärärahat</w:t>
            </w:r>
            <w:r>
              <w:rPr>
                <w:rStyle w:val="FootnoteReference"/>
                <w:noProof/>
              </w:rPr>
              <w:footnoteReference w:id="51"/>
            </w:r>
            <w:r>
              <w:rPr>
                <w:noProof/>
                <w:sz w:val="21"/>
              </w:rPr>
              <w:t xml:space="preserve"> </w:t>
            </w:r>
          </w:p>
        </w:tc>
        <w:tc>
          <w:tcPr>
            <w:tcW w:w="868" w:type="dxa"/>
            <w:tcBorders>
              <w:top w:val="single" w:sz="4" w:space="0" w:color="auto"/>
              <w:left w:val="single" w:sz="4" w:space="0" w:color="auto"/>
              <w:bottom w:val="single" w:sz="4" w:space="0" w:color="auto"/>
              <w:right w:val="single" w:sz="4" w:space="0" w:color="auto"/>
            </w:tcBorders>
            <w:vAlign w:val="center"/>
          </w:tcPr>
          <w:p w14:paraId="3106980E" w14:textId="77777777" w:rsidR="001B6AB1" w:rsidRPr="006918A0" w:rsidRDefault="001B6AB1" w:rsidP="00B330E1">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65041DBC" w14:textId="77777777" w:rsidR="001B6AB1" w:rsidRPr="006918A0" w:rsidRDefault="001B6AB1" w:rsidP="00B330E1">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69F5AE87" w14:textId="77777777" w:rsidR="001B6AB1" w:rsidRPr="006918A0" w:rsidRDefault="001B6AB1" w:rsidP="00B330E1">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11356D34" w14:textId="77777777" w:rsidR="001B6AB1" w:rsidRPr="006918A0" w:rsidRDefault="001B6AB1" w:rsidP="00B330E1">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49AB168B" w14:textId="77777777" w:rsidR="001B6AB1" w:rsidRPr="006918A0" w:rsidRDefault="001B6AB1" w:rsidP="00B330E1">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438CA43E" w14:textId="77777777" w:rsidR="001B6AB1" w:rsidRPr="006918A0" w:rsidRDefault="001B6AB1" w:rsidP="00B330E1">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0585BEE3" w14:textId="77777777" w:rsidR="001B6AB1" w:rsidRPr="006918A0" w:rsidRDefault="001B6AB1" w:rsidP="00B330E1">
            <w:pPr>
              <w:spacing w:before="20" w:after="20" w:line="276" w:lineRule="auto"/>
              <w:jc w:val="right"/>
              <w:rPr>
                <w:noProof/>
                <w:sz w:val="20"/>
              </w:rPr>
            </w:pPr>
          </w:p>
        </w:tc>
        <w:tc>
          <w:tcPr>
            <w:tcW w:w="2099" w:type="dxa"/>
            <w:tcBorders>
              <w:top w:val="single" w:sz="4" w:space="0" w:color="auto"/>
              <w:left w:val="single" w:sz="4" w:space="0" w:color="auto"/>
              <w:bottom w:val="single" w:sz="4" w:space="0" w:color="auto"/>
              <w:right w:val="single" w:sz="4" w:space="0" w:color="auto"/>
            </w:tcBorders>
          </w:tcPr>
          <w:p w14:paraId="76F8AE34" w14:textId="77777777" w:rsidR="001B6AB1" w:rsidRPr="006918A0" w:rsidRDefault="001B6AB1" w:rsidP="00B330E1">
            <w:pPr>
              <w:spacing w:before="20" w:after="20" w:line="276" w:lineRule="auto"/>
              <w:jc w:val="right"/>
              <w:rPr>
                <w:b/>
                <w:bCs/>
                <w:noProof/>
                <w:sz w:val="20"/>
              </w:rPr>
            </w:pPr>
          </w:p>
        </w:tc>
      </w:tr>
      <w:tr w:rsidR="001B6AB1" w:rsidRPr="006918A0" w14:paraId="71D89513" w14:textId="77777777" w:rsidTr="00B330E1">
        <w:trPr>
          <w:gridAfter w:val="1"/>
          <w:wAfter w:w="23" w:type="dxa"/>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14:paraId="5968BF0E" w14:textId="77777777" w:rsidR="001B6AB1" w:rsidRPr="006918A0" w:rsidRDefault="001B6AB1" w:rsidP="00B330E1">
            <w:pPr>
              <w:spacing w:before="60" w:after="60" w:line="276" w:lineRule="auto"/>
              <w:rPr>
                <w:noProof/>
              </w:rPr>
            </w:pPr>
            <w:r>
              <w:rPr>
                <w:noProof/>
                <w:sz w:val="20"/>
              </w:rPr>
              <w:t>Budjettikohta</w:t>
            </w:r>
          </w:p>
        </w:tc>
        <w:tc>
          <w:tcPr>
            <w:tcW w:w="1440" w:type="dxa"/>
            <w:tcBorders>
              <w:top w:val="single" w:sz="4" w:space="0" w:color="auto"/>
              <w:left w:val="single" w:sz="4" w:space="0" w:color="auto"/>
              <w:bottom w:val="single" w:sz="4" w:space="0" w:color="auto"/>
              <w:right w:val="single" w:sz="4" w:space="0" w:color="auto"/>
            </w:tcBorders>
            <w:vAlign w:val="center"/>
          </w:tcPr>
          <w:p w14:paraId="22766EBA" w14:textId="77777777" w:rsidR="001B6AB1" w:rsidRPr="006918A0" w:rsidRDefault="001B6AB1" w:rsidP="00B330E1">
            <w:pPr>
              <w:spacing w:before="40" w:after="40" w:line="276" w:lineRule="auto"/>
              <w:jc w:val="right"/>
              <w:rPr>
                <w:noProof/>
                <w:sz w:val="18"/>
              </w:rPr>
            </w:pP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3482ABF7" w14:textId="77777777" w:rsidR="001B6AB1" w:rsidRPr="006918A0" w:rsidRDefault="001B6AB1" w:rsidP="00B330E1">
            <w:pPr>
              <w:spacing w:before="40" w:after="40" w:line="276" w:lineRule="auto"/>
              <w:jc w:val="center"/>
              <w:rPr>
                <w:noProof/>
                <w:sz w:val="14"/>
              </w:rPr>
            </w:pPr>
            <w:r>
              <w:rPr>
                <w:noProof/>
                <w:sz w:val="14"/>
              </w:rPr>
              <w:t>(3)</w:t>
            </w:r>
          </w:p>
        </w:tc>
        <w:tc>
          <w:tcPr>
            <w:tcW w:w="868" w:type="dxa"/>
            <w:tcBorders>
              <w:top w:val="single" w:sz="4" w:space="0" w:color="auto"/>
              <w:left w:val="single" w:sz="4" w:space="0" w:color="auto"/>
              <w:bottom w:val="single" w:sz="4" w:space="0" w:color="auto"/>
              <w:right w:val="single" w:sz="4" w:space="0" w:color="auto"/>
            </w:tcBorders>
          </w:tcPr>
          <w:p w14:paraId="140BE6C5" w14:textId="77777777" w:rsidR="001B6AB1" w:rsidRPr="006918A0" w:rsidRDefault="001B6AB1" w:rsidP="00B330E1">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27A0C459" w14:textId="77777777" w:rsidR="001B6AB1" w:rsidRPr="006918A0" w:rsidRDefault="001B6AB1" w:rsidP="00B330E1">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5D994752" w14:textId="77777777" w:rsidR="001B6AB1" w:rsidRPr="006918A0" w:rsidRDefault="001B6AB1" w:rsidP="00B330E1">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5C520F72" w14:textId="77777777" w:rsidR="001B6AB1" w:rsidRPr="006918A0" w:rsidRDefault="001B6AB1" w:rsidP="00B330E1">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53276F84" w14:textId="77777777" w:rsidR="001B6AB1" w:rsidRPr="006918A0" w:rsidRDefault="001B6AB1" w:rsidP="00B330E1">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2AEDF265" w14:textId="77777777" w:rsidR="001B6AB1" w:rsidRPr="006918A0" w:rsidRDefault="001B6AB1" w:rsidP="00B330E1">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0578E58F" w14:textId="77777777" w:rsidR="001B6AB1" w:rsidRPr="006918A0" w:rsidRDefault="001B6AB1" w:rsidP="00B330E1">
            <w:pPr>
              <w:spacing w:before="20" w:after="20" w:line="276" w:lineRule="auto"/>
              <w:jc w:val="right"/>
              <w:rPr>
                <w:noProof/>
                <w:sz w:val="20"/>
              </w:rPr>
            </w:pPr>
          </w:p>
        </w:tc>
        <w:tc>
          <w:tcPr>
            <w:tcW w:w="2099" w:type="dxa"/>
            <w:tcBorders>
              <w:top w:val="single" w:sz="4" w:space="0" w:color="auto"/>
              <w:left w:val="single" w:sz="4" w:space="0" w:color="auto"/>
              <w:bottom w:val="single" w:sz="4" w:space="0" w:color="auto"/>
              <w:right w:val="single" w:sz="4" w:space="0" w:color="auto"/>
            </w:tcBorders>
          </w:tcPr>
          <w:p w14:paraId="0A0B62C3" w14:textId="77777777" w:rsidR="001B6AB1" w:rsidRPr="006918A0" w:rsidRDefault="001B6AB1" w:rsidP="00B330E1">
            <w:pPr>
              <w:spacing w:before="20" w:after="20" w:line="276" w:lineRule="auto"/>
              <w:jc w:val="right"/>
              <w:rPr>
                <w:b/>
                <w:bCs/>
                <w:noProof/>
                <w:sz w:val="20"/>
              </w:rPr>
            </w:pPr>
          </w:p>
        </w:tc>
      </w:tr>
      <w:tr w:rsidR="001B6AB1" w:rsidRPr="006918A0" w14:paraId="40C4C19C" w14:textId="77777777" w:rsidTr="00B330E1">
        <w:trPr>
          <w:gridAfter w:val="1"/>
          <w:wAfter w:w="23" w:type="dxa"/>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1CDBE99F" w14:textId="77777777" w:rsidR="001B6AB1" w:rsidRPr="006918A0" w:rsidRDefault="001B6AB1" w:rsidP="00B330E1">
            <w:pPr>
              <w:spacing w:line="276" w:lineRule="auto"/>
              <w:jc w:val="center"/>
              <w:rPr>
                <w:b/>
                <w:noProof/>
              </w:rPr>
            </w:pPr>
            <w:r>
              <w:rPr>
                <w:noProof/>
              </w:rPr>
              <w:t xml:space="preserve">Verotuksen ja tulliliiton </w:t>
            </w:r>
            <w:r>
              <w:rPr>
                <w:b/>
                <w:noProof/>
              </w:rPr>
              <w:t>pääosastonmäärärahat YHTEENSÄ</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B9E4C02" w14:textId="77777777" w:rsidR="001B6AB1" w:rsidRPr="006918A0" w:rsidRDefault="001B6AB1" w:rsidP="00B330E1">
            <w:pPr>
              <w:spacing w:line="276" w:lineRule="auto"/>
              <w:rPr>
                <w:noProof/>
                <w:sz w:val="18"/>
              </w:rPr>
            </w:pPr>
            <w:r>
              <w:rPr>
                <w:noProof/>
                <w:sz w:val="18"/>
              </w:rPr>
              <w:t>Sitoumukset</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42D6BAFF" w14:textId="77777777" w:rsidR="001B6AB1" w:rsidRPr="006918A0" w:rsidRDefault="001B6AB1" w:rsidP="00B330E1">
            <w:pPr>
              <w:spacing w:line="276" w:lineRule="auto"/>
              <w:jc w:val="center"/>
              <w:rPr>
                <w:noProof/>
                <w:sz w:val="14"/>
              </w:rPr>
            </w:pPr>
            <w:r>
              <w:rPr>
                <w:noProof/>
                <w:sz w:val="14"/>
              </w:rPr>
              <w:t>=1a+1b +3</w:t>
            </w:r>
          </w:p>
        </w:tc>
        <w:tc>
          <w:tcPr>
            <w:tcW w:w="868" w:type="dxa"/>
            <w:tcBorders>
              <w:top w:val="single" w:sz="4" w:space="0" w:color="auto"/>
              <w:left w:val="single" w:sz="4" w:space="0" w:color="auto"/>
              <w:bottom w:val="single" w:sz="4" w:space="0" w:color="auto"/>
              <w:right w:val="single" w:sz="4" w:space="0" w:color="auto"/>
            </w:tcBorders>
            <w:hideMark/>
          </w:tcPr>
          <w:p w14:paraId="42D0B369" w14:textId="77777777" w:rsidR="001B6AB1" w:rsidRPr="006918A0" w:rsidRDefault="001B6AB1" w:rsidP="00B330E1">
            <w:pPr>
              <w:spacing w:before="20" w:after="20" w:line="276" w:lineRule="auto"/>
              <w:jc w:val="right"/>
              <w:rPr>
                <w:noProof/>
                <w:sz w:val="20"/>
              </w:rPr>
            </w:pPr>
            <w:r>
              <w:rPr>
                <w:noProof/>
                <w:sz w:val="20"/>
              </w:rPr>
              <w:t>0,150</w:t>
            </w:r>
          </w:p>
        </w:tc>
        <w:tc>
          <w:tcPr>
            <w:tcW w:w="868" w:type="dxa"/>
            <w:tcBorders>
              <w:top w:val="single" w:sz="4" w:space="0" w:color="auto"/>
              <w:left w:val="single" w:sz="4" w:space="0" w:color="auto"/>
              <w:bottom w:val="single" w:sz="4" w:space="0" w:color="auto"/>
              <w:right w:val="single" w:sz="4" w:space="0" w:color="auto"/>
            </w:tcBorders>
            <w:hideMark/>
          </w:tcPr>
          <w:p w14:paraId="5B7F96C3" w14:textId="77777777" w:rsidR="001B6AB1" w:rsidRPr="006918A0" w:rsidRDefault="001B6AB1" w:rsidP="00B330E1">
            <w:pPr>
              <w:spacing w:before="20" w:after="20" w:line="276" w:lineRule="auto"/>
              <w:jc w:val="right"/>
              <w:rPr>
                <w:noProof/>
                <w:sz w:val="20"/>
              </w:rPr>
            </w:pPr>
            <w:r>
              <w:rPr>
                <w:noProof/>
                <w:sz w:val="20"/>
              </w:rPr>
              <w:t>0,400</w:t>
            </w:r>
          </w:p>
        </w:tc>
        <w:tc>
          <w:tcPr>
            <w:tcW w:w="868" w:type="dxa"/>
            <w:tcBorders>
              <w:top w:val="single" w:sz="4" w:space="0" w:color="auto"/>
              <w:left w:val="single" w:sz="4" w:space="0" w:color="auto"/>
              <w:bottom w:val="single" w:sz="4" w:space="0" w:color="auto"/>
              <w:right w:val="single" w:sz="4" w:space="0" w:color="auto"/>
            </w:tcBorders>
            <w:hideMark/>
          </w:tcPr>
          <w:p w14:paraId="48C7ABF4" w14:textId="77777777" w:rsidR="001B6AB1" w:rsidRPr="006918A0" w:rsidRDefault="001B6AB1" w:rsidP="00B330E1">
            <w:pPr>
              <w:spacing w:before="20" w:after="20" w:line="276" w:lineRule="auto"/>
              <w:jc w:val="right"/>
              <w:rPr>
                <w:noProof/>
                <w:sz w:val="20"/>
              </w:rPr>
            </w:pPr>
            <w:r>
              <w:rPr>
                <w:noProof/>
                <w:sz w:val="20"/>
              </w:rPr>
              <w:t>0,200</w:t>
            </w:r>
          </w:p>
        </w:tc>
        <w:tc>
          <w:tcPr>
            <w:tcW w:w="868" w:type="dxa"/>
            <w:tcBorders>
              <w:top w:val="single" w:sz="4" w:space="0" w:color="auto"/>
              <w:left w:val="single" w:sz="4" w:space="0" w:color="auto"/>
              <w:bottom w:val="single" w:sz="4" w:space="0" w:color="auto"/>
              <w:right w:val="single" w:sz="4" w:space="0" w:color="auto"/>
            </w:tcBorders>
            <w:hideMark/>
          </w:tcPr>
          <w:p w14:paraId="2F1C85CF" w14:textId="77777777" w:rsidR="001B6AB1" w:rsidRPr="006918A0" w:rsidRDefault="001B6AB1" w:rsidP="00B330E1">
            <w:pPr>
              <w:spacing w:before="20" w:after="20" w:line="276" w:lineRule="auto"/>
              <w:jc w:val="right"/>
              <w:rPr>
                <w:noProof/>
                <w:sz w:val="20"/>
              </w:rPr>
            </w:pPr>
            <w:r>
              <w:rPr>
                <w:noProof/>
                <w:sz w:val="20"/>
              </w:rPr>
              <w:t>0,330</w:t>
            </w:r>
          </w:p>
        </w:tc>
        <w:tc>
          <w:tcPr>
            <w:tcW w:w="868" w:type="dxa"/>
            <w:tcBorders>
              <w:top w:val="single" w:sz="4" w:space="0" w:color="auto"/>
              <w:left w:val="single" w:sz="4" w:space="0" w:color="auto"/>
              <w:bottom w:val="single" w:sz="4" w:space="0" w:color="auto"/>
              <w:right w:val="single" w:sz="4" w:space="0" w:color="auto"/>
            </w:tcBorders>
            <w:hideMark/>
          </w:tcPr>
          <w:p w14:paraId="74462BB1" w14:textId="77777777" w:rsidR="001B6AB1" w:rsidRPr="006918A0" w:rsidRDefault="001B6AB1" w:rsidP="00B330E1">
            <w:pPr>
              <w:spacing w:before="20" w:after="20" w:line="276" w:lineRule="auto"/>
              <w:jc w:val="right"/>
              <w:rPr>
                <w:noProof/>
                <w:sz w:val="20"/>
              </w:rPr>
            </w:pPr>
            <w:r>
              <w:rPr>
                <w:noProof/>
                <w:sz w:val="20"/>
              </w:rPr>
              <w:t>0,180</w:t>
            </w:r>
          </w:p>
        </w:tc>
        <w:tc>
          <w:tcPr>
            <w:tcW w:w="868" w:type="dxa"/>
            <w:tcBorders>
              <w:top w:val="single" w:sz="4" w:space="0" w:color="auto"/>
              <w:left w:val="single" w:sz="4" w:space="0" w:color="auto"/>
              <w:bottom w:val="single" w:sz="4" w:space="0" w:color="auto"/>
              <w:right w:val="single" w:sz="4" w:space="0" w:color="auto"/>
            </w:tcBorders>
          </w:tcPr>
          <w:p w14:paraId="430708CE" w14:textId="77777777" w:rsidR="001B6AB1" w:rsidRPr="006918A0" w:rsidRDefault="001B6AB1" w:rsidP="00B330E1">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7FE9A910" w14:textId="77777777" w:rsidR="001B6AB1" w:rsidRPr="006918A0" w:rsidRDefault="001B6AB1" w:rsidP="00B330E1">
            <w:pPr>
              <w:spacing w:before="20" w:after="20" w:line="276" w:lineRule="auto"/>
              <w:jc w:val="right"/>
              <w:rPr>
                <w:noProof/>
                <w:sz w:val="20"/>
              </w:rPr>
            </w:pPr>
          </w:p>
        </w:tc>
        <w:tc>
          <w:tcPr>
            <w:tcW w:w="2099" w:type="dxa"/>
            <w:tcBorders>
              <w:top w:val="single" w:sz="4" w:space="0" w:color="auto"/>
              <w:left w:val="single" w:sz="4" w:space="0" w:color="auto"/>
              <w:bottom w:val="single" w:sz="4" w:space="0" w:color="auto"/>
              <w:right w:val="single" w:sz="4" w:space="0" w:color="auto"/>
            </w:tcBorders>
            <w:hideMark/>
          </w:tcPr>
          <w:p w14:paraId="4207D009" w14:textId="77777777" w:rsidR="001B6AB1" w:rsidRPr="006918A0" w:rsidRDefault="001B6AB1" w:rsidP="00B330E1">
            <w:pPr>
              <w:spacing w:before="20" w:after="20" w:line="276" w:lineRule="auto"/>
              <w:jc w:val="right"/>
              <w:rPr>
                <w:b/>
                <w:bCs/>
                <w:noProof/>
                <w:sz w:val="20"/>
              </w:rPr>
            </w:pPr>
            <w:r>
              <w:rPr>
                <w:b/>
                <w:noProof/>
                <w:sz w:val="20"/>
              </w:rPr>
              <w:t>1,26</w:t>
            </w:r>
          </w:p>
        </w:tc>
      </w:tr>
      <w:tr w:rsidR="001B6AB1" w:rsidRPr="006918A0" w14:paraId="7964AE47" w14:textId="77777777" w:rsidTr="00B330E1">
        <w:trPr>
          <w:gridAfter w:val="1"/>
          <w:wAfter w:w="23" w:type="dxa"/>
        </w:trPr>
        <w:tc>
          <w:tcPr>
            <w:tcW w:w="3960" w:type="dxa"/>
            <w:vMerge/>
            <w:tcBorders>
              <w:top w:val="single" w:sz="4" w:space="0" w:color="auto"/>
              <w:left w:val="single" w:sz="4" w:space="0" w:color="auto"/>
              <w:bottom w:val="single" w:sz="4" w:space="0" w:color="auto"/>
              <w:right w:val="single" w:sz="4" w:space="0" w:color="auto"/>
            </w:tcBorders>
            <w:vAlign w:val="center"/>
            <w:hideMark/>
          </w:tcPr>
          <w:p w14:paraId="57445D6E" w14:textId="77777777" w:rsidR="001B6AB1" w:rsidRPr="006918A0" w:rsidRDefault="001B6AB1" w:rsidP="00B330E1">
            <w:pPr>
              <w:spacing w:before="0" w:after="0" w:line="276" w:lineRule="auto"/>
              <w:jc w:val="left"/>
              <w:rPr>
                <w:b/>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74C1240B" w14:textId="77777777" w:rsidR="001B6AB1" w:rsidRPr="006918A0" w:rsidRDefault="001B6AB1" w:rsidP="00B330E1">
            <w:pPr>
              <w:spacing w:line="276" w:lineRule="auto"/>
              <w:rPr>
                <w:noProof/>
                <w:sz w:val="18"/>
              </w:rPr>
            </w:pPr>
            <w:r>
              <w:rPr>
                <w:noProof/>
                <w:sz w:val="18"/>
              </w:rPr>
              <w:t>Maksut</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3090A718" w14:textId="77777777" w:rsidR="001B6AB1" w:rsidRPr="006918A0" w:rsidRDefault="001B6AB1" w:rsidP="00B330E1">
            <w:pPr>
              <w:spacing w:line="276" w:lineRule="auto"/>
              <w:jc w:val="center"/>
              <w:rPr>
                <w:noProof/>
                <w:sz w:val="14"/>
              </w:rPr>
            </w:pPr>
            <w:r>
              <w:rPr>
                <w:noProof/>
                <w:sz w:val="14"/>
              </w:rPr>
              <w:t>=2a+ 2b+ 3</w:t>
            </w:r>
          </w:p>
        </w:tc>
        <w:tc>
          <w:tcPr>
            <w:tcW w:w="868" w:type="dxa"/>
            <w:tcBorders>
              <w:top w:val="single" w:sz="4" w:space="0" w:color="auto"/>
              <w:left w:val="single" w:sz="4" w:space="0" w:color="auto"/>
              <w:bottom w:val="single" w:sz="4" w:space="0" w:color="auto"/>
              <w:right w:val="single" w:sz="4" w:space="0" w:color="auto"/>
            </w:tcBorders>
          </w:tcPr>
          <w:p w14:paraId="3867092E" w14:textId="77777777" w:rsidR="001B6AB1" w:rsidRPr="006918A0" w:rsidRDefault="001B6AB1" w:rsidP="00B330E1">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hideMark/>
          </w:tcPr>
          <w:p w14:paraId="63D7EBCC" w14:textId="77777777" w:rsidR="001B6AB1" w:rsidRPr="006918A0" w:rsidRDefault="001B6AB1" w:rsidP="00B330E1">
            <w:pPr>
              <w:spacing w:before="20" w:after="20" w:line="276" w:lineRule="auto"/>
              <w:jc w:val="right"/>
              <w:rPr>
                <w:noProof/>
                <w:sz w:val="20"/>
              </w:rPr>
            </w:pPr>
            <w:r>
              <w:rPr>
                <w:noProof/>
                <w:sz w:val="20"/>
              </w:rPr>
              <w:t>0,150</w:t>
            </w:r>
          </w:p>
        </w:tc>
        <w:tc>
          <w:tcPr>
            <w:tcW w:w="868" w:type="dxa"/>
            <w:tcBorders>
              <w:top w:val="single" w:sz="4" w:space="0" w:color="auto"/>
              <w:left w:val="single" w:sz="4" w:space="0" w:color="auto"/>
              <w:bottom w:val="single" w:sz="4" w:space="0" w:color="auto"/>
              <w:right w:val="single" w:sz="4" w:space="0" w:color="auto"/>
            </w:tcBorders>
            <w:hideMark/>
          </w:tcPr>
          <w:p w14:paraId="6D7DD2E3" w14:textId="77777777" w:rsidR="001B6AB1" w:rsidRPr="006918A0" w:rsidRDefault="001B6AB1" w:rsidP="00B330E1">
            <w:pPr>
              <w:spacing w:before="20" w:after="20" w:line="276" w:lineRule="auto"/>
              <w:jc w:val="right"/>
              <w:rPr>
                <w:noProof/>
                <w:sz w:val="20"/>
              </w:rPr>
            </w:pPr>
            <w:r>
              <w:rPr>
                <w:noProof/>
                <w:sz w:val="20"/>
              </w:rPr>
              <w:t>0,400</w:t>
            </w:r>
          </w:p>
        </w:tc>
        <w:tc>
          <w:tcPr>
            <w:tcW w:w="868" w:type="dxa"/>
            <w:tcBorders>
              <w:top w:val="single" w:sz="4" w:space="0" w:color="auto"/>
              <w:left w:val="single" w:sz="4" w:space="0" w:color="auto"/>
              <w:bottom w:val="single" w:sz="4" w:space="0" w:color="auto"/>
              <w:right w:val="single" w:sz="4" w:space="0" w:color="auto"/>
            </w:tcBorders>
            <w:hideMark/>
          </w:tcPr>
          <w:p w14:paraId="0F10503E" w14:textId="77777777" w:rsidR="001B6AB1" w:rsidRPr="006918A0" w:rsidRDefault="001B6AB1" w:rsidP="00B330E1">
            <w:pPr>
              <w:spacing w:before="20" w:after="20" w:line="276" w:lineRule="auto"/>
              <w:jc w:val="right"/>
              <w:rPr>
                <w:noProof/>
                <w:sz w:val="20"/>
              </w:rPr>
            </w:pPr>
            <w:r>
              <w:rPr>
                <w:noProof/>
                <w:sz w:val="20"/>
              </w:rPr>
              <w:t>0,200</w:t>
            </w:r>
          </w:p>
        </w:tc>
        <w:tc>
          <w:tcPr>
            <w:tcW w:w="868" w:type="dxa"/>
            <w:tcBorders>
              <w:top w:val="single" w:sz="4" w:space="0" w:color="auto"/>
              <w:left w:val="single" w:sz="4" w:space="0" w:color="auto"/>
              <w:bottom w:val="single" w:sz="4" w:space="0" w:color="auto"/>
              <w:right w:val="single" w:sz="4" w:space="0" w:color="auto"/>
            </w:tcBorders>
            <w:hideMark/>
          </w:tcPr>
          <w:p w14:paraId="7FE32513" w14:textId="77777777" w:rsidR="001B6AB1" w:rsidRPr="006918A0" w:rsidRDefault="001B6AB1" w:rsidP="00B330E1">
            <w:pPr>
              <w:spacing w:before="20" w:after="20" w:line="276" w:lineRule="auto"/>
              <w:jc w:val="right"/>
              <w:rPr>
                <w:noProof/>
                <w:sz w:val="20"/>
              </w:rPr>
            </w:pPr>
            <w:r>
              <w:rPr>
                <w:noProof/>
                <w:sz w:val="20"/>
              </w:rPr>
              <w:t>0,330</w:t>
            </w:r>
          </w:p>
        </w:tc>
        <w:tc>
          <w:tcPr>
            <w:tcW w:w="868" w:type="dxa"/>
            <w:tcBorders>
              <w:top w:val="single" w:sz="4" w:space="0" w:color="auto"/>
              <w:left w:val="single" w:sz="4" w:space="0" w:color="auto"/>
              <w:bottom w:val="single" w:sz="4" w:space="0" w:color="auto"/>
              <w:right w:val="single" w:sz="4" w:space="0" w:color="auto"/>
            </w:tcBorders>
            <w:hideMark/>
          </w:tcPr>
          <w:p w14:paraId="48123FD7" w14:textId="77777777" w:rsidR="001B6AB1" w:rsidRPr="006918A0" w:rsidRDefault="001B6AB1" w:rsidP="00B330E1">
            <w:pPr>
              <w:spacing w:before="20" w:after="20" w:line="276" w:lineRule="auto"/>
              <w:jc w:val="right"/>
              <w:rPr>
                <w:noProof/>
                <w:sz w:val="20"/>
              </w:rPr>
            </w:pPr>
            <w:r>
              <w:rPr>
                <w:noProof/>
                <w:sz w:val="20"/>
              </w:rPr>
              <w:t>0,180</w:t>
            </w:r>
          </w:p>
        </w:tc>
        <w:tc>
          <w:tcPr>
            <w:tcW w:w="868" w:type="dxa"/>
            <w:tcBorders>
              <w:top w:val="single" w:sz="4" w:space="0" w:color="auto"/>
              <w:left w:val="single" w:sz="4" w:space="0" w:color="auto"/>
              <w:bottom w:val="single" w:sz="4" w:space="0" w:color="auto"/>
              <w:right w:val="single" w:sz="4" w:space="0" w:color="auto"/>
            </w:tcBorders>
          </w:tcPr>
          <w:p w14:paraId="7F27F158" w14:textId="77777777" w:rsidR="001B6AB1" w:rsidRPr="006918A0" w:rsidRDefault="001B6AB1" w:rsidP="00B330E1">
            <w:pPr>
              <w:spacing w:before="20" w:after="20" w:line="276" w:lineRule="auto"/>
              <w:jc w:val="right"/>
              <w:rPr>
                <w:noProof/>
                <w:sz w:val="20"/>
              </w:rPr>
            </w:pPr>
          </w:p>
        </w:tc>
        <w:tc>
          <w:tcPr>
            <w:tcW w:w="2099" w:type="dxa"/>
            <w:tcBorders>
              <w:top w:val="single" w:sz="4" w:space="0" w:color="auto"/>
              <w:left w:val="single" w:sz="4" w:space="0" w:color="auto"/>
              <w:bottom w:val="single" w:sz="4" w:space="0" w:color="auto"/>
              <w:right w:val="single" w:sz="4" w:space="0" w:color="auto"/>
            </w:tcBorders>
            <w:hideMark/>
          </w:tcPr>
          <w:p w14:paraId="3A62BFCB" w14:textId="77777777" w:rsidR="001B6AB1" w:rsidRPr="006918A0" w:rsidRDefault="001B6AB1" w:rsidP="00B330E1">
            <w:pPr>
              <w:spacing w:before="20" w:after="20" w:line="276" w:lineRule="auto"/>
              <w:jc w:val="right"/>
              <w:rPr>
                <w:b/>
                <w:bCs/>
                <w:noProof/>
                <w:sz w:val="20"/>
              </w:rPr>
            </w:pPr>
            <w:r>
              <w:rPr>
                <w:b/>
                <w:noProof/>
                <w:sz w:val="20"/>
              </w:rPr>
              <w:t>1,26</w:t>
            </w:r>
          </w:p>
        </w:tc>
      </w:tr>
    </w:tbl>
    <w:p w14:paraId="267ECA56" w14:textId="77777777" w:rsidR="001B6AB1" w:rsidRPr="006918A0" w:rsidRDefault="001B6AB1" w:rsidP="001B6AB1">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B6AB1" w:rsidRPr="006918A0" w14:paraId="5C42AD2A" w14:textId="77777777" w:rsidTr="00B330E1">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6925187C" w14:textId="77777777" w:rsidR="001B6AB1" w:rsidRPr="006918A0" w:rsidRDefault="001B6AB1" w:rsidP="00B330E1">
            <w:pPr>
              <w:spacing w:before="60" w:after="60" w:line="276" w:lineRule="auto"/>
              <w:jc w:val="center"/>
              <w:rPr>
                <w:b/>
                <w:noProof/>
              </w:rPr>
            </w:pPr>
            <w:r>
              <w:rPr>
                <w:noProof/>
              </w:rPr>
              <w:br w:type="page"/>
            </w:r>
            <w:r>
              <w:rPr>
                <w:b/>
                <w:noProof/>
              </w:rPr>
              <w:t xml:space="preserve">Monivuotisen rahoituskehyksen otsake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4F2945AE" w14:textId="77777777" w:rsidR="001B6AB1" w:rsidRPr="006918A0" w:rsidRDefault="001B6AB1" w:rsidP="00B330E1">
            <w:pPr>
              <w:spacing w:before="60" w:after="60" w:line="276" w:lineRule="auto"/>
              <w:jc w:val="center"/>
              <w:rPr>
                <w:noProof/>
              </w:rPr>
            </w:pPr>
            <w:r>
              <w:rPr>
                <w:b/>
                <w:noProof/>
              </w:rPr>
              <w:t>7</w:t>
            </w:r>
          </w:p>
        </w:tc>
        <w:tc>
          <w:tcPr>
            <w:tcW w:w="7817" w:type="dxa"/>
            <w:tcBorders>
              <w:top w:val="single" w:sz="4" w:space="0" w:color="auto"/>
              <w:left w:val="single" w:sz="4" w:space="0" w:color="auto"/>
              <w:bottom w:val="single" w:sz="4" w:space="0" w:color="auto"/>
              <w:right w:val="single" w:sz="4" w:space="0" w:color="auto"/>
            </w:tcBorders>
            <w:vAlign w:val="center"/>
            <w:hideMark/>
          </w:tcPr>
          <w:p w14:paraId="7D630EFB" w14:textId="77777777" w:rsidR="001B6AB1" w:rsidRPr="006918A0" w:rsidRDefault="001B6AB1" w:rsidP="00B330E1">
            <w:pPr>
              <w:spacing w:before="60" w:after="60" w:line="276" w:lineRule="auto"/>
              <w:rPr>
                <w:noProof/>
              </w:rPr>
            </w:pPr>
            <w:r>
              <w:rPr>
                <w:noProof/>
              </w:rPr>
              <w:t>”Hallintomenot”</w:t>
            </w:r>
          </w:p>
        </w:tc>
      </w:tr>
    </w:tbl>
    <w:p w14:paraId="04FA1960" w14:textId="77777777" w:rsidR="001B6AB1" w:rsidRPr="006918A0" w:rsidRDefault="001B6AB1" w:rsidP="001B6AB1">
      <w:pPr>
        <w:jc w:val="left"/>
        <w:rPr>
          <w:noProof/>
          <w:sz w:val="20"/>
        </w:rPr>
      </w:pPr>
      <w:r>
        <w:rPr>
          <w:noProof/>
        </w:rPr>
        <w:t xml:space="preserve">Tämän osan täyttämisessä on käytettävä </w:t>
      </w:r>
      <w:hyperlink r:id="rId17" w:history="1">
        <w:r>
          <w:rPr>
            <w:noProof/>
            <w:color w:val="0000FF"/>
            <w:u w:val="single"/>
          </w:rPr>
          <w:t>rahoitusselvityksen liitteessä</w:t>
        </w:r>
      </w:hyperlink>
      <w:r>
        <w:rPr>
          <w:noProof/>
        </w:rPr>
        <w:t xml:space="preserve"> (sisäisten sääntöjen liite V) olevaa hallintomäärärahoja koskevaa selvitystä, joka on laadittava ennen rahoitusselvityksen laatimista. Liite ladataan DECIDE-tietokantaan komission sisäistä lausuntokierrosta varten.</w:t>
      </w:r>
    </w:p>
    <w:p w14:paraId="09AC27AF" w14:textId="77777777" w:rsidR="001B6AB1" w:rsidRPr="006918A0" w:rsidRDefault="001B6AB1" w:rsidP="001B6AB1">
      <w:pPr>
        <w:jc w:val="right"/>
        <w:rPr>
          <w:noProof/>
          <w:sz w:val="20"/>
        </w:rPr>
      </w:pPr>
      <w:r>
        <w:rPr>
          <w:noProof/>
          <w:sz w:val="20"/>
        </w:rPr>
        <w:t>milj. euroa (kolmen desimaalin tarkkuudella)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1565"/>
        <w:gridCol w:w="498"/>
        <w:gridCol w:w="1133"/>
        <w:gridCol w:w="1278"/>
        <w:gridCol w:w="1133"/>
        <w:gridCol w:w="1107"/>
        <w:gridCol w:w="1161"/>
        <w:gridCol w:w="2337"/>
      </w:tblGrid>
      <w:tr w:rsidR="001B6AB1" w:rsidRPr="006918A0" w14:paraId="00972899" w14:textId="77777777" w:rsidTr="00B330E1">
        <w:tc>
          <w:tcPr>
            <w:tcW w:w="1417" w:type="pct"/>
            <w:tcBorders>
              <w:top w:val="nil"/>
              <w:left w:val="nil"/>
              <w:bottom w:val="single" w:sz="4" w:space="0" w:color="auto"/>
              <w:right w:val="nil"/>
            </w:tcBorders>
            <w:vAlign w:val="center"/>
          </w:tcPr>
          <w:p w14:paraId="2C7B13B5" w14:textId="77777777" w:rsidR="001B6AB1" w:rsidRPr="006918A0" w:rsidRDefault="001B6AB1" w:rsidP="00B330E1">
            <w:pPr>
              <w:spacing w:line="276" w:lineRule="auto"/>
              <w:jc w:val="center"/>
              <w:rPr>
                <w:noProof/>
              </w:rPr>
            </w:pPr>
            <w:bookmarkStart w:id="19" w:name="_Hlk114153140"/>
          </w:p>
        </w:tc>
        <w:tc>
          <w:tcPr>
            <w:tcW w:w="558" w:type="pct"/>
            <w:tcBorders>
              <w:top w:val="nil"/>
              <w:left w:val="nil"/>
              <w:bottom w:val="single" w:sz="4" w:space="0" w:color="auto"/>
              <w:right w:val="nil"/>
            </w:tcBorders>
          </w:tcPr>
          <w:p w14:paraId="08AFC3E6" w14:textId="77777777" w:rsidR="001B6AB1" w:rsidRPr="006918A0" w:rsidRDefault="001B6AB1" w:rsidP="00B330E1">
            <w:pPr>
              <w:spacing w:line="276" w:lineRule="auto"/>
              <w:jc w:val="center"/>
              <w:rPr>
                <w:noProof/>
              </w:rPr>
            </w:pPr>
          </w:p>
        </w:tc>
        <w:tc>
          <w:tcPr>
            <w:tcW w:w="182" w:type="pct"/>
            <w:tcBorders>
              <w:top w:val="nil"/>
              <w:left w:val="nil"/>
              <w:bottom w:val="single" w:sz="4" w:space="0" w:color="auto"/>
              <w:right w:val="single" w:sz="4" w:space="0" w:color="auto"/>
            </w:tcBorders>
          </w:tcPr>
          <w:p w14:paraId="59FB0A6C" w14:textId="77777777" w:rsidR="001B6AB1" w:rsidRPr="006918A0" w:rsidRDefault="001B6AB1" w:rsidP="00B330E1">
            <w:pPr>
              <w:spacing w:line="276" w:lineRule="auto"/>
              <w:jc w:val="center"/>
              <w:rPr>
                <w:noProof/>
              </w:rPr>
            </w:pPr>
          </w:p>
        </w:tc>
        <w:tc>
          <w:tcPr>
            <w:tcW w:w="406" w:type="pct"/>
            <w:tcBorders>
              <w:top w:val="single" w:sz="4" w:space="0" w:color="auto"/>
              <w:left w:val="single" w:sz="4" w:space="0" w:color="auto"/>
              <w:bottom w:val="single" w:sz="4" w:space="0" w:color="auto"/>
              <w:right w:val="single" w:sz="4" w:space="0" w:color="auto"/>
            </w:tcBorders>
            <w:vAlign w:val="center"/>
            <w:hideMark/>
          </w:tcPr>
          <w:p w14:paraId="0ECBB019" w14:textId="77777777" w:rsidR="001B6AB1" w:rsidRPr="006918A0" w:rsidRDefault="001B6AB1" w:rsidP="00B330E1">
            <w:pPr>
              <w:spacing w:line="276" w:lineRule="auto"/>
              <w:jc w:val="center"/>
              <w:rPr>
                <w:noProof/>
              </w:rPr>
            </w:pPr>
            <w:r>
              <w:rPr>
                <w:noProof/>
              </w:rPr>
              <w:t>2023</w:t>
            </w:r>
          </w:p>
        </w:tc>
        <w:tc>
          <w:tcPr>
            <w:tcW w:w="457" w:type="pct"/>
            <w:tcBorders>
              <w:top w:val="single" w:sz="4" w:space="0" w:color="auto"/>
              <w:left w:val="single" w:sz="4" w:space="0" w:color="auto"/>
              <w:bottom w:val="single" w:sz="4" w:space="0" w:color="auto"/>
              <w:right w:val="single" w:sz="4" w:space="0" w:color="auto"/>
            </w:tcBorders>
            <w:vAlign w:val="center"/>
            <w:hideMark/>
          </w:tcPr>
          <w:p w14:paraId="372F60E9" w14:textId="77777777" w:rsidR="001B6AB1" w:rsidRPr="006918A0" w:rsidRDefault="001B6AB1" w:rsidP="00B330E1">
            <w:pPr>
              <w:spacing w:line="276" w:lineRule="auto"/>
              <w:jc w:val="center"/>
              <w:rPr>
                <w:noProof/>
              </w:rPr>
            </w:pPr>
            <w:r>
              <w:rPr>
                <w:noProof/>
              </w:rPr>
              <w:t>2024</w:t>
            </w:r>
          </w:p>
        </w:tc>
        <w:tc>
          <w:tcPr>
            <w:tcW w:w="406" w:type="pct"/>
            <w:tcBorders>
              <w:top w:val="single" w:sz="4" w:space="0" w:color="auto"/>
              <w:left w:val="single" w:sz="4" w:space="0" w:color="auto"/>
              <w:bottom w:val="single" w:sz="4" w:space="0" w:color="auto"/>
              <w:right w:val="single" w:sz="4" w:space="0" w:color="auto"/>
            </w:tcBorders>
            <w:vAlign w:val="center"/>
            <w:hideMark/>
          </w:tcPr>
          <w:p w14:paraId="2FA59C78" w14:textId="77777777" w:rsidR="001B6AB1" w:rsidRPr="006918A0" w:rsidRDefault="001B6AB1" w:rsidP="00B330E1">
            <w:pPr>
              <w:spacing w:line="276" w:lineRule="auto"/>
              <w:jc w:val="center"/>
              <w:rPr>
                <w:noProof/>
              </w:rPr>
            </w:pPr>
            <w:r>
              <w:rPr>
                <w:noProof/>
              </w:rPr>
              <w:t>2025</w:t>
            </w:r>
          </w:p>
        </w:tc>
        <w:tc>
          <w:tcPr>
            <w:tcW w:w="397" w:type="pct"/>
            <w:tcBorders>
              <w:top w:val="single" w:sz="4" w:space="0" w:color="auto"/>
              <w:left w:val="single" w:sz="4" w:space="0" w:color="auto"/>
              <w:bottom w:val="single" w:sz="4" w:space="0" w:color="auto"/>
              <w:right w:val="single" w:sz="4" w:space="0" w:color="auto"/>
            </w:tcBorders>
            <w:vAlign w:val="center"/>
            <w:hideMark/>
          </w:tcPr>
          <w:p w14:paraId="7F70688E" w14:textId="77777777" w:rsidR="001B6AB1" w:rsidRPr="006918A0" w:rsidRDefault="001B6AB1" w:rsidP="00B330E1">
            <w:pPr>
              <w:spacing w:line="276" w:lineRule="auto"/>
              <w:jc w:val="center"/>
              <w:rPr>
                <w:noProof/>
              </w:rPr>
            </w:pPr>
            <w:r>
              <w:rPr>
                <w:noProof/>
              </w:rPr>
              <w:t>2026</w:t>
            </w:r>
          </w:p>
        </w:tc>
        <w:tc>
          <w:tcPr>
            <w:tcW w:w="416" w:type="pct"/>
            <w:tcBorders>
              <w:top w:val="single" w:sz="4" w:space="0" w:color="auto"/>
              <w:left w:val="single" w:sz="4" w:space="0" w:color="auto"/>
              <w:bottom w:val="single" w:sz="4" w:space="0" w:color="auto"/>
              <w:right w:val="single" w:sz="4" w:space="0" w:color="auto"/>
            </w:tcBorders>
            <w:vAlign w:val="center"/>
            <w:hideMark/>
          </w:tcPr>
          <w:p w14:paraId="1667FBEF" w14:textId="77777777" w:rsidR="001B6AB1" w:rsidRPr="006918A0" w:rsidRDefault="001B6AB1" w:rsidP="00B330E1">
            <w:pPr>
              <w:spacing w:line="276" w:lineRule="auto"/>
              <w:jc w:val="center"/>
              <w:rPr>
                <w:noProof/>
              </w:rPr>
            </w:pPr>
            <w:r>
              <w:rPr>
                <w:noProof/>
              </w:rPr>
              <w:t>2027</w:t>
            </w:r>
          </w:p>
        </w:tc>
        <w:tc>
          <w:tcPr>
            <w:tcW w:w="761" w:type="pct"/>
            <w:tcBorders>
              <w:top w:val="single" w:sz="4" w:space="0" w:color="auto"/>
              <w:left w:val="single" w:sz="4" w:space="0" w:color="auto"/>
              <w:bottom w:val="single" w:sz="4" w:space="0" w:color="auto"/>
              <w:right w:val="single" w:sz="4" w:space="0" w:color="auto"/>
            </w:tcBorders>
            <w:vAlign w:val="center"/>
            <w:hideMark/>
          </w:tcPr>
          <w:p w14:paraId="2E38CC7A" w14:textId="77777777" w:rsidR="001B6AB1" w:rsidRPr="006918A0" w:rsidRDefault="001B6AB1" w:rsidP="00B330E1">
            <w:pPr>
              <w:spacing w:line="276" w:lineRule="auto"/>
              <w:jc w:val="center"/>
              <w:rPr>
                <w:b/>
                <w:noProof/>
              </w:rPr>
            </w:pPr>
            <w:r>
              <w:rPr>
                <w:b/>
                <w:noProof/>
              </w:rPr>
              <w:t>YHTEENSÄ</w:t>
            </w:r>
          </w:p>
          <w:p w14:paraId="54093731" w14:textId="77777777" w:rsidR="001B6AB1" w:rsidRPr="006918A0" w:rsidRDefault="001B6AB1" w:rsidP="00B330E1">
            <w:pPr>
              <w:spacing w:line="276" w:lineRule="auto"/>
              <w:jc w:val="center"/>
              <w:rPr>
                <w:b/>
                <w:noProof/>
              </w:rPr>
            </w:pPr>
            <w:r>
              <w:rPr>
                <w:b/>
                <w:noProof/>
              </w:rPr>
              <w:t>MONIVUOTINEN RAHOITUSKEHYS 2021–2027</w:t>
            </w:r>
          </w:p>
        </w:tc>
      </w:tr>
      <w:tr w:rsidR="001B6AB1" w:rsidRPr="006918A0" w14:paraId="27FD578C" w14:textId="77777777" w:rsidTr="00B330E1">
        <w:trPr>
          <w:gridAfter w:val="8"/>
          <w:wAfter w:w="3583" w:type="pct"/>
        </w:trPr>
        <w:tc>
          <w:tcPr>
            <w:tcW w:w="1417" w:type="pct"/>
            <w:tcBorders>
              <w:top w:val="single" w:sz="4" w:space="0" w:color="auto"/>
              <w:left w:val="single" w:sz="4" w:space="0" w:color="auto"/>
              <w:bottom w:val="single" w:sz="4" w:space="0" w:color="auto"/>
              <w:right w:val="single" w:sz="4" w:space="0" w:color="auto"/>
            </w:tcBorders>
            <w:vAlign w:val="center"/>
            <w:hideMark/>
          </w:tcPr>
          <w:p w14:paraId="41FD283C" w14:textId="77777777" w:rsidR="001B6AB1" w:rsidRPr="006918A0" w:rsidRDefault="001B6AB1" w:rsidP="00B330E1">
            <w:pPr>
              <w:spacing w:before="60" w:after="60" w:line="276" w:lineRule="auto"/>
              <w:jc w:val="center"/>
              <w:rPr>
                <w:noProof/>
              </w:rPr>
            </w:pPr>
            <w:r>
              <w:rPr>
                <w:noProof/>
              </w:rPr>
              <w:t>Pääosasto: TAXUD</w:t>
            </w:r>
          </w:p>
        </w:tc>
      </w:tr>
      <w:tr w:rsidR="001B6AB1" w:rsidRPr="006918A0" w14:paraId="5D3442E5" w14:textId="77777777" w:rsidTr="00B330E1">
        <w:tc>
          <w:tcPr>
            <w:tcW w:w="2158" w:type="pct"/>
            <w:gridSpan w:val="3"/>
            <w:tcBorders>
              <w:top w:val="single" w:sz="4" w:space="0" w:color="auto"/>
              <w:left w:val="single" w:sz="4" w:space="0" w:color="auto"/>
              <w:bottom w:val="single" w:sz="4" w:space="0" w:color="auto"/>
              <w:right w:val="single" w:sz="4" w:space="0" w:color="auto"/>
            </w:tcBorders>
            <w:vAlign w:val="center"/>
            <w:hideMark/>
          </w:tcPr>
          <w:p w14:paraId="3D145B52" w14:textId="77777777" w:rsidR="001B6AB1" w:rsidRPr="00A83E47" w:rsidRDefault="001B6AB1" w:rsidP="00B330E1">
            <w:pPr>
              <w:spacing w:before="60" w:after="60" w:line="276" w:lineRule="auto"/>
              <w:jc w:val="center"/>
              <w:rPr>
                <w:noProof/>
              </w:rPr>
            </w:pPr>
            <w:r>
              <w:rPr>
                <w:noProof/>
              </w:rPr>
              <w:sym w:font="Wingdings" w:char="F09F"/>
            </w:r>
            <w:r>
              <w:rPr>
                <w:noProof/>
              </w:rPr>
              <w:tab/>
              <w:t>Henkilöresurssit</w:t>
            </w:r>
          </w:p>
        </w:tc>
        <w:tc>
          <w:tcPr>
            <w:tcW w:w="406" w:type="pct"/>
            <w:tcBorders>
              <w:top w:val="single" w:sz="4" w:space="0" w:color="auto"/>
              <w:left w:val="single" w:sz="4" w:space="0" w:color="auto"/>
              <w:bottom w:val="single" w:sz="4" w:space="0" w:color="auto"/>
              <w:right w:val="single" w:sz="4" w:space="0" w:color="auto"/>
            </w:tcBorders>
            <w:vAlign w:val="center"/>
            <w:hideMark/>
          </w:tcPr>
          <w:p w14:paraId="51001AE0" w14:textId="77777777" w:rsidR="001B6AB1" w:rsidRPr="006918A0" w:rsidRDefault="001B6AB1" w:rsidP="00B330E1">
            <w:pPr>
              <w:spacing w:before="60" w:after="60" w:line="276" w:lineRule="auto"/>
              <w:jc w:val="center"/>
              <w:rPr>
                <w:noProof/>
                <w:sz w:val="20"/>
                <w:szCs w:val="20"/>
              </w:rPr>
            </w:pPr>
            <w:r>
              <w:rPr>
                <w:noProof/>
                <w:color w:val="000000"/>
                <w:sz w:val="20"/>
              </w:rPr>
              <w:t>0,118</w:t>
            </w:r>
          </w:p>
        </w:tc>
        <w:tc>
          <w:tcPr>
            <w:tcW w:w="457" w:type="pct"/>
            <w:tcBorders>
              <w:top w:val="single" w:sz="4" w:space="0" w:color="auto"/>
              <w:left w:val="single" w:sz="4" w:space="0" w:color="auto"/>
              <w:bottom w:val="single" w:sz="4" w:space="0" w:color="auto"/>
              <w:right w:val="single" w:sz="4" w:space="0" w:color="auto"/>
            </w:tcBorders>
            <w:vAlign w:val="center"/>
            <w:hideMark/>
          </w:tcPr>
          <w:p w14:paraId="0C13E529" w14:textId="77777777" w:rsidR="001B6AB1" w:rsidRPr="006918A0" w:rsidRDefault="001B6AB1" w:rsidP="00B330E1">
            <w:pPr>
              <w:spacing w:before="60" w:after="60" w:line="276" w:lineRule="auto"/>
              <w:jc w:val="center"/>
              <w:rPr>
                <w:noProof/>
                <w:sz w:val="20"/>
                <w:szCs w:val="20"/>
              </w:rPr>
            </w:pPr>
            <w:r>
              <w:rPr>
                <w:noProof/>
                <w:color w:val="000000"/>
                <w:sz w:val="20"/>
              </w:rPr>
              <w:t>0,157</w:t>
            </w:r>
          </w:p>
        </w:tc>
        <w:tc>
          <w:tcPr>
            <w:tcW w:w="406" w:type="pct"/>
            <w:tcBorders>
              <w:top w:val="single" w:sz="4" w:space="0" w:color="auto"/>
              <w:left w:val="single" w:sz="4" w:space="0" w:color="auto"/>
              <w:bottom w:val="single" w:sz="4" w:space="0" w:color="auto"/>
              <w:right w:val="single" w:sz="4" w:space="0" w:color="auto"/>
            </w:tcBorders>
            <w:vAlign w:val="center"/>
            <w:hideMark/>
          </w:tcPr>
          <w:p w14:paraId="724B0AF1" w14:textId="77777777" w:rsidR="001B6AB1" w:rsidRPr="006918A0" w:rsidRDefault="001B6AB1" w:rsidP="00B330E1">
            <w:pPr>
              <w:spacing w:before="60" w:after="60" w:line="276" w:lineRule="auto"/>
              <w:jc w:val="center"/>
              <w:rPr>
                <w:noProof/>
                <w:sz w:val="20"/>
                <w:szCs w:val="20"/>
              </w:rPr>
            </w:pPr>
            <w:r>
              <w:rPr>
                <w:noProof/>
                <w:color w:val="000000"/>
                <w:sz w:val="20"/>
              </w:rPr>
              <w:t>0,157</w:t>
            </w:r>
          </w:p>
        </w:tc>
        <w:tc>
          <w:tcPr>
            <w:tcW w:w="397" w:type="pct"/>
            <w:tcBorders>
              <w:top w:val="single" w:sz="4" w:space="0" w:color="auto"/>
              <w:left w:val="single" w:sz="4" w:space="0" w:color="auto"/>
              <w:bottom w:val="single" w:sz="4" w:space="0" w:color="auto"/>
              <w:right w:val="single" w:sz="4" w:space="0" w:color="auto"/>
            </w:tcBorders>
            <w:vAlign w:val="center"/>
            <w:hideMark/>
          </w:tcPr>
          <w:p w14:paraId="43EFB078" w14:textId="77777777" w:rsidR="001B6AB1" w:rsidRPr="006918A0" w:rsidRDefault="001B6AB1" w:rsidP="00B330E1">
            <w:pPr>
              <w:spacing w:before="60" w:after="60" w:line="276" w:lineRule="auto"/>
              <w:jc w:val="center"/>
              <w:rPr>
                <w:noProof/>
                <w:sz w:val="20"/>
                <w:szCs w:val="20"/>
              </w:rPr>
            </w:pPr>
            <w:r>
              <w:rPr>
                <w:noProof/>
                <w:color w:val="000000"/>
                <w:sz w:val="20"/>
              </w:rPr>
              <w:t>0,063</w:t>
            </w:r>
          </w:p>
        </w:tc>
        <w:tc>
          <w:tcPr>
            <w:tcW w:w="416" w:type="pct"/>
            <w:tcBorders>
              <w:top w:val="single" w:sz="4" w:space="0" w:color="auto"/>
              <w:left w:val="single" w:sz="4" w:space="0" w:color="auto"/>
              <w:bottom w:val="single" w:sz="4" w:space="0" w:color="auto"/>
              <w:right w:val="single" w:sz="4" w:space="0" w:color="auto"/>
            </w:tcBorders>
            <w:vAlign w:val="center"/>
            <w:hideMark/>
          </w:tcPr>
          <w:p w14:paraId="5D51BB3E" w14:textId="77777777" w:rsidR="001B6AB1" w:rsidRPr="006918A0" w:rsidRDefault="001B6AB1" w:rsidP="00B330E1">
            <w:pPr>
              <w:spacing w:before="60" w:after="60" w:line="276" w:lineRule="auto"/>
              <w:jc w:val="center"/>
              <w:rPr>
                <w:noProof/>
                <w:sz w:val="20"/>
                <w:szCs w:val="20"/>
              </w:rPr>
            </w:pPr>
            <w:r>
              <w:rPr>
                <w:noProof/>
                <w:color w:val="000000"/>
                <w:sz w:val="20"/>
              </w:rPr>
              <w:t>0,016</w:t>
            </w:r>
          </w:p>
        </w:tc>
        <w:tc>
          <w:tcPr>
            <w:tcW w:w="761" w:type="pct"/>
            <w:tcBorders>
              <w:top w:val="single" w:sz="4" w:space="0" w:color="auto"/>
              <w:left w:val="single" w:sz="4" w:space="0" w:color="auto"/>
              <w:bottom w:val="single" w:sz="4" w:space="0" w:color="auto"/>
              <w:right w:val="single" w:sz="4" w:space="0" w:color="auto"/>
            </w:tcBorders>
            <w:vAlign w:val="center"/>
            <w:hideMark/>
          </w:tcPr>
          <w:p w14:paraId="23891696" w14:textId="77777777" w:rsidR="001B6AB1" w:rsidRPr="006918A0" w:rsidRDefault="001B6AB1" w:rsidP="00B330E1">
            <w:pPr>
              <w:spacing w:before="60" w:after="60" w:line="276" w:lineRule="auto"/>
              <w:jc w:val="center"/>
              <w:rPr>
                <w:b/>
                <w:noProof/>
                <w:sz w:val="20"/>
                <w:szCs w:val="20"/>
              </w:rPr>
            </w:pPr>
            <w:r>
              <w:rPr>
                <w:b/>
                <w:noProof/>
                <w:sz w:val="20"/>
              </w:rPr>
              <w:t>0,511</w:t>
            </w:r>
          </w:p>
        </w:tc>
      </w:tr>
      <w:tr w:rsidR="001B6AB1" w:rsidRPr="006918A0" w14:paraId="0E780845" w14:textId="77777777" w:rsidTr="00B330E1">
        <w:trPr>
          <w:trHeight w:val="351"/>
        </w:trPr>
        <w:tc>
          <w:tcPr>
            <w:tcW w:w="2158" w:type="pct"/>
            <w:gridSpan w:val="3"/>
            <w:tcBorders>
              <w:top w:val="single" w:sz="4" w:space="0" w:color="auto"/>
              <w:left w:val="single" w:sz="4" w:space="0" w:color="auto"/>
              <w:bottom w:val="single" w:sz="4" w:space="0" w:color="auto"/>
              <w:right w:val="single" w:sz="4" w:space="0" w:color="auto"/>
            </w:tcBorders>
            <w:vAlign w:val="center"/>
            <w:hideMark/>
          </w:tcPr>
          <w:p w14:paraId="38F73331" w14:textId="77777777" w:rsidR="001B6AB1" w:rsidRPr="006918A0" w:rsidRDefault="001B6AB1" w:rsidP="00B330E1">
            <w:pPr>
              <w:spacing w:before="20" w:after="20" w:line="276" w:lineRule="auto"/>
              <w:jc w:val="center"/>
              <w:rPr>
                <w:noProof/>
              </w:rPr>
            </w:pPr>
            <w:r>
              <w:rPr>
                <w:noProof/>
              </w:rPr>
              <w:sym w:font="Wingdings" w:char="F09F"/>
            </w:r>
            <w:r>
              <w:rPr>
                <w:noProof/>
              </w:rPr>
              <w:tab/>
              <w:t>Muut hallintomenot</w:t>
            </w:r>
          </w:p>
        </w:tc>
        <w:tc>
          <w:tcPr>
            <w:tcW w:w="406" w:type="pct"/>
            <w:tcBorders>
              <w:top w:val="single" w:sz="4" w:space="0" w:color="auto"/>
              <w:left w:val="single" w:sz="4" w:space="0" w:color="auto"/>
              <w:bottom w:val="single" w:sz="4" w:space="0" w:color="auto"/>
              <w:right w:val="single" w:sz="4" w:space="0" w:color="auto"/>
            </w:tcBorders>
            <w:vAlign w:val="center"/>
            <w:hideMark/>
          </w:tcPr>
          <w:p w14:paraId="7E73BD22" w14:textId="77777777" w:rsidR="001B6AB1" w:rsidRPr="006918A0" w:rsidRDefault="001B6AB1" w:rsidP="00B330E1">
            <w:pPr>
              <w:spacing w:before="20" w:after="20" w:line="276" w:lineRule="auto"/>
              <w:jc w:val="center"/>
              <w:rPr>
                <w:noProof/>
                <w:sz w:val="20"/>
                <w:szCs w:val="20"/>
              </w:rPr>
            </w:pPr>
            <w:r>
              <w:rPr>
                <w:noProof/>
                <w:color w:val="000000"/>
                <w:sz w:val="20"/>
              </w:rPr>
              <w:t>0,004</w:t>
            </w:r>
          </w:p>
        </w:tc>
        <w:tc>
          <w:tcPr>
            <w:tcW w:w="457" w:type="pct"/>
            <w:tcBorders>
              <w:top w:val="single" w:sz="4" w:space="0" w:color="auto"/>
              <w:left w:val="single" w:sz="4" w:space="0" w:color="auto"/>
              <w:bottom w:val="single" w:sz="4" w:space="0" w:color="auto"/>
              <w:right w:val="single" w:sz="4" w:space="0" w:color="auto"/>
            </w:tcBorders>
            <w:vAlign w:val="center"/>
            <w:hideMark/>
          </w:tcPr>
          <w:p w14:paraId="392BB57E" w14:textId="77777777" w:rsidR="001B6AB1" w:rsidRPr="006918A0" w:rsidRDefault="001B6AB1" w:rsidP="00B330E1">
            <w:pPr>
              <w:spacing w:before="20" w:after="20" w:line="276" w:lineRule="auto"/>
              <w:jc w:val="center"/>
              <w:rPr>
                <w:noProof/>
                <w:sz w:val="20"/>
                <w:szCs w:val="20"/>
              </w:rPr>
            </w:pPr>
            <w:r>
              <w:rPr>
                <w:noProof/>
                <w:color w:val="000000"/>
                <w:sz w:val="20"/>
              </w:rPr>
              <w:t>0,004</w:t>
            </w:r>
          </w:p>
        </w:tc>
        <w:tc>
          <w:tcPr>
            <w:tcW w:w="406" w:type="pct"/>
            <w:tcBorders>
              <w:top w:val="single" w:sz="4" w:space="0" w:color="auto"/>
              <w:left w:val="single" w:sz="4" w:space="0" w:color="auto"/>
              <w:bottom w:val="single" w:sz="4" w:space="0" w:color="auto"/>
              <w:right w:val="single" w:sz="4" w:space="0" w:color="auto"/>
            </w:tcBorders>
            <w:vAlign w:val="center"/>
            <w:hideMark/>
          </w:tcPr>
          <w:p w14:paraId="5CDE6B3A" w14:textId="77777777" w:rsidR="001B6AB1" w:rsidRPr="006918A0" w:rsidRDefault="001B6AB1" w:rsidP="00B330E1">
            <w:pPr>
              <w:spacing w:before="20" w:after="20" w:line="276" w:lineRule="auto"/>
              <w:jc w:val="center"/>
              <w:rPr>
                <w:noProof/>
                <w:sz w:val="20"/>
                <w:szCs w:val="20"/>
              </w:rPr>
            </w:pPr>
            <w:r>
              <w:rPr>
                <w:noProof/>
                <w:color w:val="000000"/>
                <w:sz w:val="20"/>
              </w:rPr>
              <w:t>0,002</w:t>
            </w:r>
          </w:p>
        </w:tc>
        <w:tc>
          <w:tcPr>
            <w:tcW w:w="397" w:type="pct"/>
            <w:tcBorders>
              <w:top w:val="single" w:sz="4" w:space="0" w:color="auto"/>
              <w:left w:val="single" w:sz="4" w:space="0" w:color="auto"/>
              <w:bottom w:val="single" w:sz="4" w:space="0" w:color="auto"/>
              <w:right w:val="single" w:sz="4" w:space="0" w:color="auto"/>
            </w:tcBorders>
            <w:vAlign w:val="center"/>
            <w:hideMark/>
          </w:tcPr>
          <w:p w14:paraId="5BC482B6" w14:textId="77777777" w:rsidR="001B6AB1" w:rsidRPr="006918A0" w:rsidRDefault="001B6AB1" w:rsidP="00B330E1">
            <w:pPr>
              <w:spacing w:before="20" w:after="20" w:line="276" w:lineRule="auto"/>
              <w:jc w:val="center"/>
              <w:rPr>
                <w:noProof/>
                <w:sz w:val="20"/>
                <w:szCs w:val="20"/>
              </w:rPr>
            </w:pPr>
            <w:r>
              <w:rPr>
                <w:noProof/>
                <w:color w:val="000000"/>
                <w:sz w:val="20"/>
              </w:rPr>
              <w:t>0,002</w:t>
            </w:r>
          </w:p>
        </w:tc>
        <w:tc>
          <w:tcPr>
            <w:tcW w:w="416" w:type="pct"/>
            <w:tcBorders>
              <w:top w:val="single" w:sz="4" w:space="0" w:color="auto"/>
              <w:left w:val="single" w:sz="4" w:space="0" w:color="auto"/>
              <w:bottom w:val="single" w:sz="4" w:space="0" w:color="auto"/>
              <w:right w:val="single" w:sz="4" w:space="0" w:color="auto"/>
            </w:tcBorders>
            <w:vAlign w:val="center"/>
            <w:hideMark/>
          </w:tcPr>
          <w:p w14:paraId="1CD75683" w14:textId="77777777" w:rsidR="001B6AB1" w:rsidRPr="006918A0" w:rsidRDefault="001B6AB1" w:rsidP="00B330E1">
            <w:pPr>
              <w:spacing w:before="20" w:after="20" w:line="276" w:lineRule="auto"/>
              <w:jc w:val="center"/>
              <w:rPr>
                <w:noProof/>
                <w:sz w:val="20"/>
                <w:szCs w:val="20"/>
              </w:rPr>
            </w:pPr>
            <w:r>
              <w:rPr>
                <w:noProof/>
                <w:color w:val="000000"/>
                <w:sz w:val="20"/>
              </w:rPr>
              <w:t>0,001</w:t>
            </w:r>
          </w:p>
        </w:tc>
        <w:tc>
          <w:tcPr>
            <w:tcW w:w="761" w:type="pct"/>
            <w:tcBorders>
              <w:top w:val="single" w:sz="4" w:space="0" w:color="auto"/>
              <w:left w:val="single" w:sz="4" w:space="0" w:color="auto"/>
              <w:bottom w:val="single" w:sz="4" w:space="0" w:color="auto"/>
              <w:right w:val="single" w:sz="4" w:space="0" w:color="auto"/>
            </w:tcBorders>
            <w:vAlign w:val="center"/>
            <w:hideMark/>
          </w:tcPr>
          <w:p w14:paraId="0C1EA3A1" w14:textId="77777777" w:rsidR="001B6AB1" w:rsidRPr="006918A0" w:rsidRDefault="001B6AB1" w:rsidP="00B330E1">
            <w:pPr>
              <w:spacing w:before="20" w:after="20" w:line="276" w:lineRule="auto"/>
              <w:jc w:val="center"/>
              <w:rPr>
                <w:b/>
                <w:noProof/>
                <w:sz w:val="20"/>
                <w:szCs w:val="20"/>
              </w:rPr>
            </w:pPr>
            <w:r>
              <w:rPr>
                <w:b/>
                <w:noProof/>
                <w:sz w:val="20"/>
              </w:rPr>
              <w:t>0,013</w:t>
            </w:r>
          </w:p>
        </w:tc>
      </w:tr>
      <w:tr w:rsidR="001B6AB1" w:rsidRPr="006918A0" w14:paraId="2B32962B" w14:textId="77777777" w:rsidTr="00B330E1">
        <w:tc>
          <w:tcPr>
            <w:tcW w:w="1417" w:type="pct"/>
            <w:tcBorders>
              <w:top w:val="single" w:sz="4" w:space="0" w:color="auto"/>
              <w:left w:val="single" w:sz="4" w:space="0" w:color="auto"/>
              <w:bottom w:val="single" w:sz="4" w:space="0" w:color="auto"/>
              <w:right w:val="single" w:sz="4" w:space="0" w:color="auto"/>
            </w:tcBorders>
            <w:vAlign w:val="center"/>
            <w:hideMark/>
          </w:tcPr>
          <w:p w14:paraId="2DE1FC0F" w14:textId="77777777" w:rsidR="001B6AB1" w:rsidRPr="006918A0" w:rsidRDefault="001B6AB1" w:rsidP="00B330E1">
            <w:pPr>
              <w:spacing w:line="276" w:lineRule="auto"/>
              <w:jc w:val="center"/>
              <w:rPr>
                <w:b/>
                <w:noProof/>
              </w:rPr>
            </w:pPr>
            <w:r>
              <w:rPr>
                <w:b/>
                <w:noProof/>
              </w:rPr>
              <w:t>VEROTUKSEN JA TULLILIITON PÄÄOSASTO YHTEENSÄ</w:t>
            </w:r>
          </w:p>
        </w:tc>
        <w:tc>
          <w:tcPr>
            <w:tcW w:w="741" w:type="pct"/>
            <w:gridSpan w:val="2"/>
            <w:tcBorders>
              <w:top w:val="single" w:sz="4" w:space="0" w:color="auto"/>
              <w:left w:val="single" w:sz="4" w:space="0" w:color="auto"/>
              <w:bottom w:val="single" w:sz="4" w:space="0" w:color="auto"/>
              <w:right w:val="single" w:sz="4" w:space="0" w:color="auto"/>
            </w:tcBorders>
            <w:vAlign w:val="center"/>
            <w:hideMark/>
          </w:tcPr>
          <w:p w14:paraId="518F9FBE" w14:textId="77777777" w:rsidR="001B6AB1" w:rsidRPr="006918A0" w:rsidRDefault="001B6AB1" w:rsidP="00B330E1">
            <w:pPr>
              <w:rPr>
                <w:b/>
                <w:noProof/>
              </w:rPr>
            </w:pPr>
          </w:p>
        </w:tc>
        <w:tc>
          <w:tcPr>
            <w:tcW w:w="406" w:type="pct"/>
            <w:tcBorders>
              <w:top w:val="single" w:sz="4" w:space="0" w:color="auto"/>
              <w:left w:val="single" w:sz="4" w:space="0" w:color="auto"/>
              <w:bottom w:val="single" w:sz="4" w:space="0" w:color="auto"/>
              <w:right w:val="single" w:sz="4" w:space="0" w:color="auto"/>
            </w:tcBorders>
            <w:vAlign w:val="center"/>
            <w:hideMark/>
          </w:tcPr>
          <w:p w14:paraId="0DF02321" w14:textId="77777777" w:rsidR="001B6AB1" w:rsidRPr="006918A0" w:rsidRDefault="001B6AB1" w:rsidP="00B330E1">
            <w:pPr>
              <w:spacing w:before="60" w:after="60" w:line="276" w:lineRule="auto"/>
              <w:jc w:val="center"/>
              <w:rPr>
                <w:noProof/>
                <w:sz w:val="20"/>
                <w:szCs w:val="20"/>
              </w:rPr>
            </w:pPr>
            <w:r>
              <w:rPr>
                <w:noProof/>
                <w:sz w:val="20"/>
              </w:rPr>
              <w:t>0,122</w:t>
            </w:r>
          </w:p>
        </w:tc>
        <w:tc>
          <w:tcPr>
            <w:tcW w:w="457" w:type="pct"/>
            <w:tcBorders>
              <w:top w:val="single" w:sz="4" w:space="0" w:color="auto"/>
              <w:left w:val="single" w:sz="4" w:space="0" w:color="auto"/>
              <w:bottom w:val="single" w:sz="4" w:space="0" w:color="auto"/>
              <w:right w:val="single" w:sz="4" w:space="0" w:color="auto"/>
            </w:tcBorders>
            <w:vAlign w:val="center"/>
            <w:hideMark/>
          </w:tcPr>
          <w:p w14:paraId="50805A11" w14:textId="77777777" w:rsidR="001B6AB1" w:rsidRPr="006918A0" w:rsidRDefault="001B6AB1" w:rsidP="00B330E1">
            <w:pPr>
              <w:spacing w:before="20" w:after="20" w:line="276" w:lineRule="auto"/>
              <w:jc w:val="center"/>
              <w:rPr>
                <w:noProof/>
                <w:sz w:val="20"/>
                <w:szCs w:val="20"/>
              </w:rPr>
            </w:pPr>
            <w:r>
              <w:rPr>
                <w:noProof/>
                <w:sz w:val="20"/>
              </w:rPr>
              <w:t>0,161</w:t>
            </w:r>
          </w:p>
        </w:tc>
        <w:tc>
          <w:tcPr>
            <w:tcW w:w="406" w:type="pct"/>
            <w:tcBorders>
              <w:top w:val="single" w:sz="4" w:space="0" w:color="auto"/>
              <w:left w:val="single" w:sz="4" w:space="0" w:color="auto"/>
              <w:bottom w:val="single" w:sz="4" w:space="0" w:color="auto"/>
              <w:right w:val="single" w:sz="4" w:space="0" w:color="auto"/>
            </w:tcBorders>
            <w:vAlign w:val="center"/>
            <w:hideMark/>
          </w:tcPr>
          <w:p w14:paraId="670C170A" w14:textId="77777777" w:rsidR="001B6AB1" w:rsidRPr="006918A0" w:rsidRDefault="001B6AB1" w:rsidP="00B330E1">
            <w:pPr>
              <w:spacing w:before="20" w:after="20" w:line="276" w:lineRule="auto"/>
              <w:jc w:val="center"/>
              <w:rPr>
                <w:noProof/>
                <w:sz w:val="20"/>
                <w:szCs w:val="20"/>
              </w:rPr>
            </w:pPr>
            <w:r>
              <w:rPr>
                <w:noProof/>
                <w:sz w:val="20"/>
              </w:rPr>
              <w:t>0,159</w:t>
            </w:r>
          </w:p>
        </w:tc>
        <w:tc>
          <w:tcPr>
            <w:tcW w:w="397" w:type="pct"/>
            <w:tcBorders>
              <w:top w:val="single" w:sz="4" w:space="0" w:color="auto"/>
              <w:left w:val="single" w:sz="4" w:space="0" w:color="auto"/>
              <w:bottom w:val="single" w:sz="4" w:space="0" w:color="auto"/>
              <w:right w:val="single" w:sz="4" w:space="0" w:color="auto"/>
            </w:tcBorders>
            <w:vAlign w:val="center"/>
            <w:hideMark/>
          </w:tcPr>
          <w:p w14:paraId="55DCC4CE" w14:textId="77777777" w:rsidR="001B6AB1" w:rsidRPr="006918A0" w:rsidRDefault="001B6AB1" w:rsidP="00B330E1">
            <w:pPr>
              <w:spacing w:before="20" w:after="20" w:line="276" w:lineRule="auto"/>
              <w:jc w:val="center"/>
              <w:rPr>
                <w:noProof/>
                <w:sz w:val="20"/>
                <w:szCs w:val="20"/>
              </w:rPr>
            </w:pPr>
            <w:r>
              <w:rPr>
                <w:noProof/>
                <w:sz w:val="20"/>
              </w:rPr>
              <w:t>0,065</w:t>
            </w:r>
          </w:p>
        </w:tc>
        <w:tc>
          <w:tcPr>
            <w:tcW w:w="416" w:type="pct"/>
            <w:tcBorders>
              <w:top w:val="single" w:sz="4" w:space="0" w:color="auto"/>
              <w:left w:val="single" w:sz="4" w:space="0" w:color="auto"/>
              <w:bottom w:val="single" w:sz="4" w:space="0" w:color="auto"/>
              <w:right w:val="single" w:sz="4" w:space="0" w:color="auto"/>
            </w:tcBorders>
            <w:vAlign w:val="center"/>
            <w:hideMark/>
          </w:tcPr>
          <w:p w14:paraId="1176FB70" w14:textId="77777777" w:rsidR="001B6AB1" w:rsidRPr="006918A0" w:rsidRDefault="001B6AB1" w:rsidP="00B330E1">
            <w:pPr>
              <w:spacing w:before="20" w:after="20" w:line="276" w:lineRule="auto"/>
              <w:jc w:val="center"/>
              <w:rPr>
                <w:noProof/>
                <w:sz w:val="20"/>
                <w:szCs w:val="20"/>
              </w:rPr>
            </w:pPr>
            <w:r>
              <w:rPr>
                <w:noProof/>
                <w:sz w:val="20"/>
              </w:rPr>
              <w:t>0,017</w:t>
            </w:r>
          </w:p>
        </w:tc>
        <w:tc>
          <w:tcPr>
            <w:tcW w:w="761" w:type="pct"/>
            <w:tcBorders>
              <w:top w:val="single" w:sz="4" w:space="0" w:color="auto"/>
              <w:left w:val="single" w:sz="4" w:space="0" w:color="auto"/>
              <w:bottom w:val="single" w:sz="4" w:space="0" w:color="auto"/>
              <w:right w:val="single" w:sz="4" w:space="0" w:color="auto"/>
            </w:tcBorders>
            <w:vAlign w:val="center"/>
            <w:hideMark/>
          </w:tcPr>
          <w:p w14:paraId="1C98C10B" w14:textId="77777777" w:rsidR="001B6AB1" w:rsidRPr="006918A0" w:rsidRDefault="001B6AB1" w:rsidP="00B330E1">
            <w:pPr>
              <w:spacing w:before="20" w:after="20" w:line="276" w:lineRule="auto"/>
              <w:jc w:val="center"/>
              <w:rPr>
                <w:b/>
                <w:noProof/>
                <w:sz w:val="20"/>
                <w:szCs w:val="20"/>
              </w:rPr>
            </w:pPr>
            <w:r>
              <w:rPr>
                <w:b/>
                <w:noProof/>
                <w:sz w:val="20"/>
              </w:rPr>
              <w:t>0,524</w:t>
            </w:r>
          </w:p>
        </w:tc>
      </w:tr>
      <w:bookmarkEnd w:id="19"/>
    </w:tbl>
    <w:p w14:paraId="4EB7BAEC" w14:textId="77777777" w:rsidR="001B6AB1" w:rsidRPr="006918A0" w:rsidRDefault="001B6AB1" w:rsidP="001B6AB1">
      <w:pPr>
        <w:jc w:val="center"/>
        <w:rPr>
          <w:noProof/>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409"/>
        <w:gridCol w:w="1303"/>
        <w:gridCol w:w="1112"/>
        <w:gridCol w:w="1362"/>
        <w:gridCol w:w="1015"/>
        <w:gridCol w:w="1138"/>
        <w:gridCol w:w="2087"/>
      </w:tblGrid>
      <w:tr w:rsidR="001B6AB1" w:rsidRPr="006918A0" w14:paraId="128F8F39" w14:textId="77777777" w:rsidTr="00B330E1">
        <w:tc>
          <w:tcPr>
            <w:tcW w:w="1334" w:type="pct"/>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798ADEA0" w14:textId="77777777" w:rsidR="001B6AB1" w:rsidRPr="006918A0" w:rsidRDefault="001B6AB1" w:rsidP="00B330E1">
            <w:pPr>
              <w:spacing w:line="276" w:lineRule="auto"/>
              <w:jc w:val="center"/>
              <w:rPr>
                <w:b/>
                <w:noProof/>
              </w:rPr>
            </w:pPr>
            <w:r>
              <w:rPr>
                <w:noProof/>
              </w:rPr>
              <w:t xml:space="preserve">Monivuotisen rahoituskehyksen </w:t>
            </w:r>
            <w:r>
              <w:rPr>
                <w:b/>
                <w:noProof/>
              </w:rPr>
              <w:t>OTSAKKEESEEN 7</w:t>
            </w:r>
            <w:r>
              <w:rPr>
                <w:noProof/>
              </w:rPr>
              <w:t xml:space="preserve"> </w:t>
            </w:r>
            <w:r>
              <w:rPr>
                <w:b/>
                <w:noProof/>
              </w:rPr>
              <w:t>kuuluvat määrärahat YHTEENSÄ</w:t>
            </w:r>
          </w:p>
        </w:tc>
        <w:tc>
          <w:tcPr>
            <w:tcW w:w="847" w:type="pct"/>
            <w:tcBorders>
              <w:top w:val="single" w:sz="4" w:space="0" w:color="auto"/>
              <w:left w:val="single" w:sz="4" w:space="0" w:color="auto"/>
              <w:bottom w:val="single" w:sz="4" w:space="0" w:color="auto"/>
              <w:right w:val="single" w:sz="4" w:space="0" w:color="auto"/>
            </w:tcBorders>
            <w:vAlign w:val="center"/>
            <w:hideMark/>
          </w:tcPr>
          <w:p w14:paraId="5F8B99BB" w14:textId="77777777" w:rsidR="001B6AB1" w:rsidRPr="006918A0" w:rsidRDefault="001B6AB1" w:rsidP="00B330E1">
            <w:pPr>
              <w:spacing w:before="40" w:after="40" w:line="276" w:lineRule="auto"/>
              <w:jc w:val="center"/>
              <w:rPr>
                <w:noProof/>
              </w:rPr>
            </w:pPr>
            <w:r>
              <w:rPr>
                <w:noProof/>
                <w:sz w:val="18"/>
              </w:rPr>
              <w:t>(Sitoumukset yhteensä = maksut yhteensä)</w:t>
            </w:r>
          </w:p>
        </w:tc>
        <w:tc>
          <w:tcPr>
            <w:tcW w:w="458" w:type="pct"/>
            <w:tcBorders>
              <w:top w:val="single" w:sz="4" w:space="0" w:color="auto"/>
              <w:left w:val="single" w:sz="4" w:space="0" w:color="auto"/>
              <w:bottom w:val="single" w:sz="4" w:space="0" w:color="auto"/>
              <w:right w:val="single" w:sz="4" w:space="0" w:color="auto"/>
            </w:tcBorders>
            <w:vAlign w:val="center"/>
            <w:hideMark/>
          </w:tcPr>
          <w:p w14:paraId="099593A6" w14:textId="77777777" w:rsidR="001B6AB1" w:rsidRPr="006918A0" w:rsidRDefault="001B6AB1" w:rsidP="00B330E1">
            <w:pPr>
              <w:spacing w:before="20" w:after="20" w:line="276" w:lineRule="auto"/>
              <w:jc w:val="center"/>
              <w:rPr>
                <w:noProof/>
              </w:rPr>
            </w:pPr>
            <w:r>
              <w:rPr>
                <w:noProof/>
                <w:sz w:val="20"/>
              </w:rPr>
              <w:t>0,122</w:t>
            </w:r>
          </w:p>
        </w:tc>
        <w:tc>
          <w:tcPr>
            <w:tcW w:w="391" w:type="pct"/>
            <w:tcBorders>
              <w:top w:val="single" w:sz="4" w:space="0" w:color="auto"/>
              <w:left w:val="single" w:sz="4" w:space="0" w:color="auto"/>
              <w:bottom w:val="single" w:sz="4" w:space="0" w:color="auto"/>
              <w:right w:val="single" w:sz="4" w:space="0" w:color="auto"/>
            </w:tcBorders>
            <w:vAlign w:val="center"/>
            <w:hideMark/>
          </w:tcPr>
          <w:p w14:paraId="4A4DEC52" w14:textId="77777777" w:rsidR="001B6AB1" w:rsidRPr="006918A0" w:rsidRDefault="001B6AB1" w:rsidP="00B330E1">
            <w:pPr>
              <w:spacing w:before="20" w:after="20" w:line="276" w:lineRule="auto"/>
              <w:jc w:val="center"/>
              <w:rPr>
                <w:noProof/>
              </w:rPr>
            </w:pPr>
            <w:r>
              <w:rPr>
                <w:noProof/>
                <w:sz w:val="20"/>
              </w:rPr>
              <w:t>0,161</w:t>
            </w:r>
          </w:p>
        </w:tc>
        <w:tc>
          <w:tcPr>
            <w:tcW w:w="479" w:type="pct"/>
            <w:tcBorders>
              <w:top w:val="single" w:sz="4" w:space="0" w:color="auto"/>
              <w:left w:val="single" w:sz="4" w:space="0" w:color="auto"/>
              <w:bottom w:val="single" w:sz="4" w:space="0" w:color="auto"/>
              <w:right w:val="single" w:sz="4" w:space="0" w:color="auto"/>
            </w:tcBorders>
            <w:vAlign w:val="center"/>
            <w:hideMark/>
          </w:tcPr>
          <w:p w14:paraId="2A6FD54A" w14:textId="77777777" w:rsidR="001B6AB1" w:rsidRPr="006918A0" w:rsidRDefault="001B6AB1" w:rsidP="00B330E1">
            <w:pPr>
              <w:spacing w:before="20" w:after="20" w:line="276" w:lineRule="auto"/>
              <w:jc w:val="center"/>
              <w:rPr>
                <w:noProof/>
              </w:rPr>
            </w:pPr>
            <w:r>
              <w:rPr>
                <w:noProof/>
                <w:sz w:val="20"/>
              </w:rPr>
              <w:t>0,159</w:t>
            </w:r>
          </w:p>
        </w:tc>
        <w:tc>
          <w:tcPr>
            <w:tcW w:w="357" w:type="pct"/>
            <w:tcBorders>
              <w:top w:val="single" w:sz="4" w:space="0" w:color="auto"/>
              <w:left w:val="single" w:sz="4" w:space="0" w:color="auto"/>
              <w:bottom w:val="single" w:sz="4" w:space="0" w:color="auto"/>
              <w:right w:val="single" w:sz="4" w:space="0" w:color="auto"/>
            </w:tcBorders>
            <w:vAlign w:val="center"/>
            <w:hideMark/>
          </w:tcPr>
          <w:p w14:paraId="1F564702" w14:textId="77777777" w:rsidR="001B6AB1" w:rsidRPr="006918A0" w:rsidRDefault="001B6AB1" w:rsidP="00B330E1">
            <w:pPr>
              <w:spacing w:before="20" w:after="20" w:line="276" w:lineRule="auto"/>
              <w:jc w:val="center"/>
              <w:rPr>
                <w:noProof/>
              </w:rPr>
            </w:pPr>
            <w:r>
              <w:rPr>
                <w:noProof/>
                <w:sz w:val="20"/>
              </w:rPr>
              <w:t>0,065</w:t>
            </w:r>
          </w:p>
        </w:tc>
        <w:tc>
          <w:tcPr>
            <w:tcW w:w="400" w:type="pct"/>
            <w:tcBorders>
              <w:top w:val="single" w:sz="4" w:space="0" w:color="auto"/>
              <w:left w:val="single" w:sz="4" w:space="0" w:color="auto"/>
              <w:bottom w:val="single" w:sz="4" w:space="0" w:color="auto"/>
              <w:right w:val="single" w:sz="4" w:space="0" w:color="auto"/>
            </w:tcBorders>
            <w:vAlign w:val="center"/>
            <w:hideMark/>
          </w:tcPr>
          <w:p w14:paraId="4BEEEA5F" w14:textId="77777777" w:rsidR="001B6AB1" w:rsidRPr="006918A0" w:rsidRDefault="001B6AB1" w:rsidP="00B330E1">
            <w:pPr>
              <w:spacing w:before="20" w:after="20" w:line="276" w:lineRule="auto"/>
              <w:jc w:val="center"/>
              <w:rPr>
                <w:noProof/>
              </w:rPr>
            </w:pPr>
            <w:r>
              <w:rPr>
                <w:noProof/>
                <w:sz w:val="20"/>
              </w:rPr>
              <w:t>0,017</w:t>
            </w:r>
          </w:p>
        </w:tc>
        <w:tc>
          <w:tcPr>
            <w:tcW w:w="735" w:type="pct"/>
            <w:tcBorders>
              <w:top w:val="single" w:sz="4" w:space="0" w:color="auto"/>
              <w:left w:val="single" w:sz="4" w:space="0" w:color="auto"/>
              <w:bottom w:val="single" w:sz="4" w:space="0" w:color="auto"/>
              <w:right w:val="single" w:sz="4" w:space="0" w:color="auto"/>
            </w:tcBorders>
            <w:vAlign w:val="center"/>
            <w:hideMark/>
          </w:tcPr>
          <w:p w14:paraId="27A225C4" w14:textId="77777777" w:rsidR="001B6AB1" w:rsidRPr="006918A0" w:rsidRDefault="001B6AB1" w:rsidP="00B330E1">
            <w:pPr>
              <w:spacing w:before="20" w:after="20" w:line="276" w:lineRule="auto"/>
              <w:jc w:val="center"/>
              <w:rPr>
                <w:b/>
                <w:noProof/>
              </w:rPr>
            </w:pPr>
            <w:r>
              <w:rPr>
                <w:b/>
                <w:noProof/>
                <w:sz w:val="20"/>
              </w:rPr>
              <w:t>0,524</w:t>
            </w:r>
          </w:p>
        </w:tc>
      </w:tr>
    </w:tbl>
    <w:p w14:paraId="287627F8" w14:textId="77777777" w:rsidR="001B6AB1" w:rsidRPr="006918A0" w:rsidRDefault="001B6AB1" w:rsidP="001B6AB1">
      <w:pPr>
        <w:jc w:val="right"/>
        <w:rPr>
          <w:noProof/>
          <w:sz w:val="20"/>
        </w:rPr>
      </w:pPr>
      <w:r>
        <w:rPr>
          <w:noProof/>
          <w:sz w:val="20"/>
        </w:rPr>
        <w:t>milj. euroa (kolmen desimaalin tarkkuudella)</w:t>
      </w:r>
    </w:p>
    <w:tbl>
      <w:tblPr>
        <w:tblW w:w="5089"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
        <w:gridCol w:w="3698"/>
        <w:gridCol w:w="315"/>
        <w:gridCol w:w="1227"/>
        <w:gridCol w:w="341"/>
        <w:gridCol w:w="173"/>
        <w:gridCol w:w="356"/>
        <w:gridCol w:w="495"/>
        <w:gridCol w:w="616"/>
        <w:gridCol w:w="234"/>
        <w:gridCol w:w="859"/>
        <w:gridCol w:w="179"/>
        <w:gridCol w:w="671"/>
        <w:gridCol w:w="466"/>
        <w:gridCol w:w="385"/>
        <w:gridCol w:w="752"/>
        <w:gridCol w:w="98"/>
        <w:gridCol w:w="859"/>
        <w:gridCol w:w="170"/>
        <w:gridCol w:w="1727"/>
        <w:gridCol w:w="610"/>
      </w:tblGrid>
      <w:tr w:rsidR="001B6AB1" w:rsidRPr="006918A0" w14:paraId="5B04F772" w14:textId="77777777" w:rsidTr="00B330E1">
        <w:trPr>
          <w:gridBefore w:val="1"/>
          <w:wBefore w:w="87" w:type="pct"/>
        </w:trPr>
        <w:tc>
          <w:tcPr>
            <w:tcW w:w="1393" w:type="pct"/>
            <w:gridSpan w:val="2"/>
            <w:tcBorders>
              <w:top w:val="nil"/>
              <w:left w:val="nil"/>
              <w:bottom w:val="single" w:sz="4" w:space="0" w:color="auto"/>
              <w:right w:val="nil"/>
            </w:tcBorders>
            <w:vAlign w:val="center"/>
          </w:tcPr>
          <w:p w14:paraId="57E819A7" w14:textId="77777777" w:rsidR="001B6AB1" w:rsidRPr="006918A0" w:rsidRDefault="001B6AB1" w:rsidP="00B330E1">
            <w:pPr>
              <w:spacing w:line="276" w:lineRule="auto"/>
              <w:jc w:val="center"/>
              <w:rPr>
                <w:noProof/>
              </w:rPr>
            </w:pPr>
          </w:p>
        </w:tc>
        <w:tc>
          <w:tcPr>
            <w:tcW w:w="548" w:type="pct"/>
            <w:gridSpan w:val="2"/>
            <w:tcBorders>
              <w:top w:val="nil"/>
              <w:left w:val="nil"/>
              <w:bottom w:val="single" w:sz="4" w:space="0" w:color="auto"/>
              <w:right w:val="nil"/>
            </w:tcBorders>
          </w:tcPr>
          <w:p w14:paraId="7E2CFD39" w14:textId="77777777" w:rsidR="001B6AB1" w:rsidRPr="006918A0" w:rsidRDefault="001B6AB1" w:rsidP="00B330E1">
            <w:pPr>
              <w:spacing w:line="276" w:lineRule="auto"/>
              <w:jc w:val="center"/>
              <w:rPr>
                <w:noProof/>
              </w:rPr>
            </w:pPr>
          </w:p>
        </w:tc>
        <w:tc>
          <w:tcPr>
            <w:tcW w:w="189" w:type="pct"/>
            <w:gridSpan w:val="2"/>
            <w:tcBorders>
              <w:top w:val="nil"/>
              <w:left w:val="nil"/>
              <w:bottom w:val="single" w:sz="4" w:space="0" w:color="auto"/>
              <w:right w:val="single" w:sz="4" w:space="0" w:color="auto"/>
            </w:tcBorders>
          </w:tcPr>
          <w:p w14:paraId="1EFB6095" w14:textId="77777777" w:rsidR="001B6AB1" w:rsidRPr="006918A0" w:rsidRDefault="001B6AB1" w:rsidP="00B330E1">
            <w:pPr>
              <w:spacing w:line="276" w:lineRule="auto"/>
              <w:jc w:val="center"/>
              <w:rPr>
                <w:noProof/>
              </w:rPr>
            </w:pPr>
          </w:p>
        </w:tc>
        <w:tc>
          <w:tcPr>
            <w:tcW w:w="390" w:type="pct"/>
            <w:gridSpan w:val="2"/>
            <w:tcBorders>
              <w:top w:val="single" w:sz="4" w:space="0" w:color="auto"/>
              <w:left w:val="single" w:sz="4" w:space="0" w:color="auto"/>
              <w:bottom w:val="single" w:sz="4" w:space="0" w:color="auto"/>
              <w:right w:val="single" w:sz="4" w:space="0" w:color="auto"/>
            </w:tcBorders>
            <w:vAlign w:val="center"/>
            <w:hideMark/>
          </w:tcPr>
          <w:p w14:paraId="2CB4E4C2" w14:textId="77777777" w:rsidR="001B6AB1" w:rsidRPr="006918A0" w:rsidRDefault="001B6AB1" w:rsidP="00B330E1">
            <w:pPr>
              <w:spacing w:line="276" w:lineRule="auto"/>
              <w:jc w:val="center"/>
              <w:rPr>
                <w:noProof/>
              </w:rPr>
            </w:pPr>
            <w:r>
              <w:rPr>
                <w:noProof/>
              </w:rPr>
              <w:t>2023</w:t>
            </w:r>
          </w:p>
        </w:tc>
        <w:tc>
          <w:tcPr>
            <w:tcW w:w="449" w:type="pct"/>
            <w:gridSpan w:val="3"/>
            <w:tcBorders>
              <w:top w:val="single" w:sz="4" w:space="0" w:color="auto"/>
              <w:left w:val="single" w:sz="4" w:space="0" w:color="auto"/>
              <w:bottom w:val="single" w:sz="4" w:space="0" w:color="auto"/>
              <w:right w:val="single" w:sz="4" w:space="0" w:color="auto"/>
            </w:tcBorders>
            <w:vAlign w:val="center"/>
            <w:hideMark/>
          </w:tcPr>
          <w:p w14:paraId="32B8BBE5" w14:textId="77777777" w:rsidR="001B6AB1" w:rsidRPr="006918A0" w:rsidRDefault="001B6AB1" w:rsidP="00B330E1">
            <w:pPr>
              <w:spacing w:line="276" w:lineRule="auto"/>
              <w:jc w:val="center"/>
              <w:rPr>
                <w:noProof/>
              </w:rPr>
            </w:pPr>
            <w:r>
              <w:rPr>
                <w:noProof/>
              </w:rPr>
              <w:t>2024</w:t>
            </w:r>
          </w:p>
        </w:tc>
        <w:tc>
          <w:tcPr>
            <w:tcW w:w="399" w:type="pct"/>
            <w:gridSpan w:val="2"/>
            <w:tcBorders>
              <w:top w:val="single" w:sz="4" w:space="0" w:color="auto"/>
              <w:left w:val="single" w:sz="4" w:space="0" w:color="auto"/>
              <w:bottom w:val="single" w:sz="4" w:space="0" w:color="auto"/>
              <w:right w:val="single" w:sz="4" w:space="0" w:color="auto"/>
            </w:tcBorders>
            <w:vAlign w:val="center"/>
            <w:hideMark/>
          </w:tcPr>
          <w:p w14:paraId="740D1CBA" w14:textId="77777777" w:rsidR="001B6AB1" w:rsidRPr="006918A0" w:rsidRDefault="001B6AB1" w:rsidP="00B330E1">
            <w:pPr>
              <w:spacing w:line="276" w:lineRule="auto"/>
              <w:jc w:val="center"/>
              <w:rPr>
                <w:noProof/>
              </w:rPr>
            </w:pPr>
            <w:r>
              <w:rPr>
                <w:noProof/>
              </w:rPr>
              <w:t>2025</w:t>
            </w:r>
          </w:p>
        </w:tc>
        <w:tc>
          <w:tcPr>
            <w:tcW w:w="399" w:type="pct"/>
            <w:gridSpan w:val="2"/>
            <w:tcBorders>
              <w:top w:val="single" w:sz="4" w:space="0" w:color="auto"/>
              <w:left w:val="single" w:sz="4" w:space="0" w:color="auto"/>
              <w:bottom w:val="single" w:sz="4" w:space="0" w:color="auto"/>
              <w:right w:val="single" w:sz="4" w:space="0" w:color="auto"/>
            </w:tcBorders>
            <w:vAlign w:val="center"/>
            <w:hideMark/>
          </w:tcPr>
          <w:p w14:paraId="3613F1EC" w14:textId="77777777" w:rsidR="001B6AB1" w:rsidRPr="006918A0" w:rsidRDefault="001B6AB1" w:rsidP="00B330E1">
            <w:pPr>
              <w:spacing w:line="276" w:lineRule="auto"/>
              <w:jc w:val="center"/>
              <w:rPr>
                <w:noProof/>
              </w:rPr>
            </w:pPr>
            <w:r>
              <w:rPr>
                <w:noProof/>
              </w:rPr>
              <w:t>2026</w:t>
            </w:r>
          </w:p>
        </w:tc>
        <w:tc>
          <w:tcPr>
            <w:tcW w:w="399" w:type="pct"/>
            <w:gridSpan w:val="3"/>
            <w:tcBorders>
              <w:top w:val="single" w:sz="4" w:space="0" w:color="auto"/>
              <w:left w:val="single" w:sz="4" w:space="0" w:color="auto"/>
              <w:bottom w:val="single" w:sz="4" w:space="0" w:color="auto"/>
              <w:right w:val="single" w:sz="4" w:space="0" w:color="auto"/>
            </w:tcBorders>
            <w:vAlign w:val="center"/>
            <w:hideMark/>
          </w:tcPr>
          <w:p w14:paraId="3634C95F" w14:textId="77777777" w:rsidR="001B6AB1" w:rsidRPr="006918A0" w:rsidRDefault="001B6AB1" w:rsidP="00B330E1">
            <w:pPr>
              <w:spacing w:line="276" w:lineRule="auto"/>
              <w:jc w:val="center"/>
              <w:rPr>
                <w:b/>
                <w:noProof/>
                <w:sz w:val="18"/>
              </w:rPr>
            </w:pPr>
            <w:r>
              <w:rPr>
                <w:noProof/>
              </w:rPr>
              <w:t>2027</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221E04CD" w14:textId="77777777" w:rsidR="001B6AB1" w:rsidRPr="006918A0" w:rsidRDefault="001B6AB1" w:rsidP="00B330E1">
            <w:pPr>
              <w:spacing w:line="276" w:lineRule="auto"/>
              <w:jc w:val="center"/>
              <w:rPr>
                <w:b/>
                <w:noProof/>
              </w:rPr>
            </w:pPr>
            <w:r>
              <w:rPr>
                <w:b/>
                <w:noProof/>
              </w:rPr>
              <w:t>YHTEENSÄ</w:t>
            </w:r>
          </w:p>
          <w:p w14:paraId="74AAE44B" w14:textId="77777777" w:rsidR="001B6AB1" w:rsidRPr="006918A0" w:rsidRDefault="001B6AB1" w:rsidP="00B330E1">
            <w:pPr>
              <w:spacing w:line="276" w:lineRule="auto"/>
              <w:jc w:val="center"/>
              <w:rPr>
                <w:b/>
                <w:noProof/>
              </w:rPr>
            </w:pPr>
            <w:r>
              <w:rPr>
                <w:b/>
                <w:noProof/>
              </w:rPr>
              <w:t>MONIVUOTINEN RAHOITUSKEHYS 2021–2027</w:t>
            </w:r>
          </w:p>
        </w:tc>
      </w:tr>
      <w:tr w:rsidR="001B6AB1" w:rsidRPr="006918A0" w14:paraId="7836F8DC" w14:textId="77777777" w:rsidTr="00B330E1">
        <w:trPr>
          <w:gridBefore w:val="1"/>
          <w:wBefore w:w="87" w:type="pct"/>
        </w:trPr>
        <w:tc>
          <w:tcPr>
            <w:tcW w:w="1393" w:type="pct"/>
            <w:gridSpan w:val="2"/>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6895C753" w14:textId="77777777" w:rsidR="001B6AB1" w:rsidRPr="006918A0" w:rsidRDefault="001B6AB1" w:rsidP="00B330E1">
            <w:pPr>
              <w:spacing w:line="276" w:lineRule="auto"/>
              <w:jc w:val="center"/>
              <w:rPr>
                <w:b/>
                <w:noProof/>
              </w:rPr>
            </w:pPr>
            <w:r>
              <w:rPr>
                <w:noProof/>
              </w:rPr>
              <w:t xml:space="preserve">Monivuotisen rahoituskehyksen </w:t>
            </w:r>
            <w:r>
              <w:rPr>
                <w:b/>
                <w:noProof/>
              </w:rPr>
              <w:t>OTSAKKEISIIN 1–7</w:t>
            </w:r>
            <w:r>
              <w:rPr>
                <w:noProof/>
              </w:rPr>
              <w:t xml:space="preserve"> </w:t>
            </w:r>
            <w:r>
              <w:rPr>
                <w:b/>
                <w:noProof/>
              </w:rPr>
              <w:t>kuuluvat määrärahat YHTEENSÄ</w:t>
            </w:r>
          </w:p>
        </w:tc>
        <w:tc>
          <w:tcPr>
            <w:tcW w:w="737" w:type="pct"/>
            <w:gridSpan w:val="4"/>
            <w:tcBorders>
              <w:top w:val="single" w:sz="4" w:space="0" w:color="auto"/>
              <w:left w:val="single" w:sz="4" w:space="0" w:color="auto"/>
              <w:bottom w:val="single" w:sz="4" w:space="0" w:color="auto"/>
              <w:right w:val="single" w:sz="4" w:space="0" w:color="auto"/>
            </w:tcBorders>
            <w:vAlign w:val="center"/>
            <w:hideMark/>
          </w:tcPr>
          <w:p w14:paraId="550C9F1B" w14:textId="77777777" w:rsidR="001B6AB1" w:rsidRPr="006918A0" w:rsidRDefault="001B6AB1" w:rsidP="00B330E1">
            <w:pPr>
              <w:spacing w:line="276" w:lineRule="auto"/>
              <w:jc w:val="center"/>
              <w:rPr>
                <w:noProof/>
                <w:sz w:val="14"/>
              </w:rPr>
            </w:pPr>
            <w:r>
              <w:rPr>
                <w:noProof/>
                <w:sz w:val="18"/>
              </w:rPr>
              <w:t>Sitoumukset</w:t>
            </w:r>
          </w:p>
        </w:tc>
        <w:tc>
          <w:tcPr>
            <w:tcW w:w="390" w:type="pct"/>
            <w:gridSpan w:val="2"/>
            <w:tcBorders>
              <w:top w:val="single" w:sz="4" w:space="0" w:color="auto"/>
              <w:left w:val="single" w:sz="4" w:space="0" w:color="auto"/>
              <w:bottom w:val="single" w:sz="4" w:space="0" w:color="auto"/>
              <w:right w:val="single" w:sz="4" w:space="0" w:color="auto"/>
            </w:tcBorders>
            <w:vAlign w:val="center"/>
            <w:hideMark/>
          </w:tcPr>
          <w:p w14:paraId="6040B47C" w14:textId="77777777" w:rsidR="001B6AB1" w:rsidRPr="006918A0" w:rsidRDefault="001B6AB1" w:rsidP="00B330E1">
            <w:pPr>
              <w:spacing w:before="60" w:after="60" w:line="276" w:lineRule="auto"/>
              <w:jc w:val="center"/>
              <w:rPr>
                <w:b/>
                <w:noProof/>
              </w:rPr>
            </w:pPr>
            <w:r>
              <w:rPr>
                <w:noProof/>
                <w:color w:val="000000"/>
                <w:sz w:val="20"/>
              </w:rPr>
              <w:t>0,272</w:t>
            </w:r>
          </w:p>
        </w:tc>
        <w:tc>
          <w:tcPr>
            <w:tcW w:w="449" w:type="pct"/>
            <w:gridSpan w:val="3"/>
            <w:tcBorders>
              <w:top w:val="single" w:sz="4" w:space="0" w:color="auto"/>
              <w:left w:val="single" w:sz="4" w:space="0" w:color="auto"/>
              <w:bottom w:val="single" w:sz="4" w:space="0" w:color="auto"/>
              <w:right w:val="single" w:sz="4" w:space="0" w:color="auto"/>
            </w:tcBorders>
            <w:vAlign w:val="center"/>
            <w:hideMark/>
          </w:tcPr>
          <w:p w14:paraId="2D58E58B" w14:textId="77777777" w:rsidR="001B6AB1" w:rsidRPr="006918A0" w:rsidRDefault="001B6AB1" w:rsidP="00B330E1">
            <w:pPr>
              <w:spacing w:before="60" w:after="60" w:line="276" w:lineRule="auto"/>
              <w:jc w:val="center"/>
              <w:rPr>
                <w:b/>
                <w:noProof/>
              </w:rPr>
            </w:pPr>
            <w:r>
              <w:rPr>
                <w:noProof/>
                <w:color w:val="000000"/>
                <w:sz w:val="20"/>
              </w:rPr>
              <w:t>0,561</w:t>
            </w:r>
          </w:p>
        </w:tc>
        <w:tc>
          <w:tcPr>
            <w:tcW w:w="399" w:type="pct"/>
            <w:gridSpan w:val="2"/>
            <w:tcBorders>
              <w:top w:val="single" w:sz="4" w:space="0" w:color="auto"/>
              <w:left w:val="single" w:sz="4" w:space="0" w:color="auto"/>
              <w:bottom w:val="single" w:sz="4" w:space="0" w:color="auto"/>
              <w:right w:val="single" w:sz="4" w:space="0" w:color="auto"/>
            </w:tcBorders>
            <w:vAlign w:val="center"/>
            <w:hideMark/>
          </w:tcPr>
          <w:p w14:paraId="466ADFEF" w14:textId="77777777" w:rsidR="001B6AB1" w:rsidRPr="006918A0" w:rsidRDefault="001B6AB1" w:rsidP="00B330E1">
            <w:pPr>
              <w:spacing w:line="276" w:lineRule="auto"/>
              <w:jc w:val="center"/>
              <w:rPr>
                <w:b/>
                <w:noProof/>
                <w:color w:val="000000"/>
              </w:rPr>
            </w:pPr>
            <w:r>
              <w:rPr>
                <w:noProof/>
                <w:color w:val="000000"/>
                <w:sz w:val="20"/>
              </w:rPr>
              <w:t>0,359</w:t>
            </w:r>
          </w:p>
        </w:tc>
        <w:tc>
          <w:tcPr>
            <w:tcW w:w="399" w:type="pct"/>
            <w:gridSpan w:val="2"/>
            <w:tcBorders>
              <w:top w:val="single" w:sz="4" w:space="0" w:color="auto"/>
              <w:left w:val="single" w:sz="4" w:space="0" w:color="auto"/>
              <w:bottom w:val="single" w:sz="4" w:space="0" w:color="auto"/>
              <w:right w:val="single" w:sz="4" w:space="0" w:color="auto"/>
            </w:tcBorders>
            <w:vAlign w:val="center"/>
            <w:hideMark/>
          </w:tcPr>
          <w:p w14:paraId="0D1DB6E2" w14:textId="77777777" w:rsidR="001B6AB1" w:rsidRPr="006918A0" w:rsidRDefault="001B6AB1" w:rsidP="00B330E1">
            <w:pPr>
              <w:spacing w:line="276" w:lineRule="auto"/>
              <w:jc w:val="center"/>
              <w:rPr>
                <w:b/>
                <w:noProof/>
                <w:color w:val="000000"/>
              </w:rPr>
            </w:pPr>
            <w:r>
              <w:rPr>
                <w:noProof/>
                <w:color w:val="000000"/>
                <w:sz w:val="20"/>
              </w:rPr>
              <w:t>0,395</w:t>
            </w:r>
          </w:p>
        </w:tc>
        <w:tc>
          <w:tcPr>
            <w:tcW w:w="399" w:type="pct"/>
            <w:gridSpan w:val="3"/>
            <w:tcBorders>
              <w:top w:val="single" w:sz="4" w:space="0" w:color="auto"/>
              <w:left w:val="single" w:sz="4" w:space="0" w:color="auto"/>
              <w:bottom w:val="single" w:sz="4" w:space="0" w:color="auto"/>
              <w:right w:val="single" w:sz="4" w:space="0" w:color="auto"/>
            </w:tcBorders>
            <w:vAlign w:val="center"/>
            <w:hideMark/>
          </w:tcPr>
          <w:p w14:paraId="47FDB486" w14:textId="77777777" w:rsidR="001B6AB1" w:rsidRPr="006918A0" w:rsidRDefault="001B6AB1" w:rsidP="00B330E1">
            <w:pPr>
              <w:spacing w:line="276" w:lineRule="auto"/>
              <w:jc w:val="center"/>
              <w:rPr>
                <w:b/>
                <w:noProof/>
                <w:color w:val="000000"/>
              </w:rPr>
            </w:pPr>
            <w:r>
              <w:rPr>
                <w:noProof/>
                <w:color w:val="000000"/>
                <w:sz w:val="20"/>
              </w:rPr>
              <w:t>0,197</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6B0349E6" w14:textId="77777777" w:rsidR="001B6AB1" w:rsidRPr="006918A0" w:rsidRDefault="001B6AB1" w:rsidP="00B330E1">
            <w:pPr>
              <w:spacing w:line="276" w:lineRule="auto"/>
              <w:jc w:val="right"/>
              <w:rPr>
                <w:b/>
                <w:noProof/>
                <w:color w:val="000000"/>
              </w:rPr>
            </w:pPr>
            <w:r>
              <w:rPr>
                <w:b/>
                <w:noProof/>
                <w:color w:val="000000"/>
                <w:sz w:val="20"/>
              </w:rPr>
              <w:t>1,784</w:t>
            </w:r>
          </w:p>
        </w:tc>
      </w:tr>
      <w:tr w:rsidR="001B6AB1" w:rsidRPr="006918A0" w14:paraId="3CBCB98F" w14:textId="77777777" w:rsidTr="00B330E1">
        <w:trPr>
          <w:gridBefore w:val="1"/>
          <w:wBefore w:w="87" w:type="pct"/>
        </w:trPr>
        <w:tc>
          <w:tcPr>
            <w:tcW w:w="0" w:type="auto"/>
            <w:gridSpan w:val="2"/>
            <w:vMerge/>
            <w:tcBorders>
              <w:top w:val="nil"/>
              <w:left w:val="nil"/>
              <w:bottom w:val="nil"/>
              <w:right w:val="nil"/>
            </w:tcBorders>
            <w:vAlign w:val="center"/>
            <w:hideMark/>
          </w:tcPr>
          <w:p w14:paraId="6FF5F6F2" w14:textId="77777777" w:rsidR="001B6AB1" w:rsidRPr="006918A0" w:rsidRDefault="001B6AB1" w:rsidP="00B330E1">
            <w:pPr>
              <w:spacing w:before="0" w:after="0" w:line="276" w:lineRule="auto"/>
              <w:jc w:val="left"/>
              <w:rPr>
                <w:b/>
                <w:noProof/>
              </w:rPr>
            </w:pPr>
          </w:p>
        </w:tc>
        <w:tc>
          <w:tcPr>
            <w:tcW w:w="737" w:type="pct"/>
            <w:gridSpan w:val="4"/>
            <w:tcBorders>
              <w:top w:val="single" w:sz="4" w:space="0" w:color="auto"/>
              <w:left w:val="single" w:sz="4" w:space="0" w:color="auto"/>
              <w:bottom w:val="single" w:sz="4" w:space="0" w:color="auto"/>
              <w:right w:val="single" w:sz="4" w:space="0" w:color="auto"/>
            </w:tcBorders>
            <w:vAlign w:val="center"/>
            <w:hideMark/>
          </w:tcPr>
          <w:p w14:paraId="4A0F98D3" w14:textId="77777777" w:rsidR="001B6AB1" w:rsidRPr="006918A0" w:rsidRDefault="001B6AB1" w:rsidP="00B330E1">
            <w:pPr>
              <w:spacing w:line="276" w:lineRule="auto"/>
              <w:jc w:val="center"/>
              <w:rPr>
                <w:noProof/>
                <w:sz w:val="14"/>
              </w:rPr>
            </w:pPr>
            <w:r>
              <w:rPr>
                <w:noProof/>
                <w:sz w:val="18"/>
              </w:rPr>
              <w:t>Maksut</w:t>
            </w:r>
          </w:p>
        </w:tc>
        <w:tc>
          <w:tcPr>
            <w:tcW w:w="390" w:type="pct"/>
            <w:gridSpan w:val="2"/>
            <w:tcBorders>
              <w:top w:val="single" w:sz="4" w:space="0" w:color="auto"/>
              <w:left w:val="single" w:sz="4" w:space="0" w:color="auto"/>
              <w:bottom w:val="single" w:sz="4" w:space="0" w:color="auto"/>
              <w:right w:val="single" w:sz="4" w:space="0" w:color="auto"/>
            </w:tcBorders>
            <w:vAlign w:val="center"/>
            <w:hideMark/>
          </w:tcPr>
          <w:p w14:paraId="5366BAAE" w14:textId="77777777" w:rsidR="001B6AB1" w:rsidRPr="006918A0" w:rsidRDefault="001B6AB1" w:rsidP="00B330E1">
            <w:pPr>
              <w:spacing w:before="60" w:after="60" w:line="276" w:lineRule="auto"/>
              <w:jc w:val="center"/>
              <w:rPr>
                <w:b/>
                <w:noProof/>
              </w:rPr>
            </w:pPr>
            <w:r>
              <w:rPr>
                <w:noProof/>
                <w:sz w:val="20"/>
              </w:rPr>
              <w:t>0,122</w:t>
            </w:r>
          </w:p>
        </w:tc>
        <w:tc>
          <w:tcPr>
            <w:tcW w:w="449" w:type="pct"/>
            <w:gridSpan w:val="3"/>
            <w:tcBorders>
              <w:top w:val="single" w:sz="4" w:space="0" w:color="auto"/>
              <w:left w:val="single" w:sz="4" w:space="0" w:color="auto"/>
              <w:bottom w:val="single" w:sz="4" w:space="0" w:color="auto"/>
              <w:right w:val="single" w:sz="4" w:space="0" w:color="auto"/>
            </w:tcBorders>
            <w:vAlign w:val="center"/>
            <w:hideMark/>
          </w:tcPr>
          <w:p w14:paraId="271491DC" w14:textId="77777777" w:rsidR="001B6AB1" w:rsidRPr="006918A0" w:rsidRDefault="001B6AB1" w:rsidP="00B330E1">
            <w:pPr>
              <w:spacing w:before="60" w:after="60" w:line="276" w:lineRule="auto"/>
              <w:jc w:val="center"/>
              <w:rPr>
                <w:b/>
                <w:noProof/>
              </w:rPr>
            </w:pPr>
            <w:r>
              <w:rPr>
                <w:noProof/>
                <w:sz w:val="20"/>
              </w:rPr>
              <w:t>0,311</w:t>
            </w:r>
          </w:p>
        </w:tc>
        <w:tc>
          <w:tcPr>
            <w:tcW w:w="399" w:type="pct"/>
            <w:gridSpan w:val="2"/>
            <w:tcBorders>
              <w:top w:val="single" w:sz="4" w:space="0" w:color="auto"/>
              <w:left w:val="single" w:sz="4" w:space="0" w:color="auto"/>
              <w:bottom w:val="single" w:sz="4" w:space="0" w:color="auto"/>
              <w:right w:val="single" w:sz="4" w:space="0" w:color="auto"/>
            </w:tcBorders>
            <w:vAlign w:val="center"/>
            <w:hideMark/>
          </w:tcPr>
          <w:p w14:paraId="5B2C66EF" w14:textId="77777777" w:rsidR="001B6AB1" w:rsidRPr="006918A0" w:rsidRDefault="001B6AB1" w:rsidP="00B330E1">
            <w:pPr>
              <w:spacing w:line="276" w:lineRule="auto"/>
              <w:jc w:val="center"/>
              <w:rPr>
                <w:b/>
                <w:noProof/>
                <w:color w:val="000000"/>
              </w:rPr>
            </w:pPr>
            <w:r>
              <w:rPr>
                <w:noProof/>
                <w:sz w:val="20"/>
              </w:rPr>
              <w:t>0,559</w:t>
            </w:r>
          </w:p>
        </w:tc>
        <w:tc>
          <w:tcPr>
            <w:tcW w:w="399" w:type="pct"/>
            <w:gridSpan w:val="2"/>
            <w:tcBorders>
              <w:top w:val="single" w:sz="4" w:space="0" w:color="auto"/>
              <w:left w:val="single" w:sz="4" w:space="0" w:color="auto"/>
              <w:bottom w:val="single" w:sz="4" w:space="0" w:color="auto"/>
              <w:right w:val="single" w:sz="4" w:space="0" w:color="auto"/>
            </w:tcBorders>
            <w:vAlign w:val="center"/>
            <w:hideMark/>
          </w:tcPr>
          <w:p w14:paraId="5175B9A3" w14:textId="77777777" w:rsidR="001B6AB1" w:rsidRPr="006918A0" w:rsidRDefault="001B6AB1" w:rsidP="00B330E1">
            <w:pPr>
              <w:spacing w:line="276" w:lineRule="auto"/>
              <w:jc w:val="center"/>
              <w:rPr>
                <w:b/>
                <w:noProof/>
                <w:color w:val="000000"/>
              </w:rPr>
            </w:pPr>
            <w:r>
              <w:rPr>
                <w:noProof/>
                <w:sz w:val="20"/>
              </w:rPr>
              <w:t>0,265</w:t>
            </w:r>
          </w:p>
        </w:tc>
        <w:tc>
          <w:tcPr>
            <w:tcW w:w="399" w:type="pct"/>
            <w:gridSpan w:val="3"/>
            <w:tcBorders>
              <w:top w:val="single" w:sz="4" w:space="0" w:color="auto"/>
              <w:left w:val="single" w:sz="4" w:space="0" w:color="auto"/>
              <w:bottom w:val="single" w:sz="4" w:space="0" w:color="auto"/>
              <w:right w:val="single" w:sz="4" w:space="0" w:color="auto"/>
            </w:tcBorders>
            <w:vAlign w:val="center"/>
            <w:hideMark/>
          </w:tcPr>
          <w:p w14:paraId="2C5F81C0" w14:textId="77777777" w:rsidR="001B6AB1" w:rsidRPr="006918A0" w:rsidRDefault="001B6AB1" w:rsidP="00B330E1">
            <w:pPr>
              <w:spacing w:line="276" w:lineRule="auto"/>
              <w:jc w:val="center"/>
              <w:rPr>
                <w:b/>
                <w:noProof/>
                <w:color w:val="000000"/>
              </w:rPr>
            </w:pPr>
            <w:r>
              <w:rPr>
                <w:noProof/>
                <w:sz w:val="20"/>
              </w:rPr>
              <w:t>0,347</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67016CED" w14:textId="77777777" w:rsidR="001B6AB1" w:rsidRPr="006918A0" w:rsidRDefault="001B6AB1" w:rsidP="00B330E1">
            <w:pPr>
              <w:spacing w:line="276" w:lineRule="auto"/>
              <w:jc w:val="right"/>
              <w:rPr>
                <w:b/>
                <w:noProof/>
                <w:color w:val="000000"/>
              </w:rPr>
            </w:pPr>
            <w:r>
              <w:rPr>
                <w:b/>
                <w:noProof/>
                <w:color w:val="000000"/>
                <w:sz w:val="20"/>
              </w:rPr>
              <w:t>1,604</w:t>
            </w:r>
          </w:p>
        </w:tc>
      </w:tr>
      <w:tr w:rsidR="001B6AB1" w:rsidRPr="006918A0" w14:paraId="68193634" w14:textId="77777777" w:rsidTr="00B330E1">
        <w:trPr>
          <w:gridAfter w:val="1"/>
          <w:wAfter w:w="195" w:type="pct"/>
        </w:trPr>
        <w:tc>
          <w:tcPr>
            <w:tcW w:w="1368" w:type="pct"/>
            <w:gridSpan w:val="2"/>
            <w:tcBorders>
              <w:top w:val="nil"/>
              <w:left w:val="nil"/>
              <w:bottom w:val="single" w:sz="4" w:space="0" w:color="auto"/>
              <w:right w:val="nil"/>
            </w:tcBorders>
            <w:vAlign w:val="center"/>
          </w:tcPr>
          <w:p w14:paraId="2F276749" w14:textId="77777777" w:rsidR="001B6AB1" w:rsidRPr="006918A0" w:rsidRDefault="001B6AB1" w:rsidP="00B330E1">
            <w:pPr>
              <w:spacing w:line="276" w:lineRule="auto"/>
              <w:jc w:val="center"/>
              <w:rPr>
                <w:noProof/>
              </w:rPr>
            </w:pPr>
          </w:p>
        </w:tc>
        <w:tc>
          <w:tcPr>
            <w:tcW w:w="539" w:type="pct"/>
            <w:gridSpan w:val="2"/>
            <w:tcBorders>
              <w:top w:val="nil"/>
              <w:left w:val="nil"/>
              <w:bottom w:val="single" w:sz="4" w:space="0" w:color="auto"/>
              <w:right w:val="nil"/>
            </w:tcBorders>
          </w:tcPr>
          <w:p w14:paraId="15B2282D" w14:textId="77777777" w:rsidR="001B6AB1" w:rsidRPr="006918A0" w:rsidRDefault="001B6AB1" w:rsidP="00B330E1">
            <w:pPr>
              <w:spacing w:line="276" w:lineRule="auto"/>
              <w:rPr>
                <w:noProof/>
                <w:sz w:val="20"/>
              </w:rPr>
            </w:pPr>
          </w:p>
        </w:tc>
        <w:tc>
          <w:tcPr>
            <w:tcW w:w="184" w:type="pct"/>
            <w:gridSpan w:val="2"/>
            <w:tcBorders>
              <w:top w:val="nil"/>
              <w:left w:val="nil"/>
              <w:bottom w:val="single" w:sz="4" w:space="0" w:color="auto"/>
              <w:right w:val="single" w:sz="4" w:space="0" w:color="auto"/>
            </w:tcBorders>
          </w:tcPr>
          <w:p w14:paraId="6EBBF2DA" w14:textId="77777777" w:rsidR="001B6AB1" w:rsidRPr="006918A0" w:rsidRDefault="001B6AB1" w:rsidP="00B330E1">
            <w:pPr>
              <w:spacing w:line="276" w:lineRule="auto"/>
              <w:jc w:val="center"/>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3B60915A" w14:textId="77777777" w:rsidR="001B6AB1" w:rsidRPr="006918A0" w:rsidRDefault="001B6AB1" w:rsidP="00B330E1">
            <w:pPr>
              <w:spacing w:line="276" w:lineRule="auto"/>
              <w:jc w:val="center"/>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02B502CA" w14:textId="77777777" w:rsidR="001B6AB1" w:rsidRPr="006918A0" w:rsidRDefault="001B6AB1" w:rsidP="00B330E1">
            <w:pPr>
              <w:spacing w:line="276" w:lineRule="auto"/>
              <w:jc w:val="center"/>
              <w:rPr>
                <w:noProof/>
                <w:sz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7538B1BB" w14:textId="77777777" w:rsidR="001B6AB1" w:rsidRPr="006918A0" w:rsidRDefault="001B6AB1" w:rsidP="00B330E1">
            <w:pPr>
              <w:spacing w:line="276" w:lineRule="auto"/>
              <w:jc w:val="center"/>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1B07558A" w14:textId="77777777" w:rsidR="001B6AB1" w:rsidRPr="006918A0" w:rsidRDefault="001B6AB1" w:rsidP="00B330E1">
            <w:pPr>
              <w:spacing w:line="276" w:lineRule="auto"/>
              <w:jc w:val="center"/>
              <w:rPr>
                <w:noProof/>
                <w:sz w:val="20"/>
              </w:rPr>
            </w:pPr>
          </w:p>
        </w:tc>
        <w:tc>
          <w:tcPr>
            <w:tcW w:w="900" w:type="pct"/>
            <w:gridSpan w:val="5"/>
            <w:tcBorders>
              <w:top w:val="single" w:sz="4" w:space="0" w:color="auto"/>
              <w:left w:val="single" w:sz="4" w:space="0" w:color="auto"/>
              <w:bottom w:val="single" w:sz="4" w:space="0" w:color="auto"/>
              <w:right w:val="single" w:sz="4" w:space="0" w:color="auto"/>
            </w:tcBorders>
            <w:vAlign w:val="center"/>
          </w:tcPr>
          <w:p w14:paraId="03694A41" w14:textId="77777777" w:rsidR="001B6AB1" w:rsidRPr="006918A0" w:rsidRDefault="001B6AB1" w:rsidP="00B330E1">
            <w:pPr>
              <w:spacing w:line="276" w:lineRule="auto"/>
              <w:jc w:val="center"/>
              <w:rPr>
                <w:b/>
                <w:noProof/>
                <w:sz w:val="18"/>
              </w:rPr>
            </w:pPr>
          </w:p>
        </w:tc>
        <w:tc>
          <w:tcPr>
            <w:tcW w:w="614" w:type="pct"/>
            <w:gridSpan w:val="2"/>
            <w:tcBorders>
              <w:top w:val="single" w:sz="4" w:space="0" w:color="auto"/>
              <w:left w:val="single" w:sz="4" w:space="0" w:color="auto"/>
              <w:bottom w:val="single" w:sz="4" w:space="0" w:color="auto"/>
              <w:right w:val="single" w:sz="4" w:space="0" w:color="auto"/>
            </w:tcBorders>
            <w:vAlign w:val="center"/>
          </w:tcPr>
          <w:p w14:paraId="79525F26" w14:textId="77777777" w:rsidR="001B6AB1" w:rsidRPr="006918A0" w:rsidRDefault="001B6AB1" w:rsidP="00B330E1">
            <w:pPr>
              <w:spacing w:line="276" w:lineRule="auto"/>
              <w:jc w:val="center"/>
              <w:rPr>
                <w:b/>
                <w:noProof/>
                <w:sz w:val="20"/>
              </w:rPr>
            </w:pPr>
          </w:p>
        </w:tc>
      </w:tr>
      <w:tr w:rsidR="001B6AB1" w:rsidRPr="006918A0" w14:paraId="422DD409" w14:textId="77777777" w:rsidTr="00B330E1">
        <w:trPr>
          <w:gridAfter w:val="1"/>
          <w:wAfter w:w="195" w:type="pct"/>
        </w:trPr>
        <w:tc>
          <w:tcPr>
            <w:tcW w:w="1368" w:type="pct"/>
            <w:gridSpan w:val="2"/>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2A415D68" w14:textId="77777777" w:rsidR="001B6AB1" w:rsidRPr="006918A0" w:rsidRDefault="001B6AB1" w:rsidP="00B330E1">
            <w:pPr>
              <w:spacing w:line="276" w:lineRule="auto"/>
              <w:jc w:val="center"/>
              <w:rPr>
                <w:b/>
                <w:noProof/>
              </w:rPr>
            </w:pPr>
            <w:r>
              <w:rPr>
                <w:noProof/>
              </w:rPr>
              <w:t xml:space="preserve">Monivuotisen rahoituskehyksen </w:t>
            </w:r>
            <w:r>
              <w:rPr>
                <w:b/>
                <w:noProof/>
              </w:rPr>
              <w:t>OTSAKKEISIIN 1–7</w:t>
            </w:r>
            <w:r>
              <w:rPr>
                <w:noProof/>
              </w:rPr>
              <w:t xml:space="preserve"> </w:t>
            </w:r>
            <w:r>
              <w:rPr>
                <w:b/>
                <w:noProof/>
              </w:rPr>
              <w:t xml:space="preserve">kuuluvat määrärahat YHTEENSÄ </w:t>
            </w:r>
          </w:p>
        </w:tc>
        <w:tc>
          <w:tcPr>
            <w:tcW w:w="723" w:type="pct"/>
            <w:gridSpan w:val="4"/>
            <w:tcBorders>
              <w:top w:val="single" w:sz="4" w:space="0" w:color="auto"/>
              <w:left w:val="single" w:sz="4" w:space="0" w:color="auto"/>
              <w:bottom w:val="single" w:sz="4" w:space="0" w:color="auto"/>
              <w:right w:val="single" w:sz="4" w:space="0" w:color="auto"/>
            </w:tcBorders>
            <w:vAlign w:val="center"/>
          </w:tcPr>
          <w:p w14:paraId="28A92391" w14:textId="77777777" w:rsidR="001B6AB1" w:rsidRPr="006918A0" w:rsidRDefault="001B6AB1" w:rsidP="00B330E1">
            <w:pPr>
              <w:spacing w:line="276" w:lineRule="auto"/>
              <w:rPr>
                <w:noProof/>
                <w:sz w:val="14"/>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7BC641C5" w14:textId="77777777" w:rsidR="001B6AB1" w:rsidRPr="006918A0" w:rsidRDefault="001B6AB1" w:rsidP="00B330E1">
            <w:pPr>
              <w:spacing w:before="20" w:after="20" w:line="276" w:lineRule="auto"/>
              <w:jc w:val="right"/>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7FD6296F" w14:textId="77777777" w:rsidR="001B6AB1" w:rsidRPr="006918A0" w:rsidRDefault="001B6AB1" w:rsidP="00B330E1">
            <w:pPr>
              <w:spacing w:before="20" w:after="20" w:line="276" w:lineRule="auto"/>
              <w:jc w:val="right"/>
              <w:rPr>
                <w:noProof/>
                <w:sz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560085BA" w14:textId="77777777" w:rsidR="001B6AB1" w:rsidRPr="006918A0" w:rsidRDefault="001B6AB1" w:rsidP="00B330E1">
            <w:pPr>
              <w:spacing w:before="20" w:after="20" w:line="276" w:lineRule="auto"/>
              <w:jc w:val="right"/>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6D171AE4" w14:textId="77777777" w:rsidR="001B6AB1" w:rsidRPr="006918A0" w:rsidRDefault="001B6AB1" w:rsidP="00B330E1">
            <w:pPr>
              <w:spacing w:before="20" w:after="20" w:line="276" w:lineRule="auto"/>
              <w:jc w:val="right"/>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2A6F935E" w14:textId="77777777" w:rsidR="001B6AB1" w:rsidRPr="006918A0" w:rsidRDefault="001B6AB1" w:rsidP="00B330E1">
            <w:pPr>
              <w:spacing w:before="20" w:after="20" w:line="276" w:lineRule="auto"/>
              <w:jc w:val="right"/>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15753E6A" w14:textId="77777777" w:rsidR="001B6AB1" w:rsidRPr="006918A0" w:rsidRDefault="001B6AB1" w:rsidP="00B330E1">
            <w:pPr>
              <w:spacing w:before="20" w:after="20" w:line="276" w:lineRule="auto"/>
              <w:jc w:val="right"/>
              <w:rPr>
                <w:noProof/>
                <w:sz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4DE82400" w14:textId="77777777" w:rsidR="001B6AB1" w:rsidRPr="006918A0" w:rsidRDefault="001B6AB1" w:rsidP="00B330E1">
            <w:pPr>
              <w:spacing w:before="20" w:after="20" w:line="276" w:lineRule="auto"/>
              <w:jc w:val="right"/>
              <w:rPr>
                <w:noProof/>
                <w:sz w:val="20"/>
              </w:rPr>
            </w:pPr>
          </w:p>
        </w:tc>
        <w:tc>
          <w:tcPr>
            <w:tcW w:w="614" w:type="pct"/>
            <w:gridSpan w:val="2"/>
            <w:tcBorders>
              <w:top w:val="single" w:sz="4" w:space="0" w:color="auto"/>
              <w:left w:val="single" w:sz="4" w:space="0" w:color="auto"/>
              <w:bottom w:val="single" w:sz="4" w:space="0" w:color="auto"/>
              <w:right w:val="single" w:sz="4" w:space="0" w:color="auto"/>
            </w:tcBorders>
            <w:vAlign w:val="center"/>
          </w:tcPr>
          <w:p w14:paraId="5DB9F661" w14:textId="77777777" w:rsidR="001B6AB1" w:rsidRPr="006918A0" w:rsidRDefault="001B6AB1" w:rsidP="00B330E1">
            <w:pPr>
              <w:spacing w:before="20" w:after="20" w:line="276" w:lineRule="auto"/>
              <w:jc w:val="right"/>
              <w:rPr>
                <w:b/>
                <w:bCs/>
                <w:noProof/>
                <w:sz w:val="20"/>
              </w:rPr>
            </w:pPr>
          </w:p>
        </w:tc>
      </w:tr>
      <w:tr w:rsidR="001B6AB1" w:rsidRPr="006918A0" w14:paraId="5EFD0F1C" w14:textId="77777777" w:rsidTr="00B330E1">
        <w:trPr>
          <w:gridAfter w:val="1"/>
          <w:wAfter w:w="195" w:type="pc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2C2D37" w14:textId="77777777" w:rsidR="001B6AB1" w:rsidRPr="006918A0" w:rsidRDefault="001B6AB1" w:rsidP="00B330E1">
            <w:pPr>
              <w:spacing w:before="0" w:after="0" w:line="276" w:lineRule="auto"/>
              <w:jc w:val="left"/>
              <w:rPr>
                <w:b/>
                <w:noProof/>
              </w:rPr>
            </w:pPr>
          </w:p>
        </w:tc>
        <w:tc>
          <w:tcPr>
            <w:tcW w:w="723" w:type="pct"/>
            <w:gridSpan w:val="4"/>
            <w:tcBorders>
              <w:top w:val="single" w:sz="4" w:space="0" w:color="auto"/>
              <w:left w:val="single" w:sz="4" w:space="0" w:color="auto"/>
              <w:bottom w:val="single" w:sz="4" w:space="0" w:color="auto"/>
              <w:right w:val="single" w:sz="4" w:space="0" w:color="auto"/>
            </w:tcBorders>
            <w:vAlign w:val="center"/>
          </w:tcPr>
          <w:p w14:paraId="00CF8FEB" w14:textId="77777777" w:rsidR="001B6AB1" w:rsidRPr="006918A0" w:rsidRDefault="001B6AB1" w:rsidP="00B330E1">
            <w:pPr>
              <w:spacing w:line="276" w:lineRule="auto"/>
              <w:rPr>
                <w:noProof/>
                <w:sz w:val="14"/>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35D0E471" w14:textId="77777777" w:rsidR="001B6AB1" w:rsidRPr="006918A0" w:rsidRDefault="001B6AB1" w:rsidP="00B330E1">
            <w:pPr>
              <w:spacing w:before="20" w:after="20" w:line="276" w:lineRule="auto"/>
              <w:jc w:val="right"/>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29D89420" w14:textId="77777777" w:rsidR="001B6AB1" w:rsidRPr="006918A0" w:rsidRDefault="001B6AB1" w:rsidP="00B330E1">
            <w:pPr>
              <w:spacing w:before="20" w:after="20" w:line="276" w:lineRule="auto"/>
              <w:jc w:val="right"/>
              <w:rPr>
                <w:noProof/>
                <w:sz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74B76318" w14:textId="77777777" w:rsidR="001B6AB1" w:rsidRPr="006918A0" w:rsidRDefault="001B6AB1" w:rsidP="00B330E1">
            <w:pPr>
              <w:spacing w:before="20" w:after="20" w:line="276" w:lineRule="auto"/>
              <w:jc w:val="right"/>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3A6176E5" w14:textId="77777777" w:rsidR="001B6AB1" w:rsidRPr="006918A0" w:rsidRDefault="001B6AB1" w:rsidP="00B330E1">
            <w:pPr>
              <w:spacing w:before="20" w:after="20" w:line="276" w:lineRule="auto"/>
              <w:jc w:val="right"/>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481B0DAD" w14:textId="77777777" w:rsidR="001B6AB1" w:rsidRPr="006918A0" w:rsidRDefault="001B6AB1" w:rsidP="00B330E1">
            <w:pPr>
              <w:spacing w:before="20" w:after="20" w:line="276" w:lineRule="auto"/>
              <w:jc w:val="right"/>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50E8818F" w14:textId="77777777" w:rsidR="001B6AB1" w:rsidRPr="006918A0" w:rsidRDefault="001B6AB1" w:rsidP="00B330E1">
            <w:pPr>
              <w:spacing w:before="20" w:after="20" w:line="276" w:lineRule="auto"/>
              <w:jc w:val="right"/>
              <w:rPr>
                <w:noProof/>
                <w:sz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02BF3161" w14:textId="77777777" w:rsidR="001B6AB1" w:rsidRPr="006918A0" w:rsidRDefault="001B6AB1" w:rsidP="00B330E1">
            <w:pPr>
              <w:spacing w:before="20" w:after="20" w:line="276" w:lineRule="auto"/>
              <w:jc w:val="right"/>
              <w:rPr>
                <w:noProof/>
                <w:sz w:val="20"/>
              </w:rPr>
            </w:pPr>
          </w:p>
        </w:tc>
        <w:tc>
          <w:tcPr>
            <w:tcW w:w="614" w:type="pct"/>
            <w:gridSpan w:val="2"/>
            <w:tcBorders>
              <w:top w:val="single" w:sz="4" w:space="0" w:color="auto"/>
              <w:left w:val="single" w:sz="4" w:space="0" w:color="auto"/>
              <w:bottom w:val="single" w:sz="4" w:space="0" w:color="auto"/>
              <w:right w:val="single" w:sz="4" w:space="0" w:color="auto"/>
            </w:tcBorders>
            <w:vAlign w:val="center"/>
          </w:tcPr>
          <w:p w14:paraId="7BD61553" w14:textId="77777777" w:rsidR="001B6AB1" w:rsidRPr="006918A0" w:rsidRDefault="001B6AB1" w:rsidP="00B330E1">
            <w:pPr>
              <w:spacing w:before="20" w:after="20" w:line="276" w:lineRule="auto"/>
              <w:jc w:val="right"/>
              <w:rPr>
                <w:b/>
                <w:bCs/>
                <w:noProof/>
                <w:sz w:val="20"/>
              </w:rPr>
            </w:pPr>
          </w:p>
        </w:tc>
      </w:tr>
    </w:tbl>
    <w:p w14:paraId="2D397C9D" w14:textId="77777777" w:rsidR="001B6AB1" w:rsidRPr="006918A0" w:rsidRDefault="001B6AB1" w:rsidP="001B6AB1">
      <w:pPr>
        <w:rPr>
          <w:noProof/>
        </w:rPr>
      </w:pPr>
    </w:p>
    <w:p w14:paraId="116E6BE7" w14:textId="77777777" w:rsidR="001B6AB1" w:rsidRPr="006918A0" w:rsidRDefault="001B6AB1" w:rsidP="001B6AB1">
      <w:pPr>
        <w:pStyle w:val="ManualHeading3"/>
        <w:rPr>
          <w:noProof/>
          <w:szCs w:val="24"/>
        </w:rPr>
      </w:pPr>
      <w:r>
        <w:rPr>
          <w:noProof/>
        </w:rPr>
        <w:tab/>
        <w:t>3.2.2.</w:t>
      </w:r>
      <w:r>
        <w:rPr>
          <w:noProof/>
        </w:rPr>
        <w:tab/>
        <w:t xml:space="preserve">Arvioidut vaikutukset toimintamäärärahoihin </w:t>
      </w:r>
    </w:p>
    <w:p w14:paraId="542E40BA" w14:textId="77777777" w:rsidR="001B6AB1" w:rsidRPr="006918A0" w:rsidRDefault="001B6AB1" w:rsidP="001B6AB1">
      <w:pPr>
        <w:tabs>
          <w:tab w:val="num" w:pos="1134"/>
        </w:tabs>
        <w:ind w:left="1134" w:hanging="283"/>
        <w:rPr>
          <w:rFonts w:eastAsia="Times New Roman"/>
          <w:noProof/>
        </w:rPr>
      </w:pPr>
      <w:r>
        <w:rPr>
          <w:rFonts w:ascii="Wingdings" w:hAnsi="Wingdings"/>
          <w:noProof/>
        </w:rPr>
        <w:t></w:t>
      </w:r>
      <w:r>
        <w:rPr>
          <w:noProof/>
        </w:rPr>
        <w:tab/>
        <w:t xml:space="preserve">Ehdotus/aloite ei edellytä toimintamäärärahoja. </w:t>
      </w:r>
    </w:p>
    <w:p w14:paraId="0D76082C" w14:textId="77777777" w:rsidR="001B6AB1" w:rsidRPr="006918A0" w:rsidRDefault="001B6AB1" w:rsidP="001B6AB1">
      <w:pPr>
        <w:tabs>
          <w:tab w:val="num" w:pos="1134"/>
        </w:tabs>
        <w:ind w:left="1134" w:hanging="283"/>
        <w:rPr>
          <w:rFonts w:eastAsia="Times New Roman"/>
          <w:noProof/>
        </w:rPr>
      </w:pPr>
      <w:r>
        <w:rPr>
          <w:rFonts w:ascii="Wingdings" w:hAnsi="Wingdings"/>
          <w:noProof/>
        </w:rPr>
        <w:t></w:t>
      </w:r>
      <w:r>
        <w:rPr>
          <w:noProof/>
        </w:rPr>
        <w:tab/>
        <w:t>Ehdotus/aloite edellyttää toimintamäärärahoja seuraavasti:</w:t>
      </w:r>
    </w:p>
    <w:p w14:paraId="04244958" w14:textId="77777777" w:rsidR="001B6AB1" w:rsidRPr="006918A0" w:rsidRDefault="001B6AB1" w:rsidP="001B6AB1">
      <w:pPr>
        <w:jc w:val="right"/>
        <w:rPr>
          <w:noProof/>
          <w:sz w:val="20"/>
        </w:rPr>
      </w:pPr>
      <w:r>
        <w:rPr>
          <w:noProof/>
          <w:sz w:val="20"/>
        </w:rPr>
        <w:t>maksusitoumusmäärärahat, milj. euroa (kolmen desimaalin tarkkuudella)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772"/>
        <w:gridCol w:w="984"/>
        <w:gridCol w:w="613"/>
        <w:gridCol w:w="837"/>
        <w:gridCol w:w="613"/>
        <w:gridCol w:w="837"/>
        <w:gridCol w:w="613"/>
        <w:gridCol w:w="837"/>
        <w:gridCol w:w="613"/>
        <w:gridCol w:w="837"/>
        <w:gridCol w:w="613"/>
        <w:gridCol w:w="837"/>
        <w:gridCol w:w="216"/>
        <w:gridCol w:w="436"/>
        <w:gridCol w:w="702"/>
        <w:gridCol w:w="216"/>
        <w:gridCol w:w="283"/>
        <w:gridCol w:w="339"/>
        <w:gridCol w:w="301"/>
        <w:gridCol w:w="216"/>
        <w:gridCol w:w="840"/>
      </w:tblGrid>
      <w:tr w:rsidR="001B6AB1" w:rsidRPr="006918A0" w14:paraId="276424B9" w14:textId="77777777" w:rsidTr="00B330E1">
        <w:trPr>
          <w:jc w:val="center"/>
        </w:trPr>
        <w:tc>
          <w:tcPr>
            <w:tcW w:w="483" w:type="pct"/>
            <w:vMerge w:val="restart"/>
            <w:tcBorders>
              <w:top w:val="single" w:sz="4" w:space="0" w:color="auto"/>
              <w:left w:val="single" w:sz="4" w:space="0" w:color="auto"/>
              <w:bottom w:val="single" w:sz="4" w:space="0" w:color="auto"/>
              <w:right w:val="single" w:sz="4" w:space="0" w:color="auto"/>
            </w:tcBorders>
            <w:vAlign w:val="center"/>
          </w:tcPr>
          <w:p w14:paraId="7F1E61C6" w14:textId="77777777" w:rsidR="001B6AB1" w:rsidRPr="006918A0" w:rsidRDefault="001B6AB1" w:rsidP="00B330E1">
            <w:pPr>
              <w:spacing w:line="276" w:lineRule="auto"/>
              <w:ind w:right="-29"/>
              <w:jc w:val="center"/>
              <w:rPr>
                <w:b/>
                <w:noProof/>
                <w:sz w:val="18"/>
                <w:szCs w:val="18"/>
              </w:rPr>
            </w:pPr>
            <w:r>
              <w:rPr>
                <w:b/>
                <w:noProof/>
                <w:sz w:val="18"/>
              </w:rPr>
              <w:t xml:space="preserve">Tavoitteet ja tuotokset </w:t>
            </w:r>
          </w:p>
          <w:p w14:paraId="4B99DA98" w14:textId="77777777" w:rsidR="001B6AB1" w:rsidRPr="006918A0" w:rsidRDefault="001B6AB1" w:rsidP="00B330E1">
            <w:pPr>
              <w:spacing w:line="276" w:lineRule="auto"/>
              <w:ind w:right="-29"/>
              <w:jc w:val="center"/>
              <w:rPr>
                <w:b/>
                <w:noProof/>
                <w:sz w:val="18"/>
                <w:szCs w:val="18"/>
              </w:rPr>
            </w:pPr>
          </w:p>
          <w:p w14:paraId="6863E82F" w14:textId="77777777" w:rsidR="001B6AB1" w:rsidRPr="006918A0" w:rsidRDefault="001B6AB1" w:rsidP="00B330E1">
            <w:pPr>
              <w:spacing w:line="276" w:lineRule="auto"/>
              <w:ind w:right="-29"/>
              <w:jc w:val="center"/>
              <w:rPr>
                <w:noProof/>
                <w:sz w:val="18"/>
                <w:szCs w:val="18"/>
              </w:rPr>
            </w:pPr>
            <w:r>
              <w:rPr>
                <w:noProof/>
                <w:sz w:val="18"/>
              </w:rPr>
              <w:sym w:font="Wingdings" w:char="F0F2"/>
            </w:r>
          </w:p>
        </w:tc>
        <w:tc>
          <w:tcPr>
            <w:tcW w:w="249" w:type="pct"/>
            <w:tcBorders>
              <w:top w:val="single" w:sz="4" w:space="0" w:color="auto"/>
              <w:left w:val="single" w:sz="4" w:space="0" w:color="auto"/>
              <w:bottom w:val="single" w:sz="4" w:space="0" w:color="auto"/>
              <w:right w:val="single" w:sz="4" w:space="0" w:color="auto"/>
            </w:tcBorders>
            <w:vAlign w:val="center"/>
          </w:tcPr>
          <w:p w14:paraId="5BCF53A6" w14:textId="77777777" w:rsidR="001B6AB1" w:rsidRPr="006918A0" w:rsidRDefault="001B6AB1" w:rsidP="00B330E1">
            <w:pPr>
              <w:spacing w:line="276" w:lineRule="auto"/>
              <w:ind w:right="-29"/>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vAlign w:val="center"/>
          </w:tcPr>
          <w:p w14:paraId="3BC8FBD2" w14:textId="77777777" w:rsidR="001B6AB1" w:rsidRPr="006918A0" w:rsidRDefault="001B6AB1" w:rsidP="00B330E1">
            <w:pPr>
              <w:spacing w:line="276" w:lineRule="auto"/>
              <w:ind w:right="-29"/>
              <w:jc w:val="center"/>
              <w:rPr>
                <w:noProof/>
                <w:sz w:val="18"/>
                <w:szCs w:val="18"/>
              </w:rPr>
            </w:pPr>
          </w:p>
        </w:tc>
        <w:tc>
          <w:tcPr>
            <w:tcW w:w="551" w:type="pct"/>
            <w:gridSpan w:val="2"/>
            <w:tcBorders>
              <w:top w:val="single" w:sz="4" w:space="0" w:color="auto"/>
              <w:left w:val="nil"/>
              <w:bottom w:val="single" w:sz="4" w:space="0" w:color="auto"/>
              <w:right w:val="single" w:sz="4" w:space="0" w:color="auto"/>
            </w:tcBorders>
            <w:vAlign w:val="center"/>
            <w:hideMark/>
          </w:tcPr>
          <w:p w14:paraId="28716C13" w14:textId="77777777" w:rsidR="001B6AB1" w:rsidRPr="006918A0" w:rsidRDefault="001B6AB1" w:rsidP="00B330E1">
            <w:pPr>
              <w:spacing w:line="276" w:lineRule="auto"/>
              <w:ind w:right="-29"/>
              <w:jc w:val="center"/>
              <w:rPr>
                <w:noProof/>
                <w:sz w:val="18"/>
                <w:szCs w:val="18"/>
              </w:rPr>
            </w:pPr>
            <w:r>
              <w:rPr>
                <w:noProof/>
                <w:sz w:val="18"/>
              </w:rPr>
              <w:t>2023</w:t>
            </w:r>
          </w:p>
        </w:tc>
        <w:tc>
          <w:tcPr>
            <w:tcW w:w="537" w:type="pct"/>
            <w:gridSpan w:val="2"/>
            <w:tcBorders>
              <w:top w:val="single" w:sz="4" w:space="0" w:color="auto"/>
              <w:left w:val="single" w:sz="4" w:space="0" w:color="auto"/>
              <w:bottom w:val="single" w:sz="4" w:space="0" w:color="auto"/>
              <w:right w:val="single" w:sz="4" w:space="0" w:color="auto"/>
            </w:tcBorders>
            <w:vAlign w:val="center"/>
            <w:hideMark/>
          </w:tcPr>
          <w:p w14:paraId="224BE501" w14:textId="77777777" w:rsidR="001B6AB1" w:rsidRPr="006918A0" w:rsidRDefault="001B6AB1" w:rsidP="00B330E1">
            <w:pPr>
              <w:spacing w:line="276" w:lineRule="auto"/>
              <w:ind w:right="-29"/>
              <w:jc w:val="center"/>
              <w:rPr>
                <w:noProof/>
                <w:sz w:val="18"/>
                <w:szCs w:val="18"/>
              </w:rPr>
            </w:pPr>
            <w:r>
              <w:rPr>
                <w:noProof/>
                <w:sz w:val="18"/>
              </w:rPr>
              <w:t>2024</w:t>
            </w:r>
          </w:p>
        </w:tc>
        <w:tc>
          <w:tcPr>
            <w:tcW w:w="544" w:type="pct"/>
            <w:gridSpan w:val="2"/>
            <w:tcBorders>
              <w:top w:val="single" w:sz="4" w:space="0" w:color="auto"/>
              <w:left w:val="single" w:sz="4" w:space="0" w:color="auto"/>
              <w:bottom w:val="single" w:sz="4" w:space="0" w:color="auto"/>
              <w:right w:val="single" w:sz="4" w:space="0" w:color="auto"/>
            </w:tcBorders>
            <w:vAlign w:val="center"/>
            <w:hideMark/>
          </w:tcPr>
          <w:p w14:paraId="549D1182" w14:textId="77777777" w:rsidR="001B6AB1" w:rsidRPr="006918A0" w:rsidRDefault="001B6AB1" w:rsidP="00B330E1">
            <w:pPr>
              <w:spacing w:line="276" w:lineRule="auto"/>
              <w:ind w:right="-29"/>
              <w:jc w:val="center"/>
              <w:rPr>
                <w:noProof/>
                <w:sz w:val="18"/>
                <w:szCs w:val="18"/>
              </w:rPr>
            </w:pPr>
            <w:r>
              <w:rPr>
                <w:noProof/>
                <w:sz w:val="18"/>
              </w:rPr>
              <w:t>2025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14:paraId="28B58045" w14:textId="77777777" w:rsidR="001B6AB1" w:rsidRPr="006918A0" w:rsidRDefault="001B6AB1" w:rsidP="00B330E1">
            <w:pPr>
              <w:spacing w:line="276" w:lineRule="auto"/>
              <w:ind w:right="-29"/>
              <w:jc w:val="center"/>
              <w:rPr>
                <w:noProof/>
                <w:sz w:val="18"/>
                <w:szCs w:val="18"/>
              </w:rPr>
            </w:pPr>
            <w:r>
              <w:rPr>
                <w:noProof/>
                <w:sz w:val="18"/>
              </w:rPr>
              <w:t>2026</w:t>
            </w:r>
          </w:p>
        </w:tc>
        <w:tc>
          <w:tcPr>
            <w:tcW w:w="507" w:type="pct"/>
            <w:gridSpan w:val="3"/>
            <w:tcBorders>
              <w:top w:val="single" w:sz="4" w:space="0" w:color="auto"/>
              <w:left w:val="single" w:sz="4" w:space="0" w:color="auto"/>
              <w:bottom w:val="single" w:sz="4" w:space="0" w:color="auto"/>
              <w:right w:val="single" w:sz="4" w:space="0" w:color="auto"/>
            </w:tcBorders>
            <w:vAlign w:val="center"/>
            <w:hideMark/>
          </w:tcPr>
          <w:p w14:paraId="56069AF3" w14:textId="77777777" w:rsidR="001B6AB1" w:rsidRPr="006918A0" w:rsidRDefault="001B6AB1" w:rsidP="00B330E1">
            <w:pPr>
              <w:spacing w:line="276" w:lineRule="auto"/>
              <w:jc w:val="center"/>
              <w:rPr>
                <w:noProof/>
                <w:sz w:val="18"/>
                <w:szCs w:val="18"/>
              </w:rPr>
            </w:pPr>
            <w:r>
              <w:rPr>
                <w:noProof/>
                <w:sz w:val="18"/>
              </w:rPr>
              <w:t>2027</w:t>
            </w:r>
          </w:p>
        </w:tc>
        <w:tc>
          <w:tcPr>
            <w:tcW w:w="559" w:type="pct"/>
            <w:gridSpan w:val="3"/>
            <w:tcBorders>
              <w:top w:val="single" w:sz="4" w:space="0" w:color="auto"/>
              <w:left w:val="single" w:sz="4" w:space="0" w:color="auto"/>
              <w:bottom w:val="single" w:sz="4" w:space="0" w:color="auto"/>
              <w:right w:val="single" w:sz="4" w:space="0" w:color="auto"/>
            </w:tcBorders>
            <w:vAlign w:val="center"/>
            <w:hideMark/>
          </w:tcPr>
          <w:p w14:paraId="56734BD8" w14:textId="77777777" w:rsidR="001B6AB1" w:rsidRPr="006918A0" w:rsidRDefault="001B6AB1" w:rsidP="00B330E1">
            <w:pPr>
              <w:spacing w:line="276" w:lineRule="auto"/>
              <w:jc w:val="center"/>
              <w:rPr>
                <w:noProof/>
                <w:sz w:val="18"/>
                <w:szCs w:val="18"/>
              </w:rPr>
            </w:pPr>
            <w:r>
              <w:rPr>
                <w:noProof/>
                <w:sz w:val="18"/>
              </w:rPr>
              <w:t>2028</w:t>
            </w:r>
          </w:p>
        </w:tc>
        <w:tc>
          <w:tcPr>
            <w:tcW w:w="627" w:type="pct"/>
            <w:gridSpan w:val="5"/>
            <w:tcBorders>
              <w:top w:val="single" w:sz="4" w:space="0" w:color="auto"/>
              <w:left w:val="nil"/>
              <w:bottom w:val="nil"/>
              <w:right w:val="single" w:sz="4" w:space="0" w:color="auto"/>
            </w:tcBorders>
            <w:vAlign w:val="center"/>
            <w:hideMark/>
          </w:tcPr>
          <w:p w14:paraId="20318911" w14:textId="77777777" w:rsidR="001B6AB1" w:rsidRPr="006918A0" w:rsidRDefault="001B6AB1" w:rsidP="00B330E1">
            <w:pPr>
              <w:spacing w:line="276" w:lineRule="auto"/>
              <w:ind w:right="-29"/>
              <w:jc w:val="center"/>
              <w:rPr>
                <w:noProof/>
                <w:sz w:val="18"/>
                <w:szCs w:val="18"/>
              </w:rPr>
            </w:pPr>
            <w:r>
              <w:rPr>
                <w:b/>
                <w:noProof/>
                <w:sz w:val="18"/>
              </w:rPr>
              <w:t>YHTEENSÄ</w:t>
            </w:r>
          </w:p>
        </w:tc>
      </w:tr>
      <w:tr w:rsidR="001B6AB1" w:rsidRPr="006918A0" w14:paraId="6BFEE1A5" w14:textId="77777777" w:rsidTr="00B330E1">
        <w:trPr>
          <w:jc w:val="center"/>
        </w:trPr>
        <w:tc>
          <w:tcPr>
            <w:tcW w:w="0" w:type="auto"/>
            <w:vMerge/>
            <w:vAlign w:val="center"/>
            <w:hideMark/>
          </w:tcPr>
          <w:p w14:paraId="47E194FD" w14:textId="77777777" w:rsidR="001B6AB1" w:rsidRPr="006918A0" w:rsidRDefault="001B6AB1" w:rsidP="00B330E1">
            <w:pPr>
              <w:spacing w:before="0" w:after="0" w:line="276" w:lineRule="auto"/>
              <w:jc w:val="left"/>
              <w:rPr>
                <w:noProof/>
                <w:sz w:val="18"/>
                <w:szCs w:val="18"/>
              </w:rPr>
            </w:pPr>
          </w:p>
        </w:tc>
        <w:tc>
          <w:tcPr>
            <w:tcW w:w="4517" w:type="pct"/>
            <w:gridSpan w:val="21"/>
            <w:tcBorders>
              <w:top w:val="single" w:sz="4" w:space="0" w:color="auto"/>
              <w:left w:val="single" w:sz="4" w:space="0" w:color="auto"/>
              <w:bottom w:val="single" w:sz="4" w:space="0" w:color="auto"/>
              <w:right w:val="single" w:sz="4" w:space="0" w:color="auto"/>
            </w:tcBorders>
            <w:vAlign w:val="center"/>
            <w:hideMark/>
          </w:tcPr>
          <w:p w14:paraId="341D8833" w14:textId="77777777" w:rsidR="001B6AB1" w:rsidRPr="006918A0" w:rsidRDefault="001B6AB1" w:rsidP="00B330E1">
            <w:pPr>
              <w:spacing w:before="60" w:after="60" w:line="276" w:lineRule="auto"/>
              <w:ind w:right="-29"/>
              <w:jc w:val="center"/>
              <w:rPr>
                <w:noProof/>
                <w:sz w:val="18"/>
                <w:szCs w:val="18"/>
              </w:rPr>
            </w:pPr>
            <w:r>
              <w:rPr>
                <w:b/>
                <w:noProof/>
                <w:sz w:val="18"/>
              </w:rPr>
              <w:t>TUOTOKSET</w:t>
            </w:r>
          </w:p>
        </w:tc>
      </w:tr>
      <w:tr w:rsidR="001B6AB1" w:rsidRPr="006918A0" w14:paraId="60980BDF" w14:textId="77777777" w:rsidTr="00B330E1">
        <w:trPr>
          <w:cantSplit/>
          <w:trHeight w:val="11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235DF8" w14:textId="77777777" w:rsidR="001B6AB1" w:rsidRPr="006918A0" w:rsidRDefault="001B6AB1" w:rsidP="00B330E1">
            <w:pPr>
              <w:spacing w:before="0" w:after="0" w:line="276" w:lineRule="auto"/>
              <w:jc w:val="left"/>
              <w:rPr>
                <w:noProof/>
                <w:sz w:val="18"/>
                <w:szCs w:val="18"/>
              </w:rPr>
            </w:pPr>
          </w:p>
        </w:tc>
        <w:tc>
          <w:tcPr>
            <w:tcW w:w="249" w:type="pct"/>
            <w:tcBorders>
              <w:top w:val="single" w:sz="4" w:space="0" w:color="auto"/>
              <w:left w:val="single" w:sz="4" w:space="0" w:color="auto"/>
              <w:bottom w:val="single" w:sz="4" w:space="0" w:color="auto"/>
              <w:right w:val="single" w:sz="4" w:space="0" w:color="auto"/>
            </w:tcBorders>
            <w:vAlign w:val="center"/>
          </w:tcPr>
          <w:p w14:paraId="63D8C3A4" w14:textId="77777777" w:rsidR="001B6AB1" w:rsidRPr="006918A0" w:rsidRDefault="001B6AB1" w:rsidP="00B330E1">
            <w:pPr>
              <w:spacing w:line="276" w:lineRule="auto"/>
              <w:jc w:val="center"/>
              <w:rPr>
                <w:noProof/>
                <w:sz w:val="18"/>
                <w:szCs w:val="18"/>
              </w:rPr>
            </w:pPr>
            <w:r>
              <w:rPr>
                <w:noProof/>
                <w:sz w:val="18"/>
              </w:rPr>
              <w:t>Tyyppi</w:t>
            </w:r>
            <w:r>
              <w:rPr>
                <w:rStyle w:val="FootnoteReference"/>
                <w:noProof/>
              </w:rPr>
              <w:footnoteReference w:id="52"/>
            </w:r>
          </w:p>
          <w:p w14:paraId="0DD64E89" w14:textId="77777777" w:rsidR="001B6AB1" w:rsidRPr="006918A0" w:rsidRDefault="001B6AB1" w:rsidP="00B330E1">
            <w:pPr>
              <w:spacing w:before="0" w:after="0" w:line="276" w:lineRule="auto"/>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vAlign w:val="center"/>
            <w:hideMark/>
          </w:tcPr>
          <w:p w14:paraId="718F9D15" w14:textId="77777777" w:rsidR="001B6AB1" w:rsidRPr="006918A0" w:rsidRDefault="001B6AB1" w:rsidP="00B330E1">
            <w:pPr>
              <w:spacing w:line="276" w:lineRule="auto"/>
              <w:jc w:val="center"/>
              <w:rPr>
                <w:noProof/>
                <w:sz w:val="18"/>
                <w:szCs w:val="18"/>
              </w:rPr>
            </w:pPr>
            <w:r>
              <w:rPr>
                <w:noProof/>
                <w:sz w:val="18"/>
              </w:rPr>
              <w:t>Keskimäär. kustannukset</w:t>
            </w:r>
          </w:p>
        </w:tc>
        <w:tc>
          <w:tcPr>
            <w:tcW w:w="285" w:type="pct"/>
            <w:tcBorders>
              <w:top w:val="single" w:sz="4" w:space="0" w:color="auto"/>
              <w:left w:val="nil"/>
              <w:bottom w:val="single" w:sz="4" w:space="0" w:color="auto"/>
              <w:right w:val="dashSmallGap" w:sz="4" w:space="0" w:color="auto"/>
            </w:tcBorders>
            <w:shd w:val="pct10" w:color="auto" w:fill="auto"/>
            <w:textDirection w:val="btLr"/>
            <w:vAlign w:val="center"/>
            <w:hideMark/>
          </w:tcPr>
          <w:p w14:paraId="2D8A1B20" w14:textId="77777777" w:rsidR="001B6AB1" w:rsidRPr="006918A0" w:rsidRDefault="001B6AB1" w:rsidP="00B330E1">
            <w:pPr>
              <w:spacing w:line="276" w:lineRule="auto"/>
              <w:ind w:left="113" w:right="113"/>
              <w:jc w:val="center"/>
              <w:rPr>
                <w:noProof/>
                <w:sz w:val="18"/>
                <w:szCs w:val="18"/>
              </w:rPr>
            </w:pPr>
            <w:r>
              <w:rPr>
                <w:noProof/>
                <w:sz w:val="18"/>
              </w:rPr>
              <w:t>Lkm</w:t>
            </w:r>
          </w:p>
        </w:tc>
        <w:tc>
          <w:tcPr>
            <w:tcW w:w="266" w:type="pct"/>
            <w:tcBorders>
              <w:top w:val="single" w:sz="4" w:space="0" w:color="auto"/>
              <w:left w:val="dashSmallGap" w:sz="4" w:space="0" w:color="auto"/>
              <w:bottom w:val="single" w:sz="4" w:space="0" w:color="auto"/>
              <w:right w:val="single" w:sz="4" w:space="0" w:color="auto"/>
            </w:tcBorders>
            <w:shd w:val="pct10" w:color="auto" w:fill="auto"/>
            <w:vAlign w:val="center"/>
            <w:hideMark/>
          </w:tcPr>
          <w:p w14:paraId="263F7511" w14:textId="77777777" w:rsidR="001B6AB1" w:rsidRPr="006918A0" w:rsidRDefault="001B6AB1" w:rsidP="00B330E1">
            <w:pPr>
              <w:spacing w:line="276" w:lineRule="auto"/>
              <w:jc w:val="center"/>
              <w:rPr>
                <w:noProof/>
                <w:sz w:val="18"/>
                <w:szCs w:val="18"/>
              </w:rPr>
            </w:pPr>
            <w:r>
              <w:rPr>
                <w:noProof/>
                <w:sz w:val="18"/>
              </w:rPr>
              <w:t>Kustannus</w:t>
            </w:r>
          </w:p>
        </w:tc>
        <w:tc>
          <w:tcPr>
            <w:tcW w:w="281" w:type="pct"/>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6B7AC9DE" w14:textId="77777777" w:rsidR="001B6AB1" w:rsidRPr="006918A0" w:rsidRDefault="001B6AB1" w:rsidP="00B330E1">
            <w:pPr>
              <w:spacing w:line="276" w:lineRule="auto"/>
              <w:ind w:left="113" w:right="113"/>
              <w:jc w:val="center"/>
              <w:rPr>
                <w:noProof/>
                <w:sz w:val="18"/>
                <w:szCs w:val="18"/>
              </w:rPr>
            </w:pPr>
            <w:r>
              <w:rPr>
                <w:noProof/>
                <w:sz w:val="18"/>
              </w:rPr>
              <w:t>Lkm</w:t>
            </w:r>
          </w:p>
        </w:tc>
        <w:tc>
          <w:tcPr>
            <w:tcW w:w="256" w:type="pct"/>
            <w:tcBorders>
              <w:top w:val="single" w:sz="4" w:space="0" w:color="auto"/>
              <w:left w:val="dashSmallGap" w:sz="4" w:space="0" w:color="auto"/>
              <w:bottom w:val="single" w:sz="4" w:space="0" w:color="auto"/>
              <w:right w:val="single" w:sz="4" w:space="0" w:color="auto"/>
            </w:tcBorders>
            <w:shd w:val="pct10" w:color="auto" w:fill="auto"/>
            <w:vAlign w:val="center"/>
            <w:hideMark/>
          </w:tcPr>
          <w:p w14:paraId="609F286E" w14:textId="77777777" w:rsidR="001B6AB1" w:rsidRPr="006918A0" w:rsidRDefault="001B6AB1" w:rsidP="00B330E1">
            <w:pPr>
              <w:spacing w:line="276" w:lineRule="auto"/>
              <w:jc w:val="center"/>
              <w:rPr>
                <w:noProof/>
                <w:sz w:val="18"/>
                <w:szCs w:val="18"/>
              </w:rPr>
            </w:pPr>
            <w:r>
              <w:rPr>
                <w:noProof/>
                <w:sz w:val="18"/>
              </w:rPr>
              <w:t>Kustannus</w:t>
            </w:r>
          </w:p>
        </w:tc>
        <w:tc>
          <w:tcPr>
            <w:tcW w:w="298" w:type="pct"/>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54DEFB9F" w14:textId="77777777" w:rsidR="001B6AB1" w:rsidRPr="006918A0" w:rsidRDefault="001B6AB1" w:rsidP="00B330E1">
            <w:pPr>
              <w:spacing w:line="276" w:lineRule="auto"/>
              <w:ind w:left="113" w:right="113"/>
              <w:jc w:val="center"/>
              <w:rPr>
                <w:noProof/>
                <w:sz w:val="18"/>
                <w:szCs w:val="18"/>
              </w:rPr>
            </w:pPr>
            <w:r>
              <w:rPr>
                <w:noProof/>
                <w:sz w:val="18"/>
              </w:rPr>
              <w:t>Lkm</w:t>
            </w:r>
          </w:p>
        </w:tc>
        <w:tc>
          <w:tcPr>
            <w:tcW w:w="246" w:type="pct"/>
            <w:tcBorders>
              <w:top w:val="single" w:sz="4" w:space="0" w:color="auto"/>
              <w:left w:val="dashSmallGap" w:sz="4" w:space="0" w:color="auto"/>
              <w:bottom w:val="single" w:sz="4" w:space="0" w:color="auto"/>
              <w:right w:val="single" w:sz="4" w:space="0" w:color="auto"/>
            </w:tcBorders>
            <w:shd w:val="pct10" w:color="auto" w:fill="auto"/>
            <w:vAlign w:val="center"/>
            <w:hideMark/>
          </w:tcPr>
          <w:p w14:paraId="0967DFAD" w14:textId="77777777" w:rsidR="001B6AB1" w:rsidRPr="006918A0" w:rsidRDefault="001B6AB1" w:rsidP="00B330E1">
            <w:pPr>
              <w:spacing w:line="276" w:lineRule="auto"/>
              <w:jc w:val="center"/>
              <w:rPr>
                <w:noProof/>
                <w:sz w:val="18"/>
                <w:szCs w:val="18"/>
              </w:rPr>
            </w:pPr>
            <w:r>
              <w:rPr>
                <w:noProof/>
                <w:sz w:val="18"/>
              </w:rPr>
              <w:t>Kustannus</w:t>
            </w:r>
          </w:p>
        </w:tc>
        <w:tc>
          <w:tcPr>
            <w:tcW w:w="367" w:type="pct"/>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70FCAC50" w14:textId="77777777" w:rsidR="001B6AB1" w:rsidRPr="006918A0" w:rsidRDefault="001B6AB1" w:rsidP="00B330E1">
            <w:pPr>
              <w:spacing w:line="276" w:lineRule="auto"/>
              <w:ind w:left="113" w:right="113"/>
              <w:jc w:val="center"/>
              <w:rPr>
                <w:noProof/>
                <w:sz w:val="18"/>
                <w:szCs w:val="18"/>
              </w:rPr>
            </w:pPr>
            <w:r>
              <w:rPr>
                <w:noProof/>
                <w:sz w:val="18"/>
              </w:rPr>
              <w:t>Lkm</w:t>
            </w:r>
          </w:p>
        </w:tc>
        <w:tc>
          <w:tcPr>
            <w:tcW w:w="225" w:type="pct"/>
            <w:tcBorders>
              <w:top w:val="single" w:sz="4" w:space="0" w:color="auto"/>
              <w:left w:val="dashSmallGap" w:sz="4" w:space="0" w:color="auto"/>
              <w:bottom w:val="single" w:sz="4" w:space="0" w:color="auto"/>
              <w:right w:val="single" w:sz="4" w:space="0" w:color="auto"/>
            </w:tcBorders>
            <w:shd w:val="pct10" w:color="auto" w:fill="auto"/>
            <w:vAlign w:val="center"/>
            <w:hideMark/>
          </w:tcPr>
          <w:p w14:paraId="286B694F" w14:textId="77777777" w:rsidR="001B6AB1" w:rsidRPr="006918A0" w:rsidRDefault="001B6AB1" w:rsidP="00B330E1">
            <w:pPr>
              <w:spacing w:line="276" w:lineRule="auto"/>
              <w:jc w:val="center"/>
              <w:rPr>
                <w:noProof/>
                <w:sz w:val="18"/>
                <w:szCs w:val="18"/>
              </w:rPr>
            </w:pPr>
            <w:r>
              <w:rPr>
                <w:noProof/>
                <w:sz w:val="18"/>
              </w:rPr>
              <w:t>Kustannus</w:t>
            </w:r>
          </w:p>
        </w:tc>
        <w:tc>
          <w:tcPr>
            <w:tcW w:w="258" w:type="pct"/>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3BB3B312" w14:textId="77777777" w:rsidR="001B6AB1" w:rsidRPr="006918A0" w:rsidRDefault="001B6AB1" w:rsidP="00B330E1">
            <w:pPr>
              <w:spacing w:line="276" w:lineRule="auto"/>
              <w:ind w:left="113" w:right="113"/>
              <w:jc w:val="center"/>
              <w:rPr>
                <w:noProof/>
                <w:sz w:val="18"/>
                <w:szCs w:val="18"/>
              </w:rPr>
            </w:pPr>
            <w:r>
              <w:rPr>
                <w:noProof/>
                <w:sz w:val="18"/>
              </w:rPr>
              <w:t>Lkm</w:t>
            </w:r>
          </w:p>
        </w:tc>
        <w:tc>
          <w:tcPr>
            <w:tcW w:w="241" w:type="pct"/>
            <w:tcBorders>
              <w:top w:val="single" w:sz="4" w:space="0" w:color="auto"/>
              <w:left w:val="dashSmallGap" w:sz="4" w:space="0" w:color="auto"/>
              <w:bottom w:val="single" w:sz="4" w:space="0" w:color="auto"/>
              <w:right w:val="single" w:sz="4" w:space="0" w:color="auto"/>
            </w:tcBorders>
            <w:shd w:val="pct10" w:color="auto" w:fill="auto"/>
            <w:vAlign w:val="center"/>
            <w:hideMark/>
          </w:tcPr>
          <w:p w14:paraId="77E99C4B" w14:textId="77777777" w:rsidR="001B6AB1" w:rsidRPr="006918A0" w:rsidRDefault="001B6AB1" w:rsidP="00B330E1">
            <w:pPr>
              <w:spacing w:line="276" w:lineRule="auto"/>
              <w:jc w:val="center"/>
              <w:rPr>
                <w:noProof/>
                <w:sz w:val="18"/>
                <w:szCs w:val="18"/>
              </w:rPr>
            </w:pPr>
            <w:r>
              <w:rPr>
                <w:noProof/>
                <w:sz w:val="18"/>
              </w:rPr>
              <w:t>Kustannus</w:t>
            </w:r>
          </w:p>
        </w:tc>
        <w:tc>
          <w:tcPr>
            <w:tcW w:w="249" w:type="pct"/>
            <w:gridSpan w:val="2"/>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581DD285" w14:textId="77777777" w:rsidR="001B6AB1" w:rsidRPr="006918A0" w:rsidRDefault="001B6AB1" w:rsidP="00B330E1">
            <w:pPr>
              <w:spacing w:line="276" w:lineRule="auto"/>
              <w:ind w:left="113" w:right="113"/>
              <w:jc w:val="center"/>
              <w:rPr>
                <w:noProof/>
                <w:sz w:val="18"/>
                <w:szCs w:val="18"/>
              </w:rPr>
            </w:pPr>
            <w:r>
              <w:rPr>
                <w:noProof/>
                <w:sz w:val="18"/>
              </w:rPr>
              <w:t>Lkm</w:t>
            </w:r>
          </w:p>
        </w:tc>
        <w:tc>
          <w:tcPr>
            <w:tcW w:w="318" w:type="pct"/>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14:paraId="0B221A1A" w14:textId="77777777" w:rsidR="001B6AB1" w:rsidRPr="006918A0" w:rsidRDefault="001B6AB1" w:rsidP="00B330E1">
            <w:pPr>
              <w:spacing w:line="276" w:lineRule="auto"/>
              <w:jc w:val="center"/>
              <w:rPr>
                <w:noProof/>
                <w:sz w:val="18"/>
                <w:szCs w:val="18"/>
              </w:rPr>
            </w:pPr>
            <w:r>
              <w:rPr>
                <w:noProof/>
                <w:sz w:val="18"/>
              </w:rPr>
              <w:t>Kustannus</w:t>
            </w:r>
          </w:p>
        </w:tc>
        <w:tc>
          <w:tcPr>
            <w:tcW w:w="223" w:type="pct"/>
            <w:gridSpan w:val="3"/>
            <w:tcBorders>
              <w:top w:val="single" w:sz="4" w:space="0" w:color="auto"/>
              <w:left w:val="single" w:sz="4" w:space="0" w:color="auto"/>
              <w:bottom w:val="single" w:sz="4" w:space="0" w:color="auto"/>
              <w:right w:val="dashSmallGap" w:sz="4" w:space="0" w:color="auto"/>
            </w:tcBorders>
            <w:shd w:val="pct10" w:color="auto" w:fill="auto"/>
            <w:vAlign w:val="center"/>
            <w:hideMark/>
          </w:tcPr>
          <w:p w14:paraId="36500C7F" w14:textId="77777777" w:rsidR="001B6AB1" w:rsidRPr="006918A0" w:rsidRDefault="001B6AB1" w:rsidP="00B330E1">
            <w:pPr>
              <w:spacing w:line="276" w:lineRule="auto"/>
              <w:jc w:val="center"/>
              <w:rPr>
                <w:noProof/>
                <w:sz w:val="18"/>
                <w:szCs w:val="18"/>
              </w:rPr>
            </w:pPr>
            <w:r>
              <w:rPr>
                <w:noProof/>
                <w:sz w:val="18"/>
              </w:rPr>
              <w:t>Lukumäärä yhteensä</w:t>
            </w:r>
          </w:p>
        </w:tc>
        <w:tc>
          <w:tcPr>
            <w:tcW w:w="403" w:type="pct"/>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14:paraId="37FC2EB1" w14:textId="77777777" w:rsidR="001B6AB1" w:rsidRPr="006918A0" w:rsidRDefault="001B6AB1" w:rsidP="00B330E1">
            <w:pPr>
              <w:spacing w:line="276" w:lineRule="auto"/>
              <w:jc w:val="center"/>
              <w:rPr>
                <w:noProof/>
                <w:sz w:val="18"/>
                <w:szCs w:val="18"/>
              </w:rPr>
            </w:pPr>
            <w:r>
              <w:rPr>
                <w:noProof/>
                <w:sz w:val="18"/>
              </w:rPr>
              <w:t>Kustannukset yhteensä</w:t>
            </w:r>
          </w:p>
        </w:tc>
      </w:tr>
      <w:tr w:rsidR="001B6AB1" w:rsidRPr="006918A0" w14:paraId="35BBD387" w14:textId="77777777" w:rsidTr="00B330E1">
        <w:trPr>
          <w:jc w:val="center"/>
        </w:trPr>
        <w:tc>
          <w:tcPr>
            <w:tcW w:w="1083" w:type="pct"/>
            <w:gridSpan w:val="3"/>
            <w:tcBorders>
              <w:top w:val="single" w:sz="4" w:space="0" w:color="auto"/>
              <w:left w:val="single" w:sz="4" w:space="0" w:color="auto"/>
              <w:bottom w:val="single" w:sz="4" w:space="0" w:color="auto"/>
              <w:right w:val="single" w:sz="4" w:space="0" w:color="auto"/>
            </w:tcBorders>
            <w:vAlign w:val="center"/>
            <w:hideMark/>
          </w:tcPr>
          <w:p w14:paraId="440C6678" w14:textId="77777777" w:rsidR="001B6AB1" w:rsidRPr="006918A0" w:rsidRDefault="001B6AB1" w:rsidP="00B330E1">
            <w:pPr>
              <w:spacing w:before="60" w:after="60" w:line="276" w:lineRule="auto"/>
              <w:ind w:right="-29"/>
              <w:jc w:val="center"/>
              <w:rPr>
                <w:noProof/>
                <w:sz w:val="18"/>
                <w:szCs w:val="18"/>
              </w:rPr>
            </w:pPr>
            <w:r>
              <w:rPr>
                <w:noProof/>
                <w:sz w:val="18"/>
              </w:rPr>
              <w:t>ERITYISTAVOITE 1…</w:t>
            </w:r>
            <w:r>
              <w:rPr>
                <w:rStyle w:val="FootnoteReference"/>
                <w:noProof/>
              </w:rPr>
              <w:footnoteReference w:id="53"/>
            </w:r>
          </w:p>
        </w:tc>
        <w:tc>
          <w:tcPr>
            <w:tcW w:w="285" w:type="pct"/>
            <w:tcBorders>
              <w:top w:val="nil"/>
              <w:left w:val="nil"/>
              <w:bottom w:val="nil"/>
              <w:right w:val="nil"/>
            </w:tcBorders>
          </w:tcPr>
          <w:p w14:paraId="2AC3D81F" w14:textId="77777777" w:rsidR="001B6AB1" w:rsidRPr="006918A0" w:rsidRDefault="001B6AB1" w:rsidP="00B330E1">
            <w:pPr>
              <w:spacing w:before="60" w:after="60" w:line="276" w:lineRule="auto"/>
              <w:ind w:right="-29"/>
              <w:jc w:val="center"/>
              <w:rPr>
                <w:noProof/>
                <w:sz w:val="18"/>
                <w:szCs w:val="18"/>
              </w:rPr>
            </w:pPr>
          </w:p>
        </w:tc>
        <w:tc>
          <w:tcPr>
            <w:tcW w:w="266" w:type="pct"/>
            <w:tcBorders>
              <w:top w:val="nil"/>
              <w:left w:val="nil"/>
              <w:bottom w:val="nil"/>
              <w:right w:val="nil"/>
            </w:tcBorders>
          </w:tcPr>
          <w:p w14:paraId="3646DE86" w14:textId="77777777" w:rsidR="001B6AB1" w:rsidRPr="006918A0" w:rsidRDefault="001B6AB1" w:rsidP="00B330E1">
            <w:pPr>
              <w:spacing w:before="60" w:after="60" w:line="276" w:lineRule="auto"/>
              <w:ind w:right="-29"/>
              <w:jc w:val="center"/>
              <w:rPr>
                <w:noProof/>
                <w:sz w:val="18"/>
                <w:szCs w:val="18"/>
              </w:rPr>
            </w:pPr>
          </w:p>
        </w:tc>
        <w:tc>
          <w:tcPr>
            <w:tcW w:w="281" w:type="pct"/>
            <w:tcBorders>
              <w:top w:val="nil"/>
              <w:left w:val="nil"/>
              <w:bottom w:val="nil"/>
              <w:right w:val="nil"/>
            </w:tcBorders>
          </w:tcPr>
          <w:p w14:paraId="57D39C89" w14:textId="77777777" w:rsidR="001B6AB1" w:rsidRPr="006918A0" w:rsidRDefault="001B6AB1" w:rsidP="00B330E1">
            <w:pPr>
              <w:spacing w:before="60" w:after="60" w:line="276" w:lineRule="auto"/>
              <w:ind w:right="-29"/>
              <w:jc w:val="center"/>
              <w:rPr>
                <w:noProof/>
                <w:sz w:val="18"/>
                <w:szCs w:val="18"/>
              </w:rPr>
            </w:pPr>
          </w:p>
        </w:tc>
        <w:tc>
          <w:tcPr>
            <w:tcW w:w="256" w:type="pct"/>
            <w:tcBorders>
              <w:top w:val="nil"/>
              <w:left w:val="nil"/>
              <w:bottom w:val="nil"/>
              <w:right w:val="nil"/>
            </w:tcBorders>
          </w:tcPr>
          <w:p w14:paraId="6C291626" w14:textId="77777777" w:rsidR="001B6AB1" w:rsidRPr="006918A0" w:rsidRDefault="001B6AB1" w:rsidP="00B330E1">
            <w:pPr>
              <w:spacing w:before="60" w:after="60" w:line="276" w:lineRule="auto"/>
              <w:ind w:right="-29"/>
              <w:jc w:val="center"/>
              <w:rPr>
                <w:noProof/>
                <w:sz w:val="18"/>
                <w:szCs w:val="18"/>
              </w:rPr>
            </w:pPr>
          </w:p>
        </w:tc>
        <w:tc>
          <w:tcPr>
            <w:tcW w:w="298" w:type="pct"/>
            <w:tcBorders>
              <w:top w:val="nil"/>
              <w:left w:val="nil"/>
              <w:bottom w:val="nil"/>
              <w:right w:val="nil"/>
            </w:tcBorders>
          </w:tcPr>
          <w:p w14:paraId="7F439C99" w14:textId="77777777" w:rsidR="001B6AB1" w:rsidRPr="006918A0" w:rsidRDefault="001B6AB1" w:rsidP="00B330E1">
            <w:pPr>
              <w:spacing w:before="60" w:after="60" w:line="276" w:lineRule="auto"/>
              <w:ind w:right="-29"/>
              <w:jc w:val="center"/>
              <w:rPr>
                <w:noProof/>
                <w:sz w:val="18"/>
                <w:szCs w:val="18"/>
              </w:rPr>
            </w:pPr>
          </w:p>
        </w:tc>
        <w:tc>
          <w:tcPr>
            <w:tcW w:w="246" w:type="pct"/>
            <w:tcBorders>
              <w:top w:val="nil"/>
              <w:left w:val="nil"/>
              <w:bottom w:val="nil"/>
              <w:right w:val="nil"/>
            </w:tcBorders>
          </w:tcPr>
          <w:p w14:paraId="5FDB8FE4" w14:textId="77777777" w:rsidR="001B6AB1" w:rsidRPr="006918A0" w:rsidRDefault="001B6AB1" w:rsidP="00B330E1">
            <w:pPr>
              <w:spacing w:before="60" w:after="60" w:line="276" w:lineRule="auto"/>
              <w:ind w:right="-29"/>
              <w:jc w:val="center"/>
              <w:rPr>
                <w:noProof/>
                <w:sz w:val="18"/>
                <w:szCs w:val="18"/>
              </w:rPr>
            </w:pPr>
          </w:p>
        </w:tc>
        <w:tc>
          <w:tcPr>
            <w:tcW w:w="367" w:type="pct"/>
            <w:tcBorders>
              <w:top w:val="nil"/>
              <w:left w:val="nil"/>
              <w:bottom w:val="nil"/>
              <w:right w:val="nil"/>
            </w:tcBorders>
          </w:tcPr>
          <w:p w14:paraId="052C16D7" w14:textId="77777777" w:rsidR="001B6AB1" w:rsidRPr="006918A0" w:rsidRDefault="001B6AB1" w:rsidP="00B330E1">
            <w:pPr>
              <w:spacing w:before="60" w:after="60" w:line="276" w:lineRule="auto"/>
              <w:ind w:right="-29"/>
              <w:jc w:val="center"/>
              <w:rPr>
                <w:noProof/>
                <w:sz w:val="18"/>
                <w:szCs w:val="18"/>
              </w:rPr>
            </w:pPr>
          </w:p>
        </w:tc>
        <w:tc>
          <w:tcPr>
            <w:tcW w:w="225" w:type="pct"/>
            <w:tcBorders>
              <w:top w:val="nil"/>
              <w:left w:val="nil"/>
              <w:bottom w:val="nil"/>
              <w:right w:val="nil"/>
            </w:tcBorders>
          </w:tcPr>
          <w:p w14:paraId="0774F6FF" w14:textId="77777777" w:rsidR="001B6AB1" w:rsidRPr="006918A0" w:rsidRDefault="001B6AB1" w:rsidP="00B330E1">
            <w:pPr>
              <w:spacing w:before="60" w:after="60" w:line="276" w:lineRule="auto"/>
              <w:ind w:right="-29"/>
              <w:jc w:val="center"/>
              <w:rPr>
                <w:noProof/>
                <w:sz w:val="18"/>
                <w:szCs w:val="18"/>
              </w:rPr>
            </w:pPr>
          </w:p>
        </w:tc>
        <w:tc>
          <w:tcPr>
            <w:tcW w:w="258" w:type="pct"/>
            <w:tcBorders>
              <w:top w:val="nil"/>
              <w:left w:val="nil"/>
              <w:bottom w:val="nil"/>
              <w:right w:val="nil"/>
            </w:tcBorders>
          </w:tcPr>
          <w:p w14:paraId="2D3453A7" w14:textId="77777777" w:rsidR="001B6AB1" w:rsidRPr="006918A0" w:rsidRDefault="001B6AB1" w:rsidP="00B330E1">
            <w:pPr>
              <w:spacing w:before="60" w:after="60" w:line="276" w:lineRule="auto"/>
              <w:ind w:right="-29"/>
              <w:jc w:val="center"/>
              <w:rPr>
                <w:noProof/>
                <w:sz w:val="18"/>
                <w:szCs w:val="18"/>
              </w:rPr>
            </w:pPr>
          </w:p>
        </w:tc>
        <w:tc>
          <w:tcPr>
            <w:tcW w:w="241" w:type="pct"/>
            <w:tcBorders>
              <w:top w:val="nil"/>
              <w:left w:val="nil"/>
              <w:bottom w:val="nil"/>
              <w:right w:val="nil"/>
            </w:tcBorders>
          </w:tcPr>
          <w:p w14:paraId="4B79FE4A" w14:textId="77777777" w:rsidR="001B6AB1" w:rsidRPr="006918A0" w:rsidRDefault="001B6AB1" w:rsidP="00B330E1">
            <w:pPr>
              <w:spacing w:before="60" w:after="60" w:line="276" w:lineRule="auto"/>
              <w:ind w:right="-29"/>
              <w:jc w:val="center"/>
              <w:rPr>
                <w:noProof/>
                <w:sz w:val="18"/>
                <w:szCs w:val="18"/>
              </w:rPr>
            </w:pPr>
          </w:p>
        </w:tc>
        <w:tc>
          <w:tcPr>
            <w:tcW w:w="249" w:type="pct"/>
            <w:gridSpan w:val="2"/>
            <w:tcBorders>
              <w:top w:val="nil"/>
              <w:left w:val="nil"/>
              <w:bottom w:val="nil"/>
              <w:right w:val="nil"/>
            </w:tcBorders>
          </w:tcPr>
          <w:p w14:paraId="221D47CF" w14:textId="77777777" w:rsidR="001B6AB1" w:rsidRPr="006918A0" w:rsidRDefault="001B6AB1" w:rsidP="00B330E1">
            <w:pPr>
              <w:spacing w:before="60" w:after="60" w:line="276" w:lineRule="auto"/>
              <w:ind w:right="-29"/>
              <w:jc w:val="center"/>
              <w:rPr>
                <w:noProof/>
                <w:sz w:val="18"/>
                <w:szCs w:val="18"/>
              </w:rPr>
            </w:pPr>
          </w:p>
        </w:tc>
        <w:tc>
          <w:tcPr>
            <w:tcW w:w="264" w:type="pct"/>
            <w:tcBorders>
              <w:top w:val="nil"/>
              <w:left w:val="nil"/>
              <w:bottom w:val="nil"/>
              <w:right w:val="nil"/>
            </w:tcBorders>
          </w:tcPr>
          <w:p w14:paraId="58588B64" w14:textId="77777777" w:rsidR="001B6AB1" w:rsidRPr="006918A0" w:rsidRDefault="001B6AB1" w:rsidP="00B330E1">
            <w:pPr>
              <w:spacing w:before="60" w:after="60" w:line="276" w:lineRule="auto"/>
              <w:ind w:right="-29"/>
              <w:jc w:val="center"/>
              <w:rPr>
                <w:noProof/>
                <w:sz w:val="18"/>
                <w:szCs w:val="18"/>
              </w:rPr>
            </w:pPr>
          </w:p>
        </w:tc>
        <w:tc>
          <w:tcPr>
            <w:tcW w:w="129" w:type="pct"/>
            <w:gridSpan w:val="2"/>
            <w:tcBorders>
              <w:top w:val="nil"/>
              <w:left w:val="nil"/>
              <w:bottom w:val="nil"/>
              <w:right w:val="nil"/>
            </w:tcBorders>
          </w:tcPr>
          <w:p w14:paraId="57E86833" w14:textId="77777777" w:rsidR="001B6AB1" w:rsidRPr="006918A0" w:rsidRDefault="001B6AB1" w:rsidP="00B330E1">
            <w:pPr>
              <w:spacing w:before="60" w:after="60" w:line="276" w:lineRule="auto"/>
              <w:ind w:right="-29"/>
              <w:jc w:val="center"/>
              <w:rPr>
                <w:noProof/>
                <w:sz w:val="18"/>
                <w:szCs w:val="18"/>
              </w:rPr>
            </w:pPr>
          </w:p>
        </w:tc>
        <w:tc>
          <w:tcPr>
            <w:tcW w:w="79" w:type="pct"/>
            <w:tcBorders>
              <w:top w:val="nil"/>
              <w:left w:val="nil"/>
              <w:bottom w:val="nil"/>
              <w:right w:val="nil"/>
            </w:tcBorders>
          </w:tcPr>
          <w:p w14:paraId="09F24373" w14:textId="77777777" w:rsidR="001B6AB1" w:rsidRPr="006918A0" w:rsidRDefault="001B6AB1" w:rsidP="00B330E1">
            <w:pPr>
              <w:spacing w:before="60" w:after="60" w:line="276" w:lineRule="auto"/>
              <w:ind w:right="-29"/>
              <w:jc w:val="center"/>
              <w:rPr>
                <w:noProof/>
                <w:sz w:val="18"/>
                <w:szCs w:val="18"/>
              </w:rPr>
            </w:pPr>
          </w:p>
        </w:tc>
        <w:tc>
          <w:tcPr>
            <w:tcW w:w="78" w:type="pct"/>
            <w:gridSpan w:val="2"/>
            <w:tcBorders>
              <w:top w:val="nil"/>
              <w:left w:val="nil"/>
              <w:bottom w:val="nil"/>
              <w:right w:val="nil"/>
            </w:tcBorders>
          </w:tcPr>
          <w:p w14:paraId="2E123ADE" w14:textId="77777777" w:rsidR="001B6AB1" w:rsidRPr="006918A0" w:rsidRDefault="001B6AB1" w:rsidP="00B330E1">
            <w:pPr>
              <w:spacing w:before="60" w:after="60" w:line="276" w:lineRule="auto"/>
              <w:ind w:right="-29"/>
              <w:jc w:val="center"/>
              <w:rPr>
                <w:noProof/>
                <w:sz w:val="18"/>
                <w:szCs w:val="18"/>
              </w:rPr>
            </w:pPr>
          </w:p>
        </w:tc>
        <w:tc>
          <w:tcPr>
            <w:tcW w:w="394" w:type="pct"/>
            <w:tcBorders>
              <w:top w:val="nil"/>
              <w:left w:val="nil"/>
              <w:bottom w:val="nil"/>
              <w:right w:val="nil"/>
            </w:tcBorders>
          </w:tcPr>
          <w:p w14:paraId="0C6910F2" w14:textId="77777777" w:rsidR="001B6AB1" w:rsidRPr="006918A0" w:rsidRDefault="001B6AB1" w:rsidP="00B330E1">
            <w:pPr>
              <w:spacing w:before="60" w:after="60" w:line="276" w:lineRule="auto"/>
              <w:ind w:right="-29"/>
              <w:jc w:val="center"/>
              <w:rPr>
                <w:noProof/>
                <w:sz w:val="18"/>
                <w:szCs w:val="18"/>
              </w:rPr>
            </w:pPr>
          </w:p>
        </w:tc>
      </w:tr>
      <w:tr w:rsidR="001B6AB1" w:rsidRPr="006918A0" w14:paraId="5B0406C9" w14:textId="77777777" w:rsidTr="00B330E1">
        <w:trPr>
          <w:trHeight w:hRule="exact" w:val="369"/>
          <w:jc w:val="center"/>
        </w:trPr>
        <w:tc>
          <w:tcPr>
            <w:tcW w:w="483" w:type="pct"/>
            <w:tcBorders>
              <w:top w:val="single" w:sz="4" w:space="0" w:color="auto"/>
              <w:left w:val="single" w:sz="4" w:space="0" w:color="auto"/>
              <w:bottom w:val="single" w:sz="4" w:space="0" w:color="auto"/>
              <w:right w:val="single" w:sz="4" w:space="0" w:color="auto"/>
            </w:tcBorders>
            <w:hideMark/>
          </w:tcPr>
          <w:p w14:paraId="01AEC40E" w14:textId="77777777" w:rsidR="001B6AB1" w:rsidRPr="006918A0" w:rsidRDefault="001B6AB1" w:rsidP="00B330E1">
            <w:pPr>
              <w:spacing w:line="276" w:lineRule="auto"/>
              <w:ind w:right="-29"/>
              <w:jc w:val="center"/>
              <w:rPr>
                <w:noProof/>
                <w:sz w:val="18"/>
                <w:szCs w:val="18"/>
              </w:rPr>
            </w:pPr>
            <w:r>
              <w:rPr>
                <w:noProof/>
                <w:sz w:val="18"/>
              </w:rPr>
              <w:t>Eritelmät</w:t>
            </w:r>
          </w:p>
        </w:tc>
        <w:tc>
          <w:tcPr>
            <w:tcW w:w="249" w:type="pct"/>
            <w:tcBorders>
              <w:top w:val="single" w:sz="4" w:space="0" w:color="auto"/>
              <w:left w:val="single" w:sz="4" w:space="0" w:color="auto"/>
              <w:bottom w:val="single" w:sz="4" w:space="0" w:color="auto"/>
              <w:right w:val="single" w:sz="4" w:space="0" w:color="auto"/>
            </w:tcBorders>
          </w:tcPr>
          <w:p w14:paraId="28A3F0AE" w14:textId="77777777" w:rsidR="001B6AB1" w:rsidRPr="006918A0" w:rsidRDefault="001B6AB1" w:rsidP="00B330E1">
            <w:pPr>
              <w:spacing w:line="276" w:lineRule="auto"/>
              <w:ind w:right="-29"/>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tcPr>
          <w:p w14:paraId="34550168" w14:textId="77777777" w:rsidR="001B6AB1" w:rsidRPr="006918A0" w:rsidRDefault="001B6AB1" w:rsidP="00B330E1">
            <w:pPr>
              <w:spacing w:line="276" w:lineRule="auto"/>
              <w:ind w:right="-29"/>
              <w:jc w:val="center"/>
              <w:rPr>
                <w:noProof/>
                <w:sz w:val="18"/>
                <w:szCs w:val="18"/>
              </w:rPr>
            </w:pPr>
          </w:p>
        </w:tc>
        <w:tc>
          <w:tcPr>
            <w:tcW w:w="285" w:type="pct"/>
            <w:tcBorders>
              <w:top w:val="single" w:sz="4" w:space="0" w:color="auto"/>
              <w:left w:val="single" w:sz="4" w:space="0" w:color="auto"/>
              <w:bottom w:val="single" w:sz="4" w:space="0" w:color="auto"/>
              <w:right w:val="dashSmallGap" w:sz="4" w:space="0" w:color="auto"/>
            </w:tcBorders>
          </w:tcPr>
          <w:p w14:paraId="3C23B41F" w14:textId="77777777" w:rsidR="001B6AB1" w:rsidRPr="006918A0" w:rsidRDefault="001B6AB1" w:rsidP="00B330E1">
            <w:pPr>
              <w:spacing w:line="276" w:lineRule="auto"/>
              <w:ind w:right="-29"/>
              <w:jc w:val="center"/>
              <w:rPr>
                <w:noProof/>
                <w:sz w:val="18"/>
                <w:szCs w:val="18"/>
              </w:rPr>
            </w:pPr>
          </w:p>
        </w:tc>
        <w:tc>
          <w:tcPr>
            <w:tcW w:w="266" w:type="pct"/>
            <w:tcBorders>
              <w:top w:val="single" w:sz="4" w:space="0" w:color="auto"/>
              <w:left w:val="dashSmallGap" w:sz="4" w:space="0" w:color="auto"/>
              <w:bottom w:val="single" w:sz="4" w:space="0" w:color="auto"/>
              <w:right w:val="single" w:sz="4" w:space="0" w:color="auto"/>
            </w:tcBorders>
            <w:hideMark/>
          </w:tcPr>
          <w:p w14:paraId="40C1CBB9" w14:textId="77777777" w:rsidR="001B6AB1" w:rsidRPr="006918A0" w:rsidRDefault="001B6AB1" w:rsidP="00B330E1">
            <w:pPr>
              <w:spacing w:line="276" w:lineRule="auto"/>
              <w:ind w:right="-29"/>
              <w:jc w:val="center"/>
              <w:rPr>
                <w:noProof/>
                <w:sz w:val="18"/>
                <w:szCs w:val="18"/>
              </w:rPr>
            </w:pPr>
            <w:r>
              <w:rPr>
                <w:noProof/>
                <w:sz w:val="18"/>
              </w:rPr>
              <w:t>0,150</w:t>
            </w:r>
          </w:p>
        </w:tc>
        <w:tc>
          <w:tcPr>
            <w:tcW w:w="281" w:type="pct"/>
            <w:tcBorders>
              <w:top w:val="single" w:sz="4" w:space="0" w:color="auto"/>
              <w:left w:val="single" w:sz="4" w:space="0" w:color="auto"/>
              <w:bottom w:val="single" w:sz="4" w:space="0" w:color="auto"/>
              <w:right w:val="dashSmallGap" w:sz="4" w:space="0" w:color="auto"/>
            </w:tcBorders>
          </w:tcPr>
          <w:p w14:paraId="65B15677" w14:textId="77777777" w:rsidR="001B6AB1" w:rsidRPr="006918A0" w:rsidRDefault="001B6AB1" w:rsidP="00B330E1">
            <w:pPr>
              <w:spacing w:line="276" w:lineRule="auto"/>
              <w:ind w:right="-29"/>
              <w:jc w:val="center"/>
              <w:rPr>
                <w:noProof/>
                <w:sz w:val="18"/>
                <w:szCs w:val="18"/>
              </w:rPr>
            </w:pPr>
          </w:p>
        </w:tc>
        <w:tc>
          <w:tcPr>
            <w:tcW w:w="256" w:type="pct"/>
            <w:tcBorders>
              <w:top w:val="single" w:sz="4" w:space="0" w:color="auto"/>
              <w:left w:val="dashSmallGap" w:sz="4" w:space="0" w:color="auto"/>
              <w:bottom w:val="single" w:sz="4" w:space="0" w:color="auto"/>
              <w:right w:val="single" w:sz="4" w:space="0" w:color="auto"/>
            </w:tcBorders>
            <w:hideMark/>
          </w:tcPr>
          <w:p w14:paraId="5F4F0066" w14:textId="77777777" w:rsidR="001B6AB1" w:rsidRPr="006918A0" w:rsidRDefault="001B6AB1" w:rsidP="00B330E1">
            <w:pPr>
              <w:spacing w:line="276" w:lineRule="auto"/>
              <w:ind w:right="-29"/>
              <w:jc w:val="center"/>
              <w:rPr>
                <w:noProof/>
                <w:sz w:val="18"/>
                <w:szCs w:val="18"/>
              </w:rPr>
            </w:pPr>
            <w:r>
              <w:rPr>
                <w:noProof/>
                <w:sz w:val="18"/>
              </w:rPr>
              <w:t>0,100</w:t>
            </w:r>
          </w:p>
        </w:tc>
        <w:tc>
          <w:tcPr>
            <w:tcW w:w="298" w:type="pct"/>
            <w:tcBorders>
              <w:top w:val="single" w:sz="4" w:space="0" w:color="auto"/>
              <w:left w:val="single" w:sz="4" w:space="0" w:color="auto"/>
              <w:bottom w:val="single" w:sz="4" w:space="0" w:color="auto"/>
              <w:right w:val="dashSmallGap" w:sz="4" w:space="0" w:color="auto"/>
            </w:tcBorders>
          </w:tcPr>
          <w:p w14:paraId="74CF3BD8" w14:textId="77777777" w:rsidR="001B6AB1" w:rsidRPr="006918A0" w:rsidRDefault="001B6AB1" w:rsidP="00B330E1">
            <w:pPr>
              <w:spacing w:line="276" w:lineRule="auto"/>
              <w:ind w:right="-29"/>
              <w:jc w:val="center"/>
              <w:rPr>
                <w:noProof/>
                <w:sz w:val="18"/>
                <w:szCs w:val="18"/>
              </w:rPr>
            </w:pPr>
          </w:p>
        </w:tc>
        <w:tc>
          <w:tcPr>
            <w:tcW w:w="246" w:type="pct"/>
            <w:tcBorders>
              <w:top w:val="single" w:sz="4" w:space="0" w:color="auto"/>
              <w:left w:val="dashSmallGap" w:sz="4" w:space="0" w:color="auto"/>
              <w:bottom w:val="single" w:sz="4" w:space="0" w:color="auto"/>
              <w:right w:val="single" w:sz="4" w:space="0" w:color="auto"/>
            </w:tcBorders>
          </w:tcPr>
          <w:p w14:paraId="4D37B1CC" w14:textId="77777777" w:rsidR="001B6AB1" w:rsidRPr="006918A0" w:rsidRDefault="001B6AB1" w:rsidP="00B330E1">
            <w:pPr>
              <w:spacing w:line="276" w:lineRule="auto"/>
              <w:ind w:right="-29"/>
              <w:jc w:val="center"/>
              <w:rPr>
                <w:noProof/>
                <w:sz w:val="18"/>
                <w:szCs w:val="18"/>
              </w:rPr>
            </w:pPr>
          </w:p>
        </w:tc>
        <w:tc>
          <w:tcPr>
            <w:tcW w:w="367" w:type="pct"/>
            <w:tcBorders>
              <w:top w:val="single" w:sz="4" w:space="0" w:color="auto"/>
              <w:left w:val="single" w:sz="4" w:space="0" w:color="auto"/>
              <w:bottom w:val="single" w:sz="4" w:space="0" w:color="auto"/>
              <w:right w:val="dashSmallGap" w:sz="4" w:space="0" w:color="auto"/>
            </w:tcBorders>
          </w:tcPr>
          <w:p w14:paraId="6CACC157" w14:textId="77777777" w:rsidR="001B6AB1" w:rsidRPr="006918A0" w:rsidRDefault="001B6AB1" w:rsidP="00B330E1">
            <w:pPr>
              <w:spacing w:line="276" w:lineRule="auto"/>
              <w:ind w:right="-29"/>
              <w:jc w:val="center"/>
              <w:rPr>
                <w:noProof/>
                <w:sz w:val="18"/>
                <w:szCs w:val="18"/>
              </w:rPr>
            </w:pPr>
          </w:p>
        </w:tc>
        <w:tc>
          <w:tcPr>
            <w:tcW w:w="225" w:type="pct"/>
            <w:tcBorders>
              <w:top w:val="single" w:sz="4" w:space="0" w:color="auto"/>
              <w:left w:val="dashSmallGap" w:sz="4" w:space="0" w:color="auto"/>
              <w:bottom w:val="single" w:sz="4" w:space="0" w:color="auto"/>
              <w:right w:val="single" w:sz="4" w:space="0" w:color="auto"/>
            </w:tcBorders>
          </w:tcPr>
          <w:p w14:paraId="3A820577" w14:textId="77777777" w:rsidR="001B6AB1" w:rsidRPr="006918A0" w:rsidRDefault="001B6AB1" w:rsidP="00B330E1">
            <w:pPr>
              <w:spacing w:line="276" w:lineRule="auto"/>
              <w:ind w:right="-29"/>
              <w:jc w:val="center"/>
              <w:rPr>
                <w:noProof/>
                <w:sz w:val="18"/>
                <w:szCs w:val="18"/>
              </w:rPr>
            </w:pPr>
          </w:p>
        </w:tc>
        <w:tc>
          <w:tcPr>
            <w:tcW w:w="258" w:type="pct"/>
            <w:tcBorders>
              <w:top w:val="single" w:sz="4" w:space="0" w:color="auto"/>
              <w:left w:val="single" w:sz="4" w:space="0" w:color="auto"/>
              <w:bottom w:val="single" w:sz="4" w:space="0" w:color="auto"/>
              <w:right w:val="dashSmallGap" w:sz="4" w:space="0" w:color="auto"/>
            </w:tcBorders>
          </w:tcPr>
          <w:p w14:paraId="29187E93" w14:textId="77777777" w:rsidR="001B6AB1" w:rsidRPr="006918A0" w:rsidRDefault="001B6AB1" w:rsidP="00B330E1">
            <w:pPr>
              <w:spacing w:line="276" w:lineRule="auto"/>
              <w:ind w:right="-29"/>
              <w:jc w:val="center"/>
              <w:rPr>
                <w:noProof/>
                <w:sz w:val="18"/>
                <w:szCs w:val="18"/>
              </w:rPr>
            </w:pPr>
          </w:p>
        </w:tc>
        <w:tc>
          <w:tcPr>
            <w:tcW w:w="241" w:type="pct"/>
            <w:tcBorders>
              <w:top w:val="single" w:sz="4" w:space="0" w:color="auto"/>
              <w:left w:val="dashSmallGap" w:sz="4" w:space="0" w:color="auto"/>
              <w:bottom w:val="single" w:sz="4" w:space="0" w:color="auto"/>
              <w:right w:val="single" w:sz="4" w:space="0" w:color="auto"/>
            </w:tcBorders>
          </w:tcPr>
          <w:p w14:paraId="2BBC86CD" w14:textId="77777777" w:rsidR="001B6AB1" w:rsidRPr="006918A0" w:rsidRDefault="001B6AB1" w:rsidP="00B330E1">
            <w:pPr>
              <w:spacing w:line="276" w:lineRule="auto"/>
              <w:ind w:right="-29"/>
              <w:jc w:val="center"/>
              <w:rPr>
                <w:noProof/>
                <w:sz w:val="18"/>
                <w:szCs w:val="18"/>
              </w:rPr>
            </w:pPr>
          </w:p>
        </w:tc>
        <w:tc>
          <w:tcPr>
            <w:tcW w:w="249" w:type="pct"/>
            <w:gridSpan w:val="2"/>
            <w:tcBorders>
              <w:top w:val="single" w:sz="4" w:space="0" w:color="auto"/>
              <w:left w:val="single" w:sz="4" w:space="0" w:color="auto"/>
              <w:bottom w:val="single" w:sz="4" w:space="0" w:color="auto"/>
              <w:right w:val="dashSmallGap" w:sz="4" w:space="0" w:color="auto"/>
            </w:tcBorders>
          </w:tcPr>
          <w:p w14:paraId="7A8C1F31" w14:textId="77777777" w:rsidR="001B6AB1" w:rsidRPr="006918A0" w:rsidRDefault="001B6AB1" w:rsidP="00B330E1">
            <w:pPr>
              <w:spacing w:line="276" w:lineRule="auto"/>
              <w:ind w:right="-29"/>
              <w:jc w:val="center"/>
              <w:rPr>
                <w:noProof/>
                <w:sz w:val="18"/>
                <w:szCs w:val="18"/>
              </w:rPr>
            </w:pPr>
          </w:p>
        </w:tc>
        <w:tc>
          <w:tcPr>
            <w:tcW w:w="318" w:type="pct"/>
            <w:gridSpan w:val="2"/>
            <w:tcBorders>
              <w:top w:val="single" w:sz="4" w:space="0" w:color="auto"/>
              <w:left w:val="dashSmallGap" w:sz="4" w:space="0" w:color="auto"/>
              <w:bottom w:val="single" w:sz="4" w:space="0" w:color="auto"/>
              <w:right w:val="single" w:sz="4" w:space="0" w:color="auto"/>
            </w:tcBorders>
          </w:tcPr>
          <w:p w14:paraId="6C9587E5" w14:textId="77777777" w:rsidR="001B6AB1" w:rsidRPr="006918A0" w:rsidRDefault="001B6AB1" w:rsidP="00B330E1">
            <w:pPr>
              <w:spacing w:line="276" w:lineRule="auto"/>
              <w:ind w:right="-29"/>
              <w:jc w:val="center"/>
              <w:rPr>
                <w:noProof/>
                <w:sz w:val="18"/>
                <w:szCs w:val="18"/>
              </w:rPr>
            </w:pPr>
          </w:p>
        </w:tc>
        <w:tc>
          <w:tcPr>
            <w:tcW w:w="223" w:type="pct"/>
            <w:gridSpan w:val="3"/>
            <w:tcBorders>
              <w:top w:val="single" w:sz="4" w:space="0" w:color="auto"/>
              <w:left w:val="single" w:sz="4" w:space="0" w:color="auto"/>
              <w:bottom w:val="single" w:sz="4" w:space="0" w:color="auto"/>
              <w:right w:val="single" w:sz="4" w:space="0" w:color="auto"/>
            </w:tcBorders>
          </w:tcPr>
          <w:p w14:paraId="3F8B4803" w14:textId="77777777" w:rsidR="001B6AB1" w:rsidRPr="006918A0" w:rsidRDefault="001B6AB1" w:rsidP="00B330E1">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5D56839D" w14:textId="77777777" w:rsidR="001B6AB1" w:rsidRPr="006918A0" w:rsidRDefault="001B6AB1" w:rsidP="00B330E1">
            <w:pPr>
              <w:spacing w:line="276" w:lineRule="auto"/>
              <w:ind w:right="-29"/>
              <w:jc w:val="right"/>
              <w:rPr>
                <w:noProof/>
                <w:sz w:val="18"/>
                <w:szCs w:val="18"/>
              </w:rPr>
            </w:pPr>
            <w:r>
              <w:rPr>
                <w:b/>
                <w:noProof/>
                <w:sz w:val="18"/>
              </w:rPr>
              <w:t>0,250</w:t>
            </w:r>
          </w:p>
        </w:tc>
      </w:tr>
      <w:tr w:rsidR="001B6AB1" w:rsidRPr="006918A0" w14:paraId="5BEADD02" w14:textId="77777777" w:rsidTr="00B330E1">
        <w:trPr>
          <w:trHeight w:hRule="exact" w:val="369"/>
          <w:jc w:val="center"/>
        </w:trPr>
        <w:tc>
          <w:tcPr>
            <w:tcW w:w="483" w:type="pct"/>
            <w:tcBorders>
              <w:top w:val="single" w:sz="4" w:space="0" w:color="auto"/>
              <w:left w:val="single" w:sz="4" w:space="0" w:color="auto"/>
              <w:bottom w:val="single" w:sz="4" w:space="0" w:color="auto"/>
              <w:right w:val="single" w:sz="4" w:space="0" w:color="auto"/>
            </w:tcBorders>
            <w:hideMark/>
          </w:tcPr>
          <w:p w14:paraId="44852450" w14:textId="77777777" w:rsidR="001B6AB1" w:rsidRPr="006918A0" w:rsidRDefault="001B6AB1" w:rsidP="00B330E1">
            <w:pPr>
              <w:spacing w:line="276" w:lineRule="auto"/>
              <w:ind w:right="-29"/>
              <w:jc w:val="center"/>
              <w:rPr>
                <w:noProof/>
                <w:sz w:val="18"/>
                <w:szCs w:val="18"/>
              </w:rPr>
            </w:pPr>
            <w:r>
              <w:rPr>
                <w:noProof/>
                <w:sz w:val="18"/>
              </w:rPr>
              <w:t>Kehitys</w:t>
            </w:r>
          </w:p>
        </w:tc>
        <w:tc>
          <w:tcPr>
            <w:tcW w:w="249" w:type="pct"/>
            <w:tcBorders>
              <w:top w:val="single" w:sz="4" w:space="0" w:color="auto"/>
              <w:left w:val="single" w:sz="4" w:space="0" w:color="auto"/>
              <w:bottom w:val="single" w:sz="4" w:space="0" w:color="auto"/>
              <w:right w:val="single" w:sz="4" w:space="0" w:color="auto"/>
            </w:tcBorders>
          </w:tcPr>
          <w:p w14:paraId="42CEDBFE" w14:textId="77777777" w:rsidR="001B6AB1" w:rsidRPr="006918A0" w:rsidRDefault="001B6AB1" w:rsidP="00B330E1">
            <w:pPr>
              <w:spacing w:line="276" w:lineRule="auto"/>
              <w:ind w:right="-29"/>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tcPr>
          <w:p w14:paraId="14DA6B54" w14:textId="77777777" w:rsidR="001B6AB1" w:rsidRPr="006918A0" w:rsidRDefault="001B6AB1" w:rsidP="00B330E1">
            <w:pPr>
              <w:spacing w:line="276" w:lineRule="auto"/>
              <w:ind w:right="-29"/>
              <w:jc w:val="center"/>
              <w:rPr>
                <w:noProof/>
                <w:sz w:val="18"/>
                <w:szCs w:val="18"/>
              </w:rPr>
            </w:pPr>
          </w:p>
        </w:tc>
        <w:tc>
          <w:tcPr>
            <w:tcW w:w="285" w:type="pct"/>
            <w:tcBorders>
              <w:top w:val="single" w:sz="4" w:space="0" w:color="auto"/>
              <w:left w:val="single" w:sz="4" w:space="0" w:color="auto"/>
              <w:bottom w:val="single" w:sz="4" w:space="0" w:color="auto"/>
              <w:right w:val="dashSmallGap" w:sz="4" w:space="0" w:color="auto"/>
            </w:tcBorders>
          </w:tcPr>
          <w:p w14:paraId="1A543701" w14:textId="77777777" w:rsidR="001B6AB1" w:rsidRPr="006918A0" w:rsidRDefault="001B6AB1" w:rsidP="00B330E1">
            <w:pPr>
              <w:spacing w:line="276" w:lineRule="auto"/>
              <w:ind w:right="-29"/>
              <w:jc w:val="center"/>
              <w:rPr>
                <w:noProof/>
                <w:sz w:val="18"/>
                <w:szCs w:val="18"/>
              </w:rPr>
            </w:pPr>
          </w:p>
        </w:tc>
        <w:tc>
          <w:tcPr>
            <w:tcW w:w="266" w:type="pct"/>
            <w:tcBorders>
              <w:top w:val="single" w:sz="4" w:space="0" w:color="auto"/>
              <w:left w:val="dashSmallGap" w:sz="4" w:space="0" w:color="auto"/>
              <w:bottom w:val="single" w:sz="4" w:space="0" w:color="auto"/>
              <w:right w:val="single" w:sz="4" w:space="0" w:color="auto"/>
            </w:tcBorders>
          </w:tcPr>
          <w:p w14:paraId="2BCEF1C3" w14:textId="77777777" w:rsidR="001B6AB1" w:rsidRPr="006918A0" w:rsidRDefault="001B6AB1" w:rsidP="00B330E1">
            <w:pPr>
              <w:spacing w:line="276" w:lineRule="auto"/>
              <w:ind w:right="-29"/>
              <w:jc w:val="center"/>
              <w:rPr>
                <w:noProof/>
                <w:sz w:val="18"/>
                <w:szCs w:val="18"/>
              </w:rPr>
            </w:pPr>
          </w:p>
        </w:tc>
        <w:tc>
          <w:tcPr>
            <w:tcW w:w="281" w:type="pct"/>
            <w:tcBorders>
              <w:top w:val="single" w:sz="4" w:space="0" w:color="auto"/>
              <w:left w:val="single" w:sz="4" w:space="0" w:color="auto"/>
              <w:bottom w:val="single" w:sz="4" w:space="0" w:color="auto"/>
              <w:right w:val="dashSmallGap" w:sz="4" w:space="0" w:color="auto"/>
            </w:tcBorders>
          </w:tcPr>
          <w:p w14:paraId="3D1D9BDC" w14:textId="77777777" w:rsidR="001B6AB1" w:rsidRPr="006918A0" w:rsidRDefault="001B6AB1" w:rsidP="00B330E1">
            <w:pPr>
              <w:spacing w:line="276" w:lineRule="auto"/>
              <w:ind w:right="-29"/>
              <w:jc w:val="center"/>
              <w:rPr>
                <w:noProof/>
                <w:sz w:val="18"/>
                <w:szCs w:val="18"/>
              </w:rPr>
            </w:pPr>
          </w:p>
        </w:tc>
        <w:tc>
          <w:tcPr>
            <w:tcW w:w="256" w:type="pct"/>
            <w:tcBorders>
              <w:top w:val="single" w:sz="4" w:space="0" w:color="auto"/>
              <w:left w:val="dashSmallGap" w:sz="4" w:space="0" w:color="auto"/>
              <w:bottom w:val="single" w:sz="4" w:space="0" w:color="auto"/>
              <w:right w:val="single" w:sz="4" w:space="0" w:color="auto"/>
            </w:tcBorders>
            <w:hideMark/>
          </w:tcPr>
          <w:p w14:paraId="33F10E7B" w14:textId="77777777" w:rsidR="001B6AB1" w:rsidRPr="006918A0" w:rsidRDefault="001B6AB1" w:rsidP="00B330E1">
            <w:pPr>
              <w:spacing w:line="276" w:lineRule="auto"/>
              <w:ind w:right="-29"/>
              <w:jc w:val="center"/>
              <w:rPr>
                <w:noProof/>
                <w:sz w:val="18"/>
                <w:szCs w:val="18"/>
              </w:rPr>
            </w:pPr>
            <w:r>
              <w:rPr>
                <w:noProof/>
                <w:sz w:val="18"/>
              </w:rPr>
              <w:t>0,300</w:t>
            </w:r>
          </w:p>
        </w:tc>
        <w:tc>
          <w:tcPr>
            <w:tcW w:w="298" w:type="pct"/>
            <w:tcBorders>
              <w:top w:val="single" w:sz="4" w:space="0" w:color="auto"/>
              <w:left w:val="single" w:sz="4" w:space="0" w:color="auto"/>
              <w:bottom w:val="single" w:sz="4" w:space="0" w:color="auto"/>
              <w:right w:val="dashSmallGap" w:sz="4" w:space="0" w:color="auto"/>
            </w:tcBorders>
          </w:tcPr>
          <w:p w14:paraId="41C54A11" w14:textId="77777777" w:rsidR="001B6AB1" w:rsidRPr="006918A0" w:rsidRDefault="001B6AB1" w:rsidP="00B330E1">
            <w:pPr>
              <w:spacing w:line="276" w:lineRule="auto"/>
              <w:ind w:right="-29"/>
              <w:jc w:val="center"/>
              <w:rPr>
                <w:noProof/>
                <w:sz w:val="18"/>
                <w:szCs w:val="18"/>
              </w:rPr>
            </w:pPr>
          </w:p>
        </w:tc>
        <w:tc>
          <w:tcPr>
            <w:tcW w:w="246" w:type="pct"/>
            <w:tcBorders>
              <w:top w:val="single" w:sz="4" w:space="0" w:color="auto"/>
              <w:left w:val="dashSmallGap" w:sz="4" w:space="0" w:color="auto"/>
              <w:bottom w:val="single" w:sz="4" w:space="0" w:color="auto"/>
              <w:right w:val="single" w:sz="4" w:space="0" w:color="auto"/>
            </w:tcBorders>
            <w:hideMark/>
          </w:tcPr>
          <w:p w14:paraId="48B74FA8" w14:textId="77777777" w:rsidR="001B6AB1" w:rsidRPr="006918A0" w:rsidRDefault="001B6AB1" w:rsidP="00B330E1">
            <w:pPr>
              <w:spacing w:line="276" w:lineRule="auto"/>
              <w:ind w:right="-29"/>
              <w:jc w:val="center"/>
              <w:rPr>
                <w:noProof/>
                <w:sz w:val="18"/>
                <w:szCs w:val="18"/>
              </w:rPr>
            </w:pPr>
            <w:r>
              <w:rPr>
                <w:noProof/>
                <w:sz w:val="18"/>
              </w:rPr>
              <w:t>0,200</w:t>
            </w:r>
          </w:p>
        </w:tc>
        <w:tc>
          <w:tcPr>
            <w:tcW w:w="367" w:type="pct"/>
            <w:tcBorders>
              <w:top w:val="single" w:sz="4" w:space="0" w:color="auto"/>
              <w:left w:val="single" w:sz="4" w:space="0" w:color="auto"/>
              <w:bottom w:val="single" w:sz="4" w:space="0" w:color="auto"/>
              <w:right w:val="dashSmallGap" w:sz="4" w:space="0" w:color="auto"/>
            </w:tcBorders>
          </w:tcPr>
          <w:p w14:paraId="3B77C5EF" w14:textId="77777777" w:rsidR="001B6AB1" w:rsidRPr="006918A0" w:rsidRDefault="001B6AB1" w:rsidP="00B330E1">
            <w:pPr>
              <w:spacing w:line="276" w:lineRule="auto"/>
              <w:ind w:right="-29"/>
              <w:jc w:val="center"/>
              <w:rPr>
                <w:noProof/>
                <w:sz w:val="18"/>
                <w:szCs w:val="18"/>
              </w:rPr>
            </w:pPr>
          </w:p>
        </w:tc>
        <w:tc>
          <w:tcPr>
            <w:tcW w:w="225" w:type="pct"/>
            <w:tcBorders>
              <w:top w:val="single" w:sz="4" w:space="0" w:color="auto"/>
              <w:left w:val="dashSmallGap" w:sz="4" w:space="0" w:color="auto"/>
              <w:bottom w:val="single" w:sz="4" w:space="0" w:color="auto"/>
              <w:right w:val="single" w:sz="4" w:space="0" w:color="auto"/>
            </w:tcBorders>
            <w:hideMark/>
          </w:tcPr>
          <w:p w14:paraId="7CF13CDC" w14:textId="77777777" w:rsidR="001B6AB1" w:rsidRPr="006918A0" w:rsidRDefault="001B6AB1" w:rsidP="00B330E1">
            <w:pPr>
              <w:spacing w:line="276" w:lineRule="auto"/>
              <w:ind w:right="-29"/>
              <w:jc w:val="center"/>
              <w:rPr>
                <w:noProof/>
                <w:sz w:val="18"/>
                <w:szCs w:val="18"/>
              </w:rPr>
            </w:pPr>
            <w:r>
              <w:rPr>
                <w:noProof/>
                <w:sz w:val="18"/>
              </w:rPr>
              <w:t>0,150</w:t>
            </w:r>
          </w:p>
        </w:tc>
        <w:tc>
          <w:tcPr>
            <w:tcW w:w="258" w:type="pct"/>
            <w:tcBorders>
              <w:top w:val="single" w:sz="4" w:space="0" w:color="auto"/>
              <w:left w:val="single" w:sz="4" w:space="0" w:color="auto"/>
              <w:bottom w:val="single" w:sz="4" w:space="0" w:color="auto"/>
              <w:right w:val="dashSmallGap" w:sz="4" w:space="0" w:color="auto"/>
            </w:tcBorders>
          </w:tcPr>
          <w:p w14:paraId="4DB8B85C" w14:textId="77777777" w:rsidR="001B6AB1" w:rsidRPr="006918A0" w:rsidRDefault="001B6AB1" w:rsidP="00B330E1">
            <w:pPr>
              <w:spacing w:line="276" w:lineRule="auto"/>
              <w:ind w:right="-29"/>
              <w:jc w:val="center"/>
              <w:rPr>
                <w:noProof/>
                <w:sz w:val="18"/>
                <w:szCs w:val="18"/>
              </w:rPr>
            </w:pPr>
          </w:p>
        </w:tc>
        <w:tc>
          <w:tcPr>
            <w:tcW w:w="241" w:type="pct"/>
            <w:tcBorders>
              <w:top w:val="single" w:sz="4" w:space="0" w:color="auto"/>
              <w:left w:val="dashSmallGap" w:sz="4" w:space="0" w:color="auto"/>
              <w:bottom w:val="single" w:sz="4" w:space="0" w:color="auto"/>
              <w:right w:val="single" w:sz="4" w:space="0" w:color="auto"/>
            </w:tcBorders>
          </w:tcPr>
          <w:p w14:paraId="428585C0" w14:textId="77777777" w:rsidR="001B6AB1" w:rsidRPr="006918A0" w:rsidRDefault="001B6AB1" w:rsidP="00B330E1">
            <w:pPr>
              <w:spacing w:line="276" w:lineRule="auto"/>
              <w:ind w:right="-29"/>
              <w:jc w:val="center"/>
              <w:rPr>
                <w:noProof/>
                <w:sz w:val="18"/>
                <w:szCs w:val="18"/>
              </w:rPr>
            </w:pPr>
          </w:p>
        </w:tc>
        <w:tc>
          <w:tcPr>
            <w:tcW w:w="249" w:type="pct"/>
            <w:gridSpan w:val="2"/>
            <w:tcBorders>
              <w:top w:val="single" w:sz="4" w:space="0" w:color="auto"/>
              <w:left w:val="single" w:sz="4" w:space="0" w:color="auto"/>
              <w:bottom w:val="single" w:sz="4" w:space="0" w:color="auto"/>
              <w:right w:val="dashSmallGap" w:sz="4" w:space="0" w:color="auto"/>
            </w:tcBorders>
          </w:tcPr>
          <w:p w14:paraId="1768F8E9" w14:textId="77777777" w:rsidR="001B6AB1" w:rsidRPr="006918A0" w:rsidRDefault="001B6AB1" w:rsidP="00B330E1">
            <w:pPr>
              <w:spacing w:line="276" w:lineRule="auto"/>
              <w:ind w:right="-29"/>
              <w:jc w:val="center"/>
              <w:rPr>
                <w:noProof/>
                <w:sz w:val="18"/>
                <w:szCs w:val="18"/>
              </w:rPr>
            </w:pPr>
          </w:p>
        </w:tc>
        <w:tc>
          <w:tcPr>
            <w:tcW w:w="318" w:type="pct"/>
            <w:gridSpan w:val="2"/>
            <w:tcBorders>
              <w:top w:val="single" w:sz="4" w:space="0" w:color="auto"/>
              <w:left w:val="dashSmallGap" w:sz="4" w:space="0" w:color="auto"/>
              <w:bottom w:val="single" w:sz="4" w:space="0" w:color="auto"/>
              <w:right w:val="single" w:sz="4" w:space="0" w:color="auto"/>
            </w:tcBorders>
          </w:tcPr>
          <w:p w14:paraId="3121B42C" w14:textId="77777777" w:rsidR="001B6AB1" w:rsidRPr="006918A0" w:rsidRDefault="001B6AB1" w:rsidP="00B330E1">
            <w:pPr>
              <w:spacing w:line="276" w:lineRule="auto"/>
              <w:ind w:right="-29"/>
              <w:jc w:val="center"/>
              <w:rPr>
                <w:noProof/>
                <w:sz w:val="18"/>
                <w:szCs w:val="18"/>
              </w:rPr>
            </w:pPr>
          </w:p>
        </w:tc>
        <w:tc>
          <w:tcPr>
            <w:tcW w:w="223" w:type="pct"/>
            <w:gridSpan w:val="3"/>
            <w:tcBorders>
              <w:top w:val="single" w:sz="4" w:space="0" w:color="auto"/>
              <w:left w:val="single" w:sz="4" w:space="0" w:color="auto"/>
              <w:bottom w:val="single" w:sz="4" w:space="0" w:color="auto"/>
              <w:right w:val="single" w:sz="4" w:space="0" w:color="auto"/>
            </w:tcBorders>
          </w:tcPr>
          <w:p w14:paraId="7509D84B" w14:textId="77777777" w:rsidR="001B6AB1" w:rsidRPr="006918A0" w:rsidRDefault="001B6AB1" w:rsidP="00B330E1">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15BBAD0F" w14:textId="77777777" w:rsidR="001B6AB1" w:rsidRPr="006918A0" w:rsidRDefault="001B6AB1" w:rsidP="00B330E1">
            <w:pPr>
              <w:spacing w:line="276" w:lineRule="auto"/>
              <w:ind w:right="-29"/>
              <w:jc w:val="right"/>
              <w:rPr>
                <w:noProof/>
                <w:sz w:val="18"/>
                <w:szCs w:val="18"/>
              </w:rPr>
            </w:pPr>
            <w:r>
              <w:rPr>
                <w:b/>
                <w:noProof/>
                <w:sz w:val="18"/>
              </w:rPr>
              <w:t>0,650</w:t>
            </w:r>
          </w:p>
        </w:tc>
      </w:tr>
      <w:tr w:rsidR="001B6AB1" w:rsidRPr="006918A0" w14:paraId="3B872655" w14:textId="77777777" w:rsidTr="00B330E1">
        <w:trPr>
          <w:trHeight w:hRule="exact" w:val="369"/>
          <w:jc w:val="center"/>
        </w:trPr>
        <w:tc>
          <w:tcPr>
            <w:tcW w:w="483" w:type="pct"/>
            <w:tcBorders>
              <w:top w:val="single" w:sz="4" w:space="0" w:color="auto"/>
              <w:left w:val="single" w:sz="4" w:space="0" w:color="auto"/>
              <w:bottom w:val="single" w:sz="4" w:space="0" w:color="auto"/>
              <w:right w:val="single" w:sz="4" w:space="0" w:color="auto"/>
            </w:tcBorders>
            <w:hideMark/>
          </w:tcPr>
          <w:p w14:paraId="5C2D7748" w14:textId="77777777" w:rsidR="001B6AB1" w:rsidRPr="006918A0" w:rsidRDefault="001B6AB1" w:rsidP="00B330E1">
            <w:pPr>
              <w:spacing w:line="276" w:lineRule="auto"/>
              <w:ind w:right="-29"/>
              <w:jc w:val="center"/>
              <w:rPr>
                <w:noProof/>
                <w:sz w:val="18"/>
                <w:szCs w:val="18"/>
              </w:rPr>
            </w:pPr>
            <w:r>
              <w:rPr>
                <w:noProof/>
                <w:sz w:val="18"/>
              </w:rPr>
              <w:t>Ylläpito</w:t>
            </w:r>
          </w:p>
        </w:tc>
        <w:tc>
          <w:tcPr>
            <w:tcW w:w="249" w:type="pct"/>
            <w:tcBorders>
              <w:top w:val="single" w:sz="4" w:space="0" w:color="auto"/>
              <w:left w:val="single" w:sz="4" w:space="0" w:color="auto"/>
              <w:bottom w:val="single" w:sz="4" w:space="0" w:color="auto"/>
              <w:right w:val="single" w:sz="4" w:space="0" w:color="auto"/>
            </w:tcBorders>
          </w:tcPr>
          <w:p w14:paraId="5745F207" w14:textId="77777777" w:rsidR="001B6AB1" w:rsidRPr="006918A0" w:rsidRDefault="001B6AB1" w:rsidP="00B330E1">
            <w:pPr>
              <w:spacing w:line="276" w:lineRule="auto"/>
              <w:ind w:right="-29"/>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tcPr>
          <w:p w14:paraId="3162CD76" w14:textId="77777777" w:rsidR="001B6AB1" w:rsidRPr="006918A0" w:rsidRDefault="001B6AB1" w:rsidP="00B330E1">
            <w:pPr>
              <w:spacing w:line="276" w:lineRule="auto"/>
              <w:ind w:right="-29"/>
              <w:jc w:val="center"/>
              <w:rPr>
                <w:noProof/>
                <w:sz w:val="18"/>
                <w:szCs w:val="18"/>
              </w:rPr>
            </w:pPr>
          </w:p>
        </w:tc>
        <w:tc>
          <w:tcPr>
            <w:tcW w:w="285" w:type="pct"/>
            <w:tcBorders>
              <w:top w:val="single" w:sz="4" w:space="0" w:color="auto"/>
              <w:left w:val="single" w:sz="4" w:space="0" w:color="auto"/>
              <w:bottom w:val="single" w:sz="4" w:space="0" w:color="auto"/>
              <w:right w:val="single" w:sz="4" w:space="0" w:color="auto"/>
            </w:tcBorders>
          </w:tcPr>
          <w:p w14:paraId="3670F651" w14:textId="77777777" w:rsidR="001B6AB1" w:rsidRPr="006918A0" w:rsidRDefault="001B6AB1" w:rsidP="00B330E1">
            <w:pPr>
              <w:spacing w:line="276" w:lineRule="auto"/>
              <w:ind w:right="-29"/>
              <w:jc w:val="center"/>
              <w:rPr>
                <w:noProof/>
                <w:sz w:val="18"/>
                <w:szCs w:val="18"/>
              </w:rPr>
            </w:pPr>
          </w:p>
        </w:tc>
        <w:tc>
          <w:tcPr>
            <w:tcW w:w="266" w:type="pct"/>
            <w:tcBorders>
              <w:top w:val="single" w:sz="4" w:space="0" w:color="auto"/>
              <w:left w:val="single" w:sz="4" w:space="0" w:color="auto"/>
              <w:bottom w:val="single" w:sz="4" w:space="0" w:color="auto"/>
              <w:right w:val="single" w:sz="4" w:space="0" w:color="auto"/>
            </w:tcBorders>
          </w:tcPr>
          <w:p w14:paraId="26A66216" w14:textId="77777777" w:rsidR="001B6AB1" w:rsidRPr="006918A0" w:rsidRDefault="001B6AB1" w:rsidP="00B330E1">
            <w:pPr>
              <w:spacing w:line="276" w:lineRule="auto"/>
              <w:ind w:right="-29"/>
              <w:jc w:val="center"/>
              <w:rPr>
                <w:noProof/>
                <w:sz w:val="18"/>
                <w:szCs w:val="18"/>
              </w:rPr>
            </w:pPr>
          </w:p>
        </w:tc>
        <w:tc>
          <w:tcPr>
            <w:tcW w:w="281" w:type="pct"/>
            <w:tcBorders>
              <w:top w:val="single" w:sz="4" w:space="0" w:color="auto"/>
              <w:left w:val="single" w:sz="4" w:space="0" w:color="auto"/>
              <w:bottom w:val="single" w:sz="4" w:space="0" w:color="auto"/>
              <w:right w:val="single" w:sz="4" w:space="0" w:color="auto"/>
            </w:tcBorders>
          </w:tcPr>
          <w:p w14:paraId="580DA59B" w14:textId="77777777" w:rsidR="001B6AB1" w:rsidRPr="006918A0" w:rsidRDefault="001B6AB1" w:rsidP="00B330E1">
            <w:pPr>
              <w:spacing w:line="276" w:lineRule="auto"/>
              <w:ind w:right="-29"/>
              <w:jc w:val="center"/>
              <w:rPr>
                <w:noProof/>
                <w:sz w:val="18"/>
                <w:szCs w:val="18"/>
              </w:rPr>
            </w:pPr>
          </w:p>
        </w:tc>
        <w:tc>
          <w:tcPr>
            <w:tcW w:w="256" w:type="pct"/>
            <w:tcBorders>
              <w:top w:val="single" w:sz="4" w:space="0" w:color="auto"/>
              <w:left w:val="single" w:sz="4" w:space="0" w:color="auto"/>
              <w:bottom w:val="single" w:sz="4" w:space="0" w:color="auto"/>
              <w:right w:val="single" w:sz="4" w:space="0" w:color="auto"/>
            </w:tcBorders>
          </w:tcPr>
          <w:p w14:paraId="1E970D51" w14:textId="77777777" w:rsidR="001B6AB1" w:rsidRPr="006918A0" w:rsidRDefault="001B6AB1" w:rsidP="00B330E1">
            <w:pPr>
              <w:spacing w:line="276" w:lineRule="auto"/>
              <w:ind w:right="-29"/>
              <w:jc w:val="center"/>
              <w:rPr>
                <w:noProof/>
                <w:sz w:val="18"/>
                <w:szCs w:val="18"/>
              </w:rPr>
            </w:pPr>
          </w:p>
        </w:tc>
        <w:tc>
          <w:tcPr>
            <w:tcW w:w="298" w:type="pct"/>
            <w:tcBorders>
              <w:top w:val="single" w:sz="4" w:space="0" w:color="auto"/>
              <w:left w:val="single" w:sz="4" w:space="0" w:color="auto"/>
              <w:bottom w:val="single" w:sz="4" w:space="0" w:color="auto"/>
              <w:right w:val="single" w:sz="4" w:space="0" w:color="auto"/>
            </w:tcBorders>
          </w:tcPr>
          <w:p w14:paraId="23E6A662" w14:textId="77777777" w:rsidR="001B6AB1" w:rsidRPr="006918A0" w:rsidRDefault="001B6AB1" w:rsidP="00B330E1">
            <w:pPr>
              <w:spacing w:line="276" w:lineRule="auto"/>
              <w:ind w:right="-29"/>
              <w:jc w:val="center"/>
              <w:rPr>
                <w:noProof/>
                <w:sz w:val="18"/>
                <w:szCs w:val="18"/>
              </w:rPr>
            </w:pPr>
          </w:p>
        </w:tc>
        <w:tc>
          <w:tcPr>
            <w:tcW w:w="246" w:type="pct"/>
            <w:tcBorders>
              <w:top w:val="single" w:sz="4" w:space="0" w:color="auto"/>
              <w:left w:val="single" w:sz="4" w:space="0" w:color="auto"/>
              <w:bottom w:val="single" w:sz="4" w:space="0" w:color="auto"/>
              <w:right w:val="single" w:sz="4" w:space="0" w:color="auto"/>
            </w:tcBorders>
          </w:tcPr>
          <w:p w14:paraId="6289BBCA" w14:textId="77777777" w:rsidR="001B6AB1" w:rsidRPr="006918A0" w:rsidRDefault="001B6AB1" w:rsidP="00B330E1">
            <w:pPr>
              <w:spacing w:line="276" w:lineRule="auto"/>
              <w:ind w:right="-29"/>
              <w:jc w:val="center"/>
              <w:rPr>
                <w:noProof/>
                <w:sz w:val="18"/>
                <w:szCs w:val="18"/>
              </w:rPr>
            </w:pPr>
          </w:p>
        </w:tc>
        <w:tc>
          <w:tcPr>
            <w:tcW w:w="367" w:type="pct"/>
            <w:tcBorders>
              <w:top w:val="single" w:sz="4" w:space="0" w:color="auto"/>
              <w:left w:val="single" w:sz="4" w:space="0" w:color="auto"/>
              <w:bottom w:val="single" w:sz="4" w:space="0" w:color="auto"/>
              <w:right w:val="single" w:sz="4" w:space="0" w:color="auto"/>
            </w:tcBorders>
          </w:tcPr>
          <w:p w14:paraId="58F62B71" w14:textId="77777777" w:rsidR="001B6AB1" w:rsidRPr="006918A0" w:rsidRDefault="001B6AB1" w:rsidP="00B330E1">
            <w:pPr>
              <w:spacing w:line="276" w:lineRule="auto"/>
              <w:ind w:right="-29"/>
              <w:jc w:val="center"/>
              <w:rPr>
                <w:noProof/>
                <w:sz w:val="18"/>
                <w:szCs w:val="18"/>
              </w:rPr>
            </w:pPr>
          </w:p>
        </w:tc>
        <w:tc>
          <w:tcPr>
            <w:tcW w:w="225" w:type="pct"/>
            <w:tcBorders>
              <w:top w:val="single" w:sz="4" w:space="0" w:color="auto"/>
              <w:left w:val="single" w:sz="4" w:space="0" w:color="auto"/>
              <w:bottom w:val="single" w:sz="4" w:space="0" w:color="auto"/>
              <w:right w:val="single" w:sz="4" w:space="0" w:color="auto"/>
            </w:tcBorders>
            <w:hideMark/>
          </w:tcPr>
          <w:p w14:paraId="76ED7FF0" w14:textId="77777777" w:rsidR="001B6AB1" w:rsidRPr="006918A0" w:rsidRDefault="001B6AB1" w:rsidP="00B330E1">
            <w:pPr>
              <w:spacing w:line="276" w:lineRule="auto"/>
              <w:ind w:right="-29"/>
              <w:jc w:val="center"/>
              <w:rPr>
                <w:noProof/>
                <w:sz w:val="18"/>
                <w:szCs w:val="18"/>
              </w:rPr>
            </w:pPr>
            <w:r>
              <w:rPr>
                <w:noProof/>
                <w:sz w:val="18"/>
              </w:rPr>
              <w:t>0,100</w:t>
            </w:r>
          </w:p>
        </w:tc>
        <w:tc>
          <w:tcPr>
            <w:tcW w:w="258" w:type="pct"/>
            <w:tcBorders>
              <w:top w:val="single" w:sz="4" w:space="0" w:color="auto"/>
              <w:left w:val="single" w:sz="4" w:space="0" w:color="auto"/>
              <w:bottom w:val="single" w:sz="4" w:space="0" w:color="auto"/>
              <w:right w:val="single" w:sz="4" w:space="0" w:color="auto"/>
            </w:tcBorders>
          </w:tcPr>
          <w:p w14:paraId="10521DFD" w14:textId="77777777" w:rsidR="001B6AB1" w:rsidRPr="006918A0" w:rsidRDefault="001B6AB1" w:rsidP="00B330E1">
            <w:pPr>
              <w:spacing w:line="276" w:lineRule="auto"/>
              <w:ind w:right="-29"/>
              <w:jc w:val="center"/>
              <w:rPr>
                <w:noProof/>
                <w:sz w:val="18"/>
                <w:szCs w:val="18"/>
              </w:rPr>
            </w:pPr>
          </w:p>
        </w:tc>
        <w:tc>
          <w:tcPr>
            <w:tcW w:w="241" w:type="pct"/>
            <w:tcBorders>
              <w:top w:val="single" w:sz="4" w:space="0" w:color="auto"/>
              <w:left w:val="single" w:sz="4" w:space="0" w:color="auto"/>
              <w:bottom w:val="single" w:sz="4" w:space="0" w:color="auto"/>
              <w:right w:val="single" w:sz="4" w:space="0" w:color="auto"/>
            </w:tcBorders>
            <w:hideMark/>
          </w:tcPr>
          <w:p w14:paraId="395539DE" w14:textId="77777777" w:rsidR="001B6AB1" w:rsidRPr="006918A0" w:rsidRDefault="001B6AB1" w:rsidP="00B330E1">
            <w:pPr>
              <w:spacing w:line="276" w:lineRule="auto"/>
              <w:ind w:right="-29"/>
              <w:jc w:val="center"/>
              <w:rPr>
                <w:noProof/>
                <w:sz w:val="18"/>
                <w:szCs w:val="18"/>
              </w:rPr>
            </w:pPr>
            <w:r>
              <w:rPr>
                <w:noProof/>
                <w:sz w:val="18"/>
              </w:rPr>
              <w:t>0,100</w:t>
            </w:r>
          </w:p>
        </w:tc>
        <w:tc>
          <w:tcPr>
            <w:tcW w:w="249" w:type="pct"/>
            <w:gridSpan w:val="2"/>
            <w:tcBorders>
              <w:top w:val="single" w:sz="4" w:space="0" w:color="auto"/>
              <w:left w:val="single" w:sz="4" w:space="0" w:color="auto"/>
              <w:bottom w:val="single" w:sz="4" w:space="0" w:color="auto"/>
              <w:right w:val="single" w:sz="4" w:space="0" w:color="auto"/>
            </w:tcBorders>
          </w:tcPr>
          <w:p w14:paraId="1599D404" w14:textId="77777777" w:rsidR="001B6AB1" w:rsidRPr="006918A0" w:rsidRDefault="001B6AB1" w:rsidP="00B330E1">
            <w:pPr>
              <w:spacing w:line="276" w:lineRule="auto"/>
              <w:ind w:right="-29"/>
              <w:jc w:val="center"/>
              <w:rPr>
                <w:noProof/>
                <w:sz w:val="18"/>
                <w:szCs w:val="18"/>
              </w:rPr>
            </w:pPr>
          </w:p>
        </w:tc>
        <w:tc>
          <w:tcPr>
            <w:tcW w:w="318" w:type="pct"/>
            <w:gridSpan w:val="2"/>
            <w:tcBorders>
              <w:top w:val="single" w:sz="4" w:space="0" w:color="auto"/>
              <w:left w:val="single" w:sz="4" w:space="0" w:color="auto"/>
              <w:bottom w:val="single" w:sz="4" w:space="0" w:color="auto"/>
              <w:right w:val="single" w:sz="4" w:space="0" w:color="auto"/>
            </w:tcBorders>
            <w:hideMark/>
          </w:tcPr>
          <w:p w14:paraId="4967532D" w14:textId="77777777" w:rsidR="001B6AB1" w:rsidRPr="006918A0" w:rsidRDefault="001B6AB1" w:rsidP="00B330E1">
            <w:pPr>
              <w:spacing w:line="276" w:lineRule="auto"/>
              <w:ind w:right="-29"/>
              <w:jc w:val="center"/>
              <w:rPr>
                <w:noProof/>
                <w:sz w:val="18"/>
                <w:szCs w:val="18"/>
              </w:rPr>
            </w:pPr>
            <w:r>
              <w:rPr>
                <w:noProof/>
                <w:sz w:val="18"/>
              </w:rPr>
              <w:t>0,100</w:t>
            </w:r>
          </w:p>
        </w:tc>
        <w:tc>
          <w:tcPr>
            <w:tcW w:w="223" w:type="pct"/>
            <w:gridSpan w:val="3"/>
            <w:tcBorders>
              <w:top w:val="single" w:sz="4" w:space="0" w:color="auto"/>
              <w:left w:val="single" w:sz="4" w:space="0" w:color="auto"/>
              <w:bottom w:val="single" w:sz="4" w:space="0" w:color="auto"/>
              <w:right w:val="single" w:sz="4" w:space="0" w:color="auto"/>
            </w:tcBorders>
          </w:tcPr>
          <w:p w14:paraId="1BEEC841" w14:textId="77777777" w:rsidR="001B6AB1" w:rsidRPr="006918A0" w:rsidRDefault="001B6AB1" w:rsidP="00B330E1">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32853676" w14:textId="77777777" w:rsidR="001B6AB1" w:rsidRPr="006918A0" w:rsidRDefault="001B6AB1" w:rsidP="00B330E1">
            <w:pPr>
              <w:spacing w:line="276" w:lineRule="auto"/>
              <w:ind w:right="-29"/>
              <w:jc w:val="right"/>
              <w:rPr>
                <w:noProof/>
                <w:sz w:val="18"/>
                <w:szCs w:val="18"/>
              </w:rPr>
            </w:pPr>
            <w:r>
              <w:rPr>
                <w:b/>
                <w:noProof/>
                <w:sz w:val="18"/>
              </w:rPr>
              <w:t>0,300</w:t>
            </w:r>
          </w:p>
        </w:tc>
      </w:tr>
      <w:tr w:rsidR="001B6AB1" w:rsidRPr="006918A0" w14:paraId="29E909A8" w14:textId="77777777" w:rsidTr="00B330E1">
        <w:trPr>
          <w:trHeight w:hRule="exact" w:val="369"/>
          <w:jc w:val="center"/>
        </w:trPr>
        <w:tc>
          <w:tcPr>
            <w:tcW w:w="483" w:type="pct"/>
            <w:tcBorders>
              <w:top w:val="single" w:sz="4" w:space="0" w:color="auto"/>
              <w:left w:val="single" w:sz="4" w:space="0" w:color="auto"/>
              <w:bottom w:val="single" w:sz="4" w:space="0" w:color="auto"/>
              <w:right w:val="single" w:sz="4" w:space="0" w:color="auto"/>
            </w:tcBorders>
            <w:hideMark/>
          </w:tcPr>
          <w:p w14:paraId="4AD66012" w14:textId="77777777" w:rsidR="001B6AB1" w:rsidRPr="006918A0" w:rsidRDefault="001B6AB1" w:rsidP="00B330E1">
            <w:pPr>
              <w:spacing w:line="276" w:lineRule="auto"/>
              <w:ind w:right="-29"/>
              <w:jc w:val="center"/>
              <w:rPr>
                <w:noProof/>
                <w:sz w:val="18"/>
              </w:rPr>
            </w:pPr>
            <w:r>
              <w:rPr>
                <w:noProof/>
                <w:sz w:val="18"/>
              </w:rPr>
              <w:t>Tuki</w:t>
            </w:r>
          </w:p>
        </w:tc>
        <w:tc>
          <w:tcPr>
            <w:tcW w:w="249" w:type="pct"/>
            <w:tcBorders>
              <w:top w:val="single" w:sz="4" w:space="0" w:color="auto"/>
              <w:left w:val="single" w:sz="4" w:space="0" w:color="auto"/>
              <w:bottom w:val="single" w:sz="4" w:space="0" w:color="auto"/>
              <w:right w:val="single" w:sz="4" w:space="0" w:color="auto"/>
            </w:tcBorders>
          </w:tcPr>
          <w:p w14:paraId="1D308089" w14:textId="77777777" w:rsidR="001B6AB1" w:rsidRPr="006918A0" w:rsidRDefault="001B6AB1" w:rsidP="00B330E1">
            <w:pPr>
              <w:spacing w:line="276" w:lineRule="auto"/>
              <w:ind w:right="-29"/>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tcPr>
          <w:p w14:paraId="68BFD41F" w14:textId="77777777" w:rsidR="001B6AB1" w:rsidRPr="006918A0" w:rsidRDefault="001B6AB1" w:rsidP="00B330E1">
            <w:pPr>
              <w:spacing w:line="276" w:lineRule="auto"/>
              <w:ind w:right="-29"/>
              <w:jc w:val="center"/>
              <w:rPr>
                <w:noProof/>
                <w:sz w:val="18"/>
                <w:szCs w:val="18"/>
              </w:rPr>
            </w:pPr>
          </w:p>
        </w:tc>
        <w:tc>
          <w:tcPr>
            <w:tcW w:w="285" w:type="pct"/>
            <w:tcBorders>
              <w:top w:val="single" w:sz="4" w:space="0" w:color="auto"/>
              <w:left w:val="single" w:sz="4" w:space="0" w:color="auto"/>
              <w:bottom w:val="single" w:sz="4" w:space="0" w:color="auto"/>
              <w:right w:val="single" w:sz="4" w:space="0" w:color="auto"/>
            </w:tcBorders>
          </w:tcPr>
          <w:p w14:paraId="223986A0" w14:textId="77777777" w:rsidR="001B6AB1" w:rsidRPr="006918A0" w:rsidRDefault="001B6AB1" w:rsidP="00B330E1">
            <w:pPr>
              <w:spacing w:line="276" w:lineRule="auto"/>
              <w:ind w:right="-29"/>
              <w:jc w:val="center"/>
              <w:rPr>
                <w:noProof/>
                <w:sz w:val="18"/>
                <w:szCs w:val="18"/>
              </w:rPr>
            </w:pPr>
          </w:p>
        </w:tc>
        <w:tc>
          <w:tcPr>
            <w:tcW w:w="266" w:type="pct"/>
            <w:tcBorders>
              <w:top w:val="single" w:sz="4" w:space="0" w:color="auto"/>
              <w:left w:val="single" w:sz="4" w:space="0" w:color="auto"/>
              <w:bottom w:val="single" w:sz="4" w:space="0" w:color="auto"/>
              <w:right w:val="single" w:sz="4" w:space="0" w:color="auto"/>
            </w:tcBorders>
          </w:tcPr>
          <w:p w14:paraId="13EE680B" w14:textId="77777777" w:rsidR="001B6AB1" w:rsidRPr="006918A0" w:rsidRDefault="001B6AB1" w:rsidP="00B330E1">
            <w:pPr>
              <w:spacing w:line="276" w:lineRule="auto"/>
              <w:ind w:right="-29"/>
              <w:jc w:val="center"/>
              <w:rPr>
                <w:noProof/>
                <w:sz w:val="18"/>
                <w:szCs w:val="18"/>
              </w:rPr>
            </w:pPr>
          </w:p>
        </w:tc>
        <w:tc>
          <w:tcPr>
            <w:tcW w:w="281" w:type="pct"/>
            <w:tcBorders>
              <w:top w:val="single" w:sz="4" w:space="0" w:color="auto"/>
              <w:left w:val="single" w:sz="4" w:space="0" w:color="auto"/>
              <w:bottom w:val="single" w:sz="4" w:space="0" w:color="auto"/>
              <w:right w:val="single" w:sz="4" w:space="0" w:color="auto"/>
            </w:tcBorders>
          </w:tcPr>
          <w:p w14:paraId="3C1A1F26" w14:textId="77777777" w:rsidR="001B6AB1" w:rsidRPr="006918A0" w:rsidRDefault="001B6AB1" w:rsidP="00B330E1">
            <w:pPr>
              <w:spacing w:line="276" w:lineRule="auto"/>
              <w:ind w:right="-29"/>
              <w:jc w:val="center"/>
              <w:rPr>
                <w:noProof/>
                <w:sz w:val="18"/>
                <w:szCs w:val="18"/>
              </w:rPr>
            </w:pPr>
          </w:p>
        </w:tc>
        <w:tc>
          <w:tcPr>
            <w:tcW w:w="256" w:type="pct"/>
            <w:tcBorders>
              <w:top w:val="single" w:sz="4" w:space="0" w:color="auto"/>
              <w:left w:val="single" w:sz="4" w:space="0" w:color="auto"/>
              <w:bottom w:val="single" w:sz="4" w:space="0" w:color="auto"/>
              <w:right w:val="single" w:sz="4" w:space="0" w:color="auto"/>
            </w:tcBorders>
          </w:tcPr>
          <w:p w14:paraId="5129D4A3" w14:textId="77777777" w:rsidR="001B6AB1" w:rsidRPr="006918A0" w:rsidRDefault="001B6AB1" w:rsidP="00B330E1">
            <w:pPr>
              <w:spacing w:line="276" w:lineRule="auto"/>
              <w:ind w:right="-29"/>
              <w:jc w:val="center"/>
              <w:rPr>
                <w:noProof/>
                <w:sz w:val="18"/>
                <w:szCs w:val="18"/>
              </w:rPr>
            </w:pPr>
          </w:p>
        </w:tc>
        <w:tc>
          <w:tcPr>
            <w:tcW w:w="298" w:type="pct"/>
            <w:tcBorders>
              <w:top w:val="single" w:sz="4" w:space="0" w:color="auto"/>
              <w:left w:val="single" w:sz="4" w:space="0" w:color="auto"/>
              <w:bottom w:val="single" w:sz="4" w:space="0" w:color="auto"/>
              <w:right w:val="single" w:sz="4" w:space="0" w:color="auto"/>
            </w:tcBorders>
          </w:tcPr>
          <w:p w14:paraId="4CCF5744" w14:textId="77777777" w:rsidR="001B6AB1" w:rsidRPr="006918A0" w:rsidRDefault="001B6AB1" w:rsidP="00B330E1">
            <w:pPr>
              <w:spacing w:line="276" w:lineRule="auto"/>
              <w:ind w:right="-29"/>
              <w:jc w:val="center"/>
              <w:rPr>
                <w:noProof/>
                <w:sz w:val="18"/>
                <w:szCs w:val="18"/>
              </w:rPr>
            </w:pPr>
          </w:p>
        </w:tc>
        <w:tc>
          <w:tcPr>
            <w:tcW w:w="246" w:type="pct"/>
            <w:tcBorders>
              <w:top w:val="single" w:sz="4" w:space="0" w:color="auto"/>
              <w:left w:val="single" w:sz="4" w:space="0" w:color="auto"/>
              <w:bottom w:val="single" w:sz="4" w:space="0" w:color="auto"/>
              <w:right w:val="single" w:sz="4" w:space="0" w:color="auto"/>
            </w:tcBorders>
            <w:hideMark/>
          </w:tcPr>
          <w:p w14:paraId="4953B4AD" w14:textId="77777777" w:rsidR="001B6AB1" w:rsidRPr="006918A0" w:rsidRDefault="001B6AB1" w:rsidP="00B330E1">
            <w:pPr>
              <w:spacing w:line="276" w:lineRule="auto"/>
              <w:ind w:right="-29"/>
              <w:jc w:val="center"/>
              <w:rPr>
                <w:noProof/>
                <w:sz w:val="18"/>
                <w:szCs w:val="18"/>
              </w:rPr>
            </w:pPr>
            <w:r>
              <w:rPr>
                <w:noProof/>
                <w:sz w:val="18"/>
              </w:rPr>
              <w:t>0,020</w:t>
            </w:r>
          </w:p>
        </w:tc>
        <w:tc>
          <w:tcPr>
            <w:tcW w:w="367" w:type="pct"/>
            <w:tcBorders>
              <w:top w:val="single" w:sz="4" w:space="0" w:color="auto"/>
              <w:left w:val="single" w:sz="4" w:space="0" w:color="auto"/>
              <w:bottom w:val="single" w:sz="4" w:space="0" w:color="auto"/>
              <w:right w:val="single" w:sz="4" w:space="0" w:color="auto"/>
            </w:tcBorders>
          </w:tcPr>
          <w:p w14:paraId="2B473D0C" w14:textId="77777777" w:rsidR="001B6AB1" w:rsidRPr="006918A0" w:rsidRDefault="001B6AB1" w:rsidP="00B330E1">
            <w:pPr>
              <w:spacing w:line="276" w:lineRule="auto"/>
              <w:ind w:right="-29"/>
              <w:jc w:val="center"/>
              <w:rPr>
                <w:noProof/>
                <w:sz w:val="18"/>
                <w:szCs w:val="18"/>
              </w:rPr>
            </w:pPr>
          </w:p>
        </w:tc>
        <w:tc>
          <w:tcPr>
            <w:tcW w:w="225" w:type="pct"/>
            <w:tcBorders>
              <w:top w:val="single" w:sz="4" w:space="0" w:color="auto"/>
              <w:left w:val="single" w:sz="4" w:space="0" w:color="auto"/>
              <w:bottom w:val="single" w:sz="4" w:space="0" w:color="auto"/>
              <w:right w:val="single" w:sz="4" w:space="0" w:color="auto"/>
            </w:tcBorders>
            <w:hideMark/>
          </w:tcPr>
          <w:p w14:paraId="66FDB3EC" w14:textId="77777777" w:rsidR="001B6AB1" w:rsidRPr="006918A0" w:rsidRDefault="001B6AB1" w:rsidP="00B330E1">
            <w:pPr>
              <w:spacing w:line="276" w:lineRule="auto"/>
              <w:ind w:right="-29"/>
              <w:jc w:val="center"/>
              <w:rPr>
                <w:noProof/>
                <w:sz w:val="18"/>
                <w:szCs w:val="18"/>
              </w:rPr>
            </w:pPr>
            <w:r>
              <w:rPr>
                <w:noProof/>
                <w:sz w:val="18"/>
              </w:rPr>
              <w:t>0,020</w:t>
            </w:r>
          </w:p>
        </w:tc>
        <w:tc>
          <w:tcPr>
            <w:tcW w:w="258" w:type="pct"/>
            <w:tcBorders>
              <w:top w:val="single" w:sz="4" w:space="0" w:color="auto"/>
              <w:left w:val="single" w:sz="4" w:space="0" w:color="auto"/>
              <w:bottom w:val="single" w:sz="4" w:space="0" w:color="auto"/>
              <w:right w:val="single" w:sz="4" w:space="0" w:color="auto"/>
            </w:tcBorders>
          </w:tcPr>
          <w:p w14:paraId="2DEC5846" w14:textId="77777777" w:rsidR="001B6AB1" w:rsidRPr="006918A0" w:rsidRDefault="001B6AB1" w:rsidP="00B330E1">
            <w:pPr>
              <w:spacing w:line="276" w:lineRule="auto"/>
              <w:ind w:right="-29"/>
              <w:jc w:val="center"/>
              <w:rPr>
                <w:noProof/>
                <w:sz w:val="18"/>
                <w:szCs w:val="18"/>
              </w:rPr>
            </w:pPr>
          </w:p>
        </w:tc>
        <w:tc>
          <w:tcPr>
            <w:tcW w:w="241" w:type="pct"/>
            <w:tcBorders>
              <w:top w:val="single" w:sz="4" w:space="0" w:color="auto"/>
              <w:left w:val="single" w:sz="4" w:space="0" w:color="auto"/>
              <w:bottom w:val="single" w:sz="4" w:space="0" w:color="auto"/>
              <w:right w:val="single" w:sz="4" w:space="0" w:color="auto"/>
            </w:tcBorders>
            <w:hideMark/>
          </w:tcPr>
          <w:p w14:paraId="5F0352B7" w14:textId="77777777" w:rsidR="001B6AB1" w:rsidRPr="006918A0" w:rsidRDefault="001B6AB1" w:rsidP="00B330E1">
            <w:pPr>
              <w:spacing w:line="276" w:lineRule="auto"/>
              <w:ind w:right="-29"/>
              <w:jc w:val="center"/>
              <w:rPr>
                <w:noProof/>
                <w:sz w:val="18"/>
                <w:szCs w:val="18"/>
              </w:rPr>
            </w:pPr>
            <w:r>
              <w:rPr>
                <w:noProof/>
                <w:sz w:val="18"/>
              </w:rPr>
              <w:t>0,020</w:t>
            </w:r>
          </w:p>
        </w:tc>
        <w:tc>
          <w:tcPr>
            <w:tcW w:w="249" w:type="pct"/>
            <w:gridSpan w:val="2"/>
            <w:tcBorders>
              <w:top w:val="single" w:sz="4" w:space="0" w:color="auto"/>
              <w:left w:val="single" w:sz="4" w:space="0" w:color="auto"/>
              <w:bottom w:val="single" w:sz="4" w:space="0" w:color="auto"/>
              <w:right w:val="single" w:sz="4" w:space="0" w:color="auto"/>
            </w:tcBorders>
          </w:tcPr>
          <w:p w14:paraId="1D8915CB" w14:textId="77777777" w:rsidR="001B6AB1" w:rsidRPr="006918A0" w:rsidRDefault="001B6AB1" w:rsidP="00B330E1">
            <w:pPr>
              <w:spacing w:line="276" w:lineRule="auto"/>
              <w:ind w:right="-29"/>
              <w:jc w:val="center"/>
              <w:rPr>
                <w:noProof/>
                <w:sz w:val="18"/>
                <w:szCs w:val="18"/>
              </w:rPr>
            </w:pPr>
          </w:p>
        </w:tc>
        <w:tc>
          <w:tcPr>
            <w:tcW w:w="318" w:type="pct"/>
            <w:gridSpan w:val="2"/>
            <w:tcBorders>
              <w:top w:val="single" w:sz="4" w:space="0" w:color="auto"/>
              <w:left w:val="single" w:sz="4" w:space="0" w:color="auto"/>
              <w:bottom w:val="single" w:sz="4" w:space="0" w:color="auto"/>
              <w:right w:val="single" w:sz="4" w:space="0" w:color="auto"/>
            </w:tcBorders>
            <w:hideMark/>
          </w:tcPr>
          <w:p w14:paraId="2F15C205" w14:textId="77777777" w:rsidR="001B6AB1" w:rsidRPr="006918A0" w:rsidRDefault="001B6AB1" w:rsidP="00B330E1">
            <w:pPr>
              <w:spacing w:line="276" w:lineRule="auto"/>
              <w:ind w:right="-29"/>
              <w:jc w:val="center"/>
              <w:rPr>
                <w:noProof/>
                <w:sz w:val="18"/>
                <w:szCs w:val="18"/>
              </w:rPr>
            </w:pPr>
            <w:r>
              <w:rPr>
                <w:noProof/>
                <w:sz w:val="18"/>
              </w:rPr>
              <w:t>0,020</w:t>
            </w:r>
          </w:p>
        </w:tc>
        <w:tc>
          <w:tcPr>
            <w:tcW w:w="223" w:type="pct"/>
            <w:gridSpan w:val="3"/>
            <w:tcBorders>
              <w:top w:val="single" w:sz="4" w:space="0" w:color="auto"/>
              <w:left w:val="single" w:sz="4" w:space="0" w:color="auto"/>
              <w:bottom w:val="single" w:sz="4" w:space="0" w:color="auto"/>
              <w:right w:val="single" w:sz="4" w:space="0" w:color="auto"/>
            </w:tcBorders>
          </w:tcPr>
          <w:p w14:paraId="70C11946" w14:textId="77777777" w:rsidR="001B6AB1" w:rsidRPr="006918A0" w:rsidRDefault="001B6AB1" w:rsidP="00B330E1">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3AF37C01" w14:textId="77777777" w:rsidR="001B6AB1" w:rsidRPr="006918A0" w:rsidRDefault="001B6AB1" w:rsidP="00B330E1">
            <w:pPr>
              <w:spacing w:line="276" w:lineRule="auto"/>
              <w:ind w:right="-29"/>
              <w:jc w:val="right"/>
              <w:rPr>
                <w:noProof/>
                <w:sz w:val="18"/>
                <w:szCs w:val="18"/>
              </w:rPr>
            </w:pPr>
            <w:r>
              <w:rPr>
                <w:b/>
                <w:noProof/>
                <w:sz w:val="18"/>
              </w:rPr>
              <w:t>0,080</w:t>
            </w:r>
          </w:p>
        </w:tc>
      </w:tr>
      <w:tr w:rsidR="001B6AB1" w:rsidRPr="006918A0" w14:paraId="05374CA2" w14:textId="77777777" w:rsidTr="00B330E1">
        <w:trPr>
          <w:trHeight w:hRule="exact" w:val="369"/>
          <w:jc w:val="center"/>
        </w:trPr>
        <w:tc>
          <w:tcPr>
            <w:tcW w:w="483" w:type="pct"/>
            <w:tcBorders>
              <w:top w:val="single" w:sz="4" w:space="0" w:color="auto"/>
              <w:left w:val="single" w:sz="4" w:space="0" w:color="auto"/>
              <w:bottom w:val="single" w:sz="4" w:space="0" w:color="auto"/>
              <w:right w:val="single" w:sz="4" w:space="0" w:color="auto"/>
            </w:tcBorders>
            <w:hideMark/>
          </w:tcPr>
          <w:p w14:paraId="6C243CF5" w14:textId="77777777" w:rsidR="001B6AB1" w:rsidRPr="006918A0" w:rsidRDefault="001B6AB1" w:rsidP="00B330E1">
            <w:pPr>
              <w:spacing w:line="276" w:lineRule="auto"/>
              <w:ind w:right="-29"/>
              <w:jc w:val="center"/>
              <w:rPr>
                <w:noProof/>
                <w:sz w:val="18"/>
              </w:rPr>
            </w:pPr>
            <w:r>
              <w:rPr>
                <w:noProof/>
                <w:sz w:val="18"/>
              </w:rPr>
              <w:t>Koulutus</w:t>
            </w:r>
          </w:p>
        </w:tc>
        <w:tc>
          <w:tcPr>
            <w:tcW w:w="249" w:type="pct"/>
            <w:tcBorders>
              <w:top w:val="single" w:sz="4" w:space="0" w:color="auto"/>
              <w:left w:val="single" w:sz="4" w:space="0" w:color="auto"/>
              <w:bottom w:val="single" w:sz="4" w:space="0" w:color="auto"/>
              <w:right w:val="single" w:sz="4" w:space="0" w:color="auto"/>
            </w:tcBorders>
          </w:tcPr>
          <w:p w14:paraId="4543756B" w14:textId="77777777" w:rsidR="001B6AB1" w:rsidRPr="006918A0" w:rsidRDefault="001B6AB1" w:rsidP="00B330E1">
            <w:pPr>
              <w:spacing w:line="276" w:lineRule="auto"/>
              <w:ind w:right="-29"/>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tcPr>
          <w:p w14:paraId="47FC71CC" w14:textId="77777777" w:rsidR="001B6AB1" w:rsidRPr="006918A0" w:rsidRDefault="001B6AB1" w:rsidP="00B330E1">
            <w:pPr>
              <w:spacing w:line="276" w:lineRule="auto"/>
              <w:ind w:right="-29"/>
              <w:jc w:val="center"/>
              <w:rPr>
                <w:noProof/>
                <w:sz w:val="18"/>
                <w:szCs w:val="18"/>
              </w:rPr>
            </w:pPr>
          </w:p>
        </w:tc>
        <w:tc>
          <w:tcPr>
            <w:tcW w:w="285" w:type="pct"/>
            <w:tcBorders>
              <w:top w:val="single" w:sz="4" w:space="0" w:color="auto"/>
              <w:left w:val="single" w:sz="4" w:space="0" w:color="auto"/>
              <w:bottom w:val="single" w:sz="4" w:space="0" w:color="auto"/>
              <w:right w:val="single" w:sz="4" w:space="0" w:color="auto"/>
            </w:tcBorders>
          </w:tcPr>
          <w:p w14:paraId="3AA6767A" w14:textId="77777777" w:rsidR="001B6AB1" w:rsidRPr="006918A0" w:rsidRDefault="001B6AB1" w:rsidP="00B330E1">
            <w:pPr>
              <w:spacing w:line="276" w:lineRule="auto"/>
              <w:ind w:right="-29"/>
              <w:jc w:val="center"/>
              <w:rPr>
                <w:noProof/>
                <w:sz w:val="18"/>
                <w:szCs w:val="18"/>
              </w:rPr>
            </w:pPr>
          </w:p>
        </w:tc>
        <w:tc>
          <w:tcPr>
            <w:tcW w:w="266" w:type="pct"/>
            <w:tcBorders>
              <w:top w:val="single" w:sz="4" w:space="0" w:color="auto"/>
              <w:left w:val="single" w:sz="4" w:space="0" w:color="auto"/>
              <w:bottom w:val="single" w:sz="4" w:space="0" w:color="auto"/>
              <w:right w:val="single" w:sz="4" w:space="0" w:color="auto"/>
            </w:tcBorders>
          </w:tcPr>
          <w:p w14:paraId="1F1BF838" w14:textId="77777777" w:rsidR="001B6AB1" w:rsidRPr="006918A0" w:rsidRDefault="001B6AB1" w:rsidP="00B330E1">
            <w:pPr>
              <w:spacing w:line="276" w:lineRule="auto"/>
              <w:ind w:right="-29"/>
              <w:jc w:val="center"/>
              <w:rPr>
                <w:noProof/>
                <w:sz w:val="18"/>
                <w:szCs w:val="18"/>
              </w:rPr>
            </w:pPr>
          </w:p>
        </w:tc>
        <w:tc>
          <w:tcPr>
            <w:tcW w:w="281" w:type="pct"/>
            <w:tcBorders>
              <w:top w:val="single" w:sz="4" w:space="0" w:color="auto"/>
              <w:left w:val="single" w:sz="4" w:space="0" w:color="auto"/>
              <w:bottom w:val="single" w:sz="4" w:space="0" w:color="auto"/>
              <w:right w:val="single" w:sz="4" w:space="0" w:color="auto"/>
            </w:tcBorders>
          </w:tcPr>
          <w:p w14:paraId="0F0E4447" w14:textId="77777777" w:rsidR="001B6AB1" w:rsidRPr="006918A0" w:rsidRDefault="001B6AB1" w:rsidP="00B330E1">
            <w:pPr>
              <w:spacing w:line="276" w:lineRule="auto"/>
              <w:ind w:right="-29"/>
              <w:jc w:val="center"/>
              <w:rPr>
                <w:noProof/>
                <w:sz w:val="18"/>
                <w:szCs w:val="18"/>
              </w:rPr>
            </w:pPr>
          </w:p>
        </w:tc>
        <w:tc>
          <w:tcPr>
            <w:tcW w:w="256" w:type="pct"/>
            <w:tcBorders>
              <w:top w:val="single" w:sz="4" w:space="0" w:color="auto"/>
              <w:left w:val="single" w:sz="4" w:space="0" w:color="auto"/>
              <w:bottom w:val="single" w:sz="4" w:space="0" w:color="auto"/>
              <w:right w:val="single" w:sz="4" w:space="0" w:color="auto"/>
            </w:tcBorders>
          </w:tcPr>
          <w:p w14:paraId="315E19A8" w14:textId="77777777" w:rsidR="001B6AB1" w:rsidRPr="006918A0" w:rsidRDefault="001B6AB1" w:rsidP="00B330E1">
            <w:pPr>
              <w:spacing w:line="276" w:lineRule="auto"/>
              <w:ind w:right="-29"/>
              <w:jc w:val="center"/>
              <w:rPr>
                <w:noProof/>
                <w:sz w:val="18"/>
                <w:szCs w:val="18"/>
              </w:rPr>
            </w:pPr>
          </w:p>
        </w:tc>
        <w:tc>
          <w:tcPr>
            <w:tcW w:w="298" w:type="pct"/>
            <w:tcBorders>
              <w:top w:val="single" w:sz="4" w:space="0" w:color="auto"/>
              <w:left w:val="single" w:sz="4" w:space="0" w:color="auto"/>
              <w:bottom w:val="single" w:sz="4" w:space="0" w:color="auto"/>
              <w:right w:val="single" w:sz="4" w:space="0" w:color="auto"/>
            </w:tcBorders>
          </w:tcPr>
          <w:p w14:paraId="020B0EE9" w14:textId="77777777" w:rsidR="001B6AB1" w:rsidRPr="006918A0" w:rsidRDefault="001B6AB1" w:rsidP="00B330E1">
            <w:pPr>
              <w:spacing w:line="276" w:lineRule="auto"/>
              <w:ind w:right="-29"/>
              <w:jc w:val="center"/>
              <w:rPr>
                <w:noProof/>
                <w:sz w:val="18"/>
                <w:szCs w:val="18"/>
              </w:rPr>
            </w:pPr>
          </w:p>
        </w:tc>
        <w:tc>
          <w:tcPr>
            <w:tcW w:w="246" w:type="pct"/>
            <w:tcBorders>
              <w:top w:val="single" w:sz="4" w:space="0" w:color="auto"/>
              <w:left w:val="single" w:sz="4" w:space="0" w:color="auto"/>
              <w:bottom w:val="single" w:sz="4" w:space="0" w:color="auto"/>
              <w:right w:val="single" w:sz="4" w:space="0" w:color="auto"/>
            </w:tcBorders>
            <w:hideMark/>
          </w:tcPr>
          <w:p w14:paraId="7D47C20E" w14:textId="77777777" w:rsidR="001B6AB1" w:rsidRPr="006918A0" w:rsidRDefault="001B6AB1" w:rsidP="00B330E1">
            <w:pPr>
              <w:spacing w:line="276" w:lineRule="auto"/>
              <w:ind w:right="-29"/>
              <w:jc w:val="center"/>
              <w:rPr>
                <w:noProof/>
                <w:sz w:val="18"/>
                <w:szCs w:val="18"/>
              </w:rPr>
            </w:pPr>
            <w:r>
              <w:rPr>
                <w:noProof/>
                <w:sz w:val="18"/>
              </w:rPr>
              <w:t>0,020</w:t>
            </w:r>
          </w:p>
        </w:tc>
        <w:tc>
          <w:tcPr>
            <w:tcW w:w="367" w:type="pct"/>
            <w:tcBorders>
              <w:top w:val="single" w:sz="4" w:space="0" w:color="auto"/>
              <w:left w:val="single" w:sz="4" w:space="0" w:color="auto"/>
              <w:bottom w:val="single" w:sz="4" w:space="0" w:color="auto"/>
              <w:right w:val="single" w:sz="4" w:space="0" w:color="auto"/>
            </w:tcBorders>
          </w:tcPr>
          <w:p w14:paraId="44EC82E2" w14:textId="77777777" w:rsidR="001B6AB1" w:rsidRPr="006918A0" w:rsidRDefault="001B6AB1" w:rsidP="00B330E1">
            <w:pPr>
              <w:spacing w:line="276" w:lineRule="auto"/>
              <w:ind w:right="-29"/>
              <w:jc w:val="center"/>
              <w:rPr>
                <w:noProof/>
                <w:sz w:val="18"/>
                <w:szCs w:val="18"/>
              </w:rPr>
            </w:pPr>
          </w:p>
        </w:tc>
        <w:tc>
          <w:tcPr>
            <w:tcW w:w="225" w:type="pct"/>
            <w:tcBorders>
              <w:top w:val="single" w:sz="4" w:space="0" w:color="auto"/>
              <w:left w:val="single" w:sz="4" w:space="0" w:color="auto"/>
              <w:bottom w:val="single" w:sz="4" w:space="0" w:color="auto"/>
              <w:right w:val="single" w:sz="4" w:space="0" w:color="auto"/>
            </w:tcBorders>
          </w:tcPr>
          <w:p w14:paraId="4065E2F5" w14:textId="77777777" w:rsidR="001B6AB1" w:rsidRPr="006918A0" w:rsidRDefault="001B6AB1" w:rsidP="00B330E1">
            <w:pPr>
              <w:spacing w:line="276" w:lineRule="auto"/>
              <w:ind w:right="-29"/>
              <w:jc w:val="center"/>
              <w:rPr>
                <w:noProof/>
                <w:sz w:val="18"/>
                <w:szCs w:val="18"/>
              </w:rPr>
            </w:pPr>
          </w:p>
        </w:tc>
        <w:tc>
          <w:tcPr>
            <w:tcW w:w="258" w:type="pct"/>
            <w:tcBorders>
              <w:top w:val="single" w:sz="4" w:space="0" w:color="auto"/>
              <w:left w:val="single" w:sz="4" w:space="0" w:color="auto"/>
              <w:bottom w:val="single" w:sz="4" w:space="0" w:color="auto"/>
              <w:right w:val="single" w:sz="4" w:space="0" w:color="auto"/>
            </w:tcBorders>
          </w:tcPr>
          <w:p w14:paraId="1FC09617" w14:textId="77777777" w:rsidR="001B6AB1" w:rsidRPr="006918A0" w:rsidRDefault="001B6AB1" w:rsidP="00B330E1">
            <w:pPr>
              <w:spacing w:line="276" w:lineRule="auto"/>
              <w:ind w:right="-29"/>
              <w:jc w:val="center"/>
              <w:rPr>
                <w:noProof/>
                <w:sz w:val="18"/>
                <w:szCs w:val="18"/>
              </w:rPr>
            </w:pPr>
          </w:p>
        </w:tc>
        <w:tc>
          <w:tcPr>
            <w:tcW w:w="241" w:type="pct"/>
            <w:tcBorders>
              <w:top w:val="single" w:sz="4" w:space="0" w:color="auto"/>
              <w:left w:val="single" w:sz="4" w:space="0" w:color="auto"/>
              <w:bottom w:val="single" w:sz="4" w:space="0" w:color="auto"/>
              <w:right w:val="single" w:sz="4" w:space="0" w:color="auto"/>
            </w:tcBorders>
          </w:tcPr>
          <w:p w14:paraId="3A4AB5F7" w14:textId="77777777" w:rsidR="001B6AB1" w:rsidRPr="006918A0" w:rsidRDefault="001B6AB1" w:rsidP="00B330E1">
            <w:pPr>
              <w:spacing w:line="276" w:lineRule="auto"/>
              <w:ind w:right="-29"/>
              <w:jc w:val="center"/>
              <w:rPr>
                <w:noProof/>
                <w:sz w:val="18"/>
                <w:szCs w:val="18"/>
              </w:rPr>
            </w:pPr>
          </w:p>
        </w:tc>
        <w:tc>
          <w:tcPr>
            <w:tcW w:w="249" w:type="pct"/>
            <w:gridSpan w:val="2"/>
            <w:tcBorders>
              <w:top w:val="single" w:sz="4" w:space="0" w:color="auto"/>
              <w:left w:val="single" w:sz="4" w:space="0" w:color="auto"/>
              <w:bottom w:val="single" w:sz="4" w:space="0" w:color="auto"/>
              <w:right w:val="single" w:sz="4" w:space="0" w:color="auto"/>
            </w:tcBorders>
          </w:tcPr>
          <w:p w14:paraId="5F3394C1" w14:textId="77777777" w:rsidR="001B6AB1" w:rsidRPr="006918A0" w:rsidRDefault="001B6AB1" w:rsidP="00B330E1">
            <w:pPr>
              <w:spacing w:line="276" w:lineRule="auto"/>
              <w:ind w:right="-29"/>
              <w:jc w:val="center"/>
              <w:rPr>
                <w:noProof/>
                <w:sz w:val="18"/>
                <w:szCs w:val="18"/>
              </w:rPr>
            </w:pPr>
          </w:p>
        </w:tc>
        <w:tc>
          <w:tcPr>
            <w:tcW w:w="318" w:type="pct"/>
            <w:gridSpan w:val="2"/>
            <w:tcBorders>
              <w:top w:val="single" w:sz="4" w:space="0" w:color="auto"/>
              <w:left w:val="single" w:sz="4" w:space="0" w:color="auto"/>
              <w:bottom w:val="single" w:sz="4" w:space="0" w:color="auto"/>
              <w:right w:val="single" w:sz="4" w:space="0" w:color="auto"/>
            </w:tcBorders>
          </w:tcPr>
          <w:p w14:paraId="58DE89A7" w14:textId="77777777" w:rsidR="001B6AB1" w:rsidRPr="006918A0" w:rsidRDefault="001B6AB1" w:rsidP="00B330E1">
            <w:pPr>
              <w:spacing w:line="276" w:lineRule="auto"/>
              <w:ind w:right="-29"/>
              <w:jc w:val="center"/>
              <w:rPr>
                <w:noProof/>
                <w:sz w:val="18"/>
                <w:szCs w:val="18"/>
              </w:rPr>
            </w:pPr>
          </w:p>
        </w:tc>
        <w:tc>
          <w:tcPr>
            <w:tcW w:w="223" w:type="pct"/>
            <w:gridSpan w:val="3"/>
            <w:tcBorders>
              <w:top w:val="single" w:sz="4" w:space="0" w:color="auto"/>
              <w:left w:val="single" w:sz="4" w:space="0" w:color="auto"/>
              <w:bottom w:val="single" w:sz="4" w:space="0" w:color="auto"/>
              <w:right w:val="single" w:sz="4" w:space="0" w:color="auto"/>
            </w:tcBorders>
          </w:tcPr>
          <w:p w14:paraId="6C53A7D4" w14:textId="77777777" w:rsidR="001B6AB1" w:rsidRPr="006918A0" w:rsidRDefault="001B6AB1" w:rsidP="00B330E1">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605A59E3" w14:textId="77777777" w:rsidR="001B6AB1" w:rsidRPr="006918A0" w:rsidRDefault="001B6AB1" w:rsidP="00B330E1">
            <w:pPr>
              <w:spacing w:line="276" w:lineRule="auto"/>
              <w:ind w:right="-29"/>
              <w:jc w:val="right"/>
              <w:rPr>
                <w:noProof/>
                <w:sz w:val="18"/>
                <w:szCs w:val="18"/>
              </w:rPr>
            </w:pPr>
            <w:r>
              <w:rPr>
                <w:b/>
                <w:noProof/>
                <w:sz w:val="18"/>
              </w:rPr>
              <w:t>0,020</w:t>
            </w:r>
          </w:p>
        </w:tc>
      </w:tr>
      <w:tr w:rsidR="001B6AB1" w:rsidRPr="006918A0" w14:paraId="4849EC4F" w14:textId="77777777" w:rsidTr="00B330E1">
        <w:trPr>
          <w:trHeight w:hRule="exact" w:val="1106"/>
          <w:jc w:val="center"/>
        </w:trPr>
        <w:tc>
          <w:tcPr>
            <w:tcW w:w="483" w:type="pct"/>
            <w:tcBorders>
              <w:top w:val="single" w:sz="4" w:space="0" w:color="auto"/>
              <w:left w:val="single" w:sz="4" w:space="0" w:color="auto"/>
              <w:bottom w:val="single" w:sz="4" w:space="0" w:color="auto"/>
              <w:right w:val="single" w:sz="4" w:space="0" w:color="auto"/>
            </w:tcBorders>
            <w:hideMark/>
          </w:tcPr>
          <w:p w14:paraId="35839D4C" w14:textId="77777777" w:rsidR="001B6AB1" w:rsidRPr="006918A0" w:rsidRDefault="001B6AB1" w:rsidP="00B330E1">
            <w:pPr>
              <w:spacing w:line="276" w:lineRule="auto"/>
              <w:ind w:right="-29"/>
              <w:jc w:val="center"/>
              <w:rPr>
                <w:noProof/>
                <w:sz w:val="18"/>
              </w:rPr>
            </w:pPr>
            <w:bookmarkStart w:id="20" w:name="OLE_LINK1"/>
            <w:r>
              <w:rPr>
                <w:noProof/>
                <w:sz w:val="18"/>
              </w:rPr>
              <w:t>Tietotekniikkapalvelujen hallinta (infrastruktuuri, isännöinti, lisenssit jne.)</w:t>
            </w:r>
            <w:bookmarkEnd w:id="20"/>
          </w:p>
        </w:tc>
        <w:tc>
          <w:tcPr>
            <w:tcW w:w="249" w:type="pct"/>
            <w:tcBorders>
              <w:top w:val="single" w:sz="4" w:space="0" w:color="auto"/>
              <w:left w:val="single" w:sz="4" w:space="0" w:color="auto"/>
              <w:bottom w:val="single" w:sz="4" w:space="0" w:color="auto"/>
              <w:right w:val="single" w:sz="4" w:space="0" w:color="auto"/>
            </w:tcBorders>
          </w:tcPr>
          <w:p w14:paraId="15363A2A" w14:textId="77777777" w:rsidR="001B6AB1" w:rsidRPr="001B6AB1" w:rsidRDefault="001B6AB1" w:rsidP="00B330E1">
            <w:pPr>
              <w:spacing w:line="276" w:lineRule="auto"/>
              <w:ind w:right="-29"/>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tcPr>
          <w:p w14:paraId="5C6210A8" w14:textId="77777777" w:rsidR="001B6AB1" w:rsidRPr="001B6AB1" w:rsidRDefault="001B6AB1" w:rsidP="00B330E1">
            <w:pPr>
              <w:spacing w:line="276" w:lineRule="auto"/>
              <w:ind w:right="-29"/>
              <w:jc w:val="center"/>
              <w:rPr>
                <w:noProof/>
                <w:sz w:val="18"/>
                <w:szCs w:val="18"/>
              </w:rPr>
            </w:pPr>
          </w:p>
        </w:tc>
        <w:tc>
          <w:tcPr>
            <w:tcW w:w="285" w:type="pct"/>
            <w:tcBorders>
              <w:top w:val="single" w:sz="4" w:space="0" w:color="auto"/>
              <w:left w:val="single" w:sz="4" w:space="0" w:color="auto"/>
              <w:bottom w:val="single" w:sz="4" w:space="0" w:color="auto"/>
              <w:right w:val="single" w:sz="4" w:space="0" w:color="auto"/>
            </w:tcBorders>
          </w:tcPr>
          <w:p w14:paraId="3925EE19" w14:textId="77777777" w:rsidR="001B6AB1" w:rsidRPr="001B6AB1" w:rsidRDefault="001B6AB1" w:rsidP="00B330E1">
            <w:pPr>
              <w:spacing w:line="276" w:lineRule="auto"/>
              <w:ind w:right="-29"/>
              <w:jc w:val="center"/>
              <w:rPr>
                <w:noProof/>
                <w:sz w:val="18"/>
                <w:szCs w:val="18"/>
              </w:rPr>
            </w:pPr>
          </w:p>
        </w:tc>
        <w:tc>
          <w:tcPr>
            <w:tcW w:w="266" w:type="pct"/>
            <w:tcBorders>
              <w:top w:val="single" w:sz="4" w:space="0" w:color="auto"/>
              <w:left w:val="single" w:sz="4" w:space="0" w:color="auto"/>
              <w:bottom w:val="single" w:sz="4" w:space="0" w:color="auto"/>
              <w:right w:val="single" w:sz="4" w:space="0" w:color="auto"/>
            </w:tcBorders>
          </w:tcPr>
          <w:p w14:paraId="7F2C1297" w14:textId="77777777" w:rsidR="001B6AB1" w:rsidRPr="001B6AB1" w:rsidRDefault="001B6AB1" w:rsidP="00B330E1">
            <w:pPr>
              <w:spacing w:line="276" w:lineRule="auto"/>
              <w:ind w:right="-29"/>
              <w:jc w:val="center"/>
              <w:rPr>
                <w:noProof/>
                <w:sz w:val="18"/>
                <w:szCs w:val="18"/>
              </w:rPr>
            </w:pPr>
          </w:p>
        </w:tc>
        <w:tc>
          <w:tcPr>
            <w:tcW w:w="281" w:type="pct"/>
            <w:tcBorders>
              <w:top w:val="single" w:sz="4" w:space="0" w:color="auto"/>
              <w:left w:val="single" w:sz="4" w:space="0" w:color="auto"/>
              <w:bottom w:val="single" w:sz="4" w:space="0" w:color="auto"/>
              <w:right w:val="single" w:sz="4" w:space="0" w:color="auto"/>
            </w:tcBorders>
          </w:tcPr>
          <w:p w14:paraId="58D21F11" w14:textId="77777777" w:rsidR="001B6AB1" w:rsidRPr="001B6AB1" w:rsidRDefault="001B6AB1" w:rsidP="00B330E1">
            <w:pPr>
              <w:spacing w:line="276" w:lineRule="auto"/>
              <w:ind w:right="-29"/>
              <w:jc w:val="center"/>
              <w:rPr>
                <w:noProof/>
                <w:sz w:val="18"/>
                <w:szCs w:val="18"/>
              </w:rPr>
            </w:pPr>
          </w:p>
        </w:tc>
        <w:tc>
          <w:tcPr>
            <w:tcW w:w="256" w:type="pct"/>
            <w:tcBorders>
              <w:top w:val="single" w:sz="4" w:space="0" w:color="auto"/>
              <w:left w:val="single" w:sz="4" w:space="0" w:color="auto"/>
              <w:bottom w:val="single" w:sz="4" w:space="0" w:color="auto"/>
              <w:right w:val="single" w:sz="4" w:space="0" w:color="auto"/>
            </w:tcBorders>
            <w:hideMark/>
          </w:tcPr>
          <w:p w14:paraId="0FFEC4E4" w14:textId="77777777" w:rsidR="001B6AB1" w:rsidRPr="006918A0" w:rsidRDefault="001B6AB1" w:rsidP="00B330E1">
            <w:pPr>
              <w:spacing w:line="276" w:lineRule="auto"/>
              <w:ind w:right="-29"/>
              <w:jc w:val="center"/>
              <w:rPr>
                <w:noProof/>
                <w:sz w:val="18"/>
                <w:szCs w:val="18"/>
              </w:rPr>
            </w:pPr>
            <w:r>
              <w:rPr>
                <w:noProof/>
                <w:sz w:val="18"/>
              </w:rPr>
              <w:t>0,020</w:t>
            </w:r>
          </w:p>
        </w:tc>
        <w:tc>
          <w:tcPr>
            <w:tcW w:w="298" w:type="pct"/>
            <w:tcBorders>
              <w:top w:val="single" w:sz="4" w:space="0" w:color="auto"/>
              <w:left w:val="single" w:sz="4" w:space="0" w:color="auto"/>
              <w:bottom w:val="single" w:sz="4" w:space="0" w:color="auto"/>
              <w:right w:val="single" w:sz="4" w:space="0" w:color="auto"/>
            </w:tcBorders>
          </w:tcPr>
          <w:p w14:paraId="3BD42004" w14:textId="77777777" w:rsidR="001B6AB1" w:rsidRPr="006918A0" w:rsidRDefault="001B6AB1" w:rsidP="00B330E1">
            <w:pPr>
              <w:spacing w:line="276" w:lineRule="auto"/>
              <w:ind w:right="-29"/>
              <w:jc w:val="center"/>
              <w:rPr>
                <w:noProof/>
                <w:sz w:val="18"/>
                <w:szCs w:val="18"/>
                <w:lang w:val="fr-FR"/>
              </w:rPr>
            </w:pPr>
          </w:p>
        </w:tc>
        <w:tc>
          <w:tcPr>
            <w:tcW w:w="246" w:type="pct"/>
            <w:tcBorders>
              <w:top w:val="single" w:sz="4" w:space="0" w:color="auto"/>
              <w:left w:val="single" w:sz="4" w:space="0" w:color="auto"/>
              <w:bottom w:val="single" w:sz="4" w:space="0" w:color="auto"/>
              <w:right w:val="single" w:sz="4" w:space="0" w:color="auto"/>
            </w:tcBorders>
            <w:hideMark/>
          </w:tcPr>
          <w:p w14:paraId="53DD1457" w14:textId="77777777" w:rsidR="001B6AB1" w:rsidRPr="006918A0" w:rsidRDefault="001B6AB1" w:rsidP="00B330E1">
            <w:pPr>
              <w:spacing w:line="276" w:lineRule="auto"/>
              <w:ind w:right="-29"/>
              <w:jc w:val="center"/>
              <w:rPr>
                <w:noProof/>
                <w:sz w:val="18"/>
                <w:szCs w:val="18"/>
              </w:rPr>
            </w:pPr>
            <w:r>
              <w:rPr>
                <w:noProof/>
                <w:sz w:val="18"/>
              </w:rPr>
              <w:t>0,060</w:t>
            </w:r>
          </w:p>
        </w:tc>
        <w:tc>
          <w:tcPr>
            <w:tcW w:w="367" w:type="pct"/>
            <w:tcBorders>
              <w:top w:val="single" w:sz="4" w:space="0" w:color="auto"/>
              <w:left w:val="single" w:sz="4" w:space="0" w:color="auto"/>
              <w:bottom w:val="single" w:sz="4" w:space="0" w:color="auto"/>
              <w:right w:val="single" w:sz="4" w:space="0" w:color="auto"/>
            </w:tcBorders>
          </w:tcPr>
          <w:p w14:paraId="6362341B" w14:textId="77777777" w:rsidR="001B6AB1" w:rsidRPr="006918A0" w:rsidRDefault="001B6AB1" w:rsidP="00B330E1">
            <w:pPr>
              <w:spacing w:line="276" w:lineRule="auto"/>
              <w:ind w:right="-29"/>
              <w:jc w:val="center"/>
              <w:rPr>
                <w:noProof/>
                <w:sz w:val="18"/>
                <w:szCs w:val="18"/>
                <w:lang w:val="fr-FR"/>
              </w:rPr>
            </w:pPr>
          </w:p>
        </w:tc>
        <w:tc>
          <w:tcPr>
            <w:tcW w:w="225" w:type="pct"/>
            <w:tcBorders>
              <w:top w:val="single" w:sz="4" w:space="0" w:color="auto"/>
              <w:left w:val="single" w:sz="4" w:space="0" w:color="auto"/>
              <w:bottom w:val="single" w:sz="4" w:space="0" w:color="auto"/>
              <w:right w:val="single" w:sz="4" w:space="0" w:color="auto"/>
            </w:tcBorders>
            <w:hideMark/>
          </w:tcPr>
          <w:p w14:paraId="4975DC3B" w14:textId="77777777" w:rsidR="001B6AB1" w:rsidRPr="006918A0" w:rsidRDefault="001B6AB1" w:rsidP="00B330E1">
            <w:pPr>
              <w:spacing w:line="276" w:lineRule="auto"/>
              <w:ind w:right="-29"/>
              <w:jc w:val="center"/>
              <w:rPr>
                <w:noProof/>
                <w:sz w:val="18"/>
                <w:szCs w:val="18"/>
              </w:rPr>
            </w:pPr>
            <w:r>
              <w:rPr>
                <w:noProof/>
                <w:sz w:val="18"/>
              </w:rPr>
              <w:t>0,060</w:t>
            </w:r>
          </w:p>
        </w:tc>
        <w:tc>
          <w:tcPr>
            <w:tcW w:w="258" w:type="pct"/>
            <w:tcBorders>
              <w:top w:val="single" w:sz="4" w:space="0" w:color="auto"/>
              <w:left w:val="single" w:sz="4" w:space="0" w:color="auto"/>
              <w:bottom w:val="single" w:sz="4" w:space="0" w:color="auto"/>
              <w:right w:val="single" w:sz="4" w:space="0" w:color="auto"/>
            </w:tcBorders>
          </w:tcPr>
          <w:p w14:paraId="498E96E7" w14:textId="77777777" w:rsidR="001B6AB1" w:rsidRPr="006918A0" w:rsidRDefault="001B6AB1" w:rsidP="00B330E1">
            <w:pPr>
              <w:spacing w:line="276" w:lineRule="auto"/>
              <w:ind w:right="-29"/>
              <w:jc w:val="center"/>
              <w:rPr>
                <w:noProof/>
                <w:sz w:val="18"/>
                <w:szCs w:val="18"/>
                <w:lang w:val="fr-FR"/>
              </w:rPr>
            </w:pPr>
          </w:p>
        </w:tc>
        <w:tc>
          <w:tcPr>
            <w:tcW w:w="241" w:type="pct"/>
            <w:tcBorders>
              <w:top w:val="single" w:sz="4" w:space="0" w:color="auto"/>
              <w:left w:val="single" w:sz="4" w:space="0" w:color="auto"/>
              <w:bottom w:val="single" w:sz="4" w:space="0" w:color="auto"/>
              <w:right w:val="single" w:sz="4" w:space="0" w:color="auto"/>
            </w:tcBorders>
            <w:hideMark/>
          </w:tcPr>
          <w:p w14:paraId="7E400317" w14:textId="77777777" w:rsidR="001B6AB1" w:rsidRPr="006918A0" w:rsidRDefault="001B6AB1" w:rsidP="00B330E1">
            <w:pPr>
              <w:spacing w:line="276" w:lineRule="auto"/>
              <w:ind w:right="-29"/>
              <w:jc w:val="center"/>
              <w:rPr>
                <w:noProof/>
                <w:sz w:val="18"/>
                <w:szCs w:val="18"/>
              </w:rPr>
            </w:pPr>
            <w:r>
              <w:rPr>
                <w:noProof/>
                <w:sz w:val="18"/>
              </w:rPr>
              <w:t>0,060</w:t>
            </w:r>
          </w:p>
        </w:tc>
        <w:tc>
          <w:tcPr>
            <w:tcW w:w="249" w:type="pct"/>
            <w:gridSpan w:val="2"/>
            <w:tcBorders>
              <w:top w:val="single" w:sz="4" w:space="0" w:color="auto"/>
              <w:left w:val="single" w:sz="4" w:space="0" w:color="auto"/>
              <w:bottom w:val="single" w:sz="4" w:space="0" w:color="auto"/>
              <w:right w:val="single" w:sz="4" w:space="0" w:color="auto"/>
            </w:tcBorders>
          </w:tcPr>
          <w:p w14:paraId="78C38E20" w14:textId="77777777" w:rsidR="001B6AB1" w:rsidRPr="006918A0" w:rsidRDefault="001B6AB1" w:rsidP="00B330E1">
            <w:pPr>
              <w:spacing w:line="276" w:lineRule="auto"/>
              <w:ind w:right="-29"/>
              <w:jc w:val="center"/>
              <w:rPr>
                <w:noProof/>
                <w:sz w:val="18"/>
                <w:szCs w:val="18"/>
                <w:lang w:val="fr-FR"/>
              </w:rPr>
            </w:pPr>
          </w:p>
        </w:tc>
        <w:tc>
          <w:tcPr>
            <w:tcW w:w="318" w:type="pct"/>
            <w:gridSpan w:val="2"/>
            <w:tcBorders>
              <w:top w:val="single" w:sz="4" w:space="0" w:color="auto"/>
              <w:left w:val="single" w:sz="4" w:space="0" w:color="auto"/>
              <w:bottom w:val="single" w:sz="4" w:space="0" w:color="auto"/>
              <w:right w:val="single" w:sz="4" w:space="0" w:color="auto"/>
            </w:tcBorders>
            <w:hideMark/>
          </w:tcPr>
          <w:p w14:paraId="01305CBD" w14:textId="77777777" w:rsidR="001B6AB1" w:rsidRPr="006918A0" w:rsidRDefault="001B6AB1" w:rsidP="00B330E1">
            <w:pPr>
              <w:spacing w:line="276" w:lineRule="auto"/>
              <w:ind w:right="-29"/>
              <w:jc w:val="center"/>
              <w:rPr>
                <w:noProof/>
                <w:sz w:val="18"/>
                <w:szCs w:val="18"/>
              </w:rPr>
            </w:pPr>
            <w:r>
              <w:rPr>
                <w:noProof/>
                <w:sz w:val="18"/>
              </w:rPr>
              <w:t>0,060</w:t>
            </w:r>
          </w:p>
        </w:tc>
        <w:tc>
          <w:tcPr>
            <w:tcW w:w="223" w:type="pct"/>
            <w:gridSpan w:val="3"/>
            <w:tcBorders>
              <w:top w:val="single" w:sz="4" w:space="0" w:color="auto"/>
              <w:left w:val="single" w:sz="4" w:space="0" w:color="auto"/>
              <w:bottom w:val="single" w:sz="4" w:space="0" w:color="auto"/>
              <w:right w:val="single" w:sz="4" w:space="0" w:color="auto"/>
            </w:tcBorders>
          </w:tcPr>
          <w:p w14:paraId="37625C8F" w14:textId="77777777" w:rsidR="001B6AB1" w:rsidRPr="006918A0" w:rsidRDefault="001B6AB1" w:rsidP="00B330E1">
            <w:pPr>
              <w:spacing w:line="276" w:lineRule="auto"/>
              <w:ind w:right="-29"/>
              <w:jc w:val="center"/>
              <w:rPr>
                <w:noProof/>
                <w:sz w:val="18"/>
                <w:szCs w:val="18"/>
                <w:lang w:val="fr-FR"/>
              </w:rPr>
            </w:pP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53859FA2" w14:textId="77777777" w:rsidR="001B6AB1" w:rsidRPr="006918A0" w:rsidRDefault="001B6AB1" w:rsidP="00B330E1">
            <w:pPr>
              <w:spacing w:line="276" w:lineRule="auto"/>
              <w:ind w:right="-29"/>
              <w:jc w:val="right"/>
              <w:rPr>
                <w:noProof/>
                <w:sz w:val="18"/>
                <w:szCs w:val="18"/>
              </w:rPr>
            </w:pPr>
            <w:r>
              <w:rPr>
                <w:b/>
                <w:noProof/>
                <w:sz w:val="18"/>
              </w:rPr>
              <w:t>0,260</w:t>
            </w:r>
          </w:p>
        </w:tc>
      </w:tr>
      <w:tr w:rsidR="001B6AB1" w:rsidRPr="006918A0" w14:paraId="321D1BF5" w14:textId="77777777" w:rsidTr="00B330E1">
        <w:trPr>
          <w:trHeight w:val="77"/>
          <w:jc w:val="center"/>
        </w:trPr>
        <w:tc>
          <w:tcPr>
            <w:tcW w:w="1083" w:type="pct"/>
            <w:gridSpan w:val="3"/>
            <w:tcBorders>
              <w:top w:val="single" w:sz="4" w:space="0" w:color="auto"/>
              <w:left w:val="single" w:sz="4" w:space="0" w:color="auto"/>
              <w:bottom w:val="single" w:sz="12" w:space="0" w:color="auto"/>
              <w:right w:val="single" w:sz="4" w:space="0" w:color="auto"/>
            </w:tcBorders>
            <w:vAlign w:val="center"/>
            <w:hideMark/>
          </w:tcPr>
          <w:p w14:paraId="56FB6019" w14:textId="77777777" w:rsidR="001B6AB1" w:rsidRPr="006918A0" w:rsidRDefault="001B6AB1" w:rsidP="00B330E1">
            <w:pPr>
              <w:spacing w:line="276" w:lineRule="auto"/>
              <w:ind w:right="-29"/>
              <w:jc w:val="center"/>
              <w:rPr>
                <w:noProof/>
                <w:sz w:val="18"/>
                <w:szCs w:val="18"/>
              </w:rPr>
            </w:pPr>
            <w:r>
              <w:rPr>
                <w:noProof/>
                <w:sz w:val="18"/>
              </w:rPr>
              <w:t>Välisumma, erityistavoite 1</w:t>
            </w:r>
          </w:p>
        </w:tc>
        <w:tc>
          <w:tcPr>
            <w:tcW w:w="285" w:type="pct"/>
            <w:tcBorders>
              <w:top w:val="single" w:sz="4" w:space="0" w:color="auto"/>
              <w:left w:val="single" w:sz="4" w:space="0" w:color="auto"/>
              <w:bottom w:val="single" w:sz="12" w:space="0" w:color="auto"/>
              <w:right w:val="single" w:sz="4" w:space="0" w:color="auto"/>
            </w:tcBorders>
          </w:tcPr>
          <w:p w14:paraId="04A29147" w14:textId="77777777" w:rsidR="001B6AB1" w:rsidRPr="006918A0" w:rsidRDefault="001B6AB1" w:rsidP="00B330E1">
            <w:pPr>
              <w:spacing w:line="276" w:lineRule="auto"/>
              <w:ind w:right="-29"/>
              <w:jc w:val="center"/>
              <w:rPr>
                <w:noProof/>
                <w:sz w:val="18"/>
                <w:szCs w:val="18"/>
              </w:rPr>
            </w:pPr>
          </w:p>
        </w:tc>
        <w:tc>
          <w:tcPr>
            <w:tcW w:w="266" w:type="pct"/>
            <w:tcBorders>
              <w:top w:val="single" w:sz="4" w:space="0" w:color="auto"/>
              <w:left w:val="single" w:sz="4" w:space="0" w:color="auto"/>
              <w:bottom w:val="single" w:sz="12" w:space="0" w:color="auto"/>
              <w:right w:val="single" w:sz="4" w:space="0" w:color="auto"/>
            </w:tcBorders>
            <w:hideMark/>
          </w:tcPr>
          <w:p w14:paraId="6BABFD5F" w14:textId="77777777" w:rsidR="001B6AB1" w:rsidRPr="006918A0" w:rsidRDefault="001B6AB1" w:rsidP="00B330E1">
            <w:pPr>
              <w:spacing w:line="276" w:lineRule="auto"/>
              <w:ind w:right="-29"/>
              <w:jc w:val="center"/>
              <w:rPr>
                <w:noProof/>
                <w:sz w:val="18"/>
                <w:szCs w:val="18"/>
              </w:rPr>
            </w:pPr>
            <w:r>
              <w:rPr>
                <w:b/>
                <w:noProof/>
                <w:sz w:val="18"/>
              </w:rPr>
              <w:t>0,150</w:t>
            </w:r>
          </w:p>
        </w:tc>
        <w:tc>
          <w:tcPr>
            <w:tcW w:w="281" w:type="pct"/>
            <w:tcBorders>
              <w:top w:val="single" w:sz="4" w:space="0" w:color="auto"/>
              <w:left w:val="single" w:sz="4" w:space="0" w:color="auto"/>
              <w:bottom w:val="single" w:sz="12" w:space="0" w:color="auto"/>
              <w:right w:val="single" w:sz="4" w:space="0" w:color="auto"/>
            </w:tcBorders>
          </w:tcPr>
          <w:p w14:paraId="402428A3" w14:textId="77777777" w:rsidR="001B6AB1" w:rsidRPr="006918A0" w:rsidRDefault="001B6AB1" w:rsidP="00B330E1">
            <w:pPr>
              <w:spacing w:line="276" w:lineRule="auto"/>
              <w:ind w:right="-29"/>
              <w:jc w:val="center"/>
              <w:rPr>
                <w:noProof/>
                <w:sz w:val="18"/>
                <w:szCs w:val="18"/>
              </w:rPr>
            </w:pPr>
          </w:p>
        </w:tc>
        <w:tc>
          <w:tcPr>
            <w:tcW w:w="256" w:type="pct"/>
            <w:tcBorders>
              <w:top w:val="single" w:sz="4" w:space="0" w:color="auto"/>
              <w:left w:val="single" w:sz="4" w:space="0" w:color="auto"/>
              <w:bottom w:val="single" w:sz="12" w:space="0" w:color="auto"/>
              <w:right w:val="single" w:sz="4" w:space="0" w:color="auto"/>
            </w:tcBorders>
            <w:hideMark/>
          </w:tcPr>
          <w:p w14:paraId="4637CA42" w14:textId="77777777" w:rsidR="001B6AB1" w:rsidRPr="006918A0" w:rsidRDefault="001B6AB1" w:rsidP="00B330E1">
            <w:pPr>
              <w:spacing w:line="276" w:lineRule="auto"/>
              <w:ind w:right="-29"/>
              <w:jc w:val="center"/>
              <w:rPr>
                <w:noProof/>
                <w:sz w:val="18"/>
                <w:szCs w:val="18"/>
              </w:rPr>
            </w:pPr>
            <w:r>
              <w:rPr>
                <w:b/>
                <w:noProof/>
                <w:sz w:val="18"/>
              </w:rPr>
              <w:t>0,420</w:t>
            </w:r>
          </w:p>
        </w:tc>
        <w:tc>
          <w:tcPr>
            <w:tcW w:w="298" w:type="pct"/>
            <w:tcBorders>
              <w:top w:val="single" w:sz="4" w:space="0" w:color="auto"/>
              <w:left w:val="single" w:sz="4" w:space="0" w:color="auto"/>
              <w:bottom w:val="single" w:sz="12" w:space="0" w:color="auto"/>
              <w:right w:val="single" w:sz="4" w:space="0" w:color="auto"/>
            </w:tcBorders>
          </w:tcPr>
          <w:p w14:paraId="65572608" w14:textId="77777777" w:rsidR="001B6AB1" w:rsidRPr="006918A0" w:rsidRDefault="001B6AB1" w:rsidP="00B330E1">
            <w:pPr>
              <w:spacing w:line="276" w:lineRule="auto"/>
              <w:ind w:right="-29"/>
              <w:jc w:val="center"/>
              <w:rPr>
                <w:noProof/>
                <w:sz w:val="18"/>
                <w:szCs w:val="18"/>
              </w:rPr>
            </w:pPr>
          </w:p>
        </w:tc>
        <w:tc>
          <w:tcPr>
            <w:tcW w:w="246" w:type="pct"/>
            <w:tcBorders>
              <w:top w:val="single" w:sz="4" w:space="0" w:color="auto"/>
              <w:left w:val="single" w:sz="4" w:space="0" w:color="auto"/>
              <w:bottom w:val="single" w:sz="12" w:space="0" w:color="auto"/>
              <w:right w:val="single" w:sz="4" w:space="0" w:color="auto"/>
            </w:tcBorders>
            <w:hideMark/>
          </w:tcPr>
          <w:p w14:paraId="5B5AFBDD" w14:textId="77777777" w:rsidR="001B6AB1" w:rsidRPr="006918A0" w:rsidRDefault="001B6AB1" w:rsidP="00B330E1">
            <w:pPr>
              <w:spacing w:line="276" w:lineRule="auto"/>
              <w:ind w:right="-29"/>
              <w:jc w:val="center"/>
              <w:rPr>
                <w:noProof/>
                <w:sz w:val="18"/>
                <w:szCs w:val="18"/>
              </w:rPr>
            </w:pPr>
            <w:r>
              <w:rPr>
                <w:b/>
                <w:noProof/>
                <w:sz w:val="18"/>
              </w:rPr>
              <w:t>0,300</w:t>
            </w:r>
          </w:p>
        </w:tc>
        <w:tc>
          <w:tcPr>
            <w:tcW w:w="367" w:type="pct"/>
            <w:tcBorders>
              <w:top w:val="single" w:sz="4" w:space="0" w:color="auto"/>
              <w:left w:val="single" w:sz="4" w:space="0" w:color="auto"/>
              <w:bottom w:val="single" w:sz="12" w:space="0" w:color="auto"/>
              <w:right w:val="single" w:sz="4" w:space="0" w:color="auto"/>
            </w:tcBorders>
          </w:tcPr>
          <w:p w14:paraId="4C7D29E5" w14:textId="77777777" w:rsidR="001B6AB1" w:rsidRPr="006918A0" w:rsidRDefault="001B6AB1" w:rsidP="00B330E1">
            <w:pPr>
              <w:spacing w:line="276" w:lineRule="auto"/>
              <w:ind w:right="-29"/>
              <w:jc w:val="center"/>
              <w:rPr>
                <w:noProof/>
                <w:sz w:val="18"/>
                <w:szCs w:val="18"/>
              </w:rPr>
            </w:pPr>
          </w:p>
        </w:tc>
        <w:tc>
          <w:tcPr>
            <w:tcW w:w="225" w:type="pct"/>
            <w:tcBorders>
              <w:top w:val="single" w:sz="4" w:space="0" w:color="auto"/>
              <w:left w:val="single" w:sz="4" w:space="0" w:color="auto"/>
              <w:bottom w:val="single" w:sz="12" w:space="0" w:color="auto"/>
              <w:right w:val="single" w:sz="4" w:space="0" w:color="auto"/>
            </w:tcBorders>
            <w:hideMark/>
          </w:tcPr>
          <w:p w14:paraId="78BD2382" w14:textId="77777777" w:rsidR="001B6AB1" w:rsidRPr="006918A0" w:rsidRDefault="001B6AB1" w:rsidP="00B330E1">
            <w:pPr>
              <w:spacing w:line="276" w:lineRule="auto"/>
              <w:ind w:right="-29"/>
              <w:jc w:val="center"/>
              <w:rPr>
                <w:noProof/>
                <w:sz w:val="18"/>
                <w:szCs w:val="18"/>
              </w:rPr>
            </w:pPr>
            <w:r>
              <w:rPr>
                <w:b/>
                <w:noProof/>
                <w:sz w:val="18"/>
              </w:rPr>
              <w:t>0,330</w:t>
            </w:r>
          </w:p>
        </w:tc>
        <w:tc>
          <w:tcPr>
            <w:tcW w:w="258" w:type="pct"/>
            <w:tcBorders>
              <w:top w:val="single" w:sz="4" w:space="0" w:color="auto"/>
              <w:left w:val="single" w:sz="4" w:space="0" w:color="auto"/>
              <w:bottom w:val="single" w:sz="12" w:space="0" w:color="auto"/>
              <w:right w:val="single" w:sz="4" w:space="0" w:color="auto"/>
            </w:tcBorders>
          </w:tcPr>
          <w:p w14:paraId="0B0832F5" w14:textId="77777777" w:rsidR="001B6AB1" w:rsidRPr="006918A0" w:rsidRDefault="001B6AB1" w:rsidP="00B330E1">
            <w:pPr>
              <w:spacing w:line="276" w:lineRule="auto"/>
              <w:ind w:right="-29"/>
              <w:jc w:val="center"/>
              <w:rPr>
                <w:noProof/>
                <w:sz w:val="18"/>
                <w:szCs w:val="18"/>
              </w:rPr>
            </w:pPr>
          </w:p>
        </w:tc>
        <w:tc>
          <w:tcPr>
            <w:tcW w:w="241" w:type="pct"/>
            <w:tcBorders>
              <w:top w:val="single" w:sz="4" w:space="0" w:color="auto"/>
              <w:left w:val="single" w:sz="4" w:space="0" w:color="auto"/>
              <w:bottom w:val="single" w:sz="12" w:space="0" w:color="auto"/>
              <w:right w:val="single" w:sz="4" w:space="0" w:color="auto"/>
            </w:tcBorders>
            <w:hideMark/>
          </w:tcPr>
          <w:p w14:paraId="549796E0" w14:textId="77777777" w:rsidR="001B6AB1" w:rsidRPr="006918A0" w:rsidRDefault="001B6AB1" w:rsidP="00B330E1">
            <w:pPr>
              <w:spacing w:line="276" w:lineRule="auto"/>
              <w:ind w:right="-29"/>
              <w:jc w:val="center"/>
              <w:rPr>
                <w:noProof/>
                <w:sz w:val="18"/>
                <w:szCs w:val="18"/>
              </w:rPr>
            </w:pPr>
            <w:r>
              <w:rPr>
                <w:b/>
                <w:noProof/>
                <w:sz w:val="18"/>
              </w:rPr>
              <w:t>0,180</w:t>
            </w:r>
          </w:p>
        </w:tc>
        <w:tc>
          <w:tcPr>
            <w:tcW w:w="249" w:type="pct"/>
            <w:gridSpan w:val="2"/>
            <w:tcBorders>
              <w:top w:val="single" w:sz="4" w:space="0" w:color="auto"/>
              <w:left w:val="single" w:sz="4" w:space="0" w:color="auto"/>
              <w:bottom w:val="single" w:sz="12" w:space="0" w:color="auto"/>
              <w:right w:val="single" w:sz="4" w:space="0" w:color="auto"/>
            </w:tcBorders>
          </w:tcPr>
          <w:p w14:paraId="56840037" w14:textId="77777777" w:rsidR="001B6AB1" w:rsidRPr="006918A0" w:rsidRDefault="001B6AB1" w:rsidP="00B330E1">
            <w:pPr>
              <w:spacing w:line="276" w:lineRule="auto"/>
              <w:ind w:right="-29"/>
              <w:jc w:val="center"/>
              <w:rPr>
                <w:noProof/>
                <w:sz w:val="18"/>
                <w:szCs w:val="18"/>
              </w:rPr>
            </w:pPr>
          </w:p>
        </w:tc>
        <w:tc>
          <w:tcPr>
            <w:tcW w:w="318" w:type="pct"/>
            <w:gridSpan w:val="2"/>
            <w:tcBorders>
              <w:top w:val="single" w:sz="4" w:space="0" w:color="auto"/>
              <w:left w:val="single" w:sz="4" w:space="0" w:color="auto"/>
              <w:bottom w:val="single" w:sz="12" w:space="0" w:color="auto"/>
              <w:right w:val="single" w:sz="4" w:space="0" w:color="auto"/>
            </w:tcBorders>
            <w:hideMark/>
          </w:tcPr>
          <w:p w14:paraId="21092CF4" w14:textId="77777777" w:rsidR="001B6AB1" w:rsidRPr="006918A0" w:rsidRDefault="001B6AB1" w:rsidP="00B330E1">
            <w:pPr>
              <w:spacing w:line="276" w:lineRule="auto"/>
              <w:ind w:right="-29"/>
              <w:jc w:val="center"/>
              <w:rPr>
                <w:noProof/>
                <w:sz w:val="18"/>
                <w:szCs w:val="18"/>
              </w:rPr>
            </w:pPr>
            <w:r>
              <w:rPr>
                <w:b/>
                <w:noProof/>
                <w:sz w:val="18"/>
              </w:rPr>
              <w:t>0,180</w:t>
            </w:r>
          </w:p>
        </w:tc>
        <w:tc>
          <w:tcPr>
            <w:tcW w:w="223" w:type="pct"/>
            <w:gridSpan w:val="3"/>
            <w:tcBorders>
              <w:top w:val="single" w:sz="4" w:space="0" w:color="auto"/>
              <w:left w:val="single" w:sz="4" w:space="0" w:color="auto"/>
              <w:bottom w:val="single" w:sz="12" w:space="0" w:color="auto"/>
              <w:right w:val="single" w:sz="4" w:space="0" w:color="auto"/>
            </w:tcBorders>
          </w:tcPr>
          <w:p w14:paraId="780E407D" w14:textId="77777777" w:rsidR="001B6AB1" w:rsidRPr="006918A0" w:rsidRDefault="001B6AB1" w:rsidP="00B330E1">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12" w:space="0" w:color="auto"/>
              <w:right w:val="single" w:sz="4" w:space="0" w:color="auto"/>
            </w:tcBorders>
            <w:vAlign w:val="center"/>
            <w:hideMark/>
          </w:tcPr>
          <w:p w14:paraId="55CCEFEC" w14:textId="77777777" w:rsidR="001B6AB1" w:rsidRPr="006918A0" w:rsidRDefault="001B6AB1" w:rsidP="00B330E1">
            <w:pPr>
              <w:spacing w:line="276" w:lineRule="auto"/>
              <w:ind w:right="-29"/>
              <w:jc w:val="right"/>
              <w:rPr>
                <w:noProof/>
                <w:sz w:val="18"/>
                <w:szCs w:val="18"/>
              </w:rPr>
            </w:pPr>
            <w:r>
              <w:rPr>
                <w:b/>
                <w:noProof/>
                <w:sz w:val="18"/>
              </w:rPr>
              <w:t>1,560</w:t>
            </w:r>
          </w:p>
        </w:tc>
      </w:tr>
      <w:tr w:rsidR="001B6AB1" w:rsidRPr="006918A0" w14:paraId="13CD2D62" w14:textId="77777777" w:rsidTr="00B330E1">
        <w:trPr>
          <w:jc w:val="center"/>
        </w:trPr>
        <w:tc>
          <w:tcPr>
            <w:tcW w:w="1083" w:type="pct"/>
            <w:gridSpan w:val="3"/>
            <w:tcBorders>
              <w:top w:val="single" w:sz="4" w:space="0" w:color="auto"/>
              <w:left w:val="single" w:sz="4" w:space="0" w:color="auto"/>
              <w:bottom w:val="single" w:sz="4" w:space="0" w:color="auto"/>
              <w:right w:val="single" w:sz="4" w:space="0" w:color="auto"/>
            </w:tcBorders>
            <w:vAlign w:val="center"/>
            <w:hideMark/>
          </w:tcPr>
          <w:p w14:paraId="21C65D13" w14:textId="77777777" w:rsidR="001B6AB1" w:rsidRPr="006918A0" w:rsidRDefault="001B6AB1" w:rsidP="00B330E1">
            <w:pPr>
              <w:spacing w:before="60" w:after="60" w:line="276" w:lineRule="auto"/>
              <w:ind w:right="-29"/>
              <w:jc w:val="center"/>
              <w:rPr>
                <w:noProof/>
                <w:sz w:val="18"/>
                <w:szCs w:val="18"/>
              </w:rPr>
            </w:pPr>
            <w:r>
              <w:rPr>
                <w:noProof/>
                <w:sz w:val="18"/>
              </w:rPr>
              <w:t>ERITYISTAVOITE 2</w:t>
            </w:r>
          </w:p>
        </w:tc>
        <w:tc>
          <w:tcPr>
            <w:tcW w:w="285" w:type="pct"/>
            <w:tcBorders>
              <w:top w:val="nil"/>
              <w:left w:val="nil"/>
              <w:bottom w:val="nil"/>
              <w:right w:val="nil"/>
            </w:tcBorders>
          </w:tcPr>
          <w:p w14:paraId="51ED57ED" w14:textId="77777777" w:rsidR="001B6AB1" w:rsidRPr="006918A0" w:rsidRDefault="001B6AB1" w:rsidP="00B330E1">
            <w:pPr>
              <w:spacing w:before="60" w:after="60" w:line="276" w:lineRule="auto"/>
              <w:ind w:right="-29"/>
              <w:jc w:val="center"/>
              <w:rPr>
                <w:noProof/>
                <w:sz w:val="18"/>
                <w:szCs w:val="18"/>
              </w:rPr>
            </w:pPr>
          </w:p>
        </w:tc>
        <w:tc>
          <w:tcPr>
            <w:tcW w:w="266" w:type="pct"/>
            <w:tcBorders>
              <w:top w:val="nil"/>
              <w:left w:val="nil"/>
              <w:bottom w:val="nil"/>
              <w:right w:val="nil"/>
            </w:tcBorders>
          </w:tcPr>
          <w:p w14:paraId="1952F784" w14:textId="77777777" w:rsidR="001B6AB1" w:rsidRPr="006918A0" w:rsidRDefault="001B6AB1" w:rsidP="00B330E1">
            <w:pPr>
              <w:spacing w:before="60" w:after="60" w:line="276" w:lineRule="auto"/>
              <w:ind w:right="-29"/>
              <w:jc w:val="center"/>
              <w:rPr>
                <w:noProof/>
                <w:sz w:val="18"/>
                <w:szCs w:val="18"/>
              </w:rPr>
            </w:pPr>
          </w:p>
        </w:tc>
        <w:tc>
          <w:tcPr>
            <w:tcW w:w="281" w:type="pct"/>
            <w:tcBorders>
              <w:top w:val="nil"/>
              <w:left w:val="nil"/>
              <w:bottom w:val="nil"/>
              <w:right w:val="nil"/>
            </w:tcBorders>
          </w:tcPr>
          <w:p w14:paraId="1EEE4352" w14:textId="77777777" w:rsidR="001B6AB1" w:rsidRPr="006918A0" w:rsidRDefault="001B6AB1" w:rsidP="00B330E1">
            <w:pPr>
              <w:spacing w:before="60" w:after="60" w:line="276" w:lineRule="auto"/>
              <w:ind w:right="-29"/>
              <w:jc w:val="center"/>
              <w:rPr>
                <w:noProof/>
                <w:sz w:val="18"/>
                <w:szCs w:val="18"/>
              </w:rPr>
            </w:pPr>
          </w:p>
        </w:tc>
        <w:tc>
          <w:tcPr>
            <w:tcW w:w="256" w:type="pct"/>
            <w:tcBorders>
              <w:top w:val="nil"/>
              <w:left w:val="nil"/>
              <w:bottom w:val="nil"/>
              <w:right w:val="nil"/>
            </w:tcBorders>
          </w:tcPr>
          <w:p w14:paraId="35995564" w14:textId="77777777" w:rsidR="001B6AB1" w:rsidRPr="006918A0" w:rsidRDefault="001B6AB1" w:rsidP="00B330E1">
            <w:pPr>
              <w:spacing w:before="60" w:after="60" w:line="276" w:lineRule="auto"/>
              <w:ind w:right="-29"/>
              <w:jc w:val="center"/>
              <w:rPr>
                <w:noProof/>
                <w:sz w:val="18"/>
                <w:szCs w:val="18"/>
              </w:rPr>
            </w:pPr>
          </w:p>
        </w:tc>
        <w:tc>
          <w:tcPr>
            <w:tcW w:w="298" w:type="pct"/>
            <w:tcBorders>
              <w:top w:val="nil"/>
              <w:left w:val="nil"/>
              <w:bottom w:val="nil"/>
              <w:right w:val="nil"/>
            </w:tcBorders>
          </w:tcPr>
          <w:p w14:paraId="566DA46F" w14:textId="77777777" w:rsidR="001B6AB1" w:rsidRPr="006918A0" w:rsidRDefault="001B6AB1" w:rsidP="00B330E1">
            <w:pPr>
              <w:spacing w:before="60" w:after="60" w:line="276" w:lineRule="auto"/>
              <w:ind w:right="-29"/>
              <w:jc w:val="center"/>
              <w:rPr>
                <w:noProof/>
                <w:sz w:val="18"/>
                <w:szCs w:val="18"/>
              </w:rPr>
            </w:pPr>
          </w:p>
        </w:tc>
        <w:tc>
          <w:tcPr>
            <w:tcW w:w="246" w:type="pct"/>
            <w:tcBorders>
              <w:top w:val="nil"/>
              <w:left w:val="nil"/>
              <w:bottom w:val="nil"/>
              <w:right w:val="nil"/>
            </w:tcBorders>
          </w:tcPr>
          <w:p w14:paraId="474A1EA0" w14:textId="77777777" w:rsidR="001B6AB1" w:rsidRPr="006918A0" w:rsidRDefault="001B6AB1" w:rsidP="00B330E1">
            <w:pPr>
              <w:spacing w:before="60" w:after="60" w:line="276" w:lineRule="auto"/>
              <w:ind w:right="-29"/>
              <w:jc w:val="center"/>
              <w:rPr>
                <w:noProof/>
                <w:sz w:val="18"/>
                <w:szCs w:val="18"/>
              </w:rPr>
            </w:pPr>
          </w:p>
        </w:tc>
        <w:tc>
          <w:tcPr>
            <w:tcW w:w="367" w:type="pct"/>
            <w:tcBorders>
              <w:top w:val="nil"/>
              <w:left w:val="nil"/>
              <w:bottom w:val="nil"/>
              <w:right w:val="nil"/>
            </w:tcBorders>
          </w:tcPr>
          <w:p w14:paraId="0185B3F9" w14:textId="77777777" w:rsidR="001B6AB1" w:rsidRPr="006918A0" w:rsidRDefault="001B6AB1" w:rsidP="00B330E1">
            <w:pPr>
              <w:spacing w:before="60" w:after="60" w:line="276" w:lineRule="auto"/>
              <w:ind w:right="-29"/>
              <w:jc w:val="center"/>
              <w:rPr>
                <w:noProof/>
                <w:sz w:val="18"/>
                <w:szCs w:val="18"/>
              </w:rPr>
            </w:pPr>
          </w:p>
        </w:tc>
        <w:tc>
          <w:tcPr>
            <w:tcW w:w="225" w:type="pct"/>
            <w:tcBorders>
              <w:top w:val="nil"/>
              <w:left w:val="nil"/>
              <w:bottom w:val="nil"/>
              <w:right w:val="nil"/>
            </w:tcBorders>
          </w:tcPr>
          <w:p w14:paraId="015614C1" w14:textId="77777777" w:rsidR="001B6AB1" w:rsidRPr="006918A0" w:rsidRDefault="001B6AB1" w:rsidP="00B330E1">
            <w:pPr>
              <w:spacing w:before="60" w:after="60" w:line="276" w:lineRule="auto"/>
              <w:ind w:right="-29"/>
              <w:jc w:val="center"/>
              <w:rPr>
                <w:noProof/>
                <w:sz w:val="18"/>
                <w:szCs w:val="18"/>
              </w:rPr>
            </w:pPr>
          </w:p>
        </w:tc>
        <w:tc>
          <w:tcPr>
            <w:tcW w:w="258" w:type="pct"/>
            <w:tcBorders>
              <w:top w:val="nil"/>
              <w:left w:val="nil"/>
              <w:bottom w:val="nil"/>
              <w:right w:val="nil"/>
            </w:tcBorders>
          </w:tcPr>
          <w:p w14:paraId="5E66D38E" w14:textId="77777777" w:rsidR="001B6AB1" w:rsidRPr="006918A0" w:rsidRDefault="001B6AB1" w:rsidP="00B330E1">
            <w:pPr>
              <w:spacing w:before="60" w:after="60" w:line="276" w:lineRule="auto"/>
              <w:ind w:right="-29"/>
              <w:jc w:val="center"/>
              <w:rPr>
                <w:noProof/>
                <w:sz w:val="18"/>
                <w:szCs w:val="18"/>
              </w:rPr>
            </w:pPr>
          </w:p>
        </w:tc>
        <w:tc>
          <w:tcPr>
            <w:tcW w:w="241" w:type="pct"/>
            <w:tcBorders>
              <w:top w:val="nil"/>
              <w:left w:val="nil"/>
              <w:bottom w:val="nil"/>
              <w:right w:val="nil"/>
            </w:tcBorders>
          </w:tcPr>
          <w:p w14:paraId="29CED0B4" w14:textId="77777777" w:rsidR="001B6AB1" w:rsidRPr="006918A0" w:rsidRDefault="001B6AB1" w:rsidP="00B330E1">
            <w:pPr>
              <w:spacing w:before="60" w:after="60" w:line="276" w:lineRule="auto"/>
              <w:ind w:right="-29"/>
              <w:jc w:val="center"/>
              <w:rPr>
                <w:noProof/>
                <w:sz w:val="18"/>
                <w:szCs w:val="18"/>
              </w:rPr>
            </w:pPr>
          </w:p>
        </w:tc>
        <w:tc>
          <w:tcPr>
            <w:tcW w:w="249" w:type="pct"/>
            <w:gridSpan w:val="2"/>
            <w:tcBorders>
              <w:top w:val="nil"/>
              <w:left w:val="nil"/>
              <w:bottom w:val="nil"/>
              <w:right w:val="nil"/>
            </w:tcBorders>
          </w:tcPr>
          <w:p w14:paraId="7E295A03" w14:textId="77777777" w:rsidR="001B6AB1" w:rsidRPr="006918A0" w:rsidRDefault="001B6AB1" w:rsidP="00B330E1">
            <w:pPr>
              <w:spacing w:before="60" w:after="60" w:line="276" w:lineRule="auto"/>
              <w:ind w:right="-29"/>
              <w:jc w:val="center"/>
              <w:rPr>
                <w:noProof/>
                <w:sz w:val="18"/>
                <w:szCs w:val="18"/>
              </w:rPr>
            </w:pPr>
          </w:p>
        </w:tc>
        <w:tc>
          <w:tcPr>
            <w:tcW w:w="264" w:type="pct"/>
            <w:tcBorders>
              <w:top w:val="nil"/>
              <w:left w:val="nil"/>
              <w:bottom w:val="nil"/>
              <w:right w:val="nil"/>
            </w:tcBorders>
          </w:tcPr>
          <w:p w14:paraId="136F1004" w14:textId="77777777" w:rsidR="001B6AB1" w:rsidRPr="006918A0" w:rsidRDefault="001B6AB1" w:rsidP="00B330E1">
            <w:pPr>
              <w:spacing w:before="60" w:after="60" w:line="276" w:lineRule="auto"/>
              <w:ind w:right="-29"/>
              <w:jc w:val="center"/>
              <w:rPr>
                <w:noProof/>
                <w:sz w:val="18"/>
                <w:szCs w:val="18"/>
              </w:rPr>
            </w:pPr>
          </w:p>
        </w:tc>
        <w:tc>
          <w:tcPr>
            <w:tcW w:w="129" w:type="pct"/>
            <w:gridSpan w:val="2"/>
            <w:tcBorders>
              <w:top w:val="nil"/>
              <w:left w:val="nil"/>
              <w:bottom w:val="nil"/>
              <w:right w:val="nil"/>
            </w:tcBorders>
          </w:tcPr>
          <w:p w14:paraId="26C624B9" w14:textId="77777777" w:rsidR="001B6AB1" w:rsidRPr="006918A0" w:rsidRDefault="001B6AB1" w:rsidP="00B330E1">
            <w:pPr>
              <w:spacing w:before="60" w:after="60" w:line="276" w:lineRule="auto"/>
              <w:ind w:right="-29"/>
              <w:jc w:val="center"/>
              <w:rPr>
                <w:noProof/>
                <w:sz w:val="18"/>
                <w:szCs w:val="18"/>
              </w:rPr>
            </w:pPr>
          </w:p>
        </w:tc>
        <w:tc>
          <w:tcPr>
            <w:tcW w:w="79" w:type="pct"/>
            <w:tcBorders>
              <w:top w:val="nil"/>
              <w:left w:val="nil"/>
              <w:bottom w:val="nil"/>
              <w:right w:val="nil"/>
            </w:tcBorders>
          </w:tcPr>
          <w:p w14:paraId="1A7B9AAF" w14:textId="77777777" w:rsidR="001B6AB1" w:rsidRPr="006918A0" w:rsidRDefault="001B6AB1" w:rsidP="00B330E1">
            <w:pPr>
              <w:spacing w:before="60" w:after="60" w:line="276" w:lineRule="auto"/>
              <w:ind w:right="-29"/>
              <w:jc w:val="center"/>
              <w:rPr>
                <w:noProof/>
                <w:sz w:val="18"/>
                <w:szCs w:val="18"/>
              </w:rPr>
            </w:pPr>
          </w:p>
        </w:tc>
        <w:tc>
          <w:tcPr>
            <w:tcW w:w="78" w:type="pct"/>
            <w:gridSpan w:val="2"/>
            <w:tcBorders>
              <w:top w:val="nil"/>
              <w:left w:val="nil"/>
              <w:bottom w:val="nil"/>
              <w:right w:val="nil"/>
            </w:tcBorders>
            <w:vAlign w:val="center"/>
          </w:tcPr>
          <w:p w14:paraId="12E9FE60" w14:textId="77777777" w:rsidR="001B6AB1" w:rsidRPr="006918A0" w:rsidRDefault="001B6AB1" w:rsidP="00B330E1">
            <w:pPr>
              <w:spacing w:before="60" w:after="60" w:line="276" w:lineRule="auto"/>
              <w:ind w:right="-29"/>
              <w:jc w:val="right"/>
              <w:rPr>
                <w:noProof/>
                <w:sz w:val="18"/>
                <w:szCs w:val="18"/>
              </w:rPr>
            </w:pPr>
          </w:p>
        </w:tc>
        <w:tc>
          <w:tcPr>
            <w:tcW w:w="394" w:type="pct"/>
            <w:tcBorders>
              <w:top w:val="nil"/>
              <w:left w:val="nil"/>
              <w:bottom w:val="nil"/>
              <w:right w:val="nil"/>
            </w:tcBorders>
            <w:vAlign w:val="center"/>
          </w:tcPr>
          <w:p w14:paraId="35D05156" w14:textId="77777777" w:rsidR="001B6AB1" w:rsidRPr="006918A0" w:rsidRDefault="001B6AB1" w:rsidP="00B330E1">
            <w:pPr>
              <w:spacing w:before="60" w:after="60" w:line="276" w:lineRule="auto"/>
              <w:ind w:right="-29"/>
              <w:jc w:val="right"/>
              <w:rPr>
                <w:noProof/>
                <w:sz w:val="18"/>
                <w:szCs w:val="18"/>
              </w:rPr>
            </w:pPr>
          </w:p>
        </w:tc>
      </w:tr>
      <w:tr w:rsidR="001B6AB1" w:rsidRPr="006918A0" w14:paraId="15A808C5" w14:textId="77777777" w:rsidTr="00B330E1">
        <w:trPr>
          <w:trHeight w:hRule="exact" w:val="369"/>
          <w:jc w:val="center"/>
        </w:trPr>
        <w:tc>
          <w:tcPr>
            <w:tcW w:w="483" w:type="pct"/>
            <w:tcBorders>
              <w:top w:val="single" w:sz="4" w:space="0" w:color="auto"/>
              <w:left w:val="single" w:sz="4" w:space="0" w:color="auto"/>
              <w:bottom w:val="single" w:sz="4" w:space="0" w:color="auto"/>
              <w:right w:val="single" w:sz="4" w:space="0" w:color="auto"/>
            </w:tcBorders>
            <w:hideMark/>
          </w:tcPr>
          <w:p w14:paraId="4152B39C" w14:textId="77777777" w:rsidR="001B6AB1" w:rsidRPr="006918A0" w:rsidRDefault="001B6AB1" w:rsidP="00B330E1">
            <w:pPr>
              <w:spacing w:line="276" w:lineRule="auto"/>
              <w:ind w:right="-29"/>
              <w:jc w:val="center"/>
              <w:rPr>
                <w:noProof/>
                <w:sz w:val="18"/>
                <w:szCs w:val="18"/>
              </w:rPr>
            </w:pPr>
            <w:r>
              <w:rPr>
                <w:noProof/>
                <w:sz w:val="18"/>
              </w:rPr>
              <w:t>– Tuotos</w:t>
            </w:r>
          </w:p>
        </w:tc>
        <w:tc>
          <w:tcPr>
            <w:tcW w:w="249" w:type="pct"/>
            <w:tcBorders>
              <w:top w:val="single" w:sz="4" w:space="0" w:color="auto"/>
              <w:left w:val="single" w:sz="4" w:space="0" w:color="auto"/>
              <w:bottom w:val="single" w:sz="4" w:space="0" w:color="auto"/>
              <w:right w:val="single" w:sz="4" w:space="0" w:color="auto"/>
            </w:tcBorders>
          </w:tcPr>
          <w:p w14:paraId="1CC14B8E" w14:textId="77777777" w:rsidR="001B6AB1" w:rsidRPr="006918A0" w:rsidRDefault="001B6AB1" w:rsidP="00B330E1">
            <w:pPr>
              <w:spacing w:line="276" w:lineRule="auto"/>
              <w:ind w:right="-29"/>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tcPr>
          <w:p w14:paraId="3E7C3EEF" w14:textId="77777777" w:rsidR="001B6AB1" w:rsidRPr="006918A0" w:rsidRDefault="001B6AB1" w:rsidP="00B330E1">
            <w:pPr>
              <w:spacing w:line="276" w:lineRule="auto"/>
              <w:ind w:right="-29"/>
              <w:jc w:val="center"/>
              <w:rPr>
                <w:noProof/>
                <w:sz w:val="18"/>
                <w:szCs w:val="18"/>
              </w:rPr>
            </w:pPr>
          </w:p>
        </w:tc>
        <w:tc>
          <w:tcPr>
            <w:tcW w:w="285" w:type="pct"/>
            <w:tcBorders>
              <w:top w:val="single" w:sz="4" w:space="0" w:color="auto"/>
              <w:left w:val="single" w:sz="4" w:space="0" w:color="auto"/>
              <w:bottom w:val="single" w:sz="4" w:space="0" w:color="auto"/>
              <w:right w:val="single" w:sz="4" w:space="0" w:color="auto"/>
            </w:tcBorders>
          </w:tcPr>
          <w:p w14:paraId="3F872114" w14:textId="77777777" w:rsidR="001B6AB1" w:rsidRPr="006918A0" w:rsidRDefault="001B6AB1" w:rsidP="00B330E1">
            <w:pPr>
              <w:spacing w:line="276" w:lineRule="auto"/>
              <w:ind w:right="-29"/>
              <w:jc w:val="center"/>
              <w:rPr>
                <w:noProof/>
                <w:sz w:val="18"/>
                <w:szCs w:val="18"/>
              </w:rPr>
            </w:pPr>
          </w:p>
        </w:tc>
        <w:tc>
          <w:tcPr>
            <w:tcW w:w="266" w:type="pct"/>
            <w:tcBorders>
              <w:top w:val="single" w:sz="4" w:space="0" w:color="auto"/>
              <w:left w:val="single" w:sz="4" w:space="0" w:color="auto"/>
              <w:bottom w:val="single" w:sz="4" w:space="0" w:color="auto"/>
              <w:right w:val="single" w:sz="4" w:space="0" w:color="auto"/>
            </w:tcBorders>
          </w:tcPr>
          <w:p w14:paraId="3E0CD654" w14:textId="77777777" w:rsidR="001B6AB1" w:rsidRPr="006918A0" w:rsidRDefault="001B6AB1" w:rsidP="00B330E1">
            <w:pPr>
              <w:spacing w:line="276" w:lineRule="auto"/>
              <w:ind w:right="-29"/>
              <w:jc w:val="center"/>
              <w:rPr>
                <w:noProof/>
                <w:sz w:val="18"/>
                <w:szCs w:val="18"/>
              </w:rPr>
            </w:pPr>
          </w:p>
        </w:tc>
        <w:tc>
          <w:tcPr>
            <w:tcW w:w="281" w:type="pct"/>
            <w:tcBorders>
              <w:top w:val="single" w:sz="4" w:space="0" w:color="auto"/>
              <w:left w:val="single" w:sz="4" w:space="0" w:color="auto"/>
              <w:bottom w:val="single" w:sz="4" w:space="0" w:color="auto"/>
              <w:right w:val="single" w:sz="4" w:space="0" w:color="auto"/>
            </w:tcBorders>
          </w:tcPr>
          <w:p w14:paraId="0D873B19" w14:textId="77777777" w:rsidR="001B6AB1" w:rsidRPr="006918A0" w:rsidRDefault="001B6AB1" w:rsidP="00B330E1">
            <w:pPr>
              <w:spacing w:line="276" w:lineRule="auto"/>
              <w:ind w:right="-29"/>
              <w:jc w:val="center"/>
              <w:rPr>
                <w:noProof/>
                <w:sz w:val="18"/>
                <w:szCs w:val="18"/>
              </w:rPr>
            </w:pPr>
          </w:p>
        </w:tc>
        <w:tc>
          <w:tcPr>
            <w:tcW w:w="256" w:type="pct"/>
            <w:tcBorders>
              <w:top w:val="single" w:sz="4" w:space="0" w:color="auto"/>
              <w:left w:val="single" w:sz="4" w:space="0" w:color="auto"/>
              <w:bottom w:val="single" w:sz="4" w:space="0" w:color="auto"/>
              <w:right w:val="single" w:sz="4" w:space="0" w:color="auto"/>
            </w:tcBorders>
          </w:tcPr>
          <w:p w14:paraId="17F2D4BF" w14:textId="77777777" w:rsidR="001B6AB1" w:rsidRPr="006918A0" w:rsidRDefault="001B6AB1" w:rsidP="00B330E1">
            <w:pPr>
              <w:spacing w:line="276" w:lineRule="auto"/>
              <w:ind w:right="-29"/>
              <w:jc w:val="center"/>
              <w:rPr>
                <w:noProof/>
                <w:sz w:val="18"/>
                <w:szCs w:val="18"/>
              </w:rPr>
            </w:pPr>
          </w:p>
        </w:tc>
        <w:tc>
          <w:tcPr>
            <w:tcW w:w="298" w:type="pct"/>
            <w:tcBorders>
              <w:top w:val="single" w:sz="4" w:space="0" w:color="auto"/>
              <w:left w:val="single" w:sz="4" w:space="0" w:color="auto"/>
              <w:bottom w:val="single" w:sz="4" w:space="0" w:color="auto"/>
              <w:right w:val="single" w:sz="4" w:space="0" w:color="auto"/>
            </w:tcBorders>
          </w:tcPr>
          <w:p w14:paraId="59D872BC" w14:textId="77777777" w:rsidR="001B6AB1" w:rsidRPr="006918A0" w:rsidRDefault="001B6AB1" w:rsidP="00B330E1">
            <w:pPr>
              <w:spacing w:line="276" w:lineRule="auto"/>
              <w:ind w:right="-29"/>
              <w:jc w:val="center"/>
              <w:rPr>
                <w:noProof/>
                <w:sz w:val="18"/>
                <w:szCs w:val="18"/>
              </w:rPr>
            </w:pPr>
          </w:p>
        </w:tc>
        <w:tc>
          <w:tcPr>
            <w:tcW w:w="246" w:type="pct"/>
            <w:tcBorders>
              <w:top w:val="single" w:sz="4" w:space="0" w:color="auto"/>
              <w:left w:val="single" w:sz="4" w:space="0" w:color="auto"/>
              <w:bottom w:val="single" w:sz="4" w:space="0" w:color="auto"/>
              <w:right w:val="single" w:sz="4" w:space="0" w:color="auto"/>
            </w:tcBorders>
          </w:tcPr>
          <w:p w14:paraId="5FB67DD9" w14:textId="77777777" w:rsidR="001B6AB1" w:rsidRPr="006918A0" w:rsidRDefault="001B6AB1" w:rsidP="00B330E1">
            <w:pPr>
              <w:spacing w:line="276" w:lineRule="auto"/>
              <w:ind w:right="-29"/>
              <w:jc w:val="center"/>
              <w:rPr>
                <w:noProof/>
                <w:sz w:val="18"/>
                <w:szCs w:val="18"/>
              </w:rPr>
            </w:pPr>
          </w:p>
        </w:tc>
        <w:tc>
          <w:tcPr>
            <w:tcW w:w="367" w:type="pct"/>
            <w:tcBorders>
              <w:top w:val="single" w:sz="4" w:space="0" w:color="auto"/>
              <w:left w:val="single" w:sz="4" w:space="0" w:color="auto"/>
              <w:bottom w:val="single" w:sz="4" w:space="0" w:color="auto"/>
              <w:right w:val="single" w:sz="4" w:space="0" w:color="auto"/>
            </w:tcBorders>
          </w:tcPr>
          <w:p w14:paraId="7706C8B8" w14:textId="77777777" w:rsidR="001B6AB1" w:rsidRPr="006918A0" w:rsidRDefault="001B6AB1" w:rsidP="00B330E1">
            <w:pPr>
              <w:spacing w:line="276" w:lineRule="auto"/>
              <w:ind w:right="-29"/>
              <w:jc w:val="center"/>
              <w:rPr>
                <w:noProof/>
                <w:sz w:val="18"/>
                <w:szCs w:val="18"/>
              </w:rPr>
            </w:pPr>
          </w:p>
        </w:tc>
        <w:tc>
          <w:tcPr>
            <w:tcW w:w="225" w:type="pct"/>
            <w:tcBorders>
              <w:top w:val="single" w:sz="4" w:space="0" w:color="auto"/>
              <w:left w:val="single" w:sz="4" w:space="0" w:color="auto"/>
              <w:bottom w:val="single" w:sz="4" w:space="0" w:color="auto"/>
              <w:right w:val="single" w:sz="4" w:space="0" w:color="auto"/>
            </w:tcBorders>
          </w:tcPr>
          <w:p w14:paraId="5A4F2158" w14:textId="77777777" w:rsidR="001B6AB1" w:rsidRPr="006918A0" w:rsidRDefault="001B6AB1" w:rsidP="00B330E1">
            <w:pPr>
              <w:spacing w:line="276" w:lineRule="auto"/>
              <w:ind w:right="-29"/>
              <w:jc w:val="center"/>
              <w:rPr>
                <w:noProof/>
                <w:sz w:val="18"/>
                <w:szCs w:val="18"/>
              </w:rPr>
            </w:pPr>
          </w:p>
        </w:tc>
        <w:tc>
          <w:tcPr>
            <w:tcW w:w="258" w:type="pct"/>
            <w:tcBorders>
              <w:top w:val="single" w:sz="4" w:space="0" w:color="auto"/>
              <w:left w:val="single" w:sz="4" w:space="0" w:color="auto"/>
              <w:bottom w:val="single" w:sz="4" w:space="0" w:color="auto"/>
              <w:right w:val="single" w:sz="4" w:space="0" w:color="auto"/>
            </w:tcBorders>
          </w:tcPr>
          <w:p w14:paraId="28BF1964" w14:textId="77777777" w:rsidR="001B6AB1" w:rsidRPr="006918A0" w:rsidRDefault="001B6AB1" w:rsidP="00B330E1">
            <w:pPr>
              <w:spacing w:line="276" w:lineRule="auto"/>
              <w:ind w:right="-29"/>
              <w:jc w:val="center"/>
              <w:rPr>
                <w:noProof/>
                <w:sz w:val="18"/>
                <w:szCs w:val="18"/>
              </w:rPr>
            </w:pPr>
          </w:p>
        </w:tc>
        <w:tc>
          <w:tcPr>
            <w:tcW w:w="241" w:type="pct"/>
            <w:tcBorders>
              <w:top w:val="single" w:sz="4" w:space="0" w:color="auto"/>
              <w:left w:val="single" w:sz="4" w:space="0" w:color="auto"/>
              <w:bottom w:val="single" w:sz="4" w:space="0" w:color="auto"/>
              <w:right w:val="single" w:sz="4" w:space="0" w:color="auto"/>
            </w:tcBorders>
          </w:tcPr>
          <w:p w14:paraId="463DE4CC" w14:textId="77777777" w:rsidR="001B6AB1" w:rsidRPr="006918A0" w:rsidRDefault="001B6AB1" w:rsidP="00B330E1">
            <w:pPr>
              <w:spacing w:line="276" w:lineRule="auto"/>
              <w:ind w:right="-29"/>
              <w:jc w:val="center"/>
              <w:rPr>
                <w:noProof/>
                <w:sz w:val="18"/>
                <w:szCs w:val="18"/>
              </w:rPr>
            </w:pPr>
          </w:p>
        </w:tc>
        <w:tc>
          <w:tcPr>
            <w:tcW w:w="249" w:type="pct"/>
            <w:gridSpan w:val="2"/>
            <w:tcBorders>
              <w:top w:val="single" w:sz="4" w:space="0" w:color="auto"/>
              <w:left w:val="single" w:sz="4" w:space="0" w:color="auto"/>
              <w:bottom w:val="single" w:sz="4" w:space="0" w:color="auto"/>
              <w:right w:val="single" w:sz="4" w:space="0" w:color="auto"/>
            </w:tcBorders>
          </w:tcPr>
          <w:p w14:paraId="4F7F4D49" w14:textId="77777777" w:rsidR="001B6AB1" w:rsidRPr="006918A0" w:rsidRDefault="001B6AB1" w:rsidP="00B330E1">
            <w:pPr>
              <w:spacing w:line="276" w:lineRule="auto"/>
              <w:ind w:right="-29"/>
              <w:jc w:val="center"/>
              <w:rPr>
                <w:noProof/>
                <w:sz w:val="18"/>
                <w:szCs w:val="18"/>
              </w:rPr>
            </w:pPr>
          </w:p>
        </w:tc>
        <w:tc>
          <w:tcPr>
            <w:tcW w:w="318" w:type="pct"/>
            <w:gridSpan w:val="2"/>
            <w:tcBorders>
              <w:top w:val="single" w:sz="4" w:space="0" w:color="auto"/>
              <w:left w:val="single" w:sz="4" w:space="0" w:color="auto"/>
              <w:bottom w:val="single" w:sz="4" w:space="0" w:color="auto"/>
              <w:right w:val="single" w:sz="4" w:space="0" w:color="auto"/>
            </w:tcBorders>
          </w:tcPr>
          <w:p w14:paraId="61C4C7ED" w14:textId="77777777" w:rsidR="001B6AB1" w:rsidRPr="006918A0" w:rsidRDefault="001B6AB1" w:rsidP="00B330E1">
            <w:pPr>
              <w:spacing w:line="276" w:lineRule="auto"/>
              <w:ind w:right="-29"/>
              <w:jc w:val="center"/>
              <w:rPr>
                <w:noProof/>
                <w:sz w:val="18"/>
                <w:szCs w:val="18"/>
              </w:rPr>
            </w:pPr>
          </w:p>
        </w:tc>
        <w:tc>
          <w:tcPr>
            <w:tcW w:w="223" w:type="pct"/>
            <w:gridSpan w:val="3"/>
            <w:tcBorders>
              <w:top w:val="single" w:sz="4" w:space="0" w:color="auto"/>
              <w:left w:val="single" w:sz="4" w:space="0" w:color="auto"/>
              <w:bottom w:val="single" w:sz="4" w:space="0" w:color="auto"/>
              <w:right w:val="single" w:sz="4" w:space="0" w:color="auto"/>
            </w:tcBorders>
          </w:tcPr>
          <w:p w14:paraId="5536CA34" w14:textId="77777777" w:rsidR="001B6AB1" w:rsidRPr="006918A0" w:rsidRDefault="001B6AB1" w:rsidP="00B330E1">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31F81771" w14:textId="77777777" w:rsidR="001B6AB1" w:rsidRPr="006918A0" w:rsidRDefault="001B6AB1" w:rsidP="00B330E1">
            <w:pPr>
              <w:spacing w:line="276" w:lineRule="auto"/>
              <w:ind w:right="-29"/>
              <w:jc w:val="right"/>
              <w:rPr>
                <w:noProof/>
                <w:sz w:val="18"/>
                <w:szCs w:val="18"/>
              </w:rPr>
            </w:pPr>
          </w:p>
        </w:tc>
      </w:tr>
      <w:tr w:rsidR="001B6AB1" w:rsidRPr="006918A0" w14:paraId="30F364BD" w14:textId="77777777" w:rsidTr="00B330E1">
        <w:trPr>
          <w:jc w:val="center"/>
        </w:trPr>
        <w:tc>
          <w:tcPr>
            <w:tcW w:w="1083" w:type="pct"/>
            <w:gridSpan w:val="3"/>
            <w:tcBorders>
              <w:top w:val="single" w:sz="4" w:space="0" w:color="auto"/>
              <w:left w:val="single" w:sz="4" w:space="0" w:color="auto"/>
              <w:bottom w:val="single" w:sz="12" w:space="0" w:color="auto"/>
              <w:right w:val="single" w:sz="4" w:space="0" w:color="auto"/>
            </w:tcBorders>
            <w:vAlign w:val="center"/>
            <w:hideMark/>
          </w:tcPr>
          <w:p w14:paraId="6A652250" w14:textId="77777777" w:rsidR="001B6AB1" w:rsidRPr="006918A0" w:rsidRDefault="001B6AB1" w:rsidP="00B330E1">
            <w:pPr>
              <w:spacing w:line="276" w:lineRule="auto"/>
              <w:jc w:val="center"/>
              <w:rPr>
                <w:noProof/>
                <w:sz w:val="18"/>
                <w:szCs w:val="18"/>
              </w:rPr>
            </w:pPr>
            <w:r>
              <w:rPr>
                <w:noProof/>
                <w:sz w:val="18"/>
              </w:rPr>
              <w:t>Välisumma, erityistavoite 2</w:t>
            </w:r>
          </w:p>
        </w:tc>
        <w:tc>
          <w:tcPr>
            <w:tcW w:w="285" w:type="pct"/>
            <w:tcBorders>
              <w:top w:val="single" w:sz="4" w:space="0" w:color="auto"/>
              <w:left w:val="single" w:sz="4" w:space="0" w:color="auto"/>
              <w:bottom w:val="single" w:sz="12" w:space="0" w:color="auto"/>
              <w:right w:val="single" w:sz="4" w:space="0" w:color="auto"/>
            </w:tcBorders>
          </w:tcPr>
          <w:p w14:paraId="44E25278" w14:textId="77777777" w:rsidR="001B6AB1" w:rsidRPr="006918A0" w:rsidRDefault="001B6AB1" w:rsidP="00B330E1">
            <w:pPr>
              <w:spacing w:line="276" w:lineRule="auto"/>
              <w:ind w:right="-29"/>
              <w:jc w:val="center"/>
              <w:rPr>
                <w:noProof/>
                <w:sz w:val="18"/>
                <w:szCs w:val="18"/>
              </w:rPr>
            </w:pPr>
          </w:p>
        </w:tc>
        <w:tc>
          <w:tcPr>
            <w:tcW w:w="266" w:type="pct"/>
            <w:tcBorders>
              <w:top w:val="single" w:sz="4" w:space="0" w:color="auto"/>
              <w:left w:val="single" w:sz="4" w:space="0" w:color="auto"/>
              <w:bottom w:val="single" w:sz="12" w:space="0" w:color="auto"/>
              <w:right w:val="single" w:sz="4" w:space="0" w:color="auto"/>
            </w:tcBorders>
          </w:tcPr>
          <w:p w14:paraId="3982A5A7" w14:textId="77777777" w:rsidR="001B6AB1" w:rsidRPr="006918A0" w:rsidRDefault="001B6AB1" w:rsidP="00B330E1">
            <w:pPr>
              <w:spacing w:line="276" w:lineRule="auto"/>
              <w:ind w:right="-29"/>
              <w:jc w:val="center"/>
              <w:rPr>
                <w:noProof/>
                <w:sz w:val="18"/>
                <w:szCs w:val="18"/>
              </w:rPr>
            </w:pPr>
          </w:p>
        </w:tc>
        <w:tc>
          <w:tcPr>
            <w:tcW w:w="281" w:type="pct"/>
            <w:tcBorders>
              <w:top w:val="single" w:sz="4" w:space="0" w:color="auto"/>
              <w:left w:val="single" w:sz="4" w:space="0" w:color="auto"/>
              <w:bottom w:val="single" w:sz="12" w:space="0" w:color="auto"/>
              <w:right w:val="single" w:sz="4" w:space="0" w:color="auto"/>
            </w:tcBorders>
          </w:tcPr>
          <w:p w14:paraId="6419CC43" w14:textId="77777777" w:rsidR="001B6AB1" w:rsidRPr="006918A0" w:rsidRDefault="001B6AB1" w:rsidP="00B330E1">
            <w:pPr>
              <w:spacing w:line="276" w:lineRule="auto"/>
              <w:ind w:right="-29"/>
              <w:jc w:val="center"/>
              <w:rPr>
                <w:noProof/>
                <w:sz w:val="18"/>
                <w:szCs w:val="18"/>
              </w:rPr>
            </w:pPr>
          </w:p>
        </w:tc>
        <w:tc>
          <w:tcPr>
            <w:tcW w:w="256" w:type="pct"/>
            <w:tcBorders>
              <w:top w:val="single" w:sz="4" w:space="0" w:color="auto"/>
              <w:left w:val="single" w:sz="4" w:space="0" w:color="auto"/>
              <w:bottom w:val="single" w:sz="12" w:space="0" w:color="auto"/>
              <w:right w:val="single" w:sz="4" w:space="0" w:color="auto"/>
            </w:tcBorders>
          </w:tcPr>
          <w:p w14:paraId="4CBE02F3" w14:textId="77777777" w:rsidR="001B6AB1" w:rsidRPr="006918A0" w:rsidRDefault="001B6AB1" w:rsidP="00B330E1">
            <w:pPr>
              <w:spacing w:line="276" w:lineRule="auto"/>
              <w:ind w:right="-29"/>
              <w:jc w:val="center"/>
              <w:rPr>
                <w:noProof/>
                <w:sz w:val="18"/>
                <w:szCs w:val="18"/>
              </w:rPr>
            </w:pPr>
          </w:p>
        </w:tc>
        <w:tc>
          <w:tcPr>
            <w:tcW w:w="298" w:type="pct"/>
            <w:tcBorders>
              <w:top w:val="single" w:sz="4" w:space="0" w:color="auto"/>
              <w:left w:val="single" w:sz="4" w:space="0" w:color="auto"/>
              <w:bottom w:val="single" w:sz="12" w:space="0" w:color="auto"/>
              <w:right w:val="single" w:sz="4" w:space="0" w:color="auto"/>
            </w:tcBorders>
          </w:tcPr>
          <w:p w14:paraId="30841199" w14:textId="77777777" w:rsidR="001B6AB1" w:rsidRPr="006918A0" w:rsidRDefault="001B6AB1" w:rsidP="00B330E1">
            <w:pPr>
              <w:spacing w:line="276" w:lineRule="auto"/>
              <w:ind w:right="-29"/>
              <w:jc w:val="center"/>
              <w:rPr>
                <w:noProof/>
                <w:sz w:val="18"/>
                <w:szCs w:val="18"/>
              </w:rPr>
            </w:pPr>
          </w:p>
        </w:tc>
        <w:tc>
          <w:tcPr>
            <w:tcW w:w="246" w:type="pct"/>
            <w:tcBorders>
              <w:top w:val="single" w:sz="4" w:space="0" w:color="auto"/>
              <w:left w:val="single" w:sz="4" w:space="0" w:color="auto"/>
              <w:bottom w:val="single" w:sz="12" w:space="0" w:color="auto"/>
              <w:right w:val="single" w:sz="4" w:space="0" w:color="auto"/>
            </w:tcBorders>
          </w:tcPr>
          <w:p w14:paraId="55A3F4F2" w14:textId="77777777" w:rsidR="001B6AB1" w:rsidRPr="006918A0" w:rsidRDefault="001B6AB1" w:rsidP="00B330E1">
            <w:pPr>
              <w:spacing w:line="276" w:lineRule="auto"/>
              <w:ind w:right="-29"/>
              <w:jc w:val="center"/>
              <w:rPr>
                <w:noProof/>
                <w:sz w:val="18"/>
                <w:szCs w:val="18"/>
              </w:rPr>
            </w:pPr>
          </w:p>
        </w:tc>
        <w:tc>
          <w:tcPr>
            <w:tcW w:w="367" w:type="pct"/>
            <w:tcBorders>
              <w:top w:val="single" w:sz="4" w:space="0" w:color="auto"/>
              <w:left w:val="single" w:sz="4" w:space="0" w:color="auto"/>
              <w:bottom w:val="single" w:sz="12" w:space="0" w:color="auto"/>
              <w:right w:val="single" w:sz="4" w:space="0" w:color="auto"/>
            </w:tcBorders>
          </w:tcPr>
          <w:p w14:paraId="0DF8C401" w14:textId="77777777" w:rsidR="001B6AB1" w:rsidRPr="006918A0" w:rsidRDefault="001B6AB1" w:rsidP="00B330E1">
            <w:pPr>
              <w:spacing w:line="276" w:lineRule="auto"/>
              <w:ind w:right="-29"/>
              <w:jc w:val="center"/>
              <w:rPr>
                <w:noProof/>
                <w:sz w:val="18"/>
                <w:szCs w:val="18"/>
              </w:rPr>
            </w:pPr>
          </w:p>
        </w:tc>
        <w:tc>
          <w:tcPr>
            <w:tcW w:w="225" w:type="pct"/>
            <w:tcBorders>
              <w:top w:val="single" w:sz="4" w:space="0" w:color="auto"/>
              <w:left w:val="single" w:sz="4" w:space="0" w:color="auto"/>
              <w:bottom w:val="single" w:sz="12" w:space="0" w:color="auto"/>
              <w:right w:val="single" w:sz="4" w:space="0" w:color="auto"/>
            </w:tcBorders>
          </w:tcPr>
          <w:p w14:paraId="1B8416E8" w14:textId="77777777" w:rsidR="001B6AB1" w:rsidRPr="006918A0" w:rsidRDefault="001B6AB1" w:rsidP="00B330E1">
            <w:pPr>
              <w:spacing w:line="276" w:lineRule="auto"/>
              <w:ind w:right="-29"/>
              <w:jc w:val="center"/>
              <w:rPr>
                <w:noProof/>
                <w:sz w:val="18"/>
                <w:szCs w:val="18"/>
              </w:rPr>
            </w:pPr>
          </w:p>
        </w:tc>
        <w:tc>
          <w:tcPr>
            <w:tcW w:w="258" w:type="pct"/>
            <w:tcBorders>
              <w:top w:val="single" w:sz="4" w:space="0" w:color="auto"/>
              <w:left w:val="single" w:sz="4" w:space="0" w:color="auto"/>
              <w:bottom w:val="single" w:sz="12" w:space="0" w:color="auto"/>
              <w:right w:val="single" w:sz="4" w:space="0" w:color="auto"/>
            </w:tcBorders>
          </w:tcPr>
          <w:p w14:paraId="356F9321" w14:textId="77777777" w:rsidR="001B6AB1" w:rsidRPr="006918A0" w:rsidRDefault="001B6AB1" w:rsidP="00B330E1">
            <w:pPr>
              <w:spacing w:line="276" w:lineRule="auto"/>
              <w:ind w:right="-29"/>
              <w:jc w:val="center"/>
              <w:rPr>
                <w:noProof/>
                <w:sz w:val="18"/>
                <w:szCs w:val="18"/>
              </w:rPr>
            </w:pPr>
          </w:p>
        </w:tc>
        <w:tc>
          <w:tcPr>
            <w:tcW w:w="241" w:type="pct"/>
            <w:tcBorders>
              <w:top w:val="single" w:sz="4" w:space="0" w:color="auto"/>
              <w:left w:val="single" w:sz="4" w:space="0" w:color="auto"/>
              <w:bottom w:val="single" w:sz="12" w:space="0" w:color="auto"/>
              <w:right w:val="single" w:sz="4" w:space="0" w:color="auto"/>
            </w:tcBorders>
          </w:tcPr>
          <w:p w14:paraId="146C3275" w14:textId="77777777" w:rsidR="001B6AB1" w:rsidRPr="006918A0" w:rsidRDefault="001B6AB1" w:rsidP="00B330E1">
            <w:pPr>
              <w:spacing w:line="276" w:lineRule="auto"/>
              <w:ind w:right="-29"/>
              <w:jc w:val="center"/>
              <w:rPr>
                <w:noProof/>
                <w:sz w:val="18"/>
                <w:szCs w:val="18"/>
              </w:rPr>
            </w:pPr>
          </w:p>
        </w:tc>
        <w:tc>
          <w:tcPr>
            <w:tcW w:w="249" w:type="pct"/>
            <w:gridSpan w:val="2"/>
            <w:tcBorders>
              <w:top w:val="single" w:sz="4" w:space="0" w:color="auto"/>
              <w:left w:val="single" w:sz="4" w:space="0" w:color="auto"/>
              <w:bottom w:val="single" w:sz="12" w:space="0" w:color="auto"/>
              <w:right w:val="single" w:sz="4" w:space="0" w:color="auto"/>
            </w:tcBorders>
          </w:tcPr>
          <w:p w14:paraId="15D86156" w14:textId="77777777" w:rsidR="001B6AB1" w:rsidRPr="006918A0" w:rsidRDefault="001B6AB1" w:rsidP="00B330E1">
            <w:pPr>
              <w:spacing w:line="276" w:lineRule="auto"/>
              <w:ind w:right="-29"/>
              <w:jc w:val="center"/>
              <w:rPr>
                <w:noProof/>
                <w:sz w:val="18"/>
                <w:szCs w:val="18"/>
              </w:rPr>
            </w:pPr>
          </w:p>
        </w:tc>
        <w:tc>
          <w:tcPr>
            <w:tcW w:w="318" w:type="pct"/>
            <w:gridSpan w:val="2"/>
            <w:tcBorders>
              <w:top w:val="single" w:sz="4" w:space="0" w:color="auto"/>
              <w:left w:val="single" w:sz="4" w:space="0" w:color="auto"/>
              <w:bottom w:val="single" w:sz="12" w:space="0" w:color="auto"/>
              <w:right w:val="single" w:sz="4" w:space="0" w:color="auto"/>
            </w:tcBorders>
          </w:tcPr>
          <w:p w14:paraId="291AE7E0" w14:textId="77777777" w:rsidR="001B6AB1" w:rsidRPr="006918A0" w:rsidRDefault="001B6AB1" w:rsidP="00B330E1">
            <w:pPr>
              <w:spacing w:line="276" w:lineRule="auto"/>
              <w:ind w:right="-29"/>
              <w:jc w:val="center"/>
              <w:rPr>
                <w:noProof/>
                <w:sz w:val="18"/>
                <w:szCs w:val="18"/>
              </w:rPr>
            </w:pPr>
          </w:p>
        </w:tc>
        <w:tc>
          <w:tcPr>
            <w:tcW w:w="223" w:type="pct"/>
            <w:gridSpan w:val="3"/>
            <w:tcBorders>
              <w:top w:val="single" w:sz="4" w:space="0" w:color="auto"/>
              <w:left w:val="single" w:sz="4" w:space="0" w:color="auto"/>
              <w:bottom w:val="single" w:sz="12" w:space="0" w:color="auto"/>
              <w:right w:val="single" w:sz="4" w:space="0" w:color="auto"/>
            </w:tcBorders>
          </w:tcPr>
          <w:p w14:paraId="083E48BB" w14:textId="77777777" w:rsidR="001B6AB1" w:rsidRPr="006918A0" w:rsidRDefault="001B6AB1" w:rsidP="00B330E1">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12" w:space="0" w:color="auto"/>
              <w:right w:val="single" w:sz="4" w:space="0" w:color="auto"/>
            </w:tcBorders>
            <w:vAlign w:val="center"/>
          </w:tcPr>
          <w:p w14:paraId="5878E4EE" w14:textId="77777777" w:rsidR="001B6AB1" w:rsidRPr="006918A0" w:rsidRDefault="001B6AB1" w:rsidP="00B330E1">
            <w:pPr>
              <w:spacing w:line="276" w:lineRule="auto"/>
              <w:ind w:right="-29"/>
              <w:jc w:val="right"/>
              <w:rPr>
                <w:noProof/>
                <w:sz w:val="18"/>
                <w:szCs w:val="18"/>
              </w:rPr>
            </w:pPr>
          </w:p>
        </w:tc>
      </w:tr>
      <w:tr w:rsidR="001B6AB1" w:rsidRPr="006918A0" w14:paraId="7094D191" w14:textId="77777777" w:rsidTr="00B330E1">
        <w:trPr>
          <w:jc w:val="center"/>
        </w:trPr>
        <w:tc>
          <w:tcPr>
            <w:tcW w:w="1083" w:type="pct"/>
            <w:gridSpan w:val="3"/>
            <w:tcBorders>
              <w:top w:val="single" w:sz="12" w:space="0" w:color="auto"/>
              <w:left w:val="single" w:sz="12" w:space="0" w:color="auto"/>
              <w:bottom w:val="single" w:sz="12" w:space="0" w:color="auto"/>
              <w:right w:val="single" w:sz="4" w:space="0" w:color="auto"/>
            </w:tcBorders>
            <w:vAlign w:val="center"/>
            <w:hideMark/>
          </w:tcPr>
          <w:p w14:paraId="046C7E2E" w14:textId="77777777" w:rsidR="001B6AB1" w:rsidRPr="006918A0" w:rsidRDefault="001B6AB1" w:rsidP="00B330E1">
            <w:pPr>
              <w:spacing w:line="276" w:lineRule="auto"/>
              <w:ind w:right="-29"/>
              <w:jc w:val="center"/>
              <w:rPr>
                <w:noProof/>
                <w:sz w:val="18"/>
                <w:szCs w:val="18"/>
              </w:rPr>
            </w:pPr>
            <w:r>
              <w:rPr>
                <w:b/>
                <w:noProof/>
                <w:sz w:val="18"/>
              </w:rPr>
              <w:t>KAIKKI YHTEENSÄ</w:t>
            </w:r>
          </w:p>
        </w:tc>
        <w:tc>
          <w:tcPr>
            <w:tcW w:w="285" w:type="pct"/>
            <w:tcBorders>
              <w:top w:val="single" w:sz="12" w:space="0" w:color="auto"/>
              <w:left w:val="single" w:sz="4" w:space="0" w:color="auto"/>
              <w:bottom w:val="single" w:sz="12" w:space="0" w:color="auto"/>
              <w:right w:val="single" w:sz="4" w:space="0" w:color="auto"/>
            </w:tcBorders>
          </w:tcPr>
          <w:p w14:paraId="5131642E" w14:textId="77777777" w:rsidR="001B6AB1" w:rsidRPr="006918A0" w:rsidRDefault="001B6AB1" w:rsidP="00B330E1">
            <w:pPr>
              <w:spacing w:before="180" w:after="180" w:line="276" w:lineRule="auto"/>
              <w:ind w:right="-29"/>
              <w:jc w:val="center"/>
              <w:rPr>
                <w:noProof/>
                <w:sz w:val="18"/>
                <w:szCs w:val="18"/>
              </w:rPr>
            </w:pPr>
          </w:p>
        </w:tc>
        <w:tc>
          <w:tcPr>
            <w:tcW w:w="266" w:type="pct"/>
            <w:tcBorders>
              <w:top w:val="single" w:sz="12" w:space="0" w:color="auto"/>
              <w:left w:val="single" w:sz="4" w:space="0" w:color="auto"/>
              <w:bottom w:val="single" w:sz="12" w:space="0" w:color="auto"/>
              <w:right w:val="single" w:sz="4" w:space="0" w:color="auto"/>
            </w:tcBorders>
            <w:hideMark/>
          </w:tcPr>
          <w:p w14:paraId="6EDD1EC3" w14:textId="77777777" w:rsidR="001B6AB1" w:rsidRPr="006918A0" w:rsidRDefault="001B6AB1" w:rsidP="00B330E1">
            <w:pPr>
              <w:spacing w:before="180" w:after="180" w:line="276" w:lineRule="auto"/>
              <w:ind w:right="-29"/>
              <w:jc w:val="center"/>
              <w:rPr>
                <w:noProof/>
                <w:sz w:val="18"/>
                <w:szCs w:val="18"/>
              </w:rPr>
            </w:pPr>
            <w:r>
              <w:rPr>
                <w:b/>
                <w:noProof/>
                <w:sz w:val="18"/>
              </w:rPr>
              <w:t>0,150</w:t>
            </w:r>
          </w:p>
        </w:tc>
        <w:tc>
          <w:tcPr>
            <w:tcW w:w="281" w:type="pct"/>
            <w:tcBorders>
              <w:top w:val="single" w:sz="12" w:space="0" w:color="auto"/>
              <w:left w:val="single" w:sz="4" w:space="0" w:color="auto"/>
              <w:bottom w:val="single" w:sz="12" w:space="0" w:color="auto"/>
              <w:right w:val="single" w:sz="4" w:space="0" w:color="auto"/>
            </w:tcBorders>
          </w:tcPr>
          <w:p w14:paraId="33F207D1" w14:textId="77777777" w:rsidR="001B6AB1" w:rsidRPr="006918A0" w:rsidRDefault="001B6AB1" w:rsidP="00B330E1">
            <w:pPr>
              <w:spacing w:before="180" w:after="180" w:line="276" w:lineRule="auto"/>
              <w:ind w:right="-29"/>
              <w:jc w:val="center"/>
              <w:rPr>
                <w:noProof/>
                <w:sz w:val="18"/>
                <w:szCs w:val="18"/>
              </w:rPr>
            </w:pPr>
          </w:p>
        </w:tc>
        <w:tc>
          <w:tcPr>
            <w:tcW w:w="256" w:type="pct"/>
            <w:tcBorders>
              <w:top w:val="single" w:sz="12" w:space="0" w:color="auto"/>
              <w:left w:val="single" w:sz="4" w:space="0" w:color="auto"/>
              <w:bottom w:val="single" w:sz="12" w:space="0" w:color="auto"/>
              <w:right w:val="single" w:sz="4" w:space="0" w:color="auto"/>
            </w:tcBorders>
            <w:hideMark/>
          </w:tcPr>
          <w:p w14:paraId="6722A2D5" w14:textId="77777777" w:rsidR="001B6AB1" w:rsidRPr="006918A0" w:rsidRDefault="001B6AB1" w:rsidP="00B330E1">
            <w:pPr>
              <w:spacing w:before="180" w:after="180" w:line="276" w:lineRule="auto"/>
              <w:ind w:right="-29"/>
              <w:jc w:val="center"/>
              <w:rPr>
                <w:noProof/>
                <w:sz w:val="18"/>
                <w:szCs w:val="18"/>
              </w:rPr>
            </w:pPr>
            <w:r>
              <w:rPr>
                <w:b/>
                <w:noProof/>
                <w:sz w:val="18"/>
              </w:rPr>
              <w:t>0,420</w:t>
            </w:r>
          </w:p>
        </w:tc>
        <w:tc>
          <w:tcPr>
            <w:tcW w:w="298" w:type="pct"/>
            <w:tcBorders>
              <w:top w:val="single" w:sz="12" w:space="0" w:color="auto"/>
              <w:left w:val="single" w:sz="4" w:space="0" w:color="auto"/>
              <w:bottom w:val="single" w:sz="12" w:space="0" w:color="auto"/>
              <w:right w:val="single" w:sz="4" w:space="0" w:color="auto"/>
            </w:tcBorders>
          </w:tcPr>
          <w:p w14:paraId="36CDB147" w14:textId="77777777" w:rsidR="001B6AB1" w:rsidRPr="006918A0" w:rsidRDefault="001B6AB1" w:rsidP="00B330E1">
            <w:pPr>
              <w:spacing w:before="180" w:after="180" w:line="276" w:lineRule="auto"/>
              <w:ind w:right="-29"/>
              <w:jc w:val="center"/>
              <w:rPr>
                <w:noProof/>
                <w:sz w:val="18"/>
                <w:szCs w:val="18"/>
              </w:rPr>
            </w:pPr>
          </w:p>
        </w:tc>
        <w:tc>
          <w:tcPr>
            <w:tcW w:w="246" w:type="pct"/>
            <w:tcBorders>
              <w:top w:val="single" w:sz="12" w:space="0" w:color="auto"/>
              <w:left w:val="single" w:sz="4" w:space="0" w:color="auto"/>
              <w:bottom w:val="single" w:sz="12" w:space="0" w:color="auto"/>
              <w:right w:val="single" w:sz="4" w:space="0" w:color="auto"/>
            </w:tcBorders>
            <w:hideMark/>
          </w:tcPr>
          <w:p w14:paraId="0C16B9DA" w14:textId="77777777" w:rsidR="001B6AB1" w:rsidRPr="006918A0" w:rsidRDefault="001B6AB1" w:rsidP="00B330E1">
            <w:pPr>
              <w:spacing w:before="180" w:after="180" w:line="276" w:lineRule="auto"/>
              <w:ind w:right="-29"/>
              <w:jc w:val="center"/>
              <w:rPr>
                <w:noProof/>
                <w:sz w:val="18"/>
                <w:szCs w:val="18"/>
              </w:rPr>
            </w:pPr>
            <w:r>
              <w:rPr>
                <w:b/>
                <w:noProof/>
                <w:sz w:val="18"/>
              </w:rPr>
              <w:t>0,300</w:t>
            </w:r>
          </w:p>
        </w:tc>
        <w:tc>
          <w:tcPr>
            <w:tcW w:w="367" w:type="pct"/>
            <w:tcBorders>
              <w:top w:val="single" w:sz="12" w:space="0" w:color="auto"/>
              <w:left w:val="single" w:sz="4" w:space="0" w:color="auto"/>
              <w:bottom w:val="single" w:sz="12" w:space="0" w:color="auto"/>
              <w:right w:val="single" w:sz="4" w:space="0" w:color="auto"/>
            </w:tcBorders>
          </w:tcPr>
          <w:p w14:paraId="5EE4977E" w14:textId="77777777" w:rsidR="001B6AB1" w:rsidRPr="006918A0" w:rsidRDefault="001B6AB1" w:rsidP="00B330E1">
            <w:pPr>
              <w:spacing w:before="180" w:after="180" w:line="276" w:lineRule="auto"/>
              <w:ind w:right="-29"/>
              <w:jc w:val="center"/>
              <w:rPr>
                <w:noProof/>
                <w:sz w:val="18"/>
                <w:szCs w:val="18"/>
              </w:rPr>
            </w:pPr>
          </w:p>
        </w:tc>
        <w:tc>
          <w:tcPr>
            <w:tcW w:w="225" w:type="pct"/>
            <w:tcBorders>
              <w:top w:val="single" w:sz="12" w:space="0" w:color="auto"/>
              <w:left w:val="single" w:sz="4" w:space="0" w:color="auto"/>
              <w:bottom w:val="single" w:sz="12" w:space="0" w:color="auto"/>
              <w:right w:val="single" w:sz="4" w:space="0" w:color="auto"/>
            </w:tcBorders>
            <w:hideMark/>
          </w:tcPr>
          <w:p w14:paraId="02949891" w14:textId="77777777" w:rsidR="001B6AB1" w:rsidRPr="006918A0" w:rsidRDefault="001B6AB1" w:rsidP="00B330E1">
            <w:pPr>
              <w:spacing w:before="180" w:after="180" w:line="276" w:lineRule="auto"/>
              <w:ind w:right="-29"/>
              <w:jc w:val="center"/>
              <w:rPr>
                <w:noProof/>
                <w:sz w:val="18"/>
                <w:szCs w:val="18"/>
              </w:rPr>
            </w:pPr>
            <w:r>
              <w:rPr>
                <w:b/>
                <w:noProof/>
                <w:sz w:val="18"/>
              </w:rPr>
              <w:t>0,330</w:t>
            </w:r>
          </w:p>
        </w:tc>
        <w:tc>
          <w:tcPr>
            <w:tcW w:w="258" w:type="pct"/>
            <w:tcBorders>
              <w:top w:val="single" w:sz="12" w:space="0" w:color="auto"/>
              <w:left w:val="single" w:sz="4" w:space="0" w:color="auto"/>
              <w:bottom w:val="single" w:sz="12" w:space="0" w:color="auto"/>
              <w:right w:val="single" w:sz="4" w:space="0" w:color="auto"/>
            </w:tcBorders>
          </w:tcPr>
          <w:p w14:paraId="19AD9359" w14:textId="77777777" w:rsidR="001B6AB1" w:rsidRPr="006918A0" w:rsidRDefault="001B6AB1" w:rsidP="00B330E1">
            <w:pPr>
              <w:spacing w:before="180" w:after="180" w:line="276" w:lineRule="auto"/>
              <w:ind w:right="-29"/>
              <w:jc w:val="center"/>
              <w:rPr>
                <w:noProof/>
                <w:sz w:val="18"/>
                <w:szCs w:val="18"/>
              </w:rPr>
            </w:pPr>
          </w:p>
        </w:tc>
        <w:tc>
          <w:tcPr>
            <w:tcW w:w="241" w:type="pct"/>
            <w:tcBorders>
              <w:top w:val="single" w:sz="12" w:space="0" w:color="auto"/>
              <w:left w:val="single" w:sz="4" w:space="0" w:color="auto"/>
              <w:bottom w:val="single" w:sz="12" w:space="0" w:color="auto"/>
              <w:right w:val="single" w:sz="4" w:space="0" w:color="auto"/>
            </w:tcBorders>
            <w:hideMark/>
          </w:tcPr>
          <w:p w14:paraId="32FA784E" w14:textId="77777777" w:rsidR="001B6AB1" w:rsidRPr="006918A0" w:rsidRDefault="001B6AB1" w:rsidP="00B330E1">
            <w:pPr>
              <w:spacing w:before="180" w:after="180" w:line="276" w:lineRule="auto"/>
              <w:ind w:right="-29"/>
              <w:jc w:val="center"/>
              <w:rPr>
                <w:noProof/>
                <w:sz w:val="18"/>
                <w:szCs w:val="18"/>
              </w:rPr>
            </w:pPr>
            <w:r>
              <w:rPr>
                <w:b/>
                <w:noProof/>
                <w:sz w:val="18"/>
              </w:rPr>
              <w:t>0,180</w:t>
            </w:r>
          </w:p>
        </w:tc>
        <w:tc>
          <w:tcPr>
            <w:tcW w:w="249" w:type="pct"/>
            <w:gridSpan w:val="2"/>
            <w:tcBorders>
              <w:top w:val="single" w:sz="12" w:space="0" w:color="auto"/>
              <w:left w:val="single" w:sz="4" w:space="0" w:color="auto"/>
              <w:bottom w:val="single" w:sz="12" w:space="0" w:color="auto"/>
              <w:right w:val="single" w:sz="4" w:space="0" w:color="auto"/>
            </w:tcBorders>
          </w:tcPr>
          <w:p w14:paraId="4DE610F1" w14:textId="77777777" w:rsidR="001B6AB1" w:rsidRPr="006918A0" w:rsidRDefault="001B6AB1" w:rsidP="00B330E1">
            <w:pPr>
              <w:spacing w:before="180" w:after="180" w:line="276" w:lineRule="auto"/>
              <w:ind w:right="-29"/>
              <w:jc w:val="center"/>
              <w:rPr>
                <w:noProof/>
                <w:sz w:val="18"/>
                <w:szCs w:val="18"/>
              </w:rPr>
            </w:pPr>
          </w:p>
        </w:tc>
        <w:tc>
          <w:tcPr>
            <w:tcW w:w="318" w:type="pct"/>
            <w:gridSpan w:val="2"/>
            <w:tcBorders>
              <w:top w:val="single" w:sz="12" w:space="0" w:color="auto"/>
              <w:left w:val="single" w:sz="4" w:space="0" w:color="auto"/>
              <w:bottom w:val="single" w:sz="12" w:space="0" w:color="auto"/>
              <w:right w:val="single" w:sz="4" w:space="0" w:color="auto"/>
            </w:tcBorders>
            <w:hideMark/>
          </w:tcPr>
          <w:p w14:paraId="0E24C7C5" w14:textId="77777777" w:rsidR="001B6AB1" w:rsidRPr="006918A0" w:rsidRDefault="001B6AB1" w:rsidP="00B330E1">
            <w:pPr>
              <w:spacing w:before="180" w:after="180" w:line="276" w:lineRule="auto"/>
              <w:ind w:right="-29"/>
              <w:jc w:val="center"/>
              <w:rPr>
                <w:noProof/>
                <w:sz w:val="18"/>
                <w:szCs w:val="18"/>
              </w:rPr>
            </w:pPr>
            <w:r>
              <w:rPr>
                <w:b/>
                <w:noProof/>
                <w:sz w:val="18"/>
              </w:rPr>
              <w:t>0,180</w:t>
            </w:r>
          </w:p>
        </w:tc>
        <w:tc>
          <w:tcPr>
            <w:tcW w:w="223" w:type="pct"/>
            <w:gridSpan w:val="3"/>
            <w:tcBorders>
              <w:top w:val="single" w:sz="12" w:space="0" w:color="auto"/>
              <w:left w:val="single" w:sz="4" w:space="0" w:color="auto"/>
              <w:bottom w:val="single" w:sz="12" w:space="0" w:color="auto"/>
              <w:right w:val="single" w:sz="4" w:space="0" w:color="auto"/>
            </w:tcBorders>
          </w:tcPr>
          <w:p w14:paraId="3410785B" w14:textId="77777777" w:rsidR="001B6AB1" w:rsidRPr="006918A0" w:rsidRDefault="001B6AB1" w:rsidP="00B330E1">
            <w:pPr>
              <w:spacing w:before="180" w:after="180" w:line="276" w:lineRule="auto"/>
              <w:ind w:right="-29"/>
              <w:jc w:val="center"/>
              <w:rPr>
                <w:noProof/>
                <w:sz w:val="18"/>
                <w:szCs w:val="18"/>
              </w:rPr>
            </w:pPr>
          </w:p>
        </w:tc>
        <w:tc>
          <w:tcPr>
            <w:tcW w:w="403" w:type="pct"/>
            <w:gridSpan w:val="2"/>
            <w:tcBorders>
              <w:top w:val="single" w:sz="12" w:space="0" w:color="auto"/>
              <w:left w:val="single" w:sz="4" w:space="0" w:color="auto"/>
              <w:bottom w:val="single" w:sz="12" w:space="0" w:color="auto"/>
              <w:right w:val="single" w:sz="12" w:space="0" w:color="auto"/>
            </w:tcBorders>
            <w:vAlign w:val="center"/>
            <w:hideMark/>
          </w:tcPr>
          <w:p w14:paraId="76E5FFD7" w14:textId="77777777" w:rsidR="001B6AB1" w:rsidRPr="006918A0" w:rsidRDefault="001B6AB1" w:rsidP="00B330E1">
            <w:pPr>
              <w:spacing w:before="180" w:after="180" w:line="276" w:lineRule="auto"/>
              <w:ind w:right="-29"/>
              <w:jc w:val="right"/>
              <w:rPr>
                <w:noProof/>
                <w:sz w:val="18"/>
                <w:szCs w:val="18"/>
              </w:rPr>
            </w:pPr>
            <w:r>
              <w:rPr>
                <w:b/>
                <w:noProof/>
                <w:sz w:val="18"/>
              </w:rPr>
              <w:t>1,560</w:t>
            </w:r>
          </w:p>
        </w:tc>
      </w:tr>
    </w:tbl>
    <w:p w14:paraId="18388843" w14:textId="77777777" w:rsidR="001B6AB1" w:rsidRPr="006918A0" w:rsidRDefault="001B6AB1" w:rsidP="001B6AB1">
      <w:pPr>
        <w:spacing w:before="0" w:after="0"/>
        <w:jc w:val="left"/>
        <w:rPr>
          <w:noProof/>
        </w:rPr>
        <w:sectPr w:rsidR="001B6AB1" w:rsidRPr="006918A0" w:rsidSect="00811919">
          <w:headerReference w:type="default" r:id="rId18"/>
          <w:footerReference w:type="default" r:id="rId19"/>
          <w:headerReference w:type="first" r:id="rId20"/>
          <w:footerReference w:type="first" r:id="rId21"/>
          <w:pgSz w:w="16840" w:h="11907" w:orient="landscape"/>
          <w:pgMar w:top="851" w:right="1418" w:bottom="426" w:left="1418" w:header="709" w:footer="709" w:gutter="0"/>
          <w:cols w:space="720"/>
          <w:docGrid w:linePitch="326"/>
        </w:sectPr>
      </w:pPr>
    </w:p>
    <w:p w14:paraId="4BD02B0F" w14:textId="77777777" w:rsidR="001B6AB1" w:rsidRPr="006918A0" w:rsidRDefault="001B6AB1" w:rsidP="001B6AB1">
      <w:pPr>
        <w:pStyle w:val="ManualHeading3"/>
        <w:rPr>
          <w:noProof/>
          <w:szCs w:val="24"/>
        </w:rPr>
      </w:pPr>
      <w:r>
        <w:rPr>
          <w:noProof/>
        </w:rPr>
        <w:tab/>
        <w:t>3.2.3 Yhteenveto arvioiduista vaikutuksista hallintomäärärahoihin</w:t>
      </w:r>
      <w:bookmarkStart w:id="21" w:name="_Toc514938055"/>
      <w:bookmarkStart w:id="22" w:name="_Toc520485054"/>
      <w:bookmarkEnd w:id="21"/>
      <w:bookmarkEnd w:id="22"/>
      <w:r>
        <w:rPr>
          <w:noProof/>
        </w:rPr>
        <w:t xml:space="preserve"> </w:t>
      </w:r>
    </w:p>
    <w:p w14:paraId="0C10CB8C" w14:textId="77777777" w:rsidR="001B6AB1" w:rsidRPr="006918A0" w:rsidRDefault="001B6AB1" w:rsidP="001B6AB1">
      <w:pPr>
        <w:tabs>
          <w:tab w:val="num" w:pos="1134"/>
        </w:tabs>
        <w:ind w:left="1134" w:hanging="283"/>
        <w:rPr>
          <w:rFonts w:eastAsia="Times New Roman"/>
          <w:noProof/>
        </w:rPr>
      </w:pPr>
      <w:r>
        <w:rPr>
          <w:rFonts w:ascii="Wingdings" w:hAnsi="Wingdings"/>
          <w:noProof/>
        </w:rPr>
        <w:t></w:t>
      </w:r>
      <w:r>
        <w:rPr>
          <w:noProof/>
        </w:rPr>
        <w:tab/>
        <w:t xml:space="preserve">Ehdotus/aloite ei edellytä hallintomäärärahoja. </w:t>
      </w:r>
    </w:p>
    <w:p w14:paraId="7B5D7F51" w14:textId="77777777" w:rsidR="001B6AB1" w:rsidRPr="006918A0" w:rsidRDefault="001B6AB1" w:rsidP="001B6AB1">
      <w:pPr>
        <w:tabs>
          <w:tab w:val="num" w:pos="1134"/>
        </w:tabs>
        <w:ind w:left="1134" w:hanging="283"/>
        <w:rPr>
          <w:rFonts w:eastAsia="Times New Roman"/>
          <w:noProof/>
        </w:rPr>
      </w:pPr>
      <w:r>
        <w:rPr>
          <w:rFonts w:ascii="Wingdings" w:hAnsi="Wingdings"/>
          <w:noProof/>
        </w:rPr>
        <w:t></w:t>
      </w:r>
      <w:r>
        <w:rPr>
          <w:noProof/>
        </w:rPr>
        <w:tab/>
        <w:t>Ehdotus/aloite edellyttää hallintomäärärahoja seuraavasti:</w:t>
      </w:r>
    </w:p>
    <w:p w14:paraId="4CEA2EE0" w14:textId="77777777" w:rsidR="001B6AB1" w:rsidRPr="006918A0" w:rsidRDefault="001B6AB1" w:rsidP="001B6AB1">
      <w:pPr>
        <w:rPr>
          <w:noProof/>
          <w:sz w:val="20"/>
        </w:rPr>
      </w:pPr>
      <w:r>
        <w:rPr>
          <w:noProof/>
          <w:sz w:val="20"/>
        </w:rPr>
        <w:t>milj. euroa (kolmen desimaalin tarkkuudella)</w:t>
      </w:r>
    </w:p>
    <w:tbl>
      <w:tblPr>
        <w:tblW w:w="909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1"/>
        <w:gridCol w:w="1081"/>
        <w:gridCol w:w="1081"/>
        <w:gridCol w:w="1081"/>
        <w:gridCol w:w="1081"/>
        <w:gridCol w:w="1705"/>
      </w:tblGrid>
      <w:tr w:rsidR="001B6AB1" w:rsidRPr="006918A0" w14:paraId="77A9AAFB" w14:textId="77777777" w:rsidTr="00B330E1">
        <w:trPr>
          <w:trHeight w:val="585"/>
        </w:trPr>
        <w:tc>
          <w:tcPr>
            <w:tcW w:w="1980" w:type="dxa"/>
            <w:tcBorders>
              <w:top w:val="single" w:sz="2" w:space="0" w:color="auto"/>
              <w:left w:val="single" w:sz="2" w:space="0" w:color="auto"/>
              <w:bottom w:val="single" w:sz="2" w:space="0" w:color="auto"/>
              <w:right w:val="single" w:sz="2" w:space="0" w:color="auto"/>
            </w:tcBorders>
          </w:tcPr>
          <w:p w14:paraId="4F15294E" w14:textId="77777777" w:rsidR="001B6AB1" w:rsidRPr="006918A0" w:rsidRDefault="001B6AB1" w:rsidP="00B330E1">
            <w:pPr>
              <w:spacing w:before="60" w:after="60" w:line="200" w:lineRule="exac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hideMark/>
          </w:tcPr>
          <w:p w14:paraId="79DE7EAF" w14:textId="77777777" w:rsidR="001B6AB1" w:rsidRPr="006918A0" w:rsidRDefault="001B6AB1" w:rsidP="00B330E1">
            <w:pPr>
              <w:spacing w:before="60" w:after="60" w:line="200" w:lineRule="exact"/>
              <w:jc w:val="center"/>
              <w:rPr>
                <w:noProof/>
                <w:sz w:val="16"/>
                <w:szCs w:val="16"/>
              </w:rPr>
            </w:pPr>
            <w:r>
              <w:rPr>
                <w:noProof/>
                <w:sz w:val="16"/>
              </w:rPr>
              <w:t>Vuosi</w:t>
            </w:r>
            <w:r>
              <w:rPr>
                <w:noProof/>
              </w:rPr>
              <w:t xml:space="preserve"> </w:t>
            </w:r>
            <w:r>
              <w:rPr>
                <w:b/>
                <w:noProof/>
                <w:sz w:val="16"/>
              </w:rPr>
              <w:t>2023</w:t>
            </w:r>
          </w:p>
        </w:tc>
        <w:tc>
          <w:tcPr>
            <w:tcW w:w="1080" w:type="dxa"/>
            <w:tcBorders>
              <w:top w:val="single" w:sz="2" w:space="0" w:color="auto"/>
              <w:left w:val="single" w:sz="2" w:space="0" w:color="auto"/>
              <w:bottom w:val="single" w:sz="2" w:space="0" w:color="auto"/>
              <w:right w:val="single" w:sz="2" w:space="0" w:color="auto"/>
            </w:tcBorders>
            <w:vAlign w:val="center"/>
            <w:hideMark/>
          </w:tcPr>
          <w:p w14:paraId="67AEE83F" w14:textId="77777777" w:rsidR="001B6AB1" w:rsidRPr="006918A0" w:rsidRDefault="001B6AB1" w:rsidP="00B330E1">
            <w:pPr>
              <w:spacing w:before="60" w:after="60" w:line="200" w:lineRule="exact"/>
              <w:jc w:val="center"/>
              <w:rPr>
                <w:noProof/>
                <w:sz w:val="16"/>
                <w:szCs w:val="16"/>
              </w:rPr>
            </w:pPr>
            <w:r>
              <w:rPr>
                <w:noProof/>
                <w:sz w:val="16"/>
              </w:rPr>
              <w:t>Vuosi</w:t>
            </w:r>
            <w:r>
              <w:rPr>
                <w:noProof/>
              </w:rPr>
              <w:t xml:space="preserve"> </w:t>
            </w:r>
            <w:r>
              <w:rPr>
                <w:b/>
                <w:noProof/>
                <w:sz w:val="16"/>
              </w:rPr>
              <w:t>2024</w:t>
            </w:r>
          </w:p>
        </w:tc>
        <w:tc>
          <w:tcPr>
            <w:tcW w:w="1080" w:type="dxa"/>
            <w:tcBorders>
              <w:top w:val="single" w:sz="2" w:space="0" w:color="auto"/>
              <w:left w:val="single" w:sz="2" w:space="0" w:color="auto"/>
              <w:bottom w:val="single" w:sz="2" w:space="0" w:color="auto"/>
              <w:right w:val="single" w:sz="2" w:space="0" w:color="auto"/>
            </w:tcBorders>
            <w:vAlign w:val="center"/>
            <w:hideMark/>
          </w:tcPr>
          <w:p w14:paraId="3C10AFA6" w14:textId="77777777" w:rsidR="001B6AB1" w:rsidRPr="006918A0" w:rsidRDefault="001B6AB1" w:rsidP="00B330E1">
            <w:pPr>
              <w:spacing w:before="60" w:after="60" w:line="200" w:lineRule="exact"/>
              <w:jc w:val="center"/>
              <w:rPr>
                <w:noProof/>
                <w:sz w:val="16"/>
                <w:szCs w:val="16"/>
              </w:rPr>
            </w:pPr>
            <w:r>
              <w:rPr>
                <w:noProof/>
                <w:sz w:val="16"/>
              </w:rPr>
              <w:t>Vuosi</w:t>
            </w:r>
            <w:r>
              <w:rPr>
                <w:noProof/>
              </w:rPr>
              <w:t xml:space="preserve"> </w:t>
            </w:r>
            <w:r>
              <w:rPr>
                <w:b/>
                <w:noProof/>
                <w:sz w:val="16"/>
              </w:rPr>
              <w:t>2025</w:t>
            </w:r>
          </w:p>
        </w:tc>
        <w:tc>
          <w:tcPr>
            <w:tcW w:w="1080" w:type="dxa"/>
            <w:tcBorders>
              <w:top w:val="single" w:sz="2" w:space="0" w:color="auto"/>
              <w:left w:val="single" w:sz="2" w:space="0" w:color="auto"/>
              <w:bottom w:val="single" w:sz="2" w:space="0" w:color="auto"/>
              <w:right w:val="single" w:sz="2" w:space="0" w:color="auto"/>
            </w:tcBorders>
            <w:vAlign w:val="center"/>
            <w:hideMark/>
          </w:tcPr>
          <w:p w14:paraId="672F4952" w14:textId="77777777" w:rsidR="001B6AB1" w:rsidRPr="006918A0" w:rsidRDefault="001B6AB1" w:rsidP="00B330E1">
            <w:pPr>
              <w:spacing w:before="60" w:after="60" w:line="200" w:lineRule="exact"/>
              <w:jc w:val="center"/>
              <w:rPr>
                <w:noProof/>
                <w:sz w:val="16"/>
                <w:szCs w:val="16"/>
              </w:rPr>
            </w:pPr>
            <w:r>
              <w:rPr>
                <w:noProof/>
                <w:sz w:val="16"/>
              </w:rPr>
              <w:t>Vuosi</w:t>
            </w:r>
            <w:r>
              <w:rPr>
                <w:noProof/>
              </w:rPr>
              <w:t xml:space="preserve"> </w:t>
            </w:r>
            <w:r>
              <w:rPr>
                <w:b/>
                <w:noProof/>
                <w:sz w:val="16"/>
              </w:rPr>
              <w:t>2026</w:t>
            </w:r>
          </w:p>
        </w:tc>
        <w:tc>
          <w:tcPr>
            <w:tcW w:w="1080" w:type="dxa"/>
            <w:tcBorders>
              <w:top w:val="single" w:sz="2" w:space="0" w:color="auto"/>
              <w:left w:val="single" w:sz="2" w:space="0" w:color="auto"/>
              <w:bottom w:val="single" w:sz="2" w:space="0" w:color="auto"/>
              <w:right w:val="single" w:sz="2" w:space="0" w:color="auto"/>
            </w:tcBorders>
            <w:vAlign w:val="center"/>
            <w:hideMark/>
          </w:tcPr>
          <w:p w14:paraId="1C1CBCB6" w14:textId="77777777" w:rsidR="001B6AB1" w:rsidRPr="006918A0" w:rsidRDefault="001B6AB1" w:rsidP="00B330E1">
            <w:pPr>
              <w:spacing w:line="200" w:lineRule="exact"/>
              <w:jc w:val="center"/>
              <w:rPr>
                <w:b/>
                <w:noProof/>
                <w:sz w:val="16"/>
                <w:szCs w:val="16"/>
              </w:rPr>
            </w:pPr>
            <w:r>
              <w:rPr>
                <w:noProof/>
                <w:sz w:val="16"/>
              </w:rPr>
              <w:t>Vuosi</w:t>
            </w:r>
            <w:r>
              <w:rPr>
                <w:noProof/>
              </w:rPr>
              <w:t xml:space="preserve"> </w:t>
            </w:r>
            <w:r>
              <w:rPr>
                <w:b/>
                <w:noProof/>
                <w:sz w:val="16"/>
              </w:rPr>
              <w:t>2027</w:t>
            </w:r>
          </w:p>
        </w:tc>
        <w:tc>
          <w:tcPr>
            <w:tcW w:w="1704" w:type="dxa"/>
            <w:tcBorders>
              <w:top w:val="single" w:sz="2" w:space="0" w:color="auto"/>
              <w:left w:val="single" w:sz="2" w:space="0" w:color="auto"/>
              <w:bottom w:val="single" w:sz="2" w:space="0" w:color="auto"/>
              <w:right w:val="single" w:sz="2" w:space="0" w:color="auto"/>
            </w:tcBorders>
            <w:vAlign w:val="center"/>
            <w:hideMark/>
          </w:tcPr>
          <w:p w14:paraId="15805781" w14:textId="77777777" w:rsidR="001B6AB1" w:rsidRPr="006918A0" w:rsidRDefault="001B6AB1" w:rsidP="00B330E1">
            <w:pPr>
              <w:spacing w:before="60" w:after="60" w:line="200" w:lineRule="exact"/>
              <w:jc w:val="center"/>
              <w:rPr>
                <w:b/>
                <w:noProof/>
                <w:sz w:val="16"/>
                <w:szCs w:val="16"/>
              </w:rPr>
            </w:pPr>
            <w:r>
              <w:rPr>
                <w:b/>
                <w:noProof/>
                <w:sz w:val="16"/>
              </w:rPr>
              <w:t>YHTEENSÄ</w:t>
            </w:r>
          </w:p>
        </w:tc>
      </w:tr>
    </w:tbl>
    <w:p w14:paraId="43114516" w14:textId="77777777" w:rsidR="001B6AB1" w:rsidRPr="006918A0" w:rsidRDefault="001B6AB1" w:rsidP="001B6AB1">
      <w:pPr>
        <w:spacing w:line="200" w:lineRule="exact"/>
        <w:rPr>
          <w:noProof/>
          <w:sz w:val="16"/>
          <w:szCs w:val="16"/>
        </w:rPr>
      </w:pPr>
    </w:p>
    <w:tbl>
      <w:tblPr>
        <w:tblW w:w="9090" w:type="dxa"/>
        <w:tblInd w:w="-612" w:type="dxa"/>
        <w:tblLayout w:type="fixed"/>
        <w:tblLook w:val="01E0" w:firstRow="1" w:lastRow="1" w:firstColumn="1" w:lastColumn="1" w:noHBand="0" w:noVBand="0"/>
      </w:tblPr>
      <w:tblGrid>
        <w:gridCol w:w="1980"/>
        <w:gridCol w:w="1081"/>
        <w:gridCol w:w="1081"/>
        <w:gridCol w:w="1081"/>
        <w:gridCol w:w="1081"/>
        <w:gridCol w:w="1081"/>
        <w:gridCol w:w="1705"/>
      </w:tblGrid>
      <w:tr w:rsidR="001B6AB1" w:rsidRPr="006918A0" w14:paraId="037F36A7" w14:textId="77777777" w:rsidTr="00B330E1">
        <w:trPr>
          <w:trHeight w:val="585"/>
        </w:trPr>
        <w:tc>
          <w:tcPr>
            <w:tcW w:w="1980" w:type="dxa"/>
            <w:tcBorders>
              <w:top w:val="single" w:sz="12" w:space="0" w:color="auto"/>
              <w:left w:val="single" w:sz="12" w:space="0" w:color="auto"/>
              <w:bottom w:val="single" w:sz="12" w:space="0" w:color="auto"/>
              <w:right w:val="single" w:sz="2" w:space="0" w:color="auto"/>
            </w:tcBorders>
            <w:shd w:val="clear" w:color="auto" w:fill="CCCCCC"/>
            <w:vAlign w:val="center"/>
            <w:hideMark/>
          </w:tcPr>
          <w:p w14:paraId="08943809" w14:textId="77777777" w:rsidR="001B6AB1" w:rsidRPr="006918A0" w:rsidRDefault="001B6AB1" w:rsidP="00B330E1">
            <w:pPr>
              <w:spacing w:before="60" w:after="60" w:line="200" w:lineRule="exact"/>
              <w:jc w:val="center"/>
              <w:rPr>
                <w:b/>
                <w:noProof/>
                <w:sz w:val="16"/>
              </w:rPr>
            </w:pPr>
            <w:r>
              <w:rPr>
                <w:b/>
                <w:noProof/>
                <w:sz w:val="16"/>
              </w:rPr>
              <w:t>Monivuotisen rahoituskehyksen OTSAKE 7</w:t>
            </w:r>
          </w:p>
        </w:tc>
        <w:tc>
          <w:tcPr>
            <w:tcW w:w="1081" w:type="dxa"/>
            <w:tcBorders>
              <w:top w:val="single" w:sz="12" w:space="0" w:color="auto"/>
              <w:left w:val="single" w:sz="2" w:space="0" w:color="auto"/>
              <w:bottom w:val="single" w:sz="12" w:space="0" w:color="auto"/>
              <w:right w:val="single" w:sz="2" w:space="0" w:color="auto"/>
            </w:tcBorders>
            <w:vAlign w:val="center"/>
          </w:tcPr>
          <w:p w14:paraId="393658FB" w14:textId="77777777" w:rsidR="001B6AB1" w:rsidRPr="006918A0" w:rsidRDefault="001B6AB1" w:rsidP="00B330E1">
            <w:pPr>
              <w:spacing w:before="20" w:after="20" w:line="276" w:lineRule="auto"/>
              <w:jc w:val="right"/>
              <w:rPr>
                <w:b/>
                <w:bCs/>
                <w:noProof/>
                <w:sz w:val="20"/>
                <w:szCs w:val="20"/>
              </w:rPr>
            </w:pPr>
          </w:p>
        </w:tc>
        <w:tc>
          <w:tcPr>
            <w:tcW w:w="1081" w:type="dxa"/>
            <w:tcBorders>
              <w:top w:val="single" w:sz="12" w:space="0" w:color="auto"/>
              <w:left w:val="single" w:sz="2" w:space="0" w:color="auto"/>
              <w:bottom w:val="single" w:sz="12" w:space="0" w:color="auto"/>
              <w:right w:val="single" w:sz="2" w:space="0" w:color="auto"/>
            </w:tcBorders>
            <w:vAlign w:val="center"/>
          </w:tcPr>
          <w:p w14:paraId="7500795C" w14:textId="77777777" w:rsidR="001B6AB1" w:rsidRPr="006918A0" w:rsidRDefault="001B6AB1" w:rsidP="00B330E1">
            <w:pPr>
              <w:spacing w:before="20" w:after="20" w:line="276" w:lineRule="auto"/>
              <w:jc w:val="right"/>
              <w:rPr>
                <w:b/>
                <w:bCs/>
                <w:noProof/>
                <w:sz w:val="20"/>
                <w:szCs w:val="20"/>
              </w:rPr>
            </w:pPr>
          </w:p>
        </w:tc>
        <w:tc>
          <w:tcPr>
            <w:tcW w:w="1081" w:type="dxa"/>
            <w:tcBorders>
              <w:top w:val="single" w:sz="12" w:space="0" w:color="auto"/>
              <w:left w:val="single" w:sz="2" w:space="0" w:color="auto"/>
              <w:bottom w:val="single" w:sz="12" w:space="0" w:color="auto"/>
              <w:right w:val="single" w:sz="2" w:space="0" w:color="auto"/>
            </w:tcBorders>
            <w:vAlign w:val="center"/>
          </w:tcPr>
          <w:p w14:paraId="2E3CB902" w14:textId="77777777" w:rsidR="001B6AB1" w:rsidRPr="006918A0" w:rsidRDefault="001B6AB1" w:rsidP="00B330E1">
            <w:pPr>
              <w:spacing w:before="20" w:after="20" w:line="276" w:lineRule="auto"/>
              <w:jc w:val="right"/>
              <w:rPr>
                <w:b/>
                <w:bCs/>
                <w:noProof/>
                <w:sz w:val="20"/>
                <w:szCs w:val="20"/>
              </w:rPr>
            </w:pPr>
          </w:p>
        </w:tc>
        <w:tc>
          <w:tcPr>
            <w:tcW w:w="1081" w:type="dxa"/>
            <w:tcBorders>
              <w:top w:val="single" w:sz="12" w:space="0" w:color="auto"/>
              <w:left w:val="single" w:sz="2" w:space="0" w:color="auto"/>
              <w:bottom w:val="single" w:sz="12" w:space="0" w:color="auto"/>
              <w:right w:val="single" w:sz="2" w:space="0" w:color="auto"/>
            </w:tcBorders>
            <w:vAlign w:val="center"/>
          </w:tcPr>
          <w:p w14:paraId="6A923B7E" w14:textId="77777777" w:rsidR="001B6AB1" w:rsidRPr="006918A0" w:rsidRDefault="001B6AB1" w:rsidP="00B330E1">
            <w:pPr>
              <w:spacing w:before="20" w:after="20" w:line="276" w:lineRule="auto"/>
              <w:jc w:val="right"/>
              <w:rPr>
                <w:b/>
                <w:bCs/>
                <w:noProof/>
                <w:sz w:val="20"/>
                <w:szCs w:val="20"/>
              </w:rPr>
            </w:pPr>
          </w:p>
        </w:tc>
        <w:tc>
          <w:tcPr>
            <w:tcW w:w="1081" w:type="dxa"/>
            <w:tcBorders>
              <w:top w:val="single" w:sz="12" w:space="0" w:color="auto"/>
              <w:left w:val="single" w:sz="2" w:space="0" w:color="auto"/>
              <w:bottom w:val="single" w:sz="12" w:space="0" w:color="auto"/>
              <w:right w:val="single" w:sz="2" w:space="0" w:color="auto"/>
            </w:tcBorders>
            <w:vAlign w:val="center"/>
          </w:tcPr>
          <w:p w14:paraId="070152B4" w14:textId="77777777" w:rsidR="001B6AB1" w:rsidRPr="006918A0" w:rsidRDefault="001B6AB1" w:rsidP="00B330E1">
            <w:pPr>
              <w:spacing w:before="60" w:after="60" w:line="200" w:lineRule="exact"/>
              <w:jc w:val="right"/>
              <w:rPr>
                <w:b/>
                <w:bCs/>
                <w:noProof/>
                <w:sz w:val="20"/>
                <w:szCs w:val="20"/>
              </w:rPr>
            </w:pPr>
          </w:p>
        </w:tc>
        <w:tc>
          <w:tcPr>
            <w:tcW w:w="1705" w:type="dxa"/>
            <w:tcBorders>
              <w:top w:val="single" w:sz="12" w:space="0" w:color="auto"/>
              <w:left w:val="single" w:sz="2" w:space="0" w:color="auto"/>
              <w:bottom w:val="single" w:sz="12" w:space="0" w:color="auto"/>
              <w:right w:val="single" w:sz="2" w:space="0" w:color="auto"/>
            </w:tcBorders>
            <w:vAlign w:val="center"/>
          </w:tcPr>
          <w:p w14:paraId="58CE7584" w14:textId="77777777" w:rsidR="001B6AB1" w:rsidRPr="006918A0" w:rsidRDefault="001B6AB1" w:rsidP="00B330E1">
            <w:pPr>
              <w:spacing w:before="60" w:after="60" w:line="200" w:lineRule="exact"/>
              <w:jc w:val="right"/>
              <w:rPr>
                <w:b/>
                <w:bCs/>
                <w:noProof/>
                <w:color w:val="000000"/>
                <w:sz w:val="20"/>
                <w:szCs w:val="20"/>
              </w:rPr>
            </w:pPr>
          </w:p>
        </w:tc>
      </w:tr>
      <w:tr w:rsidR="001B6AB1" w:rsidRPr="006918A0" w14:paraId="4C17CE84" w14:textId="77777777" w:rsidTr="00B330E1">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14:paraId="42605526" w14:textId="77777777" w:rsidR="001B6AB1" w:rsidRPr="006918A0" w:rsidRDefault="001B6AB1" w:rsidP="00B330E1">
            <w:pPr>
              <w:spacing w:before="60" w:after="60" w:line="200" w:lineRule="exact"/>
              <w:jc w:val="center"/>
              <w:rPr>
                <w:b/>
                <w:noProof/>
                <w:sz w:val="16"/>
              </w:rPr>
            </w:pPr>
            <w:r>
              <w:rPr>
                <w:b/>
                <w:noProof/>
                <w:sz w:val="16"/>
              </w:rPr>
              <w:t xml:space="preserve">Henkilöresurssit </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04AF5A4A" w14:textId="77777777" w:rsidR="001B6AB1" w:rsidRPr="006918A0" w:rsidRDefault="001B6AB1" w:rsidP="00B330E1">
            <w:pPr>
              <w:spacing w:before="20" w:after="20" w:line="276" w:lineRule="auto"/>
              <w:jc w:val="right"/>
              <w:rPr>
                <w:b/>
                <w:bCs/>
                <w:noProof/>
                <w:sz w:val="20"/>
                <w:szCs w:val="20"/>
              </w:rPr>
            </w:pPr>
            <w:r>
              <w:rPr>
                <w:b/>
                <w:noProof/>
                <w:sz w:val="20"/>
              </w:rPr>
              <w:t>0,118</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5627874C" w14:textId="77777777" w:rsidR="001B6AB1" w:rsidRPr="006918A0" w:rsidRDefault="001B6AB1" w:rsidP="00B330E1">
            <w:pPr>
              <w:spacing w:before="20" w:after="20" w:line="276" w:lineRule="auto"/>
              <w:jc w:val="right"/>
              <w:rPr>
                <w:b/>
                <w:bCs/>
                <w:noProof/>
                <w:sz w:val="20"/>
                <w:szCs w:val="20"/>
              </w:rPr>
            </w:pPr>
            <w:r>
              <w:rPr>
                <w:b/>
                <w:noProof/>
                <w:sz w:val="20"/>
              </w:rPr>
              <w:t>0,157</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457E5436" w14:textId="77777777" w:rsidR="001B6AB1" w:rsidRPr="006918A0" w:rsidRDefault="001B6AB1" w:rsidP="00B330E1">
            <w:pPr>
              <w:spacing w:before="20" w:after="20" w:line="276" w:lineRule="auto"/>
              <w:jc w:val="right"/>
              <w:rPr>
                <w:b/>
                <w:bCs/>
                <w:noProof/>
                <w:sz w:val="20"/>
                <w:szCs w:val="20"/>
              </w:rPr>
            </w:pPr>
            <w:r>
              <w:rPr>
                <w:b/>
                <w:noProof/>
                <w:sz w:val="20"/>
              </w:rPr>
              <w:t>0,157</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1A718126" w14:textId="77777777" w:rsidR="001B6AB1" w:rsidRPr="006918A0" w:rsidRDefault="001B6AB1" w:rsidP="00B330E1">
            <w:pPr>
              <w:spacing w:before="20" w:after="20" w:line="276" w:lineRule="auto"/>
              <w:jc w:val="right"/>
              <w:rPr>
                <w:b/>
                <w:bCs/>
                <w:noProof/>
                <w:sz w:val="20"/>
                <w:szCs w:val="20"/>
              </w:rPr>
            </w:pPr>
            <w:r>
              <w:rPr>
                <w:b/>
                <w:noProof/>
                <w:sz w:val="20"/>
              </w:rPr>
              <w:t>0,063</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0F744701" w14:textId="77777777" w:rsidR="001B6AB1" w:rsidRPr="006918A0" w:rsidRDefault="001B6AB1" w:rsidP="00B330E1">
            <w:pPr>
              <w:spacing w:before="60" w:after="60" w:line="200" w:lineRule="exact"/>
              <w:jc w:val="right"/>
              <w:rPr>
                <w:b/>
                <w:bCs/>
                <w:noProof/>
                <w:sz w:val="20"/>
                <w:szCs w:val="20"/>
              </w:rPr>
            </w:pPr>
            <w:r>
              <w:rPr>
                <w:b/>
                <w:noProof/>
                <w:sz w:val="20"/>
              </w:rPr>
              <w:t>0,016</w:t>
            </w:r>
          </w:p>
        </w:tc>
        <w:tc>
          <w:tcPr>
            <w:tcW w:w="1705" w:type="dxa"/>
            <w:tcBorders>
              <w:top w:val="single" w:sz="12" w:space="0" w:color="auto"/>
              <w:left w:val="single" w:sz="2" w:space="0" w:color="auto"/>
              <w:bottom w:val="single" w:sz="12" w:space="0" w:color="auto"/>
              <w:right w:val="single" w:sz="2" w:space="0" w:color="auto"/>
            </w:tcBorders>
            <w:vAlign w:val="center"/>
            <w:hideMark/>
          </w:tcPr>
          <w:p w14:paraId="7AD4ADAD" w14:textId="77777777" w:rsidR="001B6AB1" w:rsidRPr="006918A0" w:rsidRDefault="001B6AB1" w:rsidP="00B330E1">
            <w:pPr>
              <w:spacing w:before="60" w:after="60" w:line="200" w:lineRule="exact"/>
              <w:jc w:val="right"/>
              <w:rPr>
                <w:b/>
                <w:bCs/>
                <w:noProof/>
                <w:color w:val="000000"/>
                <w:sz w:val="20"/>
                <w:szCs w:val="20"/>
              </w:rPr>
            </w:pPr>
            <w:r>
              <w:rPr>
                <w:b/>
                <w:noProof/>
                <w:color w:val="000000"/>
                <w:sz w:val="20"/>
              </w:rPr>
              <w:t>0 511</w:t>
            </w:r>
          </w:p>
        </w:tc>
      </w:tr>
      <w:tr w:rsidR="001B6AB1" w:rsidRPr="006918A0" w14:paraId="069FB9D5" w14:textId="77777777" w:rsidTr="00B330E1">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14:paraId="485A83C8" w14:textId="77777777" w:rsidR="001B6AB1" w:rsidRPr="006918A0" w:rsidRDefault="001B6AB1" w:rsidP="00B330E1">
            <w:pPr>
              <w:spacing w:before="60" w:after="60" w:line="200" w:lineRule="exact"/>
              <w:jc w:val="center"/>
              <w:rPr>
                <w:b/>
                <w:noProof/>
                <w:sz w:val="16"/>
              </w:rPr>
            </w:pPr>
            <w:r>
              <w:rPr>
                <w:b/>
                <w:noProof/>
                <w:sz w:val="16"/>
              </w:rPr>
              <w:t xml:space="preserve">Muut hallintomenot </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537E63BA" w14:textId="77777777" w:rsidR="001B6AB1" w:rsidRPr="006918A0" w:rsidRDefault="001B6AB1" w:rsidP="00B330E1">
            <w:pPr>
              <w:spacing w:before="20" w:after="20" w:line="276" w:lineRule="auto"/>
              <w:jc w:val="right"/>
              <w:rPr>
                <w:b/>
                <w:bCs/>
                <w:noProof/>
                <w:sz w:val="20"/>
                <w:szCs w:val="20"/>
              </w:rPr>
            </w:pPr>
            <w:r>
              <w:rPr>
                <w:b/>
                <w:noProof/>
                <w:sz w:val="20"/>
              </w:rPr>
              <w:t>0,004</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32C4A8C5" w14:textId="77777777" w:rsidR="001B6AB1" w:rsidRPr="006918A0" w:rsidRDefault="001B6AB1" w:rsidP="00B330E1">
            <w:pPr>
              <w:spacing w:before="20" w:after="20" w:line="276" w:lineRule="auto"/>
              <w:jc w:val="right"/>
              <w:rPr>
                <w:b/>
                <w:bCs/>
                <w:noProof/>
                <w:sz w:val="20"/>
                <w:szCs w:val="20"/>
              </w:rPr>
            </w:pPr>
            <w:r>
              <w:rPr>
                <w:b/>
                <w:noProof/>
                <w:sz w:val="20"/>
              </w:rPr>
              <w:t>0,004</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3D8B4B02" w14:textId="77777777" w:rsidR="001B6AB1" w:rsidRPr="006918A0" w:rsidRDefault="001B6AB1" w:rsidP="00B330E1">
            <w:pPr>
              <w:spacing w:before="20" w:after="20" w:line="276" w:lineRule="auto"/>
              <w:jc w:val="right"/>
              <w:rPr>
                <w:b/>
                <w:bCs/>
                <w:noProof/>
                <w:sz w:val="20"/>
                <w:szCs w:val="20"/>
              </w:rPr>
            </w:pPr>
            <w:r>
              <w:rPr>
                <w:b/>
                <w:noProof/>
                <w:sz w:val="20"/>
              </w:rPr>
              <w:t>0,002</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23C96378" w14:textId="77777777" w:rsidR="001B6AB1" w:rsidRPr="006918A0" w:rsidRDefault="001B6AB1" w:rsidP="00B330E1">
            <w:pPr>
              <w:spacing w:before="20" w:after="20" w:line="276" w:lineRule="auto"/>
              <w:jc w:val="right"/>
              <w:rPr>
                <w:b/>
                <w:bCs/>
                <w:noProof/>
                <w:sz w:val="20"/>
                <w:szCs w:val="20"/>
              </w:rPr>
            </w:pPr>
            <w:r>
              <w:rPr>
                <w:b/>
                <w:noProof/>
                <w:sz w:val="20"/>
              </w:rPr>
              <w:t>0,002</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7FF9C0F7" w14:textId="77777777" w:rsidR="001B6AB1" w:rsidRPr="006918A0" w:rsidRDefault="001B6AB1" w:rsidP="00B330E1">
            <w:pPr>
              <w:spacing w:before="60" w:after="60" w:line="200" w:lineRule="exact"/>
              <w:jc w:val="right"/>
              <w:rPr>
                <w:b/>
                <w:bCs/>
                <w:noProof/>
                <w:sz w:val="20"/>
                <w:szCs w:val="20"/>
              </w:rPr>
            </w:pPr>
            <w:r>
              <w:rPr>
                <w:b/>
                <w:noProof/>
                <w:sz w:val="20"/>
              </w:rPr>
              <w:t>0,001</w:t>
            </w:r>
          </w:p>
        </w:tc>
        <w:tc>
          <w:tcPr>
            <w:tcW w:w="1705" w:type="dxa"/>
            <w:tcBorders>
              <w:top w:val="single" w:sz="12" w:space="0" w:color="auto"/>
              <w:left w:val="single" w:sz="2" w:space="0" w:color="auto"/>
              <w:bottom w:val="single" w:sz="12" w:space="0" w:color="auto"/>
              <w:right w:val="single" w:sz="2" w:space="0" w:color="auto"/>
            </w:tcBorders>
            <w:vAlign w:val="center"/>
            <w:hideMark/>
          </w:tcPr>
          <w:p w14:paraId="2B6CC3C9" w14:textId="77777777" w:rsidR="001B6AB1" w:rsidRPr="006918A0" w:rsidRDefault="001B6AB1" w:rsidP="00B330E1">
            <w:pPr>
              <w:spacing w:before="60" w:after="60" w:line="200" w:lineRule="exact"/>
              <w:jc w:val="right"/>
              <w:rPr>
                <w:b/>
                <w:bCs/>
                <w:noProof/>
                <w:color w:val="000000"/>
                <w:sz w:val="20"/>
                <w:szCs w:val="20"/>
              </w:rPr>
            </w:pPr>
            <w:r>
              <w:rPr>
                <w:b/>
                <w:noProof/>
                <w:color w:val="000000"/>
                <w:sz w:val="20"/>
              </w:rPr>
              <w:t>0 013</w:t>
            </w:r>
          </w:p>
        </w:tc>
      </w:tr>
      <w:tr w:rsidR="001B6AB1" w:rsidRPr="006918A0" w14:paraId="5CBA3538" w14:textId="77777777" w:rsidTr="00B330E1">
        <w:trPr>
          <w:trHeight w:val="585"/>
        </w:trPr>
        <w:tc>
          <w:tcPr>
            <w:tcW w:w="1980" w:type="dxa"/>
            <w:tcBorders>
              <w:top w:val="single" w:sz="12" w:space="0" w:color="auto"/>
              <w:left w:val="single" w:sz="12" w:space="0" w:color="auto"/>
              <w:bottom w:val="single" w:sz="12" w:space="0" w:color="auto"/>
              <w:right w:val="single" w:sz="2" w:space="0" w:color="auto"/>
            </w:tcBorders>
            <w:shd w:val="clear" w:color="auto" w:fill="CCCCCC"/>
            <w:vAlign w:val="center"/>
            <w:hideMark/>
          </w:tcPr>
          <w:p w14:paraId="38A8E29E" w14:textId="77777777" w:rsidR="001B6AB1" w:rsidRPr="006918A0" w:rsidRDefault="001B6AB1" w:rsidP="00B330E1">
            <w:pPr>
              <w:spacing w:before="60" w:after="60" w:line="200" w:lineRule="exact"/>
              <w:jc w:val="center"/>
              <w:rPr>
                <w:b/>
                <w:noProof/>
                <w:sz w:val="16"/>
              </w:rPr>
            </w:pPr>
            <w:r>
              <w:rPr>
                <w:b/>
                <w:noProof/>
                <w:sz w:val="16"/>
              </w:rPr>
              <w:t xml:space="preserve">Monivuotisen rahoituskehyksen OTSAKE 7, välisumma </w:t>
            </w:r>
          </w:p>
        </w:tc>
        <w:tc>
          <w:tcPr>
            <w:tcW w:w="1081" w:type="dxa"/>
            <w:tcBorders>
              <w:top w:val="single" w:sz="12" w:space="0" w:color="auto"/>
              <w:left w:val="single" w:sz="2" w:space="0" w:color="auto"/>
              <w:bottom w:val="single" w:sz="12" w:space="0" w:color="auto"/>
              <w:right w:val="single" w:sz="2" w:space="0" w:color="auto"/>
            </w:tcBorders>
            <w:vAlign w:val="center"/>
          </w:tcPr>
          <w:p w14:paraId="420A90C1" w14:textId="77777777" w:rsidR="001B6AB1" w:rsidRPr="006918A0" w:rsidRDefault="001B6AB1" w:rsidP="00B330E1">
            <w:pPr>
              <w:spacing w:before="20" w:after="20" w:line="276" w:lineRule="auto"/>
              <w:jc w:val="right"/>
              <w:rPr>
                <w:b/>
                <w:bCs/>
                <w:noProof/>
                <w:sz w:val="20"/>
                <w:szCs w:val="20"/>
              </w:rPr>
            </w:pPr>
          </w:p>
        </w:tc>
        <w:tc>
          <w:tcPr>
            <w:tcW w:w="1081" w:type="dxa"/>
            <w:tcBorders>
              <w:top w:val="single" w:sz="12" w:space="0" w:color="auto"/>
              <w:left w:val="single" w:sz="2" w:space="0" w:color="auto"/>
              <w:bottom w:val="single" w:sz="12" w:space="0" w:color="auto"/>
              <w:right w:val="single" w:sz="2" w:space="0" w:color="auto"/>
            </w:tcBorders>
            <w:vAlign w:val="center"/>
          </w:tcPr>
          <w:p w14:paraId="2A600F49" w14:textId="77777777" w:rsidR="001B6AB1" w:rsidRPr="006918A0" w:rsidRDefault="001B6AB1" w:rsidP="00B330E1">
            <w:pPr>
              <w:spacing w:before="20" w:after="20" w:line="276" w:lineRule="auto"/>
              <w:jc w:val="right"/>
              <w:rPr>
                <w:b/>
                <w:bCs/>
                <w:noProof/>
                <w:sz w:val="20"/>
                <w:szCs w:val="20"/>
              </w:rPr>
            </w:pPr>
          </w:p>
        </w:tc>
        <w:tc>
          <w:tcPr>
            <w:tcW w:w="1081" w:type="dxa"/>
            <w:tcBorders>
              <w:top w:val="single" w:sz="12" w:space="0" w:color="auto"/>
              <w:left w:val="single" w:sz="2" w:space="0" w:color="auto"/>
              <w:bottom w:val="single" w:sz="12" w:space="0" w:color="auto"/>
              <w:right w:val="single" w:sz="2" w:space="0" w:color="auto"/>
            </w:tcBorders>
            <w:vAlign w:val="center"/>
          </w:tcPr>
          <w:p w14:paraId="42372ED3" w14:textId="77777777" w:rsidR="001B6AB1" w:rsidRPr="006918A0" w:rsidRDefault="001B6AB1" w:rsidP="00B330E1">
            <w:pPr>
              <w:spacing w:before="20" w:after="20" w:line="276" w:lineRule="auto"/>
              <w:jc w:val="right"/>
              <w:rPr>
                <w:b/>
                <w:bCs/>
                <w:noProof/>
                <w:sz w:val="20"/>
                <w:szCs w:val="20"/>
              </w:rPr>
            </w:pPr>
          </w:p>
        </w:tc>
        <w:tc>
          <w:tcPr>
            <w:tcW w:w="1081" w:type="dxa"/>
            <w:tcBorders>
              <w:top w:val="single" w:sz="12" w:space="0" w:color="auto"/>
              <w:left w:val="single" w:sz="2" w:space="0" w:color="auto"/>
              <w:bottom w:val="single" w:sz="12" w:space="0" w:color="auto"/>
              <w:right w:val="single" w:sz="2" w:space="0" w:color="auto"/>
            </w:tcBorders>
            <w:vAlign w:val="center"/>
          </w:tcPr>
          <w:p w14:paraId="5A0C1D2F" w14:textId="77777777" w:rsidR="001B6AB1" w:rsidRPr="006918A0" w:rsidRDefault="001B6AB1" w:rsidP="00B330E1">
            <w:pPr>
              <w:spacing w:before="20" w:after="20" w:line="276" w:lineRule="auto"/>
              <w:jc w:val="right"/>
              <w:rPr>
                <w:b/>
                <w:bCs/>
                <w:noProof/>
                <w:sz w:val="20"/>
                <w:szCs w:val="20"/>
              </w:rPr>
            </w:pPr>
          </w:p>
        </w:tc>
        <w:tc>
          <w:tcPr>
            <w:tcW w:w="1081" w:type="dxa"/>
            <w:tcBorders>
              <w:top w:val="single" w:sz="12" w:space="0" w:color="auto"/>
              <w:left w:val="single" w:sz="2" w:space="0" w:color="auto"/>
              <w:bottom w:val="single" w:sz="12" w:space="0" w:color="auto"/>
              <w:right w:val="single" w:sz="2" w:space="0" w:color="auto"/>
            </w:tcBorders>
            <w:vAlign w:val="center"/>
          </w:tcPr>
          <w:p w14:paraId="1DC86752" w14:textId="77777777" w:rsidR="001B6AB1" w:rsidRPr="006918A0" w:rsidRDefault="001B6AB1" w:rsidP="00B330E1">
            <w:pPr>
              <w:spacing w:before="60" w:after="60" w:line="200" w:lineRule="exact"/>
              <w:jc w:val="right"/>
              <w:rPr>
                <w:b/>
                <w:bCs/>
                <w:noProof/>
                <w:sz w:val="20"/>
                <w:szCs w:val="20"/>
              </w:rPr>
            </w:pPr>
          </w:p>
        </w:tc>
        <w:tc>
          <w:tcPr>
            <w:tcW w:w="1705" w:type="dxa"/>
            <w:tcBorders>
              <w:top w:val="single" w:sz="12" w:space="0" w:color="auto"/>
              <w:left w:val="single" w:sz="2" w:space="0" w:color="auto"/>
              <w:bottom w:val="single" w:sz="12" w:space="0" w:color="auto"/>
              <w:right w:val="single" w:sz="2" w:space="0" w:color="auto"/>
            </w:tcBorders>
            <w:vAlign w:val="center"/>
          </w:tcPr>
          <w:p w14:paraId="2C308710" w14:textId="77777777" w:rsidR="001B6AB1" w:rsidRPr="006918A0" w:rsidRDefault="001B6AB1" w:rsidP="00B330E1">
            <w:pPr>
              <w:spacing w:before="60" w:after="60" w:line="200" w:lineRule="exact"/>
              <w:jc w:val="right"/>
              <w:rPr>
                <w:b/>
                <w:bCs/>
                <w:noProof/>
                <w:color w:val="000000"/>
                <w:sz w:val="20"/>
                <w:szCs w:val="20"/>
              </w:rPr>
            </w:pPr>
          </w:p>
        </w:tc>
      </w:tr>
      <w:tr w:rsidR="001B6AB1" w:rsidRPr="006918A0" w14:paraId="327DFF8D" w14:textId="77777777" w:rsidTr="00B330E1">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14:paraId="6E989F53" w14:textId="77777777" w:rsidR="001B6AB1" w:rsidRPr="006918A0" w:rsidRDefault="001B6AB1" w:rsidP="00B330E1">
            <w:pPr>
              <w:spacing w:before="60" w:after="60" w:line="200" w:lineRule="exact"/>
              <w:jc w:val="center"/>
              <w:rPr>
                <w:noProof/>
                <w:sz w:val="16"/>
                <w:szCs w:val="16"/>
              </w:rPr>
            </w:pPr>
            <w:r>
              <w:rPr>
                <w:b/>
                <w:noProof/>
                <w:sz w:val="16"/>
              </w:rPr>
              <w:t>YHTEENSÄ</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70252843" w14:textId="77777777" w:rsidR="001B6AB1" w:rsidRPr="006918A0" w:rsidRDefault="001B6AB1" w:rsidP="00B330E1">
            <w:pPr>
              <w:spacing w:before="20" w:after="20" w:line="276" w:lineRule="auto"/>
              <w:jc w:val="right"/>
              <w:rPr>
                <w:noProof/>
                <w:sz w:val="20"/>
              </w:rPr>
            </w:pPr>
            <w:r>
              <w:rPr>
                <w:b/>
                <w:noProof/>
                <w:sz w:val="20"/>
              </w:rPr>
              <w:t>0,122</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5C868EF2" w14:textId="77777777" w:rsidR="001B6AB1" w:rsidRPr="006918A0" w:rsidRDefault="001B6AB1" w:rsidP="00B330E1">
            <w:pPr>
              <w:spacing w:before="20" w:after="20" w:line="276" w:lineRule="auto"/>
              <w:jc w:val="right"/>
              <w:rPr>
                <w:noProof/>
                <w:sz w:val="20"/>
              </w:rPr>
            </w:pPr>
            <w:r>
              <w:rPr>
                <w:b/>
                <w:noProof/>
                <w:sz w:val="20"/>
              </w:rPr>
              <w:t>0,161</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3126B674" w14:textId="77777777" w:rsidR="001B6AB1" w:rsidRPr="006918A0" w:rsidRDefault="001B6AB1" w:rsidP="00B330E1">
            <w:pPr>
              <w:spacing w:before="20" w:after="20" w:line="276" w:lineRule="auto"/>
              <w:jc w:val="right"/>
              <w:rPr>
                <w:noProof/>
                <w:sz w:val="20"/>
              </w:rPr>
            </w:pPr>
            <w:r>
              <w:rPr>
                <w:b/>
                <w:noProof/>
                <w:sz w:val="20"/>
              </w:rPr>
              <w:t>0,159</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35324021" w14:textId="77777777" w:rsidR="001B6AB1" w:rsidRPr="006918A0" w:rsidRDefault="001B6AB1" w:rsidP="00B330E1">
            <w:pPr>
              <w:spacing w:before="20" w:after="20" w:line="276" w:lineRule="auto"/>
              <w:jc w:val="right"/>
              <w:rPr>
                <w:noProof/>
                <w:sz w:val="20"/>
              </w:rPr>
            </w:pPr>
            <w:r>
              <w:rPr>
                <w:b/>
                <w:noProof/>
                <w:sz w:val="20"/>
              </w:rPr>
              <w:t>0,065</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63D31079" w14:textId="77777777" w:rsidR="001B6AB1" w:rsidRPr="006918A0" w:rsidRDefault="001B6AB1" w:rsidP="00B330E1">
            <w:pPr>
              <w:spacing w:before="60" w:after="60" w:line="200" w:lineRule="exact"/>
              <w:jc w:val="right"/>
              <w:rPr>
                <w:noProof/>
                <w:sz w:val="16"/>
                <w:szCs w:val="16"/>
              </w:rPr>
            </w:pPr>
            <w:r>
              <w:rPr>
                <w:b/>
                <w:noProof/>
                <w:sz w:val="20"/>
              </w:rPr>
              <w:t>0,017</w:t>
            </w:r>
          </w:p>
        </w:tc>
        <w:tc>
          <w:tcPr>
            <w:tcW w:w="1705" w:type="dxa"/>
            <w:tcBorders>
              <w:top w:val="single" w:sz="12" w:space="0" w:color="auto"/>
              <w:left w:val="single" w:sz="2" w:space="0" w:color="auto"/>
              <w:bottom w:val="single" w:sz="12" w:space="0" w:color="auto"/>
              <w:right w:val="single" w:sz="2" w:space="0" w:color="auto"/>
            </w:tcBorders>
            <w:vAlign w:val="center"/>
            <w:hideMark/>
          </w:tcPr>
          <w:p w14:paraId="332BCDAC" w14:textId="77777777" w:rsidR="001B6AB1" w:rsidRPr="006918A0" w:rsidRDefault="001B6AB1" w:rsidP="00B330E1">
            <w:pPr>
              <w:spacing w:before="60" w:after="60" w:line="200" w:lineRule="exact"/>
              <w:jc w:val="right"/>
              <w:rPr>
                <w:b/>
                <w:noProof/>
                <w:sz w:val="18"/>
                <w:szCs w:val="18"/>
              </w:rPr>
            </w:pPr>
            <w:r>
              <w:rPr>
                <w:b/>
                <w:noProof/>
                <w:color w:val="000000"/>
                <w:sz w:val="20"/>
              </w:rPr>
              <w:t>0,524</w:t>
            </w:r>
          </w:p>
        </w:tc>
      </w:tr>
    </w:tbl>
    <w:p w14:paraId="26C18350" w14:textId="77777777" w:rsidR="001B6AB1" w:rsidRPr="006918A0" w:rsidRDefault="001B6AB1" w:rsidP="001B6AB1">
      <w:pPr>
        <w:rPr>
          <w:noProof/>
          <w:sz w:val="18"/>
        </w:rPr>
      </w:pPr>
    </w:p>
    <w:p w14:paraId="68D76BA7" w14:textId="77777777" w:rsidR="001B6AB1" w:rsidRPr="006918A0" w:rsidRDefault="001B6AB1" w:rsidP="001B6AB1">
      <w:pPr>
        <w:rPr>
          <w:noProof/>
          <w:sz w:val="18"/>
        </w:rPr>
      </w:pPr>
    </w:p>
    <w:tbl>
      <w:tblPr>
        <w:tblW w:w="951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1"/>
        <w:gridCol w:w="1080"/>
        <w:gridCol w:w="1080"/>
        <w:gridCol w:w="1080"/>
        <w:gridCol w:w="1080"/>
        <w:gridCol w:w="1080"/>
        <w:gridCol w:w="2129"/>
      </w:tblGrid>
      <w:tr w:rsidR="001B6AB1" w:rsidRPr="006918A0" w14:paraId="18419A1A" w14:textId="77777777" w:rsidTr="00B330E1">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14:paraId="2B49CC79" w14:textId="77777777" w:rsidR="001B6AB1" w:rsidRPr="006918A0" w:rsidRDefault="001B6AB1" w:rsidP="00B330E1">
            <w:pPr>
              <w:spacing w:before="60" w:after="60" w:line="200" w:lineRule="exact"/>
              <w:jc w:val="center"/>
              <w:rPr>
                <w:noProof/>
                <w:sz w:val="16"/>
                <w:szCs w:val="16"/>
              </w:rPr>
            </w:pPr>
            <w:r>
              <w:rPr>
                <w:b/>
                <w:noProof/>
                <w:sz w:val="16"/>
              </w:rPr>
              <w:t>Monivuotisen rahoituskehyksen OTSAKKEESEEN 7 sisältymättömät</w:t>
            </w:r>
            <w:r>
              <w:rPr>
                <w:rStyle w:val="FootnoteReference"/>
                <w:noProof/>
              </w:rPr>
              <w:footnoteReference w:id="54"/>
            </w:r>
            <w:r>
              <w:rPr>
                <w:b/>
                <w:noProof/>
                <w:sz w:val="16"/>
              </w:rPr>
              <w:t xml:space="preserve"> </w:t>
            </w:r>
          </w:p>
          <w:p w14:paraId="4935F986" w14:textId="77777777" w:rsidR="001B6AB1" w:rsidRPr="006918A0" w:rsidRDefault="001B6AB1" w:rsidP="00B330E1">
            <w:pPr>
              <w:spacing w:before="0" w:after="0" w:line="200" w:lineRule="exact"/>
              <w:jc w:val="center"/>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6B27308" w14:textId="77777777" w:rsidR="001B6AB1" w:rsidRPr="006918A0" w:rsidRDefault="001B6AB1" w:rsidP="00B330E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76F3BC37" w14:textId="77777777" w:rsidR="001B6AB1" w:rsidRPr="006918A0" w:rsidRDefault="001B6AB1" w:rsidP="00B330E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7F8880AA" w14:textId="77777777" w:rsidR="001B6AB1" w:rsidRPr="006918A0" w:rsidRDefault="001B6AB1" w:rsidP="00B330E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2BCEF2C" w14:textId="77777777" w:rsidR="001B6AB1" w:rsidRPr="006918A0" w:rsidRDefault="001B6AB1" w:rsidP="00B330E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153036BD" w14:textId="77777777" w:rsidR="001B6AB1" w:rsidRPr="006918A0" w:rsidRDefault="001B6AB1" w:rsidP="00B330E1">
            <w:pPr>
              <w:spacing w:before="60" w:after="60" w:line="200" w:lineRule="exact"/>
              <w:jc w:val="right"/>
              <w:rPr>
                <w:noProof/>
                <w:sz w:val="16"/>
                <w:szCs w:val="16"/>
              </w:rPr>
            </w:pPr>
          </w:p>
        </w:tc>
        <w:tc>
          <w:tcPr>
            <w:tcW w:w="2129" w:type="dxa"/>
            <w:tcBorders>
              <w:top w:val="single" w:sz="2" w:space="0" w:color="auto"/>
              <w:left w:val="single" w:sz="2" w:space="0" w:color="auto"/>
              <w:bottom w:val="single" w:sz="2" w:space="0" w:color="auto"/>
              <w:right w:val="single" w:sz="2" w:space="0" w:color="auto"/>
            </w:tcBorders>
            <w:vAlign w:val="center"/>
          </w:tcPr>
          <w:p w14:paraId="75B0BCA2" w14:textId="77777777" w:rsidR="001B6AB1" w:rsidRPr="006918A0" w:rsidRDefault="001B6AB1" w:rsidP="00B330E1">
            <w:pPr>
              <w:spacing w:before="60" w:after="60" w:line="200" w:lineRule="exact"/>
              <w:jc w:val="right"/>
              <w:rPr>
                <w:b/>
                <w:noProof/>
                <w:sz w:val="16"/>
                <w:szCs w:val="16"/>
              </w:rPr>
            </w:pPr>
          </w:p>
        </w:tc>
      </w:tr>
      <w:tr w:rsidR="001B6AB1" w:rsidRPr="006918A0" w14:paraId="00AC880B" w14:textId="77777777" w:rsidTr="00B330E1">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14:paraId="27C185AE" w14:textId="77777777" w:rsidR="001B6AB1" w:rsidRPr="006918A0" w:rsidRDefault="001B6AB1" w:rsidP="00B330E1">
            <w:pPr>
              <w:spacing w:before="60" w:after="60" w:line="200" w:lineRule="exact"/>
              <w:ind w:left="72"/>
              <w:jc w:val="left"/>
              <w:rPr>
                <w:noProof/>
                <w:sz w:val="16"/>
                <w:szCs w:val="16"/>
              </w:rPr>
            </w:pPr>
            <w:r>
              <w:rPr>
                <w:noProof/>
                <w:sz w:val="16"/>
              </w:rPr>
              <w:t xml:space="preserve">Henkilöresurssit </w:t>
            </w:r>
          </w:p>
        </w:tc>
        <w:tc>
          <w:tcPr>
            <w:tcW w:w="1080" w:type="dxa"/>
            <w:tcBorders>
              <w:top w:val="single" w:sz="2" w:space="0" w:color="auto"/>
              <w:left w:val="single" w:sz="2" w:space="0" w:color="auto"/>
              <w:bottom w:val="single" w:sz="2" w:space="0" w:color="auto"/>
              <w:right w:val="single" w:sz="2" w:space="0" w:color="auto"/>
            </w:tcBorders>
            <w:vAlign w:val="center"/>
          </w:tcPr>
          <w:p w14:paraId="46321A75" w14:textId="77777777" w:rsidR="001B6AB1" w:rsidRPr="006918A0" w:rsidRDefault="001B6AB1" w:rsidP="00B330E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0B2DE7D4" w14:textId="77777777" w:rsidR="001B6AB1" w:rsidRPr="006918A0" w:rsidRDefault="001B6AB1" w:rsidP="00B330E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7B236403" w14:textId="77777777" w:rsidR="001B6AB1" w:rsidRPr="006918A0" w:rsidRDefault="001B6AB1" w:rsidP="00B330E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17C0C98B" w14:textId="77777777" w:rsidR="001B6AB1" w:rsidRPr="006918A0" w:rsidRDefault="001B6AB1" w:rsidP="00B330E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5A00961D" w14:textId="77777777" w:rsidR="001B6AB1" w:rsidRPr="006918A0" w:rsidRDefault="001B6AB1" w:rsidP="00B330E1">
            <w:pPr>
              <w:spacing w:before="60" w:after="60" w:line="200" w:lineRule="exact"/>
              <w:jc w:val="right"/>
              <w:rPr>
                <w:noProof/>
                <w:sz w:val="16"/>
                <w:szCs w:val="16"/>
              </w:rPr>
            </w:pPr>
          </w:p>
        </w:tc>
        <w:tc>
          <w:tcPr>
            <w:tcW w:w="2129" w:type="dxa"/>
            <w:tcBorders>
              <w:top w:val="single" w:sz="2" w:space="0" w:color="auto"/>
              <w:left w:val="single" w:sz="2" w:space="0" w:color="auto"/>
              <w:bottom w:val="single" w:sz="2" w:space="0" w:color="auto"/>
              <w:right w:val="single" w:sz="2" w:space="0" w:color="auto"/>
            </w:tcBorders>
            <w:vAlign w:val="center"/>
          </w:tcPr>
          <w:p w14:paraId="638BAE59" w14:textId="77777777" w:rsidR="001B6AB1" w:rsidRPr="006918A0" w:rsidRDefault="001B6AB1" w:rsidP="00B330E1">
            <w:pPr>
              <w:spacing w:before="60" w:after="60" w:line="200" w:lineRule="exact"/>
              <w:jc w:val="right"/>
              <w:rPr>
                <w:b/>
                <w:noProof/>
                <w:sz w:val="16"/>
                <w:szCs w:val="16"/>
              </w:rPr>
            </w:pPr>
          </w:p>
        </w:tc>
      </w:tr>
      <w:tr w:rsidR="001B6AB1" w:rsidRPr="006918A0" w14:paraId="0A893C96" w14:textId="77777777" w:rsidTr="00B330E1">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14:paraId="75EBBD33" w14:textId="77777777" w:rsidR="001B6AB1" w:rsidRPr="006918A0" w:rsidRDefault="001B6AB1" w:rsidP="00B330E1">
            <w:pPr>
              <w:spacing w:before="60" w:after="60" w:line="200" w:lineRule="exact"/>
              <w:ind w:left="72"/>
              <w:jc w:val="left"/>
              <w:rPr>
                <w:noProof/>
                <w:sz w:val="16"/>
                <w:szCs w:val="16"/>
              </w:rPr>
            </w:pPr>
            <w:r>
              <w:rPr>
                <w:noProof/>
                <w:sz w:val="16"/>
              </w:rPr>
              <w:t>Muut hallintomenot</w:t>
            </w:r>
          </w:p>
        </w:tc>
        <w:tc>
          <w:tcPr>
            <w:tcW w:w="1080" w:type="dxa"/>
            <w:tcBorders>
              <w:top w:val="single" w:sz="2" w:space="0" w:color="auto"/>
              <w:left w:val="single" w:sz="2" w:space="0" w:color="auto"/>
              <w:bottom w:val="single" w:sz="2" w:space="0" w:color="auto"/>
              <w:right w:val="single" w:sz="2" w:space="0" w:color="auto"/>
            </w:tcBorders>
            <w:vAlign w:val="center"/>
          </w:tcPr>
          <w:p w14:paraId="6FC63800" w14:textId="77777777" w:rsidR="001B6AB1" w:rsidRPr="006918A0" w:rsidRDefault="001B6AB1" w:rsidP="00B330E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25F41BA" w14:textId="77777777" w:rsidR="001B6AB1" w:rsidRPr="006918A0" w:rsidRDefault="001B6AB1" w:rsidP="00B330E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B693B70" w14:textId="77777777" w:rsidR="001B6AB1" w:rsidRPr="006918A0" w:rsidRDefault="001B6AB1" w:rsidP="00B330E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F19FA60" w14:textId="77777777" w:rsidR="001B6AB1" w:rsidRPr="006918A0" w:rsidRDefault="001B6AB1" w:rsidP="00B330E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2A701AD" w14:textId="77777777" w:rsidR="001B6AB1" w:rsidRPr="006918A0" w:rsidRDefault="001B6AB1" w:rsidP="00B330E1">
            <w:pPr>
              <w:spacing w:before="60" w:after="60" w:line="200" w:lineRule="exact"/>
              <w:jc w:val="right"/>
              <w:rPr>
                <w:noProof/>
                <w:sz w:val="16"/>
                <w:szCs w:val="16"/>
              </w:rPr>
            </w:pPr>
          </w:p>
        </w:tc>
        <w:tc>
          <w:tcPr>
            <w:tcW w:w="2129" w:type="dxa"/>
            <w:tcBorders>
              <w:top w:val="single" w:sz="2" w:space="0" w:color="auto"/>
              <w:left w:val="single" w:sz="2" w:space="0" w:color="auto"/>
              <w:bottom w:val="single" w:sz="2" w:space="0" w:color="auto"/>
              <w:right w:val="single" w:sz="2" w:space="0" w:color="auto"/>
            </w:tcBorders>
            <w:vAlign w:val="center"/>
          </w:tcPr>
          <w:p w14:paraId="4BF82AA8" w14:textId="77777777" w:rsidR="001B6AB1" w:rsidRPr="006918A0" w:rsidRDefault="001B6AB1" w:rsidP="00B330E1">
            <w:pPr>
              <w:spacing w:before="60" w:after="60" w:line="200" w:lineRule="exact"/>
              <w:jc w:val="right"/>
              <w:rPr>
                <w:b/>
                <w:noProof/>
                <w:sz w:val="16"/>
                <w:szCs w:val="16"/>
              </w:rPr>
            </w:pPr>
          </w:p>
        </w:tc>
      </w:tr>
      <w:tr w:rsidR="001B6AB1" w:rsidRPr="006918A0" w14:paraId="1EE189D4" w14:textId="77777777" w:rsidTr="00B330E1">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14:paraId="4DE5F9E4" w14:textId="77777777" w:rsidR="001B6AB1" w:rsidRPr="006918A0" w:rsidRDefault="001B6AB1" w:rsidP="00B330E1">
            <w:pPr>
              <w:spacing w:before="60" w:after="60" w:line="200" w:lineRule="exact"/>
              <w:jc w:val="center"/>
              <w:rPr>
                <w:b/>
                <w:noProof/>
                <w:sz w:val="16"/>
                <w:szCs w:val="16"/>
              </w:rPr>
            </w:pPr>
            <w:r>
              <w:rPr>
                <w:b/>
                <w:noProof/>
                <w:sz w:val="16"/>
              </w:rPr>
              <w:t xml:space="preserve">Monivuotisen rahoituskehyksen OTSAKKEESEEN 7 sisältymättömät, välisumma </w:t>
            </w:r>
          </w:p>
        </w:tc>
        <w:tc>
          <w:tcPr>
            <w:tcW w:w="1080" w:type="dxa"/>
            <w:tcBorders>
              <w:top w:val="single" w:sz="2" w:space="0" w:color="auto"/>
              <w:left w:val="single" w:sz="2" w:space="0" w:color="auto"/>
              <w:bottom w:val="single" w:sz="2" w:space="0" w:color="auto"/>
              <w:right w:val="single" w:sz="2" w:space="0" w:color="auto"/>
            </w:tcBorders>
            <w:vAlign w:val="center"/>
          </w:tcPr>
          <w:p w14:paraId="0AB090E6" w14:textId="77777777" w:rsidR="001B6AB1" w:rsidRPr="006918A0" w:rsidRDefault="001B6AB1" w:rsidP="00B330E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2B37EB4" w14:textId="77777777" w:rsidR="001B6AB1" w:rsidRPr="006918A0" w:rsidRDefault="001B6AB1" w:rsidP="00B330E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B108D3E" w14:textId="77777777" w:rsidR="001B6AB1" w:rsidRPr="006918A0" w:rsidRDefault="001B6AB1" w:rsidP="00B330E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50752CC" w14:textId="77777777" w:rsidR="001B6AB1" w:rsidRPr="006918A0" w:rsidRDefault="001B6AB1" w:rsidP="00B330E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75003CB0" w14:textId="77777777" w:rsidR="001B6AB1" w:rsidRPr="006918A0" w:rsidRDefault="001B6AB1" w:rsidP="00B330E1">
            <w:pPr>
              <w:spacing w:before="60" w:after="60" w:line="200" w:lineRule="exact"/>
              <w:jc w:val="right"/>
              <w:rPr>
                <w:noProof/>
                <w:sz w:val="16"/>
                <w:szCs w:val="16"/>
              </w:rPr>
            </w:pPr>
          </w:p>
        </w:tc>
        <w:tc>
          <w:tcPr>
            <w:tcW w:w="2129" w:type="dxa"/>
            <w:tcBorders>
              <w:top w:val="single" w:sz="2" w:space="0" w:color="auto"/>
              <w:left w:val="single" w:sz="2" w:space="0" w:color="auto"/>
              <w:bottom w:val="single" w:sz="2" w:space="0" w:color="auto"/>
              <w:right w:val="single" w:sz="2" w:space="0" w:color="auto"/>
            </w:tcBorders>
            <w:vAlign w:val="center"/>
          </w:tcPr>
          <w:p w14:paraId="25253150" w14:textId="77777777" w:rsidR="001B6AB1" w:rsidRPr="006918A0" w:rsidRDefault="001B6AB1" w:rsidP="00B330E1">
            <w:pPr>
              <w:spacing w:before="60" w:after="60" w:line="200" w:lineRule="exact"/>
              <w:jc w:val="right"/>
              <w:rPr>
                <w:b/>
                <w:noProof/>
                <w:sz w:val="16"/>
                <w:szCs w:val="16"/>
              </w:rPr>
            </w:pPr>
          </w:p>
        </w:tc>
      </w:tr>
    </w:tbl>
    <w:p w14:paraId="4D715398" w14:textId="77777777" w:rsidR="001B6AB1" w:rsidRPr="006918A0" w:rsidRDefault="001B6AB1" w:rsidP="001B6AB1">
      <w:pPr>
        <w:rPr>
          <w:noProof/>
          <w:sz w:val="18"/>
        </w:rPr>
      </w:pPr>
    </w:p>
    <w:p w14:paraId="0FA0D64C" w14:textId="77777777" w:rsidR="001B6AB1" w:rsidRPr="006918A0" w:rsidRDefault="001B6AB1" w:rsidP="001B6AB1">
      <w:pPr>
        <w:rPr>
          <w:noProof/>
          <w:sz w:val="18"/>
        </w:rPr>
      </w:pPr>
    </w:p>
    <w:tbl>
      <w:tblPr>
        <w:tblW w:w="9510" w:type="dxa"/>
        <w:tblInd w:w="-612" w:type="dxa"/>
        <w:tblLayout w:type="fixed"/>
        <w:tblLook w:val="01E0" w:firstRow="1" w:lastRow="1" w:firstColumn="1" w:lastColumn="1" w:noHBand="0" w:noVBand="0"/>
      </w:tblPr>
      <w:tblGrid>
        <w:gridCol w:w="1981"/>
        <w:gridCol w:w="1080"/>
        <w:gridCol w:w="1080"/>
        <w:gridCol w:w="1080"/>
        <w:gridCol w:w="1080"/>
        <w:gridCol w:w="1080"/>
        <w:gridCol w:w="2129"/>
      </w:tblGrid>
      <w:tr w:rsidR="001B6AB1" w:rsidRPr="006918A0" w14:paraId="5E21AB51" w14:textId="77777777" w:rsidTr="00B330E1">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14:paraId="2849E08D" w14:textId="77777777" w:rsidR="001B6AB1" w:rsidRPr="006918A0" w:rsidRDefault="001B6AB1" w:rsidP="00B330E1">
            <w:pPr>
              <w:spacing w:before="60" w:after="60" w:line="200" w:lineRule="exact"/>
              <w:jc w:val="center"/>
              <w:rPr>
                <w:noProof/>
                <w:sz w:val="16"/>
                <w:szCs w:val="16"/>
              </w:rPr>
            </w:pPr>
            <w:r>
              <w:rPr>
                <w:b/>
                <w:noProof/>
                <w:sz w:val="16"/>
              </w:rPr>
              <w:t>YHTEENSÄ</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35384AE1" w14:textId="77777777" w:rsidR="001B6AB1" w:rsidRPr="006918A0" w:rsidRDefault="001B6AB1" w:rsidP="00B330E1">
            <w:pPr>
              <w:spacing w:before="60" w:after="60" w:line="200" w:lineRule="exact"/>
              <w:jc w:val="right"/>
              <w:rPr>
                <w:b/>
                <w:noProof/>
                <w:sz w:val="16"/>
                <w:szCs w:val="16"/>
              </w:rPr>
            </w:pPr>
            <w:r>
              <w:rPr>
                <w:noProof/>
                <w:sz w:val="20"/>
              </w:rPr>
              <w:t>0,122</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4B9D626B" w14:textId="77777777" w:rsidR="001B6AB1" w:rsidRPr="006918A0" w:rsidRDefault="001B6AB1" w:rsidP="00B330E1">
            <w:pPr>
              <w:spacing w:before="60" w:after="60" w:line="200" w:lineRule="exact"/>
              <w:jc w:val="right"/>
              <w:rPr>
                <w:b/>
                <w:noProof/>
                <w:sz w:val="16"/>
                <w:szCs w:val="16"/>
              </w:rPr>
            </w:pPr>
            <w:r>
              <w:rPr>
                <w:noProof/>
                <w:sz w:val="20"/>
              </w:rPr>
              <w:t>0,161</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6FD5840D" w14:textId="77777777" w:rsidR="001B6AB1" w:rsidRPr="006918A0" w:rsidRDefault="001B6AB1" w:rsidP="00B330E1">
            <w:pPr>
              <w:spacing w:before="60" w:after="60" w:line="200" w:lineRule="exact"/>
              <w:jc w:val="right"/>
              <w:rPr>
                <w:b/>
                <w:noProof/>
                <w:sz w:val="16"/>
                <w:szCs w:val="16"/>
              </w:rPr>
            </w:pPr>
            <w:r>
              <w:rPr>
                <w:noProof/>
                <w:sz w:val="20"/>
              </w:rPr>
              <w:t>0,159</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6D37D71D" w14:textId="77777777" w:rsidR="001B6AB1" w:rsidRPr="006918A0" w:rsidRDefault="001B6AB1" w:rsidP="00B330E1">
            <w:pPr>
              <w:spacing w:before="60" w:after="60" w:line="200" w:lineRule="exact"/>
              <w:jc w:val="right"/>
              <w:rPr>
                <w:b/>
                <w:noProof/>
                <w:sz w:val="16"/>
                <w:szCs w:val="16"/>
              </w:rPr>
            </w:pPr>
            <w:r>
              <w:rPr>
                <w:noProof/>
                <w:sz w:val="20"/>
              </w:rPr>
              <w:t>0,065</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12445F0F" w14:textId="77777777" w:rsidR="001B6AB1" w:rsidRPr="006918A0" w:rsidRDefault="001B6AB1" w:rsidP="00B330E1">
            <w:pPr>
              <w:spacing w:before="60" w:after="60" w:line="200" w:lineRule="exact"/>
              <w:jc w:val="right"/>
              <w:rPr>
                <w:b/>
                <w:noProof/>
                <w:sz w:val="16"/>
                <w:szCs w:val="16"/>
              </w:rPr>
            </w:pPr>
            <w:r>
              <w:rPr>
                <w:noProof/>
                <w:sz w:val="20"/>
              </w:rPr>
              <w:t>0,017</w:t>
            </w:r>
          </w:p>
        </w:tc>
        <w:tc>
          <w:tcPr>
            <w:tcW w:w="2129" w:type="dxa"/>
            <w:tcBorders>
              <w:top w:val="single" w:sz="12" w:space="0" w:color="auto"/>
              <w:left w:val="single" w:sz="2" w:space="0" w:color="auto"/>
              <w:bottom w:val="single" w:sz="12" w:space="0" w:color="auto"/>
              <w:right w:val="single" w:sz="12" w:space="0" w:color="auto"/>
            </w:tcBorders>
            <w:vAlign w:val="center"/>
            <w:hideMark/>
          </w:tcPr>
          <w:p w14:paraId="63FF8F19" w14:textId="77777777" w:rsidR="001B6AB1" w:rsidRPr="006918A0" w:rsidRDefault="001B6AB1" w:rsidP="00B330E1">
            <w:pPr>
              <w:spacing w:before="60" w:after="60" w:line="200" w:lineRule="exact"/>
              <w:jc w:val="right"/>
              <w:rPr>
                <w:b/>
                <w:noProof/>
                <w:sz w:val="16"/>
                <w:szCs w:val="16"/>
              </w:rPr>
            </w:pPr>
            <w:r>
              <w:rPr>
                <w:b/>
                <w:noProof/>
                <w:color w:val="000000"/>
                <w:sz w:val="20"/>
              </w:rPr>
              <w:t>0,524</w:t>
            </w:r>
          </w:p>
        </w:tc>
      </w:tr>
    </w:tbl>
    <w:p w14:paraId="4CB61838" w14:textId="77777777" w:rsidR="001B6AB1" w:rsidRPr="006918A0" w:rsidRDefault="001B6AB1" w:rsidP="001B6AB1">
      <w:pPr>
        <w:rPr>
          <w:noProof/>
          <w:sz w:val="18"/>
        </w:rPr>
      </w:pPr>
    </w:p>
    <w:p w14:paraId="00CBF55D" w14:textId="77777777" w:rsidR="001B6AB1" w:rsidRPr="006918A0" w:rsidRDefault="001B6AB1" w:rsidP="001B6AB1">
      <w:pPr>
        <w:rPr>
          <w:noProof/>
          <w:sz w:val="18"/>
        </w:rPr>
      </w:pPr>
      <w:r>
        <w:rPr>
          <w:noProof/>
          <w:sz w:val="18"/>
        </w:rPr>
        <w:t>Henkilöresursseja ja muita hallintomenoja koskeva määrärahatarve katetaan toimen hallinnointiin jo osoitetuilla pääosaston määrärahoilla ja/tai pääosastossa toteutettujen uudelleenjärjestelyjen tuloksena saaduilla määrärahoilla sekä tarvittaessa sellaisilla lisäresursseilla, jotka toimea hallinnoiva pääosasto voi saada käyttöönsä vuotuisessa määrärahojen jakomenettelyssä talousarvion puitteissa.</w:t>
      </w:r>
    </w:p>
    <w:p w14:paraId="2B909C2C" w14:textId="77777777" w:rsidR="001B6AB1" w:rsidRPr="006918A0" w:rsidRDefault="001B6AB1" w:rsidP="001B6AB1">
      <w:pPr>
        <w:spacing w:before="0" w:after="0"/>
        <w:jc w:val="left"/>
        <w:rPr>
          <w:noProof/>
          <w:sz w:val="18"/>
        </w:rPr>
        <w:sectPr w:rsidR="001B6AB1" w:rsidRPr="006918A0" w:rsidSect="00811919">
          <w:headerReference w:type="default" r:id="rId22"/>
          <w:footerReference w:type="default" r:id="rId23"/>
          <w:headerReference w:type="first" r:id="rId24"/>
          <w:footerReference w:type="first" r:id="rId25"/>
          <w:pgSz w:w="11907" w:h="16840"/>
          <w:pgMar w:top="1134" w:right="1418" w:bottom="1134" w:left="1418" w:header="709" w:footer="709" w:gutter="0"/>
          <w:cols w:space="720"/>
          <w:docGrid w:linePitch="326"/>
        </w:sectPr>
      </w:pPr>
    </w:p>
    <w:p w14:paraId="65C3FDFA" w14:textId="77777777" w:rsidR="001B6AB1" w:rsidRPr="006918A0" w:rsidRDefault="001B6AB1" w:rsidP="001B6AB1">
      <w:pPr>
        <w:pStyle w:val="ManualHeading4"/>
        <w:rPr>
          <w:noProof/>
          <w:szCs w:val="24"/>
        </w:rPr>
      </w:pPr>
      <w:r>
        <w:rPr>
          <w:noProof/>
        </w:rPr>
        <w:tab/>
        <w:t>3.2.3.1 Henkilöresurssien arvioitu tarve</w:t>
      </w:r>
    </w:p>
    <w:p w14:paraId="2AF35BCA" w14:textId="77777777" w:rsidR="001B6AB1" w:rsidRPr="006918A0" w:rsidRDefault="001B6AB1" w:rsidP="001B6AB1">
      <w:pPr>
        <w:tabs>
          <w:tab w:val="num" w:pos="1134"/>
        </w:tabs>
        <w:ind w:left="1134" w:hanging="283"/>
        <w:rPr>
          <w:rFonts w:eastAsia="Times New Roman"/>
          <w:noProof/>
        </w:rPr>
      </w:pPr>
      <w:r>
        <w:rPr>
          <w:rFonts w:ascii="Wingdings" w:hAnsi="Wingdings"/>
          <w:noProof/>
        </w:rPr>
        <w:t></w:t>
      </w:r>
      <w:r>
        <w:rPr>
          <w:noProof/>
        </w:rPr>
        <w:tab/>
        <w:t xml:space="preserve">Ehdotus/aloite ei edellytä henkilöresursseja. </w:t>
      </w:r>
    </w:p>
    <w:p w14:paraId="55152F32" w14:textId="77777777" w:rsidR="001B6AB1" w:rsidRPr="006918A0" w:rsidRDefault="001B6AB1" w:rsidP="001B6AB1">
      <w:pPr>
        <w:tabs>
          <w:tab w:val="num" w:pos="1134"/>
        </w:tabs>
        <w:ind w:left="1134" w:hanging="283"/>
        <w:rPr>
          <w:rFonts w:eastAsia="Times New Roman"/>
          <w:noProof/>
        </w:rPr>
      </w:pPr>
      <w:r>
        <w:rPr>
          <w:rFonts w:ascii="Wingdings" w:hAnsi="Wingdings"/>
          <w:noProof/>
        </w:rPr>
        <w:t></w:t>
      </w:r>
      <w:r>
        <w:rPr>
          <w:noProof/>
        </w:rPr>
        <w:tab/>
        <w:t>Ehdotus/aloite edellyttää henkilöresursseja seuraavasti:</w:t>
      </w:r>
    </w:p>
    <w:p w14:paraId="28C070B3" w14:textId="77777777" w:rsidR="001B6AB1" w:rsidRPr="006918A0" w:rsidRDefault="001B6AB1" w:rsidP="001B6AB1">
      <w:pPr>
        <w:tabs>
          <w:tab w:val="left" w:pos="720"/>
        </w:tabs>
        <w:ind w:left="1134" w:hanging="283"/>
        <w:rPr>
          <w:rFonts w:eastAsia="Times New Roman"/>
          <w:noProof/>
          <w:lang w:eastAsia="de-DE"/>
        </w:rPr>
      </w:pPr>
    </w:p>
    <w:tbl>
      <w:tblPr>
        <w:tblW w:w="98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4"/>
        <w:gridCol w:w="2376"/>
        <w:gridCol w:w="2378"/>
        <w:gridCol w:w="731"/>
        <w:gridCol w:w="731"/>
        <w:gridCol w:w="731"/>
        <w:gridCol w:w="731"/>
        <w:gridCol w:w="731"/>
        <w:gridCol w:w="1462"/>
      </w:tblGrid>
      <w:tr w:rsidR="001B6AB1" w:rsidRPr="006918A0" w14:paraId="464B3AF7" w14:textId="77777777" w:rsidTr="00B330E1">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tcPr>
          <w:p w14:paraId="79B04D34" w14:textId="77777777" w:rsidR="001B6AB1" w:rsidRPr="006918A0" w:rsidRDefault="001B6AB1" w:rsidP="00B330E1">
            <w:pPr>
              <w:spacing w:before="40" w:after="40" w:line="276" w:lineRule="auto"/>
              <w:jc w:val="center"/>
              <w:rPr>
                <w:i/>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hideMark/>
          </w:tcPr>
          <w:p w14:paraId="7B8EBD59" w14:textId="77777777" w:rsidR="001B6AB1" w:rsidRPr="006918A0" w:rsidRDefault="001B6AB1" w:rsidP="00B330E1">
            <w:pPr>
              <w:spacing w:before="20" w:after="20" w:line="276" w:lineRule="auto"/>
              <w:jc w:val="center"/>
              <w:rPr>
                <w:noProof/>
                <w:sz w:val="16"/>
                <w:szCs w:val="16"/>
              </w:rPr>
            </w:pPr>
            <w:r>
              <w:rPr>
                <w:noProof/>
                <w:sz w:val="16"/>
              </w:rPr>
              <w:t>2023</w:t>
            </w:r>
          </w:p>
        </w:tc>
        <w:tc>
          <w:tcPr>
            <w:tcW w:w="731" w:type="dxa"/>
            <w:tcBorders>
              <w:top w:val="single" w:sz="6" w:space="0" w:color="auto"/>
              <w:left w:val="single" w:sz="6" w:space="0" w:color="auto"/>
              <w:bottom w:val="single" w:sz="6" w:space="0" w:color="auto"/>
              <w:right w:val="single" w:sz="6" w:space="0" w:color="auto"/>
            </w:tcBorders>
            <w:vAlign w:val="center"/>
            <w:hideMark/>
          </w:tcPr>
          <w:p w14:paraId="2E02EA1B" w14:textId="77777777" w:rsidR="001B6AB1" w:rsidRPr="006918A0" w:rsidRDefault="001B6AB1" w:rsidP="00B330E1">
            <w:pPr>
              <w:spacing w:before="20" w:after="20" w:line="276" w:lineRule="auto"/>
              <w:jc w:val="center"/>
              <w:rPr>
                <w:noProof/>
                <w:sz w:val="16"/>
                <w:szCs w:val="16"/>
              </w:rPr>
            </w:pPr>
            <w:r>
              <w:rPr>
                <w:noProof/>
                <w:sz w:val="16"/>
              </w:rPr>
              <w:t>2024</w:t>
            </w:r>
          </w:p>
        </w:tc>
        <w:tc>
          <w:tcPr>
            <w:tcW w:w="731" w:type="dxa"/>
            <w:tcBorders>
              <w:top w:val="single" w:sz="6" w:space="0" w:color="auto"/>
              <w:left w:val="single" w:sz="6" w:space="0" w:color="auto"/>
              <w:bottom w:val="single" w:sz="6" w:space="0" w:color="auto"/>
              <w:right w:val="single" w:sz="6" w:space="0" w:color="auto"/>
            </w:tcBorders>
            <w:vAlign w:val="center"/>
            <w:hideMark/>
          </w:tcPr>
          <w:p w14:paraId="40DBE181" w14:textId="77777777" w:rsidR="001B6AB1" w:rsidRPr="006918A0" w:rsidRDefault="001B6AB1" w:rsidP="00B330E1">
            <w:pPr>
              <w:spacing w:before="20" w:after="20" w:line="276" w:lineRule="auto"/>
              <w:jc w:val="center"/>
              <w:rPr>
                <w:noProof/>
                <w:sz w:val="16"/>
                <w:szCs w:val="16"/>
              </w:rPr>
            </w:pPr>
            <w:r>
              <w:rPr>
                <w:noProof/>
                <w:sz w:val="16"/>
              </w:rPr>
              <w:t>2025</w:t>
            </w:r>
          </w:p>
        </w:tc>
        <w:tc>
          <w:tcPr>
            <w:tcW w:w="731" w:type="dxa"/>
            <w:tcBorders>
              <w:top w:val="single" w:sz="6" w:space="0" w:color="auto"/>
              <w:left w:val="single" w:sz="6" w:space="0" w:color="auto"/>
              <w:bottom w:val="single" w:sz="6" w:space="0" w:color="auto"/>
              <w:right w:val="single" w:sz="6" w:space="0" w:color="auto"/>
            </w:tcBorders>
            <w:vAlign w:val="center"/>
            <w:hideMark/>
          </w:tcPr>
          <w:p w14:paraId="4E66E795" w14:textId="77777777" w:rsidR="001B6AB1" w:rsidRPr="006918A0" w:rsidRDefault="001B6AB1" w:rsidP="00B330E1">
            <w:pPr>
              <w:spacing w:before="20" w:after="20" w:line="276" w:lineRule="auto"/>
              <w:jc w:val="center"/>
              <w:rPr>
                <w:noProof/>
                <w:sz w:val="16"/>
                <w:szCs w:val="16"/>
              </w:rPr>
            </w:pPr>
            <w:r>
              <w:rPr>
                <w:noProof/>
                <w:sz w:val="16"/>
              </w:rPr>
              <w:t>2026</w:t>
            </w:r>
          </w:p>
        </w:tc>
        <w:tc>
          <w:tcPr>
            <w:tcW w:w="731" w:type="dxa"/>
            <w:tcBorders>
              <w:top w:val="single" w:sz="6" w:space="0" w:color="auto"/>
              <w:left w:val="single" w:sz="6" w:space="0" w:color="auto"/>
              <w:bottom w:val="single" w:sz="6" w:space="0" w:color="auto"/>
              <w:right w:val="single" w:sz="6" w:space="0" w:color="auto"/>
            </w:tcBorders>
            <w:vAlign w:val="center"/>
            <w:hideMark/>
          </w:tcPr>
          <w:p w14:paraId="5CCF112D" w14:textId="77777777" w:rsidR="001B6AB1" w:rsidRPr="006918A0" w:rsidRDefault="001B6AB1" w:rsidP="00B330E1">
            <w:pPr>
              <w:spacing w:line="276" w:lineRule="auto"/>
              <w:jc w:val="center"/>
              <w:rPr>
                <w:b/>
                <w:noProof/>
                <w:sz w:val="16"/>
                <w:szCs w:val="16"/>
              </w:rPr>
            </w:pPr>
            <w:r>
              <w:rPr>
                <w:noProof/>
                <w:sz w:val="16"/>
              </w:rPr>
              <w:t>2027</w:t>
            </w:r>
          </w:p>
        </w:tc>
        <w:tc>
          <w:tcPr>
            <w:tcW w:w="1462" w:type="dxa"/>
            <w:tcBorders>
              <w:top w:val="single" w:sz="6" w:space="0" w:color="auto"/>
              <w:left w:val="single" w:sz="6" w:space="0" w:color="auto"/>
              <w:bottom w:val="single" w:sz="6" w:space="0" w:color="auto"/>
              <w:right w:val="single" w:sz="6" w:space="0" w:color="auto"/>
            </w:tcBorders>
            <w:vAlign w:val="center"/>
            <w:hideMark/>
          </w:tcPr>
          <w:p w14:paraId="0ED2C138" w14:textId="77777777" w:rsidR="001B6AB1" w:rsidRPr="006918A0" w:rsidRDefault="001B6AB1" w:rsidP="00B330E1">
            <w:pPr>
              <w:spacing w:line="276" w:lineRule="auto"/>
              <w:jc w:val="center"/>
              <w:rPr>
                <w:b/>
                <w:noProof/>
                <w:sz w:val="16"/>
                <w:szCs w:val="16"/>
              </w:rPr>
            </w:pPr>
            <w:r>
              <w:rPr>
                <w:b/>
                <w:noProof/>
                <w:sz w:val="16"/>
              </w:rPr>
              <w:t>Yhteensä</w:t>
            </w:r>
          </w:p>
        </w:tc>
      </w:tr>
      <w:tr w:rsidR="001B6AB1" w:rsidRPr="006918A0" w14:paraId="621BFACA" w14:textId="77777777" w:rsidTr="00B330E1">
        <w:trPr>
          <w:gridBefore w:val="1"/>
          <w:wBefore w:w="15" w:type="dxa"/>
          <w:trHeight w:val="289"/>
          <w:jc w:val="center"/>
        </w:trPr>
        <w:tc>
          <w:tcPr>
            <w:tcW w:w="9871" w:type="dxa"/>
            <w:gridSpan w:val="8"/>
            <w:tcBorders>
              <w:top w:val="single" w:sz="6" w:space="0" w:color="auto"/>
              <w:left w:val="single" w:sz="6" w:space="0" w:color="auto"/>
              <w:bottom w:val="single" w:sz="6" w:space="0" w:color="auto"/>
              <w:right w:val="single" w:sz="6" w:space="0" w:color="auto"/>
            </w:tcBorders>
            <w:hideMark/>
          </w:tcPr>
          <w:p w14:paraId="4F21E35B" w14:textId="77777777" w:rsidR="001B6AB1" w:rsidRPr="006918A0" w:rsidRDefault="001B6AB1" w:rsidP="00B330E1">
            <w:pPr>
              <w:spacing w:line="276" w:lineRule="auto"/>
              <w:jc w:val="left"/>
              <w:rPr>
                <w:noProof/>
                <w:sz w:val="16"/>
                <w:szCs w:val="16"/>
              </w:rPr>
            </w:pPr>
            <w:r>
              <w:rPr>
                <w:rFonts w:ascii="Wingdings" w:hAnsi="Wingdings"/>
                <w:b/>
                <w:noProof/>
                <w:sz w:val="16"/>
              </w:rPr>
              <w:sym w:font="Wingdings" w:char="F09F"/>
            </w:r>
            <w:r>
              <w:rPr>
                <w:noProof/>
              </w:rPr>
              <w:t xml:space="preserve"> </w:t>
            </w:r>
            <w:r>
              <w:rPr>
                <w:b/>
                <w:noProof/>
                <w:sz w:val="16"/>
              </w:rPr>
              <w:t>Henkilöstötaulukkoon sisältyvät virat/toimet (virkamiehet ja väliaikaiset toimihenkilöt)</w:t>
            </w:r>
          </w:p>
        </w:tc>
      </w:tr>
      <w:tr w:rsidR="001B6AB1" w:rsidRPr="006918A0" w14:paraId="1DC1CD7A" w14:textId="77777777" w:rsidTr="00B330E1">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66710454" w14:textId="77777777" w:rsidR="001B6AB1" w:rsidRPr="006918A0" w:rsidRDefault="001B6AB1" w:rsidP="00B330E1">
            <w:pPr>
              <w:spacing w:beforeLines="20" w:before="48" w:afterLines="20" w:after="48" w:line="276" w:lineRule="auto"/>
              <w:ind w:left="984"/>
              <w:jc w:val="left"/>
              <w:rPr>
                <w:b/>
                <w:noProof/>
                <w:sz w:val="16"/>
                <w:szCs w:val="16"/>
              </w:rPr>
            </w:pPr>
            <w:r>
              <w:rPr>
                <w:noProof/>
                <w:sz w:val="16"/>
              </w:rPr>
              <w:t>20 01 02 01</w:t>
            </w:r>
            <w:r>
              <w:rPr>
                <w:rFonts w:ascii="Arial Narrow" w:hAnsi="Arial Narrow"/>
                <w:noProof/>
                <w:color w:val="000000"/>
                <w:sz w:val="20"/>
              </w:rPr>
              <w:t xml:space="preserve"> </w:t>
            </w:r>
            <w:r>
              <w:rPr>
                <w:noProof/>
                <w:sz w:val="16"/>
              </w:rPr>
              <w:t>(päätoimipaikka ja komission edustustot EU:ssa)</w:t>
            </w:r>
          </w:p>
        </w:tc>
        <w:tc>
          <w:tcPr>
            <w:tcW w:w="731" w:type="dxa"/>
            <w:tcBorders>
              <w:top w:val="single" w:sz="6" w:space="0" w:color="auto"/>
              <w:left w:val="single" w:sz="6" w:space="0" w:color="auto"/>
              <w:bottom w:val="single" w:sz="6" w:space="0" w:color="auto"/>
              <w:right w:val="single" w:sz="6" w:space="0" w:color="auto"/>
            </w:tcBorders>
            <w:vAlign w:val="center"/>
            <w:hideMark/>
          </w:tcPr>
          <w:p w14:paraId="18BFE867" w14:textId="77777777" w:rsidR="001B6AB1" w:rsidRPr="006918A0" w:rsidRDefault="001B6AB1" w:rsidP="00B330E1">
            <w:pPr>
              <w:spacing w:beforeLines="20" w:before="48" w:afterLines="20" w:after="48" w:line="276" w:lineRule="auto"/>
              <w:jc w:val="center"/>
              <w:rPr>
                <w:noProof/>
                <w:sz w:val="16"/>
                <w:szCs w:val="16"/>
              </w:rPr>
            </w:pPr>
            <w:r>
              <w:rPr>
                <w:noProof/>
                <w:sz w:val="16"/>
              </w:rPr>
              <w:t>0,75</w:t>
            </w:r>
          </w:p>
        </w:tc>
        <w:tc>
          <w:tcPr>
            <w:tcW w:w="731" w:type="dxa"/>
            <w:tcBorders>
              <w:top w:val="single" w:sz="6" w:space="0" w:color="auto"/>
              <w:left w:val="single" w:sz="6" w:space="0" w:color="auto"/>
              <w:bottom w:val="single" w:sz="6" w:space="0" w:color="auto"/>
              <w:right w:val="single" w:sz="6" w:space="0" w:color="auto"/>
            </w:tcBorders>
            <w:vAlign w:val="center"/>
            <w:hideMark/>
          </w:tcPr>
          <w:p w14:paraId="154381C0" w14:textId="77777777" w:rsidR="001B6AB1" w:rsidRPr="006918A0" w:rsidRDefault="001B6AB1" w:rsidP="00B330E1">
            <w:pPr>
              <w:spacing w:beforeLines="20" w:before="48" w:afterLines="20" w:after="48" w:line="276" w:lineRule="auto"/>
              <w:jc w:val="center"/>
              <w:rPr>
                <w:noProof/>
                <w:sz w:val="16"/>
                <w:szCs w:val="16"/>
              </w:rPr>
            </w:pPr>
            <w:r>
              <w:rPr>
                <w:noProof/>
                <w:sz w:val="16"/>
              </w:rPr>
              <w:t>1</w:t>
            </w:r>
          </w:p>
        </w:tc>
        <w:tc>
          <w:tcPr>
            <w:tcW w:w="731" w:type="dxa"/>
            <w:tcBorders>
              <w:top w:val="single" w:sz="6" w:space="0" w:color="auto"/>
              <w:left w:val="single" w:sz="6" w:space="0" w:color="auto"/>
              <w:bottom w:val="single" w:sz="6" w:space="0" w:color="auto"/>
              <w:right w:val="single" w:sz="6" w:space="0" w:color="auto"/>
            </w:tcBorders>
            <w:vAlign w:val="center"/>
            <w:hideMark/>
          </w:tcPr>
          <w:p w14:paraId="59D55D6B" w14:textId="77777777" w:rsidR="001B6AB1" w:rsidRPr="006918A0" w:rsidRDefault="001B6AB1" w:rsidP="00B330E1">
            <w:pPr>
              <w:spacing w:beforeLines="20" w:before="48" w:afterLines="20" w:after="48" w:line="276" w:lineRule="auto"/>
              <w:jc w:val="center"/>
              <w:rPr>
                <w:noProof/>
                <w:sz w:val="16"/>
                <w:szCs w:val="16"/>
              </w:rPr>
            </w:pPr>
            <w:r>
              <w:rPr>
                <w:noProof/>
                <w:sz w:val="16"/>
              </w:rPr>
              <w:t>1</w:t>
            </w:r>
          </w:p>
        </w:tc>
        <w:tc>
          <w:tcPr>
            <w:tcW w:w="731" w:type="dxa"/>
            <w:tcBorders>
              <w:top w:val="single" w:sz="6" w:space="0" w:color="auto"/>
              <w:left w:val="single" w:sz="6" w:space="0" w:color="auto"/>
              <w:bottom w:val="single" w:sz="6" w:space="0" w:color="auto"/>
              <w:right w:val="single" w:sz="6" w:space="0" w:color="auto"/>
            </w:tcBorders>
            <w:vAlign w:val="center"/>
            <w:hideMark/>
          </w:tcPr>
          <w:p w14:paraId="696DB453" w14:textId="77777777" w:rsidR="001B6AB1" w:rsidRPr="006918A0" w:rsidRDefault="001B6AB1" w:rsidP="00B330E1">
            <w:pPr>
              <w:spacing w:beforeLines="20" w:before="48" w:afterLines="20" w:after="48" w:line="276" w:lineRule="auto"/>
              <w:jc w:val="center"/>
              <w:rPr>
                <w:noProof/>
                <w:sz w:val="16"/>
                <w:szCs w:val="16"/>
              </w:rPr>
            </w:pPr>
            <w:r>
              <w:rPr>
                <w:noProof/>
                <w:sz w:val="16"/>
              </w:rPr>
              <w:t>0,4</w:t>
            </w:r>
          </w:p>
        </w:tc>
        <w:tc>
          <w:tcPr>
            <w:tcW w:w="731" w:type="dxa"/>
            <w:tcBorders>
              <w:top w:val="single" w:sz="6" w:space="0" w:color="auto"/>
              <w:left w:val="single" w:sz="6" w:space="0" w:color="auto"/>
              <w:bottom w:val="single" w:sz="6" w:space="0" w:color="auto"/>
              <w:right w:val="single" w:sz="6" w:space="0" w:color="auto"/>
            </w:tcBorders>
            <w:vAlign w:val="center"/>
            <w:hideMark/>
          </w:tcPr>
          <w:p w14:paraId="30ABC7EB" w14:textId="77777777" w:rsidR="001B6AB1" w:rsidRPr="006918A0" w:rsidRDefault="001B6AB1" w:rsidP="00B330E1">
            <w:pPr>
              <w:spacing w:beforeLines="20" w:before="48" w:afterLines="20" w:after="48" w:line="276" w:lineRule="auto"/>
              <w:jc w:val="center"/>
              <w:rPr>
                <w:noProof/>
                <w:sz w:val="16"/>
                <w:szCs w:val="16"/>
              </w:rPr>
            </w:pPr>
            <w:r>
              <w:rPr>
                <w:noProof/>
                <w:sz w:val="16"/>
              </w:rPr>
              <w:t>0,1</w:t>
            </w:r>
          </w:p>
        </w:tc>
        <w:tc>
          <w:tcPr>
            <w:tcW w:w="1462" w:type="dxa"/>
            <w:tcBorders>
              <w:top w:val="single" w:sz="6" w:space="0" w:color="auto"/>
              <w:left w:val="single" w:sz="6" w:space="0" w:color="auto"/>
              <w:bottom w:val="single" w:sz="6" w:space="0" w:color="auto"/>
              <w:right w:val="single" w:sz="6" w:space="0" w:color="auto"/>
            </w:tcBorders>
            <w:vAlign w:val="center"/>
            <w:hideMark/>
          </w:tcPr>
          <w:p w14:paraId="49214E33" w14:textId="77777777" w:rsidR="001B6AB1" w:rsidRPr="006918A0" w:rsidRDefault="001B6AB1" w:rsidP="00B330E1">
            <w:pPr>
              <w:spacing w:beforeLines="20" w:before="48" w:afterLines="20" w:after="48" w:line="276" w:lineRule="auto"/>
              <w:jc w:val="right"/>
              <w:rPr>
                <w:noProof/>
                <w:sz w:val="16"/>
                <w:szCs w:val="16"/>
              </w:rPr>
            </w:pPr>
            <w:r>
              <w:rPr>
                <w:b/>
                <w:noProof/>
                <w:sz w:val="16"/>
              </w:rPr>
              <w:t>3,25</w:t>
            </w:r>
          </w:p>
        </w:tc>
      </w:tr>
      <w:tr w:rsidR="001B6AB1" w:rsidRPr="006918A0" w14:paraId="256EEE04" w14:textId="77777777" w:rsidTr="00B330E1">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2EF477B8" w14:textId="77777777" w:rsidR="001B6AB1" w:rsidRPr="006918A0" w:rsidRDefault="001B6AB1" w:rsidP="00B330E1">
            <w:pPr>
              <w:spacing w:beforeLines="20" w:before="48" w:afterLines="20" w:after="48" w:line="276" w:lineRule="auto"/>
              <w:ind w:left="984"/>
              <w:jc w:val="left"/>
              <w:rPr>
                <w:noProof/>
                <w:sz w:val="16"/>
              </w:rPr>
            </w:pPr>
            <w:r>
              <w:rPr>
                <w:noProof/>
                <w:sz w:val="16"/>
              </w:rPr>
              <w:t>20 01 02 03 (EU:n ulkopuoliset edustustot)</w:t>
            </w:r>
          </w:p>
        </w:tc>
        <w:tc>
          <w:tcPr>
            <w:tcW w:w="731" w:type="dxa"/>
            <w:tcBorders>
              <w:top w:val="single" w:sz="6" w:space="0" w:color="auto"/>
              <w:left w:val="single" w:sz="6" w:space="0" w:color="auto"/>
              <w:bottom w:val="single" w:sz="6" w:space="0" w:color="auto"/>
              <w:right w:val="single" w:sz="6" w:space="0" w:color="auto"/>
            </w:tcBorders>
            <w:vAlign w:val="center"/>
          </w:tcPr>
          <w:p w14:paraId="73A1A2BC"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1AECFEC9"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10F71B7F"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2E68CA2"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11AE1738" w14:textId="77777777" w:rsidR="001B6AB1" w:rsidRPr="006918A0" w:rsidRDefault="001B6AB1" w:rsidP="00B330E1">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5EBD7644" w14:textId="77777777" w:rsidR="001B6AB1" w:rsidRPr="006918A0" w:rsidRDefault="001B6AB1" w:rsidP="00B330E1">
            <w:pPr>
              <w:spacing w:beforeLines="20" w:before="48" w:afterLines="20" w:after="48" w:line="276" w:lineRule="auto"/>
              <w:jc w:val="center"/>
              <w:rPr>
                <w:noProof/>
                <w:sz w:val="16"/>
                <w:szCs w:val="16"/>
              </w:rPr>
            </w:pPr>
          </w:p>
        </w:tc>
      </w:tr>
      <w:tr w:rsidR="001B6AB1" w:rsidRPr="006918A0" w14:paraId="2CD692D4" w14:textId="77777777" w:rsidTr="00B330E1">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2BADC4BB" w14:textId="77777777" w:rsidR="001B6AB1" w:rsidRPr="006918A0" w:rsidRDefault="001B6AB1" w:rsidP="00B330E1">
            <w:pPr>
              <w:spacing w:beforeLines="20" w:before="48" w:afterLines="20" w:after="48" w:line="276" w:lineRule="auto"/>
              <w:ind w:left="984"/>
              <w:jc w:val="left"/>
              <w:rPr>
                <w:noProof/>
                <w:sz w:val="16"/>
                <w:szCs w:val="16"/>
              </w:rPr>
            </w:pPr>
            <w:r>
              <w:rPr>
                <w:noProof/>
                <w:sz w:val="16"/>
              </w:rPr>
              <w:t>01 01 01 01</w:t>
            </w:r>
            <w:r>
              <w:rPr>
                <w:rFonts w:ascii="Arial Narrow" w:hAnsi="Arial Narrow"/>
                <w:noProof/>
                <w:color w:val="000000"/>
                <w:sz w:val="20"/>
              </w:rPr>
              <w:t xml:space="preserve"> </w:t>
            </w:r>
            <w:r>
              <w:rPr>
                <w:noProof/>
                <w:sz w:val="16"/>
              </w:rPr>
              <w:t>(epäsuora tutkimustoiminta)</w:t>
            </w:r>
          </w:p>
        </w:tc>
        <w:tc>
          <w:tcPr>
            <w:tcW w:w="731" w:type="dxa"/>
            <w:tcBorders>
              <w:top w:val="single" w:sz="6" w:space="0" w:color="auto"/>
              <w:left w:val="single" w:sz="6" w:space="0" w:color="auto"/>
              <w:bottom w:val="single" w:sz="6" w:space="0" w:color="auto"/>
              <w:right w:val="single" w:sz="6" w:space="0" w:color="auto"/>
            </w:tcBorders>
            <w:vAlign w:val="center"/>
          </w:tcPr>
          <w:p w14:paraId="4460F307"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56583D1E"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122D7F1E"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67265DB"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1DBA7919" w14:textId="77777777" w:rsidR="001B6AB1" w:rsidRPr="006918A0" w:rsidRDefault="001B6AB1" w:rsidP="00B330E1">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15C47559" w14:textId="77777777" w:rsidR="001B6AB1" w:rsidRPr="006918A0" w:rsidRDefault="001B6AB1" w:rsidP="00B330E1">
            <w:pPr>
              <w:spacing w:beforeLines="20" w:before="48" w:afterLines="20" w:after="48" w:line="276" w:lineRule="auto"/>
              <w:jc w:val="center"/>
              <w:rPr>
                <w:noProof/>
                <w:sz w:val="16"/>
                <w:szCs w:val="16"/>
              </w:rPr>
            </w:pPr>
          </w:p>
        </w:tc>
      </w:tr>
      <w:tr w:rsidR="001B6AB1" w:rsidRPr="006918A0" w14:paraId="16282EDE" w14:textId="77777777" w:rsidTr="00B330E1">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3ECB8B09" w14:textId="77777777" w:rsidR="001B6AB1" w:rsidRPr="006918A0" w:rsidRDefault="001B6AB1" w:rsidP="00B330E1">
            <w:pPr>
              <w:spacing w:beforeLines="20" w:before="48" w:afterLines="20" w:after="48" w:line="276" w:lineRule="auto"/>
              <w:ind w:left="984"/>
              <w:jc w:val="left"/>
              <w:rPr>
                <w:noProof/>
                <w:sz w:val="16"/>
                <w:szCs w:val="16"/>
              </w:rPr>
            </w:pPr>
            <w:r>
              <w:rPr>
                <w:noProof/>
                <w:sz w:val="16"/>
              </w:rPr>
              <w:t xml:space="preserve"> 01 01 01 11 (suora tutkimustoiminta)</w:t>
            </w:r>
          </w:p>
        </w:tc>
        <w:tc>
          <w:tcPr>
            <w:tcW w:w="731" w:type="dxa"/>
            <w:tcBorders>
              <w:top w:val="single" w:sz="6" w:space="0" w:color="auto"/>
              <w:left w:val="single" w:sz="6" w:space="0" w:color="auto"/>
              <w:bottom w:val="single" w:sz="6" w:space="0" w:color="auto"/>
              <w:right w:val="single" w:sz="6" w:space="0" w:color="auto"/>
            </w:tcBorders>
            <w:vAlign w:val="center"/>
          </w:tcPr>
          <w:p w14:paraId="21A19EB4"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50522F57"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BEEEF2C"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185A71A2"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60C61710" w14:textId="77777777" w:rsidR="001B6AB1" w:rsidRPr="006918A0" w:rsidRDefault="001B6AB1" w:rsidP="00B330E1">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2A6F9808" w14:textId="77777777" w:rsidR="001B6AB1" w:rsidRPr="006918A0" w:rsidRDefault="001B6AB1" w:rsidP="00B330E1">
            <w:pPr>
              <w:spacing w:beforeLines="20" w:before="48" w:afterLines="20" w:after="48" w:line="276" w:lineRule="auto"/>
              <w:jc w:val="center"/>
              <w:rPr>
                <w:noProof/>
                <w:sz w:val="16"/>
                <w:szCs w:val="16"/>
              </w:rPr>
            </w:pPr>
          </w:p>
        </w:tc>
      </w:tr>
      <w:tr w:rsidR="001B6AB1" w:rsidRPr="006918A0" w14:paraId="14D00B95" w14:textId="77777777" w:rsidTr="00B330E1">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1E9ACAD3" w14:textId="77777777" w:rsidR="001B6AB1" w:rsidRPr="006918A0" w:rsidRDefault="001B6AB1" w:rsidP="00B330E1">
            <w:pPr>
              <w:spacing w:beforeLines="20" w:before="48" w:afterLines="20" w:after="48" w:line="276" w:lineRule="auto"/>
              <w:ind w:left="984"/>
              <w:jc w:val="left"/>
              <w:rPr>
                <w:noProof/>
                <w:sz w:val="16"/>
              </w:rPr>
            </w:pPr>
            <w:r>
              <w:rPr>
                <w:noProof/>
                <w:sz w:val="16"/>
              </w:rPr>
              <w:t>Muu budjettikohta (mikä?)</w:t>
            </w:r>
          </w:p>
        </w:tc>
        <w:tc>
          <w:tcPr>
            <w:tcW w:w="731" w:type="dxa"/>
            <w:tcBorders>
              <w:top w:val="single" w:sz="6" w:space="0" w:color="auto"/>
              <w:left w:val="single" w:sz="6" w:space="0" w:color="auto"/>
              <w:bottom w:val="single" w:sz="6" w:space="0" w:color="auto"/>
              <w:right w:val="single" w:sz="6" w:space="0" w:color="auto"/>
            </w:tcBorders>
            <w:vAlign w:val="center"/>
          </w:tcPr>
          <w:p w14:paraId="3363C1C4"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150D5020"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3AC79FE3"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174D8D27"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152CC1CD" w14:textId="77777777" w:rsidR="001B6AB1" w:rsidRPr="006918A0" w:rsidRDefault="001B6AB1" w:rsidP="00B330E1">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71138486" w14:textId="77777777" w:rsidR="001B6AB1" w:rsidRPr="006918A0" w:rsidRDefault="001B6AB1" w:rsidP="00B330E1">
            <w:pPr>
              <w:spacing w:beforeLines="20" w:before="48" w:afterLines="20" w:after="48" w:line="276" w:lineRule="auto"/>
              <w:jc w:val="center"/>
              <w:rPr>
                <w:noProof/>
                <w:sz w:val="16"/>
                <w:szCs w:val="16"/>
              </w:rPr>
            </w:pPr>
          </w:p>
        </w:tc>
      </w:tr>
      <w:tr w:rsidR="001B6AB1" w:rsidRPr="006918A0" w14:paraId="1475A935" w14:textId="77777777" w:rsidTr="00B330E1">
        <w:trPr>
          <w:trHeight w:val="248"/>
          <w:jc w:val="center"/>
        </w:trPr>
        <w:tc>
          <w:tcPr>
            <w:tcW w:w="9886" w:type="dxa"/>
            <w:gridSpan w:val="9"/>
            <w:tcBorders>
              <w:top w:val="single" w:sz="6" w:space="0" w:color="auto"/>
              <w:left w:val="single" w:sz="6" w:space="0" w:color="auto"/>
              <w:bottom w:val="single" w:sz="6" w:space="0" w:color="auto"/>
              <w:right w:val="single" w:sz="6" w:space="0" w:color="auto"/>
            </w:tcBorders>
            <w:vAlign w:val="center"/>
          </w:tcPr>
          <w:p w14:paraId="0C591332" w14:textId="77777777" w:rsidR="001B6AB1" w:rsidRPr="006918A0" w:rsidRDefault="001B6AB1" w:rsidP="00B330E1">
            <w:pPr>
              <w:spacing w:before="60" w:after="60" w:line="276" w:lineRule="auto"/>
              <w:jc w:val="left"/>
              <w:rPr>
                <w:b/>
                <w:noProof/>
                <w:sz w:val="16"/>
                <w:szCs w:val="16"/>
              </w:rPr>
            </w:pPr>
            <w:r>
              <w:rPr>
                <w:b/>
                <w:noProof/>
                <w:sz w:val="16"/>
              </w:rPr>
              <w:sym w:font="Wingdings" w:char="F09F"/>
            </w:r>
            <w:r>
              <w:rPr>
                <w:noProof/>
              </w:rPr>
              <w:t xml:space="preserve"> </w:t>
            </w:r>
            <w:r>
              <w:rPr>
                <w:b/>
                <w:noProof/>
                <w:sz w:val="16"/>
              </w:rPr>
              <w:t>Ulkopuolinen henkilöstö (kokoaikaiseksi muutettuna)</w:t>
            </w:r>
            <w:r>
              <w:rPr>
                <w:rStyle w:val="FootnoteReference"/>
                <w:noProof/>
              </w:rPr>
              <w:footnoteReference w:id="55"/>
            </w:r>
          </w:p>
          <w:p w14:paraId="50422441" w14:textId="77777777" w:rsidR="001B6AB1" w:rsidRPr="006918A0" w:rsidRDefault="001B6AB1" w:rsidP="00B330E1">
            <w:pPr>
              <w:spacing w:before="0" w:after="0" w:line="276" w:lineRule="auto"/>
              <w:jc w:val="left"/>
              <w:rPr>
                <w:noProof/>
                <w:sz w:val="16"/>
                <w:szCs w:val="16"/>
              </w:rPr>
            </w:pPr>
          </w:p>
        </w:tc>
      </w:tr>
      <w:tr w:rsidR="001B6AB1" w:rsidRPr="006918A0" w14:paraId="11BAE288" w14:textId="77777777" w:rsidTr="00B330E1">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00E916B2" w14:textId="77777777" w:rsidR="001B6AB1" w:rsidRPr="006918A0" w:rsidRDefault="001B6AB1" w:rsidP="00B330E1">
            <w:pPr>
              <w:spacing w:beforeLines="20" w:before="48" w:afterLines="20" w:after="48" w:line="276" w:lineRule="auto"/>
              <w:ind w:left="986"/>
              <w:jc w:val="left"/>
              <w:rPr>
                <w:b/>
                <w:noProof/>
                <w:sz w:val="16"/>
                <w:szCs w:val="16"/>
              </w:rPr>
            </w:pPr>
            <w:r>
              <w:rPr>
                <w:noProof/>
                <w:sz w:val="16"/>
              </w:rPr>
              <w:t>20 02 01</w:t>
            </w:r>
            <w:r>
              <w:rPr>
                <w:rFonts w:ascii="Arial Narrow" w:hAnsi="Arial Narrow"/>
                <w:noProof/>
                <w:color w:val="000000"/>
                <w:sz w:val="20"/>
              </w:rPr>
              <w:t xml:space="preserve"> </w:t>
            </w:r>
            <w:r>
              <w:rPr>
                <w:noProof/>
                <w:sz w:val="16"/>
              </w:rPr>
              <w:t>(kokonaismäärärahoista katettavat sopimussuhteiset toimihenkilöt, kansalliset asiantuntijat ja vuokrahenkilöstö)</w:t>
            </w:r>
          </w:p>
        </w:tc>
        <w:tc>
          <w:tcPr>
            <w:tcW w:w="731" w:type="dxa"/>
            <w:tcBorders>
              <w:top w:val="single" w:sz="6" w:space="0" w:color="auto"/>
              <w:left w:val="single" w:sz="6" w:space="0" w:color="auto"/>
              <w:bottom w:val="single" w:sz="6" w:space="0" w:color="auto"/>
              <w:right w:val="single" w:sz="6" w:space="0" w:color="auto"/>
            </w:tcBorders>
            <w:vAlign w:val="center"/>
          </w:tcPr>
          <w:p w14:paraId="0918663C"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0816CECA"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6E07C2D5"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3ACA445A"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CAD0031" w14:textId="77777777" w:rsidR="001B6AB1" w:rsidRPr="006918A0" w:rsidRDefault="001B6AB1" w:rsidP="00B330E1">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13ED4D4B" w14:textId="77777777" w:rsidR="001B6AB1" w:rsidRPr="006918A0" w:rsidRDefault="001B6AB1" w:rsidP="00B330E1">
            <w:pPr>
              <w:spacing w:beforeLines="20" w:before="48" w:afterLines="20" w:after="48" w:line="276" w:lineRule="auto"/>
              <w:jc w:val="center"/>
              <w:rPr>
                <w:noProof/>
                <w:sz w:val="16"/>
                <w:szCs w:val="16"/>
              </w:rPr>
            </w:pPr>
          </w:p>
        </w:tc>
      </w:tr>
      <w:tr w:rsidR="001B6AB1" w:rsidRPr="006918A0" w14:paraId="4F46AD2E" w14:textId="77777777" w:rsidTr="00B330E1">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49913C4B" w14:textId="77777777" w:rsidR="001B6AB1" w:rsidRPr="006918A0" w:rsidRDefault="001B6AB1" w:rsidP="00B330E1">
            <w:pPr>
              <w:spacing w:beforeLines="20" w:before="48" w:afterLines="20" w:after="48" w:line="276" w:lineRule="auto"/>
              <w:ind w:left="986"/>
              <w:jc w:val="left"/>
              <w:rPr>
                <w:noProof/>
                <w:sz w:val="16"/>
              </w:rPr>
            </w:pPr>
            <w:r>
              <w:rPr>
                <w:noProof/>
                <w:sz w:val="16"/>
              </w:rPr>
              <w:t>20 02 03 (sopimussuhteiset ja paikalliset toimihenkilöt, kansalliset asiantuntijat, vuokrahenkilöstö ja nuoremmat asiantuntijat EU:n ulkopuolisissa edustustoissa)</w:t>
            </w:r>
          </w:p>
        </w:tc>
        <w:tc>
          <w:tcPr>
            <w:tcW w:w="731" w:type="dxa"/>
            <w:tcBorders>
              <w:top w:val="single" w:sz="6" w:space="0" w:color="auto"/>
              <w:left w:val="single" w:sz="6" w:space="0" w:color="auto"/>
              <w:bottom w:val="single" w:sz="6" w:space="0" w:color="auto"/>
              <w:right w:val="single" w:sz="6" w:space="0" w:color="auto"/>
            </w:tcBorders>
            <w:vAlign w:val="center"/>
          </w:tcPr>
          <w:p w14:paraId="63C2EE9F"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484940BF"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3D45CA4F"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396F1A42"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64F1C7B" w14:textId="77777777" w:rsidR="001B6AB1" w:rsidRPr="006918A0" w:rsidRDefault="001B6AB1" w:rsidP="00B330E1">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540497F6" w14:textId="77777777" w:rsidR="001B6AB1" w:rsidRPr="006918A0" w:rsidRDefault="001B6AB1" w:rsidP="00B330E1">
            <w:pPr>
              <w:spacing w:beforeLines="20" w:before="48" w:afterLines="20" w:after="48" w:line="276" w:lineRule="auto"/>
              <w:jc w:val="center"/>
              <w:rPr>
                <w:noProof/>
                <w:sz w:val="16"/>
                <w:szCs w:val="16"/>
              </w:rPr>
            </w:pPr>
          </w:p>
        </w:tc>
      </w:tr>
      <w:tr w:rsidR="001B6AB1" w:rsidRPr="006918A0" w14:paraId="26D2EE4E" w14:textId="77777777" w:rsidTr="00B330E1">
        <w:trPr>
          <w:gridBefore w:val="1"/>
          <w:wBefore w:w="15" w:type="dxa"/>
          <w:trHeight w:val="289"/>
          <w:jc w:val="center"/>
        </w:trPr>
        <w:tc>
          <w:tcPr>
            <w:tcW w:w="2376" w:type="dxa"/>
            <w:vMerge w:val="restart"/>
            <w:tcBorders>
              <w:top w:val="single" w:sz="6" w:space="0" w:color="auto"/>
              <w:left w:val="single" w:sz="6" w:space="0" w:color="auto"/>
              <w:bottom w:val="single" w:sz="6" w:space="0" w:color="auto"/>
              <w:right w:val="single" w:sz="6" w:space="0" w:color="auto"/>
            </w:tcBorders>
            <w:vAlign w:val="center"/>
          </w:tcPr>
          <w:p w14:paraId="656E9E5E" w14:textId="547AC41F" w:rsidR="001B6AB1" w:rsidRPr="006918A0" w:rsidRDefault="001B6AB1" w:rsidP="00B330E1">
            <w:pPr>
              <w:spacing w:beforeLines="20" w:before="48" w:afterLines="20" w:after="48" w:line="276" w:lineRule="auto"/>
              <w:ind w:left="986"/>
              <w:jc w:val="left"/>
              <w:rPr>
                <w:b/>
                <w:noProof/>
                <w:sz w:val="16"/>
                <w:szCs w:val="16"/>
              </w:rPr>
            </w:pPr>
            <w:r>
              <w:rPr>
                <w:b/>
                <w:noProof/>
                <w:sz w:val="16"/>
              </w:rPr>
              <w:t>XX</w:t>
            </w:r>
            <w:r>
              <w:rPr>
                <w:noProof/>
                <w:sz w:val="16"/>
              </w:rPr>
              <w:t xml:space="preserve"> 01 xx </w:t>
            </w:r>
            <w:r>
              <w:rPr>
                <w:b/>
                <w:noProof/>
                <w:sz w:val="16"/>
              </w:rPr>
              <w:t>yy zz</w:t>
            </w:r>
            <w:r w:rsidR="00D9795C">
              <w:rPr>
                <w:b/>
                <w:noProof/>
                <w:sz w:val="16"/>
              </w:rPr>
              <w:t xml:space="preserve"> </w:t>
            </w:r>
            <w:r>
              <w:rPr>
                <w:rStyle w:val="FootnoteReference"/>
                <w:noProof/>
              </w:rPr>
              <w:footnoteReference w:id="56"/>
            </w:r>
          </w:p>
          <w:p w14:paraId="5FBE6220" w14:textId="77777777" w:rsidR="001B6AB1" w:rsidRPr="006918A0" w:rsidRDefault="001B6AB1" w:rsidP="00B330E1">
            <w:pPr>
              <w:spacing w:beforeLines="20" w:before="48" w:afterLines="20" w:after="48" w:line="276" w:lineRule="auto"/>
              <w:ind w:left="986"/>
              <w:jc w:val="left"/>
              <w:rPr>
                <w:b/>
                <w:noProof/>
                <w:sz w:val="16"/>
                <w:szCs w:val="16"/>
              </w:rPr>
            </w:pPr>
          </w:p>
        </w:tc>
        <w:tc>
          <w:tcPr>
            <w:tcW w:w="2378" w:type="dxa"/>
            <w:tcBorders>
              <w:top w:val="single" w:sz="6" w:space="0" w:color="auto"/>
              <w:left w:val="single" w:sz="6" w:space="0" w:color="auto"/>
              <w:bottom w:val="single" w:sz="6" w:space="0" w:color="auto"/>
              <w:right w:val="single" w:sz="6" w:space="0" w:color="auto"/>
            </w:tcBorders>
            <w:vAlign w:val="center"/>
          </w:tcPr>
          <w:p w14:paraId="25C747A2" w14:textId="77777777" w:rsidR="001B6AB1" w:rsidRPr="006918A0" w:rsidRDefault="001B6AB1" w:rsidP="00B330E1">
            <w:pPr>
              <w:spacing w:beforeLines="20" w:before="48" w:afterLines="20" w:after="48" w:line="276" w:lineRule="auto"/>
              <w:ind w:left="986"/>
              <w:jc w:val="left"/>
              <w:rPr>
                <w:b/>
                <w:noProof/>
                <w:sz w:val="16"/>
                <w:szCs w:val="16"/>
              </w:rPr>
            </w:pPr>
            <w:r>
              <w:rPr>
                <w:noProof/>
                <w:sz w:val="16"/>
              </w:rPr>
              <w:t>– päätoimipaikassa</w:t>
            </w:r>
          </w:p>
          <w:p w14:paraId="6913DBCE" w14:textId="77777777" w:rsidR="001B6AB1" w:rsidRPr="006918A0" w:rsidRDefault="001B6AB1" w:rsidP="00B330E1">
            <w:pPr>
              <w:spacing w:beforeLines="20" w:before="48" w:afterLines="20" w:after="48" w:line="276" w:lineRule="auto"/>
              <w:ind w:left="986"/>
              <w:jc w:val="left"/>
              <w:rPr>
                <w:b/>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39E45264" w14:textId="77777777" w:rsidR="001B6AB1" w:rsidRPr="006918A0" w:rsidRDefault="001B6AB1" w:rsidP="00B330E1">
            <w:pPr>
              <w:spacing w:beforeLines="20" w:before="48" w:afterLines="20" w:after="48" w:line="276" w:lineRule="auto"/>
              <w:ind w:left="850"/>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07399708"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4763B312"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56D996F9"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481BBB3" w14:textId="77777777" w:rsidR="001B6AB1" w:rsidRPr="006918A0" w:rsidRDefault="001B6AB1" w:rsidP="00B330E1">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300ABBCA" w14:textId="77777777" w:rsidR="001B6AB1" w:rsidRPr="006918A0" w:rsidRDefault="001B6AB1" w:rsidP="00B330E1">
            <w:pPr>
              <w:spacing w:beforeLines="20" w:before="48" w:afterLines="20" w:after="48" w:line="276" w:lineRule="auto"/>
              <w:jc w:val="center"/>
              <w:rPr>
                <w:noProof/>
                <w:sz w:val="16"/>
                <w:szCs w:val="16"/>
              </w:rPr>
            </w:pPr>
          </w:p>
        </w:tc>
      </w:tr>
      <w:tr w:rsidR="001B6AB1" w:rsidRPr="006918A0" w14:paraId="2E5825BF" w14:textId="77777777" w:rsidTr="00B330E1">
        <w:trPr>
          <w:gridBefore w:val="1"/>
          <w:wBefore w:w="15" w:type="dxa"/>
          <w:trHeight w:val="289"/>
          <w:jc w:val="center"/>
        </w:trPr>
        <w:tc>
          <w:tcPr>
            <w:tcW w:w="9871" w:type="dxa"/>
            <w:vMerge/>
            <w:vAlign w:val="center"/>
            <w:hideMark/>
          </w:tcPr>
          <w:p w14:paraId="050CE97A" w14:textId="77777777" w:rsidR="001B6AB1" w:rsidRPr="006918A0" w:rsidRDefault="001B6AB1" w:rsidP="00B330E1">
            <w:pPr>
              <w:spacing w:before="0" w:after="0" w:line="276" w:lineRule="auto"/>
              <w:jc w:val="left"/>
              <w:rPr>
                <w:b/>
                <w:noProof/>
                <w:sz w:val="16"/>
                <w:szCs w:val="16"/>
              </w:rPr>
            </w:pPr>
          </w:p>
        </w:tc>
        <w:tc>
          <w:tcPr>
            <w:tcW w:w="2378" w:type="dxa"/>
            <w:tcBorders>
              <w:top w:val="single" w:sz="6" w:space="0" w:color="auto"/>
              <w:left w:val="single" w:sz="6" w:space="0" w:color="auto"/>
              <w:bottom w:val="single" w:sz="6" w:space="0" w:color="auto"/>
              <w:right w:val="single" w:sz="6" w:space="0" w:color="auto"/>
            </w:tcBorders>
            <w:vAlign w:val="center"/>
            <w:hideMark/>
          </w:tcPr>
          <w:p w14:paraId="5B659734" w14:textId="77777777" w:rsidR="001B6AB1" w:rsidRPr="006918A0" w:rsidRDefault="001B6AB1" w:rsidP="00B330E1">
            <w:pPr>
              <w:spacing w:beforeLines="20" w:before="48" w:afterLines="20" w:after="48" w:line="276" w:lineRule="auto"/>
              <w:ind w:left="986"/>
              <w:jc w:val="left"/>
              <w:rPr>
                <w:b/>
                <w:noProof/>
                <w:sz w:val="16"/>
                <w:szCs w:val="16"/>
              </w:rPr>
            </w:pPr>
            <w:r>
              <w:rPr>
                <w:noProof/>
                <w:sz w:val="16"/>
              </w:rPr>
              <w:t xml:space="preserve">– EU:n ulkopuolisissa edustustoissa </w:t>
            </w:r>
          </w:p>
        </w:tc>
        <w:tc>
          <w:tcPr>
            <w:tcW w:w="731" w:type="dxa"/>
            <w:tcBorders>
              <w:top w:val="single" w:sz="6" w:space="0" w:color="auto"/>
              <w:left w:val="single" w:sz="6" w:space="0" w:color="auto"/>
              <w:bottom w:val="single" w:sz="6" w:space="0" w:color="auto"/>
              <w:right w:val="single" w:sz="6" w:space="0" w:color="auto"/>
            </w:tcBorders>
            <w:vAlign w:val="center"/>
          </w:tcPr>
          <w:p w14:paraId="63669455" w14:textId="77777777" w:rsidR="001B6AB1" w:rsidRPr="006918A0" w:rsidRDefault="001B6AB1" w:rsidP="00B330E1">
            <w:pPr>
              <w:spacing w:beforeLines="20" w:before="48" w:afterLines="20" w:after="48" w:line="276" w:lineRule="auto"/>
              <w:ind w:left="850"/>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155770A"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6C4A5A1"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112FA03"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000E2DEB" w14:textId="77777777" w:rsidR="001B6AB1" w:rsidRPr="006918A0" w:rsidRDefault="001B6AB1" w:rsidP="00B330E1">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3B044858" w14:textId="77777777" w:rsidR="001B6AB1" w:rsidRPr="006918A0" w:rsidRDefault="001B6AB1" w:rsidP="00B330E1">
            <w:pPr>
              <w:spacing w:beforeLines="20" w:before="48" w:afterLines="20" w:after="48" w:line="276" w:lineRule="auto"/>
              <w:jc w:val="center"/>
              <w:rPr>
                <w:noProof/>
                <w:sz w:val="16"/>
                <w:szCs w:val="16"/>
              </w:rPr>
            </w:pPr>
          </w:p>
        </w:tc>
      </w:tr>
      <w:tr w:rsidR="001B6AB1" w:rsidRPr="006918A0" w14:paraId="6A382A29" w14:textId="77777777" w:rsidTr="00B330E1">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06ACE655" w14:textId="77777777" w:rsidR="001B6AB1" w:rsidRPr="006918A0" w:rsidRDefault="001B6AB1" w:rsidP="00B330E1">
            <w:pPr>
              <w:spacing w:beforeLines="20" w:before="48" w:afterLines="20" w:after="48" w:line="276" w:lineRule="auto"/>
              <w:ind w:left="986"/>
              <w:jc w:val="left"/>
              <w:rPr>
                <w:noProof/>
                <w:sz w:val="16"/>
                <w:szCs w:val="16"/>
              </w:rPr>
            </w:pPr>
            <w:r>
              <w:rPr>
                <w:noProof/>
                <w:sz w:val="16"/>
              </w:rPr>
              <w:t>01 01 01 02</w:t>
            </w:r>
            <w:r>
              <w:rPr>
                <w:rFonts w:ascii="Arial Narrow" w:hAnsi="Arial Narrow"/>
                <w:noProof/>
                <w:color w:val="000000"/>
                <w:sz w:val="20"/>
              </w:rPr>
              <w:t xml:space="preserve"> </w:t>
            </w:r>
            <w:r>
              <w:rPr>
                <w:noProof/>
                <w:sz w:val="16"/>
              </w:rPr>
              <w:t>(sopimussuhteiset toimihenkilöt, kansalliset asiantuntijat ja vuokrahenkilöstö - epäsuora tutkimustoiminta)</w:t>
            </w:r>
          </w:p>
        </w:tc>
        <w:tc>
          <w:tcPr>
            <w:tcW w:w="731" w:type="dxa"/>
            <w:tcBorders>
              <w:top w:val="single" w:sz="6" w:space="0" w:color="auto"/>
              <w:left w:val="single" w:sz="6" w:space="0" w:color="auto"/>
              <w:bottom w:val="single" w:sz="6" w:space="0" w:color="auto"/>
              <w:right w:val="single" w:sz="6" w:space="0" w:color="auto"/>
            </w:tcBorders>
            <w:vAlign w:val="center"/>
          </w:tcPr>
          <w:p w14:paraId="320D0B78"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397DC419"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28D8D431"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21511EDD"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4019CD91" w14:textId="77777777" w:rsidR="001B6AB1" w:rsidRPr="006918A0" w:rsidRDefault="001B6AB1" w:rsidP="00B330E1">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38EFFFE1" w14:textId="77777777" w:rsidR="001B6AB1" w:rsidRPr="006918A0" w:rsidRDefault="001B6AB1" w:rsidP="00B330E1">
            <w:pPr>
              <w:spacing w:beforeLines="20" w:before="48" w:afterLines="20" w:after="48" w:line="276" w:lineRule="auto"/>
              <w:jc w:val="center"/>
              <w:rPr>
                <w:noProof/>
                <w:sz w:val="16"/>
                <w:szCs w:val="16"/>
              </w:rPr>
            </w:pPr>
          </w:p>
        </w:tc>
      </w:tr>
      <w:tr w:rsidR="001B6AB1" w:rsidRPr="006918A0" w14:paraId="2767A6D9" w14:textId="77777777" w:rsidTr="00B330E1">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07B6556B" w14:textId="77777777" w:rsidR="001B6AB1" w:rsidRPr="006918A0" w:rsidRDefault="001B6AB1" w:rsidP="00B330E1">
            <w:pPr>
              <w:spacing w:beforeLines="20" w:before="48" w:afterLines="20" w:after="48" w:line="276" w:lineRule="auto"/>
              <w:ind w:left="986"/>
              <w:jc w:val="left"/>
              <w:rPr>
                <w:noProof/>
                <w:color w:val="FF0000"/>
                <w:sz w:val="16"/>
                <w:szCs w:val="16"/>
              </w:rPr>
            </w:pPr>
            <w:r>
              <w:rPr>
                <w:noProof/>
                <w:sz w:val="16"/>
              </w:rPr>
              <w:t xml:space="preserve"> 01 01 01 12 (sopimussuhteiset toimihenkilöt, kansalliset asiantuntijat ja vuokrahenkilöstö - suora tutkimustoiminta)</w:t>
            </w:r>
          </w:p>
        </w:tc>
        <w:tc>
          <w:tcPr>
            <w:tcW w:w="731" w:type="dxa"/>
            <w:tcBorders>
              <w:top w:val="single" w:sz="6" w:space="0" w:color="auto"/>
              <w:left w:val="single" w:sz="6" w:space="0" w:color="auto"/>
              <w:bottom w:val="single" w:sz="6" w:space="0" w:color="auto"/>
              <w:right w:val="single" w:sz="6" w:space="0" w:color="auto"/>
            </w:tcBorders>
            <w:vAlign w:val="center"/>
          </w:tcPr>
          <w:p w14:paraId="78F79A46"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4DE6564E"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1889D750"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B15DDE4"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10EE7F1F" w14:textId="77777777" w:rsidR="001B6AB1" w:rsidRPr="006918A0" w:rsidRDefault="001B6AB1" w:rsidP="00B330E1">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288F9584" w14:textId="77777777" w:rsidR="001B6AB1" w:rsidRPr="006918A0" w:rsidRDefault="001B6AB1" w:rsidP="00B330E1">
            <w:pPr>
              <w:spacing w:beforeLines="20" w:before="48" w:afterLines="20" w:after="48" w:line="276" w:lineRule="auto"/>
              <w:jc w:val="center"/>
              <w:rPr>
                <w:noProof/>
                <w:sz w:val="16"/>
                <w:szCs w:val="16"/>
              </w:rPr>
            </w:pPr>
          </w:p>
        </w:tc>
      </w:tr>
      <w:tr w:rsidR="001B6AB1" w:rsidRPr="006918A0" w14:paraId="0CCDBA8C" w14:textId="77777777" w:rsidTr="00B330E1">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4E7887A8" w14:textId="77777777" w:rsidR="001B6AB1" w:rsidRPr="006918A0" w:rsidRDefault="001B6AB1" w:rsidP="00B330E1">
            <w:pPr>
              <w:spacing w:beforeLines="20" w:before="48" w:afterLines="20" w:after="48" w:line="276" w:lineRule="auto"/>
              <w:ind w:left="986"/>
              <w:jc w:val="left"/>
              <w:rPr>
                <w:noProof/>
                <w:sz w:val="16"/>
              </w:rPr>
            </w:pPr>
            <w:r>
              <w:rPr>
                <w:noProof/>
                <w:sz w:val="16"/>
              </w:rPr>
              <w:t>Muu budjettikohta (mikä?)</w:t>
            </w:r>
          </w:p>
        </w:tc>
        <w:tc>
          <w:tcPr>
            <w:tcW w:w="731" w:type="dxa"/>
            <w:tcBorders>
              <w:top w:val="single" w:sz="6" w:space="0" w:color="auto"/>
              <w:left w:val="single" w:sz="6" w:space="0" w:color="auto"/>
              <w:bottom w:val="single" w:sz="6" w:space="0" w:color="auto"/>
              <w:right w:val="single" w:sz="6" w:space="0" w:color="auto"/>
            </w:tcBorders>
            <w:vAlign w:val="center"/>
          </w:tcPr>
          <w:p w14:paraId="00F9140C"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6E82C5EE"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29F036CC"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F72EE5F" w14:textId="77777777" w:rsidR="001B6AB1" w:rsidRPr="006918A0" w:rsidRDefault="001B6AB1" w:rsidP="00B330E1">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72FB08A" w14:textId="77777777" w:rsidR="001B6AB1" w:rsidRPr="006918A0" w:rsidRDefault="001B6AB1" w:rsidP="00B330E1">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7B948C0D" w14:textId="77777777" w:rsidR="001B6AB1" w:rsidRPr="006918A0" w:rsidRDefault="001B6AB1" w:rsidP="00B330E1">
            <w:pPr>
              <w:spacing w:beforeLines="20" w:before="48" w:afterLines="20" w:after="48" w:line="276" w:lineRule="auto"/>
              <w:jc w:val="center"/>
              <w:rPr>
                <w:noProof/>
                <w:sz w:val="16"/>
                <w:szCs w:val="16"/>
              </w:rPr>
            </w:pPr>
          </w:p>
        </w:tc>
      </w:tr>
      <w:tr w:rsidR="001B6AB1" w:rsidRPr="006918A0" w14:paraId="2DD26364" w14:textId="77777777" w:rsidTr="00B330E1">
        <w:trPr>
          <w:gridBefore w:val="1"/>
          <w:wBefore w:w="15" w:type="dxa"/>
          <w:trHeight w:val="289"/>
          <w:jc w:val="center"/>
        </w:trPr>
        <w:tc>
          <w:tcPr>
            <w:tcW w:w="4754" w:type="dxa"/>
            <w:gridSpan w:val="2"/>
            <w:tcBorders>
              <w:top w:val="double" w:sz="4" w:space="0" w:color="auto"/>
              <w:left w:val="single" w:sz="6" w:space="0" w:color="auto"/>
              <w:bottom w:val="single" w:sz="6" w:space="0" w:color="auto"/>
              <w:right w:val="single" w:sz="6" w:space="0" w:color="auto"/>
            </w:tcBorders>
            <w:vAlign w:val="center"/>
            <w:hideMark/>
          </w:tcPr>
          <w:p w14:paraId="4B7A4F05" w14:textId="77777777" w:rsidR="001B6AB1" w:rsidRPr="006918A0" w:rsidRDefault="001B6AB1" w:rsidP="00B330E1">
            <w:pPr>
              <w:spacing w:beforeLines="20" w:before="48" w:afterLines="20" w:after="48" w:line="276" w:lineRule="auto"/>
              <w:ind w:left="986"/>
              <w:jc w:val="left"/>
              <w:rPr>
                <w:noProof/>
                <w:sz w:val="16"/>
                <w:szCs w:val="16"/>
              </w:rPr>
            </w:pPr>
            <w:r>
              <w:rPr>
                <w:b/>
                <w:noProof/>
                <w:sz w:val="16"/>
              </w:rPr>
              <w:t>YHTEENSÄ</w:t>
            </w:r>
          </w:p>
        </w:tc>
        <w:tc>
          <w:tcPr>
            <w:tcW w:w="731" w:type="dxa"/>
            <w:tcBorders>
              <w:top w:val="double" w:sz="4" w:space="0" w:color="auto"/>
              <w:left w:val="single" w:sz="6" w:space="0" w:color="auto"/>
              <w:bottom w:val="single" w:sz="6" w:space="0" w:color="auto"/>
              <w:right w:val="single" w:sz="6" w:space="0" w:color="auto"/>
            </w:tcBorders>
            <w:vAlign w:val="center"/>
            <w:hideMark/>
          </w:tcPr>
          <w:p w14:paraId="2E365B91" w14:textId="77777777" w:rsidR="001B6AB1" w:rsidRPr="006918A0" w:rsidRDefault="001B6AB1" w:rsidP="00B330E1">
            <w:pPr>
              <w:spacing w:beforeLines="20" w:before="48" w:afterLines="20" w:after="48" w:line="276" w:lineRule="auto"/>
              <w:jc w:val="center"/>
              <w:rPr>
                <w:b/>
                <w:noProof/>
                <w:sz w:val="16"/>
                <w:szCs w:val="16"/>
              </w:rPr>
            </w:pPr>
            <w:r>
              <w:rPr>
                <w:b/>
                <w:noProof/>
                <w:sz w:val="16"/>
              </w:rPr>
              <w:t>0,75</w:t>
            </w:r>
          </w:p>
        </w:tc>
        <w:tc>
          <w:tcPr>
            <w:tcW w:w="731" w:type="dxa"/>
            <w:tcBorders>
              <w:top w:val="double" w:sz="4" w:space="0" w:color="auto"/>
              <w:left w:val="single" w:sz="6" w:space="0" w:color="auto"/>
              <w:bottom w:val="single" w:sz="6" w:space="0" w:color="auto"/>
              <w:right w:val="single" w:sz="6" w:space="0" w:color="auto"/>
            </w:tcBorders>
            <w:vAlign w:val="center"/>
            <w:hideMark/>
          </w:tcPr>
          <w:p w14:paraId="7663A0F7" w14:textId="77777777" w:rsidR="001B6AB1" w:rsidRPr="006918A0" w:rsidRDefault="001B6AB1" w:rsidP="00B330E1">
            <w:pPr>
              <w:spacing w:beforeLines="20" w:before="48" w:afterLines="20" w:after="48" w:line="276" w:lineRule="auto"/>
              <w:jc w:val="center"/>
              <w:rPr>
                <w:b/>
                <w:noProof/>
                <w:sz w:val="16"/>
                <w:szCs w:val="16"/>
              </w:rPr>
            </w:pPr>
            <w:r>
              <w:rPr>
                <w:b/>
                <w:noProof/>
                <w:sz w:val="16"/>
              </w:rPr>
              <w:t>1</w:t>
            </w:r>
          </w:p>
        </w:tc>
        <w:tc>
          <w:tcPr>
            <w:tcW w:w="731" w:type="dxa"/>
            <w:tcBorders>
              <w:top w:val="double" w:sz="4" w:space="0" w:color="auto"/>
              <w:left w:val="single" w:sz="6" w:space="0" w:color="auto"/>
              <w:bottom w:val="single" w:sz="6" w:space="0" w:color="auto"/>
              <w:right w:val="single" w:sz="6" w:space="0" w:color="auto"/>
            </w:tcBorders>
            <w:vAlign w:val="center"/>
            <w:hideMark/>
          </w:tcPr>
          <w:p w14:paraId="67231505" w14:textId="77777777" w:rsidR="001B6AB1" w:rsidRPr="006918A0" w:rsidRDefault="001B6AB1" w:rsidP="00B330E1">
            <w:pPr>
              <w:spacing w:beforeLines="20" w:before="48" w:afterLines="20" w:after="48" w:line="276" w:lineRule="auto"/>
              <w:jc w:val="center"/>
              <w:rPr>
                <w:b/>
                <w:noProof/>
                <w:sz w:val="16"/>
                <w:szCs w:val="16"/>
              </w:rPr>
            </w:pPr>
            <w:r>
              <w:rPr>
                <w:b/>
                <w:noProof/>
                <w:sz w:val="16"/>
              </w:rPr>
              <w:t>1</w:t>
            </w:r>
          </w:p>
        </w:tc>
        <w:tc>
          <w:tcPr>
            <w:tcW w:w="731" w:type="dxa"/>
            <w:tcBorders>
              <w:top w:val="double" w:sz="4" w:space="0" w:color="auto"/>
              <w:left w:val="single" w:sz="6" w:space="0" w:color="auto"/>
              <w:bottom w:val="single" w:sz="6" w:space="0" w:color="auto"/>
              <w:right w:val="single" w:sz="6" w:space="0" w:color="auto"/>
            </w:tcBorders>
            <w:vAlign w:val="center"/>
            <w:hideMark/>
          </w:tcPr>
          <w:p w14:paraId="47EA533B" w14:textId="77777777" w:rsidR="001B6AB1" w:rsidRPr="006918A0" w:rsidRDefault="001B6AB1" w:rsidP="00B330E1">
            <w:pPr>
              <w:spacing w:beforeLines="20" w:before="48" w:afterLines="20" w:after="48" w:line="276" w:lineRule="auto"/>
              <w:jc w:val="center"/>
              <w:rPr>
                <w:b/>
                <w:noProof/>
                <w:sz w:val="16"/>
                <w:szCs w:val="16"/>
              </w:rPr>
            </w:pPr>
            <w:r>
              <w:rPr>
                <w:b/>
                <w:noProof/>
                <w:sz w:val="16"/>
              </w:rPr>
              <w:t>0,4</w:t>
            </w:r>
          </w:p>
        </w:tc>
        <w:tc>
          <w:tcPr>
            <w:tcW w:w="731" w:type="dxa"/>
            <w:tcBorders>
              <w:top w:val="double" w:sz="4" w:space="0" w:color="auto"/>
              <w:left w:val="single" w:sz="6" w:space="0" w:color="auto"/>
              <w:bottom w:val="single" w:sz="6" w:space="0" w:color="auto"/>
              <w:right w:val="single" w:sz="6" w:space="0" w:color="auto"/>
            </w:tcBorders>
            <w:vAlign w:val="center"/>
            <w:hideMark/>
          </w:tcPr>
          <w:p w14:paraId="0387E64A" w14:textId="77777777" w:rsidR="001B6AB1" w:rsidRPr="006918A0" w:rsidRDefault="001B6AB1" w:rsidP="00B330E1">
            <w:pPr>
              <w:spacing w:beforeLines="20" w:before="48" w:afterLines="20" w:after="48" w:line="276" w:lineRule="auto"/>
              <w:jc w:val="center"/>
              <w:rPr>
                <w:b/>
                <w:noProof/>
                <w:sz w:val="16"/>
                <w:szCs w:val="16"/>
              </w:rPr>
            </w:pPr>
            <w:r>
              <w:rPr>
                <w:b/>
                <w:noProof/>
                <w:sz w:val="16"/>
              </w:rPr>
              <w:t>0,1</w:t>
            </w:r>
          </w:p>
        </w:tc>
        <w:tc>
          <w:tcPr>
            <w:tcW w:w="1462" w:type="dxa"/>
            <w:tcBorders>
              <w:top w:val="double" w:sz="4" w:space="0" w:color="auto"/>
              <w:left w:val="single" w:sz="6" w:space="0" w:color="auto"/>
              <w:bottom w:val="single" w:sz="6" w:space="0" w:color="auto"/>
              <w:right w:val="single" w:sz="6" w:space="0" w:color="auto"/>
            </w:tcBorders>
            <w:vAlign w:val="center"/>
            <w:hideMark/>
          </w:tcPr>
          <w:p w14:paraId="0F9A4EEC" w14:textId="77777777" w:rsidR="001B6AB1" w:rsidRPr="006918A0" w:rsidRDefault="001B6AB1" w:rsidP="00B330E1">
            <w:pPr>
              <w:spacing w:beforeLines="20" w:before="48" w:afterLines="20" w:after="48" w:line="276" w:lineRule="auto"/>
              <w:jc w:val="right"/>
              <w:rPr>
                <w:b/>
                <w:noProof/>
                <w:sz w:val="16"/>
                <w:szCs w:val="16"/>
              </w:rPr>
            </w:pPr>
            <w:r>
              <w:rPr>
                <w:b/>
                <w:noProof/>
                <w:sz w:val="16"/>
              </w:rPr>
              <w:t>3,25</w:t>
            </w:r>
          </w:p>
        </w:tc>
      </w:tr>
    </w:tbl>
    <w:p w14:paraId="7B3BBAE2" w14:textId="77777777" w:rsidR="001B6AB1" w:rsidRPr="006918A0" w:rsidRDefault="001B6AB1" w:rsidP="001B6AB1">
      <w:pPr>
        <w:tabs>
          <w:tab w:val="left" w:pos="720"/>
        </w:tabs>
        <w:ind w:left="1134" w:hanging="283"/>
        <w:rPr>
          <w:rFonts w:eastAsia="Times New Roman"/>
          <w:noProof/>
          <w:lang w:eastAsia="de-DE"/>
        </w:rPr>
      </w:pPr>
    </w:p>
    <w:p w14:paraId="3D7D5BD9" w14:textId="77777777" w:rsidR="001B6AB1" w:rsidRPr="006918A0" w:rsidRDefault="001B6AB1" w:rsidP="001B6AB1">
      <w:pPr>
        <w:spacing w:after="60"/>
        <w:jc w:val="right"/>
        <w:rPr>
          <w:i/>
          <w:noProof/>
          <w:sz w:val="20"/>
        </w:rPr>
      </w:pPr>
      <w:r>
        <w:rPr>
          <w:i/>
          <w:noProof/>
          <w:sz w:val="20"/>
        </w:rPr>
        <w:t>Arvio kokoaikaiseksi henkilöstöksi muutettuna</w:t>
      </w:r>
    </w:p>
    <w:p w14:paraId="0D397578" w14:textId="77777777" w:rsidR="001B6AB1" w:rsidRPr="006918A0" w:rsidRDefault="001B6AB1" w:rsidP="001B6AB1">
      <w:pPr>
        <w:spacing w:before="60" w:after="60"/>
        <w:ind w:left="851"/>
        <w:rPr>
          <w:noProof/>
          <w:sz w:val="18"/>
          <w:szCs w:val="18"/>
        </w:rPr>
      </w:pPr>
      <w:r>
        <w:rPr>
          <w:b/>
          <w:noProof/>
          <w:sz w:val="18"/>
        </w:rPr>
        <w:t>XX</w:t>
      </w:r>
      <w:r>
        <w:rPr>
          <w:noProof/>
          <w:sz w:val="18"/>
        </w:rPr>
        <w:t xml:space="preserve"> viittaa kyseessä olevaan toimintalohkoon eli talousarvion osastoon.</w:t>
      </w:r>
    </w:p>
    <w:p w14:paraId="705C23B4" w14:textId="77777777" w:rsidR="001B6AB1" w:rsidRPr="006918A0" w:rsidRDefault="001B6AB1" w:rsidP="001B6AB1">
      <w:pPr>
        <w:ind w:left="850"/>
        <w:rPr>
          <w:noProof/>
          <w:sz w:val="18"/>
          <w:szCs w:val="18"/>
        </w:rPr>
      </w:pPr>
      <w:r>
        <w:rPr>
          <w:noProof/>
          <w:sz w:val="18"/>
        </w:rPr>
        <w:t>Henkilöresurssien tarve katetaan toimen hallinnointiin jo osoitetulla pääosaston henkilöstöllä ja/tai pääosastossa toteutettujen henkilöstön uudelleenjärjestelyjen tuloksena saadulla henkilöstöllä sekä tarvittaessa sellaisilla lisäresursseilla, jotka toimea hallinnoiva pääosasto voi saada käyttöönsä vuotuisessa määrärahojen jakomenettelyssä talousarvion puitteissa.</w:t>
      </w:r>
    </w:p>
    <w:p w14:paraId="19D2A98D" w14:textId="77777777" w:rsidR="001B6AB1" w:rsidRPr="006918A0" w:rsidRDefault="001B6AB1" w:rsidP="001B6AB1">
      <w:pPr>
        <w:rPr>
          <w:noProof/>
          <w:sz w:val="20"/>
        </w:rPr>
      </w:pPr>
      <w:bookmarkStart w:id="23" w:name="_Hlk114160563"/>
      <w:r>
        <w:rPr>
          <w:noProof/>
          <w:sz w:val="20"/>
        </w:rPr>
        <w:t>Kuvaus henkilöstön tehtävistä:</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1B6AB1" w:rsidRPr="006918A0" w14:paraId="2DA0DE4F" w14:textId="77777777" w:rsidTr="00B330E1">
        <w:tc>
          <w:tcPr>
            <w:tcW w:w="3240" w:type="dxa"/>
            <w:tcBorders>
              <w:top w:val="single" w:sz="2" w:space="0" w:color="auto"/>
              <w:left w:val="single" w:sz="2" w:space="0" w:color="auto"/>
              <w:bottom w:val="single" w:sz="2" w:space="0" w:color="auto"/>
              <w:right w:val="single" w:sz="2" w:space="0" w:color="auto"/>
            </w:tcBorders>
            <w:hideMark/>
          </w:tcPr>
          <w:bookmarkEnd w:id="23"/>
          <w:p w14:paraId="41BF551F" w14:textId="77777777" w:rsidR="001B6AB1" w:rsidRPr="006918A0" w:rsidRDefault="001B6AB1" w:rsidP="00B330E1">
            <w:pPr>
              <w:spacing w:line="276" w:lineRule="auto"/>
              <w:rPr>
                <w:noProof/>
                <w:sz w:val="20"/>
              </w:rPr>
            </w:pPr>
            <w:r>
              <w:rPr>
                <w:noProof/>
                <w:sz w:val="20"/>
              </w:rPr>
              <w:t>Virkamiehet ja väliaikaiset toimihenkilöt</w:t>
            </w:r>
          </w:p>
        </w:tc>
        <w:tc>
          <w:tcPr>
            <w:tcW w:w="7200" w:type="dxa"/>
            <w:tcBorders>
              <w:top w:val="single" w:sz="2" w:space="0" w:color="auto"/>
              <w:left w:val="single" w:sz="2" w:space="0" w:color="auto"/>
              <w:bottom w:val="single" w:sz="2" w:space="0" w:color="auto"/>
              <w:right w:val="single" w:sz="2" w:space="0" w:color="auto"/>
            </w:tcBorders>
            <w:hideMark/>
          </w:tcPr>
          <w:p w14:paraId="64316A5D" w14:textId="77777777" w:rsidR="001B6AB1" w:rsidRPr="006918A0" w:rsidRDefault="001B6AB1" w:rsidP="00B330E1">
            <w:pPr>
              <w:spacing w:line="276" w:lineRule="auto"/>
              <w:rPr>
                <w:noProof/>
                <w:sz w:val="20"/>
              </w:rPr>
            </w:pPr>
            <w:r>
              <w:rPr>
                <w:noProof/>
                <w:sz w:val="20"/>
              </w:rPr>
              <w:t xml:space="preserve">Kokousten valmistelu ja yhteydenpito jäsenvaltioihin; lomakkeita, tietoteknisiä sovelluksia ja keskusrekisteriä koskeva työ; </w:t>
            </w:r>
          </w:p>
          <w:p w14:paraId="56CA6566" w14:textId="77777777" w:rsidR="001B6AB1" w:rsidRPr="006918A0" w:rsidRDefault="001B6AB1" w:rsidP="00B330E1">
            <w:pPr>
              <w:spacing w:line="276" w:lineRule="auto"/>
              <w:rPr>
                <w:noProof/>
                <w:sz w:val="20"/>
              </w:rPr>
            </w:pPr>
            <w:r>
              <w:rPr>
                <w:noProof/>
                <w:sz w:val="20"/>
              </w:rPr>
              <w:t>ulkopuolisten toimeksisaajien käyttäminen tietojärjestelmää varten.</w:t>
            </w:r>
          </w:p>
        </w:tc>
      </w:tr>
      <w:tr w:rsidR="001B6AB1" w:rsidRPr="006918A0" w14:paraId="0C0AD343" w14:textId="77777777" w:rsidTr="00B330E1">
        <w:tc>
          <w:tcPr>
            <w:tcW w:w="3240" w:type="dxa"/>
            <w:tcBorders>
              <w:top w:val="single" w:sz="2" w:space="0" w:color="auto"/>
              <w:left w:val="single" w:sz="2" w:space="0" w:color="auto"/>
              <w:bottom w:val="single" w:sz="2" w:space="0" w:color="auto"/>
              <w:right w:val="single" w:sz="2" w:space="0" w:color="auto"/>
            </w:tcBorders>
            <w:hideMark/>
          </w:tcPr>
          <w:p w14:paraId="0F7D57E4" w14:textId="77777777" w:rsidR="001B6AB1" w:rsidRPr="006918A0" w:rsidRDefault="001B6AB1" w:rsidP="00B330E1">
            <w:pPr>
              <w:spacing w:before="60" w:after="60" w:line="276" w:lineRule="auto"/>
              <w:rPr>
                <w:noProof/>
                <w:sz w:val="20"/>
              </w:rPr>
            </w:pPr>
            <w:r>
              <w:rPr>
                <w:noProof/>
                <w:sz w:val="20"/>
              </w:rPr>
              <w:t>Ulkopuolinen henkilöstö</w:t>
            </w:r>
          </w:p>
        </w:tc>
        <w:tc>
          <w:tcPr>
            <w:tcW w:w="7200" w:type="dxa"/>
            <w:tcBorders>
              <w:top w:val="single" w:sz="2" w:space="0" w:color="auto"/>
              <w:left w:val="single" w:sz="2" w:space="0" w:color="auto"/>
              <w:bottom w:val="single" w:sz="2" w:space="0" w:color="auto"/>
              <w:right w:val="single" w:sz="2" w:space="0" w:color="auto"/>
            </w:tcBorders>
            <w:hideMark/>
          </w:tcPr>
          <w:p w14:paraId="56A17B7A" w14:textId="77777777" w:rsidR="001B6AB1" w:rsidRPr="006918A0" w:rsidRDefault="001B6AB1" w:rsidP="00B330E1">
            <w:pPr>
              <w:spacing w:line="276" w:lineRule="auto"/>
              <w:rPr>
                <w:noProof/>
                <w:sz w:val="20"/>
              </w:rPr>
            </w:pPr>
            <w:r>
              <w:rPr>
                <w:noProof/>
                <w:sz w:val="20"/>
              </w:rPr>
              <w:t>EI SOVELLETA</w:t>
            </w:r>
          </w:p>
        </w:tc>
      </w:tr>
    </w:tbl>
    <w:p w14:paraId="16575FF3" w14:textId="77777777" w:rsidR="001B6AB1" w:rsidRPr="006918A0" w:rsidRDefault="001B6AB1" w:rsidP="001B6AB1">
      <w:pPr>
        <w:spacing w:before="0" w:after="0"/>
        <w:jc w:val="left"/>
        <w:rPr>
          <w:noProof/>
        </w:rPr>
        <w:sectPr w:rsidR="001B6AB1" w:rsidRPr="006918A0" w:rsidSect="00811919">
          <w:pgSz w:w="11907" w:h="16840"/>
          <w:pgMar w:top="1134" w:right="1418" w:bottom="1134" w:left="1418" w:header="709" w:footer="709" w:gutter="0"/>
          <w:cols w:space="720"/>
          <w:docGrid w:linePitch="326"/>
        </w:sectPr>
      </w:pPr>
    </w:p>
    <w:p w14:paraId="3108A001" w14:textId="77777777" w:rsidR="001B6AB1" w:rsidRPr="006918A0" w:rsidRDefault="001B6AB1" w:rsidP="001B6AB1">
      <w:pPr>
        <w:pStyle w:val="ManualHeading3"/>
        <w:rPr>
          <w:noProof/>
        </w:rPr>
      </w:pPr>
      <w:bookmarkStart w:id="24" w:name="_Toc514938056"/>
      <w:bookmarkStart w:id="25" w:name="_Toc520485055"/>
      <w:r>
        <w:rPr>
          <w:noProof/>
        </w:rPr>
        <w:tab/>
        <w:t>3.2.4 Yhteensopivuus nykyisen monivuotisen rahoituskehyksen kanssa</w:t>
      </w:r>
      <w:bookmarkEnd w:id="24"/>
      <w:bookmarkEnd w:id="25"/>
      <w:r>
        <w:rPr>
          <w:noProof/>
        </w:rPr>
        <w:t xml:space="preserve"> </w:t>
      </w:r>
    </w:p>
    <w:p w14:paraId="32EF1F14" w14:textId="77777777" w:rsidR="001B6AB1" w:rsidRPr="006918A0" w:rsidRDefault="001B6AB1" w:rsidP="001B6AB1">
      <w:pPr>
        <w:ind w:left="850"/>
        <w:rPr>
          <w:noProof/>
        </w:rPr>
      </w:pPr>
      <w:bookmarkStart w:id="26" w:name="_Toc514938058"/>
      <w:bookmarkStart w:id="27" w:name="_Toc520485056"/>
      <w:r>
        <w:rPr>
          <w:noProof/>
        </w:rPr>
        <w:t>Ehdotus/aloite</w:t>
      </w:r>
    </w:p>
    <w:p w14:paraId="1A881E81" w14:textId="77777777" w:rsidR="001B6AB1" w:rsidRPr="006918A0" w:rsidRDefault="001B6AB1" w:rsidP="001B6AB1">
      <w:pPr>
        <w:tabs>
          <w:tab w:val="num" w:pos="1134"/>
        </w:tabs>
        <w:ind w:left="1134" w:hanging="283"/>
        <w:rPr>
          <w:rFonts w:eastAsia="Times New Roman"/>
          <w:noProof/>
        </w:rPr>
      </w:pPr>
      <w:r>
        <w:rPr>
          <w:rFonts w:ascii="Wingdings" w:hAnsi="Wingdings"/>
          <w:noProof/>
        </w:rPr>
        <w:t></w:t>
      </w:r>
      <w:r>
        <w:rPr>
          <w:noProof/>
        </w:rPr>
        <w:tab/>
        <w:t>voidaan rahoittaa kokonaan kohdentamalla menoja uudelleen monivuotisen rahoituskehyksen kyseisen otsakkeen sisällä.</w:t>
      </w:r>
    </w:p>
    <w:p w14:paraId="73070557" w14:textId="77777777" w:rsidR="001B6AB1" w:rsidRPr="006918A0" w:rsidRDefault="001B6AB1" w:rsidP="001B6AB1">
      <w:pPr>
        <w:pBdr>
          <w:top w:val="single" w:sz="4" w:space="1" w:color="auto"/>
          <w:left w:val="single" w:sz="4" w:space="4" w:color="auto"/>
          <w:bottom w:val="single" w:sz="4" w:space="1" w:color="auto"/>
          <w:right w:val="single" w:sz="4" w:space="4" w:color="auto"/>
        </w:pBdr>
        <w:ind w:left="850"/>
        <w:rPr>
          <w:noProof/>
          <w:sz w:val="20"/>
        </w:rPr>
      </w:pPr>
      <w:r>
        <w:rPr>
          <w:noProof/>
          <w:sz w:val="20"/>
        </w:rPr>
        <w:t>Selvitys rahoitussuunnitelmaan tarvittavista muutoksista, mainittava myös kyseeseen tulevat budjettikohdat ja määrät.</w:t>
      </w:r>
      <w:r>
        <w:rPr>
          <w:noProof/>
        </w:rPr>
        <w:t xml:space="preserve"> </w:t>
      </w:r>
      <w:r>
        <w:rPr>
          <w:noProof/>
          <w:sz w:val="20"/>
        </w:rPr>
        <w:t>Merkittävät rahoitussuunnitelman muutokset on esitettävä Excel-taulukkona.</w:t>
      </w:r>
    </w:p>
    <w:p w14:paraId="6F64C992" w14:textId="77777777" w:rsidR="001B6AB1" w:rsidRPr="006918A0" w:rsidRDefault="001B6AB1" w:rsidP="001B6AB1">
      <w:pPr>
        <w:tabs>
          <w:tab w:val="num" w:pos="1134"/>
        </w:tabs>
        <w:ind w:left="1134" w:hanging="283"/>
        <w:rPr>
          <w:rFonts w:eastAsia="Times New Roman"/>
          <w:noProof/>
        </w:rPr>
      </w:pPr>
      <w:r>
        <w:rPr>
          <w:rFonts w:ascii="Wingdings" w:hAnsi="Wingdings"/>
          <w:noProof/>
        </w:rPr>
        <w:sym w:font="Wingdings" w:char="F0A8"/>
      </w:r>
      <w:r>
        <w:rPr>
          <w:noProof/>
        </w:rPr>
        <w:tab/>
        <w:t>edellyttää monivuotisen rahoituskehyksen kyseiseen otsakkeeseen sisältyvän kohdentamattoman liikkumavaran ja/tai monivuotista rahoituskehystä koskevassa asetuksessa määriteltyjen erityisvälineiden käyttöä.</w:t>
      </w:r>
    </w:p>
    <w:p w14:paraId="0895E6B2" w14:textId="77777777" w:rsidR="001B6AB1" w:rsidRPr="006918A0" w:rsidRDefault="001B6AB1" w:rsidP="001B6AB1">
      <w:pPr>
        <w:pBdr>
          <w:top w:val="single" w:sz="4" w:space="1" w:color="auto"/>
          <w:left w:val="single" w:sz="4" w:space="4" w:color="auto"/>
          <w:bottom w:val="single" w:sz="4" w:space="1" w:color="auto"/>
          <w:right w:val="single" w:sz="4" w:space="4" w:color="auto"/>
        </w:pBdr>
        <w:ind w:left="850"/>
        <w:rPr>
          <w:noProof/>
          <w:sz w:val="20"/>
        </w:rPr>
      </w:pPr>
      <w:r>
        <w:rPr>
          <w:noProof/>
          <w:sz w:val="20"/>
        </w:rPr>
        <w:t>Selvitys tarvittavista toimenpiteistä, mainittava myös kyseeseen tulevat rahoituskehyksen otsakkeet, budjettikohdat ja määrät sekä ehdotetut välineet.</w:t>
      </w:r>
    </w:p>
    <w:p w14:paraId="79BFE97E" w14:textId="77777777" w:rsidR="001B6AB1" w:rsidRPr="006918A0" w:rsidRDefault="001B6AB1" w:rsidP="001B6AB1">
      <w:pPr>
        <w:tabs>
          <w:tab w:val="num" w:pos="1134"/>
        </w:tabs>
        <w:ind w:left="1134" w:hanging="283"/>
        <w:rPr>
          <w:rFonts w:eastAsia="Times New Roman"/>
          <w:noProof/>
        </w:rPr>
      </w:pPr>
      <w:r>
        <w:rPr>
          <w:rFonts w:ascii="Wingdings" w:hAnsi="Wingdings"/>
          <w:noProof/>
        </w:rPr>
        <w:sym w:font="Wingdings" w:char="F0A8"/>
      </w:r>
      <w:r>
        <w:rPr>
          <w:noProof/>
        </w:rPr>
        <w:tab/>
        <w:t>edellyttää monivuotisen rahoituskehyksen tarkistamista.</w:t>
      </w:r>
    </w:p>
    <w:p w14:paraId="526D74C4" w14:textId="77777777" w:rsidR="001B6AB1" w:rsidRPr="006918A0" w:rsidRDefault="001B6AB1" w:rsidP="001B6AB1">
      <w:pPr>
        <w:pBdr>
          <w:top w:val="single" w:sz="4" w:space="1" w:color="auto"/>
          <w:left w:val="single" w:sz="4" w:space="4" w:color="auto"/>
          <w:bottom w:val="single" w:sz="4" w:space="1" w:color="auto"/>
          <w:right w:val="single" w:sz="4" w:space="4" w:color="auto"/>
        </w:pBdr>
        <w:ind w:left="850"/>
        <w:rPr>
          <w:noProof/>
          <w:sz w:val="20"/>
        </w:rPr>
      </w:pPr>
      <w:r>
        <w:rPr>
          <w:noProof/>
          <w:sz w:val="20"/>
        </w:rPr>
        <w:t>Selvitys tarvittavista toimenpiteistä, mainittava myös kyseeseen tulevat rahoituskehyksen otsakkeet, budjettikohdat ja määrät</w:t>
      </w:r>
    </w:p>
    <w:p w14:paraId="4C2575EB" w14:textId="77777777" w:rsidR="001B6AB1" w:rsidRPr="006918A0" w:rsidRDefault="001B6AB1" w:rsidP="001B6AB1">
      <w:pPr>
        <w:pStyle w:val="ManualHeading3"/>
        <w:rPr>
          <w:noProof/>
          <w:szCs w:val="24"/>
        </w:rPr>
      </w:pPr>
      <w:r>
        <w:rPr>
          <w:noProof/>
        </w:rPr>
        <w:tab/>
        <w:t>3.2.5 Kolmansien osapuolten rahoitusosuudet</w:t>
      </w:r>
      <w:bookmarkEnd w:id="26"/>
      <w:bookmarkEnd w:id="27"/>
      <w:r>
        <w:rPr>
          <w:noProof/>
        </w:rPr>
        <w:t xml:space="preserve"> </w:t>
      </w:r>
    </w:p>
    <w:p w14:paraId="542995BB" w14:textId="77777777" w:rsidR="001B6AB1" w:rsidRPr="006918A0" w:rsidRDefault="001B6AB1" w:rsidP="001B6AB1">
      <w:pPr>
        <w:ind w:left="850"/>
        <w:rPr>
          <w:noProof/>
        </w:rPr>
      </w:pPr>
      <w:r>
        <w:rPr>
          <w:noProof/>
        </w:rPr>
        <w:t>Ehdotus/aloite</w:t>
      </w:r>
    </w:p>
    <w:p w14:paraId="5A620D36" w14:textId="77777777" w:rsidR="001B6AB1" w:rsidRPr="006918A0" w:rsidRDefault="001B6AB1" w:rsidP="001B6AB1">
      <w:pPr>
        <w:tabs>
          <w:tab w:val="num" w:pos="1134"/>
        </w:tabs>
        <w:ind w:left="1134" w:hanging="283"/>
        <w:rPr>
          <w:rFonts w:eastAsia="Times New Roman"/>
          <w:noProof/>
        </w:rPr>
      </w:pPr>
      <w:r>
        <w:rPr>
          <w:rFonts w:ascii="Wingdings" w:hAnsi="Wingdings"/>
          <w:noProof/>
        </w:rPr>
        <w:t></w:t>
      </w:r>
      <w:r>
        <w:rPr>
          <w:noProof/>
        </w:rPr>
        <w:tab/>
        <w:t>rahoittamiseen ei osallistu ulkopuolisia tahoja</w:t>
      </w:r>
    </w:p>
    <w:p w14:paraId="7EA1A821" w14:textId="77777777" w:rsidR="001B6AB1" w:rsidRPr="006918A0" w:rsidRDefault="001B6AB1" w:rsidP="001B6AB1">
      <w:pPr>
        <w:tabs>
          <w:tab w:val="num" w:pos="1134"/>
        </w:tabs>
        <w:ind w:left="1134" w:hanging="283"/>
        <w:rPr>
          <w:rFonts w:eastAsia="Times New Roman"/>
          <w:noProof/>
        </w:rPr>
      </w:pPr>
      <w:r>
        <w:rPr>
          <w:rFonts w:ascii="Wingdings" w:hAnsi="Wingdings"/>
          <w:noProof/>
        </w:rPr>
        <w:sym w:font="Wingdings" w:char="F0A8"/>
      </w:r>
      <w:r>
        <w:rPr>
          <w:noProof/>
        </w:rPr>
        <w:tab/>
        <w:t>rahoittamiseen osallistuu ulkopuolisia tahoja seuraavasti (arvio):</w:t>
      </w:r>
    </w:p>
    <w:p w14:paraId="1ABC0030" w14:textId="77777777" w:rsidR="001B6AB1" w:rsidRPr="006918A0" w:rsidRDefault="001B6AB1" w:rsidP="001B6AB1">
      <w:pPr>
        <w:jc w:val="right"/>
        <w:rPr>
          <w:noProof/>
          <w:sz w:val="20"/>
        </w:rPr>
      </w:pPr>
      <w:r>
        <w:rPr>
          <w:noProof/>
          <w:sz w:val="20"/>
        </w:rPr>
        <w:t>Määrärahat, milj. euroa (kolmen desimaalin tarkkuudella)</w:t>
      </w:r>
    </w:p>
    <w:tbl>
      <w:tblPr>
        <w:tblW w:w="10245"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39"/>
        <w:gridCol w:w="964"/>
        <w:gridCol w:w="964"/>
        <w:gridCol w:w="964"/>
        <w:gridCol w:w="964"/>
        <w:gridCol w:w="964"/>
        <w:gridCol w:w="964"/>
        <w:gridCol w:w="964"/>
        <w:gridCol w:w="1158"/>
      </w:tblGrid>
      <w:tr w:rsidR="001B6AB1" w:rsidRPr="006918A0" w14:paraId="2B7CF1FE" w14:textId="77777777" w:rsidTr="00B330E1">
        <w:trPr>
          <w:cantSplit/>
        </w:trPr>
        <w:tc>
          <w:tcPr>
            <w:tcW w:w="2340" w:type="dxa"/>
            <w:tcBorders>
              <w:top w:val="single" w:sz="6" w:space="0" w:color="auto"/>
              <w:left w:val="single" w:sz="6" w:space="0" w:color="auto"/>
              <w:bottom w:val="single" w:sz="6" w:space="0" w:color="auto"/>
              <w:right w:val="single" w:sz="6" w:space="0" w:color="auto"/>
            </w:tcBorders>
          </w:tcPr>
          <w:p w14:paraId="395FF134" w14:textId="77777777" w:rsidR="001B6AB1" w:rsidRPr="006918A0" w:rsidRDefault="001B6AB1" w:rsidP="00B330E1">
            <w:pPr>
              <w:spacing w:before="60" w:after="60" w:line="276" w:lineRule="auto"/>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hideMark/>
          </w:tcPr>
          <w:p w14:paraId="30B52179" w14:textId="77777777" w:rsidR="001B6AB1" w:rsidRPr="006918A0" w:rsidRDefault="001B6AB1" w:rsidP="00B330E1">
            <w:pPr>
              <w:spacing w:line="276" w:lineRule="auto"/>
              <w:jc w:val="center"/>
              <w:rPr>
                <w:noProof/>
                <w:sz w:val="20"/>
              </w:rPr>
            </w:pPr>
            <w:r>
              <w:rPr>
                <w:noProof/>
                <w:sz w:val="20"/>
              </w:rPr>
              <w:t>Vuosi</w:t>
            </w:r>
            <w:r>
              <w:rPr>
                <w:noProof/>
              </w:rPr>
              <w:t xml:space="preserve"> </w:t>
            </w:r>
            <w:r>
              <w:rPr>
                <w:b/>
                <w:noProof/>
                <w:sz w:val="20"/>
              </w:rPr>
              <w:t>N</w:t>
            </w:r>
            <w:r>
              <w:rPr>
                <w:rStyle w:val="FootnoteReference"/>
                <w:noProof/>
              </w:rPr>
              <w:footnoteReference w:id="57"/>
            </w:r>
          </w:p>
        </w:tc>
        <w:tc>
          <w:tcPr>
            <w:tcW w:w="964" w:type="dxa"/>
            <w:tcBorders>
              <w:top w:val="single" w:sz="6" w:space="0" w:color="auto"/>
              <w:left w:val="single" w:sz="6" w:space="0" w:color="auto"/>
              <w:bottom w:val="single" w:sz="6" w:space="0" w:color="auto"/>
              <w:right w:val="single" w:sz="6" w:space="0" w:color="auto"/>
            </w:tcBorders>
            <w:vAlign w:val="center"/>
            <w:hideMark/>
          </w:tcPr>
          <w:p w14:paraId="2FD1E0AC" w14:textId="77777777" w:rsidR="001B6AB1" w:rsidRPr="006918A0" w:rsidRDefault="001B6AB1" w:rsidP="00B330E1">
            <w:pPr>
              <w:spacing w:line="276" w:lineRule="auto"/>
              <w:jc w:val="center"/>
              <w:rPr>
                <w:noProof/>
                <w:sz w:val="20"/>
              </w:rPr>
            </w:pPr>
            <w:r>
              <w:rPr>
                <w:noProof/>
                <w:sz w:val="20"/>
              </w:rPr>
              <w:t>Vuosi</w:t>
            </w:r>
            <w:r>
              <w:rPr>
                <w:noProof/>
              </w:rPr>
              <w:t xml:space="preserve"> </w:t>
            </w:r>
            <w:r>
              <w:rPr>
                <w:b/>
                <w:noProof/>
                <w:sz w:val="20"/>
              </w:rPr>
              <w:t>N+ 1</w:t>
            </w:r>
          </w:p>
        </w:tc>
        <w:tc>
          <w:tcPr>
            <w:tcW w:w="964" w:type="dxa"/>
            <w:tcBorders>
              <w:top w:val="single" w:sz="6" w:space="0" w:color="auto"/>
              <w:left w:val="single" w:sz="6" w:space="0" w:color="auto"/>
              <w:bottom w:val="single" w:sz="6" w:space="0" w:color="auto"/>
              <w:right w:val="single" w:sz="6" w:space="0" w:color="auto"/>
            </w:tcBorders>
            <w:vAlign w:val="center"/>
            <w:hideMark/>
          </w:tcPr>
          <w:p w14:paraId="21A4E56D" w14:textId="77777777" w:rsidR="001B6AB1" w:rsidRPr="006918A0" w:rsidRDefault="001B6AB1" w:rsidP="00B330E1">
            <w:pPr>
              <w:spacing w:line="276" w:lineRule="auto"/>
              <w:jc w:val="center"/>
              <w:rPr>
                <w:noProof/>
                <w:sz w:val="20"/>
              </w:rPr>
            </w:pPr>
            <w:r>
              <w:rPr>
                <w:noProof/>
                <w:sz w:val="20"/>
              </w:rPr>
              <w:t>Vuosi</w:t>
            </w:r>
            <w:r>
              <w:rPr>
                <w:noProof/>
              </w:rPr>
              <w:t xml:space="preserve"> </w:t>
            </w:r>
            <w:r>
              <w:rPr>
                <w:b/>
                <w:noProof/>
                <w:sz w:val="20"/>
              </w:rPr>
              <w:t>N+ +2</w:t>
            </w:r>
          </w:p>
        </w:tc>
        <w:tc>
          <w:tcPr>
            <w:tcW w:w="964" w:type="dxa"/>
            <w:tcBorders>
              <w:top w:val="single" w:sz="6" w:space="0" w:color="auto"/>
              <w:left w:val="single" w:sz="6" w:space="0" w:color="auto"/>
              <w:bottom w:val="single" w:sz="6" w:space="0" w:color="auto"/>
              <w:right w:val="single" w:sz="6" w:space="0" w:color="auto"/>
            </w:tcBorders>
            <w:vAlign w:val="center"/>
            <w:hideMark/>
          </w:tcPr>
          <w:p w14:paraId="4E025040" w14:textId="77777777" w:rsidR="001B6AB1" w:rsidRPr="006918A0" w:rsidRDefault="001B6AB1" w:rsidP="00B330E1">
            <w:pPr>
              <w:spacing w:line="276" w:lineRule="auto"/>
              <w:jc w:val="center"/>
              <w:rPr>
                <w:noProof/>
                <w:sz w:val="20"/>
              </w:rPr>
            </w:pPr>
            <w:r>
              <w:rPr>
                <w:noProof/>
                <w:sz w:val="20"/>
              </w:rPr>
              <w:t>Vuosi</w:t>
            </w:r>
            <w:r>
              <w:rPr>
                <w:noProof/>
              </w:rPr>
              <w:t xml:space="preserve"> </w:t>
            </w:r>
            <w:r>
              <w:rPr>
                <w:b/>
                <w:noProof/>
                <w:sz w:val="20"/>
              </w:rPr>
              <w:t>N+ +3</w:t>
            </w:r>
          </w:p>
        </w:tc>
        <w:tc>
          <w:tcPr>
            <w:tcW w:w="2892" w:type="dxa"/>
            <w:gridSpan w:val="3"/>
            <w:tcBorders>
              <w:top w:val="single" w:sz="6" w:space="0" w:color="auto"/>
              <w:left w:val="single" w:sz="6" w:space="0" w:color="auto"/>
              <w:bottom w:val="single" w:sz="6" w:space="0" w:color="auto"/>
              <w:right w:val="single" w:sz="6" w:space="0" w:color="auto"/>
            </w:tcBorders>
            <w:vAlign w:val="center"/>
            <w:hideMark/>
          </w:tcPr>
          <w:p w14:paraId="49CD964B" w14:textId="77777777" w:rsidR="001B6AB1" w:rsidRPr="006918A0" w:rsidRDefault="001B6AB1" w:rsidP="00B330E1">
            <w:pPr>
              <w:spacing w:line="276" w:lineRule="auto"/>
              <w:jc w:val="center"/>
              <w:rPr>
                <w:b/>
                <w:noProof/>
                <w:sz w:val="20"/>
              </w:rPr>
            </w:pPr>
            <w:r>
              <w:rPr>
                <w:noProof/>
                <w:sz w:val="20"/>
              </w:rPr>
              <w:t>ja näitä seuraavat vuodet (ilmoitetaan kaikki vuodet, joille ehdotuksen/aloitteen vaikutukset ulottuvat, ks. kohta 1.6)</w:t>
            </w:r>
          </w:p>
        </w:tc>
        <w:tc>
          <w:tcPr>
            <w:tcW w:w="1158" w:type="dxa"/>
            <w:tcBorders>
              <w:top w:val="single" w:sz="6" w:space="0" w:color="auto"/>
              <w:left w:val="single" w:sz="6" w:space="0" w:color="auto"/>
              <w:bottom w:val="single" w:sz="6" w:space="0" w:color="auto"/>
              <w:right w:val="single" w:sz="6" w:space="0" w:color="auto"/>
            </w:tcBorders>
            <w:vAlign w:val="center"/>
            <w:hideMark/>
          </w:tcPr>
          <w:p w14:paraId="6F0B9C6D" w14:textId="77777777" w:rsidR="001B6AB1" w:rsidRPr="006918A0" w:rsidRDefault="001B6AB1" w:rsidP="00B330E1">
            <w:pPr>
              <w:spacing w:before="60" w:after="60" w:line="276" w:lineRule="auto"/>
              <w:jc w:val="center"/>
              <w:rPr>
                <w:noProof/>
                <w:sz w:val="20"/>
              </w:rPr>
            </w:pPr>
            <w:r>
              <w:rPr>
                <w:noProof/>
                <w:sz w:val="20"/>
              </w:rPr>
              <w:t>Yhteensä</w:t>
            </w:r>
          </w:p>
        </w:tc>
      </w:tr>
      <w:tr w:rsidR="001B6AB1" w:rsidRPr="006918A0" w14:paraId="3F239C78" w14:textId="77777777" w:rsidTr="00B330E1">
        <w:trPr>
          <w:cantSplit/>
        </w:trPr>
        <w:tc>
          <w:tcPr>
            <w:tcW w:w="2340" w:type="dxa"/>
            <w:tcBorders>
              <w:top w:val="single" w:sz="6" w:space="0" w:color="auto"/>
              <w:left w:val="single" w:sz="6" w:space="0" w:color="auto"/>
              <w:bottom w:val="single" w:sz="6" w:space="0" w:color="auto"/>
              <w:right w:val="single" w:sz="6" w:space="0" w:color="auto"/>
            </w:tcBorders>
            <w:hideMark/>
          </w:tcPr>
          <w:p w14:paraId="735C626E" w14:textId="77777777" w:rsidR="001B6AB1" w:rsidRPr="006918A0" w:rsidRDefault="001B6AB1" w:rsidP="00B330E1">
            <w:pPr>
              <w:spacing w:line="276" w:lineRule="auto"/>
              <w:rPr>
                <w:noProof/>
              </w:rPr>
            </w:pPr>
            <w:r>
              <w:rPr>
                <w:noProof/>
                <w:sz w:val="20"/>
              </w:rPr>
              <w:t>Rahoitukseen osallistuva taho</w:t>
            </w:r>
            <w:r>
              <w:rPr>
                <w:i/>
                <w:noProof/>
                <w:sz w:val="20"/>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14:paraId="3A3908E7" w14:textId="77777777" w:rsidR="001B6AB1" w:rsidRPr="006918A0" w:rsidRDefault="001B6AB1" w:rsidP="00B330E1">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391751F9" w14:textId="77777777" w:rsidR="001B6AB1" w:rsidRPr="006918A0" w:rsidRDefault="001B6AB1" w:rsidP="00B330E1">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EB07EF2" w14:textId="77777777" w:rsidR="001B6AB1" w:rsidRPr="006918A0" w:rsidRDefault="001B6AB1" w:rsidP="00B330E1">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402DA4F" w14:textId="77777777" w:rsidR="001B6AB1" w:rsidRPr="006918A0" w:rsidRDefault="001B6AB1" w:rsidP="00B330E1">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C7E0514" w14:textId="77777777" w:rsidR="001B6AB1" w:rsidRPr="006918A0" w:rsidRDefault="001B6AB1" w:rsidP="00B330E1">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995BE2F" w14:textId="77777777" w:rsidR="001B6AB1" w:rsidRPr="006918A0" w:rsidRDefault="001B6AB1" w:rsidP="00B330E1">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30ADFCD3" w14:textId="77777777" w:rsidR="001B6AB1" w:rsidRPr="006918A0" w:rsidRDefault="001B6AB1" w:rsidP="00B330E1">
            <w:pPr>
              <w:spacing w:before="60" w:after="60" w:line="276" w:lineRule="auto"/>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14:paraId="1DC8E5C6" w14:textId="77777777" w:rsidR="001B6AB1" w:rsidRPr="006918A0" w:rsidRDefault="001B6AB1" w:rsidP="00B330E1">
            <w:pPr>
              <w:spacing w:before="60" w:after="60" w:line="276" w:lineRule="auto"/>
              <w:jc w:val="center"/>
              <w:rPr>
                <w:noProof/>
                <w:sz w:val="20"/>
              </w:rPr>
            </w:pPr>
          </w:p>
        </w:tc>
      </w:tr>
      <w:tr w:rsidR="001B6AB1" w:rsidRPr="006918A0" w14:paraId="4157377B" w14:textId="77777777" w:rsidTr="00B330E1">
        <w:trPr>
          <w:cantSplit/>
        </w:trPr>
        <w:tc>
          <w:tcPr>
            <w:tcW w:w="2340" w:type="dxa"/>
            <w:tcBorders>
              <w:top w:val="single" w:sz="6" w:space="0" w:color="auto"/>
              <w:left w:val="single" w:sz="6" w:space="0" w:color="auto"/>
              <w:bottom w:val="single" w:sz="6" w:space="0" w:color="auto"/>
              <w:right w:val="single" w:sz="6" w:space="0" w:color="auto"/>
            </w:tcBorders>
            <w:hideMark/>
          </w:tcPr>
          <w:p w14:paraId="543682A1" w14:textId="77777777" w:rsidR="001B6AB1" w:rsidRPr="006918A0" w:rsidRDefault="001B6AB1" w:rsidP="00B330E1">
            <w:pPr>
              <w:spacing w:before="60" w:after="60" w:line="276" w:lineRule="auto"/>
              <w:jc w:val="left"/>
              <w:rPr>
                <w:noProof/>
                <w:sz w:val="20"/>
              </w:rPr>
            </w:pPr>
            <w:r>
              <w:rPr>
                <w:noProof/>
                <w:sz w:val="20"/>
              </w:rPr>
              <w:t xml:space="preserve">Yhteisrahoituksella katettavat määrärahat YHTEENSÄ </w:t>
            </w:r>
          </w:p>
        </w:tc>
        <w:tc>
          <w:tcPr>
            <w:tcW w:w="964" w:type="dxa"/>
            <w:tcBorders>
              <w:top w:val="single" w:sz="6" w:space="0" w:color="auto"/>
              <w:left w:val="single" w:sz="6" w:space="0" w:color="auto"/>
              <w:bottom w:val="single" w:sz="6" w:space="0" w:color="auto"/>
              <w:right w:val="single" w:sz="6" w:space="0" w:color="auto"/>
            </w:tcBorders>
            <w:vAlign w:val="center"/>
          </w:tcPr>
          <w:p w14:paraId="4A3E4EED" w14:textId="77777777" w:rsidR="001B6AB1" w:rsidRPr="006918A0" w:rsidRDefault="001B6AB1" w:rsidP="00B330E1">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366BE47" w14:textId="77777777" w:rsidR="001B6AB1" w:rsidRPr="006918A0" w:rsidRDefault="001B6AB1" w:rsidP="00B330E1">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79E7E04" w14:textId="77777777" w:rsidR="001B6AB1" w:rsidRPr="006918A0" w:rsidRDefault="001B6AB1" w:rsidP="00B330E1">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655193A" w14:textId="77777777" w:rsidR="001B6AB1" w:rsidRPr="006918A0" w:rsidRDefault="001B6AB1" w:rsidP="00B330E1">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9B57B46" w14:textId="77777777" w:rsidR="001B6AB1" w:rsidRPr="006918A0" w:rsidRDefault="001B6AB1" w:rsidP="00B330E1">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246DE8F" w14:textId="77777777" w:rsidR="001B6AB1" w:rsidRPr="006918A0" w:rsidRDefault="001B6AB1" w:rsidP="00B330E1">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3D4DB48" w14:textId="77777777" w:rsidR="001B6AB1" w:rsidRPr="006918A0" w:rsidRDefault="001B6AB1" w:rsidP="00B330E1">
            <w:pPr>
              <w:spacing w:before="60" w:after="60" w:line="276" w:lineRule="auto"/>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14:paraId="57ED2FFF" w14:textId="77777777" w:rsidR="001B6AB1" w:rsidRPr="006918A0" w:rsidRDefault="001B6AB1" w:rsidP="00B330E1">
            <w:pPr>
              <w:spacing w:before="60" w:after="60" w:line="276" w:lineRule="auto"/>
              <w:jc w:val="center"/>
              <w:rPr>
                <w:noProof/>
                <w:sz w:val="20"/>
              </w:rPr>
            </w:pPr>
          </w:p>
        </w:tc>
      </w:tr>
    </w:tbl>
    <w:p w14:paraId="49F84E76" w14:textId="77777777" w:rsidR="001B6AB1" w:rsidRPr="006918A0" w:rsidRDefault="001B6AB1" w:rsidP="001B6AB1">
      <w:pPr>
        <w:rPr>
          <w:noProof/>
        </w:rPr>
      </w:pPr>
      <w:r>
        <w:rPr>
          <w:noProof/>
        </w:rPr>
        <w:t xml:space="preserve"> </w:t>
      </w:r>
    </w:p>
    <w:p w14:paraId="55E6EA78" w14:textId="77777777" w:rsidR="001B6AB1" w:rsidRPr="006918A0" w:rsidRDefault="001B6AB1" w:rsidP="001B6AB1">
      <w:pPr>
        <w:pStyle w:val="ManualHeading2"/>
        <w:ind w:hanging="130"/>
        <w:rPr>
          <w:noProof/>
          <w:szCs w:val="24"/>
        </w:rPr>
      </w:pPr>
      <w:r>
        <w:rPr>
          <w:noProof/>
        </w:rPr>
        <w:br w:type="page"/>
      </w:r>
      <w:bookmarkStart w:id="28" w:name="_Toc514938059"/>
      <w:bookmarkStart w:id="29" w:name="_Toc520485057"/>
      <w:r>
        <w:rPr>
          <w:noProof/>
        </w:rPr>
        <w:t>3.3 Arvioitu vaikutus tuloihin</w:t>
      </w:r>
      <w:bookmarkEnd w:id="28"/>
      <w:bookmarkEnd w:id="29"/>
      <w:r>
        <w:rPr>
          <w:noProof/>
        </w:rPr>
        <w:t xml:space="preserve"> </w:t>
      </w:r>
    </w:p>
    <w:p w14:paraId="16BDE320" w14:textId="77777777" w:rsidR="001B6AB1" w:rsidRPr="006918A0" w:rsidRDefault="001B6AB1" w:rsidP="001B6AB1">
      <w:pPr>
        <w:tabs>
          <w:tab w:val="num" w:pos="1134"/>
        </w:tabs>
        <w:ind w:left="1134" w:hanging="283"/>
        <w:rPr>
          <w:rFonts w:eastAsia="Times New Roman"/>
          <w:noProof/>
        </w:rPr>
      </w:pPr>
      <w:r>
        <w:rPr>
          <w:rFonts w:ascii="Wingdings" w:hAnsi="Wingdings"/>
          <w:noProof/>
        </w:rPr>
        <w:t></w:t>
      </w:r>
      <w:r>
        <w:rPr>
          <w:noProof/>
        </w:rPr>
        <w:tab/>
        <w:t>Ehdotuksella/aloitteella ei ole vaikutuksia tuloihin.</w:t>
      </w:r>
    </w:p>
    <w:p w14:paraId="0DBEFAD3" w14:textId="77777777" w:rsidR="001B6AB1" w:rsidRPr="006918A0" w:rsidRDefault="001B6AB1" w:rsidP="001B6AB1">
      <w:pPr>
        <w:tabs>
          <w:tab w:val="num" w:pos="1134"/>
        </w:tabs>
        <w:ind w:left="1134" w:hanging="283"/>
        <w:rPr>
          <w:rFonts w:eastAsia="Times New Roman"/>
          <w:noProof/>
        </w:rPr>
      </w:pPr>
      <w:r>
        <w:rPr>
          <w:rFonts w:ascii="Wingdings" w:hAnsi="Wingdings"/>
          <w:noProof/>
        </w:rPr>
        <w:sym w:font="Wingdings" w:char="F0A8"/>
      </w:r>
      <w:r>
        <w:rPr>
          <w:noProof/>
        </w:rPr>
        <w:tab/>
        <w:t>Ehdotuksella/aloitteella on vaikutuksia tuloihin seuraavasti:</w:t>
      </w:r>
    </w:p>
    <w:p w14:paraId="72A92CF8" w14:textId="77777777" w:rsidR="001B6AB1" w:rsidRPr="006918A0" w:rsidRDefault="001B6AB1" w:rsidP="001B6AB1">
      <w:pPr>
        <w:numPr>
          <w:ilvl w:val="2"/>
          <w:numId w:val="0"/>
        </w:numPr>
        <w:tabs>
          <w:tab w:val="num" w:pos="2126"/>
        </w:tabs>
        <w:ind w:left="2126" w:hanging="709"/>
        <w:rPr>
          <w:rFonts w:eastAsia="Times New Roman"/>
          <w:noProof/>
        </w:rPr>
      </w:pPr>
      <w:r>
        <w:rPr>
          <w:rFonts w:ascii="Wingdings" w:hAnsi="Wingdings"/>
          <w:noProof/>
        </w:rPr>
        <w:sym w:font="Wingdings" w:char="F0A8"/>
      </w:r>
      <w:r>
        <w:rPr>
          <w:noProof/>
        </w:rPr>
        <w:tab/>
        <w:t xml:space="preserve">vaikutukset omiin varoihin </w:t>
      </w:r>
    </w:p>
    <w:p w14:paraId="5F2F0866" w14:textId="77777777" w:rsidR="001B6AB1" w:rsidRPr="006918A0" w:rsidRDefault="001B6AB1" w:rsidP="001B6AB1">
      <w:pPr>
        <w:numPr>
          <w:ilvl w:val="2"/>
          <w:numId w:val="0"/>
        </w:numPr>
        <w:tabs>
          <w:tab w:val="num" w:pos="2126"/>
        </w:tabs>
        <w:ind w:left="2126" w:hanging="709"/>
        <w:rPr>
          <w:rFonts w:eastAsia="Times New Roman"/>
          <w:noProof/>
        </w:rPr>
      </w:pPr>
      <w:r>
        <w:rPr>
          <w:rFonts w:ascii="Wingdings" w:hAnsi="Wingdings"/>
          <w:noProof/>
        </w:rPr>
        <w:sym w:font="Wingdings" w:char="F0A8"/>
      </w:r>
      <w:r>
        <w:rPr>
          <w:noProof/>
        </w:rPr>
        <w:tab/>
        <w:t>vaikutukset muihin tuloihin</w:t>
      </w:r>
    </w:p>
    <w:p w14:paraId="2A6216E2" w14:textId="77777777" w:rsidR="001B6AB1" w:rsidRPr="006918A0" w:rsidRDefault="001B6AB1" w:rsidP="001B6AB1">
      <w:pPr>
        <w:numPr>
          <w:ilvl w:val="2"/>
          <w:numId w:val="0"/>
        </w:numPr>
        <w:tabs>
          <w:tab w:val="num" w:pos="2126"/>
        </w:tabs>
        <w:ind w:left="2126" w:hanging="709"/>
        <w:rPr>
          <w:rFonts w:eastAsia="Times New Roman"/>
          <w:noProof/>
        </w:rPr>
      </w:pPr>
      <w:r>
        <w:rPr>
          <w:noProof/>
        </w:rPr>
        <w:t>tulot on kohdennettu menopuolen budjettikohtiin</w:t>
      </w:r>
      <w:r>
        <w:rPr>
          <w:rFonts w:ascii="Wingdings" w:hAnsi="Wingdings"/>
          <w:noProof/>
        </w:rPr>
        <w:sym w:font="Wingdings" w:char="F0A8"/>
      </w:r>
      <w:r>
        <w:rPr>
          <w:noProof/>
        </w:rPr>
        <w:tab/>
      </w:r>
    </w:p>
    <w:p w14:paraId="1014B02D" w14:textId="368A2FA0" w:rsidR="001B6AB1" w:rsidRPr="006918A0" w:rsidRDefault="00D9795C" w:rsidP="001B6AB1">
      <w:pPr>
        <w:ind w:left="4320"/>
        <w:rPr>
          <w:i/>
          <w:noProof/>
          <w:sz w:val="20"/>
        </w:rPr>
      </w:pPr>
      <w:r>
        <w:rPr>
          <w:noProof/>
        </w:rPr>
        <w:t xml:space="preserve">  </w:t>
      </w:r>
      <w:r w:rsidR="001B6AB1">
        <w:rPr>
          <w:noProof/>
        </w:rPr>
        <w:t xml:space="preserve"> milj. euroa (kolmen desimaalin tarkkuudella)</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325"/>
        <w:gridCol w:w="1031"/>
        <w:gridCol w:w="900"/>
        <w:gridCol w:w="900"/>
        <w:gridCol w:w="1080"/>
        <w:gridCol w:w="1080"/>
        <w:gridCol w:w="1080"/>
        <w:gridCol w:w="1080"/>
      </w:tblGrid>
      <w:tr w:rsidR="001B6AB1" w:rsidRPr="006918A0" w14:paraId="66B00809" w14:textId="77777777" w:rsidTr="00B330E1">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14:paraId="04B75A2F" w14:textId="77777777" w:rsidR="001B6AB1" w:rsidRPr="006918A0" w:rsidRDefault="001B6AB1" w:rsidP="00B330E1">
            <w:pPr>
              <w:spacing w:before="40" w:after="40" w:line="276" w:lineRule="auto"/>
              <w:rPr>
                <w:noProof/>
                <w:sz w:val="18"/>
              </w:rPr>
            </w:pPr>
            <w:r>
              <w:rPr>
                <w:noProof/>
                <w:sz w:val="18"/>
              </w:rPr>
              <w:t>Tulopuolen budjettikohta:</w:t>
            </w:r>
          </w:p>
        </w:tc>
        <w:tc>
          <w:tcPr>
            <w:tcW w:w="1325" w:type="dxa"/>
            <w:vMerge w:val="restart"/>
            <w:tcBorders>
              <w:top w:val="single" w:sz="4" w:space="0" w:color="auto"/>
              <w:left w:val="single" w:sz="4" w:space="0" w:color="auto"/>
              <w:bottom w:val="single" w:sz="4" w:space="0" w:color="auto"/>
              <w:right w:val="single" w:sz="4" w:space="0" w:color="auto"/>
            </w:tcBorders>
            <w:vAlign w:val="center"/>
            <w:hideMark/>
          </w:tcPr>
          <w:p w14:paraId="090B7A85" w14:textId="77777777" w:rsidR="001B6AB1" w:rsidRPr="006918A0" w:rsidRDefault="001B6AB1" w:rsidP="00B330E1">
            <w:pPr>
              <w:spacing w:line="276" w:lineRule="auto"/>
              <w:jc w:val="center"/>
              <w:rPr>
                <w:noProof/>
                <w:sz w:val="18"/>
              </w:rPr>
            </w:pPr>
            <w:r>
              <w:rPr>
                <w:noProof/>
                <w:sz w:val="18"/>
              </w:rPr>
              <w:t>Käytettävissä olevat määrärahat kuluvana varainhoitovuonna</w:t>
            </w:r>
          </w:p>
        </w:tc>
        <w:tc>
          <w:tcPr>
            <w:tcW w:w="7151" w:type="dxa"/>
            <w:gridSpan w:val="7"/>
            <w:tcBorders>
              <w:top w:val="single" w:sz="4" w:space="0" w:color="auto"/>
              <w:left w:val="single" w:sz="4" w:space="0" w:color="auto"/>
              <w:bottom w:val="single" w:sz="4" w:space="0" w:color="auto"/>
              <w:right w:val="single" w:sz="4" w:space="0" w:color="auto"/>
            </w:tcBorders>
            <w:vAlign w:val="center"/>
            <w:hideMark/>
          </w:tcPr>
          <w:p w14:paraId="1867F1B2" w14:textId="5CE1A9A1" w:rsidR="001B6AB1" w:rsidRPr="006918A0" w:rsidRDefault="001B6AB1" w:rsidP="00B330E1">
            <w:pPr>
              <w:spacing w:line="276" w:lineRule="auto"/>
              <w:jc w:val="center"/>
              <w:rPr>
                <w:noProof/>
                <w:sz w:val="18"/>
              </w:rPr>
            </w:pPr>
            <w:r>
              <w:rPr>
                <w:noProof/>
                <w:sz w:val="18"/>
              </w:rPr>
              <w:t>Ehdotuksen/aloitteen vaikutus</w:t>
            </w:r>
            <w:r w:rsidR="0021620D">
              <w:rPr>
                <w:rStyle w:val="FootnoteReference"/>
                <w:noProof/>
              </w:rPr>
              <w:footnoteReference w:id="58"/>
            </w:r>
          </w:p>
        </w:tc>
      </w:tr>
      <w:tr w:rsidR="001B6AB1" w:rsidRPr="006918A0" w14:paraId="6A8F897C" w14:textId="77777777" w:rsidTr="00B330E1">
        <w:trPr>
          <w:trHeight w:val="388"/>
        </w:trPr>
        <w:tc>
          <w:tcPr>
            <w:tcW w:w="2144" w:type="dxa"/>
            <w:vMerge/>
            <w:tcBorders>
              <w:top w:val="single" w:sz="4" w:space="0" w:color="auto"/>
              <w:left w:val="single" w:sz="4" w:space="0" w:color="auto"/>
              <w:bottom w:val="single" w:sz="4" w:space="0" w:color="auto"/>
              <w:right w:val="single" w:sz="4" w:space="0" w:color="auto"/>
            </w:tcBorders>
            <w:vAlign w:val="center"/>
            <w:hideMark/>
          </w:tcPr>
          <w:p w14:paraId="0A314153" w14:textId="77777777" w:rsidR="001B6AB1" w:rsidRPr="006918A0" w:rsidRDefault="001B6AB1" w:rsidP="00B330E1">
            <w:pPr>
              <w:spacing w:before="0" w:after="0" w:line="276" w:lineRule="auto"/>
              <w:jc w:val="left"/>
              <w:rPr>
                <w:noProof/>
                <w:sz w:val="18"/>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14:paraId="1EA3D0E4" w14:textId="77777777" w:rsidR="001B6AB1" w:rsidRPr="006918A0" w:rsidRDefault="001B6AB1" w:rsidP="00B330E1">
            <w:pPr>
              <w:spacing w:before="0" w:after="0" w:line="276" w:lineRule="auto"/>
              <w:jc w:val="left"/>
              <w:rPr>
                <w:noProof/>
                <w:sz w:val="18"/>
              </w:rPr>
            </w:pPr>
          </w:p>
        </w:tc>
        <w:tc>
          <w:tcPr>
            <w:tcW w:w="1031" w:type="dxa"/>
            <w:tcBorders>
              <w:top w:val="single" w:sz="4" w:space="0" w:color="auto"/>
              <w:left w:val="single" w:sz="4" w:space="0" w:color="auto"/>
              <w:bottom w:val="single" w:sz="4" w:space="0" w:color="auto"/>
              <w:right w:val="single" w:sz="4" w:space="0" w:color="auto"/>
            </w:tcBorders>
            <w:vAlign w:val="center"/>
            <w:hideMark/>
          </w:tcPr>
          <w:p w14:paraId="0D91761A" w14:textId="77777777" w:rsidR="001B6AB1" w:rsidRPr="006918A0" w:rsidRDefault="001B6AB1" w:rsidP="00B330E1">
            <w:pPr>
              <w:spacing w:line="276" w:lineRule="auto"/>
              <w:jc w:val="center"/>
              <w:rPr>
                <w:noProof/>
                <w:sz w:val="18"/>
              </w:rPr>
            </w:pPr>
            <w:r>
              <w:rPr>
                <w:noProof/>
                <w:sz w:val="18"/>
              </w:rPr>
              <w:t>Vuosi</w:t>
            </w:r>
            <w:r>
              <w:rPr>
                <w:noProof/>
              </w:rPr>
              <w:t xml:space="preserve"> </w:t>
            </w:r>
            <w:r>
              <w:rPr>
                <w:b/>
                <w:noProof/>
                <w:sz w:val="18"/>
              </w:rPr>
              <w:t>N</w:t>
            </w:r>
          </w:p>
        </w:tc>
        <w:tc>
          <w:tcPr>
            <w:tcW w:w="900" w:type="dxa"/>
            <w:tcBorders>
              <w:top w:val="single" w:sz="4" w:space="0" w:color="auto"/>
              <w:left w:val="single" w:sz="4" w:space="0" w:color="auto"/>
              <w:bottom w:val="single" w:sz="4" w:space="0" w:color="auto"/>
              <w:right w:val="single" w:sz="4" w:space="0" w:color="auto"/>
            </w:tcBorders>
            <w:vAlign w:val="center"/>
            <w:hideMark/>
          </w:tcPr>
          <w:p w14:paraId="206C6A8F" w14:textId="77777777" w:rsidR="001B6AB1" w:rsidRPr="006918A0" w:rsidRDefault="001B6AB1" w:rsidP="00B330E1">
            <w:pPr>
              <w:spacing w:line="276" w:lineRule="auto"/>
              <w:jc w:val="center"/>
              <w:rPr>
                <w:noProof/>
                <w:sz w:val="18"/>
              </w:rPr>
            </w:pPr>
            <w:r>
              <w:rPr>
                <w:noProof/>
                <w:sz w:val="18"/>
              </w:rPr>
              <w:t>Vuosi</w:t>
            </w:r>
            <w:r>
              <w:rPr>
                <w:noProof/>
              </w:rPr>
              <w:t xml:space="preserve"> </w:t>
            </w:r>
            <w:r>
              <w:rPr>
                <w:b/>
                <w:noProof/>
                <w:sz w:val="18"/>
              </w:rPr>
              <w:t>N+ 1</w:t>
            </w:r>
          </w:p>
        </w:tc>
        <w:tc>
          <w:tcPr>
            <w:tcW w:w="900" w:type="dxa"/>
            <w:tcBorders>
              <w:top w:val="single" w:sz="4" w:space="0" w:color="auto"/>
              <w:left w:val="single" w:sz="4" w:space="0" w:color="auto"/>
              <w:bottom w:val="single" w:sz="4" w:space="0" w:color="auto"/>
              <w:right w:val="single" w:sz="4" w:space="0" w:color="auto"/>
            </w:tcBorders>
            <w:vAlign w:val="center"/>
            <w:hideMark/>
          </w:tcPr>
          <w:p w14:paraId="7A40C2BE" w14:textId="77777777" w:rsidR="001B6AB1" w:rsidRPr="006918A0" w:rsidRDefault="001B6AB1" w:rsidP="00B330E1">
            <w:pPr>
              <w:spacing w:line="276" w:lineRule="auto"/>
              <w:jc w:val="center"/>
              <w:rPr>
                <w:noProof/>
                <w:sz w:val="18"/>
              </w:rPr>
            </w:pPr>
            <w:r>
              <w:rPr>
                <w:noProof/>
                <w:sz w:val="18"/>
              </w:rPr>
              <w:t>Vuosi</w:t>
            </w:r>
            <w:r>
              <w:rPr>
                <w:noProof/>
              </w:rPr>
              <w:t xml:space="preserve"> </w:t>
            </w:r>
            <w:r>
              <w:rPr>
                <w:b/>
                <w:noProof/>
                <w:sz w:val="18"/>
              </w:rPr>
              <w:t>N+ +2</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17BE837" w14:textId="77777777" w:rsidR="001B6AB1" w:rsidRPr="006918A0" w:rsidRDefault="001B6AB1" w:rsidP="00B330E1">
            <w:pPr>
              <w:spacing w:line="276" w:lineRule="auto"/>
              <w:jc w:val="center"/>
              <w:rPr>
                <w:noProof/>
                <w:sz w:val="18"/>
              </w:rPr>
            </w:pPr>
            <w:r>
              <w:rPr>
                <w:noProof/>
                <w:sz w:val="18"/>
              </w:rPr>
              <w:t>Vuosi</w:t>
            </w:r>
            <w:r>
              <w:rPr>
                <w:noProof/>
              </w:rPr>
              <w:t xml:space="preserve"> </w:t>
            </w:r>
            <w:r>
              <w:rPr>
                <w:b/>
                <w:noProof/>
                <w:sz w:val="18"/>
              </w:rPr>
              <w:t>N+ +3</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14:paraId="29883CC1" w14:textId="77777777" w:rsidR="001B6AB1" w:rsidRPr="006918A0" w:rsidRDefault="001B6AB1" w:rsidP="00B330E1">
            <w:pPr>
              <w:spacing w:line="276" w:lineRule="auto"/>
              <w:jc w:val="center"/>
              <w:rPr>
                <w:b/>
                <w:noProof/>
                <w:sz w:val="18"/>
              </w:rPr>
            </w:pPr>
            <w:r>
              <w:rPr>
                <w:noProof/>
                <w:sz w:val="18"/>
              </w:rPr>
              <w:t>ja näitä seuraavat vuodet (ilmoitetaan kaikki vuodet, joille ehdotuksen/aloitteen vaikutukset ulottuvat, ks. kohta 1.6)</w:t>
            </w:r>
          </w:p>
        </w:tc>
      </w:tr>
      <w:tr w:rsidR="001B6AB1" w:rsidRPr="006918A0" w14:paraId="1B5B3A61" w14:textId="77777777" w:rsidTr="00B330E1">
        <w:trPr>
          <w:trHeight w:val="388"/>
        </w:trPr>
        <w:tc>
          <w:tcPr>
            <w:tcW w:w="2144" w:type="dxa"/>
            <w:tcBorders>
              <w:top w:val="single" w:sz="4" w:space="0" w:color="auto"/>
              <w:left w:val="single" w:sz="4" w:space="0" w:color="auto"/>
              <w:bottom w:val="single" w:sz="4" w:space="0" w:color="auto"/>
              <w:right w:val="single" w:sz="4" w:space="0" w:color="auto"/>
            </w:tcBorders>
            <w:vAlign w:val="center"/>
            <w:hideMark/>
          </w:tcPr>
          <w:p w14:paraId="1F9A3DEE" w14:textId="77777777" w:rsidR="001B6AB1" w:rsidRPr="006918A0" w:rsidRDefault="001B6AB1" w:rsidP="00B330E1">
            <w:pPr>
              <w:spacing w:before="40" w:after="40" w:line="276" w:lineRule="auto"/>
              <w:rPr>
                <w:noProof/>
                <w:sz w:val="18"/>
              </w:rPr>
            </w:pPr>
            <w:r>
              <w:rPr>
                <w:noProof/>
                <w:sz w:val="18"/>
              </w:rPr>
              <w:t>Momentti ….</w:t>
            </w:r>
          </w:p>
        </w:tc>
        <w:tc>
          <w:tcPr>
            <w:tcW w:w="1325" w:type="dxa"/>
            <w:tcBorders>
              <w:top w:val="single" w:sz="4" w:space="0" w:color="auto"/>
              <w:left w:val="single" w:sz="4" w:space="0" w:color="auto"/>
              <w:bottom w:val="single" w:sz="4" w:space="0" w:color="auto"/>
              <w:right w:val="single" w:sz="4" w:space="0" w:color="auto"/>
            </w:tcBorders>
          </w:tcPr>
          <w:p w14:paraId="7B468BCE" w14:textId="77777777" w:rsidR="001B6AB1" w:rsidRPr="006918A0" w:rsidRDefault="001B6AB1" w:rsidP="00B330E1">
            <w:pPr>
              <w:spacing w:beforeLines="40" w:before="96" w:afterLines="40" w:after="96" w:line="276" w:lineRule="auto"/>
              <w:jc w:val="center"/>
              <w:rPr>
                <w:i/>
                <w:noProof/>
                <w:sz w:val="18"/>
              </w:rPr>
            </w:pPr>
          </w:p>
        </w:tc>
        <w:tc>
          <w:tcPr>
            <w:tcW w:w="1031" w:type="dxa"/>
            <w:tcBorders>
              <w:top w:val="single" w:sz="4" w:space="0" w:color="auto"/>
              <w:left w:val="single" w:sz="4" w:space="0" w:color="auto"/>
              <w:bottom w:val="single" w:sz="4" w:space="0" w:color="auto"/>
              <w:right w:val="single" w:sz="4" w:space="0" w:color="auto"/>
            </w:tcBorders>
          </w:tcPr>
          <w:p w14:paraId="5C6E4E74" w14:textId="77777777" w:rsidR="001B6AB1" w:rsidRPr="006918A0" w:rsidRDefault="001B6AB1" w:rsidP="00B330E1">
            <w:pPr>
              <w:spacing w:beforeLines="40" w:before="96" w:afterLines="40" w:after="96" w:line="276" w:lineRule="auto"/>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0EC49248" w14:textId="77777777" w:rsidR="001B6AB1" w:rsidRPr="006918A0" w:rsidRDefault="001B6AB1" w:rsidP="00B330E1">
            <w:pPr>
              <w:spacing w:beforeLines="40" w:before="96" w:afterLines="40" w:after="96" w:line="276" w:lineRule="auto"/>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262C9B57" w14:textId="77777777" w:rsidR="001B6AB1" w:rsidRPr="006918A0" w:rsidRDefault="001B6AB1" w:rsidP="00B330E1">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18502183" w14:textId="77777777" w:rsidR="001B6AB1" w:rsidRPr="006918A0" w:rsidRDefault="001B6AB1" w:rsidP="00B330E1">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55226E50" w14:textId="77777777" w:rsidR="001B6AB1" w:rsidRPr="006918A0" w:rsidRDefault="001B6AB1" w:rsidP="00B330E1">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24EED718" w14:textId="77777777" w:rsidR="001B6AB1" w:rsidRPr="006918A0" w:rsidRDefault="001B6AB1" w:rsidP="00B330E1">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79BE7A00" w14:textId="77777777" w:rsidR="001B6AB1" w:rsidRPr="006918A0" w:rsidRDefault="001B6AB1" w:rsidP="00B330E1">
            <w:pPr>
              <w:spacing w:beforeLines="40" w:before="96" w:afterLines="40" w:after="96" w:line="276" w:lineRule="auto"/>
              <w:jc w:val="center"/>
              <w:rPr>
                <w:noProof/>
                <w:sz w:val="18"/>
              </w:rPr>
            </w:pPr>
          </w:p>
        </w:tc>
      </w:tr>
    </w:tbl>
    <w:p w14:paraId="15DB4FC4" w14:textId="77777777" w:rsidR="001B6AB1" w:rsidRPr="006918A0" w:rsidRDefault="001B6AB1" w:rsidP="001B6AB1">
      <w:pPr>
        <w:ind w:left="850"/>
        <w:rPr>
          <w:noProof/>
          <w:sz w:val="20"/>
        </w:rPr>
      </w:pPr>
      <w:r>
        <w:rPr>
          <w:noProof/>
          <w:sz w:val="20"/>
        </w:rPr>
        <w:t>Vastaava(t) menopuolen budjettikohta (budjettikohdat) käyttötarkoitukseensa sidottujen tulojen tapauksessa:</w:t>
      </w:r>
    </w:p>
    <w:p w14:paraId="198FD258" w14:textId="77777777" w:rsidR="001B6AB1" w:rsidRPr="006918A0" w:rsidRDefault="001B6AB1" w:rsidP="001B6AB1">
      <w:pPr>
        <w:pBdr>
          <w:top w:val="single" w:sz="4" w:space="1" w:color="auto"/>
          <w:left w:val="single" w:sz="4" w:space="4" w:color="auto"/>
          <w:bottom w:val="single" w:sz="4" w:space="1" w:color="auto"/>
          <w:right w:val="single" w:sz="4" w:space="4" w:color="auto"/>
        </w:pBdr>
        <w:ind w:left="850"/>
        <w:rPr>
          <w:noProof/>
        </w:rPr>
      </w:pPr>
    </w:p>
    <w:p w14:paraId="3D854007" w14:textId="77777777" w:rsidR="001B6AB1" w:rsidRPr="006918A0" w:rsidRDefault="001B6AB1" w:rsidP="001B6AB1">
      <w:pPr>
        <w:ind w:left="850"/>
        <w:rPr>
          <w:noProof/>
          <w:sz w:val="20"/>
        </w:rPr>
      </w:pPr>
      <w:r>
        <w:rPr>
          <w:noProof/>
          <w:sz w:val="20"/>
        </w:rPr>
        <w:t>Muita huomautuksia (esim. tuloihin kohdistuvan vaikutuksen laskentamenetelmä/-kaava tai muita lisätietoja).</w:t>
      </w:r>
    </w:p>
    <w:p w14:paraId="3BF62003" w14:textId="77777777" w:rsidR="001B6AB1" w:rsidRPr="001956AF" w:rsidRDefault="001B6AB1" w:rsidP="001B6AB1">
      <w:pPr>
        <w:rPr>
          <w:noProof/>
        </w:rPr>
      </w:pPr>
    </w:p>
    <w:sectPr w:rsidR="001B6AB1" w:rsidRPr="001956AF" w:rsidSect="00811919">
      <w:pgSz w:w="11907" w:h="1683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8CF07" w14:textId="77777777" w:rsidR="006828FA" w:rsidRDefault="006828FA" w:rsidP="00977CF6">
      <w:pPr>
        <w:spacing w:before="0" w:after="0"/>
      </w:pPr>
      <w:r>
        <w:separator/>
      </w:r>
    </w:p>
  </w:endnote>
  <w:endnote w:type="continuationSeparator" w:id="0">
    <w:p w14:paraId="51A5C80C" w14:textId="77777777" w:rsidR="006828FA" w:rsidRDefault="006828FA" w:rsidP="00977CF6">
      <w:pPr>
        <w:spacing w:before="0" w:after="0"/>
      </w:pPr>
      <w:r>
        <w:continuationSeparator/>
      </w:r>
    </w:p>
  </w:endnote>
  <w:endnote w:type="continuationNotice" w:id="1">
    <w:p w14:paraId="54D9C0D1" w14:textId="77777777" w:rsidR="006828FA" w:rsidRDefault="006828F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00000001"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EUAlbertina">
    <w:altName w:val="Calibri"/>
    <w:charset w:val="00"/>
    <w:family w:val="roman"/>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A2B01" w14:textId="5D253D0C" w:rsidR="00977CF6" w:rsidRPr="00811919" w:rsidRDefault="00811919" w:rsidP="00811919">
    <w:pPr>
      <w:pStyle w:val="Footer"/>
      <w:rPr>
        <w:rFonts w:ascii="Arial" w:hAnsi="Arial" w:cs="Arial"/>
        <w:b/>
        <w:sz w:val="48"/>
      </w:rPr>
    </w:pPr>
    <w:r w:rsidRPr="00811919">
      <w:rPr>
        <w:rFonts w:ascii="Arial" w:hAnsi="Arial" w:cs="Arial"/>
        <w:b/>
        <w:sz w:val="48"/>
      </w:rPr>
      <w:t>FI</w:t>
    </w:r>
    <w:r w:rsidRPr="00811919">
      <w:rPr>
        <w:rFonts w:ascii="Arial" w:hAnsi="Arial" w:cs="Arial"/>
        <w:b/>
        <w:sz w:val="48"/>
      </w:rPr>
      <w:tab/>
    </w:r>
    <w:r w:rsidRPr="00811919">
      <w:rPr>
        <w:rFonts w:ascii="Arial" w:hAnsi="Arial" w:cs="Arial"/>
        <w:b/>
        <w:sz w:val="48"/>
      </w:rPr>
      <w:tab/>
    </w:r>
    <w:r w:rsidRPr="00811919">
      <w:tab/>
    </w:r>
    <w:r w:rsidRPr="00811919">
      <w:rPr>
        <w:rFonts w:ascii="Arial" w:hAnsi="Arial" w:cs="Arial"/>
        <w:b/>
        <w:sz w:val="48"/>
      </w:rPr>
      <w:t>FI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4898B" w14:textId="7A85A7A8" w:rsidR="00811919" w:rsidRPr="00811919" w:rsidRDefault="00811919" w:rsidP="00811919">
    <w:pPr>
      <w:pStyle w:val="Footer"/>
      <w:rPr>
        <w:rFonts w:ascii="Arial" w:hAnsi="Arial" w:cs="Arial"/>
        <w:b/>
        <w:sz w:val="48"/>
      </w:rPr>
    </w:pPr>
    <w:r w:rsidRPr="00811919">
      <w:rPr>
        <w:rFonts w:ascii="Arial" w:hAnsi="Arial" w:cs="Arial"/>
        <w:b/>
        <w:sz w:val="48"/>
      </w:rPr>
      <w:t>FI</w:t>
    </w:r>
    <w:r w:rsidRPr="00811919">
      <w:rPr>
        <w:rFonts w:ascii="Arial" w:hAnsi="Arial" w:cs="Arial"/>
        <w:b/>
        <w:sz w:val="48"/>
      </w:rPr>
      <w:tab/>
    </w:r>
    <w:r>
      <w:fldChar w:fldCharType="begin"/>
    </w:r>
    <w:r>
      <w:instrText xml:space="preserve"> PAGE  \* MERGEFORMAT </w:instrText>
    </w:r>
    <w:r>
      <w:fldChar w:fldCharType="separate"/>
    </w:r>
    <w:r w:rsidR="00257B53">
      <w:rPr>
        <w:noProof/>
      </w:rPr>
      <w:t>36</w:t>
    </w:r>
    <w:r>
      <w:fldChar w:fldCharType="end"/>
    </w:r>
    <w:r>
      <w:tab/>
    </w:r>
    <w:r w:rsidRPr="00811919">
      <w:tab/>
    </w:r>
    <w:r w:rsidRPr="00811919">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18143" w14:textId="77777777" w:rsidR="00811919" w:rsidRPr="00811919" w:rsidRDefault="00811919" w:rsidP="008119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200E8" w14:textId="665F0542" w:rsidR="00811919" w:rsidRPr="00811919" w:rsidRDefault="00811919" w:rsidP="00811919">
    <w:pPr>
      <w:pStyle w:val="FooterLandscape"/>
      <w:rPr>
        <w:rFonts w:ascii="Arial" w:hAnsi="Arial" w:cs="Arial"/>
        <w:b/>
        <w:sz w:val="48"/>
      </w:rPr>
    </w:pPr>
    <w:r w:rsidRPr="00811919">
      <w:rPr>
        <w:rFonts w:ascii="Arial" w:hAnsi="Arial" w:cs="Arial"/>
        <w:b/>
        <w:sz w:val="48"/>
      </w:rPr>
      <w:t>FI</w:t>
    </w:r>
    <w:r w:rsidRPr="0081191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811919">
      <w:tab/>
    </w:r>
    <w:r w:rsidRPr="00811919">
      <w:rPr>
        <w:rFonts w:ascii="Arial" w:hAnsi="Arial" w:cs="Arial"/>
        <w:b/>
        <w:sz w:val="48"/>
      </w:rPr>
      <w:t>FI</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ACF11" w14:textId="77777777" w:rsidR="00811919" w:rsidRPr="00811919" w:rsidRDefault="00811919" w:rsidP="00811919">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63F3D" w14:textId="5FC389D6" w:rsidR="001B6AB1" w:rsidRPr="00811919" w:rsidRDefault="00811919" w:rsidP="00811919">
    <w:pPr>
      <w:pStyle w:val="Footer"/>
      <w:rPr>
        <w:rFonts w:ascii="Arial" w:hAnsi="Arial" w:cs="Arial"/>
        <w:b/>
        <w:sz w:val="48"/>
      </w:rPr>
    </w:pPr>
    <w:r w:rsidRPr="00811919">
      <w:rPr>
        <w:rFonts w:ascii="Arial" w:hAnsi="Arial" w:cs="Arial"/>
        <w:b/>
        <w:sz w:val="48"/>
      </w:rPr>
      <w:t>FI</w:t>
    </w:r>
    <w:r w:rsidRPr="0081191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811919">
      <w:tab/>
    </w:r>
    <w:r w:rsidRPr="00811919">
      <w:rPr>
        <w:rFonts w:ascii="Arial" w:hAnsi="Arial" w:cs="Arial"/>
        <w:b/>
        <w:sz w:val="48"/>
      </w:rPr>
      <w:t>FI</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6334D" w14:textId="77777777" w:rsidR="00811919" w:rsidRPr="00811919" w:rsidRDefault="00811919" w:rsidP="00811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296B9" w14:textId="77777777" w:rsidR="006828FA" w:rsidRDefault="006828FA" w:rsidP="00977CF6">
      <w:pPr>
        <w:spacing w:before="0" w:after="0"/>
      </w:pPr>
      <w:r>
        <w:separator/>
      </w:r>
    </w:p>
  </w:footnote>
  <w:footnote w:type="continuationSeparator" w:id="0">
    <w:p w14:paraId="24404DAD" w14:textId="77777777" w:rsidR="006828FA" w:rsidRDefault="006828FA" w:rsidP="00977CF6">
      <w:pPr>
        <w:spacing w:before="0" w:after="0"/>
      </w:pPr>
      <w:r>
        <w:continuationSeparator/>
      </w:r>
    </w:p>
  </w:footnote>
  <w:footnote w:type="continuationNotice" w:id="1">
    <w:p w14:paraId="19AF1A5E" w14:textId="77777777" w:rsidR="006828FA" w:rsidRDefault="006828FA">
      <w:pPr>
        <w:spacing w:before="0" w:after="0"/>
      </w:pPr>
    </w:p>
  </w:footnote>
  <w:footnote w:id="2">
    <w:p w14:paraId="5FFED592" w14:textId="1DDC11C3" w:rsidR="7BA2523B" w:rsidRPr="00CB70BA" w:rsidRDefault="7BA2523B" w:rsidP="00166F1C">
      <w:pPr>
        <w:pStyle w:val="FootnoteText"/>
        <w:rPr>
          <w:rFonts w:eastAsia="Times New Roman"/>
          <w:sz w:val="16"/>
          <w:szCs w:val="16"/>
        </w:rPr>
      </w:pPr>
      <w:r>
        <w:rPr>
          <w:rStyle w:val="FootnoteReference"/>
        </w:rPr>
        <w:footnoteRef/>
      </w:r>
      <w:r w:rsidRPr="00CB70BA">
        <w:tab/>
        <w:t>Osinkojen lähdevero, kysely sijoittajille Euroopan unionissa, Better Finance, maaliskuu 2023.</w:t>
      </w:r>
    </w:p>
  </w:footnote>
  <w:footnote w:id="3">
    <w:p w14:paraId="360D29DC" w14:textId="02A47073" w:rsidR="00616FDE" w:rsidRPr="00CB70BA" w:rsidRDefault="00616FDE">
      <w:pPr>
        <w:pStyle w:val="FootnoteText"/>
      </w:pPr>
      <w:r>
        <w:rPr>
          <w:rStyle w:val="FootnoteReference"/>
        </w:rPr>
        <w:footnoteRef/>
      </w:r>
      <w:r w:rsidRPr="00CB70BA">
        <w:tab/>
      </w:r>
      <w:hyperlink r:id="rId1" w:history="1">
        <w:r w:rsidRPr="00CB70BA">
          <w:rPr>
            <w:rStyle w:val="Hyperlink"/>
          </w:rPr>
          <w:t>https://finance.ec.europa.eu/publications/retail-investment-package_en</w:t>
        </w:r>
      </w:hyperlink>
    </w:p>
  </w:footnote>
  <w:footnote w:id="4">
    <w:p w14:paraId="4E541DC0" w14:textId="5C4570C3" w:rsidR="00FE4542" w:rsidRPr="00CB70BA" w:rsidRDefault="00FE4542" w:rsidP="00654EF0">
      <w:pPr>
        <w:pStyle w:val="FootnoteText"/>
      </w:pPr>
      <w:r>
        <w:rPr>
          <w:rStyle w:val="FootnoteReference"/>
        </w:rPr>
        <w:footnoteRef/>
      </w:r>
      <w:r w:rsidRPr="00CB70BA">
        <w:tab/>
        <w:t>Komission suositus, annettu 19 päivänä lokakuuta 2009, lähdeveron alentamiseen sovellettavista menettelyistä (EUVL L 279, 24.10.2009, s. 8–11).</w:t>
      </w:r>
    </w:p>
  </w:footnote>
  <w:footnote w:id="5">
    <w:p w14:paraId="0C06352E" w14:textId="0783EB1B" w:rsidR="00FE4542" w:rsidRPr="00CB70BA" w:rsidRDefault="00FE4542">
      <w:pPr>
        <w:pStyle w:val="FootnoteText"/>
      </w:pPr>
      <w:r>
        <w:rPr>
          <w:rStyle w:val="FootnoteReference"/>
        </w:rPr>
        <w:footnoteRef/>
      </w:r>
      <w:r w:rsidRPr="00CB70BA">
        <w:tab/>
        <w:t xml:space="preserve">Euroopan komissio (2017), Code of conduct on withholding tax, verotuksen ja tulliliiton pääosasto, </w:t>
      </w:r>
      <w:hyperlink r:id="rId2" w:history="1">
        <w:r w:rsidRPr="00CB70BA">
          <w:rPr>
            <w:rStyle w:val="Hyperlink"/>
          </w:rPr>
          <w:t>https://taxation-customs.ec.europa.eu/system/files/2017-12/code_of_conduct_on_witholding_tax.pdf</w:t>
        </w:r>
      </w:hyperlink>
      <w:r w:rsidRPr="00CB70BA">
        <w:t>).</w:t>
      </w:r>
    </w:p>
  </w:footnote>
  <w:footnote w:id="6">
    <w:p w14:paraId="6532E4CC" w14:textId="1138BC73" w:rsidR="00FE4542" w:rsidRPr="001B6AB1" w:rsidRDefault="00FE4542">
      <w:pPr>
        <w:pStyle w:val="FootnoteText"/>
        <w:rPr>
          <w:lang w:val="en-IE"/>
        </w:rPr>
      </w:pPr>
      <w:r>
        <w:rPr>
          <w:rStyle w:val="FootnoteReference"/>
        </w:rPr>
        <w:footnoteRef/>
      </w:r>
      <w:r w:rsidRPr="001B6AB1">
        <w:rPr>
          <w:lang w:val="en-IE"/>
        </w:rPr>
        <w:tab/>
        <w:t>OECD (2013), TRACE implementation package for the adoption of the authorised intermediary system: A standardised system for effective withholding tax relief procedures for cross-border portfolio income (</w:t>
      </w:r>
      <w:hyperlink r:id="rId3" w:history="1">
        <w:r w:rsidRPr="001B6AB1">
          <w:rPr>
            <w:rStyle w:val="Hyperlink"/>
            <w:lang w:val="en-IE"/>
          </w:rPr>
          <w:t>https://www.oecd.org/ctp/exchange-of-tax-information/treatyreliefandcomplianceenhancementtrace.htm</w:t>
        </w:r>
      </w:hyperlink>
      <w:r w:rsidRPr="001B6AB1">
        <w:rPr>
          <w:lang w:val="en-IE"/>
        </w:rPr>
        <w:t>).</w:t>
      </w:r>
    </w:p>
  </w:footnote>
  <w:footnote w:id="7">
    <w:p w14:paraId="6C806410" w14:textId="1AE16CEA" w:rsidR="00095B62" w:rsidRPr="00CB70BA" w:rsidRDefault="00095B62">
      <w:pPr>
        <w:pStyle w:val="FootnoteText"/>
      </w:pPr>
      <w:r>
        <w:rPr>
          <w:rStyle w:val="FootnoteReference"/>
        </w:rPr>
        <w:footnoteRef/>
      </w:r>
      <w:r w:rsidRPr="00CB70BA">
        <w:tab/>
        <w:t>Ks. tähän ehdotukseen liittyvä vaikutustenarviointiraportti.</w:t>
      </w:r>
    </w:p>
  </w:footnote>
  <w:footnote w:id="8">
    <w:p w14:paraId="148BA09E" w14:textId="46F3ED81" w:rsidR="007D17F2" w:rsidRPr="00CB70BA" w:rsidRDefault="007D17F2" w:rsidP="00447FBE">
      <w:pPr>
        <w:pStyle w:val="FootnoteText"/>
      </w:pPr>
      <w:r>
        <w:rPr>
          <w:rStyle w:val="FootnoteReference"/>
        </w:rPr>
        <w:footnoteRef/>
      </w:r>
      <w:r w:rsidRPr="00CB70BA">
        <w:tab/>
        <w:t xml:space="preserve">Komission tiedonanto Euroopan parlamentille ja neuvostolle </w:t>
      </w:r>
      <w:r w:rsidRPr="00CB70BA">
        <w:rPr>
          <w:i/>
          <w:iCs/>
        </w:rPr>
        <w:t>Oikeudenmukaista ja yksinkertaista verotusta koskeva toimintasuunnitelma elpymisstrategian tueksi</w:t>
      </w:r>
      <w:r w:rsidRPr="00CB70BA">
        <w:t xml:space="preserve"> (COM/2020/312 final). </w:t>
      </w:r>
    </w:p>
  </w:footnote>
  <w:footnote w:id="9">
    <w:p w14:paraId="4B9D88F7" w14:textId="1D12F2BC" w:rsidR="007D17F2" w:rsidRPr="00CB70BA" w:rsidRDefault="007D17F2" w:rsidP="00447FBE">
      <w:pPr>
        <w:pStyle w:val="FootnoteText"/>
      </w:pPr>
      <w:r>
        <w:rPr>
          <w:rStyle w:val="FootnoteReference"/>
        </w:rPr>
        <w:footnoteRef/>
      </w:r>
      <w:r w:rsidRPr="00CB70BA">
        <w:tab/>
        <w:t xml:space="preserve">Komission tiedonanto Euroopan parlamentille, neuvostolle, Euroopan talous- ja sosiaalikomitealle ja alueiden komitealle </w:t>
      </w:r>
      <w:r w:rsidRPr="00CB70BA">
        <w:rPr>
          <w:i/>
          <w:iCs/>
        </w:rPr>
        <w:t>Pääomamarkkinaunioni ihmisille ja yrityksille – uusi toimintasuunnitelma</w:t>
      </w:r>
      <w:r w:rsidRPr="00CB70BA">
        <w:t xml:space="preserve"> (COM/2020/590 final).</w:t>
      </w:r>
    </w:p>
  </w:footnote>
  <w:footnote w:id="10">
    <w:p w14:paraId="759C5514" w14:textId="3484AF8F" w:rsidR="000023B2" w:rsidRPr="00CB70BA" w:rsidRDefault="002606C0" w:rsidP="00447FBE">
      <w:pPr>
        <w:pStyle w:val="FootnoteText"/>
      </w:pPr>
      <w:r>
        <w:rPr>
          <w:rStyle w:val="FootnoteReference"/>
        </w:rPr>
        <w:footnoteRef/>
      </w:r>
      <w:r w:rsidRPr="00CB70BA">
        <w:tab/>
        <w:t>Euroopan parlamentin päätöslauselma 10. maaliskuuta 2022 suosituksista komissiolle elpymisstrategiaa tukevasta oikeudenmukaisesta ja yksinkertaisesta verotuksesta (heinäkuussa 2020 annetun komission toimintasuunnitelman ja sen alv:tä, yritysverotusta ja henkilöverotusta koskevien 25 hankkeen seuranta Euroopan parlamentissa) (2020/2254 (INL)) (EUVL C 347, 9.9.2022, s. 211–222).</w:t>
      </w:r>
    </w:p>
  </w:footnote>
  <w:footnote w:id="11">
    <w:p w14:paraId="0978C8F2" w14:textId="42277E2B" w:rsidR="00DA383D" w:rsidRPr="00CB70BA" w:rsidRDefault="00DA383D">
      <w:pPr>
        <w:pStyle w:val="FootnoteText"/>
      </w:pPr>
      <w:r>
        <w:rPr>
          <w:rStyle w:val="FootnoteReference"/>
        </w:rPr>
        <w:footnoteRef/>
      </w:r>
      <w:r w:rsidRPr="00CB70BA">
        <w:tab/>
        <w:t>Euroopan parlamentin päätöslauselma 10. maaliskuuta 2022 eurooppalaisesta lähdeverokehyksestä (2021/2097(INI)).</w:t>
      </w:r>
    </w:p>
  </w:footnote>
  <w:footnote w:id="12">
    <w:p w14:paraId="31B3BB7D" w14:textId="24CD1032" w:rsidR="0097109C" w:rsidRPr="00CB70BA" w:rsidRDefault="0097109C">
      <w:pPr>
        <w:pStyle w:val="FootnoteText"/>
      </w:pPr>
      <w:r>
        <w:rPr>
          <w:rStyle w:val="FootnoteReference"/>
        </w:rPr>
        <w:footnoteRef/>
      </w:r>
      <w:r w:rsidRPr="00CB70BA">
        <w:tab/>
        <w:t>Euroopan parlamentin päätöslauselma 8. lokakuuta 2020 pääomamarkkinaunionin kehittämisen jatkamisesta: erityisesti pk-yritysten pääomamarkkinarahoituksen saannin parantaminen ja vähittäissijoittajien osallistumisen entistä suurempi mahdollistaminen (2020/2036(INI)).</w:t>
      </w:r>
    </w:p>
  </w:footnote>
  <w:footnote w:id="13">
    <w:p w14:paraId="79C195F2" w14:textId="514FB15F" w:rsidR="00095B62" w:rsidRPr="00CB70BA" w:rsidRDefault="00095B62">
      <w:pPr>
        <w:pStyle w:val="FootnoteText"/>
      </w:pPr>
      <w:r>
        <w:rPr>
          <w:rStyle w:val="FootnoteReference"/>
        </w:rPr>
        <w:footnoteRef/>
      </w:r>
      <w:r w:rsidRPr="00CB70BA">
        <w:tab/>
        <w:t>Ks. tähän ehdotukseen liittyvä vaikutustenarviointiraportti.</w:t>
      </w:r>
    </w:p>
  </w:footnote>
  <w:footnote w:id="14">
    <w:p w14:paraId="12A2614C" w14:textId="4B017566" w:rsidR="009E0D0A" w:rsidRPr="00CB70BA" w:rsidRDefault="009E0D0A" w:rsidP="00AC7C41">
      <w:pPr>
        <w:pStyle w:val="FootnoteText"/>
        <w:rPr>
          <w:highlight w:val="yellow"/>
        </w:rPr>
      </w:pPr>
      <w:r>
        <w:rPr>
          <w:rStyle w:val="FootnoteReference"/>
        </w:rPr>
        <w:footnoteRef/>
      </w:r>
      <w:r w:rsidRPr="00CB70BA">
        <w:tab/>
        <w:t>Neuvoston direktiivi (EU) 2016/1164, annettu 12 päivänä heinäkuuta 2016, sisämarkkinoiden toimintaan suoraan vaikuttavien veron kiertämisen käytäntöjen torjuntaa koskevien sääntöjen vahvistamisesta (EUVL L 193, 19.7.2016, s. 1).</w:t>
      </w:r>
    </w:p>
  </w:footnote>
  <w:footnote w:id="15">
    <w:p w14:paraId="7A7B682A" w14:textId="3AE95E2C" w:rsidR="009E0D0A" w:rsidRPr="00CB70BA" w:rsidRDefault="009E0D0A" w:rsidP="009E0D0A">
      <w:pPr>
        <w:pStyle w:val="FootnoteText"/>
      </w:pPr>
      <w:r>
        <w:rPr>
          <w:rStyle w:val="FootnoteReference"/>
        </w:rPr>
        <w:footnoteRef/>
      </w:r>
      <w:r w:rsidRPr="00CB70BA">
        <w:tab/>
        <w:t>Neuvoston direktiivi 2011/16/EU, annettu 15 päivänä helmikuuta 2011, hallinnollisesta yhteistyöstä verotuksen alalla ja direktiivin 77/799/ETY kumoamisesta (EUVL L 64, 11.3.2011, s. 1).</w:t>
      </w:r>
    </w:p>
  </w:footnote>
  <w:footnote w:id="16">
    <w:p w14:paraId="6B57FF01" w14:textId="4A68D1D3" w:rsidR="009E0D0A" w:rsidRPr="00CB70BA" w:rsidRDefault="009E0D0A" w:rsidP="009E0D0A">
      <w:pPr>
        <w:pStyle w:val="FootnoteText"/>
      </w:pPr>
      <w:r>
        <w:rPr>
          <w:rStyle w:val="FootnoteReference"/>
        </w:rPr>
        <w:footnoteRef/>
      </w:r>
      <w:r w:rsidRPr="00CB70BA">
        <w:tab/>
        <w:t>Neuvoston direktiivi 2014/107/EU, annettu 9 päivänä joulukuuta 2014, direktiivin 2011/16/EU muuttamisesta siltä osin kuin on kyse pakollisesta automaattisesta tietojenvaihdosta verotuksen alalla (EUVL L 359, 16.12.2014, s. 1–29).</w:t>
      </w:r>
    </w:p>
  </w:footnote>
  <w:footnote w:id="17">
    <w:p w14:paraId="29DEAAFF" w14:textId="4261E316" w:rsidR="009E0D0A" w:rsidRPr="00CB70BA" w:rsidRDefault="009E0D0A" w:rsidP="009E0D0A">
      <w:pPr>
        <w:pStyle w:val="FootnoteText"/>
      </w:pPr>
      <w:r>
        <w:rPr>
          <w:rStyle w:val="FootnoteReference"/>
        </w:rPr>
        <w:footnoteRef/>
      </w:r>
      <w:r w:rsidRPr="00CB70BA">
        <w:tab/>
        <w:t>Neuvoston direktiivi (EU) 2018/822, annettu 25 päivänä toukokuuta 2018, direktiivin 2011/16/EU muuttamisesta siltä osin kuin on kyse raportoitavia rajatylittäviä järjestelyjä koskevasta pakollisesta automaattisesta tietojenvaihdosta verotuksen alalla</w:t>
      </w:r>
      <w:r w:rsidRPr="00CB70BA">
        <w:rPr>
          <w:rFonts w:ascii="Roboto" w:hAnsi="Roboto"/>
          <w:b/>
          <w:color w:val="333333"/>
          <w:sz w:val="21"/>
          <w:shd w:val="clear" w:color="auto" w:fill="FFFFFF"/>
        </w:rPr>
        <w:t xml:space="preserve"> </w:t>
      </w:r>
      <w:r w:rsidRPr="00CB70BA">
        <w:t>(EUVL L 139, 5.6.2018, s. 1–13).</w:t>
      </w:r>
    </w:p>
  </w:footnote>
  <w:footnote w:id="18">
    <w:p w14:paraId="5E52C630" w14:textId="4E60C356" w:rsidR="00E104B3" w:rsidRPr="00CB70BA" w:rsidRDefault="00E104B3">
      <w:pPr>
        <w:pStyle w:val="FootnoteText"/>
      </w:pPr>
      <w:r>
        <w:rPr>
          <w:rStyle w:val="FootnoteReference"/>
        </w:rPr>
        <w:footnoteRef/>
      </w:r>
      <w:r w:rsidRPr="00CB70BA">
        <w:tab/>
        <w:t xml:space="preserve">Ehdotus neuvoston direktiiviksi, annettu 22 päivänä joulukuuta 2021, kuoriyhtiöiden verotustarkoituksiin tapahtuvan väärinkäytön estämistä koskevista säännöistä ja direktiivin 2011/16/EU muuttamisesta (COM(2021)565). </w:t>
      </w:r>
    </w:p>
  </w:footnote>
  <w:footnote w:id="19">
    <w:p w14:paraId="2889F934" w14:textId="3DF5DAA9" w:rsidR="009002EC" w:rsidRPr="00CB70BA" w:rsidRDefault="009002EC" w:rsidP="00B837EB">
      <w:pPr>
        <w:pStyle w:val="FootnoteText"/>
      </w:pPr>
      <w:r>
        <w:rPr>
          <w:rStyle w:val="FootnoteReference"/>
        </w:rPr>
        <w:footnoteRef/>
      </w:r>
      <w:r w:rsidRPr="00CB70BA">
        <w:tab/>
        <w:t>Neuvoston direktiivi 2011/96/EU, annettu 30 päivänä marraskuuta 2011, eri jäsenvaltioissa sijaitseviin emo- ja tytäryhtiöihin sovellettavasta yhteisestä verojärjestelmästä (uudelleenlaadittu) (EUVL L 345, 29.12.2011, s. 8–16).</w:t>
      </w:r>
    </w:p>
  </w:footnote>
  <w:footnote w:id="20">
    <w:p w14:paraId="502A0A98" w14:textId="1F085C2A" w:rsidR="009002EC" w:rsidRPr="00CB70BA" w:rsidRDefault="009002EC" w:rsidP="00B837EB">
      <w:pPr>
        <w:pStyle w:val="FootnoteText"/>
      </w:pPr>
      <w:r>
        <w:rPr>
          <w:rStyle w:val="FootnoteReference"/>
        </w:rPr>
        <w:footnoteRef/>
      </w:r>
      <w:r w:rsidRPr="00CB70BA">
        <w:tab/>
        <w:t>Neuvoston direktiivi 2003/49/EY, annettu 3 päivänä kesäkuuta 2003, eri jäsenvaltioissa sijaitsevien lähiyhtiöiden välisiin korko- ja rojaltimaksuihin sovellettavasta yhteisestä verotusjärjestelmästä (EUVL L 157, 26.6.2003, s. 49–54).</w:t>
      </w:r>
    </w:p>
  </w:footnote>
  <w:footnote w:id="21">
    <w:p w14:paraId="77E546BA" w14:textId="163A74C9" w:rsidR="003962D4" w:rsidRPr="00CB70BA" w:rsidRDefault="003962D4" w:rsidP="00BE5252">
      <w:pPr>
        <w:pStyle w:val="FootnoteText"/>
      </w:pPr>
      <w:r>
        <w:rPr>
          <w:rStyle w:val="FootnoteReference"/>
        </w:rPr>
        <w:footnoteRef/>
      </w:r>
      <w:r w:rsidRPr="00CB70BA">
        <w:tab/>
        <w:t>Ehdotus Euroopan parlamentin ja neuvoston direktiiviksi direktiivien 2009/65/EY, 2009/138/EY, 2011/61/EU, 2014/65/EU ja (EU) 2016/97 muuttamisesta vähittäissijoittajien suojaa koskevien unionin sääntöjen osalta (COM/2023/279 final).</w:t>
      </w:r>
    </w:p>
  </w:footnote>
  <w:footnote w:id="22">
    <w:p w14:paraId="31D741C9" w14:textId="29B4CA65" w:rsidR="00297E62" w:rsidRPr="00CB70BA" w:rsidRDefault="00297E62">
      <w:pPr>
        <w:pStyle w:val="FootnoteText"/>
      </w:pPr>
      <w:r>
        <w:rPr>
          <w:rStyle w:val="FootnoteReference"/>
        </w:rPr>
        <w:footnoteRef/>
      </w:r>
      <w:r w:rsidRPr="00CB70BA">
        <w:tab/>
        <w:t>Euroopan parlamentin ja neuvoston direktiivi (EU) 2017/828, annettu 17 päivänä toukokuuta 2017, direktiivin 2007/36/EY muuttamisesta osakkeenomistajien pitkäaikaiseen vaikuttamiseen kannustamisen osalta.</w:t>
      </w:r>
    </w:p>
  </w:footnote>
  <w:footnote w:id="23">
    <w:p w14:paraId="2A038B5F" w14:textId="31B5F4B4" w:rsidR="0055469A" w:rsidRPr="00CB70BA" w:rsidRDefault="0055469A">
      <w:pPr>
        <w:pStyle w:val="FootnoteText"/>
      </w:pPr>
      <w:r>
        <w:rPr>
          <w:rStyle w:val="FootnoteReference"/>
        </w:rPr>
        <w:footnoteRef/>
      </w:r>
      <w:r w:rsidRPr="00CB70BA">
        <w:tab/>
        <w:t>Alustava vaikutustenarviointi – Ares(2021)5900310 (</w:t>
      </w:r>
      <w:hyperlink r:id="rId4" w:history="1">
        <w:r w:rsidRPr="00CB70BA">
          <w:rPr>
            <w:rStyle w:val="Hyperlink"/>
          </w:rPr>
          <w:t>https://ec.europa.eu/info/law/better-regulation/have-your-say/initiatives/13031-Withholding-taxes-new-EU-system-to-avoid-double-taxation_fi</w:t>
        </w:r>
      </w:hyperlink>
      <w:r w:rsidRPr="00CB70BA">
        <w:t>)</w:t>
      </w:r>
    </w:p>
  </w:footnote>
  <w:footnote w:id="24">
    <w:p w14:paraId="65067CB3" w14:textId="4BD31983" w:rsidR="00FC34D1" w:rsidRPr="00CB70BA" w:rsidRDefault="00FC34D1" w:rsidP="000F16D6">
      <w:pPr>
        <w:pStyle w:val="FootnoteText"/>
      </w:pPr>
      <w:r>
        <w:rPr>
          <w:rStyle w:val="FootnoteReference"/>
        </w:rPr>
        <w:footnoteRef/>
      </w:r>
      <w:r w:rsidRPr="00CB70BA">
        <w:tab/>
        <w:t>Euroopan parlamentin ja neuvoston asetus (EU) N:o 910/2014, annettu 23 päivänä heinäkuuta 2014, sähköisestä tunnistamisesta ja sähköisiin transaktioihin liittyvistä luottamuspalveluista sisämarkkinoilla ja direktiivin 1999/93/EY kumoamisesta (EUVL L 257, 28.8.2014, s. 73–114).</w:t>
      </w:r>
    </w:p>
  </w:footnote>
  <w:footnote w:id="25">
    <w:p w14:paraId="44EAB9EA" w14:textId="1271A563" w:rsidR="00FC34D1" w:rsidRPr="00CB70BA" w:rsidRDefault="00FC34D1" w:rsidP="000F16D6">
      <w:pPr>
        <w:pStyle w:val="FootnoteText"/>
      </w:pPr>
      <w:r>
        <w:rPr>
          <w:rStyle w:val="FootnoteReference"/>
        </w:rPr>
        <w:footnoteRef/>
      </w:r>
      <w:r w:rsidRPr="00CB70BA">
        <w:tab/>
        <w:t xml:space="preserve">Euroopan parlamentin ja neuvoston asetus (EU) N:o 575/2013, annettu 26 päivänä kesäkuuta 2013, luottolaitosten ja sijoituspalveluyritysten vakavaraisuusvaatimuksista ja asetuksen (EU) N:o 648/2012 muuttamisesta (EUVL L 176, 27.6.2013, s. 1–337). </w:t>
      </w:r>
    </w:p>
  </w:footnote>
  <w:footnote w:id="26">
    <w:p w14:paraId="7BEB2C82" w14:textId="239C3BA1" w:rsidR="00FC34D1" w:rsidRPr="00CB70BA" w:rsidRDefault="00FC34D1" w:rsidP="000F16D6">
      <w:pPr>
        <w:pStyle w:val="FootnoteText"/>
      </w:pPr>
      <w:r>
        <w:rPr>
          <w:rStyle w:val="FootnoteReference"/>
        </w:rPr>
        <w:footnoteRef/>
      </w:r>
      <w:r w:rsidRPr="00CB70BA">
        <w:tab/>
        <w:t xml:space="preserve">Euroopan parlamentin ja neuvoston asetus (EU) N:o 909/2014, annettu 23 päivänä heinäkuuta 2014, arvopaperitoimituksen parantamisesta Euroopan unionissa sekä arvopaperikeskuksista ja direktiivien 98/26/EY ja 2014/65/EU sekä asetuksen (EU) N:o 236/2012 muuttamisesta (EUVL L 257, 28.8.2014, s. 1–72). </w:t>
      </w:r>
    </w:p>
  </w:footnote>
  <w:footnote w:id="27">
    <w:p w14:paraId="081763A7" w14:textId="77777777" w:rsidR="00977CF6" w:rsidRPr="00CB70BA" w:rsidRDefault="00977CF6" w:rsidP="00977CF6">
      <w:pPr>
        <w:pStyle w:val="FootnoteText"/>
        <w:rPr>
          <w:lang w:val="fr-BE"/>
        </w:rPr>
      </w:pPr>
      <w:r>
        <w:rPr>
          <w:rStyle w:val="FootnoteReference"/>
        </w:rPr>
        <w:footnoteRef/>
      </w:r>
      <w:r w:rsidRPr="00CB70BA">
        <w:rPr>
          <w:lang w:val="fr-BE"/>
        </w:rPr>
        <w:tab/>
        <w:t>EUVL C , , s. .</w:t>
      </w:r>
    </w:p>
  </w:footnote>
  <w:footnote w:id="28">
    <w:p w14:paraId="0456AADB" w14:textId="77777777" w:rsidR="00977CF6" w:rsidRPr="00CB70BA" w:rsidRDefault="00977CF6" w:rsidP="00977CF6">
      <w:pPr>
        <w:pStyle w:val="FootnoteText"/>
        <w:rPr>
          <w:lang w:val="fr-BE"/>
        </w:rPr>
      </w:pPr>
      <w:r>
        <w:rPr>
          <w:rStyle w:val="FootnoteReference"/>
        </w:rPr>
        <w:footnoteRef/>
      </w:r>
      <w:r w:rsidRPr="00CB70BA">
        <w:rPr>
          <w:lang w:val="fr-BE"/>
        </w:rPr>
        <w:tab/>
        <w:t>EUVL C , , s. .</w:t>
      </w:r>
    </w:p>
  </w:footnote>
  <w:footnote w:id="29">
    <w:p w14:paraId="0BE534FB" w14:textId="224A6104" w:rsidR="00505496" w:rsidRPr="00CB70BA" w:rsidRDefault="00505496" w:rsidP="00505496">
      <w:pPr>
        <w:pStyle w:val="FootnoteText"/>
      </w:pPr>
      <w:r>
        <w:rPr>
          <w:rStyle w:val="FootnoteReference"/>
        </w:rPr>
        <w:footnoteRef/>
      </w:r>
      <w:r w:rsidRPr="00CB70BA">
        <w:tab/>
        <w:t>Komission suositus, annettu 19 päivänä lokakuuta 2009, lähdeveron alentamiseen sovellettavista menettelyistä (EUVL L 279, 24.10.2009, s. 8–11).</w:t>
      </w:r>
    </w:p>
  </w:footnote>
  <w:footnote w:id="30">
    <w:p w14:paraId="732E351B" w14:textId="3E14FBA1" w:rsidR="00505496" w:rsidRPr="00CB70BA" w:rsidRDefault="00505496" w:rsidP="00505496">
      <w:pPr>
        <w:pStyle w:val="FootnoteText"/>
      </w:pPr>
      <w:r>
        <w:rPr>
          <w:rStyle w:val="FootnoteReference"/>
        </w:rPr>
        <w:footnoteRef/>
      </w:r>
      <w:r w:rsidRPr="00CB70BA">
        <w:tab/>
        <w:t>Euroopan parlamentin ja neuvoston asetus (EU) N:o 575/2013, annettu 26 päivänä kesäkuuta 2013, luottolaitosten ja sijoituspalveluyritysten vakavaraisuusvaatimuksista ja asetuksen (EU) N:o 648/2012 muuttamisesta, ETA:n kannalta merkityksellinen teksti (EUVL L 176, 27.6.2013, s. 1–337).</w:t>
      </w:r>
    </w:p>
  </w:footnote>
  <w:footnote w:id="31">
    <w:p w14:paraId="4EB8484A" w14:textId="77777777" w:rsidR="00771E52" w:rsidRPr="001B6AB1" w:rsidRDefault="00771E52" w:rsidP="00771E52">
      <w:pPr>
        <w:pStyle w:val="footnotedescription"/>
        <w:spacing w:line="272" w:lineRule="auto"/>
        <w:ind w:right="13"/>
        <w:rPr>
          <w:lang w:val="fi-FI"/>
        </w:rPr>
      </w:pPr>
      <w:r>
        <w:rPr>
          <w:rStyle w:val="FootnoteReference"/>
        </w:rPr>
        <w:footnoteRef/>
      </w:r>
      <w:r w:rsidRPr="001B6AB1">
        <w:rPr>
          <w:lang w:val="fi-FI"/>
        </w:rPr>
        <w:tab/>
        <w:t xml:space="preserve">Euroopan parlamentin ja neuvoston asetus (EU) N:o 182/2011, annettu 16 päivänä helmikuuta 2011, yleisistä säännöistä ja periaatteista, joiden mukaisesti jäsenvaltiot valvovat komission täytäntöönpanovallan käyttöä (EUVL L 55, 28.2.2011, s. 13). </w:t>
      </w:r>
    </w:p>
  </w:footnote>
  <w:footnote w:id="32">
    <w:p w14:paraId="0EBA25EA" w14:textId="77777777" w:rsidR="00771E52" w:rsidRPr="001B6AB1" w:rsidRDefault="00771E52" w:rsidP="00771E52">
      <w:pPr>
        <w:pStyle w:val="footnotedescription"/>
        <w:spacing w:line="247" w:lineRule="auto"/>
        <w:ind w:right="12"/>
        <w:rPr>
          <w:lang w:val="fi-FI"/>
        </w:rPr>
      </w:pPr>
      <w:r>
        <w:rPr>
          <w:rStyle w:val="FootnoteReference"/>
        </w:rPr>
        <w:footnoteRef/>
      </w:r>
      <w:r w:rsidRPr="001B6AB1">
        <w:rPr>
          <w:lang w:val="fi-FI"/>
        </w:rPr>
        <w:tab/>
        <w:t>Euroopan parlamentin ja neuvoston asetus (EU) 2016/679, annettu 27 päivänä huhtikuuta 2016, luonnollisten henkilöiden suojelusta henkilötietojen käsittelyssä sekä näiden tietojen vapaasta liikkuvuudesta ja direktiivin 95/46/EY kumoamisesta (yleinen tietosuoja-asetus) (EUVL L 119, 4.5.2016, s. 1).</w:t>
      </w:r>
    </w:p>
  </w:footnote>
  <w:footnote w:id="33">
    <w:p w14:paraId="164D2C1F" w14:textId="77777777" w:rsidR="00552C80" w:rsidRPr="001B6AB1" w:rsidRDefault="00552C80" w:rsidP="00552C80">
      <w:pPr>
        <w:pStyle w:val="footnotedescription"/>
        <w:spacing w:line="247" w:lineRule="auto"/>
        <w:ind w:right="16"/>
        <w:rPr>
          <w:lang w:val="fi-FI"/>
        </w:rPr>
      </w:pPr>
      <w:r>
        <w:rPr>
          <w:rStyle w:val="FootnoteReference"/>
        </w:rPr>
        <w:footnoteRef/>
      </w:r>
      <w:r w:rsidRPr="001B6AB1">
        <w:rPr>
          <w:lang w:val="fi-FI"/>
        </w:rPr>
        <w:tab/>
        <w:t xml:space="preserve">Euroopan parlamentin ja neuvoston asetus (EU) 2018/1725, annettu 23 päivänä lokakuuta 2018, luonnollisten henkilöiden suojelusta unionin toimielinten, elinten ja laitosten suorittamassa henkilötietojen käsittelyssä ja näiden tietojen vapaasta liikkuvuudesta sekä asetuksen (EY) N:o 45/2001 ja päätöksen N:o 1247/2002/EY kumoamisesta (EUVL L 295, 21.11.2018, s. 39). </w:t>
      </w:r>
    </w:p>
  </w:footnote>
  <w:footnote w:id="34">
    <w:p w14:paraId="29A257E3" w14:textId="77777777" w:rsidR="002B5330" w:rsidRPr="00CB70BA" w:rsidRDefault="002B5330" w:rsidP="002B5330">
      <w:pPr>
        <w:pStyle w:val="FootnoteText"/>
        <w:ind w:left="0" w:firstLine="0"/>
      </w:pPr>
      <w:r>
        <w:rPr>
          <w:rStyle w:val="FootnoteReference"/>
        </w:rPr>
        <w:footnoteRef/>
      </w:r>
      <w:r w:rsidRPr="00CB70BA">
        <w:tab/>
        <w:t>Euroopan parlamentin ja neuvoston direktiivi 2014/65/EU, annettu 15 päivänä toukokuuta 2014, rahoitusvälineiden markkinoista sekä direktiivin 2002/92/EY ja direktiivin 2011/61/EU muuttamisesta (uudelleenlaadittu) (EUVL L 173, 2.6.2014, s. 349).</w:t>
      </w:r>
    </w:p>
  </w:footnote>
  <w:footnote w:id="35">
    <w:p w14:paraId="42E95264" w14:textId="0077F9C8" w:rsidR="00A70F42" w:rsidRPr="00CB70BA" w:rsidRDefault="00A70F42">
      <w:pPr>
        <w:pStyle w:val="FootnoteText"/>
      </w:pPr>
      <w:r>
        <w:rPr>
          <w:rStyle w:val="FootnoteReference"/>
        </w:rPr>
        <w:footnoteRef/>
      </w:r>
      <w:r w:rsidRPr="00CB70BA">
        <w:tab/>
        <w:t>Euroopan parlamentin ja neuvoston asetus (EU) N:o 909/2014, annettu 23 päivänä heinäkuuta 2014, arvopaperitoimituksen parantamisesta Euroopan unionissa sekä arvopaperikeskuksista ja direktiivien 98/26/EY ja 2014/65/EU sekä asetuksen (EU) N:o 236/2012 muuttamisesta (EUVL L 257, 28.8.2014, s. 1–72).</w:t>
      </w:r>
    </w:p>
  </w:footnote>
  <w:footnote w:id="36">
    <w:p w14:paraId="541262E6" w14:textId="53CD6D03" w:rsidR="002C02BA" w:rsidRPr="00CB70BA" w:rsidRDefault="002C02BA" w:rsidP="002C02BA">
      <w:pPr>
        <w:pStyle w:val="FootnoteText"/>
      </w:pPr>
      <w:r>
        <w:rPr>
          <w:rStyle w:val="FootnoteReference"/>
        </w:rPr>
        <w:footnoteRef/>
      </w:r>
      <w:r w:rsidRPr="00CB70BA">
        <w:tab/>
        <w:t>Euroopan parlamentin ja neuvoston asetus (EU) N:o 575/2013, annettu 26 päivänä kesäkuuta 2013, luottolaitosten ja sijoituspalveluyritysten vakavaraisuusvaatimuksista ja asetuksen (EU) N:o 648/2012 muuttamisesta, ETA:n kannalta merkityksellinen teksti (EUVL L 176, 27.6.2013, s. 1–337).</w:t>
      </w:r>
    </w:p>
  </w:footnote>
  <w:footnote w:id="37">
    <w:p w14:paraId="6068FDAD" w14:textId="77777777" w:rsidR="002B5330" w:rsidRPr="00CB70BA" w:rsidRDefault="002B5330" w:rsidP="00B9581D">
      <w:pPr>
        <w:pStyle w:val="FootnoteText"/>
      </w:pPr>
      <w:r>
        <w:rPr>
          <w:rStyle w:val="FootnoteReference"/>
        </w:rPr>
        <w:footnoteRef/>
      </w:r>
      <w:r w:rsidRPr="00CB70BA">
        <w:tab/>
        <w:t>Euroopan parlamentin ja neuvoston direktiivi (EU) 2017/1132, annettu 14 päivänä kesäkuuta 2017, tietyistä yhtiöoikeuden osa-alueista (kodifikaatio) (EUVL L 169, 30.6.2017, s. 46–127).</w:t>
      </w:r>
    </w:p>
  </w:footnote>
  <w:footnote w:id="38">
    <w:p w14:paraId="36D8B3CF" w14:textId="77777777" w:rsidR="00930848" w:rsidRPr="00CB70BA" w:rsidRDefault="00930848" w:rsidP="00930848">
      <w:pPr>
        <w:pStyle w:val="FootnoteText"/>
        <w:ind w:left="0" w:firstLine="0"/>
      </w:pPr>
      <w:r>
        <w:rPr>
          <w:rStyle w:val="FootnoteReference"/>
        </w:rPr>
        <w:footnoteRef/>
      </w:r>
      <w:r w:rsidRPr="00CB70BA">
        <w:tab/>
        <w:t>Komission täytäntöönpanoasetus (EU) 2018/1212, annettu 3 päivänä syyskuuta 2018, Euroopan parlamentin ja neuvoston direktiivissä 2007/36/EY annettujen osakkeenomistajien tunnistamista, tietojen toimittamista ja osakkeenomistajien oikeuksien käytön helpottamista koskevien säännösten täytäntöönpanoa koskevista vähimmäisvaatimuksista (EUVL L 223, 4.9.2018, s. 1).</w:t>
      </w:r>
    </w:p>
  </w:footnote>
  <w:footnote w:id="39">
    <w:p w14:paraId="151C2E0D" w14:textId="510D1C34" w:rsidR="009B5531" w:rsidRPr="00CB70BA" w:rsidRDefault="009B5531" w:rsidP="009B5531">
      <w:pPr>
        <w:pStyle w:val="FootnoteText"/>
      </w:pPr>
      <w:r>
        <w:rPr>
          <w:rStyle w:val="FootnoteReference"/>
        </w:rPr>
        <w:footnoteRef/>
      </w:r>
      <w:r w:rsidRPr="00CB70BA">
        <w:tab/>
        <w:t>Euroopan keskuspankin suuntaviivat (EU) 2019/1265, annettu 10 päivänä heinäkuuta 2019, euromääräisten markkinoiden lyhyestä korosta (€STR) (EKP/2019/19) (EUVL L 199, 26.7.2019, s. 8–17).</w:t>
      </w:r>
    </w:p>
  </w:footnote>
  <w:footnote w:id="40">
    <w:p w14:paraId="751F6530" w14:textId="4743C3BA" w:rsidR="00D25AFF" w:rsidRPr="00CB70BA" w:rsidRDefault="00D25AFF">
      <w:pPr>
        <w:pStyle w:val="FootnoteText"/>
      </w:pPr>
      <w:r>
        <w:rPr>
          <w:rStyle w:val="FootnoteReference"/>
        </w:rPr>
        <w:footnoteRef/>
      </w:r>
      <w:r w:rsidRPr="00CB70BA">
        <w:tab/>
        <w:t>Euroopan unionin neuvosto, talous- ja rahoitusasioiden neuvosto, 14094/16, Bryssel 8. marraskuuta 2016.</w:t>
      </w:r>
    </w:p>
  </w:footnote>
  <w:footnote w:id="41">
    <w:p w14:paraId="5079D2AE" w14:textId="26142EC4" w:rsidR="005B777E" w:rsidRPr="00CB70BA" w:rsidRDefault="005B777E" w:rsidP="005B777E">
      <w:pPr>
        <w:pStyle w:val="FootnoteText"/>
      </w:pPr>
      <w:r>
        <w:rPr>
          <w:rStyle w:val="FootnoteReference"/>
        </w:rPr>
        <w:footnoteRef/>
      </w:r>
      <w:r w:rsidRPr="00CB70BA">
        <w:tab/>
        <w:t>Komission delegoitu asetus (EU) 2016/1675, annettu 14 päivänä heinäkuuta 2016, Euroopan parlamentin ja neuvoston direktiivin (EU) 2015/849 täydentämisestä yksilöimällä suuririskiset kolmannet maat, joilla on strategisia puutteita (EUVL L 254, 20.9.2016, s. 1–4).</w:t>
      </w:r>
    </w:p>
  </w:footnote>
  <w:footnote w:id="42">
    <w:p w14:paraId="6C943AF2" w14:textId="39506A65" w:rsidR="006B3A6D" w:rsidRPr="00CB70BA" w:rsidRDefault="006B3A6D" w:rsidP="006B3A6D">
      <w:pPr>
        <w:pStyle w:val="FootnoteText"/>
      </w:pPr>
      <w:r>
        <w:rPr>
          <w:rStyle w:val="FootnoteReference"/>
        </w:rPr>
        <w:footnoteRef/>
      </w:r>
      <w:r w:rsidRPr="00CB70BA">
        <w:tab/>
        <w:t>Neuvoston direktiivi 2014/107/EU, annettu 9 päivänä joulukuuta 2014, direktiivin 2011/16/EU muuttamisesta siltä osin kuin on kyse pakollisesta automaattisesta tietojenvaihdosta verotuksen alalla (EUVL L 359, 16.12.2014, s. 1–29).</w:t>
      </w:r>
    </w:p>
  </w:footnote>
  <w:footnote w:id="43">
    <w:p w14:paraId="0DA638AC" w14:textId="05D98ED2" w:rsidR="006B3A6D" w:rsidRPr="00CB70BA" w:rsidRDefault="006B3A6D" w:rsidP="006B3A6D">
      <w:pPr>
        <w:pStyle w:val="FootnoteText"/>
      </w:pPr>
      <w:r>
        <w:rPr>
          <w:rStyle w:val="FootnoteReference"/>
        </w:rPr>
        <w:footnoteRef/>
      </w:r>
      <w:r w:rsidRPr="00CB70BA">
        <w:tab/>
        <w:t>Euroopan parlamentin ja neuvoston direktiivi (EU) 2018/843, annettu 30 päivänä toukokuuta 2018, rahoitusjärjestelmän käytön estämisestä rahanpesuun tai terrorismin rahoitukseen annetun direktiivin (EU) 2015/849 ja direktiivien 2009/138/EY ja 2013/36/EU muuttamisesta (EUVL L 156, 19.6.2018, s. 43–74).</w:t>
      </w:r>
    </w:p>
  </w:footnote>
  <w:footnote w:id="44">
    <w:p w14:paraId="3CD8E18C" w14:textId="4D93E46F" w:rsidR="003874C1" w:rsidRPr="00CB70BA" w:rsidRDefault="003874C1" w:rsidP="003874C1">
      <w:pPr>
        <w:pStyle w:val="FootnoteText"/>
      </w:pPr>
      <w:r>
        <w:rPr>
          <w:rStyle w:val="FootnoteReference"/>
        </w:rPr>
        <w:footnoteRef/>
      </w:r>
      <w:r w:rsidRPr="00CB70BA">
        <w:tab/>
        <w:t>Euroopan parlamentin ja neuvoston direktiivi (EU) 2015/849, annettu 20 päivänä toukokuuta 2015, rahoitusjärjestelmän käytön estämisestä rahanpesuun tai terrorismin rahoitukseen, Euroopan parlamentin ja neuvoston asetuksen (EU) N:o 648/2012 muuttamisesta sekä Euroopan parlamentin ja neuvoston direktiivin 2005/60/EY ja komission direktiivin 2006/70/EY kumoamisesta (EUVL L 141, 5.6.2015, s. 73–117).</w:t>
      </w:r>
    </w:p>
  </w:footnote>
  <w:footnote w:id="45">
    <w:p w14:paraId="67518123" w14:textId="77777777" w:rsidR="00B63DF9" w:rsidRPr="00CB70BA" w:rsidRDefault="00B63DF9" w:rsidP="00B63DF9">
      <w:pPr>
        <w:pStyle w:val="FootnoteText"/>
      </w:pPr>
      <w:r>
        <w:rPr>
          <w:rStyle w:val="FootnoteReference"/>
        </w:rPr>
        <w:footnoteRef/>
      </w:r>
      <w:r w:rsidRPr="00CB70BA">
        <w:tab/>
      </w:r>
      <w:bookmarkStart w:id="8" w:name="_Hlk136436426"/>
      <w:r w:rsidRPr="00CB70BA">
        <w:t>Euroopan parlamentin ja neuvoston asetus (EU) N:o 182/2011, annettu 16 päivänä helmikuuta 2011, yleisistä säännöistä ja periaatteista, joiden mukaisesti jäsenvaltiot valvovat komission täytäntöönpanovallan käyttöä (EUVL L 55, 28.2.2011, s. 13–18).</w:t>
      </w:r>
      <w:bookmarkEnd w:id="8"/>
    </w:p>
  </w:footnote>
  <w:footnote w:id="46">
    <w:p w14:paraId="3CD40E48" w14:textId="7615D97F" w:rsidR="0079028E" w:rsidRPr="00CB70BA" w:rsidRDefault="0079028E" w:rsidP="0079028E">
      <w:pPr>
        <w:pStyle w:val="FootnoteText"/>
      </w:pPr>
      <w:r>
        <w:rPr>
          <w:rStyle w:val="FootnoteReference"/>
        </w:rPr>
        <w:footnoteRef/>
      </w:r>
      <w:r w:rsidRPr="00CB70BA">
        <w:tab/>
        <w:t>Euroopan parlamentin ja neuvoston asetus (EU) 2016/679, annettu 27 päivänä huhtikuuta 2016, luonnollisten henkilöiden suojelusta henkilötietojen käsittelyssä sekä näiden tietojen vapaasta liikkuvuudesta ja direktiivin 95/46/EY kumoamisesta (EUVL L 119, 4.5.2016, s. 1).</w:t>
      </w:r>
    </w:p>
  </w:footnote>
  <w:footnote w:id="47">
    <w:p w14:paraId="6C36FA44" w14:textId="77777777" w:rsidR="001B6AB1" w:rsidRDefault="001B6AB1" w:rsidP="001B6AB1">
      <w:pPr>
        <w:pStyle w:val="FootnoteText"/>
        <w:rPr>
          <w:szCs w:val="24"/>
        </w:rPr>
      </w:pPr>
      <w:r>
        <w:rPr>
          <w:rStyle w:val="FootnoteReference"/>
        </w:rPr>
        <w:footnoteRef/>
      </w:r>
      <w:r>
        <w:tab/>
        <w:t>JM = jaksotetut määrärahat; EI-JM = jaksottamattomat määrärahat.</w:t>
      </w:r>
    </w:p>
  </w:footnote>
  <w:footnote w:id="48">
    <w:p w14:paraId="142BE11E" w14:textId="77777777" w:rsidR="001B6AB1" w:rsidRDefault="001B6AB1" w:rsidP="001B6AB1">
      <w:pPr>
        <w:pStyle w:val="FootnoteText"/>
        <w:rPr>
          <w:szCs w:val="24"/>
        </w:rPr>
      </w:pPr>
      <w:r>
        <w:rPr>
          <w:rStyle w:val="FootnoteReference"/>
        </w:rPr>
        <w:footnoteRef/>
      </w:r>
      <w:r>
        <w:tab/>
        <w:t xml:space="preserve">EFTA: Euroopan vapaakauppaliitto. </w:t>
      </w:r>
    </w:p>
  </w:footnote>
  <w:footnote w:id="49">
    <w:p w14:paraId="7267EA47" w14:textId="77777777" w:rsidR="001B6AB1" w:rsidRDefault="001B6AB1" w:rsidP="001B6AB1">
      <w:pPr>
        <w:pStyle w:val="FootnoteText"/>
        <w:rPr>
          <w:szCs w:val="24"/>
        </w:rPr>
      </w:pPr>
      <w:r>
        <w:rPr>
          <w:rStyle w:val="FootnoteReference"/>
        </w:rPr>
        <w:footnoteRef/>
      </w:r>
      <w:r>
        <w:tab/>
        <w:t>Ehdokasmaat ja soveltuvin osin Länsi-Balkanin mahdolliset ehdokasmaat.</w:t>
      </w:r>
    </w:p>
  </w:footnote>
  <w:footnote w:id="50">
    <w:p w14:paraId="17939058" w14:textId="77777777" w:rsidR="001B6AB1" w:rsidRDefault="001B6AB1" w:rsidP="001B6AB1">
      <w:pPr>
        <w:pStyle w:val="FootnoteText"/>
        <w:rPr>
          <w:sz w:val="18"/>
          <w:szCs w:val="18"/>
        </w:rPr>
      </w:pPr>
      <w:r>
        <w:rPr>
          <w:rStyle w:val="FootnoteReference"/>
        </w:rPr>
        <w:footnoteRef/>
      </w:r>
      <w:r>
        <w:tab/>
      </w:r>
      <w:r>
        <w:rPr>
          <w:sz w:val="18"/>
        </w:rPr>
        <w:t>Virallisen budjettinimikkeistön mukaisesti.</w:t>
      </w:r>
    </w:p>
  </w:footnote>
  <w:footnote w:id="51">
    <w:p w14:paraId="13153ED6" w14:textId="77777777" w:rsidR="001B6AB1" w:rsidRDefault="001B6AB1" w:rsidP="001B6AB1">
      <w:pPr>
        <w:pStyle w:val="FootnoteText"/>
        <w:rPr>
          <w:szCs w:val="24"/>
        </w:rPr>
      </w:pPr>
      <w:r>
        <w:rPr>
          <w:rStyle w:val="FootnoteReference"/>
        </w:rPr>
        <w:footnoteRef/>
      </w:r>
      <w:r>
        <w:tab/>
      </w:r>
      <w:r>
        <w:rPr>
          <w:sz w:val="18"/>
        </w:rPr>
        <w:t>Tekninen ja/tai hallinnollinen apu sekä EU:n ohjelmien ja/tai toimien toteuttamiseen liittyvät tukimenot (entiset BA-budjettikohdat), epäsuora ja suora tutkimustoiminta.</w:t>
      </w:r>
    </w:p>
  </w:footnote>
  <w:footnote w:id="52">
    <w:p w14:paraId="31185A6E" w14:textId="77777777" w:rsidR="001B6AB1" w:rsidRDefault="001B6AB1" w:rsidP="001B6AB1">
      <w:pPr>
        <w:pStyle w:val="FootnoteText"/>
        <w:rPr>
          <w:szCs w:val="24"/>
        </w:rPr>
      </w:pPr>
      <w:r>
        <w:rPr>
          <w:rStyle w:val="FootnoteReference"/>
        </w:rPr>
        <w:footnoteRef/>
      </w:r>
      <w:r>
        <w:tab/>
        <w:t>Tuotokset ovat tuloksena olevia tuotteita ja palveluita (esim. rahoitettujen opiskelijavaihtojen määrä tai rakennetut tiekilometrit).</w:t>
      </w:r>
    </w:p>
  </w:footnote>
  <w:footnote w:id="53">
    <w:p w14:paraId="0E51FAC4" w14:textId="77777777" w:rsidR="001B6AB1" w:rsidRDefault="001B6AB1" w:rsidP="001B6AB1">
      <w:pPr>
        <w:pStyle w:val="FootnoteText"/>
        <w:rPr>
          <w:szCs w:val="24"/>
        </w:rPr>
      </w:pPr>
      <w:r>
        <w:rPr>
          <w:rStyle w:val="FootnoteReference"/>
        </w:rPr>
        <w:footnoteRef/>
      </w:r>
      <w:r>
        <w:tab/>
        <w:t xml:space="preserve">Kuten kuvattu kohdassa 1.4.2 ”Erityistavoitteet”. </w:t>
      </w:r>
    </w:p>
  </w:footnote>
  <w:footnote w:id="54">
    <w:p w14:paraId="7A0DEBA5" w14:textId="77777777" w:rsidR="001B6AB1" w:rsidRDefault="001B6AB1" w:rsidP="001B6AB1">
      <w:pPr>
        <w:pStyle w:val="FootnoteText"/>
        <w:rPr>
          <w:szCs w:val="24"/>
        </w:rPr>
      </w:pPr>
      <w:r>
        <w:rPr>
          <w:rStyle w:val="FootnoteReference"/>
        </w:rPr>
        <w:footnoteRef/>
      </w:r>
      <w:r>
        <w:tab/>
      </w:r>
      <w:r>
        <w:rPr>
          <w:sz w:val="18"/>
        </w:rPr>
        <w:t>Tekninen ja/tai hallinnollinen apu sekä EU:n ohjelmien ja/tai toimien toteuttamiseen liittyvät tukimenot (entiset BA-budjettikohdat), epäsuora ja suora tutkimustoiminta.</w:t>
      </w:r>
    </w:p>
  </w:footnote>
  <w:footnote w:id="55">
    <w:p w14:paraId="03160CDC" w14:textId="77777777" w:rsidR="001B6AB1" w:rsidRDefault="001B6AB1" w:rsidP="001B6AB1">
      <w:pPr>
        <w:pStyle w:val="FootnoteText"/>
        <w:rPr>
          <w:szCs w:val="24"/>
        </w:rPr>
      </w:pPr>
      <w:r>
        <w:rPr>
          <w:rStyle w:val="FootnoteReference"/>
        </w:rPr>
        <w:footnoteRef/>
      </w:r>
      <w:r>
        <w:tab/>
        <w:t xml:space="preserve">Sopimussuhteiset toimihenkilöt, paikalliset toimihenkilöt, kansalliset asiantuntijat, vuokrahenkilöstö ja nuoremmat asiantuntijat EU:n ulkopuolisissa edustustoissa. </w:t>
      </w:r>
    </w:p>
  </w:footnote>
  <w:footnote w:id="56">
    <w:p w14:paraId="7FF80765" w14:textId="77777777" w:rsidR="001B6AB1" w:rsidRDefault="001B6AB1" w:rsidP="001B6AB1">
      <w:pPr>
        <w:pStyle w:val="FootnoteText"/>
        <w:rPr>
          <w:szCs w:val="24"/>
        </w:rPr>
      </w:pPr>
      <w:r>
        <w:rPr>
          <w:rStyle w:val="FootnoteReference"/>
        </w:rPr>
        <w:footnoteRef/>
      </w:r>
      <w:r>
        <w:tab/>
        <w:t>Toimintamäärärahoista katettavan ulkopuolisen henkilöstön enimmäismäärä (entiset BA-budjettikohdat).</w:t>
      </w:r>
    </w:p>
  </w:footnote>
  <w:footnote w:id="57">
    <w:p w14:paraId="6940A5BA" w14:textId="77777777" w:rsidR="001B6AB1" w:rsidRDefault="001B6AB1" w:rsidP="001B6AB1">
      <w:pPr>
        <w:pStyle w:val="FootnoteText"/>
      </w:pPr>
      <w:r>
        <w:rPr>
          <w:rStyle w:val="FootnoteReference"/>
        </w:rPr>
        <w:footnoteRef/>
      </w:r>
      <w:r>
        <w:tab/>
        <w:t>Vuosi N on ehdotuksen/aloitteen toteutuksen aloitusvuosi. ”N” korvataan oletetulla ensimmäisellä toteutusvuodella (esimerkiksi: 2021). Seuraavat vuodet täydennetään vastaavasti.</w:t>
      </w:r>
    </w:p>
  </w:footnote>
  <w:footnote w:id="58">
    <w:p w14:paraId="583566E2" w14:textId="77777777" w:rsidR="0021620D" w:rsidRDefault="0021620D" w:rsidP="0021620D">
      <w:pPr>
        <w:pStyle w:val="FootnoteText"/>
        <w:rPr>
          <w:szCs w:val="24"/>
        </w:rPr>
      </w:pPr>
      <w:r>
        <w:rPr>
          <w:rStyle w:val="FootnoteReference"/>
        </w:rPr>
        <w:footnoteRef/>
      </w:r>
      <w:r>
        <w:tab/>
        <w:t>Perinteiset omat varat (tulli- ja sokerimaksut) on ilmoitettava nettomääräisinä eli bruttomäärästä on vähennettävä kantokuluja vastaava 20 prosentin osuus.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BEAA4" w14:textId="77777777" w:rsidR="00811919" w:rsidRPr="00811919" w:rsidRDefault="00811919" w:rsidP="00811919">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6D57F" w14:textId="77777777" w:rsidR="00811919" w:rsidRPr="00811919" w:rsidRDefault="00811919" w:rsidP="00811919">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D37DB" w14:textId="37E8078A" w:rsidR="001B6AB1" w:rsidRPr="001B5BEC" w:rsidRDefault="001B6AB1" w:rsidP="008119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609DB" w14:textId="77777777" w:rsidR="00811919" w:rsidRPr="00811919" w:rsidRDefault="00811919" w:rsidP="00811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EBA176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F16796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ED6A26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9D8181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1"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3"/>
  </w:num>
  <w:num w:numId="3">
    <w:abstractNumId w:val="2"/>
  </w:num>
  <w:num w:numId="4">
    <w:abstractNumId w:val="1"/>
  </w:num>
  <w:num w:numId="5">
    <w:abstractNumId w:val="0"/>
  </w:num>
  <w:num w:numId="6">
    <w:abstractNumId w:val="9"/>
    <w:lvlOverride w:ilvl="0">
      <w:startOverride w:val="1"/>
    </w:lvlOverride>
  </w:num>
  <w:num w:numId="7">
    <w:abstractNumId w:val="13"/>
  </w:num>
  <w:num w:numId="8">
    <w:abstractNumId w:val="14"/>
  </w:num>
  <w:num w:numId="9">
    <w:abstractNumId w:val="18"/>
    <w:lvlOverride w:ilvl="0">
      <w:startOverride w:val="1"/>
    </w:lvlOverride>
  </w:num>
  <w:num w:numId="10">
    <w:abstractNumId w:val="12"/>
    <w:lvlOverride w:ilvl="0">
      <w:startOverride w:val="1"/>
    </w:lvlOverride>
  </w:num>
  <w:num w:numId="11">
    <w:abstractNumId w:val="18"/>
    <w:lvlOverride w:ilvl="0">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9"/>
  </w:num>
  <w:num w:numId="27">
    <w:abstractNumId w:val="20"/>
  </w:num>
  <w:num w:numId="28">
    <w:abstractNumId w:val="7"/>
  </w:num>
  <w:num w:numId="29">
    <w:abstractNumId w:val="10"/>
  </w:num>
  <w:num w:numId="30">
    <w:abstractNumId w:val="11"/>
  </w:num>
  <w:num w:numId="31">
    <w:abstractNumId w:val="5"/>
  </w:num>
  <w:num w:numId="32">
    <w:abstractNumId w:val="19"/>
  </w:num>
  <w:num w:numId="33">
    <w:abstractNumId w:val="4"/>
  </w:num>
  <w:num w:numId="34">
    <w:abstractNumId w:val="12"/>
  </w:num>
  <w:num w:numId="35">
    <w:abstractNumId w:val="16"/>
  </w:num>
  <w:num w:numId="36">
    <w:abstractNumId w:val="17"/>
  </w:num>
  <w:num w:numId="37">
    <w:abstractNumId w:val="6"/>
  </w:num>
  <w:num w:numId="38">
    <w:abstractNumId w:val="15"/>
  </w:num>
  <w:num w:numId="3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2"/>
  </w:compat>
  <w:docVars>
    <w:docVar w:name="CR_RefLast" w:val="0"/>
    <w:docVar w:name="DQCDateTime" w:val="2023-07-24 16:55:4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7AD67122-EBA7-45B3-ADD2-451212ADB7D0"/>
    <w:docVar w:name="LW_COVERPAGE_TYPE" w:val="1"/>
    <w:docVar w:name="LW_CROSSREFERENCE" w:val="{SEC(2023) 243 final} - {SWD(2023) 215 final} - {SWD(2023) 216 final} - {SWD(2023) 217 final}"/>
    <w:docVar w:name="LW_DocType" w:val="COM"/>
    <w:docVar w:name="LW_EMISSION" w:val="19.6.2023"/>
    <w:docVar w:name="LW_EMISSION_ISODATE" w:val="2023-06-19"/>
    <w:docVar w:name="LW_EMISSION_LOCATION" w:val="BRX"/>
    <w:docVar w:name="LW_EMISSION_PREFIX" w:val="Bryssel "/>
    <w:docVar w:name="LW_EMISSION_SUFFIX" w:val=" "/>
    <w:docVar w:name="LW_ID_DOCMODEL" w:val="SJ-017"/>
    <w:docVar w:name="LW_ID_DOCSIGNATURE" w:val="SJ-017"/>
    <w:docVar w:name="LW_ID_DOCSTRUCTURE" w:val="COM/PL/ORG"/>
    <w:docVar w:name="LW_ID_DOCTYPE" w:val="SJ-017"/>
    <w:docVar w:name="LW_ID_STATUT" w:val="SJ-017"/>
    <w:docVar w:name="LW_INSERT_EXP.MOTIFS.NEW" w:val="1"/>
    <w:docVar w:name="LW_INTERETEEE.CP" w:val="&lt;UNUSED&gt;"/>
    <w:docVar w:name="LW_LANGUE" w:val="FI"/>
    <w:docVar w:name="LW_LEVEL_OF_SENSITIVITY" w:val="Standard treatment"/>
    <w:docVar w:name="LW_NOM.INST" w:val="EUROOPAN KOMISSIO"/>
    <w:docVar w:name="LW_NOM.INST_JOINTDOC" w:val="&lt;EMPTY&gt;"/>
    <w:docVar w:name="LW_PART_NBR" w:val="1"/>
    <w:docVar w:name="LW_PART_NBR_TOTAL" w:val="1"/>
    <w:docVar w:name="LW_REF.II.NEW.CP" w:val="CNS"/>
    <w:docVar w:name="LW_REF.II.NEW.CP_NUMBER" w:val="0187"/>
    <w:docVar w:name="LW_REF.II.NEW.CP_YEAR" w:val="2023"/>
    <w:docVar w:name="LW_REF.INST.NEW" w:val="COM"/>
    <w:docVar w:name="LW_REF.INST.NEW_ADOPTED" w:val="final"/>
    <w:docVar w:name="LW_REF.INST.NEW_TEXT" w:val="(2023) 32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Ehdotus"/>
    <w:docVar w:name="LW_SUPERTITRE" w:val="&lt;UNUSED&gt;"/>
    <w:docVar w:name="LW_TITRE.OBJ.CP" w:val="ylimääräisten lähdeverojen nopeammasta ja turvallisemmasta alentamisesta"/>
    <w:docVar w:name="LW_TYPE.DOC.CP" w:val="NEUVOSTON DIREKTIIVI"/>
    <w:docVar w:name="LwApiVersions" w:val="LW4CoDe 1.23.2.0; LW 8.0, Build 20211117"/>
  </w:docVars>
  <w:rsids>
    <w:rsidRoot w:val="00977CF6"/>
    <w:rsid w:val="00000172"/>
    <w:rsid w:val="0000174F"/>
    <w:rsid w:val="000017D1"/>
    <w:rsid w:val="0000233B"/>
    <w:rsid w:val="0000236E"/>
    <w:rsid w:val="000023B2"/>
    <w:rsid w:val="000023D5"/>
    <w:rsid w:val="000027CD"/>
    <w:rsid w:val="000027CE"/>
    <w:rsid w:val="00003FD1"/>
    <w:rsid w:val="0000575D"/>
    <w:rsid w:val="00005779"/>
    <w:rsid w:val="00005BAE"/>
    <w:rsid w:val="00006B66"/>
    <w:rsid w:val="000072B7"/>
    <w:rsid w:val="00007C40"/>
    <w:rsid w:val="00007F35"/>
    <w:rsid w:val="000103A8"/>
    <w:rsid w:val="000103C5"/>
    <w:rsid w:val="00010692"/>
    <w:rsid w:val="0001171C"/>
    <w:rsid w:val="0001223C"/>
    <w:rsid w:val="0001286A"/>
    <w:rsid w:val="000128F3"/>
    <w:rsid w:val="000129DF"/>
    <w:rsid w:val="00012E11"/>
    <w:rsid w:val="000131CD"/>
    <w:rsid w:val="0001412F"/>
    <w:rsid w:val="00014317"/>
    <w:rsid w:val="000143CC"/>
    <w:rsid w:val="00014525"/>
    <w:rsid w:val="0001576F"/>
    <w:rsid w:val="00015911"/>
    <w:rsid w:val="00015B25"/>
    <w:rsid w:val="00016001"/>
    <w:rsid w:val="000173F6"/>
    <w:rsid w:val="0002054C"/>
    <w:rsid w:val="00020C6F"/>
    <w:rsid w:val="000210C4"/>
    <w:rsid w:val="0002114E"/>
    <w:rsid w:val="000218D4"/>
    <w:rsid w:val="0002193B"/>
    <w:rsid w:val="00021F38"/>
    <w:rsid w:val="00022846"/>
    <w:rsid w:val="00023BB4"/>
    <w:rsid w:val="00024093"/>
    <w:rsid w:val="00024742"/>
    <w:rsid w:val="00024B0A"/>
    <w:rsid w:val="00024DAF"/>
    <w:rsid w:val="0002534E"/>
    <w:rsid w:val="00026AAA"/>
    <w:rsid w:val="00026BB8"/>
    <w:rsid w:val="00027133"/>
    <w:rsid w:val="0002734E"/>
    <w:rsid w:val="0002743E"/>
    <w:rsid w:val="000310D7"/>
    <w:rsid w:val="000314B8"/>
    <w:rsid w:val="000318D9"/>
    <w:rsid w:val="00031C74"/>
    <w:rsid w:val="00032A44"/>
    <w:rsid w:val="00033488"/>
    <w:rsid w:val="00034243"/>
    <w:rsid w:val="000361B5"/>
    <w:rsid w:val="00036764"/>
    <w:rsid w:val="0003745E"/>
    <w:rsid w:val="000379AC"/>
    <w:rsid w:val="0003DFE0"/>
    <w:rsid w:val="000411F5"/>
    <w:rsid w:val="000415CB"/>
    <w:rsid w:val="00041772"/>
    <w:rsid w:val="00041FF1"/>
    <w:rsid w:val="0004240A"/>
    <w:rsid w:val="000430BD"/>
    <w:rsid w:val="0004365E"/>
    <w:rsid w:val="0004376F"/>
    <w:rsid w:val="0004389E"/>
    <w:rsid w:val="000447CC"/>
    <w:rsid w:val="00047014"/>
    <w:rsid w:val="000470E7"/>
    <w:rsid w:val="00047467"/>
    <w:rsid w:val="00047A1C"/>
    <w:rsid w:val="00047EEF"/>
    <w:rsid w:val="000513BD"/>
    <w:rsid w:val="00051ADF"/>
    <w:rsid w:val="00051BC3"/>
    <w:rsid w:val="00052297"/>
    <w:rsid w:val="000523FA"/>
    <w:rsid w:val="000534DB"/>
    <w:rsid w:val="00053D3C"/>
    <w:rsid w:val="00053FC2"/>
    <w:rsid w:val="000544F9"/>
    <w:rsid w:val="00054535"/>
    <w:rsid w:val="00054BEB"/>
    <w:rsid w:val="00055480"/>
    <w:rsid w:val="000556D6"/>
    <w:rsid w:val="0005578E"/>
    <w:rsid w:val="00056C0A"/>
    <w:rsid w:val="0005768A"/>
    <w:rsid w:val="00057710"/>
    <w:rsid w:val="00060248"/>
    <w:rsid w:val="00060712"/>
    <w:rsid w:val="00060B87"/>
    <w:rsid w:val="00060D57"/>
    <w:rsid w:val="00061B4D"/>
    <w:rsid w:val="00062E6A"/>
    <w:rsid w:val="00064CB0"/>
    <w:rsid w:val="000652D6"/>
    <w:rsid w:val="000658A9"/>
    <w:rsid w:val="000659D6"/>
    <w:rsid w:val="00066B7D"/>
    <w:rsid w:val="0006757E"/>
    <w:rsid w:val="00067DF6"/>
    <w:rsid w:val="0007068B"/>
    <w:rsid w:val="00070DEA"/>
    <w:rsid w:val="00070E9A"/>
    <w:rsid w:val="000713DB"/>
    <w:rsid w:val="00071474"/>
    <w:rsid w:val="00072982"/>
    <w:rsid w:val="0007390D"/>
    <w:rsid w:val="000744D4"/>
    <w:rsid w:val="00074786"/>
    <w:rsid w:val="00074854"/>
    <w:rsid w:val="000754F6"/>
    <w:rsid w:val="00075882"/>
    <w:rsid w:val="00076F2B"/>
    <w:rsid w:val="00077614"/>
    <w:rsid w:val="00077C19"/>
    <w:rsid w:val="0008017F"/>
    <w:rsid w:val="0008192C"/>
    <w:rsid w:val="00081F59"/>
    <w:rsid w:val="00083453"/>
    <w:rsid w:val="00083AC7"/>
    <w:rsid w:val="000840BC"/>
    <w:rsid w:val="000841A8"/>
    <w:rsid w:val="00084A25"/>
    <w:rsid w:val="00084E92"/>
    <w:rsid w:val="00085533"/>
    <w:rsid w:val="00086448"/>
    <w:rsid w:val="00086A70"/>
    <w:rsid w:val="00087424"/>
    <w:rsid w:val="00087A84"/>
    <w:rsid w:val="00090384"/>
    <w:rsid w:val="000905C0"/>
    <w:rsid w:val="00091220"/>
    <w:rsid w:val="0009126A"/>
    <w:rsid w:val="0009149E"/>
    <w:rsid w:val="0009193B"/>
    <w:rsid w:val="00092550"/>
    <w:rsid w:val="000930A8"/>
    <w:rsid w:val="000933CA"/>
    <w:rsid w:val="00093425"/>
    <w:rsid w:val="00093CA2"/>
    <w:rsid w:val="00093EFC"/>
    <w:rsid w:val="00094223"/>
    <w:rsid w:val="00095B62"/>
    <w:rsid w:val="000962B2"/>
    <w:rsid w:val="00096508"/>
    <w:rsid w:val="000968E2"/>
    <w:rsid w:val="00097113"/>
    <w:rsid w:val="0009796F"/>
    <w:rsid w:val="00097ADD"/>
    <w:rsid w:val="00097B4C"/>
    <w:rsid w:val="000A0493"/>
    <w:rsid w:val="000A065B"/>
    <w:rsid w:val="000A07B7"/>
    <w:rsid w:val="000A07EE"/>
    <w:rsid w:val="000A195E"/>
    <w:rsid w:val="000A24B4"/>
    <w:rsid w:val="000A293C"/>
    <w:rsid w:val="000A2FE9"/>
    <w:rsid w:val="000A492C"/>
    <w:rsid w:val="000A5012"/>
    <w:rsid w:val="000A5224"/>
    <w:rsid w:val="000A591C"/>
    <w:rsid w:val="000A6660"/>
    <w:rsid w:val="000A6813"/>
    <w:rsid w:val="000A701D"/>
    <w:rsid w:val="000A7394"/>
    <w:rsid w:val="000A7CB6"/>
    <w:rsid w:val="000A7E2C"/>
    <w:rsid w:val="000B120C"/>
    <w:rsid w:val="000B214D"/>
    <w:rsid w:val="000B2427"/>
    <w:rsid w:val="000B25F2"/>
    <w:rsid w:val="000B2883"/>
    <w:rsid w:val="000B34A4"/>
    <w:rsid w:val="000B41D5"/>
    <w:rsid w:val="000B44EC"/>
    <w:rsid w:val="000B4905"/>
    <w:rsid w:val="000B4C83"/>
    <w:rsid w:val="000B4D27"/>
    <w:rsid w:val="000B68F0"/>
    <w:rsid w:val="000B6C04"/>
    <w:rsid w:val="000B6C9B"/>
    <w:rsid w:val="000B6DA5"/>
    <w:rsid w:val="000B6FA6"/>
    <w:rsid w:val="000C0442"/>
    <w:rsid w:val="000C048B"/>
    <w:rsid w:val="000C056D"/>
    <w:rsid w:val="000C19EF"/>
    <w:rsid w:val="000C1ACD"/>
    <w:rsid w:val="000C1E2B"/>
    <w:rsid w:val="000C2067"/>
    <w:rsid w:val="000C2150"/>
    <w:rsid w:val="000C240F"/>
    <w:rsid w:val="000C25C8"/>
    <w:rsid w:val="000C38F1"/>
    <w:rsid w:val="000C3916"/>
    <w:rsid w:val="000C3D0E"/>
    <w:rsid w:val="000C3F42"/>
    <w:rsid w:val="000C4033"/>
    <w:rsid w:val="000C5292"/>
    <w:rsid w:val="000C5822"/>
    <w:rsid w:val="000C5A98"/>
    <w:rsid w:val="000C5F3F"/>
    <w:rsid w:val="000C60C6"/>
    <w:rsid w:val="000C62EF"/>
    <w:rsid w:val="000C6323"/>
    <w:rsid w:val="000C69ED"/>
    <w:rsid w:val="000C73EB"/>
    <w:rsid w:val="000C742A"/>
    <w:rsid w:val="000C74BC"/>
    <w:rsid w:val="000C76E3"/>
    <w:rsid w:val="000C7A98"/>
    <w:rsid w:val="000D0478"/>
    <w:rsid w:val="000D0BC4"/>
    <w:rsid w:val="000D0E29"/>
    <w:rsid w:val="000D10A5"/>
    <w:rsid w:val="000D1985"/>
    <w:rsid w:val="000D1F37"/>
    <w:rsid w:val="000D2E9B"/>
    <w:rsid w:val="000D32C5"/>
    <w:rsid w:val="000D3853"/>
    <w:rsid w:val="000D3C01"/>
    <w:rsid w:val="000D401C"/>
    <w:rsid w:val="000D5C47"/>
    <w:rsid w:val="000D5F37"/>
    <w:rsid w:val="000D712C"/>
    <w:rsid w:val="000E06ED"/>
    <w:rsid w:val="000E18E4"/>
    <w:rsid w:val="000E1BA4"/>
    <w:rsid w:val="000E1E17"/>
    <w:rsid w:val="000E31E4"/>
    <w:rsid w:val="000E3464"/>
    <w:rsid w:val="000E3507"/>
    <w:rsid w:val="000E3581"/>
    <w:rsid w:val="000E36BC"/>
    <w:rsid w:val="000E3755"/>
    <w:rsid w:val="000E37A2"/>
    <w:rsid w:val="000E462D"/>
    <w:rsid w:val="000E5554"/>
    <w:rsid w:val="000E5D6F"/>
    <w:rsid w:val="000E64B0"/>
    <w:rsid w:val="000E6600"/>
    <w:rsid w:val="000E70BA"/>
    <w:rsid w:val="000E7687"/>
    <w:rsid w:val="000E768E"/>
    <w:rsid w:val="000E773A"/>
    <w:rsid w:val="000E7CF4"/>
    <w:rsid w:val="000E7E78"/>
    <w:rsid w:val="000F0EC7"/>
    <w:rsid w:val="000F16D6"/>
    <w:rsid w:val="000F2925"/>
    <w:rsid w:val="000F3FBC"/>
    <w:rsid w:val="000F413A"/>
    <w:rsid w:val="000F47C1"/>
    <w:rsid w:val="000F5098"/>
    <w:rsid w:val="000F5661"/>
    <w:rsid w:val="000F5D50"/>
    <w:rsid w:val="000F5F23"/>
    <w:rsid w:val="000F68A3"/>
    <w:rsid w:val="000F6F12"/>
    <w:rsid w:val="000F739C"/>
    <w:rsid w:val="00101092"/>
    <w:rsid w:val="001015F4"/>
    <w:rsid w:val="00101B07"/>
    <w:rsid w:val="00102925"/>
    <w:rsid w:val="00102DA2"/>
    <w:rsid w:val="0010322F"/>
    <w:rsid w:val="00104D2E"/>
    <w:rsid w:val="001053BC"/>
    <w:rsid w:val="0010544D"/>
    <w:rsid w:val="00105D11"/>
    <w:rsid w:val="00105E8D"/>
    <w:rsid w:val="001060BC"/>
    <w:rsid w:val="001061E5"/>
    <w:rsid w:val="001062C0"/>
    <w:rsid w:val="001064D6"/>
    <w:rsid w:val="001065F5"/>
    <w:rsid w:val="001066F3"/>
    <w:rsid w:val="0010685F"/>
    <w:rsid w:val="00106BE4"/>
    <w:rsid w:val="001074D9"/>
    <w:rsid w:val="00107760"/>
    <w:rsid w:val="00110746"/>
    <w:rsid w:val="00111765"/>
    <w:rsid w:val="00111983"/>
    <w:rsid w:val="001120FB"/>
    <w:rsid w:val="0011222C"/>
    <w:rsid w:val="00113097"/>
    <w:rsid w:val="001133DA"/>
    <w:rsid w:val="00114212"/>
    <w:rsid w:val="00114DAA"/>
    <w:rsid w:val="00115ED7"/>
    <w:rsid w:val="00116B4B"/>
    <w:rsid w:val="00116C13"/>
    <w:rsid w:val="00117324"/>
    <w:rsid w:val="00117443"/>
    <w:rsid w:val="001177E9"/>
    <w:rsid w:val="001206EA"/>
    <w:rsid w:val="00120EB0"/>
    <w:rsid w:val="00121933"/>
    <w:rsid w:val="001219E1"/>
    <w:rsid w:val="001220FF"/>
    <w:rsid w:val="001224ED"/>
    <w:rsid w:val="0012262D"/>
    <w:rsid w:val="00122A37"/>
    <w:rsid w:val="00122AED"/>
    <w:rsid w:val="00122C48"/>
    <w:rsid w:val="00123486"/>
    <w:rsid w:val="001235C9"/>
    <w:rsid w:val="001236DC"/>
    <w:rsid w:val="00123719"/>
    <w:rsid w:val="0012386A"/>
    <w:rsid w:val="001238EF"/>
    <w:rsid w:val="00123E91"/>
    <w:rsid w:val="001240F3"/>
    <w:rsid w:val="001245CA"/>
    <w:rsid w:val="0012478B"/>
    <w:rsid w:val="00124EC8"/>
    <w:rsid w:val="00125AB2"/>
    <w:rsid w:val="00126675"/>
    <w:rsid w:val="001276B0"/>
    <w:rsid w:val="001278CF"/>
    <w:rsid w:val="00127AC0"/>
    <w:rsid w:val="00130EE2"/>
    <w:rsid w:val="00130F6F"/>
    <w:rsid w:val="00131665"/>
    <w:rsid w:val="0013170A"/>
    <w:rsid w:val="00131D58"/>
    <w:rsid w:val="0013201C"/>
    <w:rsid w:val="001328A1"/>
    <w:rsid w:val="001329CB"/>
    <w:rsid w:val="00132CDB"/>
    <w:rsid w:val="00133061"/>
    <w:rsid w:val="00133092"/>
    <w:rsid w:val="001331DE"/>
    <w:rsid w:val="00133FAB"/>
    <w:rsid w:val="0013469B"/>
    <w:rsid w:val="00134F09"/>
    <w:rsid w:val="0013507F"/>
    <w:rsid w:val="00135453"/>
    <w:rsid w:val="00135903"/>
    <w:rsid w:val="00135B02"/>
    <w:rsid w:val="00135B34"/>
    <w:rsid w:val="00136378"/>
    <w:rsid w:val="0013691E"/>
    <w:rsid w:val="00136CC4"/>
    <w:rsid w:val="00137FFB"/>
    <w:rsid w:val="0014078A"/>
    <w:rsid w:val="00140AA4"/>
    <w:rsid w:val="00141A2B"/>
    <w:rsid w:val="00141CFD"/>
    <w:rsid w:val="00141D62"/>
    <w:rsid w:val="00142A0F"/>
    <w:rsid w:val="00142DAC"/>
    <w:rsid w:val="00143595"/>
    <w:rsid w:val="0014365F"/>
    <w:rsid w:val="001439D5"/>
    <w:rsid w:val="001439E8"/>
    <w:rsid w:val="00143E8A"/>
    <w:rsid w:val="001441A2"/>
    <w:rsid w:val="00145690"/>
    <w:rsid w:val="001458E9"/>
    <w:rsid w:val="00146471"/>
    <w:rsid w:val="00146A52"/>
    <w:rsid w:val="00146CC8"/>
    <w:rsid w:val="0015024A"/>
    <w:rsid w:val="0015039C"/>
    <w:rsid w:val="00150DD6"/>
    <w:rsid w:val="00151B55"/>
    <w:rsid w:val="00151FD1"/>
    <w:rsid w:val="00152C3F"/>
    <w:rsid w:val="00152DB4"/>
    <w:rsid w:val="0015314F"/>
    <w:rsid w:val="00154BE4"/>
    <w:rsid w:val="00156680"/>
    <w:rsid w:val="001571C3"/>
    <w:rsid w:val="00160401"/>
    <w:rsid w:val="001621B7"/>
    <w:rsid w:val="001626E0"/>
    <w:rsid w:val="00162C47"/>
    <w:rsid w:val="00162D9C"/>
    <w:rsid w:val="0016343E"/>
    <w:rsid w:val="00163AC6"/>
    <w:rsid w:val="00163DAD"/>
    <w:rsid w:val="00164C69"/>
    <w:rsid w:val="00165C4E"/>
    <w:rsid w:val="00166F1C"/>
    <w:rsid w:val="001677F4"/>
    <w:rsid w:val="001700A8"/>
    <w:rsid w:val="0017107C"/>
    <w:rsid w:val="001712A4"/>
    <w:rsid w:val="001714E3"/>
    <w:rsid w:val="00171B79"/>
    <w:rsid w:val="00171EB9"/>
    <w:rsid w:val="00172709"/>
    <w:rsid w:val="00172914"/>
    <w:rsid w:val="00172D6C"/>
    <w:rsid w:val="00172FE6"/>
    <w:rsid w:val="0017358A"/>
    <w:rsid w:val="00173769"/>
    <w:rsid w:val="00173A86"/>
    <w:rsid w:val="00174158"/>
    <w:rsid w:val="00174B5D"/>
    <w:rsid w:val="00175868"/>
    <w:rsid w:val="00175ABB"/>
    <w:rsid w:val="00177E59"/>
    <w:rsid w:val="0018073D"/>
    <w:rsid w:val="00181128"/>
    <w:rsid w:val="00181459"/>
    <w:rsid w:val="00181D77"/>
    <w:rsid w:val="00182A43"/>
    <w:rsid w:val="001831DD"/>
    <w:rsid w:val="001837F9"/>
    <w:rsid w:val="0018386B"/>
    <w:rsid w:val="001839BB"/>
    <w:rsid w:val="00183B50"/>
    <w:rsid w:val="00184609"/>
    <w:rsid w:val="0018547B"/>
    <w:rsid w:val="00185844"/>
    <w:rsid w:val="001858F3"/>
    <w:rsid w:val="00185AAF"/>
    <w:rsid w:val="00185CCB"/>
    <w:rsid w:val="00185F49"/>
    <w:rsid w:val="00186730"/>
    <w:rsid w:val="00190A68"/>
    <w:rsid w:val="0019224C"/>
    <w:rsid w:val="0019306C"/>
    <w:rsid w:val="001933EE"/>
    <w:rsid w:val="00193684"/>
    <w:rsid w:val="001947FB"/>
    <w:rsid w:val="00194ABD"/>
    <w:rsid w:val="00194AE4"/>
    <w:rsid w:val="001951F2"/>
    <w:rsid w:val="001956AF"/>
    <w:rsid w:val="00195ED6"/>
    <w:rsid w:val="001960CE"/>
    <w:rsid w:val="00196A4E"/>
    <w:rsid w:val="00197047"/>
    <w:rsid w:val="00197613"/>
    <w:rsid w:val="001976FE"/>
    <w:rsid w:val="00197706"/>
    <w:rsid w:val="00197B06"/>
    <w:rsid w:val="001A08DE"/>
    <w:rsid w:val="001A10C5"/>
    <w:rsid w:val="001A1A1B"/>
    <w:rsid w:val="001A2F54"/>
    <w:rsid w:val="001A3354"/>
    <w:rsid w:val="001A386F"/>
    <w:rsid w:val="001A611A"/>
    <w:rsid w:val="001A638E"/>
    <w:rsid w:val="001A6C8C"/>
    <w:rsid w:val="001A7089"/>
    <w:rsid w:val="001B0588"/>
    <w:rsid w:val="001B0E05"/>
    <w:rsid w:val="001B161F"/>
    <w:rsid w:val="001B19D7"/>
    <w:rsid w:val="001B1D1C"/>
    <w:rsid w:val="001B3F8F"/>
    <w:rsid w:val="001B471C"/>
    <w:rsid w:val="001B59BA"/>
    <w:rsid w:val="001B5A28"/>
    <w:rsid w:val="001B5BEC"/>
    <w:rsid w:val="001B5D04"/>
    <w:rsid w:val="001B6128"/>
    <w:rsid w:val="001B6870"/>
    <w:rsid w:val="001B6AB1"/>
    <w:rsid w:val="001B7906"/>
    <w:rsid w:val="001B8DBF"/>
    <w:rsid w:val="001C0835"/>
    <w:rsid w:val="001C169F"/>
    <w:rsid w:val="001C37CD"/>
    <w:rsid w:val="001C3A92"/>
    <w:rsid w:val="001C3CB4"/>
    <w:rsid w:val="001C448F"/>
    <w:rsid w:val="001C475E"/>
    <w:rsid w:val="001C49DF"/>
    <w:rsid w:val="001C55BF"/>
    <w:rsid w:val="001C5DA1"/>
    <w:rsid w:val="001C60B9"/>
    <w:rsid w:val="001C656C"/>
    <w:rsid w:val="001C69FE"/>
    <w:rsid w:val="001C7FE6"/>
    <w:rsid w:val="001D1273"/>
    <w:rsid w:val="001D2087"/>
    <w:rsid w:val="001D2FB1"/>
    <w:rsid w:val="001D3463"/>
    <w:rsid w:val="001D37E7"/>
    <w:rsid w:val="001D384A"/>
    <w:rsid w:val="001D4651"/>
    <w:rsid w:val="001D5903"/>
    <w:rsid w:val="001D5D82"/>
    <w:rsid w:val="001D636C"/>
    <w:rsid w:val="001D6384"/>
    <w:rsid w:val="001D6C1B"/>
    <w:rsid w:val="001D729D"/>
    <w:rsid w:val="001D79A1"/>
    <w:rsid w:val="001E16D3"/>
    <w:rsid w:val="001E1A33"/>
    <w:rsid w:val="001E1FD0"/>
    <w:rsid w:val="001E259C"/>
    <w:rsid w:val="001E275B"/>
    <w:rsid w:val="001E2BBB"/>
    <w:rsid w:val="001E2F50"/>
    <w:rsid w:val="001E39F7"/>
    <w:rsid w:val="001E517C"/>
    <w:rsid w:val="001E7180"/>
    <w:rsid w:val="001E7868"/>
    <w:rsid w:val="001E7B02"/>
    <w:rsid w:val="001F073F"/>
    <w:rsid w:val="001F0DF7"/>
    <w:rsid w:val="001F10AA"/>
    <w:rsid w:val="001F13C5"/>
    <w:rsid w:val="001F1635"/>
    <w:rsid w:val="001F17D2"/>
    <w:rsid w:val="001F2242"/>
    <w:rsid w:val="001F24D0"/>
    <w:rsid w:val="001F3337"/>
    <w:rsid w:val="001F3578"/>
    <w:rsid w:val="001F36D2"/>
    <w:rsid w:val="001F3C79"/>
    <w:rsid w:val="001F42DD"/>
    <w:rsid w:val="001F464E"/>
    <w:rsid w:val="001F5117"/>
    <w:rsid w:val="001F5D74"/>
    <w:rsid w:val="001F67C3"/>
    <w:rsid w:val="001F69BA"/>
    <w:rsid w:val="001F792F"/>
    <w:rsid w:val="001F7B59"/>
    <w:rsid w:val="00200854"/>
    <w:rsid w:val="00201974"/>
    <w:rsid w:val="00201C13"/>
    <w:rsid w:val="00202066"/>
    <w:rsid w:val="00202D2D"/>
    <w:rsid w:val="002033BA"/>
    <w:rsid w:val="002033C6"/>
    <w:rsid w:val="00203409"/>
    <w:rsid w:val="002039A5"/>
    <w:rsid w:val="00203D22"/>
    <w:rsid w:val="0020489F"/>
    <w:rsid w:val="0020579F"/>
    <w:rsid w:val="00205EF2"/>
    <w:rsid w:val="0020661B"/>
    <w:rsid w:val="00206A73"/>
    <w:rsid w:val="00206ADF"/>
    <w:rsid w:val="00206B8B"/>
    <w:rsid w:val="00206CBE"/>
    <w:rsid w:val="00206CEA"/>
    <w:rsid w:val="002077D4"/>
    <w:rsid w:val="002111D2"/>
    <w:rsid w:val="002124D1"/>
    <w:rsid w:val="002124E2"/>
    <w:rsid w:val="00213246"/>
    <w:rsid w:val="0021552A"/>
    <w:rsid w:val="00215873"/>
    <w:rsid w:val="00215A44"/>
    <w:rsid w:val="0021620D"/>
    <w:rsid w:val="00216CAC"/>
    <w:rsid w:val="00216E3B"/>
    <w:rsid w:val="00217962"/>
    <w:rsid w:val="0021799D"/>
    <w:rsid w:val="0022027B"/>
    <w:rsid w:val="00220D10"/>
    <w:rsid w:val="0022254A"/>
    <w:rsid w:val="00222D8E"/>
    <w:rsid w:val="00222E0D"/>
    <w:rsid w:val="00223739"/>
    <w:rsid w:val="00224C29"/>
    <w:rsid w:val="00225763"/>
    <w:rsid w:val="0022623E"/>
    <w:rsid w:val="00226277"/>
    <w:rsid w:val="00226C14"/>
    <w:rsid w:val="00227B9F"/>
    <w:rsid w:val="00230543"/>
    <w:rsid w:val="00230FAE"/>
    <w:rsid w:val="00232469"/>
    <w:rsid w:val="002333C8"/>
    <w:rsid w:val="0023364B"/>
    <w:rsid w:val="00233DC7"/>
    <w:rsid w:val="00234D7A"/>
    <w:rsid w:val="00234F2A"/>
    <w:rsid w:val="00235DB2"/>
    <w:rsid w:val="00235F41"/>
    <w:rsid w:val="00236224"/>
    <w:rsid w:val="002371D1"/>
    <w:rsid w:val="002373A4"/>
    <w:rsid w:val="0024042B"/>
    <w:rsid w:val="00241A01"/>
    <w:rsid w:val="00242001"/>
    <w:rsid w:val="00242895"/>
    <w:rsid w:val="00242DF7"/>
    <w:rsid w:val="002439EF"/>
    <w:rsid w:val="0024461F"/>
    <w:rsid w:val="0024467E"/>
    <w:rsid w:val="00247779"/>
    <w:rsid w:val="00247951"/>
    <w:rsid w:val="00247DD1"/>
    <w:rsid w:val="00250A66"/>
    <w:rsid w:val="002510A4"/>
    <w:rsid w:val="00251560"/>
    <w:rsid w:val="0025181C"/>
    <w:rsid w:val="00251873"/>
    <w:rsid w:val="00251B54"/>
    <w:rsid w:val="00251F1E"/>
    <w:rsid w:val="00252006"/>
    <w:rsid w:val="002523B7"/>
    <w:rsid w:val="00253310"/>
    <w:rsid w:val="0025443C"/>
    <w:rsid w:val="0025558B"/>
    <w:rsid w:val="00256783"/>
    <w:rsid w:val="00256BD8"/>
    <w:rsid w:val="00257B53"/>
    <w:rsid w:val="002606C0"/>
    <w:rsid w:val="00263B08"/>
    <w:rsid w:val="00263B4A"/>
    <w:rsid w:val="00264FBD"/>
    <w:rsid w:val="002655E4"/>
    <w:rsid w:val="0026580F"/>
    <w:rsid w:val="00266695"/>
    <w:rsid w:val="00266C43"/>
    <w:rsid w:val="00266C6B"/>
    <w:rsid w:val="002671BE"/>
    <w:rsid w:val="0026752A"/>
    <w:rsid w:val="00267A33"/>
    <w:rsid w:val="00267E60"/>
    <w:rsid w:val="00270594"/>
    <w:rsid w:val="002712B9"/>
    <w:rsid w:val="00271600"/>
    <w:rsid w:val="00271C5B"/>
    <w:rsid w:val="00271DF7"/>
    <w:rsid w:val="00271E9E"/>
    <w:rsid w:val="0027227D"/>
    <w:rsid w:val="00272763"/>
    <w:rsid w:val="00272C23"/>
    <w:rsid w:val="0027365B"/>
    <w:rsid w:val="0027383B"/>
    <w:rsid w:val="002738EE"/>
    <w:rsid w:val="00274321"/>
    <w:rsid w:val="0027452D"/>
    <w:rsid w:val="002746D8"/>
    <w:rsid w:val="00275591"/>
    <w:rsid w:val="002759D2"/>
    <w:rsid w:val="00275FD0"/>
    <w:rsid w:val="00276640"/>
    <w:rsid w:val="00280026"/>
    <w:rsid w:val="00280C83"/>
    <w:rsid w:val="00280D62"/>
    <w:rsid w:val="00280FDE"/>
    <w:rsid w:val="002813FA"/>
    <w:rsid w:val="002817B1"/>
    <w:rsid w:val="002821CF"/>
    <w:rsid w:val="002822F2"/>
    <w:rsid w:val="00282365"/>
    <w:rsid w:val="00282923"/>
    <w:rsid w:val="00282C9D"/>
    <w:rsid w:val="0028315B"/>
    <w:rsid w:val="00283452"/>
    <w:rsid w:val="00283523"/>
    <w:rsid w:val="00284019"/>
    <w:rsid w:val="0028438F"/>
    <w:rsid w:val="002847BE"/>
    <w:rsid w:val="00285BEE"/>
    <w:rsid w:val="002863AE"/>
    <w:rsid w:val="0028652B"/>
    <w:rsid w:val="00286A83"/>
    <w:rsid w:val="00286F1F"/>
    <w:rsid w:val="00287904"/>
    <w:rsid w:val="00287AEA"/>
    <w:rsid w:val="00287B3F"/>
    <w:rsid w:val="00288710"/>
    <w:rsid w:val="00290553"/>
    <w:rsid w:val="002909AB"/>
    <w:rsid w:val="00290D1C"/>
    <w:rsid w:val="00290E8F"/>
    <w:rsid w:val="00291F8D"/>
    <w:rsid w:val="00292683"/>
    <w:rsid w:val="00292952"/>
    <w:rsid w:val="002941C6"/>
    <w:rsid w:val="002946B5"/>
    <w:rsid w:val="0029533F"/>
    <w:rsid w:val="002955A0"/>
    <w:rsid w:val="00295657"/>
    <w:rsid w:val="00295797"/>
    <w:rsid w:val="00295F4E"/>
    <w:rsid w:val="0029661B"/>
    <w:rsid w:val="00296E7C"/>
    <w:rsid w:val="00296F77"/>
    <w:rsid w:val="00297E62"/>
    <w:rsid w:val="002A0CAE"/>
    <w:rsid w:val="002A15E3"/>
    <w:rsid w:val="002A1852"/>
    <w:rsid w:val="002A1BF4"/>
    <w:rsid w:val="002A216C"/>
    <w:rsid w:val="002A21E9"/>
    <w:rsid w:val="002A23C5"/>
    <w:rsid w:val="002A2DCA"/>
    <w:rsid w:val="002A381F"/>
    <w:rsid w:val="002A3CB5"/>
    <w:rsid w:val="002A3FB0"/>
    <w:rsid w:val="002A422D"/>
    <w:rsid w:val="002A50CD"/>
    <w:rsid w:val="002A6A08"/>
    <w:rsid w:val="002A758F"/>
    <w:rsid w:val="002B0A09"/>
    <w:rsid w:val="002B0A71"/>
    <w:rsid w:val="002B1027"/>
    <w:rsid w:val="002B1E99"/>
    <w:rsid w:val="002B29B1"/>
    <w:rsid w:val="002B30AF"/>
    <w:rsid w:val="002B4A43"/>
    <w:rsid w:val="002B4DE0"/>
    <w:rsid w:val="002B5196"/>
    <w:rsid w:val="002B5330"/>
    <w:rsid w:val="002B555D"/>
    <w:rsid w:val="002B69EE"/>
    <w:rsid w:val="002B75A3"/>
    <w:rsid w:val="002B7FFD"/>
    <w:rsid w:val="002C01E4"/>
    <w:rsid w:val="002C02BA"/>
    <w:rsid w:val="002C0520"/>
    <w:rsid w:val="002C180C"/>
    <w:rsid w:val="002C1FEB"/>
    <w:rsid w:val="002C2440"/>
    <w:rsid w:val="002C4E11"/>
    <w:rsid w:val="002C5710"/>
    <w:rsid w:val="002C5799"/>
    <w:rsid w:val="002C59D8"/>
    <w:rsid w:val="002C5F1D"/>
    <w:rsid w:val="002C6046"/>
    <w:rsid w:val="002C62A8"/>
    <w:rsid w:val="002C64F7"/>
    <w:rsid w:val="002C7C32"/>
    <w:rsid w:val="002D03B3"/>
    <w:rsid w:val="002D1456"/>
    <w:rsid w:val="002D2A5C"/>
    <w:rsid w:val="002D30C7"/>
    <w:rsid w:val="002D38EE"/>
    <w:rsid w:val="002D3B70"/>
    <w:rsid w:val="002D3F16"/>
    <w:rsid w:val="002D3FC0"/>
    <w:rsid w:val="002D4137"/>
    <w:rsid w:val="002D4750"/>
    <w:rsid w:val="002D48F2"/>
    <w:rsid w:val="002D5424"/>
    <w:rsid w:val="002D552C"/>
    <w:rsid w:val="002D5C16"/>
    <w:rsid w:val="002D65D2"/>
    <w:rsid w:val="002D6D8F"/>
    <w:rsid w:val="002D6DF4"/>
    <w:rsid w:val="002D785B"/>
    <w:rsid w:val="002D7C83"/>
    <w:rsid w:val="002E0FBD"/>
    <w:rsid w:val="002E1D0C"/>
    <w:rsid w:val="002E1F20"/>
    <w:rsid w:val="002E2C87"/>
    <w:rsid w:val="002E3132"/>
    <w:rsid w:val="002E3599"/>
    <w:rsid w:val="002E45F0"/>
    <w:rsid w:val="002E5771"/>
    <w:rsid w:val="002E59FA"/>
    <w:rsid w:val="002E65A3"/>
    <w:rsid w:val="002E66CF"/>
    <w:rsid w:val="002E6D2A"/>
    <w:rsid w:val="002E6DD3"/>
    <w:rsid w:val="002E6E9C"/>
    <w:rsid w:val="002E6EE2"/>
    <w:rsid w:val="002E72F5"/>
    <w:rsid w:val="002F051A"/>
    <w:rsid w:val="002F1167"/>
    <w:rsid w:val="002F354F"/>
    <w:rsid w:val="002F357A"/>
    <w:rsid w:val="002F4419"/>
    <w:rsid w:val="002F4512"/>
    <w:rsid w:val="002F4C67"/>
    <w:rsid w:val="002F4CFF"/>
    <w:rsid w:val="002F655D"/>
    <w:rsid w:val="002F6999"/>
    <w:rsid w:val="002F6E07"/>
    <w:rsid w:val="002F6F12"/>
    <w:rsid w:val="002F71FD"/>
    <w:rsid w:val="002F7B50"/>
    <w:rsid w:val="002F7D2C"/>
    <w:rsid w:val="00300772"/>
    <w:rsid w:val="0030141C"/>
    <w:rsid w:val="0030159C"/>
    <w:rsid w:val="00301E1E"/>
    <w:rsid w:val="00301E9B"/>
    <w:rsid w:val="00302108"/>
    <w:rsid w:val="0030269F"/>
    <w:rsid w:val="003027CC"/>
    <w:rsid w:val="00303C8F"/>
    <w:rsid w:val="00304EBA"/>
    <w:rsid w:val="0030528E"/>
    <w:rsid w:val="003067DB"/>
    <w:rsid w:val="0030687B"/>
    <w:rsid w:val="003100D8"/>
    <w:rsid w:val="00310129"/>
    <w:rsid w:val="003106BB"/>
    <w:rsid w:val="00310810"/>
    <w:rsid w:val="00310BB6"/>
    <w:rsid w:val="00310D30"/>
    <w:rsid w:val="003111B4"/>
    <w:rsid w:val="0031220E"/>
    <w:rsid w:val="00312601"/>
    <w:rsid w:val="00312E88"/>
    <w:rsid w:val="00313918"/>
    <w:rsid w:val="0031464B"/>
    <w:rsid w:val="0031503A"/>
    <w:rsid w:val="0031587C"/>
    <w:rsid w:val="0031599B"/>
    <w:rsid w:val="00315B63"/>
    <w:rsid w:val="003160AD"/>
    <w:rsid w:val="003168D5"/>
    <w:rsid w:val="00316A99"/>
    <w:rsid w:val="0031723A"/>
    <w:rsid w:val="003176D9"/>
    <w:rsid w:val="003179D2"/>
    <w:rsid w:val="00320255"/>
    <w:rsid w:val="00320346"/>
    <w:rsid w:val="003206F3"/>
    <w:rsid w:val="003208EC"/>
    <w:rsid w:val="003208F5"/>
    <w:rsid w:val="003226CD"/>
    <w:rsid w:val="003227C2"/>
    <w:rsid w:val="0032335F"/>
    <w:rsid w:val="00324347"/>
    <w:rsid w:val="00324455"/>
    <w:rsid w:val="00324C30"/>
    <w:rsid w:val="00324E89"/>
    <w:rsid w:val="00325C2B"/>
    <w:rsid w:val="00325EAF"/>
    <w:rsid w:val="00326308"/>
    <w:rsid w:val="00326812"/>
    <w:rsid w:val="00326954"/>
    <w:rsid w:val="00327053"/>
    <w:rsid w:val="00327A04"/>
    <w:rsid w:val="00330FFC"/>
    <w:rsid w:val="0033100D"/>
    <w:rsid w:val="00331287"/>
    <w:rsid w:val="00332137"/>
    <w:rsid w:val="003328A5"/>
    <w:rsid w:val="00332FE6"/>
    <w:rsid w:val="0033344A"/>
    <w:rsid w:val="0033452E"/>
    <w:rsid w:val="00334944"/>
    <w:rsid w:val="00334A00"/>
    <w:rsid w:val="00334A46"/>
    <w:rsid w:val="00334ABA"/>
    <w:rsid w:val="003351CB"/>
    <w:rsid w:val="00335544"/>
    <w:rsid w:val="003368E5"/>
    <w:rsid w:val="00340191"/>
    <w:rsid w:val="003402FE"/>
    <w:rsid w:val="00340BE3"/>
    <w:rsid w:val="003410DD"/>
    <w:rsid w:val="0034196C"/>
    <w:rsid w:val="003423FD"/>
    <w:rsid w:val="0034347E"/>
    <w:rsid w:val="00345587"/>
    <w:rsid w:val="00345A13"/>
    <w:rsid w:val="003466B2"/>
    <w:rsid w:val="00346909"/>
    <w:rsid w:val="00347DCE"/>
    <w:rsid w:val="00347F71"/>
    <w:rsid w:val="00350D94"/>
    <w:rsid w:val="00350FA6"/>
    <w:rsid w:val="0035140B"/>
    <w:rsid w:val="003514DD"/>
    <w:rsid w:val="00352713"/>
    <w:rsid w:val="00353771"/>
    <w:rsid w:val="003539B3"/>
    <w:rsid w:val="003544DE"/>
    <w:rsid w:val="00354521"/>
    <w:rsid w:val="00354AA4"/>
    <w:rsid w:val="00354DA8"/>
    <w:rsid w:val="003553E2"/>
    <w:rsid w:val="003562D7"/>
    <w:rsid w:val="00356E64"/>
    <w:rsid w:val="00356ED6"/>
    <w:rsid w:val="003578B4"/>
    <w:rsid w:val="00357D7D"/>
    <w:rsid w:val="00360C50"/>
    <w:rsid w:val="003610C3"/>
    <w:rsid w:val="003615E0"/>
    <w:rsid w:val="0036228E"/>
    <w:rsid w:val="0036268C"/>
    <w:rsid w:val="00363273"/>
    <w:rsid w:val="0036351A"/>
    <w:rsid w:val="0036366B"/>
    <w:rsid w:val="00363700"/>
    <w:rsid w:val="00363F28"/>
    <w:rsid w:val="00364DC7"/>
    <w:rsid w:val="00365791"/>
    <w:rsid w:val="00365D25"/>
    <w:rsid w:val="00366563"/>
    <w:rsid w:val="00366B47"/>
    <w:rsid w:val="00370613"/>
    <w:rsid w:val="00370876"/>
    <w:rsid w:val="00371AA6"/>
    <w:rsid w:val="00371CB4"/>
    <w:rsid w:val="0037415E"/>
    <w:rsid w:val="00374903"/>
    <w:rsid w:val="00374E81"/>
    <w:rsid w:val="003750D4"/>
    <w:rsid w:val="00375A8F"/>
    <w:rsid w:val="00376470"/>
    <w:rsid w:val="00376EBF"/>
    <w:rsid w:val="0037712F"/>
    <w:rsid w:val="00377A7D"/>
    <w:rsid w:val="003803FC"/>
    <w:rsid w:val="00380580"/>
    <w:rsid w:val="00381885"/>
    <w:rsid w:val="00382AB3"/>
    <w:rsid w:val="00382CDC"/>
    <w:rsid w:val="00384675"/>
    <w:rsid w:val="00384767"/>
    <w:rsid w:val="00384E88"/>
    <w:rsid w:val="00385168"/>
    <w:rsid w:val="003855E0"/>
    <w:rsid w:val="00385701"/>
    <w:rsid w:val="003857B2"/>
    <w:rsid w:val="00386587"/>
    <w:rsid w:val="00386C14"/>
    <w:rsid w:val="0038705D"/>
    <w:rsid w:val="003874C1"/>
    <w:rsid w:val="00387E5F"/>
    <w:rsid w:val="003902D1"/>
    <w:rsid w:val="00390339"/>
    <w:rsid w:val="0039051A"/>
    <w:rsid w:val="0039334C"/>
    <w:rsid w:val="003935BD"/>
    <w:rsid w:val="00393E46"/>
    <w:rsid w:val="00394436"/>
    <w:rsid w:val="00394850"/>
    <w:rsid w:val="00394C2B"/>
    <w:rsid w:val="003952FC"/>
    <w:rsid w:val="00395A7C"/>
    <w:rsid w:val="003962D4"/>
    <w:rsid w:val="00396535"/>
    <w:rsid w:val="003966D4"/>
    <w:rsid w:val="00396C3E"/>
    <w:rsid w:val="00396F88"/>
    <w:rsid w:val="00397676"/>
    <w:rsid w:val="003A31A6"/>
    <w:rsid w:val="003A32E5"/>
    <w:rsid w:val="003A36F8"/>
    <w:rsid w:val="003A3AB2"/>
    <w:rsid w:val="003A4595"/>
    <w:rsid w:val="003A4944"/>
    <w:rsid w:val="003A4DC3"/>
    <w:rsid w:val="003A54A5"/>
    <w:rsid w:val="003A5526"/>
    <w:rsid w:val="003A5B69"/>
    <w:rsid w:val="003A6D3F"/>
    <w:rsid w:val="003B04E3"/>
    <w:rsid w:val="003B0E33"/>
    <w:rsid w:val="003B10F5"/>
    <w:rsid w:val="003B1351"/>
    <w:rsid w:val="003B1B22"/>
    <w:rsid w:val="003B1D6E"/>
    <w:rsid w:val="003B1F1E"/>
    <w:rsid w:val="003B27E4"/>
    <w:rsid w:val="003B2EB5"/>
    <w:rsid w:val="003B3D64"/>
    <w:rsid w:val="003B3EED"/>
    <w:rsid w:val="003B4475"/>
    <w:rsid w:val="003B4553"/>
    <w:rsid w:val="003B46C2"/>
    <w:rsid w:val="003B662D"/>
    <w:rsid w:val="003B6957"/>
    <w:rsid w:val="003B6D5B"/>
    <w:rsid w:val="003B7585"/>
    <w:rsid w:val="003B7A50"/>
    <w:rsid w:val="003B8374"/>
    <w:rsid w:val="003C02A1"/>
    <w:rsid w:val="003C0376"/>
    <w:rsid w:val="003C104E"/>
    <w:rsid w:val="003C2274"/>
    <w:rsid w:val="003C2813"/>
    <w:rsid w:val="003C3B08"/>
    <w:rsid w:val="003C452D"/>
    <w:rsid w:val="003C59E5"/>
    <w:rsid w:val="003C67E6"/>
    <w:rsid w:val="003D0052"/>
    <w:rsid w:val="003D071B"/>
    <w:rsid w:val="003D09FB"/>
    <w:rsid w:val="003D0A14"/>
    <w:rsid w:val="003D11DE"/>
    <w:rsid w:val="003D264D"/>
    <w:rsid w:val="003D2EF0"/>
    <w:rsid w:val="003D361B"/>
    <w:rsid w:val="003D3868"/>
    <w:rsid w:val="003D3FEF"/>
    <w:rsid w:val="003D4F20"/>
    <w:rsid w:val="003D5866"/>
    <w:rsid w:val="003D5C21"/>
    <w:rsid w:val="003D5C54"/>
    <w:rsid w:val="003D5FB2"/>
    <w:rsid w:val="003D6C21"/>
    <w:rsid w:val="003D6F18"/>
    <w:rsid w:val="003D6F47"/>
    <w:rsid w:val="003D7B97"/>
    <w:rsid w:val="003E05FD"/>
    <w:rsid w:val="003E204F"/>
    <w:rsid w:val="003E245D"/>
    <w:rsid w:val="003E286A"/>
    <w:rsid w:val="003E2A9A"/>
    <w:rsid w:val="003E34C2"/>
    <w:rsid w:val="003E3935"/>
    <w:rsid w:val="003E4194"/>
    <w:rsid w:val="003E4798"/>
    <w:rsid w:val="003E482A"/>
    <w:rsid w:val="003E5E60"/>
    <w:rsid w:val="003E6058"/>
    <w:rsid w:val="003E6F6D"/>
    <w:rsid w:val="003E7F0F"/>
    <w:rsid w:val="003F0FD8"/>
    <w:rsid w:val="003F15F0"/>
    <w:rsid w:val="003F167B"/>
    <w:rsid w:val="003F1E8E"/>
    <w:rsid w:val="003F23F9"/>
    <w:rsid w:val="003F27CF"/>
    <w:rsid w:val="003F2CA4"/>
    <w:rsid w:val="003F3DD5"/>
    <w:rsid w:val="003F4B12"/>
    <w:rsid w:val="003F5F62"/>
    <w:rsid w:val="003F6B92"/>
    <w:rsid w:val="00400AAF"/>
    <w:rsid w:val="00401755"/>
    <w:rsid w:val="00401AA7"/>
    <w:rsid w:val="00404190"/>
    <w:rsid w:val="00405244"/>
    <w:rsid w:val="00405676"/>
    <w:rsid w:val="004065CF"/>
    <w:rsid w:val="004068EE"/>
    <w:rsid w:val="00407AC1"/>
    <w:rsid w:val="00410136"/>
    <w:rsid w:val="004116F2"/>
    <w:rsid w:val="004118CE"/>
    <w:rsid w:val="0041198A"/>
    <w:rsid w:val="00411D74"/>
    <w:rsid w:val="00411EC1"/>
    <w:rsid w:val="004131CF"/>
    <w:rsid w:val="0041332F"/>
    <w:rsid w:val="00413472"/>
    <w:rsid w:val="00414057"/>
    <w:rsid w:val="00414641"/>
    <w:rsid w:val="00415830"/>
    <w:rsid w:val="00415894"/>
    <w:rsid w:val="00415B09"/>
    <w:rsid w:val="00415B8B"/>
    <w:rsid w:val="004160D4"/>
    <w:rsid w:val="00416A7F"/>
    <w:rsid w:val="00416BF7"/>
    <w:rsid w:val="00416C90"/>
    <w:rsid w:val="00417CB2"/>
    <w:rsid w:val="004202B9"/>
    <w:rsid w:val="004202F1"/>
    <w:rsid w:val="004204BE"/>
    <w:rsid w:val="0042128A"/>
    <w:rsid w:val="004220A8"/>
    <w:rsid w:val="00422280"/>
    <w:rsid w:val="00422A43"/>
    <w:rsid w:val="00422B98"/>
    <w:rsid w:val="00422DD1"/>
    <w:rsid w:val="00422E2A"/>
    <w:rsid w:val="00423EE4"/>
    <w:rsid w:val="0042470B"/>
    <w:rsid w:val="004248C3"/>
    <w:rsid w:val="00425E31"/>
    <w:rsid w:val="0042648E"/>
    <w:rsid w:val="004270C4"/>
    <w:rsid w:val="00427B04"/>
    <w:rsid w:val="00430133"/>
    <w:rsid w:val="00430145"/>
    <w:rsid w:val="00430518"/>
    <w:rsid w:val="00430768"/>
    <w:rsid w:val="00431599"/>
    <w:rsid w:val="00431777"/>
    <w:rsid w:val="00433682"/>
    <w:rsid w:val="004345FB"/>
    <w:rsid w:val="00434BC9"/>
    <w:rsid w:val="00435CFF"/>
    <w:rsid w:val="00435F6A"/>
    <w:rsid w:val="004360A9"/>
    <w:rsid w:val="004362CF"/>
    <w:rsid w:val="00436FCC"/>
    <w:rsid w:val="00440AEA"/>
    <w:rsid w:val="0044117D"/>
    <w:rsid w:val="00441575"/>
    <w:rsid w:val="0044176C"/>
    <w:rsid w:val="00442954"/>
    <w:rsid w:val="00442A61"/>
    <w:rsid w:val="00443640"/>
    <w:rsid w:val="004437A9"/>
    <w:rsid w:val="004437DE"/>
    <w:rsid w:val="00445039"/>
    <w:rsid w:val="004458A0"/>
    <w:rsid w:val="00446618"/>
    <w:rsid w:val="00446C04"/>
    <w:rsid w:val="00446C36"/>
    <w:rsid w:val="00446EE4"/>
    <w:rsid w:val="0044774D"/>
    <w:rsid w:val="00447E8C"/>
    <w:rsid w:val="00447EED"/>
    <w:rsid w:val="00447FBE"/>
    <w:rsid w:val="0045005B"/>
    <w:rsid w:val="00451F86"/>
    <w:rsid w:val="00452301"/>
    <w:rsid w:val="004527B3"/>
    <w:rsid w:val="0045313D"/>
    <w:rsid w:val="00454359"/>
    <w:rsid w:val="0045490D"/>
    <w:rsid w:val="00454E8C"/>
    <w:rsid w:val="00454FF9"/>
    <w:rsid w:val="00455F52"/>
    <w:rsid w:val="00456FCB"/>
    <w:rsid w:val="004573F8"/>
    <w:rsid w:val="00457566"/>
    <w:rsid w:val="004576B7"/>
    <w:rsid w:val="004578B2"/>
    <w:rsid w:val="004601C1"/>
    <w:rsid w:val="00460CA9"/>
    <w:rsid w:val="00461407"/>
    <w:rsid w:val="00461464"/>
    <w:rsid w:val="00461D40"/>
    <w:rsid w:val="004622B1"/>
    <w:rsid w:val="0046266D"/>
    <w:rsid w:val="00463346"/>
    <w:rsid w:val="00463799"/>
    <w:rsid w:val="00463B96"/>
    <w:rsid w:val="00464069"/>
    <w:rsid w:val="00464823"/>
    <w:rsid w:val="00464C8E"/>
    <w:rsid w:val="00466A5D"/>
    <w:rsid w:val="00466CEE"/>
    <w:rsid w:val="004678FD"/>
    <w:rsid w:val="004714DF"/>
    <w:rsid w:val="00471986"/>
    <w:rsid w:val="00471D4E"/>
    <w:rsid w:val="0047231C"/>
    <w:rsid w:val="004725FB"/>
    <w:rsid w:val="00472617"/>
    <w:rsid w:val="004732E0"/>
    <w:rsid w:val="00474334"/>
    <w:rsid w:val="00474593"/>
    <w:rsid w:val="004756C2"/>
    <w:rsid w:val="004762B9"/>
    <w:rsid w:val="004770F2"/>
    <w:rsid w:val="00477265"/>
    <w:rsid w:val="00477269"/>
    <w:rsid w:val="004775E0"/>
    <w:rsid w:val="004777CE"/>
    <w:rsid w:val="00477DFB"/>
    <w:rsid w:val="0047F384"/>
    <w:rsid w:val="00480B3F"/>
    <w:rsid w:val="00480DEA"/>
    <w:rsid w:val="00481C1A"/>
    <w:rsid w:val="00481DAE"/>
    <w:rsid w:val="00482D5A"/>
    <w:rsid w:val="0048446A"/>
    <w:rsid w:val="00484901"/>
    <w:rsid w:val="00484ED8"/>
    <w:rsid w:val="00485387"/>
    <w:rsid w:val="00485509"/>
    <w:rsid w:val="00485748"/>
    <w:rsid w:val="00485BAF"/>
    <w:rsid w:val="00485C3E"/>
    <w:rsid w:val="00485EC0"/>
    <w:rsid w:val="00486526"/>
    <w:rsid w:val="00486E77"/>
    <w:rsid w:val="00487350"/>
    <w:rsid w:val="004878C2"/>
    <w:rsid w:val="00491647"/>
    <w:rsid w:val="004916C2"/>
    <w:rsid w:val="00491F84"/>
    <w:rsid w:val="00492904"/>
    <w:rsid w:val="004936D2"/>
    <w:rsid w:val="00493734"/>
    <w:rsid w:val="00493B32"/>
    <w:rsid w:val="00493EB9"/>
    <w:rsid w:val="00493FEE"/>
    <w:rsid w:val="00494042"/>
    <w:rsid w:val="00495220"/>
    <w:rsid w:val="00495896"/>
    <w:rsid w:val="00495EFD"/>
    <w:rsid w:val="0049602C"/>
    <w:rsid w:val="004966FD"/>
    <w:rsid w:val="004969CF"/>
    <w:rsid w:val="00496D4B"/>
    <w:rsid w:val="00497364"/>
    <w:rsid w:val="00497A63"/>
    <w:rsid w:val="00497BEA"/>
    <w:rsid w:val="004A02A2"/>
    <w:rsid w:val="004A03E5"/>
    <w:rsid w:val="004A0A00"/>
    <w:rsid w:val="004A0A78"/>
    <w:rsid w:val="004A1B60"/>
    <w:rsid w:val="004A219E"/>
    <w:rsid w:val="004A31F2"/>
    <w:rsid w:val="004A3C48"/>
    <w:rsid w:val="004A3F7D"/>
    <w:rsid w:val="004A49CD"/>
    <w:rsid w:val="004A4AF2"/>
    <w:rsid w:val="004A697D"/>
    <w:rsid w:val="004A7AAE"/>
    <w:rsid w:val="004A7D9F"/>
    <w:rsid w:val="004B1DE3"/>
    <w:rsid w:val="004B1E5B"/>
    <w:rsid w:val="004B2A2A"/>
    <w:rsid w:val="004B5602"/>
    <w:rsid w:val="004B5980"/>
    <w:rsid w:val="004B5AD6"/>
    <w:rsid w:val="004B63F6"/>
    <w:rsid w:val="004B6594"/>
    <w:rsid w:val="004B6C95"/>
    <w:rsid w:val="004B7725"/>
    <w:rsid w:val="004B773E"/>
    <w:rsid w:val="004C05BA"/>
    <w:rsid w:val="004C0745"/>
    <w:rsid w:val="004C0884"/>
    <w:rsid w:val="004C0C35"/>
    <w:rsid w:val="004C1352"/>
    <w:rsid w:val="004C3697"/>
    <w:rsid w:val="004C3E71"/>
    <w:rsid w:val="004C4B2A"/>
    <w:rsid w:val="004C5153"/>
    <w:rsid w:val="004C5763"/>
    <w:rsid w:val="004C5B58"/>
    <w:rsid w:val="004C5F31"/>
    <w:rsid w:val="004C66FA"/>
    <w:rsid w:val="004C6A58"/>
    <w:rsid w:val="004C7FDC"/>
    <w:rsid w:val="004D0229"/>
    <w:rsid w:val="004D0402"/>
    <w:rsid w:val="004D07BD"/>
    <w:rsid w:val="004D07F3"/>
    <w:rsid w:val="004D12F8"/>
    <w:rsid w:val="004D141F"/>
    <w:rsid w:val="004D1785"/>
    <w:rsid w:val="004D1EF4"/>
    <w:rsid w:val="004D33E4"/>
    <w:rsid w:val="004D3F94"/>
    <w:rsid w:val="004D5050"/>
    <w:rsid w:val="004D510A"/>
    <w:rsid w:val="004D5178"/>
    <w:rsid w:val="004D55CA"/>
    <w:rsid w:val="004D593E"/>
    <w:rsid w:val="004D5CAA"/>
    <w:rsid w:val="004D634E"/>
    <w:rsid w:val="004D6511"/>
    <w:rsid w:val="004D6AB1"/>
    <w:rsid w:val="004D7764"/>
    <w:rsid w:val="004D77A6"/>
    <w:rsid w:val="004D77CC"/>
    <w:rsid w:val="004D7A2D"/>
    <w:rsid w:val="004D7B88"/>
    <w:rsid w:val="004E00D6"/>
    <w:rsid w:val="004E05DF"/>
    <w:rsid w:val="004E2F2F"/>
    <w:rsid w:val="004E2FBD"/>
    <w:rsid w:val="004E3E2A"/>
    <w:rsid w:val="004E4934"/>
    <w:rsid w:val="004E4B32"/>
    <w:rsid w:val="004E4DE9"/>
    <w:rsid w:val="004E51A3"/>
    <w:rsid w:val="004E5214"/>
    <w:rsid w:val="004E64AD"/>
    <w:rsid w:val="004E659C"/>
    <w:rsid w:val="004E6F2C"/>
    <w:rsid w:val="004E7835"/>
    <w:rsid w:val="004E7CEC"/>
    <w:rsid w:val="004F125A"/>
    <w:rsid w:val="004F139E"/>
    <w:rsid w:val="004F182B"/>
    <w:rsid w:val="004F1905"/>
    <w:rsid w:val="004F216F"/>
    <w:rsid w:val="004F39DD"/>
    <w:rsid w:val="004F462F"/>
    <w:rsid w:val="004F48F8"/>
    <w:rsid w:val="004F4944"/>
    <w:rsid w:val="004F68A0"/>
    <w:rsid w:val="004F7309"/>
    <w:rsid w:val="004F7DED"/>
    <w:rsid w:val="005000AE"/>
    <w:rsid w:val="00500887"/>
    <w:rsid w:val="00501329"/>
    <w:rsid w:val="00501BA7"/>
    <w:rsid w:val="00501F00"/>
    <w:rsid w:val="005028DC"/>
    <w:rsid w:val="005029F3"/>
    <w:rsid w:val="00502B71"/>
    <w:rsid w:val="00502F33"/>
    <w:rsid w:val="00505496"/>
    <w:rsid w:val="005068A2"/>
    <w:rsid w:val="0050B9D2"/>
    <w:rsid w:val="00510042"/>
    <w:rsid w:val="005102A5"/>
    <w:rsid w:val="005107A4"/>
    <w:rsid w:val="00510B43"/>
    <w:rsid w:val="00510DEA"/>
    <w:rsid w:val="00512125"/>
    <w:rsid w:val="00515250"/>
    <w:rsid w:val="00515CB2"/>
    <w:rsid w:val="00515E53"/>
    <w:rsid w:val="005160CB"/>
    <w:rsid w:val="0051665D"/>
    <w:rsid w:val="0051740D"/>
    <w:rsid w:val="005178A1"/>
    <w:rsid w:val="005179C1"/>
    <w:rsid w:val="005201C4"/>
    <w:rsid w:val="0052144D"/>
    <w:rsid w:val="005226AB"/>
    <w:rsid w:val="00522AF7"/>
    <w:rsid w:val="00522DB5"/>
    <w:rsid w:val="00523318"/>
    <w:rsid w:val="00523E6A"/>
    <w:rsid w:val="00524086"/>
    <w:rsid w:val="00524BF3"/>
    <w:rsid w:val="00524F55"/>
    <w:rsid w:val="00526624"/>
    <w:rsid w:val="005268B7"/>
    <w:rsid w:val="00526D0A"/>
    <w:rsid w:val="00526F1E"/>
    <w:rsid w:val="00527029"/>
    <w:rsid w:val="00527E8F"/>
    <w:rsid w:val="005304D6"/>
    <w:rsid w:val="005306F1"/>
    <w:rsid w:val="00530BAD"/>
    <w:rsid w:val="005319AB"/>
    <w:rsid w:val="0053205C"/>
    <w:rsid w:val="00532550"/>
    <w:rsid w:val="005328A7"/>
    <w:rsid w:val="00533507"/>
    <w:rsid w:val="00533938"/>
    <w:rsid w:val="00534154"/>
    <w:rsid w:val="00534E3E"/>
    <w:rsid w:val="00534FE9"/>
    <w:rsid w:val="005360DF"/>
    <w:rsid w:val="00536621"/>
    <w:rsid w:val="00536940"/>
    <w:rsid w:val="00537D3C"/>
    <w:rsid w:val="005403E1"/>
    <w:rsid w:val="00540634"/>
    <w:rsid w:val="005407C2"/>
    <w:rsid w:val="00540914"/>
    <w:rsid w:val="0054149A"/>
    <w:rsid w:val="005415F2"/>
    <w:rsid w:val="0054222A"/>
    <w:rsid w:val="005428D6"/>
    <w:rsid w:val="00542E9E"/>
    <w:rsid w:val="00542F8D"/>
    <w:rsid w:val="0054391B"/>
    <w:rsid w:val="00543DA3"/>
    <w:rsid w:val="0054418E"/>
    <w:rsid w:val="0054435B"/>
    <w:rsid w:val="005443A7"/>
    <w:rsid w:val="00544776"/>
    <w:rsid w:val="00544FF5"/>
    <w:rsid w:val="0054500E"/>
    <w:rsid w:val="00545243"/>
    <w:rsid w:val="00545660"/>
    <w:rsid w:val="005466CA"/>
    <w:rsid w:val="00546CB0"/>
    <w:rsid w:val="00546D05"/>
    <w:rsid w:val="00547263"/>
    <w:rsid w:val="0054729B"/>
    <w:rsid w:val="00547647"/>
    <w:rsid w:val="00549763"/>
    <w:rsid w:val="00550545"/>
    <w:rsid w:val="00550961"/>
    <w:rsid w:val="00550BB2"/>
    <w:rsid w:val="00552105"/>
    <w:rsid w:val="00552B92"/>
    <w:rsid w:val="00552C80"/>
    <w:rsid w:val="0055350D"/>
    <w:rsid w:val="00554506"/>
    <w:rsid w:val="0055469A"/>
    <w:rsid w:val="00554778"/>
    <w:rsid w:val="00554887"/>
    <w:rsid w:val="0055500F"/>
    <w:rsid w:val="00555A10"/>
    <w:rsid w:val="00555B21"/>
    <w:rsid w:val="00555CA4"/>
    <w:rsid w:val="00561699"/>
    <w:rsid w:val="005617BA"/>
    <w:rsid w:val="00562399"/>
    <w:rsid w:val="00562913"/>
    <w:rsid w:val="00562B6F"/>
    <w:rsid w:val="005639F0"/>
    <w:rsid w:val="00563A9F"/>
    <w:rsid w:val="00564192"/>
    <w:rsid w:val="00564585"/>
    <w:rsid w:val="005649F1"/>
    <w:rsid w:val="0056528E"/>
    <w:rsid w:val="00566DDA"/>
    <w:rsid w:val="00567641"/>
    <w:rsid w:val="00567990"/>
    <w:rsid w:val="00567BE3"/>
    <w:rsid w:val="00567EA6"/>
    <w:rsid w:val="00570056"/>
    <w:rsid w:val="0057077D"/>
    <w:rsid w:val="005709B2"/>
    <w:rsid w:val="00570CB3"/>
    <w:rsid w:val="005720A9"/>
    <w:rsid w:val="005731A6"/>
    <w:rsid w:val="00573281"/>
    <w:rsid w:val="00573764"/>
    <w:rsid w:val="00573E98"/>
    <w:rsid w:val="0057457A"/>
    <w:rsid w:val="00574D4B"/>
    <w:rsid w:val="00574D81"/>
    <w:rsid w:val="00574F24"/>
    <w:rsid w:val="00575158"/>
    <w:rsid w:val="00575183"/>
    <w:rsid w:val="005757A8"/>
    <w:rsid w:val="00576D75"/>
    <w:rsid w:val="00576F4D"/>
    <w:rsid w:val="00577409"/>
    <w:rsid w:val="00577C1D"/>
    <w:rsid w:val="00577D74"/>
    <w:rsid w:val="00577DD1"/>
    <w:rsid w:val="0057B4C9"/>
    <w:rsid w:val="0058142F"/>
    <w:rsid w:val="00583722"/>
    <w:rsid w:val="005837D8"/>
    <w:rsid w:val="00583BEE"/>
    <w:rsid w:val="00584006"/>
    <w:rsid w:val="005848A8"/>
    <w:rsid w:val="00586009"/>
    <w:rsid w:val="005860DE"/>
    <w:rsid w:val="00587159"/>
    <w:rsid w:val="00590CAD"/>
    <w:rsid w:val="0059141E"/>
    <w:rsid w:val="005919B4"/>
    <w:rsid w:val="00592BB3"/>
    <w:rsid w:val="005932BC"/>
    <w:rsid w:val="005935C7"/>
    <w:rsid w:val="00593E76"/>
    <w:rsid w:val="00594557"/>
    <w:rsid w:val="005945B7"/>
    <w:rsid w:val="005945C2"/>
    <w:rsid w:val="005946E1"/>
    <w:rsid w:val="00594AD5"/>
    <w:rsid w:val="005954C2"/>
    <w:rsid w:val="00595FB8"/>
    <w:rsid w:val="005964BE"/>
    <w:rsid w:val="005974B5"/>
    <w:rsid w:val="005A145C"/>
    <w:rsid w:val="005A1EBE"/>
    <w:rsid w:val="005A2BA7"/>
    <w:rsid w:val="005A3C24"/>
    <w:rsid w:val="005A4293"/>
    <w:rsid w:val="005A435A"/>
    <w:rsid w:val="005A5254"/>
    <w:rsid w:val="005A5BF6"/>
    <w:rsid w:val="005A5EC1"/>
    <w:rsid w:val="005A65FD"/>
    <w:rsid w:val="005A66ED"/>
    <w:rsid w:val="005A7C83"/>
    <w:rsid w:val="005A7F52"/>
    <w:rsid w:val="005B044E"/>
    <w:rsid w:val="005B0478"/>
    <w:rsid w:val="005B04C4"/>
    <w:rsid w:val="005B04E4"/>
    <w:rsid w:val="005B0C80"/>
    <w:rsid w:val="005B1CE5"/>
    <w:rsid w:val="005B1D1D"/>
    <w:rsid w:val="005B1EB6"/>
    <w:rsid w:val="005B22E0"/>
    <w:rsid w:val="005B254C"/>
    <w:rsid w:val="005B2A5A"/>
    <w:rsid w:val="005B2DC2"/>
    <w:rsid w:val="005B3EB2"/>
    <w:rsid w:val="005B4119"/>
    <w:rsid w:val="005B49F5"/>
    <w:rsid w:val="005B5F2B"/>
    <w:rsid w:val="005B69D4"/>
    <w:rsid w:val="005B6B50"/>
    <w:rsid w:val="005B74A2"/>
    <w:rsid w:val="005B7512"/>
    <w:rsid w:val="005B777E"/>
    <w:rsid w:val="005B799D"/>
    <w:rsid w:val="005B7B5C"/>
    <w:rsid w:val="005B7BF5"/>
    <w:rsid w:val="005B7D5F"/>
    <w:rsid w:val="005C0283"/>
    <w:rsid w:val="005C10EE"/>
    <w:rsid w:val="005C112D"/>
    <w:rsid w:val="005C1B8E"/>
    <w:rsid w:val="005C231E"/>
    <w:rsid w:val="005C39B6"/>
    <w:rsid w:val="005C3AAA"/>
    <w:rsid w:val="005C4E9A"/>
    <w:rsid w:val="005C56EA"/>
    <w:rsid w:val="005C5A12"/>
    <w:rsid w:val="005C6A5D"/>
    <w:rsid w:val="005C75AA"/>
    <w:rsid w:val="005C7A32"/>
    <w:rsid w:val="005C7BEE"/>
    <w:rsid w:val="005C7F94"/>
    <w:rsid w:val="005D10BC"/>
    <w:rsid w:val="005D16DD"/>
    <w:rsid w:val="005D1EF2"/>
    <w:rsid w:val="005D2803"/>
    <w:rsid w:val="005D3CFB"/>
    <w:rsid w:val="005D3FF1"/>
    <w:rsid w:val="005D4301"/>
    <w:rsid w:val="005D4D22"/>
    <w:rsid w:val="005D4E83"/>
    <w:rsid w:val="005D57FD"/>
    <w:rsid w:val="005D645B"/>
    <w:rsid w:val="005D7F96"/>
    <w:rsid w:val="005E0A9E"/>
    <w:rsid w:val="005E0ADA"/>
    <w:rsid w:val="005E1972"/>
    <w:rsid w:val="005E1FEF"/>
    <w:rsid w:val="005E26EB"/>
    <w:rsid w:val="005E2926"/>
    <w:rsid w:val="005E39B9"/>
    <w:rsid w:val="005E3AA5"/>
    <w:rsid w:val="005E417B"/>
    <w:rsid w:val="005E473E"/>
    <w:rsid w:val="005E47D1"/>
    <w:rsid w:val="005E4C10"/>
    <w:rsid w:val="005E569E"/>
    <w:rsid w:val="005E5889"/>
    <w:rsid w:val="005E5BD8"/>
    <w:rsid w:val="005E6C61"/>
    <w:rsid w:val="005E70AA"/>
    <w:rsid w:val="005E7640"/>
    <w:rsid w:val="005E7AA6"/>
    <w:rsid w:val="005E7C17"/>
    <w:rsid w:val="005E7EF6"/>
    <w:rsid w:val="005F0183"/>
    <w:rsid w:val="005F093B"/>
    <w:rsid w:val="005F09D0"/>
    <w:rsid w:val="005F0F5A"/>
    <w:rsid w:val="005F15A7"/>
    <w:rsid w:val="005F162F"/>
    <w:rsid w:val="005F1EE8"/>
    <w:rsid w:val="005F2708"/>
    <w:rsid w:val="005F2D44"/>
    <w:rsid w:val="005F3CC2"/>
    <w:rsid w:val="005F3DD3"/>
    <w:rsid w:val="005F4910"/>
    <w:rsid w:val="005F53F6"/>
    <w:rsid w:val="005F58B4"/>
    <w:rsid w:val="005F5B3B"/>
    <w:rsid w:val="005F662B"/>
    <w:rsid w:val="005F66DE"/>
    <w:rsid w:val="005F670E"/>
    <w:rsid w:val="005F6748"/>
    <w:rsid w:val="005F7AA9"/>
    <w:rsid w:val="005F7F0E"/>
    <w:rsid w:val="006006E2"/>
    <w:rsid w:val="006010AF"/>
    <w:rsid w:val="006032E9"/>
    <w:rsid w:val="006034D6"/>
    <w:rsid w:val="0060395D"/>
    <w:rsid w:val="00603C4A"/>
    <w:rsid w:val="00604C91"/>
    <w:rsid w:val="00604E86"/>
    <w:rsid w:val="00605189"/>
    <w:rsid w:val="00605D5D"/>
    <w:rsid w:val="00605F06"/>
    <w:rsid w:val="006064A9"/>
    <w:rsid w:val="0060688B"/>
    <w:rsid w:val="006069DE"/>
    <w:rsid w:val="00606D65"/>
    <w:rsid w:val="00607739"/>
    <w:rsid w:val="00607A51"/>
    <w:rsid w:val="00607DE0"/>
    <w:rsid w:val="00610063"/>
    <w:rsid w:val="0061178F"/>
    <w:rsid w:val="006120ED"/>
    <w:rsid w:val="006126D6"/>
    <w:rsid w:val="006132C2"/>
    <w:rsid w:val="0061355A"/>
    <w:rsid w:val="0061507A"/>
    <w:rsid w:val="00615380"/>
    <w:rsid w:val="006159CF"/>
    <w:rsid w:val="00616B92"/>
    <w:rsid w:val="00616D1E"/>
    <w:rsid w:val="00616F08"/>
    <w:rsid w:val="00616FDE"/>
    <w:rsid w:val="00617625"/>
    <w:rsid w:val="006177A2"/>
    <w:rsid w:val="0062087F"/>
    <w:rsid w:val="00620A9E"/>
    <w:rsid w:val="00622173"/>
    <w:rsid w:val="006225D6"/>
    <w:rsid w:val="006232EF"/>
    <w:rsid w:val="006236E7"/>
    <w:rsid w:val="0062399F"/>
    <w:rsid w:val="00623E17"/>
    <w:rsid w:val="00625110"/>
    <w:rsid w:val="00625324"/>
    <w:rsid w:val="006259CC"/>
    <w:rsid w:val="00625C73"/>
    <w:rsid w:val="00626934"/>
    <w:rsid w:val="0062794C"/>
    <w:rsid w:val="00627D14"/>
    <w:rsid w:val="006308CB"/>
    <w:rsid w:val="006311C6"/>
    <w:rsid w:val="00631649"/>
    <w:rsid w:val="0063185F"/>
    <w:rsid w:val="006323C6"/>
    <w:rsid w:val="0063252B"/>
    <w:rsid w:val="00632A3C"/>
    <w:rsid w:val="00634633"/>
    <w:rsid w:val="00634955"/>
    <w:rsid w:val="00634A21"/>
    <w:rsid w:val="006358E4"/>
    <w:rsid w:val="00636DEC"/>
    <w:rsid w:val="00636F44"/>
    <w:rsid w:val="00637499"/>
    <w:rsid w:val="00637EDC"/>
    <w:rsid w:val="006412B4"/>
    <w:rsid w:val="006424A3"/>
    <w:rsid w:val="00642525"/>
    <w:rsid w:val="00643277"/>
    <w:rsid w:val="00643454"/>
    <w:rsid w:val="00643FAE"/>
    <w:rsid w:val="00644456"/>
    <w:rsid w:val="00644520"/>
    <w:rsid w:val="00644540"/>
    <w:rsid w:val="00644BD1"/>
    <w:rsid w:val="006459ED"/>
    <w:rsid w:val="00645E96"/>
    <w:rsid w:val="00646236"/>
    <w:rsid w:val="006462D9"/>
    <w:rsid w:val="00646577"/>
    <w:rsid w:val="006465AF"/>
    <w:rsid w:val="006479BA"/>
    <w:rsid w:val="00650809"/>
    <w:rsid w:val="0065080A"/>
    <w:rsid w:val="006518EE"/>
    <w:rsid w:val="00651A4D"/>
    <w:rsid w:val="006520CE"/>
    <w:rsid w:val="006522B9"/>
    <w:rsid w:val="006525BD"/>
    <w:rsid w:val="006528F0"/>
    <w:rsid w:val="00652BFE"/>
    <w:rsid w:val="00652EFE"/>
    <w:rsid w:val="00652FBA"/>
    <w:rsid w:val="00654085"/>
    <w:rsid w:val="006547BB"/>
    <w:rsid w:val="00654EF0"/>
    <w:rsid w:val="006554E7"/>
    <w:rsid w:val="00655C22"/>
    <w:rsid w:val="00655F74"/>
    <w:rsid w:val="006568AE"/>
    <w:rsid w:val="00657167"/>
    <w:rsid w:val="0065724F"/>
    <w:rsid w:val="006574CB"/>
    <w:rsid w:val="00660131"/>
    <w:rsid w:val="00660A0B"/>
    <w:rsid w:val="00660B25"/>
    <w:rsid w:val="0066181B"/>
    <w:rsid w:val="00662242"/>
    <w:rsid w:val="00662B9A"/>
    <w:rsid w:val="00663361"/>
    <w:rsid w:val="00663918"/>
    <w:rsid w:val="00665013"/>
    <w:rsid w:val="006652B8"/>
    <w:rsid w:val="00665DE2"/>
    <w:rsid w:val="00666CB2"/>
    <w:rsid w:val="00666ED5"/>
    <w:rsid w:val="0066737E"/>
    <w:rsid w:val="00667454"/>
    <w:rsid w:val="00667524"/>
    <w:rsid w:val="00667653"/>
    <w:rsid w:val="00667CAB"/>
    <w:rsid w:val="00668687"/>
    <w:rsid w:val="006703BB"/>
    <w:rsid w:val="00670559"/>
    <w:rsid w:val="0067177E"/>
    <w:rsid w:val="00671ABB"/>
    <w:rsid w:val="00671AEF"/>
    <w:rsid w:val="006727E7"/>
    <w:rsid w:val="00672845"/>
    <w:rsid w:val="0067303C"/>
    <w:rsid w:val="00673608"/>
    <w:rsid w:val="00673878"/>
    <w:rsid w:val="00673DBF"/>
    <w:rsid w:val="0067622A"/>
    <w:rsid w:val="00676E4A"/>
    <w:rsid w:val="0067714D"/>
    <w:rsid w:val="006776F9"/>
    <w:rsid w:val="00680737"/>
    <w:rsid w:val="00681FBC"/>
    <w:rsid w:val="006828FA"/>
    <w:rsid w:val="00683BD5"/>
    <w:rsid w:val="00683DC6"/>
    <w:rsid w:val="006849EF"/>
    <w:rsid w:val="00684B68"/>
    <w:rsid w:val="006855C2"/>
    <w:rsid w:val="00685CB1"/>
    <w:rsid w:val="00687276"/>
    <w:rsid w:val="00690244"/>
    <w:rsid w:val="006909EB"/>
    <w:rsid w:val="00690A30"/>
    <w:rsid w:val="00690A71"/>
    <w:rsid w:val="00691298"/>
    <w:rsid w:val="006913C5"/>
    <w:rsid w:val="006918A0"/>
    <w:rsid w:val="00692206"/>
    <w:rsid w:val="00692563"/>
    <w:rsid w:val="00693F60"/>
    <w:rsid w:val="00693FA9"/>
    <w:rsid w:val="00694167"/>
    <w:rsid w:val="0069492B"/>
    <w:rsid w:val="00694B9C"/>
    <w:rsid w:val="00695080"/>
    <w:rsid w:val="006951A7"/>
    <w:rsid w:val="006977DE"/>
    <w:rsid w:val="00697BD1"/>
    <w:rsid w:val="00697CE1"/>
    <w:rsid w:val="006A0DC3"/>
    <w:rsid w:val="006A0F06"/>
    <w:rsid w:val="006A10B8"/>
    <w:rsid w:val="006A1A86"/>
    <w:rsid w:val="006A1E0A"/>
    <w:rsid w:val="006A232C"/>
    <w:rsid w:val="006A347F"/>
    <w:rsid w:val="006A3AF1"/>
    <w:rsid w:val="006A3D0B"/>
    <w:rsid w:val="006A3F8F"/>
    <w:rsid w:val="006A4318"/>
    <w:rsid w:val="006A4BF8"/>
    <w:rsid w:val="006A4CF5"/>
    <w:rsid w:val="006A55E3"/>
    <w:rsid w:val="006A5839"/>
    <w:rsid w:val="006A58CB"/>
    <w:rsid w:val="006A5E0D"/>
    <w:rsid w:val="006A66A8"/>
    <w:rsid w:val="006A66C6"/>
    <w:rsid w:val="006A6C2F"/>
    <w:rsid w:val="006A6CFF"/>
    <w:rsid w:val="006A7116"/>
    <w:rsid w:val="006A7852"/>
    <w:rsid w:val="006A796F"/>
    <w:rsid w:val="006A797F"/>
    <w:rsid w:val="006B042C"/>
    <w:rsid w:val="006B0CC7"/>
    <w:rsid w:val="006B182B"/>
    <w:rsid w:val="006B2588"/>
    <w:rsid w:val="006B2FD9"/>
    <w:rsid w:val="006B31EC"/>
    <w:rsid w:val="006B3776"/>
    <w:rsid w:val="006B3A6D"/>
    <w:rsid w:val="006B45FE"/>
    <w:rsid w:val="006B4AD4"/>
    <w:rsid w:val="006B54D3"/>
    <w:rsid w:val="006B5890"/>
    <w:rsid w:val="006B5A0A"/>
    <w:rsid w:val="006B67FA"/>
    <w:rsid w:val="006B68D2"/>
    <w:rsid w:val="006B7BBE"/>
    <w:rsid w:val="006C0536"/>
    <w:rsid w:val="006C154F"/>
    <w:rsid w:val="006C29B8"/>
    <w:rsid w:val="006C2F5F"/>
    <w:rsid w:val="006C30A1"/>
    <w:rsid w:val="006C408C"/>
    <w:rsid w:val="006C44AB"/>
    <w:rsid w:val="006C4E08"/>
    <w:rsid w:val="006C55BE"/>
    <w:rsid w:val="006C6408"/>
    <w:rsid w:val="006C6DC3"/>
    <w:rsid w:val="006C6FCE"/>
    <w:rsid w:val="006C732D"/>
    <w:rsid w:val="006D1052"/>
    <w:rsid w:val="006D106C"/>
    <w:rsid w:val="006D155A"/>
    <w:rsid w:val="006D1607"/>
    <w:rsid w:val="006D16B1"/>
    <w:rsid w:val="006D1C2A"/>
    <w:rsid w:val="006D29EF"/>
    <w:rsid w:val="006D315D"/>
    <w:rsid w:val="006D5DE8"/>
    <w:rsid w:val="006D73F9"/>
    <w:rsid w:val="006D750A"/>
    <w:rsid w:val="006D7E59"/>
    <w:rsid w:val="006E062B"/>
    <w:rsid w:val="006E0AAB"/>
    <w:rsid w:val="006E0D50"/>
    <w:rsid w:val="006E1E8E"/>
    <w:rsid w:val="006E3E2B"/>
    <w:rsid w:val="006E5243"/>
    <w:rsid w:val="006E553B"/>
    <w:rsid w:val="006E5937"/>
    <w:rsid w:val="006E62D6"/>
    <w:rsid w:val="006E6529"/>
    <w:rsid w:val="006E6DDA"/>
    <w:rsid w:val="006E7CBA"/>
    <w:rsid w:val="006F00A3"/>
    <w:rsid w:val="006F0B00"/>
    <w:rsid w:val="006F0C69"/>
    <w:rsid w:val="006F0D0D"/>
    <w:rsid w:val="006F157E"/>
    <w:rsid w:val="006F19DF"/>
    <w:rsid w:val="006F20F7"/>
    <w:rsid w:val="006F215C"/>
    <w:rsid w:val="006F2D46"/>
    <w:rsid w:val="006F2F03"/>
    <w:rsid w:val="006F35A1"/>
    <w:rsid w:val="006F42E6"/>
    <w:rsid w:val="006F4DAA"/>
    <w:rsid w:val="006F5450"/>
    <w:rsid w:val="006F58DC"/>
    <w:rsid w:val="006F5C2E"/>
    <w:rsid w:val="006F5C97"/>
    <w:rsid w:val="007004D1"/>
    <w:rsid w:val="00700BE7"/>
    <w:rsid w:val="00701231"/>
    <w:rsid w:val="00702145"/>
    <w:rsid w:val="0070244F"/>
    <w:rsid w:val="007028D5"/>
    <w:rsid w:val="00704436"/>
    <w:rsid w:val="007046D7"/>
    <w:rsid w:val="00704858"/>
    <w:rsid w:val="0070587E"/>
    <w:rsid w:val="00706A46"/>
    <w:rsid w:val="0070703D"/>
    <w:rsid w:val="00707631"/>
    <w:rsid w:val="00707640"/>
    <w:rsid w:val="00707DE4"/>
    <w:rsid w:val="007102BB"/>
    <w:rsid w:val="00710BAA"/>
    <w:rsid w:val="00710E9B"/>
    <w:rsid w:val="00712183"/>
    <w:rsid w:val="0071260E"/>
    <w:rsid w:val="00712635"/>
    <w:rsid w:val="0071285F"/>
    <w:rsid w:val="0071291A"/>
    <w:rsid w:val="00712A05"/>
    <w:rsid w:val="00712F67"/>
    <w:rsid w:val="00713974"/>
    <w:rsid w:val="00714CF8"/>
    <w:rsid w:val="00715B43"/>
    <w:rsid w:val="00715EEC"/>
    <w:rsid w:val="00716279"/>
    <w:rsid w:val="007162E9"/>
    <w:rsid w:val="00716F10"/>
    <w:rsid w:val="0071741D"/>
    <w:rsid w:val="007177C7"/>
    <w:rsid w:val="00720111"/>
    <w:rsid w:val="007209E4"/>
    <w:rsid w:val="00720A93"/>
    <w:rsid w:val="007211F2"/>
    <w:rsid w:val="00721DFD"/>
    <w:rsid w:val="00721E97"/>
    <w:rsid w:val="0072213C"/>
    <w:rsid w:val="00722440"/>
    <w:rsid w:val="00723390"/>
    <w:rsid w:val="0072404F"/>
    <w:rsid w:val="007244B8"/>
    <w:rsid w:val="00724C09"/>
    <w:rsid w:val="00724EC7"/>
    <w:rsid w:val="007254C1"/>
    <w:rsid w:val="00727E85"/>
    <w:rsid w:val="00730A75"/>
    <w:rsid w:val="00731C7E"/>
    <w:rsid w:val="00731F69"/>
    <w:rsid w:val="00731FB2"/>
    <w:rsid w:val="007325AB"/>
    <w:rsid w:val="00733123"/>
    <w:rsid w:val="00733DC8"/>
    <w:rsid w:val="00734749"/>
    <w:rsid w:val="007347BB"/>
    <w:rsid w:val="00734B7E"/>
    <w:rsid w:val="00734E08"/>
    <w:rsid w:val="00734FED"/>
    <w:rsid w:val="00735566"/>
    <w:rsid w:val="00735A70"/>
    <w:rsid w:val="00735E31"/>
    <w:rsid w:val="00736035"/>
    <w:rsid w:val="00736976"/>
    <w:rsid w:val="00736BA7"/>
    <w:rsid w:val="00740BAE"/>
    <w:rsid w:val="00740C8A"/>
    <w:rsid w:val="00740D77"/>
    <w:rsid w:val="00740D82"/>
    <w:rsid w:val="00742064"/>
    <w:rsid w:val="0074207A"/>
    <w:rsid w:val="00742189"/>
    <w:rsid w:val="0074246F"/>
    <w:rsid w:val="0074480B"/>
    <w:rsid w:val="0074498F"/>
    <w:rsid w:val="0074531B"/>
    <w:rsid w:val="00745CAF"/>
    <w:rsid w:val="00745E00"/>
    <w:rsid w:val="00745F8C"/>
    <w:rsid w:val="00746F5E"/>
    <w:rsid w:val="00746FCD"/>
    <w:rsid w:val="00750A59"/>
    <w:rsid w:val="00750B08"/>
    <w:rsid w:val="00750F4B"/>
    <w:rsid w:val="00751299"/>
    <w:rsid w:val="00751EFA"/>
    <w:rsid w:val="00752AC7"/>
    <w:rsid w:val="00752B1D"/>
    <w:rsid w:val="00752F33"/>
    <w:rsid w:val="007532D3"/>
    <w:rsid w:val="007544A6"/>
    <w:rsid w:val="007546A6"/>
    <w:rsid w:val="00754A85"/>
    <w:rsid w:val="00757249"/>
    <w:rsid w:val="00757A52"/>
    <w:rsid w:val="007603CA"/>
    <w:rsid w:val="00760FF6"/>
    <w:rsid w:val="00761286"/>
    <w:rsid w:val="007612CD"/>
    <w:rsid w:val="007618A8"/>
    <w:rsid w:val="00762884"/>
    <w:rsid w:val="00762D7B"/>
    <w:rsid w:val="00763261"/>
    <w:rsid w:val="007633F9"/>
    <w:rsid w:val="00763546"/>
    <w:rsid w:val="00763CB8"/>
    <w:rsid w:val="0076408D"/>
    <w:rsid w:val="00765847"/>
    <w:rsid w:val="00765DBA"/>
    <w:rsid w:val="00765F01"/>
    <w:rsid w:val="00766D7B"/>
    <w:rsid w:val="00766F12"/>
    <w:rsid w:val="00767C39"/>
    <w:rsid w:val="00771167"/>
    <w:rsid w:val="007711FD"/>
    <w:rsid w:val="00771C9C"/>
    <w:rsid w:val="00771E52"/>
    <w:rsid w:val="0077257D"/>
    <w:rsid w:val="00772D0F"/>
    <w:rsid w:val="00773331"/>
    <w:rsid w:val="0077368F"/>
    <w:rsid w:val="00773C71"/>
    <w:rsid w:val="00774614"/>
    <w:rsid w:val="00774E49"/>
    <w:rsid w:val="00774EB2"/>
    <w:rsid w:val="007753DE"/>
    <w:rsid w:val="00780CCD"/>
    <w:rsid w:val="00781285"/>
    <w:rsid w:val="00781B5E"/>
    <w:rsid w:val="00781EA0"/>
    <w:rsid w:val="00782651"/>
    <w:rsid w:val="00782B01"/>
    <w:rsid w:val="00782B8F"/>
    <w:rsid w:val="007833AA"/>
    <w:rsid w:val="00783CAA"/>
    <w:rsid w:val="00783F86"/>
    <w:rsid w:val="007866DC"/>
    <w:rsid w:val="007866E0"/>
    <w:rsid w:val="007867AE"/>
    <w:rsid w:val="007876EE"/>
    <w:rsid w:val="007877C7"/>
    <w:rsid w:val="007878C5"/>
    <w:rsid w:val="0079028E"/>
    <w:rsid w:val="00790D92"/>
    <w:rsid w:val="00790E8A"/>
    <w:rsid w:val="00791723"/>
    <w:rsid w:val="00792D5D"/>
    <w:rsid w:val="00793180"/>
    <w:rsid w:val="007932EF"/>
    <w:rsid w:val="0079403F"/>
    <w:rsid w:val="0079473C"/>
    <w:rsid w:val="00794BA0"/>
    <w:rsid w:val="00795A36"/>
    <w:rsid w:val="00795E50"/>
    <w:rsid w:val="00797181"/>
    <w:rsid w:val="00797DC2"/>
    <w:rsid w:val="007A0234"/>
    <w:rsid w:val="007A0F3A"/>
    <w:rsid w:val="007A10B9"/>
    <w:rsid w:val="007A28F2"/>
    <w:rsid w:val="007A2ADF"/>
    <w:rsid w:val="007A2CCF"/>
    <w:rsid w:val="007A2E57"/>
    <w:rsid w:val="007A3108"/>
    <w:rsid w:val="007A3752"/>
    <w:rsid w:val="007A3D3A"/>
    <w:rsid w:val="007A55DA"/>
    <w:rsid w:val="007A5886"/>
    <w:rsid w:val="007A5DAC"/>
    <w:rsid w:val="007A5FA5"/>
    <w:rsid w:val="007B0A93"/>
    <w:rsid w:val="007B0C0C"/>
    <w:rsid w:val="007B202E"/>
    <w:rsid w:val="007B2FB9"/>
    <w:rsid w:val="007B41E1"/>
    <w:rsid w:val="007B4421"/>
    <w:rsid w:val="007B4B02"/>
    <w:rsid w:val="007B57E3"/>
    <w:rsid w:val="007B5E95"/>
    <w:rsid w:val="007B72FE"/>
    <w:rsid w:val="007C0430"/>
    <w:rsid w:val="007C085B"/>
    <w:rsid w:val="007C09CD"/>
    <w:rsid w:val="007C214A"/>
    <w:rsid w:val="007C306A"/>
    <w:rsid w:val="007C3096"/>
    <w:rsid w:val="007C4EB9"/>
    <w:rsid w:val="007C6498"/>
    <w:rsid w:val="007C776B"/>
    <w:rsid w:val="007D071B"/>
    <w:rsid w:val="007D0A0D"/>
    <w:rsid w:val="007D0E00"/>
    <w:rsid w:val="007D13BD"/>
    <w:rsid w:val="007D17F2"/>
    <w:rsid w:val="007D279F"/>
    <w:rsid w:val="007D303A"/>
    <w:rsid w:val="007D36B1"/>
    <w:rsid w:val="007D3918"/>
    <w:rsid w:val="007D3EBD"/>
    <w:rsid w:val="007D4864"/>
    <w:rsid w:val="007D4910"/>
    <w:rsid w:val="007D5355"/>
    <w:rsid w:val="007D5668"/>
    <w:rsid w:val="007D5776"/>
    <w:rsid w:val="007D59A0"/>
    <w:rsid w:val="007D61E3"/>
    <w:rsid w:val="007D658E"/>
    <w:rsid w:val="007D6F5B"/>
    <w:rsid w:val="007D78E1"/>
    <w:rsid w:val="007D794C"/>
    <w:rsid w:val="007D7D7C"/>
    <w:rsid w:val="007D7FBD"/>
    <w:rsid w:val="007E05B0"/>
    <w:rsid w:val="007E065C"/>
    <w:rsid w:val="007E0765"/>
    <w:rsid w:val="007E1BB2"/>
    <w:rsid w:val="007E1BD2"/>
    <w:rsid w:val="007E29D7"/>
    <w:rsid w:val="007E2FD5"/>
    <w:rsid w:val="007E325E"/>
    <w:rsid w:val="007E57F8"/>
    <w:rsid w:val="007E5AEF"/>
    <w:rsid w:val="007E66B7"/>
    <w:rsid w:val="007E6897"/>
    <w:rsid w:val="007E6F34"/>
    <w:rsid w:val="007E7A11"/>
    <w:rsid w:val="007E7C84"/>
    <w:rsid w:val="007E7CE4"/>
    <w:rsid w:val="007F059A"/>
    <w:rsid w:val="007F121F"/>
    <w:rsid w:val="007F17A9"/>
    <w:rsid w:val="007F2169"/>
    <w:rsid w:val="007F4374"/>
    <w:rsid w:val="007F44B4"/>
    <w:rsid w:val="007F481C"/>
    <w:rsid w:val="007F4871"/>
    <w:rsid w:val="007F51E3"/>
    <w:rsid w:val="007F5A34"/>
    <w:rsid w:val="007F5F90"/>
    <w:rsid w:val="007F77C1"/>
    <w:rsid w:val="007F7D8D"/>
    <w:rsid w:val="00800DF7"/>
    <w:rsid w:val="008010FF"/>
    <w:rsid w:val="00802195"/>
    <w:rsid w:val="00802B03"/>
    <w:rsid w:val="008048D4"/>
    <w:rsid w:val="00804CA3"/>
    <w:rsid w:val="00805F9E"/>
    <w:rsid w:val="0080647F"/>
    <w:rsid w:val="0080771B"/>
    <w:rsid w:val="00807B14"/>
    <w:rsid w:val="00807FEF"/>
    <w:rsid w:val="00811919"/>
    <w:rsid w:val="00811980"/>
    <w:rsid w:val="0081230D"/>
    <w:rsid w:val="008124DB"/>
    <w:rsid w:val="008124FE"/>
    <w:rsid w:val="00812ED5"/>
    <w:rsid w:val="0081325A"/>
    <w:rsid w:val="0081344C"/>
    <w:rsid w:val="00813AC8"/>
    <w:rsid w:val="0081430C"/>
    <w:rsid w:val="0081445F"/>
    <w:rsid w:val="008150D9"/>
    <w:rsid w:val="008151AD"/>
    <w:rsid w:val="0081527E"/>
    <w:rsid w:val="0081536F"/>
    <w:rsid w:val="00815B26"/>
    <w:rsid w:val="00815C6D"/>
    <w:rsid w:val="0081686D"/>
    <w:rsid w:val="00817548"/>
    <w:rsid w:val="008177D5"/>
    <w:rsid w:val="00817B0C"/>
    <w:rsid w:val="008204AD"/>
    <w:rsid w:val="0082050C"/>
    <w:rsid w:val="008226D1"/>
    <w:rsid w:val="00822F8F"/>
    <w:rsid w:val="00823484"/>
    <w:rsid w:val="00823896"/>
    <w:rsid w:val="00823A2B"/>
    <w:rsid w:val="00824032"/>
    <w:rsid w:val="0082466B"/>
    <w:rsid w:val="008249A9"/>
    <w:rsid w:val="00824D50"/>
    <w:rsid w:val="00824F1C"/>
    <w:rsid w:val="008252C2"/>
    <w:rsid w:val="00825A1B"/>
    <w:rsid w:val="00826C33"/>
    <w:rsid w:val="00826CE9"/>
    <w:rsid w:val="00826E67"/>
    <w:rsid w:val="00826F77"/>
    <w:rsid w:val="00830332"/>
    <w:rsid w:val="00830784"/>
    <w:rsid w:val="00830C78"/>
    <w:rsid w:val="008319F9"/>
    <w:rsid w:val="00832920"/>
    <w:rsid w:val="00833D80"/>
    <w:rsid w:val="00834874"/>
    <w:rsid w:val="0083526B"/>
    <w:rsid w:val="00835296"/>
    <w:rsid w:val="00835BC0"/>
    <w:rsid w:val="00835F82"/>
    <w:rsid w:val="00835FD6"/>
    <w:rsid w:val="0083679C"/>
    <w:rsid w:val="0083706C"/>
    <w:rsid w:val="00840ACB"/>
    <w:rsid w:val="008413F4"/>
    <w:rsid w:val="0084173F"/>
    <w:rsid w:val="008420E5"/>
    <w:rsid w:val="00844B60"/>
    <w:rsid w:val="00845186"/>
    <w:rsid w:val="00845666"/>
    <w:rsid w:val="00846095"/>
    <w:rsid w:val="0084610B"/>
    <w:rsid w:val="00846170"/>
    <w:rsid w:val="008462E9"/>
    <w:rsid w:val="00846783"/>
    <w:rsid w:val="008469C6"/>
    <w:rsid w:val="00847235"/>
    <w:rsid w:val="008474AA"/>
    <w:rsid w:val="008477BA"/>
    <w:rsid w:val="008501DC"/>
    <w:rsid w:val="00850276"/>
    <w:rsid w:val="00851227"/>
    <w:rsid w:val="00851388"/>
    <w:rsid w:val="00851819"/>
    <w:rsid w:val="00854142"/>
    <w:rsid w:val="00854600"/>
    <w:rsid w:val="00854BD1"/>
    <w:rsid w:val="00854D3D"/>
    <w:rsid w:val="0085557F"/>
    <w:rsid w:val="00856026"/>
    <w:rsid w:val="0085627F"/>
    <w:rsid w:val="00856A30"/>
    <w:rsid w:val="0085725E"/>
    <w:rsid w:val="008575A5"/>
    <w:rsid w:val="008577B1"/>
    <w:rsid w:val="008578ED"/>
    <w:rsid w:val="008579EC"/>
    <w:rsid w:val="008607C9"/>
    <w:rsid w:val="00860D00"/>
    <w:rsid w:val="00860E42"/>
    <w:rsid w:val="00861373"/>
    <w:rsid w:val="00861CB5"/>
    <w:rsid w:val="0086214D"/>
    <w:rsid w:val="00862207"/>
    <w:rsid w:val="00862494"/>
    <w:rsid w:val="00862D55"/>
    <w:rsid w:val="00863711"/>
    <w:rsid w:val="0086395A"/>
    <w:rsid w:val="00863A70"/>
    <w:rsid w:val="00864BDA"/>
    <w:rsid w:val="00865581"/>
    <w:rsid w:val="00865CDB"/>
    <w:rsid w:val="00865CE8"/>
    <w:rsid w:val="00867113"/>
    <w:rsid w:val="008672BB"/>
    <w:rsid w:val="00867312"/>
    <w:rsid w:val="00867909"/>
    <w:rsid w:val="00867E33"/>
    <w:rsid w:val="00870752"/>
    <w:rsid w:val="008710F7"/>
    <w:rsid w:val="00871300"/>
    <w:rsid w:val="00871AA8"/>
    <w:rsid w:val="00871B38"/>
    <w:rsid w:val="00872A70"/>
    <w:rsid w:val="0087337F"/>
    <w:rsid w:val="0087359B"/>
    <w:rsid w:val="008740AA"/>
    <w:rsid w:val="0087445A"/>
    <w:rsid w:val="0087470E"/>
    <w:rsid w:val="00874D22"/>
    <w:rsid w:val="00874EF6"/>
    <w:rsid w:val="0087524B"/>
    <w:rsid w:val="008754C4"/>
    <w:rsid w:val="00875920"/>
    <w:rsid w:val="00875BDE"/>
    <w:rsid w:val="00875C45"/>
    <w:rsid w:val="00875F7C"/>
    <w:rsid w:val="008766AA"/>
    <w:rsid w:val="0087757C"/>
    <w:rsid w:val="00881200"/>
    <w:rsid w:val="00881793"/>
    <w:rsid w:val="00882136"/>
    <w:rsid w:val="00882A4A"/>
    <w:rsid w:val="00882D35"/>
    <w:rsid w:val="00883002"/>
    <w:rsid w:val="00884FB8"/>
    <w:rsid w:val="00885907"/>
    <w:rsid w:val="00885C3B"/>
    <w:rsid w:val="00885E48"/>
    <w:rsid w:val="008861D4"/>
    <w:rsid w:val="008862FE"/>
    <w:rsid w:val="00886472"/>
    <w:rsid w:val="008864CE"/>
    <w:rsid w:val="00886814"/>
    <w:rsid w:val="00886F76"/>
    <w:rsid w:val="0088734D"/>
    <w:rsid w:val="0089020B"/>
    <w:rsid w:val="00891819"/>
    <w:rsid w:val="00891F77"/>
    <w:rsid w:val="0089205B"/>
    <w:rsid w:val="0089322E"/>
    <w:rsid w:val="0089343B"/>
    <w:rsid w:val="00893B1E"/>
    <w:rsid w:val="00893BEB"/>
    <w:rsid w:val="00894B7A"/>
    <w:rsid w:val="008950B7"/>
    <w:rsid w:val="00895AAC"/>
    <w:rsid w:val="00896453"/>
    <w:rsid w:val="0089691F"/>
    <w:rsid w:val="00896A52"/>
    <w:rsid w:val="00896B16"/>
    <w:rsid w:val="00897A55"/>
    <w:rsid w:val="00897C2B"/>
    <w:rsid w:val="008A100D"/>
    <w:rsid w:val="008A1C70"/>
    <w:rsid w:val="008A2914"/>
    <w:rsid w:val="008A2B12"/>
    <w:rsid w:val="008A3D47"/>
    <w:rsid w:val="008A4F4A"/>
    <w:rsid w:val="008A4FAA"/>
    <w:rsid w:val="008A5091"/>
    <w:rsid w:val="008A5257"/>
    <w:rsid w:val="008A52F5"/>
    <w:rsid w:val="008A631E"/>
    <w:rsid w:val="008A685D"/>
    <w:rsid w:val="008A6E61"/>
    <w:rsid w:val="008A7800"/>
    <w:rsid w:val="008B01BD"/>
    <w:rsid w:val="008B0CDA"/>
    <w:rsid w:val="008B174E"/>
    <w:rsid w:val="008B1E42"/>
    <w:rsid w:val="008B25E1"/>
    <w:rsid w:val="008B2B25"/>
    <w:rsid w:val="008B30F9"/>
    <w:rsid w:val="008B383B"/>
    <w:rsid w:val="008B431F"/>
    <w:rsid w:val="008B508B"/>
    <w:rsid w:val="008B53DC"/>
    <w:rsid w:val="008B5F58"/>
    <w:rsid w:val="008B70E0"/>
    <w:rsid w:val="008B725D"/>
    <w:rsid w:val="008B765A"/>
    <w:rsid w:val="008B7840"/>
    <w:rsid w:val="008B7C32"/>
    <w:rsid w:val="008C03F5"/>
    <w:rsid w:val="008C0B18"/>
    <w:rsid w:val="008C1898"/>
    <w:rsid w:val="008C235A"/>
    <w:rsid w:val="008C2438"/>
    <w:rsid w:val="008C246A"/>
    <w:rsid w:val="008C28D1"/>
    <w:rsid w:val="008C3269"/>
    <w:rsid w:val="008C4B6B"/>
    <w:rsid w:val="008C4E45"/>
    <w:rsid w:val="008C4F04"/>
    <w:rsid w:val="008C5010"/>
    <w:rsid w:val="008C539A"/>
    <w:rsid w:val="008C5928"/>
    <w:rsid w:val="008C5B7F"/>
    <w:rsid w:val="008C65C5"/>
    <w:rsid w:val="008C690B"/>
    <w:rsid w:val="008C7D30"/>
    <w:rsid w:val="008C7D82"/>
    <w:rsid w:val="008D0073"/>
    <w:rsid w:val="008D02B3"/>
    <w:rsid w:val="008D0B08"/>
    <w:rsid w:val="008D10E7"/>
    <w:rsid w:val="008D14AE"/>
    <w:rsid w:val="008D1714"/>
    <w:rsid w:val="008D306A"/>
    <w:rsid w:val="008D3BCC"/>
    <w:rsid w:val="008D4312"/>
    <w:rsid w:val="008D5F51"/>
    <w:rsid w:val="008D643D"/>
    <w:rsid w:val="008D6B5E"/>
    <w:rsid w:val="008D6F99"/>
    <w:rsid w:val="008D711D"/>
    <w:rsid w:val="008D784C"/>
    <w:rsid w:val="008E04C2"/>
    <w:rsid w:val="008E0AD1"/>
    <w:rsid w:val="008E1BC0"/>
    <w:rsid w:val="008E1F4D"/>
    <w:rsid w:val="008E28A2"/>
    <w:rsid w:val="008E3027"/>
    <w:rsid w:val="008E38A0"/>
    <w:rsid w:val="008E39E2"/>
    <w:rsid w:val="008E407C"/>
    <w:rsid w:val="008E4155"/>
    <w:rsid w:val="008E49A6"/>
    <w:rsid w:val="008E4D8E"/>
    <w:rsid w:val="008E4E69"/>
    <w:rsid w:val="008E56AC"/>
    <w:rsid w:val="008E56F2"/>
    <w:rsid w:val="008E6C54"/>
    <w:rsid w:val="008E72A4"/>
    <w:rsid w:val="008E734B"/>
    <w:rsid w:val="008E7A6B"/>
    <w:rsid w:val="008E7C11"/>
    <w:rsid w:val="008F0B07"/>
    <w:rsid w:val="008F0D09"/>
    <w:rsid w:val="008F11DA"/>
    <w:rsid w:val="008F11EF"/>
    <w:rsid w:val="008F16A2"/>
    <w:rsid w:val="008F1FF6"/>
    <w:rsid w:val="008F2375"/>
    <w:rsid w:val="008F2C21"/>
    <w:rsid w:val="008F2CFC"/>
    <w:rsid w:val="008F3348"/>
    <w:rsid w:val="008F355B"/>
    <w:rsid w:val="008F48AE"/>
    <w:rsid w:val="008F558C"/>
    <w:rsid w:val="008F568D"/>
    <w:rsid w:val="008F5C14"/>
    <w:rsid w:val="008F6902"/>
    <w:rsid w:val="008F6932"/>
    <w:rsid w:val="008F69EC"/>
    <w:rsid w:val="008F6B93"/>
    <w:rsid w:val="008F75ED"/>
    <w:rsid w:val="008F7600"/>
    <w:rsid w:val="009002EC"/>
    <w:rsid w:val="009005C0"/>
    <w:rsid w:val="00900D0A"/>
    <w:rsid w:val="00900E81"/>
    <w:rsid w:val="00901F05"/>
    <w:rsid w:val="00903887"/>
    <w:rsid w:val="00903CE3"/>
    <w:rsid w:val="009043AC"/>
    <w:rsid w:val="00904426"/>
    <w:rsid w:val="009054A0"/>
    <w:rsid w:val="009067E5"/>
    <w:rsid w:val="009070A5"/>
    <w:rsid w:val="0090736E"/>
    <w:rsid w:val="009075FB"/>
    <w:rsid w:val="00907829"/>
    <w:rsid w:val="009105DF"/>
    <w:rsid w:val="009115B4"/>
    <w:rsid w:val="0091190E"/>
    <w:rsid w:val="00912C46"/>
    <w:rsid w:val="0091329F"/>
    <w:rsid w:val="009135A5"/>
    <w:rsid w:val="009136DD"/>
    <w:rsid w:val="009136F0"/>
    <w:rsid w:val="00913BDB"/>
    <w:rsid w:val="00914482"/>
    <w:rsid w:val="0091455B"/>
    <w:rsid w:val="00914B7B"/>
    <w:rsid w:val="009163F2"/>
    <w:rsid w:val="00916881"/>
    <w:rsid w:val="00916950"/>
    <w:rsid w:val="00916AFB"/>
    <w:rsid w:val="00916DB0"/>
    <w:rsid w:val="0091758E"/>
    <w:rsid w:val="0092036A"/>
    <w:rsid w:val="00920554"/>
    <w:rsid w:val="0092102B"/>
    <w:rsid w:val="00921412"/>
    <w:rsid w:val="009214A9"/>
    <w:rsid w:val="0092177A"/>
    <w:rsid w:val="00922D5B"/>
    <w:rsid w:val="00923A42"/>
    <w:rsid w:val="00923AF0"/>
    <w:rsid w:val="00923D02"/>
    <w:rsid w:val="00923FC7"/>
    <w:rsid w:val="00924ED9"/>
    <w:rsid w:val="0092529C"/>
    <w:rsid w:val="00925E92"/>
    <w:rsid w:val="009265E2"/>
    <w:rsid w:val="00927223"/>
    <w:rsid w:val="00927A8D"/>
    <w:rsid w:val="00927DC6"/>
    <w:rsid w:val="00930497"/>
    <w:rsid w:val="00930723"/>
    <w:rsid w:val="00930848"/>
    <w:rsid w:val="00931582"/>
    <w:rsid w:val="00931BE3"/>
    <w:rsid w:val="00932813"/>
    <w:rsid w:val="00932A1F"/>
    <w:rsid w:val="00933432"/>
    <w:rsid w:val="00933519"/>
    <w:rsid w:val="00933F08"/>
    <w:rsid w:val="00934001"/>
    <w:rsid w:val="00934B44"/>
    <w:rsid w:val="00934E15"/>
    <w:rsid w:val="00936726"/>
    <w:rsid w:val="00937F32"/>
    <w:rsid w:val="0093F51E"/>
    <w:rsid w:val="00940064"/>
    <w:rsid w:val="009400A6"/>
    <w:rsid w:val="009402D1"/>
    <w:rsid w:val="009407EC"/>
    <w:rsid w:val="0094193A"/>
    <w:rsid w:val="009419B8"/>
    <w:rsid w:val="00942ACA"/>
    <w:rsid w:val="00943113"/>
    <w:rsid w:val="009433DF"/>
    <w:rsid w:val="00943513"/>
    <w:rsid w:val="00943975"/>
    <w:rsid w:val="00943E1D"/>
    <w:rsid w:val="00943F03"/>
    <w:rsid w:val="0094458B"/>
    <w:rsid w:val="009448A4"/>
    <w:rsid w:val="00945A42"/>
    <w:rsid w:val="00945E24"/>
    <w:rsid w:val="009469E8"/>
    <w:rsid w:val="009469FB"/>
    <w:rsid w:val="00946AF2"/>
    <w:rsid w:val="00946E27"/>
    <w:rsid w:val="0095025D"/>
    <w:rsid w:val="00950DF3"/>
    <w:rsid w:val="00953378"/>
    <w:rsid w:val="00953713"/>
    <w:rsid w:val="0095464C"/>
    <w:rsid w:val="00954ADA"/>
    <w:rsid w:val="00955776"/>
    <w:rsid w:val="00955EC2"/>
    <w:rsid w:val="00956EEE"/>
    <w:rsid w:val="00957A9F"/>
    <w:rsid w:val="00960939"/>
    <w:rsid w:val="00960D50"/>
    <w:rsid w:val="00961FCC"/>
    <w:rsid w:val="00962C8C"/>
    <w:rsid w:val="00962DA3"/>
    <w:rsid w:val="00962FA6"/>
    <w:rsid w:val="00963370"/>
    <w:rsid w:val="00963583"/>
    <w:rsid w:val="00963BDD"/>
    <w:rsid w:val="00964640"/>
    <w:rsid w:val="009648A9"/>
    <w:rsid w:val="00967019"/>
    <w:rsid w:val="00967CD2"/>
    <w:rsid w:val="00970927"/>
    <w:rsid w:val="0097109C"/>
    <w:rsid w:val="00971266"/>
    <w:rsid w:val="009715BD"/>
    <w:rsid w:val="00972424"/>
    <w:rsid w:val="00972554"/>
    <w:rsid w:val="009731DC"/>
    <w:rsid w:val="0097354D"/>
    <w:rsid w:val="00973580"/>
    <w:rsid w:val="00973DA7"/>
    <w:rsid w:val="009743C7"/>
    <w:rsid w:val="0097445D"/>
    <w:rsid w:val="0097476B"/>
    <w:rsid w:val="00974BE9"/>
    <w:rsid w:val="00975178"/>
    <w:rsid w:val="0097540F"/>
    <w:rsid w:val="00975814"/>
    <w:rsid w:val="00975CB0"/>
    <w:rsid w:val="009769CA"/>
    <w:rsid w:val="00976A52"/>
    <w:rsid w:val="00976CEF"/>
    <w:rsid w:val="00977094"/>
    <w:rsid w:val="0097720F"/>
    <w:rsid w:val="00977767"/>
    <w:rsid w:val="00977CF6"/>
    <w:rsid w:val="00981818"/>
    <w:rsid w:val="009821BB"/>
    <w:rsid w:val="00982764"/>
    <w:rsid w:val="00982825"/>
    <w:rsid w:val="00983467"/>
    <w:rsid w:val="00983EAD"/>
    <w:rsid w:val="009843EA"/>
    <w:rsid w:val="00984B28"/>
    <w:rsid w:val="009852A2"/>
    <w:rsid w:val="0098551C"/>
    <w:rsid w:val="009861EC"/>
    <w:rsid w:val="0098655E"/>
    <w:rsid w:val="00987321"/>
    <w:rsid w:val="0098755D"/>
    <w:rsid w:val="00987AFA"/>
    <w:rsid w:val="009901A2"/>
    <w:rsid w:val="00990E21"/>
    <w:rsid w:val="00990F6D"/>
    <w:rsid w:val="00990FE8"/>
    <w:rsid w:val="00991E29"/>
    <w:rsid w:val="00992A5E"/>
    <w:rsid w:val="0099305B"/>
    <w:rsid w:val="00993173"/>
    <w:rsid w:val="009931F7"/>
    <w:rsid w:val="00994676"/>
    <w:rsid w:val="00994A3A"/>
    <w:rsid w:val="00995DA7"/>
    <w:rsid w:val="00995F19"/>
    <w:rsid w:val="00997475"/>
    <w:rsid w:val="00997AB3"/>
    <w:rsid w:val="009A0126"/>
    <w:rsid w:val="009A0D24"/>
    <w:rsid w:val="009A13BC"/>
    <w:rsid w:val="009A1541"/>
    <w:rsid w:val="009A187D"/>
    <w:rsid w:val="009A18C9"/>
    <w:rsid w:val="009A1CA0"/>
    <w:rsid w:val="009A2E4B"/>
    <w:rsid w:val="009A3090"/>
    <w:rsid w:val="009A41D6"/>
    <w:rsid w:val="009A49A6"/>
    <w:rsid w:val="009A4C6A"/>
    <w:rsid w:val="009A5AF1"/>
    <w:rsid w:val="009A660F"/>
    <w:rsid w:val="009A6AF3"/>
    <w:rsid w:val="009A6C51"/>
    <w:rsid w:val="009A7789"/>
    <w:rsid w:val="009B072B"/>
    <w:rsid w:val="009B163A"/>
    <w:rsid w:val="009B1A3F"/>
    <w:rsid w:val="009B1E9B"/>
    <w:rsid w:val="009B221E"/>
    <w:rsid w:val="009B24A0"/>
    <w:rsid w:val="009B2613"/>
    <w:rsid w:val="009B2CAF"/>
    <w:rsid w:val="009B2CE7"/>
    <w:rsid w:val="009B3192"/>
    <w:rsid w:val="009B35AF"/>
    <w:rsid w:val="009B36B5"/>
    <w:rsid w:val="009B3BB2"/>
    <w:rsid w:val="009B3C6B"/>
    <w:rsid w:val="009B3CD3"/>
    <w:rsid w:val="009B51AA"/>
    <w:rsid w:val="009B5399"/>
    <w:rsid w:val="009B5531"/>
    <w:rsid w:val="009B558E"/>
    <w:rsid w:val="009B5CDB"/>
    <w:rsid w:val="009B6E22"/>
    <w:rsid w:val="009B6F92"/>
    <w:rsid w:val="009B76CF"/>
    <w:rsid w:val="009B7A77"/>
    <w:rsid w:val="009C001D"/>
    <w:rsid w:val="009C02A4"/>
    <w:rsid w:val="009C06C0"/>
    <w:rsid w:val="009C1497"/>
    <w:rsid w:val="009C1A02"/>
    <w:rsid w:val="009C207E"/>
    <w:rsid w:val="009C22B0"/>
    <w:rsid w:val="009C234D"/>
    <w:rsid w:val="009C2F4C"/>
    <w:rsid w:val="009C2FDC"/>
    <w:rsid w:val="009C4364"/>
    <w:rsid w:val="009C5318"/>
    <w:rsid w:val="009C5C5A"/>
    <w:rsid w:val="009C6C29"/>
    <w:rsid w:val="009C79A3"/>
    <w:rsid w:val="009D2078"/>
    <w:rsid w:val="009D24CB"/>
    <w:rsid w:val="009D2735"/>
    <w:rsid w:val="009D2901"/>
    <w:rsid w:val="009D4ADE"/>
    <w:rsid w:val="009D4C29"/>
    <w:rsid w:val="009D4C4D"/>
    <w:rsid w:val="009D5B08"/>
    <w:rsid w:val="009D741F"/>
    <w:rsid w:val="009E01D3"/>
    <w:rsid w:val="009E06D7"/>
    <w:rsid w:val="009E0D0A"/>
    <w:rsid w:val="009E213B"/>
    <w:rsid w:val="009E298B"/>
    <w:rsid w:val="009E337A"/>
    <w:rsid w:val="009E36EE"/>
    <w:rsid w:val="009E389B"/>
    <w:rsid w:val="009E3CBB"/>
    <w:rsid w:val="009E4B10"/>
    <w:rsid w:val="009E508B"/>
    <w:rsid w:val="009E5D17"/>
    <w:rsid w:val="009E7A1F"/>
    <w:rsid w:val="009F0154"/>
    <w:rsid w:val="009F0BF1"/>
    <w:rsid w:val="009F13DE"/>
    <w:rsid w:val="009F1C6A"/>
    <w:rsid w:val="009F216C"/>
    <w:rsid w:val="009F2868"/>
    <w:rsid w:val="009F2927"/>
    <w:rsid w:val="009F2928"/>
    <w:rsid w:val="009F2DDB"/>
    <w:rsid w:val="009F3059"/>
    <w:rsid w:val="009F30AE"/>
    <w:rsid w:val="009F3519"/>
    <w:rsid w:val="009F4E5F"/>
    <w:rsid w:val="009F5C7D"/>
    <w:rsid w:val="009F664F"/>
    <w:rsid w:val="009F672C"/>
    <w:rsid w:val="009F67AD"/>
    <w:rsid w:val="009F70B8"/>
    <w:rsid w:val="009F7430"/>
    <w:rsid w:val="009F76D6"/>
    <w:rsid w:val="00A00478"/>
    <w:rsid w:val="00A00AE6"/>
    <w:rsid w:val="00A00F44"/>
    <w:rsid w:val="00A00F86"/>
    <w:rsid w:val="00A0136F"/>
    <w:rsid w:val="00A01504"/>
    <w:rsid w:val="00A0254F"/>
    <w:rsid w:val="00A02BEF"/>
    <w:rsid w:val="00A03A93"/>
    <w:rsid w:val="00A03E56"/>
    <w:rsid w:val="00A04C9E"/>
    <w:rsid w:val="00A0542C"/>
    <w:rsid w:val="00A055F1"/>
    <w:rsid w:val="00A05A6A"/>
    <w:rsid w:val="00A0651D"/>
    <w:rsid w:val="00A068BB"/>
    <w:rsid w:val="00A07BFE"/>
    <w:rsid w:val="00A1031E"/>
    <w:rsid w:val="00A103A0"/>
    <w:rsid w:val="00A10F29"/>
    <w:rsid w:val="00A12547"/>
    <w:rsid w:val="00A12C92"/>
    <w:rsid w:val="00A12DA7"/>
    <w:rsid w:val="00A1371E"/>
    <w:rsid w:val="00A13731"/>
    <w:rsid w:val="00A142D6"/>
    <w:rsid w:val="00A14D06"/>
    <w:rsid w:val="00A1516F"/>
    <w:rsid w:val="00A156EF"/>
    <w:rsid w:val="00A164B9"/>
    <w:rsid w:val="00A16EE8"/>
    <w:rsid w:val="00A17D60"/>
    <w:rsid w:val="00A2057A"/>
    <w:rsid w:val="00A205C2"/>
    <w:rsid w:val="00A20FB7"/>
    <w:rsid w:val="00A2172E"/>
    <w:rsid w:val="00A21758"/>
    <w:rsid w:val="00A21FE9"/>
    <w:rsid w:val="00A22B4F"/>
    <w:rsid w:val="00A22E16"/>
    <w:rsid w:val="00A230E0"/>
    <w:rsid w:val="00A23203"/>
    <w:rsid w:val="00A234A7"/>
    <w:rsid w:val="00A235BD"/>
    <w:rsid w:val="00A2380B"/>
    <w:rsid w:val="00A245CA"/>
    <w:rsid w:val="00A24B6C"/>
    <w:rsid w:val="00A25C1E"/>
    <w:rsid w:val="00A26F92"/>
    <w:rsid w:val="00A27C28"/>
    <w:rsid w:val="00A302AD"/>
    <w:rsid w:val="00A30556"/>
    <w:rsid w:val="00A3059D"/>
    <w:rsid w:val="00A30C81"/>
    <w:rsid w:val="00A30CB2"/>
    <w:rsid w:val="00A30E65"/>
    <w:rsid w:val="00A31278"/>
    <w:rsid w:val="00A31AA4"/>
    <w:rsid w:val="00A31C64"/>
    <w:rsid w:val="00A32653"/>
    <w:rsid w:val="00A32A42"/>
    <w:rsid w:val="00A32EA1"/>
    <w:rsid w:val="00A3343B"/>
    <w:rsid w:val="00A3635E"/>
    <w:rsid w:val="00A36370"/>
    <w:rsid w:val="00A3687C"/>
    <w:rsid w:val="00A36DA6"/>
    <w:rsid w:val="00A36F8A"/>
    <w:rsid w:val="00A37888"/>
    <w:rsid w:val="00A37E10"/>
    <w:rsid w:val="00A41956"/>
    <w:rsid w:val="00A42256"/>
    <w:rsid w:val="00A424DE"/>
    <w:rsid w:val="00A425F3"/>
    <w:rsid w:val="00A429F0"/>
    <w:rsid w:val="00A431C7"/>
    <w:rsid w:val="00A4327A"/>
    <w:rsid w:val="00A43ACE"/>
    <w:rsid w:val="00A441F5"/>
    <w:rsid w:val="00A44303"/>
    <w:rsid w:val="00A445D9"/>
    <w:rsid w:val="00A4475A"/>
    <w:rsid w:val="00A44AC5"/>
    <w:rsid w:val="00A456A1"/>
    <w:rsid w:val="00A466D1"/>
    <w:rsid w:val="00A468B3"/>
    <w:rsid w:val="00A47B19"/>
    <w:rsid w:val="00A47B6C"/>
    <w:rsid w:val="00A47EBA"/>
    <w:rsid w:val="00A50113"/>
    <w:rsid w:val="00A50E7B"/>
    <w:rsid w:val="00A51023"/>
    <w:rsid w:val="00A5162E"/>
    <w:rsid w:val="00A5262D"/>
    <w:rsid w:val="00A531D2"/>
    <w:rsid w:val="00A54F87"/>
    <w:rsid w:val="00A562CF"/>
    <w:rsid w:val="00A568AC"/>
    <w:rsid w:val="00A56CE4"/>
    <w:rsid w:val="00A56F07"/>
    <w:rsid w:val="00A56F49"/>
    <w:rsid w:val="00A571A8"/>
    <w:rsid w:val="00A57E3E"/>
    <w:rsid w:val="00A603CD"/>
    <w:rsid w:val="00A608FB"/>
    <w:rsid w:val="00A62225"/>
    <w:rsid w:val="00A6234E"/>
    <w:rsid w:val="00A63140"/>
    <w:rsid w:val="00A632DD"/>
    <w:rsid w:val="00A637A4"/>
    <w:rsid w:val="00A642B1"/>
    <w:rsid w:val="00A64ADE"/>
    <w:rsid w:val="00A65910"/>
    <w:rsid w:val="00A6612D"/>
    <w:rsid w:val="00A665E8"/>
    <w:rsid w:val="00A66902"/>
    <w:rsid w:val="00A67402"/>
    <w:rsid w:val="00A67FD2"/>
    <w:rsid w:val="00A70334"/>
    <w:rsid w:val="00A70A0A"/>
    <w:rsid w:val="00A70E4B"/>
    <w:rsid w:val="00A70F42"/>
    <w:rsid w:val="00A714F9"/>
    <w:rsid w:val="00A719DF"/>
    <w:rsid w:val="00A72B9C"/>
    <w:rsid w:val="00A73E51"/>
    <w:rsid w:val="00A744AC"/>
    <w:rsid w:val="00A74D30"/>
    <w:rsid w:val="00A76173"/>
    <w:rsid w:val="00A76576"/>
    <w:rsid w:val="00A77358"/>
    <w:rsid w:val="00A77BBD"/>
    <w:rsid w:val="00A77DC8"/>
    <w:rsid w:val="00A80A59"/>
    <w:rsid w:val="00A80CCA"/>
    <w:rsid w:val="00A810CE"/>
    <w:rsid w:val="00A83283"/>
    <w:rsid w:val="00A836A0"/>
    <w:rsid w:val="00A83AFC"/>
    <w:rsid w:val="00A83C71"/>
    <w:rsid w:val="00A83E47"/>
    <w:rsid w:val="00A8525C"/>
    <w:rsid w:val="00A86C83"/>
    <w:rsid w:val="00A90377"/>
    <w:rsid w:val="00A9081A"/>
    <w:rsid w:val="00A90F0B"/>
    <w:rsid w:val="00A926DE"/>
    <w:rsid w:val="00A92C66"/>
    <w:rsid w:val="00A930B8"/>
    <w:rsid w:val="00A93AE0"/>
    <w:rsid w:val="00A93E27"/>
    <w:rsid w:val="00A9400E"/>
    <w:rsid w:val="00A9484A"/>
    <w:rsid w:val="00A9533A"/>
    <w:rsid w:val="00A96417"/>
    <w:rsid w:val="00A97BAF"/>
    <w:rsid w:val="00A9EE14"/>
    <w:rsid w:val="00AA000C"/>
    <w:rsid w:val="00AA0DB0"/>
    <w:rsid w:val="00AA19D1"/>
    <w:rsid w:val="00AA249C"/>
    <w:rsid w:val="00AA2D94"/>
    <w:rsid w:val="00AA343B"/>
    <w:rsid w:val="00AA3461"/>
    <w:rsid w:val="00AA37BC"/>
    <w:rsid w:val="00AA3FCE"/>
    <w:rsid w:val="00AA41D2"/>
    <w:rsid w:val="00AA4826"/>
    <w:rsid w:val="00AA48B3"/>
    <w:rsid w:val="00AA5B69"/>
    <w:rsid w:val="00AA5D65"/>
    <w:rsid w:val="00AA612F"/>
    <w:rsid w:val="00AA657A"/>
    <w:rsid w:val="00AA685C"/>
    <w:rsid w:val="00AA72F2"/>
    <w:rsid w:val="00AAE68B"/>
    <w:rsid w:val="00AB045B"/>
    <w:rsid w:val="00AB0944"/>
    <w:rsid w:val="00AB0CBB"/>
    <w:rsid w:val="00AB1CBA"/>
    <w:rsid w:val="00AB1E85"/>
    <w:rsid w:val="00AB226B"/>
    <w:rsid w:val="00AB22BE"/>
    <w:rsid w:val="00AB2A4F"/>
    <w:rsid w:val="00AB2BF4"/>
    <w:rsid w:val="00AB3531"/>
    <w:rsid w:val="00AB36C1"/>
    <w:rsid w:val="00AB36F3"/>
    <w:rsid w:val="00AB4098"/>
    <w:rsid w:val="00AB4780"/>
    <w:rsid w:val="00AB4AF2"/>
    <w:rsid w:val="00AB51F2"/>
    <w:rsid w:val="00AB54CF"/>
    <w:rsid w:val="00AB5F27"/>
    <w:rsid w:val="00AB672D"/>
    <w:rsid w:val="00AB7185"/>
    <w:rsid w:val="00AB75D9"/>
    <w:rsid w:val="00AB7BDB"/>
    <w:rsid w:val="00AC02BF"/>
    <w:rsid w:val="00AC0A9A"/>
    <w:rsid w:val="00AC0E13"/>
    <w:rsid w:val="00AC0EB7"/>
    <w:rsid w:val="00AC0EDA"/>
    <w:rsid w:val="00AC17AD"/>
    <w:rsid w:val="00AC1E3D"/>
    <w:rsid w:val="00AC1F4F"/>
    <w:rsid w:val="00AC23A2"/>
    <w:rsid w:val="00AC3347"/>
    <w:rsid w:val="00AC35AE"/>
    <w:rsid w:val="00AC38DC"/>
    <w:rsid w:val="00AC6573"/>
    <w:rsid w:val="00AC679F"/>
    <w:rsid w:val="00AC6AA9"/>
    <w:rsid w:val="00AC6CFA"/>
    <w:rsid w:val="00AC75EF"/>
    <w:rsid w:val="00AC78DE"/>
    <w:rsid w:val="00AC7C41"/>
    <w:rsid w:val="00AD02AF"/>
    <w:rsid w:val="00AD075C"/>
    <w:rsid w:val="00AD0F52"/>
    <w:rsid w:val="00AD0FFE"/>
    <w:rsid w:val="00AD176B"/>
    <w:rsid w:val="00AD189D"/>
    <w:rsid w:val="00AD18DC"/>
    <w:rsid w:val="00AD2392"/>
    <w:rsid w:val="00AD2D4C"/>
    <w:rsid w:val="00AD38AF"/>
    <w:rsid w:val="00AD4597"/>
    <w:rsid w:val="00AD4B1A"/>
    <w:rsid w:val="00AD4ECE"/>
    <w:rsid w:val="00AD6807"/>
    <w:rsid w:val="00AD6C29"/>
    <w:rsid w:val="00AD6ED5"/>
    <w:rsid w:val="00AD6F6E"/>
    <w:rsid w:val="00AD7572"/>
    <w:rsid w:val="00AD7E0F"/>
    <w:rsid w:val="00AE09C6"/>
    <w:rsid w:val="00AE0D03"/>
    <w:rsid w:val="00AE0FCF"/>
    <w:rsid w:val="00AE1749"/>
    <w:rsid w:val="00AE19BE"/>
    <w:rsid w:val="00AE1C46"/>
    <w:rsid w:val="00AE21DD"/>
    <w:rsid w:val="00AE2357"/>
    <w:rsid w:val="00AE2744"/>
    <w:rsid w:val="00AE30DF"/>
    <w:rsid w:val="00AE327F"/>
    <w:rsid w:val="00AE424B"/>
    <w:rsid w:val="00AE45C7"/>
    <w:rsid w:val="00AE4B46"/>
    <w:rsid w:val="00AE4E7F"/>
    <w:rsid w:val="00AE526B"/>
    <w:rsid w:val="00AE5E61"/>
    <w:rsid w:val="00AE624D"/>
    <w:rsid w:val="00AE6A8D"/>
    <w:rsid w:val="00AE70B9"/>
    <w:rsid w:val="00AE7BE0"/>
    <w:rsid w:val="00AF01DE"/>
    <w:rsid w:val="00AF037C"/>
    <w:rsid w:val="00AF1FAB"/>
    <w:rsid w:val="00AF29AA"/>
    <w:rsid w:val="00AF431A"/>
    <w:rsid w:val="00AF46FA"/>
    <w:rsid w:val="00AF47B6"/>
    <w:rsid w:val="00AF490D"/>
    <w:rsid w:val="00AF598D"/>
    <w:rsid w:val="00AF5CD3"/>
    <w:rsid w:val="00AF69CB"/>
    <w:rsid w:val="00AF6A5D"/>
    <w:rsid w:val="00AF7204"/>
    <w:rsid w:val="00AF721E"/>
    <w:rsid w:val="00AF7D7A"/>
    <w:rsid w:val="00AF7E5E"/>
    <w:rsid w:val="00B00054"/>
    <w:rsid w:val="00B008F4"/>
    <w:rsid w:val="00B00E20"/>
    <w:rsid w:val="00B00ED6"/>
    <w:rsid w:val="00B01602"/>
    <w:rsid w:val="00B01928"/>
    <w:rsid w:val="00B01A4E"/>
    <w:rsid w:val="00B0284F"/>
    <w:rsid w:val="00B039A0"/>
    <w:rsid w:val="00B03B16"/>
    <w:rsid w:val="00B03F2D"/>
    <w:rsid w:val="00B04B40"/>
    <w:rsid w:val="00B04CF1"/>
    <w:rsid w:val="00B05BE9"/>
    <w:rsid w:val="00B05BEB"/>
    <w:rsid w:val="00B06008"/>
    <w:rsid w:val="00B06C04"/>
    <w:rsid w:val="00B071EE"/>
    <w:rsid w:val="00B0739F"/>
    <w:rsid w:val="00B07ACF"/>
    <w:rsid w:val="00B07CFC"/>
    <w:rsid w:val="00B10407"/>
    <w:rsid w:val="00B107A3"/>
    <w:rsid w:val="00B10DDD"/>
    <w:rsid w:val="00B10F56"/>
    <w:rsid w:val="00B110E3"/>
    <w:rsid w:val="00B11181"/>
    <w:rsid w:val="00B111A2"/>
    <w:rsid w:val="00B125AD"/>
    <w:rsid w:val="00B12CAA"/>
    <w:rsid w:val="00B143B9"/>
    <w:rsid w:val="00B14CC5"/>
    <w:rsid w:val="00B1713D"/>
    <w:rsid w:val="00B17A8C"/>
    <w:rsid w:val="00B17E6C"/>
    <w:rsid w:val="00B2056A"/>
    <w:rsid w:val="00B208B9"/>
    <w:rsid w:val="00B21FF4"/>
    <w:rsid w:val="00B226F9"/>
    <w:rsid w:val="00B22C65"/>
    <w:rsid w:val="00B23C8B"/>
    <w:rsid w:val="00B2419F"/>
    <w:rsid w:val="00B2430B"/>
    <w:rsid w:val="00B267E3"/>
    <w:rsid w:val="00B26AB7"/>
    <w:rsid w:val="00B27DFB"/>
    <w:rsid w:val="00B300E5"/>
    <w:rsid w:val="00B30924"/>
    <w:rsid w:val="00B30D34"/>
    <w:rsid w:val="00B3133A"/>
    <w:rsid w:val="00B316EA"/>
    <w:rsid w:val="00B31E8E"/>
    <w:rsid w:val="00B32AD5"/>
    <w:rsid w:val="00B32BA2"/>
    <w:rsid w:val="00B33104"/>
    <w:rsid w:val="00B339A4"/>
    <w:rsid w:val="00B33B0E"/>
    <w:rsid w:val="00B33DC0"/>
    <w:rsid w:val="00B34A53"/>
    <w:rsid w:val="00B34B70"/>
    <w:rsid w:val="00B35632"/>
    <w:rsid w:val="00B36ECF"/>
    <w:rsid w:val="00B3745D"/>
    <w:rsid w:val="00B378F8"/>
    <w:rsid w:val="00B420A2"/>
    <w:rsid w:val="00B43D27"/>
    <w:rsid w:val="00B43E3E"/>
    <w:rsid w:val="00B441A8"/>
    <w:rsid w:val="00B44CBC"/>
    <w:rsid w:val="00B460E1"/>
    <w:rsid w:val="00B46609"/>
    <w:rsid w:val="00B467D6"/>
    <w:rsid w:val="00B50E14"/>
    <w:rsid w:val="00B51545"/>
    <w:rsid w:val="00B520CD"/>
    <w:rsid w:val="00B54B6C"/>
    <w:rsid w:val="00B5562A"/>
    <w:rsid w:val="00B55BD4"/>
    <w:rsid w:val="00B55DAB"/>
    <w:rsid w:val="00B5628C"/>
    <w:rsid w:val="00B57443"/>
    <w:rsid w:val="00B5754F"/>
    <w:rsid w:val="00B57B93"/>
    <w:rsid w:val="00B60900"/>
    <w:rsid w:val="00B6124A"/>
    <w:rsid w:val="00B6233B"/>
    <w:rsid w:val="00B625A2"/>
    <w:rsid w:val="00B62AFA"/>
    <w:rsid w:val="00B62D0B"/>
    <w:rsid w:val="00B63DF9"/>
    <w:rsid w:val="00B647E8"/>
    <w:rsid w:val="00B64B75"/>
    <w:rsid w:val="00B64C3B"/>
    <w:rsid w:val="00B65B11"/>
    <w:rsid w:val="00B669A5"/>
    <w:rsid w:val="00B67153"/>
    <w:rsid w:val="00B67ECD"/>
    <w:rsid w:val="00B70859"/>
    <w:rsid w:val="00B70B75"/>
    <w:rsid w:val="00B70D89"/>
    <w:rsid w:val="00B715D2"/>
    <w:rsid w:val="00B727B2"/>
    <w:rsid w:val="00B73677"/>
    <w:rsid w:val="00B74B49"/>
    <w:rsid w:val="00B762A8"/>
    <w:rsid w:val="00B76455"/>
    <w:rsid w:val="00B77DCF"/>
    <w:rsid w:val="00B77E5E"/>
    <w:rsid w:val="00B8012D"/>
    <w:rsid w:val="00B8120E"/>
    <w:rsid w:val="00B816AB"/>
    <w:rsid w:val="00B81CBB"/>
    <w:rsid w:val="00B82099"/>
    <w:rsid w:val="00B8243B"/>
    <w:rsid w:val="00B8284A"/>
    <w:rsid w:val="00B82DAD"/>
    <w:rsid w:val="00B83267"/>
    <w:rsid w:val="00B83288"/>
    <w:rsid w:val="00B835F8"/>
    <w:rsid w:val="00B837EB"/>
    <w:rsid w:val="00B83ABC"/>
    <w:rsid w:val="00B84824"/>
    <w:rsid w:val="00B84AEA"/>
    <w:rsid w:val="00B8569B"/>
    <w:rsid w:val="00B90296"/>
    <w:rsid w:val="00B90491"/>
    <w:rsid w:val="00B90597"/>
    <w:rsid w:val="00B910AC"/>
    <w:rsid w:val="00B91766"/>
    <w:rsid w:val="00B91971"/>
    <w:rsid w:val="00B925FA"/>
    <w:rsid w:val="00B92EF7"/>
    <w:rsid w:val="00B92F95"/>
    <w:rsid w:val="00B93FFB"/>
    <w:rsid w:val="00B943FE"/>
    <w:rsid w:val="00B94507"/>
    <w:rsid w:val="00B94718"/>
    <w:rsid w:val="00B95054"/>
    <w:rsid w:val="00B9581D"/>
    <w:rsid w:val="00B95A20"/>
    <w:rsid w:val="00B970DA"/>
    <w:rsid w:val="00B9759E"/>
    <w:rsid w:val="00BA0104"/>
    <w:rsid w:val="00BA125F"/>
    <w:rsid w:val="00BA137E"/>
    <w:rsid w:val="00BA2945"/>
    <w:rsid w:val="00BA2A4F"/>
    <w:rsid w:val="00BA3072"/>
    <w:rsid w:val="00BA30D1"/>
    <w:rsid w:val="00BA3974"/>
    <w:rsid w:val="00BA3D94"/>
    <w:rsid w:val="00BA4646"/>
    <w:rsid w:val="00BA4ABA"/>
    <w:rsid w:val="00BA5510"/>
    <w:rsid w:val="00BA5B05"/>
    <w:rsid w:val="00BA5D5A"/>
    <w:rsid w:val="00BA5EEE"/>
    <w:rsid w:val="00BA65AC"/>
    <w:rsid w:val="00BA6D23"/>
    <w:rsid w:val="00BA6E14"/>
    <w:rsid w:val="00BA7238"/>
    <w:rsid w:val="00BA75D9"/>
    <w:rsid w:val="00BA786A"/>
    <w:rsid w:val="00BA7F06"/>
    <w:rsid w:val="00BA7F9D"/>
    <w:rsid w:val="00BB11BA"/>
    <w:rsid w:val="00BB11C6"/>
    <w:rsid w:val="00BB1F33"/>
    <w:rsid w:val="00BB320D"/>
    <w:rsid w:val="00BB4F60"/>
    <w:rsid w:val="00BB5343"/>
    <w:rsid w:val="00BB5F6C"/>
    <w:rsid w:val="00BB695F"/>
    <w:rsid w:val="00BB78C7"/>
    <w:rsid w:val="00BC0F4E"/>
    <w:rsid w:val="00BC1C6F"/>
    <w:rsid w:val="00BC1CEE"/>
    <w:rsid w:val="00BC2C3C"/>
    <w:rsid w:val="00BC38C7"/>
    <w:rsid w:val="00BC395D"/>
    <w:rsid w:val="00BC4392"/>
    <w:rsid w:val="00BC4444"/>
    <w:rsid w:val="00BC49BD"/>
    <w:rsid w:val="00BC49F2"/>
    <w:rsid w:val="00BC6AE0"/>
    <w:rsid w:val="00BC6C2B"/>
    <w:rsid w:val="00BC7181"/>
    <w:rsid w:val="00BC743D"/>
    <w:rsid w:val="00BD0ADD"/>
    <w:rsid w:val="00BD0D9B"/>
    <w:rsid w:val="00BD2570"/>
    <w:rsid w:val="00BD2CC9"/>
    <w:rsid w:val="00BD3DF1"/>
    <w:rsid w:val="00BD4A56"/>
    <w:rsid w:val="00BD5307"/>
    <w:rsid w:val="00BD58C4"/>
    <w:rsid w:val="00BD59F3"/>
    <w:rsid w:val="00BD6783"/>
    <w:rsid w:val="00BD6E41"/>
    <w:rsid w:val="00BD75D3"/>
    <w:rsid w:val="00BD790B"/>
    <w:rsid w:val="00BD7BC2"/>
    <w:rsid w:val="00BD7C37"/>
    <w:rsid w:val="00BE1018"/>
    <w:rsid w:val="00BE10A3"/>
    <w:rsid w:val="00BE18D6"/>
    <w:rsid w:val="00BE1B0B"/>
    <w:rsid w:val="00BE2396"/>
    <w:rsid w:val="00BE2646"/>
    <w:rsid w:val="00BE2A57"/>
    <w:rsid w:val="00BE3D99"/>
    <w:rsid w:val="00BE3FA4"/>
    <w:rsid w:val="00BE438D"/>
    <w:rsid w:val="00BE43C9"/>
    <w:rsid w:val="00BE470C"/>
    <w:rsid w:val="00BE5252"/>
    <w:rsid w:val="00BE632F"/>
    <w:rsid w:val="00BE6630"/>
    <w:rsid w:val="00BE6951"/>
    <w:rsid w:val="00BE6C87"/>
    <w:rsid w:val="00BE7033"/>
    <w:rsid w:val="00BE7E55"/>
    <w:rsid w:val="00BF10E5"/>
    <w:rsid w:val="00BF1AED"/>
    <w:rsid w:val="00BF2FDE"/>
    <w:rsid w:val="00BF3B12"/>
    <w:rsid w:val="00BF3CD4"/>
    <w:rsid w:val="00BF40A9"/>
    <w:rsid w:val="00BF6113"/>
    <w:rsid w:val="00BF71D1"/>
    <w:rsid w:val="00BF76FA"/>
    <w:rsid w:val="00BF7D24"/>
    <w:rsid w:val="00BF7E1F"/>
    <w:rsid w:val="00C004EA"/>
    <w:rsid w:val="00C00D59"/>
    <w:rsid w:val="00C012D1"/>
    <w:rsid w:val="00C013A9"/>
    <w:rsid w:val="00C02164"/>
    <w:rsid w:val="00C023B6"/>
    <w:rsid w:val="00C0291A"/>
    <w:rsid w:val="00C02D90"/>
    <w:rsid w:val="00C038AA"/>
    <w:rsid w:val="00C03D5A"/>
    <w:rsid w:val="00C0510E"/>
    <w:rsid w:val="00C05120"/>
    <w:rsid w:val="00C05948"/>
    <w:rsid w:val="00C0625E"/>
    <w:rsid w:val="00C06C1A"/>
    <w:rsid w:val="00C07628"/>
    <w:rsid w:val="00C10FEE"/>
    <w:rsid w:val="00C1123C"/>
    <w:rsid w:val="00C12301"/>
    <w:rsid w:val="00C12B5F"/>
    <w:rsid w:val="00C12B76"/>
    <w:rsid w:val="00C12B9C"/>
    <w:rsid w:val="00C12D5B"/>
    <w:rsid w:val="00C13792"/>
    <w:rsid w:val="00C142F8"/>
    <w:rsid w:val="00C14B9A"/>
    <w:rsid w:val="00C1511F"/>
    <w:rsid w:val="00C15A50"/>
    <w:rsid w:val="00C15B88"/>
    <w:rsid w:val="00C16598"/>
    <w:rsid w:val="00C16D13"/>
    <w:rsid w:val="00C178F2"/>
    <w:rsid w:val="00C17987"/>
    <w:rsid w:val="00C2064A"/>
    <w:rsid w:val="00C21DA4"/>
    <w:rsid w:val="00C224FE"/>
    <w:rsid w:val="00C22AAA"/>
    <w:rsid w:val="00C236B0"/>
    <w:rsid w:val="00C244B4"/>
    <w:rsid w:val="00C253B0"/>
    <w:rsid w:val="00C25A75"/>
    <w:rsid w:val="00C25E35"/>
    <w:rsid w:val="00C260FB"/>
    <w:rsid w:val="00C2618A"/>
    <w:rsid w:val="00C26750"/>
    <w:rsid w:val="00C27798"/>
    <w:rsid w:val="00C27AEA"/>
    <w:rsid w:val="00C301CD"/>
    <w:rsid w:val="00C306B3"/>
    <w:rsid w:val="00C3144C"/>
    <w:rsid w:val="00C31546"/>
    <w:rsid w:val="00C319A3"/>
    <w:rsid w:val="00C31ADF"/>
    <w:rsid w:val="00C31FFA"/>
    <w:rsid w:val="00C323E4"/>
    <w:rsid w:val="00C336E4"/>
    <w:rsid w:val="00C33BC1"/>
    <w:rsid w:val="00C341A2"/>
    <w:rsid w:val="00C3500F"/>
    <w:rsid w:val="00C35221"/>
    <w:rsid w:val="00C3691F"/>
    <w:rsid w:val="00C36AB2"/>
    <w:rsid w:val="00C373DB"/>
    <w:rsid w:val="00C40406"/>
    <w:rsid w:val="00C40C49"/>
    <w:rsid w:val="00C40F56"/>
    <w:rsid w:val="00C4130F"/>
    <w:rsid w:val="00C4136F"/>
    <w:rsid w:val="00C42447"/>
    <w:rsid w:val="00C43668"/>
    <w:rsid w:val="00C45376"/>
    <w:rsid w:val="00C456EF"/>
    <w:rsid w:val="00C4753C"/>
    <w:rsid w:val="00C50079"/>
    <w:rsid w:val="00C50974"/>
    <w:rsid w:val="00C51990"/>
    <w:rsid w:val="00C51B7D"/>
    <w:rsid w:val="00C51E94"/>
    <w:rsid w:val="00C51F50"/>
    <w:rsid w:val="00C532ED"/>
    <w:rsid w:val="00C53474"/>
    <w:rsid w:val="00C53485"/>
    <w:rsid w:val="00C53616"/>
    <w:rsid w:val="00C53768"/>
    <w:rsid w:val="00C537F1"/>
    <w:rsid w:val="00C53EB4"/>
    <w:rsid w:val="00C54FE3"/>
    <w:rsid w:val="00C55319"/>
    <w:rsid w:val="00C556B6"/>
    <w:rsid w:val="00C55865"/>
    <w:rsid w:val="00C55984"/>
    <w:rsid w:val="00C5676E"/>
    <w:rsid w:val="00C56ACB"/>
    <w:rsid w:val="00C56C05"/>
    <w:rsid w:val="00C56E64"/>
    <w:rsid w:val="00C57660"/>
    <w:rsid w:val="00C57845"/>
    <w:rsid w:val="00C5793E"/>
    <w:rsid w:val="00C57A07"/>
    <w:rsid w:val="00C57C32"/>
    <w:rsid w:val="00C609DC"/>
    <w:rsid w:val="00C60B61"/>
    <w:rsid w:val="00C60B6F"/>
    <w:rsid w:val="00C61430"/>
    <w:rsid w:val="00C62312"/>
    <w:rsid w:val="00C64663"/>
    <w:rsid w:val="00C6531A"/>
    <w:rsid w:val="00C65941"/>
    <w:rsid w:val="00C65993"/>
    <w:rsid w:val="00C66A25"/>
    <w:rsid w:val="00C66A8A"/>
    <w:rsid w:val="00C700B2"/>
    <w:rsid w:val="00C700D7"/>
    <w:rsid w:val="00C7046D"/>
    <w:rsid w:val="00C7069B"/>
    <w:rsid w:val="00C70A1A"/>
    <w:rsid w:val="00C70C1D"/>
    <w:rsid w:val="00C70CF7"/>
    <w:rsid w:val="00C70D47"/>
    <w:rsid w:val="00C71358"/>
    <w:rsid w:val="00C715CE"/>
    <w:rsid w:val="00C72B2D"/>
    <w:rsid w:val="00C73408"/>
    <w:rsid w:val="00C73BBA"/>
    <w:rsid w:val="00C73BCE"/>
    <w:rsid w:val="00C73FD8"/>
    <w:rsid w:val="00C7407E"/>
    <w:rsid w:val="00C7424A"/>
    <w:rsid w:val="00C74C14"/>
    <w:rsid w:val="00C74F68"/>
    <w:rsid w:val="00C7535E"/>
    <w:rsid w:val="00C75979"/>
    <w:rsid w:val="00C75F8B"/>
    <w:rsid w:val="00C76081"/>
    <w:rsid w:val="00C76168"/>
    <w:rsid w:val="00C776A2"/>
    <w:rsid w:val="00C80A04"/>
    <w:rsid w:val="00C80B54"/>
    <w:rsid w:val="00C80C89"/>
    <w:rsid w:val="00C80E29"/>
    <w:rsid w:val="00C81EFD"/>
    <w:rsid w:val="00C82523"/>
    <w:rsid w:val="00C82589"/>
    <w:rsid w:val="00C827A4"/>
    <w:rsid w:val="00C82C2D"/>
    <w:rsid w:val="00C82D57"/>
    <w:rsid w:val="00C82E17"/>
    <w:rsid w:val="00C83FCC"/>
    <w:rsid w:val="00C84977"/>
    <w:rsid w:val="00C84B92"/>
    <w:rsid w:val="00C84F2C"/>
    <w:rsid w:val="00C86195"/>
    <w:rsid w:val="00C86220"/>
    <w:rsid w:val="00C86EA0"/>
    <w:rsid w:val="00C87090"/>
    <w:rsid w:val="00C871F2"/>
    <w:rsid w:val="00C8741D"/>
    <w:rsid w:val="00C87C97"/>
    <w:rsid w:val="00C87DC9"/>
    <w:rsid w:val="00C90245"/>
    <w:rsid w:val="00C913B3"/>
    <w:rsid w:val="00C91F78"/>
    <w:rsid w:val="00C92455"/>
    <w:rsid w:val="00C92E46"/>
    <w:rsid w:val="00C92FFD"/>
    <w:rsid w:val="00C9376D"/>
    <w:rsid w:val="00C937E8"/>
    <w:rsid w:val="00C93AA0"/>
    <w:rsid w:val="00C94244"/>
    <w:rsid w:val="00C94968"/>
    <w:rsid w:val="00C94DFC"/>
    <w:rsid w:val="00C97A32"/>
    <w:rsid w:val="00C97EED"/>
    <w:rsid w:val="00CA05AF"/>
    <w:rsid w:val="00CA0B3F"/>
    <w:rsid w:val="00CA0F25"/>
    <w:rsid w:val="00CA19BD"/>
    <w:rsid w:val="00CA1F6F"/>
    <w:rsid w:val="00CA2A93"/>
    <w:rsid w:val="00CA3A51"/>
    <w:rsid w:val="00CA3E5A"/>
    <w:rsid w:val="00CA4512"/>
    <w:rsid w:val="00CA4A24"/>
    <w:rsid w:val="00CA5656"/>
    <w:rsid w:val="00CA56BA"/>
    <w:rsid w:val="00CA717A"/>
    <w:rsid w:val="00CA75F7"/>
    <w:rsid w:val="00CB0676"/>
    <w:rsid w:val="00CB07A6"/>
    <w:rsid w:val="00CB0DD3"/>
    <w:rsid w:val="00CB199C"/>
    <w:rsid w:val="00CB22D1"/>
    <w:rsid w:val="00CB23EA"/>
    <w:rsid w:val="00CB3355"/>
    <w:rsid w:val="00CB3C66"/>
    <w:rsid w:val="00CB408D"/>
    <w:rsid w:val="00CB41BA"/>
    <w:rsid w:val="00CB5675"/>
    <w:rsid w:val="00CB59B9"/>
    <w:rsid w:val="00CB70BA"/>
    <w:rsid w:val="00CC06B4"/>
    <w:rsid w:val="00CC1348"/>
    <w:rsid w:val="00CC16E7"/>
    <w:rsid w:val="00CC1741"/>
    <w:rsid w:val="00CC18F3"/>
    <w:rsid w:val="00CC2025"/>
    <w:rsid w:val="00CC255F"/>
    <w:rsid w:val="00CC25FC"/>
    <w:rsid w:val="00CC41DD"/>
    <w:rsid w:val="00CC4AB0"/>
    <w:rsid w:val="00CC5F96"/>
    <w:rsid w:val="00CC6BF8"/>
    <w:rsid w:val="00CC702A"/>
    <w:rsid w:val="00CC7B24"/>
    <w:rsid w:val="00CD0093"/>
    <w:rsid w:val="00CD0E33"/>
    <w:rsid w:val="00CD0EE5"/>
    <w:rsid w:val="00CD12F4"/>
    <w:rsid w:val="00CD19BA"/>
    <w:rsid w:val="00CD211E"/>
    <w:rsid w:val="00CD2905"/>
    <w:rsid w:val="00CD33B2"/>
    <w:rsid w:val="00CD43F1"/>
    <w:rsid w:val="00CD45D0"/>
    <w:rsid w:val="00CD4664"/>
    <w:rsid w:val="00CD4D59"/>
    <w:rsid w:val="00CD598D"/>
    <w:rsid w:val="00CD5AC5"/>
    <w:rsid w:val="00CD5E7E"/>
    <w:rsid w:val="00CD66E1"/>
    <w:rsid w:val="00CD6D9E"/>
    <w:rsid w:val="00CD7E1D"/>
    <w:rsid w:val="00CE0793"/>
    <w:rsid w:val="00CE1DEA"/>
    <w:rsid w:val="00CE1EF3"/>
    <w:rsid w:val="00CE21B8"/>
    <w:rsid w:val="00CE222F"/>
    <w:rsid w:val="00CE2E96"/>
    <w:rsid w:val="00CE3459"/>
    <w:rsid w:val="00CE34C4"/>
    <w:rsid w:val="00CE34F5"/>
    <w:rsid w:val="00CE3544"/>
    <w:rsid w:val="00CE3883"/>
    <w:rsid w:val="00CE446E"/>
    <w:rsid w:val="00CE4B6F"/>
    <w:rsid w:val="00CE530E"/>
    <w:rsid w:val="00CE5400"/>
    <w:rsid w:val="00CE5989"/>
    <w:rsid w:val="00CE7183"/>
    <w:rsid w:val="00CE723C"/>
    <w:rsid w:val="00CE72BB"/>
    <w:rsid w:val="00CF06B7"/>
    <w:rsid w:val="00CF0C12"/>
    <w:rsid w:val="00CF0F2F"/>
    <w:rsid w:val="00CF161C"/>
    <w:rsid w:val="00CF1B8A"/>
    <w:rsid w:val="00CF1BA3"/>
    <w:rsid w:val="00CF23BB"/>
    <w:rsid w:val="00CF24C6"/>
    <w:rsid w:val="00CF270B"/>
    <w:rsid w:val="00CF2D5A"/>
    <w:rsid w:val="00CF3327"/>
    <w:rsid w:val="00CF34D5"/>
    <w:rsid w:val="00CF3EFD"/>
    <w:rsid w:val="00CF419B"/>
    <w:rsid w:val="00CF450B"/>
    <w:rsid w:val="00CF457F"/>
    <w:rsid w:val="00CF4A5A"/>
    <w:rsid w:val="00CF571B"/>
    <w:rsid w:val="00CF60EB"/>
    <w:rsid w:val="00CF6C73"/>
    <w:rsid w:val="00CF71A4"/>
    <w:rsid w:val="00CF7881"/>
    <w:rsid w:val="00CF7CC4"/>
    <w:rsid w:val="00CF7DD0"/>
    <w:rsid w:val="00D0023E"/>
    <w:rsid w:val="00D01488"/>
    <w:rsid w:val="00D01711"/>
    <w:rsid w:val="00D0444B"/>
    <w:rsid w:val="00D0575F"/>
    <w:rsid w:val="00D057B0"/>
    <w:rsid w:val="00D065C7"/>
    <w:rsid w:val="00D0710A"/>
    <w:rsid w:val="00D073F8"/>
    <w:rsid w:val="00D0792E"/>
    <w:rsid w:val="00D07CE4"/>
    <w:rsid w:val="00D1025B"/>
    <w:rsid w:val="00D10936"/>
    <w:rsid w:val="00D10A87"/>
    <w:rsid w:val="00D113DC"/>
    <w:rsid w:val="00D12094"/>
    <w:rsid w:val="00D12896"/>
    <w:rsid w:val="00D1291C"/>
    <w:rsid w:val="00D13293"/>
    <w:rsid w:val="00D14506"/>
    <w:rsid w:val="00D14636"/>
    <w:rsid w:val="00D156D7"/>
    <w:rsid w:val="00D15A06"/>
    <w:rsid w:val="00D16258"/>
    <w:rsid w:val="00D16285"/>
    <w:rsid w:val="00D162EE"/>
    <w:rsid w:val="00D16903"/>
    <w:rsid w:val="00D16C26"/>
    <w:rsid w:val="00D17630"/>
    <w:rsid w:val="00D17CFB"/>
    <w:rsid w:val="00D201B6"/>
    <w:rsid w:val="00D20381"/>
    <w:rsid w:val="00D21D96"/>
    <w:rsid w:val="00D225A4"/>
    <w:rsid w:val="00D22F84"/>
    <w:rsid w:val="00D24098"/>
    <w:rsid w:val="00D24C1F"/>
    <w:rsid w:val="00D250DC"/>
    <w:rsid w:val="00D25AFF"/>
    <w:rsid w:val="00D2699C"/>
    <w:rsid w:val="00D271E8"/>
    <w:rsid w:val="00D30791"/>
    <w:rsid w:val="00D319F3"/>
    <w:rsid w:val="00D3204B"/>
    <w:rsid w:val="00D3391C"/>
    <w:rsid w:val="00D33B49"/>
    <w:rsid w:val="00D34F46"/>
    <w:rsid w:val="00D361EC"/>
    <w:rsid w:val="00D36259"/>
    <w:rsid w:val="00D3656E"/>
    <w:rsid w:val="00D36FE4"/>
    <w:rsid w:val="00D37014"/>
    <w:rsid w:val="00D37787"/>
    <w:rsid w:val="00D377FD"/>
    <w:rsid w:val="00D40354"/>
    <w:rsid w:val="00D40B04"/>
    <w:rsid w:val="00D43649"/>
    <w:rsid w:val="00D43806"/>
    <w:rsid w:val="00D44553"/>
    <w:rsid w:val="00D45BDD"/>
    <w:rsid w:val="00D469DF"/>
    <w:rsid w:val="00D4737D"/>
    <w:rsid w:val="00D47908"/>
    <w:rsid w:val="00D50B11"/>
    <w:rsid w:val="00D511F8"/>
    <w:rsid w:val="00D51384"/>
    <w:rsid w:val="00D524A0"/>
    <w:rsid w:val="00D528C8"/>
    <w:rsid w:val="00D53B43"/>
    <w:rsid w:val="00D53ECF"/>
    <w:rsid w:val="00D54C69"/>
    <w:rsid w:val="00D5500A"/>
    <w:rsid w:val="00D5618A"/>
    <w:rsid w:val="00D56F8E"/>
    <w:rsid w:val="00D57C9D"/>
    <w:rsid w:val="00D60E90"/>
    <w:rsid w:val="00D61A88"/>
    <w:rsid w:val="00D62BB2"/>
    <w:rsid w:val="00D63432"/>
    <w:rsid w:val="00D64361"/>
    <w:rsid w:val="00D65688"/>
    <w:rsid w:val="00D657DB"/>
    <w:rsid w:val="00D65E82"/>
    <w:rsid w:val="00D6610F"/>
    <w:rsid w:val="00D66CD0"/>
    <w:rsid w:val="00D6723D"/>
    <w:rsid w:val="00D67B0D"/>
    <w:rsid w:val="00D67C70"/>
    <w:rsid w:val="00D70319"/>
    <w:rsid w:val="00D70C47"/>
    <w:rsid w:val="00D711A8"/>
    <w:rsid w:val="00D729F8"/>
    <w:rsid w:val="00D73542"/>
    <w:rsid w:val="00D735FE"/>
    <w:rsid w:val="00D742E5"/>
    <w:rsid w:val="00D748D9"/>
    <w:rsid w:val="00D74FFB"/>
    <w:rsid w:val="00D760A1"/>
    <w:rsid w:val="00D7663A"/>
    <w:rsid w:val="00D76B23"/>
    <w:rsid w:val="00D80031"/>
    <w:rsid w:val="00D803D1"/>
    <w:rsid w:val="00D81050"/>
    <w:rsid w:val="00D82CD4"/>
    <w:rsid w:val="00D847B8"/>
    <w:rsid w:val="00D85490"/>
    <w:rsid w:val="00D85829"/>
    <w:rsid w:val="00D85937"/>
    <w:rsid w:val="00D85E7D"/>
    <w:rsid w:val="00D8600E"/>
    <w:rsid w:val="00D86E1A"/>
    <w:rsid w:val="00D87B60"/>
    <w:rsid w:val="00D87BA9"/>
    <w:rsid w:val="00D87C35"/>
    <w:rsid w:val="00D87F0B"/>
    <w:rsid w:val="00D9068E"/>
    <w:rsid w:val="00D90AB2"/>
    <w:rsid w:val="00D9206F"/>
    <w:rsid w:val="00D921AB"/>
    <w:rsid w:val="00D925B4"/>
    <w:rsid w:val="00D938E5"/>
    <w:rsid w:val="00D94B49"/>
    <w:rsid w:val="00D952C5"/>
    <w:rsid w:val="00D953D1"/>
    <w:rsid w:val="00D95A9E"/>
    <w:rsid w:val="00D95DE4"/>
    <w:rsid w:val="00D9688F"/>
    <w:rsid w:val="00D96CA2"/>
    <w:rsid w:val="00D97696"/>
    <w:rsid w:val="00D9795C"/>
    <w:rsid w:val="00DA03EF"/>
    <w:rsid w:val="00DA0ECA"/>
    <w:rsid w:val="00DA1D11"/>
    <w:rsid w:val="00DA23B0"/>
    <w:rsid w:val="00DA28F4"/>
    <w:rsid w:val="00DA32C0"/>
    <w:rsid w:val="00DA383D"/>
    <w:rsid w:val="00DA3C4A"/>
    <w:rsid w:val="00DA4A8E"/>
    <w:rsid w:val="00DA4E5F"/>
    <w:rsid w:val="00DA54CC"/>
    <w:rsid w:val="00DA693D"/>
    <w:rsid w:val="00DA6FF0"/>
    <w:rsid w:val="00DA7AFB"/>
    <w:rsid w:val="00DA7ECB"/>
    <w:rsid w:val="00DB02E6"/>
    <w:rsid w:val="00DB0AB7"/>
    <w:rsid w:val="00DB0B69"/>
    <w:rsid w:val="00DB128A"/>
    <w:rsid w:val="00DB1610"/>
    <w:rsid w:val="00DB17C9"/>
    <w:rsid w:val="00DB195F"/>
    <w:rsid w:val="00DB1A22"/>
    <w:rsid w:val="00DB1D39"/>
    <w:rsid w:val="00DB2483"/>
    <w:rsid w:val="00DB2A4C"/>
    <w:rsid w:val="00DB2FD4"/>
    <w:rsid w:val="00DB306A"/>
    <w:rsid w:val="00DB375E"/>
    <w:rsid w:val="00DB63CE"/>
    <w:rsid w:val="00DB7AF6"/>
    <w:rsid w:val="00DB7CA3"/>
    <w:rsid w:val="00DC009A"/>
    <w:rsid w:val="00DC07F9"/>
    <w:rsid w:val="00DC0DFA"/>
    <w:rsid w:val="00DC0F47"/>
    <w:rsid w:val="00DC1935"/>
    <w:rsid w:val="00DC30B2"/>
    <w:rsid w:val="00DC3FD6"/>
    <w:rsid w:val="00DC454E"/>
    <w:rsid w:val="00DC57C9"/>
    <w:rsid w:val="00DC73B0"/>
    <w:rsid w:val="00DC7422"/>
    <w:rsid w:val="00DC75CB"/>
    <w:rsid w:val="00DD15A2"/>
    <w:rsid w:val="00DD1BA6"/>
    <w:rsid w:val="00DD341E"/>
    <w:rsid w:val="00DD3567"/>
    <w:rsid w:val="00DD3636"/>
    <w:rsid w:val="00DD394A"/>
    <w:rsid w:val="00DD3DD8"/>
    <w:rsid w:val="00DD40D1"/>
    <w:rsid w:val="00DD49D7"/>
    <w:rsid w:val="00DD5128"/>
    <w:rsid w:val="00DD524A"/>
    <w:rsid w:val="00DD63A1"/>
    <w:rsid w:val="00DD6AF5"/>
    <w:rsid w:val="00DE04D9"/>
    <w:rsid w:val="00DE0A35"/>
    <w:rsid w:val="00DE1994"/>
    <w:rsid w:val="00DE222C"/>
    <w:rsid w:val="00DE3144"/>
    <w:rsid w:val="00DE36C8"/>
    <w:rsid w:val="00DE3FE0"/>
    <w:rsid w:val="00DE446B"/>
    <w:rsid w:val="00DE5FD8"/>
    <w:rsid w:val="00DE6AF8"/>
    <w:rsid w:val="00DF0B42"/>
    <w:rsid w:val="00DF0C17"/>
    <w:rsid w:val="00DF0F0A"/>
    <w:rsid w:val="00DF1019"/>
    <w:rsid w:val="00DF1D36"/>
    <w:rsid w:val="00DF2DFC"/>
    <w:rsid w:val="00DF2EC2"/>
    <w:rsid w:val="00DF309F"/>
    <w:rsid w:val="00DF325D"/>
    <w:rsid w:val="00DF3A56"/>
    <w:rsid w:val="00DF3A71"/>
    <w:rsid w:val="00DF403F"/>
    <w:rsid w:val="00DF41F7"/>
    <w:rsid w:val="00DF45FF"/>
    <w:rsid w:val="00DF4CC7"/>
    <w:rsid w:val="00DF4D59"/>
    <w:rsid w:val="00DF4DD6"/>
    <w:rsid w:val="00DF53D9"/>
    <w:rsid w:val="00DF63CE"/>
    <w:rsid w:val="00DF67FE"/>
    <w:rsid w:val="00DF7DA5"/>
    <w:rsid w:val="00E00A2B"/>
    <w:rsid w:val="00E01329"/>
    <w:rsid w:val="00E03E3D"/>
    <w:rsid w:val="00E04B55"/>
    <w:rsid w:val="00E05613"/>
    <w:rsid w:val="00E06183"/>
    <w:rsid w:val="00E06F4C"/>
    <w:rsid w:val="00E07008"/>
    <w:rsid w:val="00E071C0"/>
    <w:rsid w:val="00E07380"/>
    <w:rsid w:val="00E0780B"/>
    <w:rsid w:val="00E0791F"/>
    <w:rsid w:val="00E104B3"/>
    <w:rsid w:val="00E10AC3"/>
    <w:rsid w:val="00E10B71"/>
    <w:rsid w:val="00E11977"/>
    <w:rsid w:val="00E12193"/>
    <w:rsid w:val="00E127D2"/>
    <w:rsid w:val="00E12B50"/>
    <w:rsid w:val="00E12B81"/>
    <w:rsid w:val="00E12C20"/>
    <w:rsid w:val="00E130CC"/>
    <w:rsid w:val="00E13BD6"/>
    <w:rsid w:val="00E15B69"/>
    <w:rsid w:val="00E16004"/>
    <w:rsid w:val="00E16BE8"/>
    <w:rsid w:val="00E1707A"/>
    <w:rsid w:val="00E17B12"/>
    <w:rsid w:val="00E17DB4"/>
    <w:rsid w:val="00E202C3"/>
    <w:rsid w:val="00E205F3"/>
    <w:rsid w:val="00E206C4"/>
    <w:rsid w:val="00E20BBD"/>
    <w:rsid w:val="00E20E83"/>
    <w:rsid w:val="00E20F4A"/>
    <w:rsid w:val="00E212B9"/>
    <w:rsid w:val="00E212C7"/>
    <w:rsid w:val="00E213C2"/>
    <w:rsid w:val="00E21C7A"/>
    <w:rsid w:val="00E2233C"/>
    <w:rsid w:val="00E223CD"/>
    <w:rsid w:val="00E2292F"/>
    <w:rsid w:val="00E22992"/>
    <w:rsid w:val="00E22B37"/>
    <w:rsid w:val="00E22E0A"/>
    <w:rsid w:val="00E233AA"/>
    <w:rsid w:val="00E237F5"/>
    <w:rsid w:val="00E23BF1"/>
    <w:rsid w:val="00E24D0D"/>
    <w:rsid w:val="00E2536E"/>
    <w:rsid w:val="00E25E90"/>
    <w:rsid w:val="00E2606C"/>
    <w:rsid w:val="00E26957"/>
    <w:rsid w:val="00E26A3C"/>
    <w:rsid w:val="00E26FEF"/>
    <w:rsid w:val="00E27928"/>
    <w:rsid w:val="00E3042E"/>
    <w:rsid w:val="00E30465"/>
    <w:rsid w:val="00E30925"/>
    <w:rsid w:val="00E313A8"/>
    <w:rsid w:val="00E314A6"/>
    <w:rsid w:val="00E32087"/>
    <w:rsid w:val="00E32925"/>
    <w:rsid w:val="00E32DEC"/>
    <w:rsid w:val="00E347BB"/>
    <w:rsid w:val="00E34F9F"/>
    <w:rsid w:val="00E350FB"/>
    <w:rsid w:val="00E3520F"/>
    <w:rsid w:val="00E35A44"/>
    <w:rsid w:val="00E35CF6"/>
    <w:rsid w:val="00E360AF"/>
    <w:rsid w:val="00E36B51"/>
    <w:rsid w:val="00E375E0"/>
    <w:rsid w:val="00E378E1"/>
    <w:rsid w:val="00E37B2F"/>
    <w:rsid w:val="00E40747"/>
    <w:rsid w:val="00E40BFE"/>
    <w:rsid w:val="00E4140D"/>
    <w:rsid w:val="00E41443"/>
    <w:rsid w:val="00E41668"/>
    <w:rsid w:val="00E41A9B"/>
    <w:rsid w:val="00E42B96"/>
    <w:rsid w:val="00E42FAF"/>
    <w:rsid w:val="00E43089"/>
    <w:rsid w:val="00E43157"/>
    <w:rsid w:val="00E43E67"/>
    <w:rsid w:val="00E44213"/>
    <w:rsid w:val="00E44296"/>
    <w:rsid w:val="00E4532E"/>
    <w:rsid w:val="00E4536B"/>
    <w:rsid w:val="00E463DB"/>
    <w:rsid w:val="00E467F0"/>
    <w:rsid w:val="00E46898"/>
    <w:rsid w:val="00E46EFE"/>
    <w:rsid w:val="00E46FDB"/>
    <w:rsid w:val="00E51008"/>
    <w:rsid w:val="00E51273"/>
    <w:rsid w:val="00E513A5"/>
    <w:rsid w:val="00E513DB"/>
    <w:rsid w:val="00E513EF"/>
    <w:rsid w:val="00E51F06"/>
    <w:rsid w:val="00E52276"/>
    <w:rsid w:val="00E525F2"/>
    <w:rsid w:val="00E53037"/>
    <w:rsid w:val="00E5430E"/>
    <w:rsid w:val="00E54794"/>
    <w:rsid w:val="00E5B3FC"/>
    <w:rsid w:val="00E604D9"/>
    <w:rsid w:val="00E606F8"/>
    <w:rsid w:val="00E60867"/>
    <w:rsid w:val="00E6113C"/>
    <w:rsid w:val="00E61909"/>
    <w:rsid w:val="00E61916"/>
    <w:rsid w:val="00E62B64"/>
    <w:rsid w:val="00E65656"/>
    <w:rsid w:val="00E656FE"/>
    <w:rsid w:val="00E66B1A"/>
    <w:rsid w:val="00E6774A"/>
    <w:rsid w:val="00E67C0C"/>
    <w:rsid w:val="00E7094C"/>
    <w:rsid w:val="00E71419"/>
    <w:rsid w:val="00E71FD3"/>
    <w:rsid w:val="00E720D1"/>
    <w:rsid w:val="00E72733"/>
    <w:rsid w:val="00E72CB3"/>
    <w:rsid w:val="00E73916"/>
    <w:rsid w:val="00E73BDF"/>
    <w:rsid w:val="00E74372"/>
    <w:rsid w:val="00E75766"/>
    <w:rsid w:val="00E75918"/>
    <w:rsid w:val="00E75BA5"/>
    <w:rsid w:val="00E75BC5"/>
    <w:rsid w:val="00E76EB3"/>
    <w:rsid w:val="00E814D6"/>
    <w:rsid w:val="00E82280"/>
    <w:rsid w:val="00E82B6F"/>
    <w:rsid w:val="00E8301B"/>
    <w:rsid w:val="00E85A28"/>
    <w:rsid w:val="00E860C3"/>
    <w:rsid w:val="00E8662C"/>
    <w:rsid w:val="00E86B87"/>
    <w:rsid w:val="00E877E0"/>
    <w:rsid w:val="00E90E7C"/>
    <w:rsid w:val="00E90FAC"/>
    <w:rsid w:val="00E92B2D"/>
    <w:rsid w:val="00E932AA"/>
    <w:rsid w:val="00E933CB"/>
    <w:rsid w:val="00E93C14"/>
    <w:rsid w:val="00E93C45"/>
    <w:rsid w:val="00E94637"/>
    <w:rsid w:val="00E94E8E"/>
    <w:rsid w:val="00E9514F"/>
    <w:rsid w:val="00E95732"/>
    <w:rsid w:val="00E95BE0"/>
    <w:rsid w:val="00E95E3D"/>
    <w:rsid w:val="00E96277"/>
    <w:rsid w:val="00E977D9"/>
    <w:rsid w:val="00E97922"/>
    <w:rsid w:val="00EA034B"/>
    <w:rsid w:val="00EA0D92"/>
    <w:rsid w:val="00EA0E72"/>
    <w:rsid w:val="00EA32C7"/>
    <w:rsid w:val="00EA3730"/>
    <w:rsid w:val="00EA37C0"/>
    <w:rsid w:val="00EA48AD"/>
    <w:rsid w:val="00EA4934"/>
    <w:rsid w:val="00EA4962"/>
    <w:rsid w:val="00EA4A7F"/>
    <w:rsid w:val="00EA560E"/>
    <w:rsid w:val="00EA583C"/>
    <w:rsid w:val="00EA6309"/>
    <w:rsid w:val="00EA66CE"/>
    <w:rsid w:val="00EA778A"/>
    <w:rsid w:val="00EB02A5"/>
    <w:rsid w:val="00EB059D"/>
    <w:rsid w:val="00EB184F"/>
    <w:rsid w:val="00EB19CD"/>
    <w:rsid w:val="00EB1C39"/>
    <w:rsid w:val="00EB1D05"/>
    <w:rsid w:val="00EB1E75"/>
    <w:rsid w:val="00EB2241"/>
    <w:rsid w:val="00EB23E0"/>
    <w:rsid w:val="00EB3191"/>
    <w:rsid w:val="00EB3A4F"/>
    <w:rsid w:val="00EB3B3D"/>
    <w:rsid w:val="00EB3C21"/>
    <w:rsid w:val="00EB4F98"/>
    <w:rsid w:val="00EB64A6"/>
    <w:rsid w:val="00EB6C19"/>
    <w:rsid w:val="00EB7039"/>
    <w:rsid w:val="00EB7451"/>
    <w:rsid w:val="00EB7853"/>
    <w:rsid w:val="00EB7A3E"/>
    <w:rsid w:val="00EC12EA"/>
    <w:rsid w:val="00EC152E"/>
    <w:rsid w:val="00EC289A"/>
    <w:rsid w:val="00EC2BCD"/>
    <w:rsid w:val="00EC397F"/>
    <w:rsid w:val="00EC5225"/>
    <w:rsid w:val="00EC5DBE"/>
    <w:rsid w:val="00EC5E00"/>
    <w:rsid w:val="00EC6D0C"/>
    <w:rsid w:val="00ED0A38"/>
    <w:rsid w:val="00ED23DB"/>
    <w:rsid w:val="00ED33B7"/>
    <w:rsid w:val="00ED3705"/>
    <w:rsid w:val="00ED3E94"/>
    <w:rsid w:val="00ED4082"/>
    <w:rsid w:val="00ED447F"/>
    <w:rsid w:val="00ED65F0"/>
    <w:rsid w:val="00ED6673"/>
    <w:rsid w:val="00ED6A13"/>
    <w:rsid w:val="00ED6E89"/>
    <w:rsid w:val="00ED7659"/>
    <w:rsid w:val="00ED7759"/>
    <w:rsid w:val="00ED7868"/>
    <w:rsid w:val="00EE06AE"/>
    <w:rsid w:val="00EE0736"/>
    <w:rsid w:val="00EE0D15"/>
    <w:rsid w:val="00EE1727"/>
    <w:rsid w:val="00EE270D"/>
    <w:rsid w:val="00EE2A57"/>
    <w:rsid w:val="00EE374F"/>
    <w:rsid w:val="00EE3FC0"/>
    <w:rsid w:val="00EE438B"/>
    <w:rsid w:val="00EE6233"/>
    <w:rsid w:val="00EE72EC"/>
    <w:rsid w:val="00EF0B32"/>
    <w:rsid w:val="00EF1273"/>
    <w:rsid w:val="00EF20A2"/>
    <w:rsid w:val="00EF233A"/>
    <w:rsid w:val="00EF37B2"/>
    <w:rsid w:val="00EF3F07"/>
    <w:rsid w:val="00EF41B4"/>
    <w:rsid w:val="00EF481E"/>
    <w:rsid w:val="00EF5BD3"/>
    <w:rsid w:val="00EF5F2C"/>
    <w:rsid w:val="00EF601F"/>
    <w:rsid w:val="00EF603E"/>
    <w:rsid w:val="00EF60CF"/>
    <w:rsid w:val="00EF65DB"/>
    <w:rsid w:val="00EF688C"/>
    <w:rsid w:val="00F00178"/>
    <w:rsid w:val="00F023DB"/>
    <w:rsid w:val="00F024AD"/>
    <w:rsid w:val="00F03031"/>
    <w:rsid w:val="00F03095"/>
    <w:rsid w:val="00F03586"/>
    <w:rsid w:val="00F03F98"/>
    <w:rsid w:val="00F055C4"/>
    <w:rsid w:val="00F0607D"/>
    <w:rsid w:val="00F06DD0"/>
    <w:rsid w:val="00F06F87"/>
    <w:rsid w:val="00F0716A"/>
    <w:rsid w:val="00F0FED7"/>
    <w:rsid w:val="00F10F9F"/>
    <w:rsid w:val="00F11077"/>
    <w:rsid w:val="00F118FD"/>
    <w:rsid w:val="00F120C0"/>
    <w:rsid w:val="00F12E97"/>
    <w:rsid w:val="00F13FEE"/>
    <w:rsid w:val="00F14302"/>
    <w:rsid w:val="00F14D19"/>
    <w:rsid w:val="00F1511F"/>
    <w:rsid w:val="00F1546D"/>
    <w:rsid w:val="00F155BA"/>
    <w:rsid w:val="00F15673"/>
    <w:rsid w:val="00F15B92"/>
    <w:rsid w:val="00F16090"/>
    <w:rsid w:val="00F16BBF"/>
    <w:rsid w:val="00F17180"/>
    <w:rsid w:val="00F17877"/>
    <w:rsid w:val="00F208D1"/>
    <w:rsid w:val="00F20CC7"/>
    <w:rsid w:val="00F22486"/>
    <w:rsid w:val="00F22EEA"/>
    <w:rsid w:val="00F22FC3"/>
    <w:rsid w:val="00F2384A"/>
    <w:rsid w:val="00F238A9"/>
    <w:rsid w:val="00F23DD9"/>
    <w:rsid w:val="00F23EBF"/>
    <w:rsid w:val="00F2522F"/>
    <w:rsid w:val="00F259B1"/>
    <w:rsid w:val="00F25F93"/>
    <w:rsid w:val="00F26004"/>
    <w:rsid w:val="00F26714"/>
    <w:rsid w:val="00F272E3"/>
    <w:rsid w:val="00F31901"/>
    <w:rsid w:val="00F319EE"/>
    <w:rsid w:val="00F331DE"/>
    <w:rsid w:val="00F339F4"/>
    <w:rsid w:val="00F35C64"/>
    <w:rsid w:val="00F366C2"/>
    <w:rsid w:val="00F36BA8"/>
    <w:rsid w:val="00F370D3"/>
    <w:rsid w:val="00F375A7"/>
    <w:rsid w:val="00F37AA0"/>
    <w:rsid w:val="00F40153"/>
    <w:rsid w:val="00F40664"/>
    <w:rsid w:val="00F41415"/>
    <w:rsid w:val="00F4213C"/>
    <w:rsid w:val="00F425C0"/>
    <w:rsid w:val="00F42A4B"/>
    <w:rsid w:val="00F42B13"/>
    <w:rsid w:val="00F42C02"/>
    <w:rsid w:val="00F42FD8"/>
    <w:rsid w:val="00F434F7"/>
    <w:rsid w:val="00F4358C"/>
    <w:rsid w:val="00F436C6"/>
    <w:rsid w:val="00F43961"/>
    <w:rsid w:val="00F43BC9"/>
    <w:rsid w:val="00F43F60"/>
    <w:rsid w:val="00F449EF"/>
    <w:rsid w:val="00F44CA9"/>
    <w:rsid w:val="00F45352"/>
    <w:rsid w:val="00F45B0A"/>
    <w:rsid w:val="00F46294"/>
    <w:rsid w:val="00F4629C"/>
    <w:rsid w:val="00F46ECA"/>
    <w:rsid w:val="00F47082"/>
    <w:rsid w:val="00F47427"/>
    <w:rsid w:val="00F4749C"/>
    <w:rsid w:val="00F47697"/>
    <w:rsid w:val="00F4795E"/>
    <w:rsid w:val="00F479D3"/>
    <w:rsid w:val="00F50125"/>
    <w:rsid w:val="00F51527"/>
    <w:rsid w:val="00F51D89"/>
    <w:rsid w:val="00F5213A"/>
    <w:rsid w:val="00F52842"/>
    <w:rsid w:val="00F533DE"/>
    <w:rsid w:val="00F55744"/>
    <w:rsid w:val="00F562B0"/>
    <w:rsid w:val="00F5693D"/>
    <w:rsid w:val="00F56E26"/>
    <w:rsid w:val="00F57AEC"/>
    <w:rsid w:val="00F60C4D"/>
    <w:rsid w:val="00F6124B"/>
    <w:rsid w:val="00F63276"/>
    <w:rsid w:val="00F638A3"/>
    <w:rsid w:val="00F646A3"/>
    <w:rsid w:val="00F64917"/>
    <w:rsid w:val="00F65769"/>
    <w:rsid w:val="00F65BC8"/>
    <w:rsid w:val="00F66716"/>
    <w:rsid w:val="00F66985"/>
    <w:rsid w:val="00F6732D"/>
    <w:rsid w:val="00F678B6"/>
    <w:rsid w:val="00F67A0F"/>
    <w:rsid w:val="00F67D43"/>
    <w:rsid w:val="00F70C95"/>
    <w:rsid w:val="00F71E9D"/>
    <w:rsid w:val="00F737CA"/>
    <w:rsid w:val="00F73C5B"/>
    <w:rsid w:val="00F73E72"/>
    <w:rsid w:val="00F7435E"/>
    <w:rsid w:val="00F7452C"/>
    <w:rsid w:val="00F7481F"/>
    <w:rsid w:val="00F74AEC"/>
    <w:rsid w:val="00F75225"/>
    <w:rsid w:val="00F76DF3"/>
    <w:rsid w:val="00F76E1A"/>
    <w:rsid w:val="00F770A4"/>
    <w:rsid w:val="00F772B8"/>
    <w:rsid w:val="00F772D8"/>
    <w:rsid w:val="00F77955"/>
    <w:rsid w:val="00F80C04"/>
    <w:rsid w:val="00F81160"/>
    <w:rsid w:val="00F816D6"/>
    <w:rsid w:val="00F81CE6"/>
    <w:rsid w:val="00F81FDF"/>
    <w:rsid w:val="00F82290"/>
    <w:rsid w:val="00F82378"/>
    <w:rsid w:val="00F823D2"/>
    <w:rsid w:val="00F823FD"/>
    <w:rsid w:val="00F825AF"/>
    <w:rsid w:val="00F82811"/>
    <w:rsid w:val="00F82941"/>
    <w:rsid w:val="00F82A9C"/>
    <w:rsid w:val="00F82ACB"/>
    <w:rsid w:val="00F82D67"/>
    <w:rsid w:val="00F834DF"/>
    <w:rsid w:val="00F83529"/>
    <w:rsid w:val="00F83A26"/>
    <w:rsid w:val="00F83B38"/>
    <w:rsid w:val="00F85114"/>
    <w:rsid w:val="00F855B5"/>
    <w:rsid w:val="00F857AF"/>
    <w:rsid w:val="00F85967"/>
    <w:rsid w:val="00F85FF9"/>
    <w:rsid w:val="00F87ACF"/>
    <w:rsid w:val="00F87BF4"/>
    <w:rsid w:val="00F87E14"/>
    <w:rsid w:val="00F901E6"/>
    <w:rsid w:val="00F9025C"/>
    <w:rsid w:val="00F906F2"/>
    <w:rsid w:val="00F914B9"/>
    <w:rsid w:val="00F92568"/>
    <w:rsid w:val="00F92D76"/>
    <w:rsid w:val="00F93435"/>
    <w:rsid w:val="00F93AAC"/>
    <w:rsid w:val="00F93EA8"/>
    <w:rsid w:val="00F93F49"/>
    <w:rsid w:val="00F94125"/>
    <w:rsid w:val="00F952B4"/>
    <w:rsid w:val="00F952BA"/>
    <w:rsid w:val="00F958AD"/>
    <w:rsid w:val="00F959DA"/>
    <w:rsid w:val="00F95B4F"/>
    <w:rsid w:val="00F96620"/>
    <w:rsid w:val="00F97632"/>
    <w:rsid w:val="00F979BA"/>
    <w:rsid w:val="00F97BBB"/>
    <w:rsid w:val="00F97EB3"/>
    <w:rsid w:val="00FA07EF"/>
    <w:rsid w:val="00FA1450"/>
    <w:rsid w:val="00FA1EA6"/>
    <w:rsid w:val="00FA22BE"/>
    <w:rsid w:val="00FA2ABB"/>
    <w:rsid w:val="00FA35BD"/>
    <w:rsid w:val="00FA3678"/>
    <w:rsid w:val="00FA48A8"/>
    <w:rsid w:val="00FA52CC"/>
    <w:rsid w:val="00FA5AA5"/>
    <w:rsid w:val="00FA66F0"/>
    <w:rsid w:val="00FA720C"/>
    <w:rsid w:val="00FA7D31"/>
    <w:rsid w:val="00FB0243"/>
    <w:rsid w:val="00FB035C"/>
    <w:rsid w:val="00FB063B"/>
    <w:rsid w:val="00FB0A06"/>
    <w:rsid w:val="00FB1A10"/>
    <w:rsid w:val="00FB215E"/>
    <w:rsid w:val="00FB2309"/>
    <w:rsid w:val="00FB3D7E"/>
    <w:rsid w:val="00FB3DB1"/>
    <w:rsid w:val="00FB3F12"/>
    <w:rsid w:val="00FB511E"/>
    <w:rsid w:val="00FB5DA3"/>
    <w:rsid w:val="00FB746E"/>
    <w:rsid w:val="00FC0077"/>
    <w:rsid w:val="00FC0318"/>
    <w:rsid w:val="00FC0913"/>
    <w:rsid w:val="00FC0D92"/>
    <w:rsid w:val="00FC1850"/>
    <w:rsid w:val="00FC1867"/>
    <w:rsid w:val="00FC227D"/>
    <w:rsid w:val="00FC2A39"/>
    <w:rsid w:val="00FC2AC7"/>
    <w:rsid w:val="00FC34D1"/>
    <w:rsid w:val="00FC3567"/>
    <w:rsid w:val="00FC38F8"/>
    <w:rsid w:val="00FC39FC"/>
    <w:rsid w:val="00FC3E8A"/>
    <w:rsid w:val="00FC4004"/>
    <w:rsid w:val="00FC400D"/>
    <w:rsid w:val="00FC4021"/>
    <w:rsid w:val="00FC40AE"/>
    <w:rsid w:val="00FC410B"/>
    <w:rsid w:val="00FC49B7"/>
    <w:rsid w:val="00FC4A47"/>
    <w:rsid w:val="00FC60C1"/>
    <w:rsid w:val="00FC61C7"/>
    <w:rsid w:val="00FC667D"/>
    <w:rsid w:val="00FC7102"/>
    <w:rsid w:val="00FC718D"/>
    <w:rsid w:val="00FC728E"/>
    <w:rsid w:val="00FC7936"/>
    <w:rsid w:val="00FC7958"/>
    <w:rsid w:val="00FC79A4"/>
    <w:rsid w:val="00FC7BE1"/>
    <w:rsid w:val="00FC7D4E"/>
    <w:rsid w:val="00FD02D9"/>
    <w:rsid w:val="00FD043A"/>
    <w:rsid w:val="00FD0AB4"/>
    <w:rsid w:val="00FD0D81"/>
    <w:rsid w:val="00FD5C61"/>
    <w:rsid w:val="00FD6212"/>
    <w:rsid w:val="00FD7899"/>
    <w:rsid w:val="00FD7A58"/>
    <w:rsid w:val="00FD7DEA"/>
    <w:rsid w:val="00FE0B9F"/>
    <w:rsid w:val="00FE1278"/>
    <w:rsid w:val="00FE18DD"/>
    <w:rsid w:val="00FE229E"/>
    <w:rsid w:val="00FE2780"/>
    <w:rsid w:val="00FE37CF"/>
    <w:rsid w:val="00FE40E7"/>
    <w:rsid w:val="00FE4542"/>
    <w:rsid w:val="00FE4B52"/>
    <w:rsid w:val="00FE4F91"/>
    <w:rsid w:val="00FE581F"/>
    <w:rsid w:val="00FE6141"/>
    <w:rsid w:val="00FE6265"/>
    <w:rsid w:val="00FE6284"/>
    <w:rsid w:val="00FE631E"/>
    <w:rsid w:val="00FE64AD"/>
    <w:rsid w:val="00FE6E8F"/>
    <w:rsid w:val="00FF01D2"/>
    <w:rsid w:val="00FF08F5"/>
    <w:rsid w:val="00FF0AFA"/>
    <w:rsid w:val="00FF1502"/>
    <w:rsid w:val="00FF1678"/>
    <w:rsid w:val="00FF2232"/>
    <w:rsid w:val="00FF23B4"/>
    <w:rsid w:val="00FF25CF"/>
    <w:rsid w:val="00FF326B"/>
    <w:rsid w:val="00FF3C02"/>
    <w:rsid w:val="00FF4FA4"/>
    <w:rsid w:val="00FF59BA"/>
    <w:rsid w:val="00FF6255"/>
    <w:rsid w:val="00FF71F7"/>
    <w:rsid w:val="00FF738A"/>
    <w:rsid w:val="00FF753D"/>
    <w:rsid w:val="00FF771C"/>
    <w:rsid w:val="0104109A"/>
    <w:rsid w:val="0106773A"/>
    <w:rsid w:val="0106995E"/>
    <w:rsid w:val="010B6E47"/>
    <w:rsid w:val="01150480"/>
    <w:rsid w:val="01158627"/>
    <w:rsid w:val="01175B38"/>
    <w:rsid w:val="011E7CDB"/>
    <w:rsid w:val="0122C0A8"/>
    <w:rsid w:val="012AE4A3"/>
    <w:rsid w:val="0133213A"/>
    <w:rsid w:val="014A9652"/>
    <w:rsid w:val="014E77F7"/>
    <w:rsid w:val="0155884C"/>
    <w:rsid w:val="01589159"/>
    <w:rsid w:val="015AFFC1"/>
    <w:rsid w:val="01642171"/>
    <w:rsid w:val="01693E08"/>
    <w:rsid w:val="017A2B64"/>
    <w:rsid w:val="0187A1E0"/>
    <w:rsid w:val="01992C13"/>
    <w:rsid w:val="01A47287"/>
    <w:rsid w:val="01A6A463"/>
    <w:rsid w:val="01BC26E2"/>
    <w:rsid w:val="01CF8667"/>
    <w:rsid w:val="01D02350"/>
    <w:rsid w:val="01DD3D70"/>
    <w:rsid w:val="01E357E1"/>
    <w:rsid w:val="01E6374A"/>
    <w:rsid w:val="01EB75E2"/>
    <w:rsid w:val="01F22EA9"/>
    <w:rsid w:val="01F63722"/>
    <w:rsid w:val="0216F283"/>
    <w:rsid w:val="02272AAF"/>
    <w:rsid w:val="022E3DB8"/>
    <w:rsid w:val="0234B093"/>
    <w:rsid w:val="02362B39"/>
    <w:rsid w:val="0237699F"/>
    <w:rsid w:val="023C8672"/>
    <w:rsid w:val="023D0CBE"/>
    <w:rsid w:val="0246E101"/>
    <w:rsid w:val="02513AFA"/>
    <w:rsid w:val="0256F110"/>
    <w:rsid w:val="025A6610"/>
    <w:rsid w:val="025C704F"/>
    <w:rsid w:val="025E0ADA"/>
    <w:rsid w:val="026038DA"/>
    <w:rsid w:val="02691963"/>
    <w:rsid w:val="026E065C"/>
    <w:rsid w:val="02762ED8"/>
    <w:rsid w:val="02775BD0"/>
    <w:rsid w:val="0279774F"/>
    <w:rsid w:val="0285FD9F"/>
    <w:rsid w:val="02900224"/>
    <w:rsid w:val="029CADA4"/>
    <w:rsid w:val="029F595B"/>
    <w:rsid w:val="029FB1E0"/>
    <w:rsid w:val="029FE254"/>
    <w:rsid w:val="02A7581E"/>
    <w:rsid w:val="02B08471"/>
    <w:rsid w:val="02B69A23"/>
    <w:rsid w:val="02C451C0"/>
    <w:rsid w:val="02CAC906"/>
    <w:rsid w:val="02D1205E"/>
    <w:rsid w:val="02D188F9"/>
    <w:rsid w:val="02DDA3A2"/>
    <w:rsid w:val="02DDD155"/>
    <w:rsid w:val="02E282EA"/>
    <w:rsid w:val="02EEAE25"/>
    <w:rsid w:val="02FA8C44"/>
    <w:rsid w:val="02FD02AB"/>
    <w:rsid w:val="02FF6468"/>
    <w:rsid w:val="0301895E"/>
    <w:rsid w:val="0321FD48"/>
    <w:rsid w:val="03289558"/>
    <w:rsid w:val="03290D01"/>
    <w:rsid w:val="0329AD21"/>
    <w:rsid w:val="032D3B53"/>
    <w:rsid w:val="032E8ECF"/>
    <w:rsid w:val="0334CB93"/>
    <w:rsid w:val="0334E49F"/>
    <w:rsid w:val="033B8AD3"/>
    <w:rsid w:val="036192B6"/>
    <w:rsid w:val="0362F1C9"/>
    <w:rsid w:val="03662C27"/>
    <w:rsid w:val="0377AE1C"/>
    <w:rsid w:val="037DFBC5"/>
    <w:rsid w:val="038416D0"/>
    <w:rsid w:val="0385C2A7"/>
    <w:rsid w:val="0385D20A"/>
    <w:rsid w:val="03870993"/>
    <w:rsid w:val="0396DC7F"/>
    <w:rsid w:val="03AC079E"/>
    <w:rsid w:val="03C1E177"/>
    <w:rsid w:val="03C2123F"/>
    <w:rsid w:val="03C40CDF"/>
    <w:rsid w:val="03C46A59"/>
    <w:rsid w:val="03D05B99"/>
    <w:rsid w:val="03D49993"/>
    <w:rsid w:val="03ED2781"/>
    <w:rsid w:val="03F0384B"/>
    <w:rsid w:val="03F2D840"/>
    <w:rsid w:val="03F977CF"/>
    <w:rsid w:val="03F9C360"/>
    <w:rsid w:val="0403D0B6"/>
    <w:rsid w:val="040516FE"/>
    <w:rsid w:val="0412DADE"/>
    <w:rsid w:val="0426B8C0"/>
    <w:rsid w:val="0427221D"/>
    <w:rsid w:val="042E84B7"/>
    <w:rsid w:val="0442C922"/>
    <w:rsid w:val="044C4E34"/>
    <w:rsid w:val="04582AF8"/>
    <w:rsid w:val="045B3D86"/>
    <w:rsid w:val="045BD22E"/>
    <w:rsid w:val="045F2013"/>
    <w:rsid w:val="0466821F"/>
    <w:rsid w:val="0471CFCC"/>
    <w:rsid w:val="04782C40"/>
    <w:rsid w:val="04793EB4"/>
    <w:rsid w:val="04C03660"/>
    <w:rsid w:val="04C1B1D1"/>
    <w:rsid w:val="04CA873E"/>
    <w:rsid w:val="04DDD299"/>
    <w:rsid w:val="04E4AB59"/>
    <w:rsid w:val="04E5311D"/>
    <w:rsid w:val="04E72E01"/>
    <w:rsid w:val="04F4DE63"/>
    <w:rsid w:val="04FB91C2"/>
    <w:rsid w:val="050260FB"/>
    <w:rsid w:val="05028304"/>
    <w:rsid w:val="05084FCA"/>
    <w:rsid w:val="050BB9CE"/>
    <w:rsid w:val="0540C9E2"/>
    <w:rsid w:val="05426073"/>
    <w:rsid w:val="0545636D"/>
    <w:rsid w:val="054B5E58"/>
    <w:rsid w:val="05525A28"/>
    <w:rsid w:val="05548E51"/>
    <w:rsid w:val="056D9F76"/>
    <w:rsid w:val="0574AE7B"/>
    <w:rsid w:val="0576BDBC"/>
    <w:rsid w:val="057A0933"/>
    <w:rsid w:val="0584DFAD"/>
    <w:rsid w:val="0585327E"/>
    <w:rsid w:val="05956DAF"/>
    <w:rsid w:val="059B377E"/>
    <w:rsid w:val="05A08C28"/>
    <w:rsid w:val="05A631FE"/>
    <w:rsid w:val="05C1E31B"/>
    <w:rsid w:val="05C50080"/>
    <w:rsid w:val="05DC85E8"/>
    <w:rsid w:val="05EA1DD0"/>
    <w:rsid w:val="05F428BC"/>
    <w:rsid w:val="05F63E51"/>
    <w:rsid w:val="05FA5A73"/>
    <w:rsid w:val="05FB41A9"/>
    <w:rsid w:val="05FC9B44"/>
    <w:rsid w:val="05FE7838"/>
    <w:rsid w:val="05FE9C60"/>
    <w:rsid w:val="0606B896"/>
    <w:rsid w:val="060736EB"/>
    <w:rsid w:val="06184648"/>
    <w:rsid w:val="061BAA43"/>
    <w:rsid w:val="063AA8E1"/>
    <w:rsid w:val="0644C4BB"/>
    <w:rsid w:val="06460B09"/>
    <w:rsid w:val="064D241C"/>
    <w:rsid w:val="064F67A3"/>
    <w:rsid w:val="064F69EC"/>
    <w:rsid w:val="0655DDAA"/>
    <w:rsid w:val="06581E1B"/>
    <w:rsid w:val="0663B391"/>
    <w:rsid w:val="066689CC"/>
    <w:rsid w:val="0676FD2A"/>
    <w:rsid w:val="06774108"/>
    <w:rsid w:val="067C075D"/>
    <w:rsid w:val="067CB334"/>
    <w:rsid w:val="0691E935"/>
    <w:rsid w:val="069F31C5"/>
    <w:rsid w:val="06A78A73"/>
    <w:rsid w:val="06AB90D1"/>
    <w:rsid w:val="06ABB640"/>
    <w:rsid w:val="06B17CC1"/>
    <w:rsid w:val="06B2B688"/>
    <w:rsid w:val="06C283F4"/>
    <w:rsid w:val="06C369A9"/>
    <w:rsid w:val="06CB1C41"/>
    <w:rsid w:val="06D627B8"/>
    <w:rsid w:val="06E26EBF"/>
    <w:rsid w:val="06ECCEAB"/>
    <w:rsid w:val="06EE6CDF"/>
    <w:rsid w:val="0708BF0D"/>
    <w:rsid w:val="070AE122"/>
    <w:rsid w:val="070BD462"/>
    <w:rsid w:val="07221464"/>
    <w:rsid w:val="0722A5E3"/>
    <w:rsid w:val="0731BA1E"/>
    <w:rsid w:val="073C0FBA"/>
    <w:rsid w:val="073D2575"/>
    <w:rsid w:val="075127C4"/>
    <w:rsid w:val="0759F34E"/>
    <w:rsid w:val="0764C705"/>
    <w:rsid w:val="0779D5C1"/>
    <w:rsid w:val="077A146D"/>
    <w:rsid w:val="07920EB2"/>
    <w:rsid w:val="0798531F"/>
    <w:rsid w:val="07AACA11"/>
    <w:rsid w:val="07B0058D"/>
    <w:rsid w:val="07BEF718"/>
    <w:rsid w:val="07CB6333"/>
    <w:rsid w:val="07D3828F"/>
    <w:rsid w:val="07DFC15E"/>
    <w:rsid w:val="07E1EB35"/>
    <w:rsid w:val="07E4AA1F"/>
    <w:rsid w:val="07F3D697"/>
    <w:rsid w:val="07F6E69C"/>
    <w:rsid w:val="07FC3B18"/>
    <w:rsid w:val="0806DFB8"/>
    <w:rsid w:val="08073A82"/>
    <w:rsid w:val="0820C54D"/>
    <w:rsid w:val="0824F19E"/>
    <w:rsid w:val="0826B50E"/>
    <w:rsid w:val="0833C636"/>
    <w:rsid w:val="0844A31B"/>
    <w:rsid w:val="08486163"/>
    <w:rsid w:val="085032CF"/>
    <w:rsid w:val="087C9BDC"/>
    <w:rsid w:val="087D91A6"/>
    <w:rsid w:val="088C463E"/>
    <w:rsid w:val="088E679D"/>
    <w:rsid w:val="088EC42D"/>
    <w:rsid w:val="08902BDE"/>
    <w:rsid w:val="08927206"/>
    <w:rsid w:val="089BF854"/>
    <w:rsid w:val="08A0430B"/>
    <w:rsid w:val="08C72CDB"/>
    <w:rsid w:val="08D21CF8"/>
    <w:rsid w:val="08E5C258"/>
    <w:rsid w:val="08E641AB"/>
    <w:rsid w:val="08E6A1C1"/>
    <w:rsid w:val="08FD8EF5"/>
    <w:rsid w:val="0914537D"/>
    <w:rsid w:val="091F54AA"/>
    <w:rsid w:val="0929F7CC"/>
    <w:rsid w:val="092C5A87"/>
    <w:rsid w:val="0936496A"/>
    <w:rsid w:val="0940975D"/>
    <w:rsid w:val="0944813A"/>
    <w:rsid w:val="09449325"/>
    <w:rsid w:val="0953A054"/>
    <w:rsid w:val="095689A1"/>
    <w:rsid w:val="09603292"/>
    <w:rsid w:val="0967DDFB"/>
    <w:rsid w:val="0967E08D"/>
    <w:rsid w:val="096C6D8E"/>
    <w:rsid w:val="098F88CE"/>
    <w:rsid w:val="09957374"/>
    <w:rsid w:val="09965FDF"/>
    <w:rsid w:val="09A1945B"/>
    <w:rsid w:val="09A33B2B"/>
    <w:rsid w:val="09A83696"/>
    <w:rsid w:val="09A8A103"/>
    <w:rsid w:val="09B3C7A4"/>
    <w:rsid w:val="09B83B80"/>
    <w:rsid w:val="09C28752"/>
    <w:rsid w:val="09CABB20"/>
    <w:rsid w:val="09CFBD20"/>
    <w:rsid w:val="09D2469D"/>
    <w:rsid w:val="09E26696"/>
    <w:rsid w:val="09E83170"/>
    <w:rsid w:val="09FA0D97"/>
    <w:rsid w:val="0A012183"/>
    <w:rsid w:val="0A153208"/>
    <w:rsid w:val="0A37C3FA"/>
    <w:rsid w:val="0A39B7EA"/>
    <w:rsid w:val="0A4ACAED"/>
    <w:rsid w:val="0A5BD4C7"/>
    <w:rsid w:val="0A67C813"/>
    <w:rsid w:val="0A7006C9"/>
    <w:rsid w:val="0A78752E"/>
    <w:rsid w:val="0A82861A"/>
    <w:rsid w:val="0A89976B"/>
    <w:rsid w:val="0A9A4183"/>
    <w:rsid w:val="0A9FB9A8"/>
    <w:rsid w:val="0AAA2041"/>
    <w:rsid w:val="0AB9FCF6"/>
    <w:rsid w:val="0ABAFDE5"/>
    <w:rsid w:val="0ABBE3CC"/>
    <w:rsid w:val="0ABE549A"/>
    <w:rsid w:val="0ABEF36F"/>
    <w:rsid w:val="0AC91A55"/>
    <w:rsid w:val="0ACE74D1"/>
    <w:rsid w:val="0AD448C2"/>
    <w:rsid w:val="0AE0B965"/>
    <w:rsid w:val="0AE3E195"/>
    <w:rsid w:val="0AEA27AD"/>
    <w:rsid w:val="0AF31D16"/>
    <w:rsid w:val="0AF9909B"/>
    <w:rsid w:val="0AFBC2D8"/>
    <w:rsid w:val="0B00612A"/>
    <w:rsid w:val="0B063E9A"/>
    <w:rsid w:val="0B0AD535"/>
    <w:rsid w:val="0B173E28"/>
    <w:rsid w:val="0B21B1C8"/>
    <w:rsid w:val="0B3DA60B"/>
    <w:rsid w:val="0B497387"/>
    <w:rsid w:val="0B4B71A9"/>
    <w:rsid w:val="0B5C96C9"/>
    <w:rsid w:val="0B5FBF20"/>
    <w:rsid w:val="0B7590A7"/>
    <w:rsid w:val="0B7E94E8"/>
    <w:rsid w:val="0B81D057"/>
    <w:rsid w:val="0B951C2A"/>
    <w:rsid w:val="0B962503"/>
    <w:rsid w:val="0BAAB2F6"/>
    <w:rsid w:val="0BAB6D47"/>
    <w:rsid w:val="0BB179C8"/>
    <w:rsid w:val="0BBE0624"/>
    <w:rsid w:val="0BC05143"/>
    <w:rsid w:val="0BEC36FD"/>
    <w:rsid w:val="0BFF580B"/>
    <w:rsid w:val="0C100042"/>
    <w:rsid w:val="0C1039CE"/>
    <w:rsid w:val="0C13C12C"/>
    <w:rsid w:val="0C19E936"/>
    <w:rsid w:val="0C38414D"/>
    <w:rsid w:val="0C3FC51C"/>
    <w:rsid w:val="0C42894D"/>
    <w:rsid w:val="0C491D78"/>
    <w:rsid w:val="0C4DBC95"/>
    <w:rsid w:val="0C55CFE3"/>
    <w:rsid w:val="0C644FF7"/>
    <w:rsid w:val="0C6F8094"/>
    <w:rsid w:val="0C713D89"/>
    <w:rsid w:val="0C989C33"/>
    <w:rsid w:val="0CA9D8DE"/>
    <w:rsid w:val="0CB0E2D5"/>
    <w:rsid w:val="0CB85022"/>
    <w:rsid w:val="0CC849D7"/>
    <w:rsid w:val="0CD78D1B"/>
    <w:rsid w:val="0CDF0C5D"/>
    <w:rsid w:val="0CE18224"/>
    <w:rsid w:val="0CE3FBF6"/>
    <w:rsid w:val="0CF5227C"/>
    <w:rsid w:val="0D0C549D"/>
    <w:rsid w:val="0D16DBD9"/>
    <w:rsid w:val="0D21B99C"/>
    <w:rsid w:val="0D2B923F"/>
    <w:rsid w:val="0D2C51A5"/>
    <w:rsid w:val="0D3C4907"/>
    <w:rsid w:val="0D418461"/>
    <w:rsid w:val="0D4B417D"/>
    <w:rsid w:val="0D562291"/>
    <w:rsid w:val="0D8AF1AE"/>
    <w:rsid w:val="0D9A7A54"/>
    <w:rsid w:val="0D9AB6A5"/>
    <w:rsid w:val="0D9F07A0"/>
    <w:rsid w:val="0DAA8C9E"/>
    <w:rsid w:val="0DB7557D"/>
    <w:rsid w:val="0DC44D03"/>
    <w:rsid w:val="0DD431FF"/>
    <w:rsid w:val="0DD4FB3D"/>
    <w:rsid w:val="0DE7AC2E"/>
    <w:rsid w:val="0DED432C"/>
    <w:rsid w:val="0DFD9050"/>
    <w:rsid w:val="0E0724A2"/>
    <w:rsid w:val="0E1193B4"/>
    <w:rsid w:val="0E16E582"/>
    <w:rsid w:val="0E351B11"/>
    <w:rsid w:val="0E3A666B"/>
    <w:rsid w:val="0E52EC5A"/>
    <w:rsid w:val="0E6248FB"/>
    <w:rsid w:val="0E7A884E"/>
    <w:rsid w:val="0E818F5E"/>
    <w:rsid w:val="0E886B70"/>
    <w:rsid w:val="0E978EC2"/>
    <w:rsid w:val="0E9CB06F"/>
    <w:rsid w:val="0EA77C3C"/>
    <w:rsid w:val="0EA8B7A6"/>
    <w:rsid w:val="0EB83867"/>
    <w:rsid w:val="0EC2543F"/>
    <w:rsid w:val="0EC9A31F"/>
    <w:rsid w:val="0EECFD68"/>
    <w:rsid w:val="0F0112DA"/>
    <w:rsid w:val="0F025DC3"/>
    <w:rsid w:val="0F09433F"/>
    <w:rsid w:val="0F1F2ABB"/>
    <w:rsid w:val="0F2486B5"/>
    <w:rsid w:val="0F38BE82"/>
    <w:rsid w:val="0F64B9EE"/>
    <w:rsid w:val="0F804821"/>
    <w:rsid w:val="0F856A48"/>
    <w:rsid w:val="0F86D521"/>
    <w:rsid w:val="0F87D64B"/>
    <w:rsid w:val="0F8D4549"/>
    <w:rsid w:val="0F9A373D"/>
    <w:rsid w:val="0F9B510F"/>
    <w:rsid w:val="0F9F1042"/>
    <w:rsid w:val="0FAE905D"/>
    <w:rsid w:val="0FAEEF2C"/>
    <w:rsid w:val="0FBD3896"/>
    <w:rsid w:val="0FC021AC"/>
    <w:rsid w:val="0FCB362F"/>
    <w:rsid w:val="0FE59DD6"/>
    <w:rsid w:val="10062B7A"/>
    <w:rsid w:val="10114157"/>
    <w:rsid w:val="101825D2"/>
    <w:rsid w:val="101AF419"/>
    <w:rsid w:val="1022E97D"/>
    <w:rsid w:val="10297BBD"/>
    <w:rsid w:val="1044976F"/>
    <w:rsid w:val="10522F70"/>
    <w:rsid w:val="105E8A3E"/>
    <w:rsid w:val="1064CCD9"/>
    <w:rsid w:val="109225D5"/>
    <w:rsid w:val="10AF5341"/>
    <w:rsid w:val="10AFAEEF"/>
    <w:rsid w:val="10B2FAEC"/>
    <w:rsid w:val="10BC12AC"/>
    <w:rsid w:val="10BF585A"/>
    <w:rsid w:val="10C2910A"/>
    <w:rsid w:val="10D67436"/>
    <w:rsid w:val="10D6E471"/>
    <w:rsid w:val="10EAE781"/>
    <w:rsid w:val="10F3C62B"/>
    <w:rsid w:val="10FECFA9"/>
    <w:rsid w:val="11123DC6"/>
    <w:rsid w:val="111A6696"/>
    <w:rsid w:val="1131F726"/>
    <w:rsid w:val="1135B093"/>
    <w:rsid w:val="114D1529"/>
    <w:rsid w:val="1158B875"/>
    <w:rsid w:val="115F4B6A"/>
    <w:rsid w:val="11648E57"/>
    <w:rsid w:val="11687D08"/>
    <w:rsid w:val="116BA3E5"/>
    <w:rsid w:val="1174EE69"/>
    <w:rsid w:val="117F3F2D"/>
    <w:rsid w:val="1180E3D3"/>
    <w:rsid w:val="11849725"/>
    <w:rsid w:val="11A314B9"/>
    <w:rsid w:val="11B18F6C"/>
    <w:rsid w:val="11B5BAA0"/>
    <w:rsid w:val="11BEAE67"/>
    <w:rsid w:val="11C3D8CC"/>
    <w:rsid w:val="11C8EBAC"/>
    <w:rsid w:val="11C92440"/>
    <w:rsid w:val="11C9AC58"/>
    <w:rsid w:val="11D40EFC"/>
    <w:rsid w:val="11D429EC"/>
    <w:rsid w:val="11D8059F"/>
    <w:rsid w:val="11DD5473"/>
    <w:rsid w:val="11DE48BE"/>
    <w:rsid w:val="11E05514"/>
    <w:rsid w:val="11E638A2"/>
    <w:rsid w:val="11F00542"/>
    <w:rsid w:val="11F4971D"/>
    <w:rsid w:val="11FC13EA"/>
    <w:rsid w:val="11FE846B"/>
    <w:rsid w:val="121199C7"/>
    <w:rsid w:val="12130889"/>
    <w:rsid w:val="12149274"/>
    <w:rsid w:val="121AAECB"/>
    <w:rsid w:val="122FAFE1"/>
    <w:rsid w:val="12366292"/>
    <w:rsid w:val="12382445"/>
    <w:rsid w:val="1267E54D"/>
    <w:rsid w:val="12779B90"/>
    <w:rsid w:val="127CB4DB"/>
    <w:rsid w:val="128C9D74"/>
    <w:rsid w:val="1297E03D"/>
    <w:rsid w:val="129BA86C"/>
    <w:rsid w:val="12BD50EF"/>
    <w:rsid w:val="12CE19F3"/>
    <w:rsid w:val="12D41C10"/>
    <w:rsid w:val="12D5B53B"/>
    <w:rsid w:val="12F9EFC2"/>
    <w:rsid w:val="12FB2507"/>
    <w:rsid w:val="13013E54"/>
    <w:rsid w:val="130A47C9"/>
    <w:rsid w:val="130B1A72"/>
    <w:rsid w:val="1310C1F0"/>
    <w:rsid w:val="13264EF8"/>
    <w:rsid w:val="132BFC00"/>
    <w:rsid w:val="1338B2AF"/>
    <w:rsid w:val="13496B9E"/>
    <w:rsid w:val="1349EBDE"/>
    <w:rsid w:val="13555364"/>
    <w:rsid w:val="1356E763"/>
    <w:rsid w:val="1361EB63"/>
    <w:rsid w:val="13629DD1"/>
    <w:rsid w:val="13681E97"/>
    <w:rsid w:val="1376F0A5"/>
    <w:rsid w:val="137897F0"/>
    <w:rsid w:val="137F4B09"/>
    <w:rsid w:val="13847686"/>
    <w:rsid w:val="13860B68"/>
    <w:rsid w:val="13BDC1F4"/>
    <w:rsid w:val="13C9A891"/>
    <w:rsid w:val="13D0EEA3"/>
    <w:rsid w:val="13D36E5A"/>
    <w:rsid w:val="13D57498"/>
    <w:rsid w:val="13D76093"/>
    <w:rsid w:val="13E5AAAB"/>
    <w:rsid w:val="13ECFAFD"/>
    <w:rsid w:val="13F09381"/>
    <w:rsid w:val="140D2DBF"/>
    <w:rsid w:val="14272DD2"/>
    <w:rsid w:val="142FC770"/>
    <w:rsid w:val="14381E18"/>
    <w:rsid w:val="145997AD"/>
    <w:rsid w:val="145B6654"/>
    <w:rsid w:val="145E8B7E"/>
    <w:rsid w:val="14648251"/>
    <w:rsid w:val="146FF149"/>
    <w:rsid w:val="1471DF56"/>
    <w:rsid w:val="1473D873"/>
    <w:rsid w:val="1474CD27"/>
    <w:rsid w:val="1479EBAD"/>
    <w:rsid w:val="149592C6"/>
    <w:rsid w:val="1496FF2A"/>
    <w:rsid w:val="14995DDB"/>
    <w:rsid w:val="14995F20"/>
    <w:rsid w:val="149E6EEB"/>
    <w:rsid w:val="14B72941"/>
    <w:rsid w:val="14BC7AEC"/>
    <w:rsid w:val="14CA377F"/>
    <w:rsid w:val="14CE38A6"/>
    <w:rsid w:val="14CFDF08"/>
    <w:rsid w:val="14D82112"/>
    <w:rsid w:val="14DE39CB"/>
    <w:rsid w:val="14DEF465"/>
    <w:rsid w:val="14E242AC"/>
    <w:rsid w:val="14E749C2"/>
    <w:rsid w:val="14EA6900"/>
    <w:rsid w:val="14F2A32A"/>
    <w:rsid w:val="14F77C23"/>
    <w:rsid w:val="14F9E820"/>
    <w:rsid w:val="1512E913"/>
    <w:rsid w:val="15176682"/>
    <w:rsid w:val="15357D65"/>
    <w:rsid w:val="153F5B1E"/>
    <w:rsid w:val="1546F5D2"/>
    <w:rsid w:val="1548877E"/>
    <w:rsid w:val="1549DCFE"/>
    <w:rsid w:val="155175F3"/>
    <w:rsid w:val="15545B5C"/>
    <w:rsid w:val="15667BC7"/>
    <w:rsid w:val="15691FD5"/>
    <w:rsid w:val="156A83B0"/>
    <w:rsid w:val="15764F1C"/>
    <w:rsid w:val="1577F5C3"/>
    <w:rsid w:val="1579193E"/>
    <w:rsid w:val="1592439D"/>
    <w:rsid w:val="15958D6E"/>
    <w:rsid w:val="15960FC4"/>
    <w:rsid w:val="15A12404"/>
    <w:rsid w:val="15A519F5"/>
    <w:rsid w:val="15AAC62D"/>
    <w:rsid w:val="15B50F48"/>
    <w:rsid w:val="15BF0670"/>
    <w:rsid w:val="15C1A336"/>
    <w:rsid w:val="15C2A844"/>
    <w:rsid w:val="15C646A2"/>
    <w:rsid w:val="15EFE1C9"/>
    <w:rsid w:val="15F665DE"/>
    <w:rsid w:val="15FA0212"/>
    <w:rsid w:val="15FAD7C2"/>
    <w:rsid w:val="15FC5743"/>
    <w:rsid w:val="15FDE1A5"/>
    <w:rsid w:val="161C1473"/>
    <w:rsid w:val="163448F4"/>
    <w:rsid w:val="16389D9E"/>
    <w:rsid w:val="163918C8"/>
    <w:rsid w:val="16474373"/>
    <w:rsid w:val="164CCF34"/>
    <w:rsid w:val="164D03B8"/>
    <w:rsid w:val="164EB18A"/>
    <w:rsid w:val="164F323B"/>
    <w:rsid w:val="1654110D"/>
    <w:rsid w:val="16566E61"/>
    <w:rsid w:val="165AF194"/>
    <w:rsid w:val="165E35FE"/>
    <w:rsid w:val="166082A0"/>
    <w:rsid w:val="166CD2FB"/>
    <w:rsid w:val="1674D096"/>
    <w:rsid w:val="16763B48"/>
    <w:rsid w:val="16846FE4"/>
    <w:rsid w:val="1693AB35"/>
    <w:rsid w:val="1695B881"/>
    <w:rsid w:val="1698E7E1"/>
    <w:rsid w:val="169A29D4"/>
    <w:rsid w:val="169F888A"/>
    <w:rsid w:val="16C1CF4E"/>
    <w:rsid w:val="16C3E038"/>
    <w:rsid w:val="16CACE97"/>
    <w:rsid w:val="16CD5C0B"/>
    <w:rsid w:val="16CFF712"/>
    <w:rsid w:val="16DEED75"/>
    <w:rsid w:val="16DF3280"/>
    <w:rsid w:val="16DFF8BB"/>
    <w:rsid w:val="16E404AB"/>
    <w:rsid w:val="16F93669"/>
    <w:rsid w:val="170589FE"/>
    <w:rsid w:val="170AF8B0"/>
    <w:rsid w:val="170EF30E"/>
    <w:rsid w:val="1711D5A0"/>
    <w:rsid w:val="17288FEB"/>
    <w:rsid w:val="1728C851"/>
    <w:rsid w:val="1745A15C"/>
    <w:rsid w:val="1747D3BD"/>
    <w:rsid w:val="17505BF4"/>
    <w:rsid w:val="175D6687"/>
    <w:rsid w:val="175F9C2E"/>
    <w:rsid w:val="1765726D"/>
    <w:rsid w:val="176B7B73"/>
    <w:rsid w:val="176CBDA3"/>
    <w:rsid w:val="176D1732"/>
    <w:rsid w:val="176DD10F"/>
    <w:rsid w:val="176E6DB1"/>
    <w:rsid w:val="17705198"/>
    <w:rsid w:val="17709D82"/>
    <w:rsid w:val="17768F01"/>
    <w:rsid w:val="1778E336"/>
    <w:rsid w:val="177DBEFE"/>
    <w:rsid w:val="17802748"/>
    <w:rsid w:val="1780B799"/>
    <w:rsid w:val="179A2AC9"/>
    <w:rsid w:val="17A7F63E"/>
    <w:rsid w:val="17A85A80"/>
    <w:rsid w:val="17B47596"/>
    <w:rsid w:val="17C10F5B"/>
    <w:rsid w:val="17CFFA21"/>
    <w:rsid w:val="17D5D875"/>
    <w:rsid w:val="17D6EDCD"/>
    <w:rsid w:val="17DD031B"/>
    <w:rsid w:val="17E1E7ED"/>
    <w:rsid w:val="17F66088"/>
    <w:rsid w:val="17F79148"/>
    <w:rsid w:val="17F90A45"/>
    <w:rsid w:val="1801993C"/>
    <w:rsid w:val="1812B8EF"/>
    <w:rsid w:val="181B696E"/>
    <w:rsid w:val="182665A8"/>
    <w:rsid w:val="1840887C"/>
    <w:rsid w:val="185546E4"/>
    <w:rsid w:val="1857746D"/>
    <w:rsid w:val="1859F1AD"/>
    <w:rsid w:val="186EE122"/>
    <w:rsid w:val="1883C127"/>
    <w:rsid w:val="188F65AC"/>
    <w:rsid w:val="18A00DF5"/>
    <w:rsid w:val="18B852DF"/>
    <w:rsid w:val="18BED899"/>
    <w:rsid w:val="18C60757"/>
    <w:rsid w:val="18D19078"/>
    <w:rsid w:val="18D38C55"/>
    <w:rsid w:val="18D72CCB"/>
    <w:rsid w:val="19055791"/>
    <w:rsid w:val="190E851A"/>
    <w:rsid w:val="1935F029"/>
    <w:rsid w:val="193E4BE9"/>
    <w:rsid w:val="19568DB1"/>
    <w:rsid w:val="19647EB7"/>
    <w:rsid w:val="196BE499"/>
    <w:rsid w:val="196FE036"/>
    <w:rsid w:val="19754CC1"/>
    <w:rsid w:val="197D7816"/>
    <w:rsid w:val="198520F8"/>
    <w:rsid w:val="198ED9F0"/>
    <w:rsid w:val="19911F9E"/>
    <w:rsid w:val="199AD93A"/>
    <w:rsid w:val="19A1A9C9"/>
    <w:rsid w:val="19A41A2C"/>
    <w:rsid w:val="19AA194C"/>
    <w:rsid w:val="19AC4B30"/>
    <w:rsid w:val="19B3D98E"/>
    <w:rsid w:val="19B47A3B"/>
    <w:rsid w:val="19D2A4F2"/>
    <w:rsid w:val="19DFCD44"/>
    <w:rsid w:val="19E6CC60"/>
    <w:rsid w:val="19EAC405"/>
    <w:rsid w:val="19ECC23E"/>
    <w:rsid w:val="1A3066BD"/>
    <w:rsid w:val="1A3464E2"/>
    <w:rsid w:val="1A3C0E87"/>
    <w:rsid w:val="1A499B85"/>
    <w:rsid w:val="1A4A45D6"/>
    <w:rsid w:val="1A50A640"/>
    <w:rsid w:val="1A52169D"/>
    <w:rsid w:val="1A61A9BE"/>
    <w:rsid w:val="1A66A010"/>
    <w:rsid w:val="1A6B67A0"/>
    <w:rsid w:val="1A7BC06A"/>
    <w:rsid w:val="1A81AA3C"/>
    <w:rsid w:val="1A856B93"/>
    <w:rsid w:val="1A940870"/>
    <w:rsid w:val="1A94218E"/>
    <w:rsid w:val="1A96529C"/>
    <w:rsid w:val="1A9C5052"/>
    <w:rsid w:val="1ACCFE5D"/>
    <w:rsid w:val="1AD58AA9"/>
    <w:rsid w:val="1ADA428B"/>
    <w:rsid w:val="1ADA4A13"/>
    <w:rsid w:val="1ADE63F0"/>
    <w:rsid w:val="1ADF6279"/>
    <w:rsid w:val="1AE32E9D"/>
    <w:rsid w:val="1AE67C7D"/>
    <w:rsid w:val="1AE92D31"/>
    <w:rsid w:val="1AF06706"/>
    <w:rsid w:val="1AFCF1E2"/>
    <w:rsid w:val="1B00D9EF"/>
    <w:rsid w:val="1B01F207"/>
    <w:rsid w:val="1B02E826"/>
    <w:rsid w:val="1B088643"/>
    <w:rsid w:val="1B10A227"/>
    <w:rsid w:val="1B1A9726"/>
    <w:rsid w:val="1B1DA045"/>
    <w:rsid w:val="1B31CEF9"/>
    <w:rsid w:val="1B3A2955"/>
    <w:rsid w:val="1B3A6C1B"/>
    <w:rsid w:val="1B4BD5EA"/>
    <w:rsid w:val="1B57CB5E"/>
    <w:rsid w:val="1B6806C8"/>
    <w:rsid w:val="1B75E6D6"/>
    <w:rsid w:val="1B81EC21"/>
    <w:rsid w:val="1B8F42EC"/>
    <w:rsid w:val="1BA5423E"/>
    <w:rsid w:val="1BA96423"/>
    <w:rsid w:val="1BABA7DD"/>
    <w:rsid w:val="1BAE9DD2"/>
    <w:rsid w:val="1BB5118D"/>
    <w:rsid w:val="1BBFCDD3"/>
    <w:rsid w:val="1BC0D57C"/>
    <w:rsid w:val="1BC3610B"/>
    <w:rsid w:val="1BCCFB45"/>
    <w:rsid w:val="1BD8959C"/>
    <w:rsid w:val="1BDA313D"/>
    <w:rsid w:val="1BE1CC38"/>
    <w:rsid w:val="1BEFBCD3"/>
    <w:rsid w:val="1BF3685A"/>
    <w:rsid w:val="1BF591D3"/>
    <w:rsid w:val="1BF76BA0"/>
    <w:rsid w:val="1BF80F12"/>
    <w:rsid w:val="1BF970D0"/>
    <w:rsid w:val="1BFA51C9"/>
    <w:rsid w:val="1C020648"/>
    <w:rsid w:val="1C03E1CA"/>
    <w:rsid w:val="1C0562CE"/>
    <w:rsid w:val="1C08B8B7"/>
    <w:rsid w:val="1C0B709E"/>
    <w:rsid w:val="1C17B8E8"/>
    <w:rsid w:val="1C1DCDFB"/>
    <w:rsid w:val="1C23B7F1"/>
    <w:rsid w:val="1C2504C0"/>
    <w:rsid w:val="1C2CE076"/>
    <w:rsid w:val="1C30C721"/>
    <w:rsid w:val="1C530D15"/>
    <w:rsid w:val="1C53215E"/>
    <w:rsid w:val="1C66FFD3"/>
    <w:rsid w:val="1C75D4E4"/>
    <w:rsid w:val="1C75E3B9"/>
    <w:rsid w:val="1C7FE0B4"/>
    <w:rsid w:val="1C934394"/>
    <w:rsid w:val="1C98C243"/>
    <w:rsid w:val="1CA53705"/>
    <w:rsid w:val="1CAA1578"/>
    <w:rsid w:val="1CBD9883"/>
    <w:rsid w:val="1CC20E1A"/>
    <w:rsid w:val="1CD7009E"/>
    <w:rsid w:val="1CD8A95D"/>
    <w:rsid w:val="1CDE98E3"/>
    <w:rsid w:val="1CE072F5"/>
    <w:rsid w:val="1CEF347D"/>
    <w:rsid w:val="1CF41C8C"/>
    <w:rsid w:val="1D04030C"/>
    <w:rsid w:val="1D096D71"/>
    <w:rsid w:val="1D0DC037"/>
    <w:rsid w:val="1D0FF34E"/>
    <w:rsid w:val="1D1C91C0"/>
    <w:rsid w:val="1D1CC3F7"/>
    <w:rsid w:val="1D33F78D"/>
    <w:rsid w:val="1D3791CF"/>
    <w:rsid w:val="1D4A37A7"/>
    <w:rsid w:val="1D5B71D7"/>
    <w:rsid w:val="1D5DB59C"/>
    <w:rsid w:val="1D623292"/>
    <w:rsid w:val="1D910B5E"/>
    <w:rsid w:val="1D93C0CC"/>
    <w:rsid w:val="1DA3483D"/>
    <w:rsid w:val="1DA41A6E"/>
    <w:rsid w:val="1DB9C67A"/>
    <w:rsid w:val="1DC35D70"/>
    <w:rsid w:val="1DCF5533"/>
    <w:rsid w:val="1DE1832C"/>
    <w:rsid w:val="1DF2B50D"/>
    <w:rsid w:val="1DFAC98C"/>
    <w:rsid w:val="1DFE92E4"/>
    <w:rsid w:val="1E119DAE"/>
    <w:rsid w:val="1E12B7C2"/>
    <w:rsid w:val="1E24F78E"/>
    <w:rsid w:val="1E2DA506"/>
    <w:rsid w:val="1E2DEFC2"/>
    <w:rsid w:val="1E31ACCB"/>
    <w:rsid w:val="1E39063C"/>
    <w:rsid w:val="1E3CC730"/>
    <w:rsid w:val="1E44EF4E"/>
    <w:rsid w:val="1E47204B"/>
    <w:rsid w:val="1E4C49EC"/>
    <w:rsid w:val="1E521E36"/>
    <w:rsid w:val="1E67AFF9"/>
    <w:rsid w:val="1E6ECC9A"/>
    <w:rsid w:val="1E75BF9D"/>
    <w:rsid w:val="1E8D6CD7"/>
    <w:rsid w:val="1E8F65C3"/>
    <w:rsid w:val="1E90ACC4"/>
    <w:rsid w:val="1E922D73"/>
    <w:rsid w:val="1EAAE0F4"/>
    <w:rsid w:val="1EB83A29"/>
    <w:rsid w:val="1EBF9A93"/>
    <w:rsid w:val="1ECB845D"/>
    <w:rsid w:val="1ED46AD2"/>
    <w:rsid w:val="1ED66CDA"/>
    <w:rsid w:val="1EDD5393"/>
    <w:rsid w:val="1EDE94C8"/>
    <w:rsid w:val="1EE229AB"/>
    <w:rsid w:val="1EE52E1E"/>
    <w:rsid w:val="1EECECFC"/>
    <w:rsid w:val="1EF8B66A"/>
    <w:rsid w:val="1EFB0998"/>
    <w:rsid w:val="1F0E48F7"/>
    <w:rsid w:val="1F0E7BCB"/>
    <w:rsid w:val="1F1F08C3"/>
    <w:rsid w:val="1F240261"/>
    <w:rsid w:val="1F4F56C8"/>
    <w:rsid w:val="1F55BD9C"/>
    <w:rsid w:val="1F663EE6"/>
    <w:rsid w:val="1F691634"/>
    <w:rsid w:val="1F7EE030"/>
    <w:rsid w:val="1F7EE589"/>
    <w:rsid w:val="1F8AAAAD"/>
    <w:rsid w:val="1F977705"/>
    <w:rsid w:val="1F98C112"/>
    <w:rsid w:val="1FA3D6FC"/>
    <w:rsid w:val="1FA95E0A"/>
    <w:rsid w:val="1FAFB440"/>
    <w:rsid w:val="1FB4F383"/>
    <w:rsid w:val="1FBF8D90"/>
    <w:rsid w:val="1FD40541"/>
    <w:rsid w:val="1FD4A18A"/>
    <w:rsid w:val="1FEC17BF"/>
    <w:rsid w:val="1FFC16C7"/>
    <w:rsid w:val="200A35BF"/>
    <w:rsid w:val="201762A4"/>
    <w:rsid w:val="20224400"/>
    <w:rsid w:val="20252416"/>
    <w:rsid w:val="20479213"/>
    <w:rsid w:val="204A0BE1"/>
    <w:rsid w:val="204B652F"/>
    <w:rsid w:val="2052AD97"/>
    <w:rsid w:val="205BA3E7"/>
    <w:rsid w:val="205D35BD"/>
    <w:rsid w:val="205FF43D"/>
    <w:rsid w:val="2062121E"/>
    <w:rsid w:val="2070AED3"/>
    <w:rsid w:val="2077D54B"/>
    <w:rsid w:val="208909EA"/>
    <w:rsid w:val="208A0D20"/>
    <w:rsid w:val="20929657"/>
    <w:rsid w:val="2098548B"/>
    <w:rsid w:val="209B469F"/>
    <w:rsid w:val="20BC3EC1"/>
    <w:rsid w:val="20C6AE38"/>
    <w:rsid w:val="20CC6A0C"/>
    <w:rsid w:val="20D5F92C"/>
    <w:rsid w:val="20EBCB9C"/>
    <w:rsid w:val="21024BD3"/>
    <w:rsid w:val="210349F4"/>
    <w:rsid w:val="21139EF0"/>
    <w:rsid w:val="21181C60"/>
    <w:rsid w:val="212120CA"/>
    <w:rsid w:val="21282669"/>
    <w:rsid w:val="21303487"/>
    <w:rsid w:val="2134C69C"/>
    <w:rsid w:val="215771C7"/>
    <w:rsid w:val="215B4857"/>
    <w:rsid w:val="215E0483"/>
    <w:rsid w:val="215E7AA8"/>
    <w:rsid w:val="216222E4"/>
    <w:rsid w:val="2163A77D"/>
    <w:rsid w:val="216F4472"/>
    <w:rsid w:val="21868AB0"/>
    <w:rsid w:val="2186F642"/>
    <w:rsid w:val="21AC3C75"/>
    <w:rsid w:val="21AC78D2"/>
    <w:rsid w:val="21B92524"/>
    <w:rsid w:val="21C62F1B"/>
    <w:rsid w:val="21DDDB6E"/>
    <w:rsid w:val="21E107CF"/>
    <w:rsid w:val="21ED55B0"/>
    <w:rsid w:val="21FEEEDA"/>
    <w:rsid w:val="21FFED5A"/>
    <w:rsid w:val="2204C912"/>
    <w:rsid w:val="220B0CD0"/>
    <w:rsid w:val="2219DB26"/>
    <w:rsid w:val="221D48B9"/>
    <w:rsid w:val="22272070"/>
    <w:rsid w:val="223D5A82"/>
    <w:rsid w:val="225C136D"/>
    <w:rsid w:val="2260B596"/>
    <w:rsid w:val="2261B08F"/>
    <w:rsid w:val="22637A8F"/>
    <w:rsid w:val="2288FB63"/>
    <w:rsid w:val="22894EB1"/>
    <w:rsid w:val="228F97B7"/>
    <w:rsid w:val="2295EE54"/>
    <w:rsid w:val="22C3E7F8"/>
    <w:rsid w:val="22C54302"/>
    <w:rsid w:val="22C58981"/>
    <w:rsid w:val="22D559F9"/>
    <w:rsid w:val="22DDF9D6"/>
    <w:rsid w:val="22DEF1A4"/>
    <w:rsid w:val="2304166C"/>
    <w:rsid w:val="230ED379"/>
    <w:rsid w:val="230EE517"/>
    <w:rsid w:val="232F4D84"/>
    <w:rsid w:val="2346898A"/>
    <w:rsid w:val="23667994"/>
    <w:rsid w:val="236E5FD4"/>
    <w:rsid w:val="2376AA15"/>
    <w:rsid w:val="23788AA2"/>
    <w:rsid w:val="237F8428"/>
    <w:rsid w:val="2382A2F7"/>
    <w:rsid w:val="238676DB"/>
    <w:rsid w:val="239344A9"/>
    <w:rsid w:val="239F86B4"/>
    <w:rsid w:val="23A15ADD"/>
    <w:rsid w:val="23ACF0D7"/>
    <w:rsid w:val="23B09973"/>
    <w:rsid w:val="23B0A40D"/>
    <w:rsid w:val="23B98088"/>
    <w:rsid w:val="23CA8A25"/>
    <w:rsid w:val="23CBEFA9"/>
    <w:rsid w:val="23D204CA"/>
    <w:rsid w:val="23D4EC99"/>
    <w:rsid w:val="23DAF6ED"/>
    <w:rsid w:val="23DFD8B5"/>
    <w:rsid w:val="23E96EA6"/>
    <w:rsid w:val="23EFE7B8"/>
    <w:rsid w:val="23FE0CE5"/>
    <w:rsid w:val="23FE5487"/>
    <w:rsid w:val="23FFCF7C"/>
    <w:rsid w:val="24041657"/>
    <w:rsid w:val="2410ECE6"/>
    <w:rsid w:val="24170078"/>
    <w:rsid w:val="24177757"/>
    <w:rsid w:val="241C01C3"/>
    <w:rsid w:val="24227700"/>
    <w:rsid w:val="2423C712"/>
    <w:rsid w:val="243C4F02"/>
    <w:rsid w:val="244B85DE"/>
    <w:rsid w:val="2451354F"/>
    <w:rsid w:val="246BB29E"/>
    <w:rsid w:val="246C5B7F"/>
    <w:rsid w:val="24737C98"/>
    <w:rsid w:val="2476270A"/>
    <w:rsid w:val="247F8604"/>
    <w:rsid w:val="2484DAFB"/>
    <w:rsid w:val="249555F1"/>
    <w:rsid w:val="249BEEC8"/>
    <w:rsid w:val="249BF1C7"/>
    <w:rsid w:val="24C17C93"/>
    <w:rsid w:val="24CC6078"/>
    <w:rsid w:val="24D4091F"/>
    <w:rsid w:val="24D8E64B"/>
    <w:rsid w:val="24E0BC1B"/>
    <w:rsid w:val="24E7319C"/>
    <w:rsid w:val="24F05B21"/>
    <w:rsid w:val="24F5AD6A"/>
    <w:rsid w:val="24F97211"/>
    <w:rsid w:val="2513403D"/>
    <w:rsid w:val="25161662"/>
    <w:rsid w:val="251624FF"/>
    <w:rsid w:val="2518BCD3"/>
    <w:rsid w:val="251919B5"/>
    <w:rsid w:val="2532E903"/>
    <w:rsid w:val="2535861B"/>
    <w:rsid w:val="2535CC31"/>
    <w:rsid w:val="253E741A"/>
    <w:rsid w:val="254639D5"/>
    <w:rsid w:val="25483B93"/>
    <w:rsid w:val="254C3CF8"/>
    <w:rsid w:val="255DD664"/>
    <w:rsid w:val="2566CFA3"/>
    <w:rsid w:val="2571B4F0"/>
    <w:rsid w:val="25743AF9"/>
    <w:rsid w:val="2576D9C5"/>
    <w:rsid w:val="257851D7"/>
    <w:rsid w:val="258A93F7"/>
    <w:rsid w:val="258B76B1"/>
    <w:rsid w:val="258C140E"/>
    <w:rsid w:val="25975179"/>
    <w:rsid w:val="2598C065"/>
    <w:rsid w:val="259D3114"/>
    <w:rsid w:val="25A9548B"/>
    <w:rsid w:val="25AD13B1"/>
    <w:rsid w:val="25DA7791"/>
    <w:rsid w:val="25E19354"/>
    <w:rsid w:val="25E1DC22"/>
    <w:rsid w:val="25E5678E"/>
    <w:rsid w:val="25EBC8BD"/>
    <w:rsid w:val="260B10C7"/>
    <w:rsid w:val="26135541"/>
    <w:rsid w:val="2615286D"/>
    <w:rsid w:val="263A9339"/>
    <w:rsid w:val="26426806"/>
    <w:rsid w:val="2650DC8F"/>
    <w:rsid w:val="26620359"/>
    <w:rsid w:val="2662D9A8"/>
    <w:rsid w:val="2668F411"/>
    <w:rsid w:val="26717A9C"/>
    <w:rsid w:val="26719B83"/>
    <w:rsid w:val="267F2AD2"/>
    <w:rsid w:val="268E767C"/>
    <w:rsid w:val="269A2A63"/>
    <w:rsid w:val="26A7E3F9"/>
    <w:rsid w:val="26B6CE91"/>
    <w:rsid w:val="26B728A0"/>
    <w:rsid w:val="26E7783B"/>
    <w:rsid w:val="26FFE982"/>
    <w:rsid w:val="270FE2FE"/>
    <w:rsid w:val="271C9FA5"/>
    <w:rsid w:val="271D5E2D"/>
    <w:rsid w:val="271E7465"/>
    <w:rsid w:val="272954C7"/>
    <w:rsid w:val="273EF366"/>
    <w:rsid w:val="27407049"/>
    <w:rsid w:val="274264C6"/>
    <w:rsid w:val="2743140C"/>
    <w:rsid w:val="274CEFAF"/>
    <w:rsid w:val="275245DD"/>
    <w:rsid w:val="27563C74"/>
    <w:rsid w:val="2762C145"/>
    <w:rsid w:val="27656E0A"/>
    <w:rsid w:val="277630FE"/>
    <w:rsid w:val="27768324"/>
    <w:rsid w:val="277E36E9"/>
    <w:rsid w:val="27857A4A"/>
    <w:rsid w:val="278B816D"/>
    <w:rsid w:val="2797DBF0"/>
    <w:rsid w:val="27A07A9C"/>
    <w:rsid w:val="27AAB7BC"/>
    <w:rsid w:val="27C110A7"/>
    <w:rsid w:val="27D01B13"/>
    <w:rsid w:val="27E0C71C"/>
    <w:rsid w:val="27E734C3"/>
    <w:rsid w:val="27FDD3BA"/>
    <w:rsid w:val="280555C7"/>
    <w:rsid w:val="280CB354"/>
    <w:rsid w:val="281447E9"/>
    <w:rsid w:val="28180F56"/>
    <w:rsid w:val="281A62AD"/>
    <w:rsid w:val="28346683"/>
    <w:rsid w:val="28359199"/>
    <w:rsid w:val="284F15C3"/>
    <w:rsid w:val="286AF226"/>
    <w:rsid w:val="286CD0FE"/>
    <w:rsid w:val="28719C73"/>
    <w:rsid w:val="288025C5"/>
    <w:rsid w:val="28916C59"/>
    <w:rsid w:val="289FC9E4"/>
    <w:rsid w:val="28C150A3"/>
    <w:rsid w:val="28C256E1"/>
    <w:rsid w:val="28C77EBD"/>
    <w:rsid w:val="28C9F455"/>
    <w:rsid w:val="28CC4217"/>
    <w:rsid w:val="28E489BB"/>
    <w:rsid w:val="28E9A927"/>
    <w:rsid w:val="28FE5C33"/>
    <w:rsid w:val="290D13B4"/>
    <w:rsid w:val="290D4ACD"/>
    <w:rsid w:val="291569D5"/>
    <w:rsid w:val="29189CD0"/>
    <w:rsid w:val="291F26C3"/>
    <w:rsid w:val="29249437"/>
    <w:rsid w:val="29353EE4"/>
    <w:rsid w:val="293B1D38"/>
    <w:rsid w:val="293DE252"/>
    <w:rsid w:val="293F697B"/>
    <w:rsid w:val="29472922"/>
    <w:rsid w:val="294836A4"/>
    <w:rsid w:val="295AD275"/>
    <w:rsid w:val="29645EAF"/>
    <w:rsid w:val="29661CEE"/>
    <w:rsid w:val="296D97A2"/>
    <w:rsid w:val="2981D87E"/>
    <w:rsid w:val="29852153"/>
    <w:rsid w:val="2988349E"/>
    <w:rsid w:val="298A5A5B"/>
    <w:rsid w:val="298E964F"/>
    <w:rsid w:val="29A2B3AE"/>
    <w:rsid w:val="29A958F3"/>
    <w:rsid w:val="29AE62F2"/>
    <w:rsid w:val="29AFDCEB"/>
    <w:rsid w:val="29B483E3"/>
    <w:rsid w:val="29BA5D46"/>
    <w:rsid w:val="29CDE24B"/>
    <w:rsid w:val="29FF0C87"/>
    <w:rsid w:val="2A01407F"/>
    <w:rsid w:val="2A0B1ACC"/>
    <w:rsid w:val="2A1C2279"/>
    <w:rsid w:val="2A1C6241"/>
    <w:rsid w:val="2A1E8185"/>
    <w:rsid w:val="2A3D802E"/>
    <w:rsid w:val="2A409FE4"/>
    <w:rsid w:val="2A43B62D"/>
    <w:rsid w:val="2A451A7C"/>
    <w:rsid w:val="2A4C145E"/>
    <w:rsid w:val="2A67A91A"/>
    <w:rsid w:val="2A6C0023"/>
    <w:rsid w:val="2A72CA43"/>
    <w:rsid w:val="2A7A42F1"/>
    <w:rsid w:val="2A8A0181"/>
    <w:rsid w:val="2A8B37F2"/>
    <w:rsid w:val="2A976D8A"/>
    <w:rsid w:val="2A98278B"/>
    <w:rsid w:val="2A9B9200"/>
    <w:rsid w:val="2A9BB77F"/>
    <w:rsid w:val="2AA6A585"/>
    <w:rsid w:val="2AA86DFC"/>
    <w:rsid w:val="2AB4E595"/>
    <w:rsid w:val="2ABBCB97"/>
    <w:rsid w:val="2AC97A81"/>
    <w:rsid w:val="2ACD4E89"/>
    <w:rsid w:val="2AD68A37"/>
    <w:rsid w:val="2AD77F31"/>
    <w:rsid w:val="2ADB1E2A"/>
    <w:rsid w:val="2ADEACCC"/>
    <w:rsid w:val="2AF3CCCB"/>
    <w:rsid w:val="2B068B0C"/>
    <w:rsid w:val="2B0AF851"/>
    <w:rsid w:val="2B0B8EAA"/>
    <w:rsid w:val="2B1FDD7C"/>
    <w:rsid w:val="2B221248"/>
    <w:rsid w:val="2B2872F9"/>
    <w:rsid w:val="2B35747C"/>
    <w:rsid w:val="2B424755"/>
    <w:rsid w:val="2B46E470"/>
    <w:rsid w:val="2B4B450E"/>
    <w:rsid w:val="2B521E50"/>
    <w:rsid w:val="2B5AC2A0"/>
    <w:rsid w:val="2B607E20"/>
    <w:rsid w:val="2B6C2F89"/>
    <w:rsid w:val="2B786D31"/>
    <w:rsid w:val="2B911A3D"/>
    <w:rsid w:val="2B932D7F"/>
    <w:rsid w:val="2B946B34"/>
    <w:rsid w:val="2B95FAE8"/>
    <w:rsid w:val="2B9780F5"/>
    <w:rsid w:val="2BA3EF44"/>
    <w:rsid w:val="2BABB18C"/>
    <w:rsid w:val="2BB5FA79"/>
    <w:rsid w:val="2BBE0235"/>
    <w:rsid w:val="2BD94E84"/>
    <w:rsid w:val="2BDB0FE0"/>
    <w:rsid w:val="2BE2DBCA"/>
    <w:rsid w:val="2BE92905"/>
    <w:rsid w:val="2BECE109"/>
    <w:rsid w:val="2BF62668"/>
    <w:rsid w:val="2BFFF38F"/>
    <w:rsid w:val="2C09F1DC"/>
    <w:rsid w:val="2C16CB79"/>
    <w:rsid w:val="2C1E8CBD"/>
    <w:rsid w:val="2C2B5FB8"/>
    <w:rsid w:val="2C54AC5A"/>
    <w:rsid w:val="2C5A884F"/>
    <w:rsid w:val="2C60757C"/>
    <w:rsid w:val="2C608C52"/>
    <w:rsid w:val="2C60F839"/>
    <w:rsid w:val="2C661A1D"/>
    <w:rsid w:val="2C68DE20"/>
    <w:rsid w:val="2C68E78A"/>
    <w:rsid w:val="2C99938C"/>
    <w:rsid w:val="2CA3D261"/>
    <w:rsid w:val="2CA5CD6E"/>
    <w:rsid w:val="2CACCF49"/>
    <w:rsid w:val="2CAE5CBE"/>
    <w:rsid w:val="2CB06796"/>
    <w:rsid w:val="2CB1E1FB"/>
    <w:rsid w:val="2CB4B05C"/>
    <w:rsid w:val="2CB7AB23"/>
    <w:rsid w:val="2CBFFB6A"/>
    <w:rsid w:val="2CC218E3"/>
    <w:rsid w:val="2CCAF076"/>
    <w:rsid w:val="2CCB89FC"/>
    <w:rsid w:val="2CCEF2B0"/>
    <w:rsid w:val="2CD9B5AA"/>
    <w:rsid w:val="2CE10F2B"/>
    <w:rsid w:val="2CE1E1E8"/>
    <w:rsid w:val="2CE6A1E4"/>
    <w:rsid w:val="2CF20462"/>
    <w:rsid w:val="2CF783C9"/>
    <w:rsid w:val="2CFA95DB"/>
    <w:rsid w:val="2CFDC115"/>
    <w:rsid w:val="2D0A7A8F"/>
    <w:rsid w:val="2D0F0AA5"/>
    <w:rsid w:val="2D1491BD"/>
    <w:rsid w:val="2D19F36F"/>
    <w:rsid w:val="2D1DDAD1"/>
    <w:rsid w:val="2D20AA9E"/>
    <w:rsid w:val="2D3171DC"/>
    <w:rsid w:val="2D3477F6"/>
    <w:rsid w:val="2D3E2411"/>
    <w:rsid w:val="2D4860E3"/>
    <w:rsid w:val="2D4E7058"/>
    <w:rsid w:val="2D528FF4"/>
    <w:rsid w:val="2D58A035"/>
    <w:rsid w:val="2D6DC054"/>
    <w:rsid w:val="2D76A042"/>
    <w:rsid w:val="2D7D4E18"/>
    <w:rsid w:val="2D88DA98"/>
    <w:rsid w:val="2DBF57CF"/>
    <w:rsid w:val="2DCDD431"/>
    <w:rsid w:val="2DD37962"/>
    <w:rsid w:val="2DDF5729"/>
    <w:rsid w:val="2DF6D842"/>
    <w:rsid w:val="2DFC5CB3"/>
    <w:rsid w:val="2E01E3CF"/>
    <w:rsid w:val="2E03A77F"/>
    <w:rsid w:val="2E08D05E"/>
    <w:rsid w:val="2E0E914B"/>
    <w:rsid w:val="2E190CFC"/>
    <w:rsid w:val="2E1C98EC"/>
    <w:rsid w:val="2E25F44F"/>
    <w:rsid w:val="2E2713AE"/>
    <w:rsid w:val="2E2D237C"/>
    <w:rsid w:val="2E339936"/>
    <w:rsid w:val="2E34F34D"/>
    <w:rsid w:val="2E3AD2D9"/>
    <w:rsid w:val="2E3D1BD0"/>
    <w:rsid w:val="2E4BA026"/>
    <w:rsid w:val="2E4C806C"/>
    <w:rsid w:val="2E515AC7"/>
    <w:rsid w:val="2E58CF86"/>
    <w:rsid w:val="2E5E366F"/>
    <w:rsid w:val="2E6293AB"/>
    <w:rsid w:val="2E659BB8"/>
    <w:rsid w:val="2E6D153E"/>
    <w:rsid w:val="2E7990C4"/>
    <w:rsid w:val="2E86C967"/>
    <w:rsid w:val="2E8A6AF1"/>
    <w:rsid w:val="2E97A2C8"/>
    <w:rsid w:val="2E9856FF"/>
    <w:rsid w:val="2EA06230"/>
    <w:rsid w:val="2EA3D04B"/>
    <w:rsid w:val="2EA8B2E1"/>
    <w:rsid w:val="2EAA32C4"/>
    <w:rsid w:val="2ECF805A"/>
    <w:rsid w:val="2EEB514D"/>
    <w:rsid w:val="2EF665DC"/>
    <w:rsid w:val="2F0ADE0C"/>
    <w:rsid w:val="2F2A566F"/>
    <w:rsid w:val="2F2B902E"/>
    <w:rsid w:val="2F33F96F"/>
    <w:rsid w:val="2F357B0B"/>
    <w:rsid w:val="2F3EEFB4"/>
    <w:rsid w:val="2F41FC65"/>
    <w:rsid w:val="2F473FAC"/>
    <w:rsid w:val="2F55A9EC"/>
    <w:rsid w:val="2F693E12"/>
    <w:rsid w:val="2F87EAF7"/>
    <w:rsid w:val="2F9E129B"/>
    <w:rsid w:val="2FA1F2F8"/>
    <w:rsid w:val="2FA25D60"/>
    <w:rsid w:val="2FA5D510"/>
    <w:rsid w:val="2FD7BF08"/>
    <w:rsid w:val="2FEAEE1D"/>
    <w:rsid w:val="2FF037FC"/>
    <w:rsid w:val="2FF85460"/>
    <w:rsid w:val="2FFE5D55"/>
    <w:rsid w:val="30080424"/>
    <w:rsid w:val="30116F4F"/>
    <w:rsid w:val="3013E20D"/>
    <w:rsid w:val="301D95D6"/>
    <w:rsid w:val="3026565B"/>
    <w:rsid w:val="302C9688"/>
    <w:rsid w:val="302CBFE2"/>
    <w:rsid w:val="303A4E58"/>
    <w:rsid w:val="303F0217"/>
    <w:rsid w:val="30448C6D"/>
    <w:rsid w:val="304705B2"/>
    <w:rsid w:val="304883FC"/>
    <w:rsid w:val="3059C353"/>
    <w:rsid w:val="305C5C3B"/>
    <w:rsid w:val="30687F76"/>
    <w:rsid w:val="306CF3DC"/>
    <w:rsid w:val="3072C174"/>
    <w:rsid w:val="307A685E"/>
    <w:rsid w:val="307CE5E5"/>
    <w:rsid w:val="307FA267"/>
    <w:rsid w:val="30876B2F"/>
    <w:rsid w:val="3094665E"/>
    <w:rsid w:val="30961268"/>
    <w:rsid w:val="3096B774"/>
    <w:rsid w:val="3098F2D8"/>
    <w:rsid w:val="309D463B"/>
    <w:rsid w:val="30A68AD9"/>
    <w:rsid w:val="30A831CD"/>
    <w:rsid w:val="30AA02CC"/>
    <w:rsid w:val="30B45375"/>
    <w:rsid w:val="30CCD061"/>
    <w:rsid w:val="30CFED52"/>
    <w:rsid w:val="30CFFB91"/>
    <w:rsid w:val="30D4D918"/>
    <w:rsid w:val="30D5A42D"/>
    <w:rsid w:val="30DFCCD6"/>
    <w:rsid w:val="30E095A9"/>
    <w:rsid w:val="30E33746"/>
    <w:rsid w:val="30E8F805"/>
    <w:rsid w:val="30EEAE79"/>
    <w:rsid w:val="30F80E02"/>
    <w:rsid w:val="30F8D419"/>
    <w:rsid w:val="310C4823"/>
    <w:rsid w:val="31114616"/>
    <w:rsid w:val="312D2E4E"/>
    <w:rsid w:val="313C32A9"/>
    <w:rsid w:val="313CF660"/>
    <w:rsid w:val="314C6DB3"/>
    <w:rsid w:val="316C65E7"/>
    <w:rsid w:val="316E74CA"/>
    <w:rsid w:val="317C70B8"/>
    <w:rsid w:val="318F44DB"/>
    <w:rsid w:val="3199DE05"/>
    <w:rsid w:val="319A51CA"/>
    <w:rsid w:val="31CB6784"/>
    <w:rsid w:val="31CFEAE5"/>
    <w:rsid w:val="31D23631"/>
    <w:rsid w:val="31D4BC6F"/>
    <w:rsid w:val="3200790B"/>
    <w:rsid w:val="320B9884"/>
    <w:rsid w:val="3220832C"/>
    <w:rsid w:val="323717E9"/>
    <w:rsid w:val="3247C0A8"/>
    <w:rsid w:val="325147A6"/>
    <w:rsid w:val="326F1D4E"/>
    <w:rsid w:val="327DD10C"/>
    <w:rsid w:val="328B8A0E"/>
    <w:rsid w:val="3295F5D2"/>
    <w:rsid w:val="329DEE22"/>
    <w:rsid w:val="32BB737F"/>
    <w:rsid w:val="32C3EF04"/>
    <w:rsid w:val="32DDEB04"/>
    <w:rsid w:val="32E2026E"/>
    <w:rsid w:val="32EFD18A"/>
    <w:rsid w:val="32F577EC"/>
    <w:rsid w:val="3301A15A"/>
    <w:rsid w:val="33150F2D"/>
    <w:rsid w:val="331D2F8E"/>
    <w:rsid w:val="3328A5ED"/>
    <w:rsid w:val="333479E7"/>
    <w:rsid w:val="33414220"/>
    <w:rsid w:val="33452304"/>
    <w:rsid w:val="33453917"/>
    <w:rsid w:val="33454580"/>
    <w:rsid w:val="3348CA6D"/>
    <w:rsid w:val="334C9941"/>
    <w:rsid w:val="334CB7DB"/>
    <w:rsid w:val="335E5A9F"/>
    <w:rsid w:val="335EF7A2"/>
    <w:rsid w:val="336DC997"/>
    <w:rsid w:val="33764D96"/>
    <w:rsid w:val="3378CA98"/>
    <w:rsid w:val="33851F21"/>
    <w:rsid w:val="33859A0A"/>
    <w:rsid w:val="33953BD1"/>
    <w:rsid w:val="33961481"/>
    <w:rsid w:val="3397451B"/>
    <w:rsid w:val="3399C902"/>
    <w:rsid w:val="339A107B"/>
    <w:rsid w:val="33A19728"/>
    <w:rsid w:val="33A31F48"/>
    <w:rsid w:val="33AA0B17"/>
    <w:rsid w:val="33AB024D"/>
    <w:rsid w:val="33AD94C6"/>
    <w:rsid w:val="33AEB6F9"/>
    <w:rsid w:val="33BEEE44"/>
    <w:rsid w:val="33C0D341"/>
    <w:rsid w:val="33C1D11F"/>
    <w:rsid w:val="33C2749D"/>
    <w:rsid w:val="33CB0E9C"/>
    <w:rsid w:val="33E207BC"/>
    <w:rsid w:val="33EE260B"/>
    <w:rsid w:val="33F0C83D"/>
    <w:rsid w:val="33F5AE50"/>
    <w:rsid w:val="33F84A2A"/>
    <w:rsid w:val="33F8FF06"/>
    <w:rsid w:val="33FD4067"/>
    <w:rsid w:val="340110C1"/>
    <w:rsid w:val="342C5B1E"/>
    <w:rsid w:val="343018B2"/>
    <w:rsid w:val="343435E7"/>
    <w:rsid w:val="343E429D"/>
    <w:rsid w:val="344B267B"/>
    <w:rsid w:val="3454170B"/>
    <w:rsid w:val="3457E04D"/>
    <w:rsid w:val="345D06A7"/>
    <w:rsid w:val="3463304F"/>
    <w:rsid w:val="346DCE72"/>
    <w:rsid w:val="34710781"/>
    <w:rsid w:val="34761B14"/>
    <w:rsid w:val="347E7E54"/>
    <w:rsid w:val="34853885"/>
    <w:rsid w:val="348D0045"/>
    <w:rsid w:val="3492F018"/>
    <w:rsid w:val="34983E54"/>
    <w:rsid w:val="349881E5"/>
    <w:rsid w:val="349A2C5D"/>
    <w:rsid w:val="34B81F1C"/>
    <w:rsid w:val="34BC3B78"/>
    <w:rsid w:val="34BE84D3"/>
    <w:rsid w:val="34C7536B"/>
    <w:rsid w:val="34CBD9D3"/>
    <w:rsid w:val="34D3FAFB"/>
    <w:rsid w:val="34DC4441"/>
    <w:rsid w:val="34E22F5F"/>
    <w:rsid w:val="34EB367B"/>
    <w:rsid w:val="34ECEFE1"/>
    <w:rsid w:val="34F9BEE3"/>
    <w:rsid w:val="34F9F5E6"/>
    <w:rsid w:val="350DED4F"/>
    <w:rsid w:val="352EBC07"/>
    <w:rsid w:val="353577EB"/>
    <w:rsid w:val="353BACC6"/>
    <w:rsid w:val="35551B83"/>
    <w:rsid w:val="3561D799"/>
    <w:rsid w:val="35641FF3"/>
    <w:rsid w:val="35656313"/>
    <w:rsid w:val="356B61E2"/>
    <w:rsid w:val="35763B3E"/>
    <w:rsid w:val="3580F1DB"/>
    <w:rsid w:val="35818C60"/>
    <w:rsid w:val="3585B38B"/>
    <w:rsid w:val="35925FCF"/>
    <w:rsid w:val="35B042C0"/>
    <w:rsid w:val="35B290A2"/>
    <w:rsid w:val="35B91AC0"/>
    <w:rsid w:val="35BAD632"/>
    <w:rsid w:val="35BB22F5"/>
    <w:rsid w:val="35BD41EC"/>
    <w:rsid w:val="35CA6E55"/>
    <w:rsid w:val="35E0C64F"/>
    <w:rsid w:val="35EBBEB1"/>
    <w:rsid w:val="35EF61D4"/>
    <w:rsid w:val="35FE0946"/>
    <w:rsid w:val="36043944"/>
    <w:rsid w:val="36178E82"/>
    <w:rsid w:val="3619A330"/>
    <w:rsid w:val="36292CA7"/>
    <w:rsid w:val="3636E4D3"/>
    <w:rsid w:val="363FAE71"/>
    <w:rsid w:val="36616B5D"/>
    <w:rsid w:val="3665998A"/>
    <w:rsid w:val="3669D3B5"/>
    <w:rsid w:val="3672FD5B"/>
    <w:rsid w:val="367B384B"/>
    <w:rsid w:val="36875FA1"/>
    <w:rsid w:val="369E8748"/>
    <w:rsid w:val="36B21331"/>
    <w:rsid w:val="36C71507"/>
    <w:rsid w:val="36CB1146"/>
    <w:rsid w:val="36CE43A0"/>
    <w:rsid w:val="36DA7478"/>
    <w:rsid w:val="36E0182E"/>
    <w:rsid w:val="36E40ADE"/>
    <w:rsid w:val="36E8FEC1"/>
    <w:rsid w:val="36EE45DE"/>
    <w:rsid w:val="36F45C4A"/>
    <w:rsid w:val="36F81806"/>
    <w:rsid w:val="36FD582A"/>
    <w:rsid w:val="37145A6E"/>
    <w:rsid w:val="37246B86"/>
    <w:rsid w:val="3727A575"/>
    <w:rsid w:val="372922E0"/>
    <w:rsid w:val="372B6022"/>
    <w:rsid w:val="3736F45B"/>
    <w:rsid w:val="373932E0"/>
    <w:rsid w:val="373DAB8A"/>
    <w:rsid w:val="3749F1C2"/>
    <w:rsid w:val="3750BDE8"/>
    <w:rsid w:val="3761E775"/>
    <w:rsid w:val="37782C2F"/>
    <w:rsid w:val="378B77FE"/>
    <w:rsid w:val="378E4D06"/>
    <w:rsid w:val="379736E5"/>
    <w:rsid w:val="379D32B8"/>
    <w:rsid w:val="379E5CCA"/>
    <w:rsid w:val="379EFA71"/>
    <w:rsid w:val="37AB6513"/>
    <w:rsid w:val="37ABF9A7"/>
    <w:rsid w:val="37AFC1CC"/>
    <w:rsid w:val="37B2C5C0"/>
    <w:rsid w:val="37B7047A"/>
    <w:rsid w:val="37B8A0F9"/>
    <w:rsid w:val="37BB6609"/>
    <w:rsid w:val="37BFB81E"/>
    <w:rsid w:val="37D68DBE"/>
    <w:rsid w:val="37DB71FF"/>
    <w:rsid w:val="37DC3079"/>
    <w:rsid w:val="37E2A726"/>
    <w:rsid w:val="37E4225F"/>
    <w:rsid w:val="37EEE3D4"/>
    <w:rsid w:val="3812E905"/>
    <w:rsid w:val="38178D35"/>
    <w:rsid w:val="38179C59"/>
    <w:rsid w:val="381A9693"/>
    <w:rsid w:val="382841D3"/>
    <w:rsid w:val="382A145E"/>
    <w:rsid w:val="382B2D94"/>
    <w:rsid w:val="383E9000"/>
    <w:rsid w:val="3856D8A5"/>
    <w:rsid w:val="386107D9"/>
    <w:rsid w:val="38629860"/>
    <w:rsid w:val="386B0E38"/>
    <w:rsid w:val="3879DC28"/>
    <w:rsid w:val="387B3143"/>
    <w:rsid w:val="387B7A4B"/>
    <w:rsid w:val="3885C922"/>
    <w:rsid w:val="388FC615"/>
    <w:rsid w:val="3894C44C"/>
    <w:rsid w:val="389636F8"/>
    <w:rsid w:val="38A6CE3E"/>
    <w:rsid w:val="38B909BD"/>
    <w:rsid w:val="38F70736"/>
    <w:rsid w:val="38FAB1E5"/>
    <w:rsid w:val="38FE261E"/>
    <w:rsid w:val="3908A729"/>
    <w:rsid w:val="3909B36A"/>
    <w:rsid w:val="3921E7E0"/>
    <w:rsid w:val="3922F64A"/>
    <w:rsid w:val="39305D90"/>
    <w:rsid w:val="393A49D0"/>
    <w:rsid w:val="394290DF"/>
    <w:rsid w:val="395AC00F"/>
    <w:rsid w:val="39615DEF"/>
    <w:rsid w:val="3969D647"/>
    <w:rsid w:val="396E6D2E"/>
    <w:rsid w:val="3984D523"/>
    <w:rsid w:val="3985031B"/>
    <w:rsid w:val="399290B2"/>
    <w:rsid w:val="399C0B1A"/>
    <w:rsid w:val="399F42FC"/>
    <w:rsid w:val="39A6F561"/>
    <w:rsid w:val="39B077EC"/>
    <w:rsid w:val="39B21A19"/>
    <w:rsid w:val="39B3DD01"/>
    <w:rsid w:val="39E584A3"/>
    <w:rsid w:val="39EB18C3"/>
    <w:rsid w:val="39F0D5DB"/>
    <w:rsid w:val="39FBC0E1"/>
    <w:rsid w:val="3A00B94A"/>
    <w:rsid w:val="3A216484"/>
    <w:rsid w:val="3A22C142"/>
    <w:rsid w:val="3A2585CE"/>
    <w:rsid w:val="3A358A71"/>
    <w:rsid w:val="3A59105A"/>
    <w:rsid w:val="3A595A06"/>
    <w:rsid w:val="3A598B18"/>
    <w:rsid w:val="3A662455"/>
    <w:rsid w:val="3A78DDFC"/>
    <w:rsid w:val="3A7B268D"/>
    <w:rsid w:val="3A839021"/>
    <w:rsid w:val="3A9743D3"/>
    <w:rsid w:val="3A9A2A2B"/>
    <w:rsid w:val="3AA1D665"/>
    <w:rsid w:val="3AB952CF"/>
    <w:rsid w:val="3ABA0AD7"/>
    <w:rsid w:val="3AC4897C"/>
    <w:rsid w:val="3ACDAA56"/>
    <w:rsid w:val="3ADD0697"/>
    <w:rsid w:val="3ADDCFE5"/>
    <w:rsid w:val="3ADF19FF"/>
    <w:rsid w:val="3ADF871F"/>
    <w:rsid w:val="3AF3448D"/>
    <w:rsid w:val="3B02E25D"/>
    <w:rsid w:val="3B18924B"/>
    <w:rsid w:val="3B209197"/>
    <w:rsid w:val="3B23F7AB"/>
    <w:rsid w:val="3B3522AC"/>
    <w:rsid w:val="3B3DAA6A"/>
    <w:rsid w:val="3B3F16C5"/>
    <w:rsid w:val="3B5FDD18"/>
    <w:rsid w:val="3B629B4B"/>
    <w:rsid w:val="3B6AD83E"/>
    <w:rsid w:val="3B757E9A"/>
    <w:rsid w:val="3B7D747A"/>
    <w:rsid w:val="3B814F41"/>
    <w:rsid w:val="3B81CC15"/>
    <w:rsid w:val="3B8F29D4"/>
    <w:rsid w:val="3B98C608"/>
    <w:rsid w:val="3B9C81ED"/>
    <w:rsid w:val="3B9F76BC"/>
    <w:rsid w:val="3BB25A3A"/>
    <w:rsid w:val="3BC06B7F"/>
    <w:rsid w:val="3BD2DF37"/>
    <w:rsid w:val="3BE6F407"/>
    <w:rsid w:val="3BE81031"/>
    <w:rsid w:val="3BED6997"/>
    <w:rsid w:val="3BF36DFB"/>
    <w:rsid w:val="3C02FC06"/>
    <w:rsid w:val="3C040648"/>
    <w:rsid w:val="3C0F8B5C"/>
    <w:rsid w:val="3C11833E"/>
    <w:rsid w:val="3C165097"/>
    <w:rsid w:val="3C33AAC5"/>
    <w:rsid w:val="3C349EAD"/>
    <w:rsid w:val="3C35602A"/>
    <w:rsid w:val="3C37A35D"/>
    <w:rsid w:val="3C38122D"/>
    <w:rsid w:val="3C3DA6C6"/>
    <w:rsid w:val="3C42EA49"/>
    <w:rsid w:val="3C476451"/>
    <w:rsid w:val="3C4B8CDC"/>
    <w:rsid w:val="3C4DBA0D"/>
    <w:rsid w:val="3C577A5A"/>
    <w:rsid w:val="3C5AB22D"/>
    <w:rsid w:val="3C6AFCEE"/>
    <w:rsid w:val="3C74B1F9"/>
    <w:rsid w:val="3C832BFB"/>
    <w:rsid w:val="3C85ADFE"/>
    <w:rsid w:val="3C890566"/>
    <w:rsid w:val="3C8C0605"/>
    <w:rsid w:val="3C94DD41"/>
    <w:rsid w:val="3CB7D723"/>
    <w:rsid w:val="3CBDAA99"/>
    <w:rsid w:val="3CC60A46"/>
    <w:rsid w:val="3CD0A860"/>
    <w:rsid w:val="3CD3BB1F"/>
    <w:rsid w:val="3CD865F4"/>
    <w:rsid w:val="3CE0B4A1"/>
    <w:rsid w:val="3CEE287E"/>
    <w:rsid w:val="3CFB1013"/>
    <w:rsid w:val="3D02FB35"/>
    <w:rsid w:val="3D0C82B2"/>
    <w:rsid w:val="3D0C8C02"/>
    <w:rsid w:val="3D18295C"/>
    <w:rsid w:val="3D185586"/>
    <w:rsid w:val="3D195214"/>
    <w:rsid w:val="3D20EF57"/>
    <w:rsid w:val="3D2FC37E"/>
    <w:rsid w:val="3D4D9770"/>
    <w:rsid w:val="3D5760A4"/>
    <w:rsid w:val="3D6176E8"/>
    <w:rsid w:val="3D62931E"/>
    <w:rsid w:val="3D6B0685"/>
    <w:rsid w:val="3D6C4373"/>
    <w:rsid w:val="3D85402A"/>
    <w:rsid w:val="3D8B5795"/>
    <w:rsid w:val="3D91AFEA"/>
    <w:rsid w:val="3D9CC015"/>
    <w:rsid w:val="3DA75D6E"/>
    <w:rsid w:val="3DA77D14"/>
    <w:rsid w:val="3DB6FEB4"/>
    <w:rsid w:val="3DB93592"/>
    <w:rsid w:val="3DBA98BE"/>
    <w:rsid w:val="3DBC7925"/>
    <w:rsid w:val="3DC81CF8"/>
    <w:rsid w:val="3DC8DCAD"/>
    <w:rsid w:val="3DCEE621"/>
    <w:rsid w:val="3DD30676"/>
    <w:rsid w:val="3DDB5641"/>
    <w:rsid w:val="3DE30E3A"/>
    <w:rsid w:val="3DE43E94"/>
    <w:rsid w:val="3DE6FFC8"/>
    <w:rsid w:val="3DEE167F"/>
    <w:rsid w:val="3DF5B85F"/>
    <w:rsid w:val="3DF85448"/>
    <w:rsid w:val="3E07307D"/>
    <w:rsid w:val="3E0CD879"/>
    <w:rsid w:val="3E13C9B5"/>
    <w:rsid w:val="3E15EB5A"/>
    <w:rsid w:val="3E20B1DB"/>
    <w:rsid w:val="3E2544B1"/>
    <w:rsid w:val="3E269B7A"/>
    <w:rsid w:val="3E2E3C02"/>
    <w:rsid w:val="3E2ECF70"/>
    <w:rsid w:val="3E33E8E6"/>
    <w:rsid w:val="3E3FEEDC"/>
    <w:rsid w:val="3E47E5A6"/>
    <w:rsid w:val="3E5648A8"/>
    <w:rsid w:val="3E69EAC4"/>
    <w:rsid w:val="3E718995"/>
    <w:rsid w:val="3E8BAF4F"/>
    <w:rsid w:val="3E97A6F7"/>
    <w:rsid w:val="3EB46C9B"/>
    <w:rsid w:val="3EBFB38F"/>
    <w:rsid w:val="3EC02D28"/>
    <w:rsid w:val="3EC5F7B6"/>
    <w:rsid w:val="3ECB5E18"/>
    <w:rsid w:val="3ED66CF5"/>
    <w:rsid w:val="3EDF5575"/>
    <w:rsid w:val="3EF60C93"/>
    <w:rsid w:val="3EF6A81D"/>
    <w:rsid w:val="3EFCCD5C"/>
    <w:rsid w:val="3F06CF1F"/>
    <w:rsid w:val="3F166C66"/>
    <w:rsid w:val="3F1B29B3"/>
    <w:rsid w:val="3F1C1C4C"/>
    <w:rsid w:val="3F2381E3"/>
    <w:rsid w:val="3F26A897"/>
    <w:rsid w:val="3F293288"/>
    <w:rsid w:val="3F46A2A5"/>
    <w:rsid w:val="3F562C99"/>
    <w:rsid w:val="3F62B582"/>
    <w:rsid w:val="3F7D5C2A"/>
    <w:rsid w:val="3F864747"/>
    <w:rsid w:val="3F9ECA48"/>
    <w:rsid w:val="3FA0D384"/>
    <w:rsid w:val="3FA25BB9"/>
    <w:rsid w:val="3FA39430"/>
    <w:rsid w:val="3FAB109E"/>
    <w:rsid w:val="3FAF9A16"/>
    <w:rsid w:val="3FAFF5DD"/>
    <w:rsid w:val="3FB5DB40"/>
    <w:rsid w:val="3FB701FF"/>
    <w:rsid w:val="3FB91547"/>
    <w:rsid w:val="3FB9D251"/>
    <w:rsid w:val="3FC1ABF1"/>
    <w:rsid w:val="3FD185FD"/>
    <w:rsid w:val="3FED5CE5"/>
    <w:rsid w:val="3FF41531"/>
    <w:rsid w:val="3FFAD1AD"/>
    <w:rsid w:val="3FFB677D"/>
    <w:rsid w:val="4004C8ED"/>
    <w:rsid w:val="400579D4"/>
    <w:rsid w:val="40070A04"/>
    <w:rsid w:val="40076921"/>
    <w:rsid w:val="40082769"/>
    <w:rsid w:val="400D2019"/>
    <w:rsid w:val="401A1EDB"/>
    <w:rsid w:val="401BFE7A"/>
    <w:rsid w:val="401E6539"/>
    <w:rsid w:val="401EDD5E"/>
    <w:rsid w:val="401F51D8"/>
    <w:rsid w:val="40229F19"/>
    <w:rsid w:val="4028E33A"/>
    <w:rsid w:val="403446FE"/>
    <w:rsid w:val="4043C3BE"/>
    <w:rsid w:val="40441D7A"/>
    <w:rsid w:val="404ACF96"/>
    <w:rsid w:val="404D8E65"/>
    <w:rsid w:val="407C22AA"/>
    <w:rsid w:val="407C2A41"/>
    <w:rsid w:val="4088EB74"/>
    <w:rsid w:val="409A3567"/>
    <w:rsid w:val="409F6ACA"/>
    <w:rsid w:val="40A5640A"/>
    <w:rsid w:val="40AD756F"/>
    <w:rsid w:val="40AEDD9A"/>
    <w:rsid w:val="40B25705"/>
    <w:rsid w:val="40B77C10"/>
    <w:rsid w:val="40B9BFA7"/>
    <w:rsid w:val="40CA9DCF"/>
    <w:rsid w:val="40F1B5C9"/>
    <w:rsid w:val="411F17C8"/>
    <w:rsid w:val="4130EF5D"/>
    <w:rsid w:val="41327B4D"/>
    <w:rsid w:val="41338571"/>
    <w:rsid w:val="4137AC57"/>
    <w:rsid w:val="41395324"/>
    <w:rsid w:val="413D0D80"/>
    <w:rsid w:val="413D29CD"/>
    <w:rsid w:val="414069D5"/>
    <w:rsid w:val="414B6A77"/>
    <w:rsid w:val="41533FA1"/>
    <w:rsid w:val="4156CE46"/>
    <w:rsid w:val="4162DFC7"/>
    <w:rsid w:val="417155CB"/>
    <w:rsid w:val="4174A5BB"/>
    <w:rsid w:val="41781759"/>
    <w:rsid w:val="418AA987"/>
    <w:rsid w:val="4194876B"/>
    <w:rsid w:val="419AE6EF"/>
    <w:rsid w:val="419BA913"/>
    <w:rsid w:val="41A119DF"/>
    <w:rsid w:val="41A38273"/>
    <w:rsid w:val="41B12502"/>
    <w:rsid w:val="41B7DB57"/>
    <w:rsid w:val="41BB9C6A"/>
    <w:rsid w:val="41C72536"/>
    <w:rsid w:val="41CFC800"/>
    <w:rsid w:val="41DD4335"/>
    <w:rsid w:val="41E9CD40"/>
    <w:rsid w:val="41ED9818"/>
    <w:rsid w:val="41EF66F9"/>
    <w:rsid w:val="41F9825D"/>
    <w:rsid w:val="42016F85"/>
    <w:rsid w:val="4207AE7E"/>
    <w:rsid w:val="420A28B8"/>
    <w:rsid w:val="421F12F6"/>
    <w:rsid w:val="421FAFAD"/>
    <w:rsid w:val="4220D15B"/>
    <w:rsid w:val="422FFEF8"/>
    <w:rsid w:val="4235B6E5"/>
    <w:rsid w:val="423EC1ED"/>
    <w:rsid w:val="42472D5F"/>
    <w:rsid w:val="424803F2"/>
    <w:rsid w:val="424E3050"/>
    <w:rsid w:val="425105AA"/>
    <w:rsid w:val="4251CE54"/>
    <w:rsid w:val="42561BB3"/>
    <w:rsid w:val="425B40ED"/>
    <w:rsid w:val="42738531"/>
    <w:rsid w:val="427D2629"/>
    <w:rsid w:val="427D8B56"/>
    <w:rsid w:val="4288A657"/>
    <w:rsid w:val="4288F89C"/>
    <w:rsid w:val="4289C3C8"/>
    <w:rsid w:val="428F0AB6"/>
    <w:rsid w:val="42A4338E"/>
    <w:rsid w:val="42AEC0D6"/>
    <w:rsid w:val="42B141FA"/>
    <w:rsid w:val="42B440C2"/>
    <w:rsid w:val="42BA2712"/>
    <w:rsid w:val="42C1A997"/>
    <w:rsid w:val="42C5DEE6"/>
    <w:rsid w:val="42E654A3"/>
    <w:rsid w:val="42E765E3"/>
    <w:rsid w:val="42E8AD94"/>
    <w:rsid w:val="430751DE"/>
    <w:rsid w:val="4315318B"/>
    <w:rsid w:val="4319C7E3"/>
    <w:rsid w:val="43241FAE"/>
    <w:rsid w:val="432679E8"/>
    <w:rsid w:val="432F9039"/>
    <w:rsid w:val="4334AB19"/>
    <w:rsid w:val="4338B02E"/>
    <w:rsid w:val="43410976"/>
    <w:rsid w:val="4356A14B"/>
    <w:rsid w:val="435BFE99"/>
    <w:rsid w:val="43618144"/>
    <w:rsid w:val="437C3CF0"/>
    <w:rsid w:val="4380CC7F"/>
    <w:rsid w:val="43860184"/>
    <w:rsid w:val="43905DA1"/>
    <w:rsid w:val="4393E198"/>
    <w:rsid w:val="439F7E83"/>
    <w:rsid w:val="43B420A7"/>
    <w:rsid w:val="43BACA5B"/>
    <w:rsid w:val="43BC374A"/>
    <w:rsid w:val="43C647E7"/>
    <w:rsid w:val="43D580D8"/>
    <w:rsid w:val="43D9A29F"/>
    <w:rsid w:val="43E6B26F"/>
    <w:rsid w:val="43F1F594"/>
    <w:rsid w:val="43F93DEC"/>
    <w:rsid w:val="440A81C1"/>
    <w:rsid w:val="440D74DC"/>
    <w:rsid w:val="441B4134"/>
    <w:rsid w:val="441BCCE1"/>
    <w:rsid w:val="441CCD06"/>
    <w:rsid w:val="443DD4E6"/>
    <w:rsid w:val="4450D93C"/>
    <w:rsid w:val="44552A83"/>
    <w:rsid w:val="44610046"/>
    <w:rsid w:val="44634A64"/>
    <w:rsid w:val="44785438"/>
    <w:rsid w:val="44816EA8"/>
    <w:rsid w:val="4491B786"/>
    <w:rsid w:val="4496EFC3"/>
    <w:rsid w:val="449E3EDD"/>
    <w:rsid w:val="44A16C59"/>
    <w:rsid w:val="44A55A7C"/>
    <w:rsid w:val="44A6DF92"/>
    <w:rsid w:val="44B09BC3"/>
    <w:rsid w:val="44B5BD84"/>
    <w:rsid w:val="44BE57DA"/>
    <w:rsid w:val="44C22C56"/>
    <w:rsid w:val="44CBC494"/>
    <w:rsid w:val="44CF4B4B"/>
    <w:rsid w:val="44D1F628"/>
    <w:rsid w:val="44D600B7"/>
    <w:rsid w:val="44DAB5B1"/>
    <w:rsid w:val="44F586EE"/>
    <w:rsid w:val="45119252"/>
    <w:rsid w:val="451529F8"/>
    <w:rsid w:val="451B709C"/>
    <w:rsid w:val="4523C2B8"/>
    <w:rsid w:val="452C5533"/>
    <w:rsid w:val="45311D76"/>
    <w:rsid w:val="4531F361"/>
    <w:rsid w:val="4540A92D"/>
    <w:rsid w:val="45435486"/>
    <w:rsid w:val="45474FC3"/>
    <w:rsid w:val="455244FD"/>
    <w:rsid w:val="456755E5"/>
    <w:rsid w:val="4567D013"/>
    <w:rsid w:val="4581A48A"/>
    <w:rsid w:val="458286CE"/>
    <w:rsid w:val="45842FB6"/>
    <w:rsid w:val="4587C09E"/>
    <w:rsid w:val="45880808"/>
    <w:rsid w:val="458CEC37"/>
    <w:rsid w:val="45C0799B"/>
    <w:rsid w:val="45D2BEB6"/>
    <w:rsid w:val="45D3C0EE"/>
    <w:rsid w:val="45D6ED77"/>
    <w:rsid w:val="45D72727"/>
    <w:rsid w:val="45E06CF9"/>
    <w:rsid w:val="45E74DF6"/>
    <w:rsid w:val="45E98352"/>
    <w:rsid w:val="45F2273D"/>
    <w:rsid w:val="45F32C20"/>
    <w:rsid w:val="45FB355A"/>
    <w:rsid w:val="460B63CB"/>
    <w:rsid w:val="46146C21"/>
    <w:rsid w:val="461770BD"/>
    <w:rsid w:val="461C4AD8"/>
    <w:rsid w:val="46203BA6"/>
    <w:rsid w:val="462D4177"/>
    <w:rsid w:val="463A40F7"/>
    <w:rsid w:val="463AE172"/>
    <w:rsid w:val="464C0655"/>
    <w:rsid w:val="465DA9E5"/>
    <w:rsid w:val="46630781"/>
    <w:rsid w:val="4670016A"/>
    <w:rsid w:val="469216C5"/>
    <w:rsid w:val="4692F4F5"/>
    <w:rsid w:val="469A0DB7"/>
    <w:rsid w:val="469D86B8"/>
    <w:rsid w:val="469EFBDE"/>
    <w:rsid w:val="46A3D038"/>
    <w:rsid w:val="46A3E19C"/>
    <w:rsid w:val="46B3CB23"/>
    <w:rsid w:val="46BFE878"/>
    <w:rsid w:val="46CB0300"/>
    <w:rsid w:val="46D9F634"/>
    <w:rsid w:val="46EAA813"/>
    <w:rsid w:val="46EC29F9"/>
    <w:rsid w:val="46EF1666"/>
    <w:rsid w:val="46F46040"/>
    <w:rsid w:val="46FD0FC7"/>
    <w:rsid w:val="47030C3A"/>
    <w:rsid w:val="47182085"/>
    <w:rsid w:val="4719A055"/>
    <w:rsid w:val="471CABE9"/>
    <w:rsid w:val="47225A6E"/>
    <w:rsid w:val="4722B50C"/>
    <w:rsid w:val="47242368"/>
    <w:rsid w:val="47277822"/>
    <w:rsid w:val="4727BE06"/>
    <w:rsid w:val="4728FF8A"/>
    <w:rsid w:val="4739376F"/>
    <w:rsid w:val="474408B6"/>
    <w:rsid w:val="47468D8A"/>
    <w:rsid w:val="4756977D"/>
    <w:rsid w:val="4760A673"/>
    <w:rsid w:val="476875B0"/>
    <w:rsid w:val="4771E349"/>
    <w:rsid w:val="4773D0B4"/>
    <w:rsid w:val="47833267"/>
    <w:rsid w:val="4793F4AF"/>
    <w:rsid w:val="47AD4FCE"/>
    <w:rsid w:val="47B7D6B6"/>
    <w:rsid w:val="47C66B49"/>
    <w:rsid w:val="47C6B971"/>
    <w:rsid w:val="47D2B229"/>
    <w:rsid w:val="47D2DF0D"/>
    <w:rsid w:val="47D5C20C"/>
    <w:rsid w:val="47DDDC99"/>
    <w:rsid w:val="47E5A6A3"/>
    <w:rsid w:val="47E66516"/>
    <w:rsid w:val="47ECFD0A"/>
    <w:rsid w:val="47F95D51"/>
    <w:rsid w:val="48043CD3"/>
    <w:rsid w:val="480E2FBA"/>
    <w:rsid w:val="4811AFB4"/>
    <w:rsid w:val="48163D06"/>
    <w:rsid w:val="48322CA0"/>
    <w:rsid w:val="48398251"/>
    <w:rsid w:val="484FC01A"/>
    <w:rsid w:val="48585C6F"/>
    <w:rsid w:val="485C145E"/>
    <w:rsid w:val="4862B434"/>
    <w:rsid w:val="486C4E56"/>
    <w:rsid w:val="486FE91D"/>
    <w:rsid w:val="4873C7AF"/>
    <w:rsid w:val="488C0961"/>
    <w:rsid w:val="48993B48"/>
    <w:rsid w:val="48B5202D"/>
    <w:rsid w:val="48BF94CE"/>
    <w:rsid w:val="48C0CF2C"/>
    <w:rsid w:val="48EA6A5D"/>
    <w:rsid w:val="48F85DF2"/>
    <w:rsid w:val="48F8608D"/>
    <w:rsid w:val="48FB267B"/>
    <w:rsid w:val="48FC570D"/>
    <w:rsid w:val="48FE1A17"/>
    <w:rsid w:val="490D97E9"/>
    <w:rsid w:val="492181D3"/>
    <w:rsid w:val="4929BEBE"/>
    <w:rsid w:val="493CFC91"/>
    <w:rsid w:val="495AD261"/>
    <w:rsid w:val="495D306E"/>
    <w:rsid w:val="49668B57"/>
    <w:rsid w:val="496DB336"/>
    <w:rsid w:val="49754D83"/>
    <w:rsid w:val="497672CE"/>
    <w:rsid w:val="497A461D"/>
    <w:rsid w:val="497BB2E6"/>
    <w:rsid w:val="4985D9BA"/>
    <w:rsid w:val="498F6C9B"/>
    <w:rsid w:val="4996700A"/>
    <w:rsid w:val="499CB596"/>
    <w:rsid w:val="499DE037"/>
    <w:rsid w:val="499F70A4"/>
    <w:rsid w:val="49AA001B"/>
    <w:rsid w:val="49AF91C2"/>
    <w:rsid w:val="49D944FA"/>
    <w:rsid w:val="49DAB3DE"/>
    <w:rsid w:val="49DB0D79"/>
    <w:rsid w:val="49E4E7E4"/>
    <w:rsid w:val="49E51E59"/>
    <w:rsid w:val="49F18C1D"/>
    <w:rsid w:val="49FCF79B"/>
    <w:rsid w:val="4A08AC2C"/>
    <w:rsid w:val="4A0A2EBD"/>
    <w:rsid w:val="4A0A5A0A"/>
    <w:rsid w:val="4A128932"/>
    <w:rsid w:val="4A1F1390"/>
    <w:rsid w:val="4A25A3E7"/>
    <w:rsid w:val="4A29296C"/>
    <w:rsid w:val="4A2CC226"/>
    <w:rsid w:val="4A36946D"/>
    <w:rsid w:val="4A3D279A"/>
    <w:rsid w:val="4A3DEB8E"/>
    <w:rsid w:val="4A474D33"/>
    <w:rsid w:val="4A499582"/>
    <w:rsid w:val="4A4B15CF"/>
    <w:rsid w:val="4A4E8F7E"/>
    <w:rsid w:val="4A4EE584"/>
    <w:rsid w:val="4A4F9327"/>
    <w:rsid w:val="4A54059D"/>
    <w:rsid w:val="4A58B5F9"/>
    <w:rsid w:val="4A7F57E1"/>
    <w:rsid w:val="4A80C67B"/>
    <w:rsid w:val="4A85DEEF"/>
    <w:rsid w:val="4A9D96B8"/>
    <w:rsid w:val="4AA150A2"/>
    <w:rsid w:val="4AAFBC3A"/>
    <w:rsid w:val="4ABABCA1"/>
    <w:rsid w:val="4AC71808"/>
    <w:rsid w:val="4AD7A05F"/>
    <w:rsid w:val="4ADBFD03"/>
    <w:rsid w:val="4AEEF01F"/>
    <w:rsid w:val="4AF94F03"/>
    <w:rsid w:val="4B0FBB29"/>
    <w:rsid w:val="4B2076B1"/>
    <w:rsid w:val="4B218080"/>
    <w:rsid w:val="4B236807"/>
    <w:rsid w:val="4B3ED5E5"/>
    <w:rsid w:val="4B4EC5AD"/>
    <w:rsid w:val="4B4FCE11"/>
    <w:rsid w:val="4B62109D"/>
    <w:rsid w:val="4B6E347D"/>
    <w:rsid w:val="4B73206F"/>
    <w:rsid w:val="4B78ACEF"/>
    <w:rsid w:val="4B7922AC"/>
    <w:rsid w:val="4B933F96"/>
    <w:rsid w:val="4B9D2FE4"/>
    <w:rsid w:val="4BA0650D"/>
    <w:rsid w:val="4BA173FB"/>
    <w:rsid w:val="4BB02170"/>
    <w:rsid w:val="4BC5EE4E"/>
    <w:rsid w:val="4BCA4EC5"/>
    <w:rsid w:val="4BD46F22"/>
    <w:rsid w:val="4BD61120"/>
    <w:rsid w:val="4BD77CD0"/>
    <w:rsid w:val="4BDA94AA"/>
    <w:rsid w:val="4BE79D25"/>
    <w:rsid w:val="4BEC2920"/>
    <w:rsid w:val="4BF6E1C3"/>
    <w:rsid w:val="4BFD069D"/>
    <w:rsid w:val="4BFFE9C8"/>
    <w:rsid w:val="4C076AC4"/>
    <w:rsid w:val="4C0EAB81"/>
    <w:rsid w:val="4C15EC73"/>
    <w:rsid w:val="4C283FC5"/>
    <w:rsid w:val="4C343182"/>
    <w:rsid w:val="4C3D9A16"/>
    <w:rsid w:val="4C5334D7"/>
    <w:rsid w:val="4C610A80"/>
    <w:rsid w:val="4C686EFD"/>
    <w:rsid w:val="4C74A6B4"/>
    <w:rsid w:val="4C7BE6D9"/>
    <w:rsid w:val="4C8057D8"/>
    <w:rsid w:val="4C9388F3"/>
    <w:rsid w:val="4CACF366"/>
    <w:rsid w:val="4CB6F452"/>
    <w:rsid w:val="4CC14BA8"/>
    <w:rsid w:val="4CCD5C2E"/>
    <w:rsid w:val="4CD005D0"/>
    <w:rsid w:val="4CDE8A52"/>
    <w:rsid w:val="4CF460BA"/>
    <w:rsid w:val="4CFFD4AF"/>
    <w:rsid w:val="4D0777C8"/>
    <w:rsid w:val="4D0895D2"/>
    <w:rsid w:val="4D0DFE0E"/>
    <w:rsid w:val="4D1DA840"/>
    <w:rsid w:val="4D202AFF"/>
    <w:rsid w:val="4D29E1EA"/>
    <w:rsid w:val="4D3E2542"/>
    <w:rsid w:val="4D3E6813"/>
    <w:rsid w:val="4D535990"/>
    <w:rsid w:val="4D611529"/>
    <w:rsid w:val="4D6304EE"/>
    <w:rsid w:val="4D65996C"/>
    <w:rsid w:val="4D833F86"/>
    <w:rsid w:val="4D944EA1"/>
    <w:rsid w:val="4DB59A1D"/>
    <w:rsid w:val="4DB93197"/>
    <w:rsid w:val="4DC0F60E"/>
    <w:rsid w:val="4DCDA35E"/>
    <w:rsid w:val="4DF92D0A"/>
    <w:rsid w:val="4E01AD19"/>
    <w:rsid w:val="4E09F143"/>
    <w:rsid w:val="4E16CF9A"/>
    <w:rsid w:val="4E1F4B96"/>
    <w:rsid w:val="4E2B4553"/>
    <w:rsid w:val="4E311FB6"/>
    <w:rsid w:val="4E4BEDB1"/>
    <w:rsid w:val="4E4CBB97"/>
    <w:rsid w:val="4E71F6A7"/>
    <w:rsid w:val="4E765FCB"/>
    <w:rsid w:val="4E77E16E"/>
    <w:rsid w:val="4E7B6480"/>
    <w:rsid w:val="4E82D1BD"/>
    <w:rsid w:val="4E835C06"/>
    <w:rsid w:val="4E923A40"/>
    <w:rsid w:val="4E93254F"/>
    <w:rsid w:val="4EB904DA"/>
    <w:rsid w:val="4EBDCF14"/>
    <w:rsid w:val="4EBF29C2"/>
    <w:rsid w:val="4EC5E1AE"/>
    <w:rsid w:val="4ED5B330"/>
    <w:rsid w:val="4ED9FE64"/>
    <w:rsid w:val="4EF26A69"/>
    <w:rsid w:val="4EF828DF"/>
    <w:rsid w:val="4F022F05"/>
    <w:rsid w:val="4F0C73FC"/>
    <w:rsid w:val="4F22CDC3"/>
    <w:rsid w:val="4F2C63DB"/>
    <w:rsid w:val="4F3563AE"/>
    <w:rsid w:val="4F4EAA5A"/>
    <w:rsid w:val="4F58DF25"/>
    <w:rsid w:val="4F5D608D"/>
    <w:rsid w:val="4F61309C"/>
    <w:rsid w:val="4F95E3B0"/>
    <w:rsid w:val="4F9BAA16"/>
    <w:rsid w:val="4F9D1663"/>
    <w:rsid w:val="4FA569AD"/>
    <w:rsid w:val="4FBB33F1"/>
    <w:rsid w:val="4FCF3F0A"/>
    <w:rsid w:val="4FDE39A1"/>
    <w:rsid w:val="4FE0DF57"/>
    <w:rsid w:val="4FEABECF"/>
    <w:rsid w:val="4FF30A90"/>
    <w:rsid w:val="4FF54EC5"/>
    <w:rsid w:val="4FF701D0"/>
    <w:rsid w:val="500024FF"/>
    <w:rsid w:val="500A3D08"/>
    <w:rsid w:val="5032B5B4"/>
    <w:rsid w:val="50477ADD"/>
    <w:rsid w:val="504A3148"/>
    <w:rsid w:val="504B9165"/>
    <w:rsid w:val="50515828"/>
    <w:rsid w:val="5055FF69"/>
    <w:rsid w:val="505C6E5D"/>
    <w:rsid w:val="506EA678"/>
    <w:rsid w:val="507855B0"/>
    <w:rsid w:val="508834A8"/>
    <w:rsid w:val="50943E1A"/>
    <w:rsid w:val="50952378"/>
    <w:rsid w:val="509CF7E0"/>
    <w:rsid w:val="509E7FCD"/>
    <w:rsid w:val="50A8570A"/>
    <w:rsid w:val="50A8D1B4"/>
    <w:rsid w:val="50B48189"/>
    <w:rsid w:val="50B7C34D"/>
    <w:rsid w:val="50BA3678"/>
    <w:rsid w:val="50CBDC26"/>
    <w:rsid w:val="50CFD2F0"/>
    <w:rsid w:val="50D1C94B"/>
    <w:rsid w:val="50D8DEAE"/>
    <w:rsid w:val="50F03936"/>
    <w:rsid w:val="50F4DBFE"/>
    <w:rsid w:val="5101E129"/>
    <w:rsid w:val="5103F88A"/>
    <w:rsid w:val="511574DC"/>
    <w:rsid w:val="51202E8A"/>
    <w:rsid w:val="51271B3E"/>
    <w:rsid w:val="5129FCE1"/>
    <w:rsid w:val="5134F1A4"/>
    <w:rsid w:val="513C6801"/>
    <w:rsid w:val="514E705C"/>
    <w:rsid w:val="515880CB"/>
    <w:rsid w:val="515A7449"/>
    <w:rsid w:val="515D8C37"/>
    <w:rsid w:val="517990A7"/>
    <w:rsid w:val="5182719A"/>
    <w:rsid w:val="519AD9A6"/>
    <w:rsid w:val="51AB0FCD"/>
    <w:rsid w:val="51ACC862"/>
    <w:rsid w:val="51C7F42B"/>
    <w:rsid w:val="51F4FA81"/>
    <w:rsid w:val="520BCB8E"/>
    <w:rsid w:val="52207AAA"/>
    <w:rsid w:val="52248960"/>
    <w:rsid w:val="52276BAC"/>
    <w:rsid w:val="5228DE0A"/>
    <w:rsid w:val="5236BB11"/>
    <w:rsid w:val="523859F1"/>
    <w:rsid w:val="523D1E86"/>
    <w:rsid w:val="523D4CBF"/>
    <w:rsid w:val="52424EF3"/>
    <w:rsid w:val="524C1D73"/>
    <w:rsid w:val="52744FFF"/>
    <w:rsid w:val="52899BA3"/>
    <w:rsid w:val="528EE33E"/>
    <w:rsid w:val="529066CD"/>
    <w:rsid w:val="5298D38C"/>
    <w:rsid w:val="529CE793"/>
    <w:rsid w:val="52A67ABD"/>
    <w:rsid w:val="52AB8D79"/>
    <w:rsid w:val="52B89B0F"/>
    <w:rsid w:val="52BE4E3E"/>
    <w:rsid w:val="52C98526"/>
    <w:rsid w:val="52D52286"/>
    <w:rsid w:val="52D797B8"/>
    <w:rsid w:val="52E8591F"/>
    <w:rsid w:val="52E8A726"/>
    <w:rsid w:val="52ECF50F"/>
    <w:rsid w:val="530429F1"/>
    <w:rsid w:val="53107BFB"/>
    <w:rsid w:val="531B41D8"/>
    <w:rsid w:val="53276C04"/>
    <w:rsid w:val="532A30B0"/>
    <w:rsid w:val="533043BE"/>
    <w:rsid w:val="5330DC94"/>
    <w:rsid w:val="53324062"/>
    <w:rsid w:val="533DC0AE"/>
    <w:rsid w:val="5351CC84"/>
    <w:rsid w:val="53575B2C"/>
    <w:rsid w:val="53600ECF"/>
    <w:rsid w:val="53684039"/>
    <w:rsid w:val="5374C812"/>
    <w:rsid w:val="53818664"/>
    <w:rsid w:val="538285EF"/>
    <w:rsid w:val="538DC814"/>
    <w:rsid w:val="539090F3"/>
    <w:rsid w:val="539735F9"/>
    <w:rsid w:val="53AE2668"/>
    <w:rsid w:val="53B1A8BF"/>
    <w:rsid w:val="53B593ED"/>
    <w:rsid w:val="53BDAA59"/>
    <w:rsid w:val="53C08D91"/>
    <w:rsid w:val="53CB6122"/>
    <w:rsid w:val="53DBE61D"/>
    <w:rsid w:val="53DED61A"/>
    <w:rsid w:val="53E3C22B"/>
    <w:rsid w:val="53FA0D19"/>
    <w:rsid w:val="540D5AB3"/>
    <w:rsid w:val="541292FE"/>
    <w:rsid w:val="541A0AEF"/>
    <w:rsid w:val="542182B3"/>
    <w:rsid w:val="54245831"/>
    <w:rsid w:val="542F1FD9"/>
    <w:rsid w:val="54367C90"/>
    <w:rsid w:val="543734D3"/>
    <w:rsid w:val="543AB26D"/>
    <w:rsid w:val="5440B1BC"/>
    <w:rsid w:val="544B77BA"/>
    <w:rsid w:val="544F2AC5"/>
    <w:rsid w:val="54569CB4"/>
    <w:rsid w:val="5456C321"/>
    <w:rsid w:val="5458B186"/>
    <w:rsid w:val="546F7B71"/>
    <w:rsid w:val="5470524E"/>
    <w:rsid w:val="547054B5"/>
    <w:rsid w:val="54705DCF"/>
    <w:rsid w:val="547D1E83"/>
    <w:rsid w:val="54A01805"/>
    <w:rsid w:val="54A3E5EA"/>
    <w:rsid w:val="54AA390C"/>
    <w:rsid w:val="54CB905D"/>
    <w:rsid w:val="54D27EC0"/>
    <w:rsid w:val="54E3050E"/>
    <w:rsid w:val="54EFDBC8"/>
    <w:rsid w:val="54F1D997"/>
    <w:rsid w:val="54F5960E"/>
    <w:rsid w:val="5502A290"/>
    <w:rsid w:val="5528D3B0"/>
    <w:rsid w:val="552D6C80"/>
    <w:rsid w:val="5535E3FD"/>
    <w:rsid w:val="554D3D35"/>
    <w:rsid w:val="555D3990"/>
    <w:rsid w:val="5560C4D3"/>
    <w:rsid w:val="5565786E"/>
    <w:rsid w:val="556F9065"/>
    <w:rsid w:val="5582342D"/>
    <w:rsid w:val="558273EC"/>
    <w:rsid w:val="5586D041"/>
    <w:rsid w:val="55BD5314"/>
    <w:rsid w:val="55CDEBC3"/>
    <w:rsid w:val="55DE5BAE"/>
    <w:rsid w:val="55E04B9F"/>
    <w:rsid w:val="55E32E3B"/>
    <w:rsid w:val="55E47C5C"/>
    <w:rsid w:val="55F36E1B"/>
    <w:rsid w:val="55F50217"/>
    <w:rsid w:val="562C66DC"/>
    <w:rsid w:val="562EC645"/>
    <w:rsid w:val="5652BF9D"/>
    <w:rsid w:val="5659DD8A"/>
    <w:rsid w:val="565FC9B1"/>
    <w:rsid w:val="566101BF"/>
    <w:rsid w:val="568844F3"/>
    <w:rsid w:val="56892564"/>
    <w:rsid w:val="568AAD31"/>
    <w:rsid w:val="569F8CA2"/>
    <w:rsid w:val="56A8D07C"/>
    <w:rsid w:val="56AE7CA3"/>
    <w:rsid w:val="56BF6DE3"/>
    <w:rsid w:val="56C4BF21"/>
    <w:rsid w:val="56CE010E"/>
    <w:rsid w:val="56D01C60"/>
    <w:rsid w:val="56D2754E"/>
    <w:rsid w:val="56DD523B"/>
    <w:rsid w:val="56F1D292"/>
    <w:rsid w:val="56F38A98"/>
    <w:rsid w:val="56F7EB88"/>
    <w:rsid w:val="57005EAC"/>
    <w:rsid w:val="570220C6"/>
    <w:rsid w:val="571429C8"/>
    <w:rsid w:val="571676DC"/>
    <w:rsid w:val="5718DFAD"/>
    <w:rsid w:val="572AFCB0"/>
    <w:rsid w:val="5733C313"/>
    <w:rsid w:val="573798D8"/>
    <w:rsid w:val="573EDB60"/>
    <w:rsid w:val="57508B8A"/>
    <w:rsid w:val="57662F9A"/>
    <w:rsid w:val="57680167"/>
    <w:rsid w:val="576E16C1"/>
    <w:rsid w:val="5775F878"/>
    <w:rsid w:val="5776D694"/>
    <w:rsid w:val="577EFE9C"/>
    <w:rsid w:val="57830BFD"/>
    <w:rsid w:val="57888496"/>
    <w:rsid w:val="57A53142"/>
    <w:rsid w:val="57A5D212"/>
    <w:rsid w:val="57B9578C"/>
    <w:rsid w:val="57C4685D"/>
    <w:rsid w:val="57C494B5"/>
    <w:rsid w:val="57CBC3A1"/>
    <w:rsid w:val="57CE4108"/>
    <w:rsid w:val="57E1B0E7"/>
    <w:rsid w:val="57E532D9"/>
    <w:rsid w:val="57EB807C"/>
    <w:rsid w:val="57F0A5F3"/>
    <w:rsid w:val="57F5B8E5"/>
    <w:rsid w:val="57F8334A"/>
    <w:rsid w:val="57FE165D"/>
    <w:rsid w:val="57FE7AFE"/>
    <w:rsid w:val="5802F597"/>
    <w:rsid w:val="58285DF9"/>
    <w:rsid w:val="582DD0DE"/>
    <w:rsid w:val="58301FA5"/>
    <w:rsid w:val="583EBD5D"/>
    <w:rsid w:val="5846A791"/>
    <w:rsid w:val="5847D48E"/>
    <w:rsid w:val="584C3EA1"/>
    <w:rsid w:val="586E83ED"/>
    <w:rsid w:val="5871605A"/>
    <w:rsid w:val="587A1510"/>
    <w:rsid w:val="58884509"/>
    <w:rsid w:val="58911684"/>
    <w:rsid w:val="58967125"/>
    <w:rsid w:val="5896DFF7"/>
    <w:rsid w:val="5898124A"/>
    <w:rsid w:val="58A0D8A9"/>
    <w:rsid w:val="58AF21B4"/>
    <w:rsid w:val="58B01AC3"/>
    <w:rsid w:val="58B35AE2"/>
    <w:rsid w:val="58B61E88"/>
    <w:rsid w:val="58B718CC"/>
    <w:rsid w:val="58BB6766"/>
    <w:rsid w:val="58C3D1B0"/>
    <w:rsid w:val="58CE235C"/>
    <w:rsid w:val="58CFF4C4"/>
    <w:rsid w:val="58DD6D24"/>
    <w:rsid w:val="58DEE385"/>
    <w:rsid w:val="58FFB53A"/>
    <w:rsid w:val="59037C76"/>
    <w:rsid w:val="5905E671"/>
    <w:rsid w:val="590F86BA"/>
    <w:rsid w:val="59128FC2"/>
    <w:rsid w:val="59132A84"/>
    <w:rsid w:val="59181677"/>
    <w:rsid w:val="591EF0D9"/>
    <w:rsid w:val="5926B417"/>
    <w:rsid w:val="592B32F1"/>
    <w:rsid w:val="592F1976"/>
    <w:rsid w:val="5930A637"/>
    <w:rsid w:val="593443D9"/>
    <w:rsid w:val="59441F42"/>
    <w:rsid w:val="594776BC"/>
    <w:rsid w:val="594BCDBE"/>
    <w:rsid w:val="595CA400"/>
    <w:rsid w:val="5978520A"/>
    <w:rsid w:val="597C4623"/>
    <w:rsid w:val="597E15AF"/>
    <w:rsid w:val="597F9156"/>
    <w:rsid w:val="5984F150"/>
    <w:rsid w:val="5991C478"/>
    <w:rsid w:val="59A15FCF"/>
    <w:rsid w:val="59B91B47"/>
    <w:rsid w:val="59C0F9A7"/>
    <w:rsid w:val="59CAA8C5"/>
    <w:rsid w:val="59D47141"/>
    <w:rsid w:val="59D6DE7F"/>
    <w:rsid w:val="59D83523"/>
    <w:rsid w:val="59EEE831"/>
    <w:rsid w:val="59F5AE72"/>
    <w:rsid w:val="5A07070B"/>
    <w:rsid w:val="5A20C5C7"/>
    <w:rsid w:val="5A234D34"/>
    <w:rsid w:val="5A3ABDA8"/>
    <w:rsid w:val="5A452688"/>
    <w:rsid w:val="5A4BB41F"/>
    <w:rsid w:val="5A50B7FB"/>
    <w:rsid w:val="5A562798"/>
    <w:rsid w:val="5A5DA331"/>
    <w:rsid w:val="5A5E01CD"/>
    <w:rsid w:val="5A6961EA"/>
    <w:rsid w:val="5A6CBB80"/>
    <w:rsid w:val="5A6FF68C"/>
    <w:rsid w:val="5A71E1BB"/>
    <w:rsid w:val="5A8F8C9D"/>
    <w:rsid w:val="5A99D16A"/>
    <w:rsid w:val="5AB20827"/>
    <w:rsid w:val="5AB8BB9D"/>
    <w:rsid w:val="5ABA32E2"/>
    <w:rsid w:val="5ABCC9B7"/>
    <w:rsid w:val="5AC27C64"/>
    <w:rsid w:val="5AC55C8C"/>
    <w:rsid w:val="5ACEF9C0"/>
    <w:rsid w:val="5B041981"/>
    <w:rsid w:val="5B0B1282"/>
    <w:rsid w:val="5B0BA5D3"/>
    <w:rsid w:val="5B2CA1D6"/>
    <w:rsid w:val="5B33327E"/>
    <w:rsid w:val="5B371C8A"/>
    <w:rsid w:val="5B3826EB"/>
    <w:rsid w:val="5B4F9D1D"/>
    <w:rsid w:val="5B61831D"/>
    <w:rsid w:val="5B6352D8"/>
    <w:rsid w:val="5B662CEC"/>
    <w:rsid w:val="5B67E709"/>
    <w:rsid w:val="5B7CF298"/>
    <w:rsid w:val="5B7D7CBB"/>
    <w:rsid w:val="5B9CF12A"/>
    <w:rsid w:val="5BA070ED"/>
    <w:rsid w:val="5BAA0161"/>
    <w:rsid w:val="5BB22F5B"/>
    <w:rsid w:val="5BB8364D"/>
    <w:rsid w:val="5BCA66FE"/>
    <w:rsid w:val="5BCDBA91"/>
    <w:rsid w:val="5BCFC339"/>
    <w:rsid w:val="5BD54540"/>
    <w:rsid w:val="5BD69D00"/>
    <w:rsid w:val="5BD900D6"/>
    <w:rsid w:val="5BE0C8B8"/>
    <w:rsid w:val="5BE25137"/>
    <w:rsid w:val="5BFD1C0F"/>
    <w:rsid w:val="5C02489E"/>
    <w:rsid w:val="5C0C51AF"/>
    <w:rsid w:val="5C0DB21C"/>
    <w:rsid w:val="5C0E04BA"/>
    <w:rsid w:val="5C10E2AE"/>
    <w:rsid w:val="5C13099E"/>
    <w:rsid w:val="5C193B74"/>
    <w:rsid w:val="5C274CCB"/>
    <w:rsid w:val="5C35B54C"/>
    <w:rsid w:val="5C414369"/>
    <w:rsid w:val="5C458CC3"/>
    <w:rsid w:val="5C476D19"/>
    <w:rsid w:val="5C478AFD"/>
    <w:rsid w:val="5C4BA9B0"/>
    <w:rsid w:val="5C56AE53"/>
    <w:rsid w:val="5C62B9E1"/>
    <w:rsid w:val="5C6D52DB"/>
    <w:rsid w:val="5C83187D"/>
    <w:rsid w:val="5C83D524"/>
    <w:rsid w:val="5C915A82"/>
    <w:rsid w:val="5CB20B25"/>
    <w:rsid w:val="5CB65E91"/>
    <w:rsid w:val="5CB8BF32"/>
    <w:rsid w:val="5CCB7ADA"/>
    <w:rsid w:val="5CCC7533"/>
    <w:rsid w:val="5CCDE803"/>
    <w:rsid w:val="5CE42611"/>
    <w:rsid w:val="5CF0ACFD"/>
    <w:rsid w:val="5D0356FB"/>
    <w:rsid w:val="5D145545"/>
    <w:rsid w:val="5D195D38"/>
    <w:rsid w:val="5D1D4BD8"/>
    <w:rsid w:val="5D236EF0"/>
    <w:rsid w:val="5D2ABC9C"/>
    <w:rsid w:val="5D2B1663"/>
    <w:rsid w:val="5D2E3632"/>
    <w:rsid w:val="5D3F9115"/>
    <w:rsid w:val="5D4780D3"/>
    <w:rsid w:val="5D483CEE"/>
    <w:rsid w:val="5D4F3F87"/>
    <w:rsid w:val="5D4F65B2"/>
    <w:rsid w:val="5D56845F"/>
    <w:rsid w:val="5D5A2077"/>
    <w:rsid w:val="5D746528"/>
    <w:rsid w:val="5D75139E"/>
    <w:rsid w:val="5D78079F"/>
    <w:rsid w:val="5D799B20"/>
    <w:rsid w:val="5D86EFEA"/>
    <w:rsid w:val="5DA73838"/>
    <w:rsid w:val="5DAC999E"/>
    <w:rsid w:val="5DB40761"/>
    <w:rsid w:val="5DB8FA3D"/>
    <w:rsid w:val="5DBC8729"/>
    <w:rsid w:val="5DC3ABCC"/>
    <w:rsid w:val="5DD04262"/>
    <w:rsid w:val="5DD9257C"/>
    <w:rsid w:val="5DDED19D"/>
    <w:rsid w:val="5DEB326E"/>
    <w:rsid w:val="5DF05693"/>
    <w:rsid w:val="5DF10732"/>
    <w:rsid w:val="5DF2AC90"/>
    <w:rsid w:val="5DFE287D"/>
    <w:rsid w:val="5E01C2AC"/>
    <w:rsid w:val="5E024588"/>
    <w:rsid w:val="5E036C1D"/>
    <w:rsid w:val="5E055717"/>
    <w:rsid w:val="5E067B68"/>
    <w:rsid w:val="5E158724"/>
    <w:rsid w:val="5E1926F5"/>
    <w:rsid w:val="5E1AC6FC"/>
    <w:rsid w:val="5E21F95F"/>
    <w:rsid w:val="5E244379"/>
    <w:rsid w:val="5E2E51FE"/>
    <w:rsid w:val="5E321220"/>
    <w:rsid w:val="5E49C758"/>
    <w:rsid w:val="5E4AF43C"/>
    <w:rsid w:val="5E586867"/>
    <w:rsid w:val="5E5B8B7C"/>
    <w:rsid w:val="5E6C5BBC"/>
    <w:rsid w:val="5E7F98CD"/>
    <w:rsid w:val="5E82D503"/>
    <w:rsid w:val="5E8F6DE4"/>
    <w:rsid w:val="5E9C41A4"/>
    <w:rsid w:val="5EA9F6C1"/>
    <w:rsid w:val="5EC3AE3B"/>
    <w:rsid w:val="5EC4AF19"/>
    <w:rsid w:val="5ED2DC9E"/>
    <w:rsid w:val="5EDCEE58"/>
    <w:rsid w:val="5EF61E55"/>
    <w:rsid w:val="5F0F7689"/>
    <w:rsid w:val="5F135D0A"/>
    <w:rsid w:val="5F1CDF49"/>
    <w:rsid w:val="5F26D4AB"/>
    <w:rsid w:val="5F2AD538"/>
    <w:rsid w:val="5F2FCA7F"/>
    <w:rsid w:val="5F3384C5"/>
    <w:rsid w:val="5F3A735C"/>
    <w:rsid w:val="5F41270C"/>
    <w:rsid w:val="5F470E89"/>
    <w:rsid w:val="5F5D2F8F"/>
    <w:rsid w:val="5F6FBC2A"/>
    <w:rsid w:val="5F80B952"/>
    <w:rsid w:val="5F90EDBE"/>
    <w:rsid w:val="5F913F8D"/>
    <w:rsid w:val="5F9C853E"/>
    <w:rsid w:val="5FA4402F"/>
    <w:rsid w:val="5FA6E05E"/>
    <w:rsid w:val="5FC6F3D4"/>
    <w:rsid w:val="5FE02265"/>
    <w:rsid w:val="5FEAC5AF"/>
    <w:rsid w:val="6001CE40"/>
    <w:rsid w:val="60038A27"/>
    <w:rsid w:val="60060FF9"/>
    <w:rsid w:val="600951D5"/>
    <w:rsid w:val="600E63BB"/>
    <w:rsid w:val="600EA57E"/>
    <w:rsid w:val="6011A9B5"/>
    <w:rsid w:val="601270AE"/>
    <w:rsid w:val="603A9321"/>
    <w:rsid w:val="604B9065"/>
    <w:rsid w:val="604DC586"/>
    <w:rsid w:val="605773F2"/>
    <w:rsid w:val="6058AA50"/>
    <w:rsid w:val="605DB4BF"/>
    <w:rsid w:val="60609F0F"/>
    <w:rsid w:val="6064293A"/>
    <w:rsid w:val="606CFD71"/>
    <w:rsid w:val="6071101E"/>
    <w:rsid w:val="6078B91D"/>
    <w:rsid w:val="60886C86"/>
    <w:rsid w:val="6089C3D4"/>
    <w:rsid w:val="608D2921"/>
    <w:rsid w:val="608D2C8F"/>
    <w:rsid w:val="60937BDE"/>
    <w:rsid w:val="60AF97F1"/>
    <w:rsid w:val="60B61A60"/>
    <w:rsid w:val="60B6D05F"/>
    <w:rsid w:val="60BB7455"/>
    <w:rsid w:val="60C39FEF"/>
    <w:rsid w:val="60C798EF"/>
    <w:rsid w:val="60CC48B1"/>
    <w:rsid w:val="60D991F2"/>
    <w:rsid w:val="60D9FAFE"/>
    <w:rsid w:val="60E60B0D"/>
    <w:rsid w:val="60E62896"/>
    <w:rsid w:val="60EE2E76"/>
    <w:rsid w:val="60EF62C2"/>
    <w:rsid w:val="60FC3FD6"/>
    <w:rsid w:val="60FFA017"/>
    <w:rsid w:val="6118E19B"/>
    <w:rsid w:val="611905E7"/>
    <w:rsid w:val="6133780C"/>
    <w:rsid w:val="613B9401"/>
    <w:rsid w:val="613E8A0A"/>
    <w:rsid w:val="6142A495"/>
    <w:rsid w:val="61511FF3"/>
    <w:rsid w:val="61590D11"/>
    <w:rsid w:val="615EA63B"/>
    <w:rsid w:val="615FE2D6"/>
    <w:rsid w:val="616C0CC6"/>
    <w:rsid w:val="61738C0D"/>
    <w:rsid w:val="6174248B"/>
    <w:rsid w:val="61792302"/>
    <w:rsid w:val="6186153F"/>
    <w:rsid w:val="61874786"/>
    <w:rsid w:val="6190E2C0"/>
    <w:rsid w:val="619FC216"/>
    <w:rsid w:val="61B1042B"/>
    <w:rsid w:val="61B563B0"/>
    <w:rsid w:val="61BA55B2"/>
    <w:rsid w:val="61C00EE3"/>
    <w:rsid w:val="61D41722"/>
    <w:rsid w:val="61EF1E7A"/>
    <w:rsid w:val="61F5C0F1"/>
    <w:rsid w:val="6202C186"/>
    <w:rsid w:val="62045D87"/>
    <w:rsid w:val="62053DE0"/>
    <w:rsid w:val="6209DBA8"/>
    <w:rsid w:val="62169378"/>
    <w:rsid w:val="62245B87"/>
    <w:rsid w:val="6226B4E0"/>
    <w:rsid w:val="62303C52"/>
    <w:rsid w:val="624166C1"/>
    <w:rsid w:val="6248B1D8"/>
    <w:rsid w:val="624C8B0C"/>
    <w:rsid w:val="62526BB9"/>
    <w:rsid w:val="6252C5F2"/>
    <w:rsid w:val="625B0F5F"/>
    <w:rsid w:val="62635453"/>
    <w:rsid w:val="6266C5BE"/>
    <w:rsid w:val="62679BB1"/>
    <w:rsid w:val="626A2B1B"/>
    <w:rsid w:val="626B2587"/>
    <w:rsid w:val="626EA67F"/>
    <w:rsid w:val="6277343F"/>
    <w:rsid w:val="62792331"/>
    <w:rsid w:val="627AB21C"/>
    <w:rsid w:val="6280D336"/>
    <w:rsid w:val="62A4DFCF"/>
    <w:rsid w:val="62BBF9A2"/>
    <w:rsid w:val="62C05268"/>
    <w:rsid w:val="62D6191F"/>
    <w:rsid w:val="62D83DB7"/>
    <w:rsid w:val="62E9586B"/>
    <w:rsid w:val="62FA40B8"/>
    <w:rsid w:val="630DABD3"/>
    <w:rsid w:val="6315C233"/>
    <w:rsid w:val="63240E0D"/>
    <w:rsid w:val="63248B54"/>
    <w:rsid w:val="63374657"/>
    <w:rsid w:val="633CE968"/>
    <w:rsid w:val="63546843"/>
    <w:rsid w:val="637CF256"/>
    <w:rsid w:val="63875D4F"/>
    <w:rsid w:val="638B6B11"/>
    <w:rsid w:val="639AFC6E"/>
    <w:rsid w:val="639C568A"/>
    <w:rsid w:val="639E7701"/>
    <w:rsid w:val="63B2823E"/>
    <w:rsid w:val="63C765B6"/>
    <w:rsid w:val="63DC4A17"/>
    <w:rsid w:val="63DF9838"/>
    <w:rsid w:val="63E3677B"/>
    <w:rsid w:val="63E3BD7B"/>
    <w:rsid w:val="63F27307"/>
    <w:rsid w:val="63FFA7D4"/>
    <w:rsid w:val="6407DEF4"/>
    <w:rsid w:val="6423595C"/>
    <w:rsid w:val="642C2E38"/>
    <w:rsid w:val="642D86B2"/>
    <w:rsid w:val="64376A3F"/>
    <w:rsid w:val="6437CEB6"/>
    <w:rsid w:val="643C061B"/>
    <w:rsid w:val="644444BE"/>
    <w:rsid w:val="6446A992"/>
    <w:rsid w:val="644ABDE7"/>
    <w:rsid w:val="644AD515"/>
    <w:rsid w:val="64628A4E"/>
    <w:rsid w:val="6467E452"/>
    <w:rsid w:val="6476ED3F"/>
    <w:rsid w:val="647A4557"/>
    <w:rsid w:val="648A12A2"/>
    <w:rsid w:val="648DB056"/>
    <w:rsid w:val="648DBEF2"/>
    <w:rsid w:val="6490197D"/>
    <w:rsid w:val="64BC0B40"/>
    <w:rsid w:val="64C2792F"/>
    <w:rsid w:val="64C873D8"/>
    <w:rsid w:val="64C92A0B"/>
    <w:rsid w:val="64CCB4F9"/>
    <w:rsid w:val="64E4C9A1"/>
    <w:rsid w:val="64E53F6C"/>
    <w:rsid w:val="64E9A9CE"/>
    <w:rsid w:val="65089340"/>
    <w:rsid w:val="651A0586"/>
    <w:rsid w:val="652669AA"/>
    <w:rsid w:val="653B2A58"/>
    <w:rsid w:val="653D1F0A"/>
    <w:rsid w:val="654A6369"/>
    <w:rsid w:val="655A7923"/>
    <w:rsid w:val="6561CB91"/>
    <w:rsid w:val="6568611E"/>
    <w:rsid w:val="65692A30"/>
    <w:rsid w:val="6573C639"/>
    <w:rsid w:val="657C212B"/>
    <w:rsid w:val="657D01E5"/>
    <w:rsid w:val="658EBADC"/>
    <w:rsid w:val="658F6C63"/>
    <w:rsid w:val="659024E8"/>
    <w:rsid w:val="65902D03"/>
    <w:rsid w:val="6594191C"/>
    <w:rsid w:val="65A1DAB5"/>
    <w:rsid w:val="65A2C649"/>
    <w:rsid w:val="65A452DF"/>
    <w:rsid w:val="65AA6CDF"/>
    <w:rsid w:val="65B8C342"/>
    <w:rsid w:val="65BAA406"/>
    <w:rsid w:val="65C01422"/>
    <w:rsid w:val="65C3C780"/>
    <w:rsid w:val="65E8B2C9"/>
    <w:rsid w:val="65EC380A"/>
    <w:rsid w:val="65EFD9A2"/>
    <w:rsid w:val="65F10BD1"/>
    <w:rsid w:val="6610A834"/>
    <w:rsid w:val="6616372B"/>
    <w:rsid w:val="661C509B"/>
    <w:rsid w:val="66261AA4"/>
    <w:rsid w:val="66294BD3"/>
    <w:rsid w:val="662D0AAC"/>
    <w:rsid w:val="662E941F"/>
    <w:rsid w:val="6637206B"/>
    <w:rsid w:val="663E3937"/>
    <w:rsid w:val="663FA928"/>
    <w:rsid w:val="665B22BA"/>
    <w:rsid w:val="665E1A59"/>
    <w:rsid w:val="66720A28"/>
    <w:rsid w:val="6687F53C"/>
    <w:rsid w:val="668D793F"/>
    <w:rsid w:val="6695BDAE"/>
    <w:rsid w:val="669AD6F1"/>
    <w:rsid w:val="669F976B"/>
    <w:rsid w:val="66A3E28F"/>
    <w:rsid w:val="66A86822"/>
    <w:rsid w:val="66B9ED9A"/>
    <w:rsid w:val="66C353AA"/>
    <w:rsid w:val="66C3C042"/>
    <w:rsid w:val="66CF6BEE"/>
    <w:rsid w:val="66D1E89F"/>
    <w:rsid w:val="66D9E101"/>
    <w:rsid w:val="66E8003D"/>
    <w:rsid w:val="66FCE376"/>
    <w:rsid w:val="6706D3D2"/>
    <w:rsid w:val="6710A2D6"/>
    <w:rsid w:val="6711024C"/>
    <w:rsid w:val="6717DA6B"/>
    <w:rsid w:val="671BEB8C"/>
    <w:rsid w:val="673CF4C8"/>
    <w:rsid w:val="673E0CA4"/>
    <w:rsid w:val="67405222"/>
    <w:rsid w:val="67416D3E"/>
    <w:rsid w:val="67462F33"/>
    <w:rsid w:val="6748507A"/>
    <w:rsid w:val="6759EE1E"/>
    <w:rsid w:val="675B1E27"/>
    <w:rsid w:val="675F4D40"/>
    <w:rsid w:val="6767CC76"/>
    <w:rsid w:val="676E6DD4"/>
    <w:rsid w:val="6798C47F"/>
    <w:rsid w:val="679CFB9C"/>
    <w:rsid w:val="67B59B1A"/>
    <w:rsid w:val="67B67B64"/>
    <w:rsid w:val="67BB754A"/>
    <w:rsid w:val="67BDAE5C"/>
    <w:rsid w:val="67BE7F6F"/>
    <w:rsid w:val="67C1FB50"/>
    <w:rsid w:val="67CEDFE2"/>
    <w:rsid w:val="67D60F2C"/>
    <w:rsid w:val="67D6ECB0"/>
    <w:rsid w:val="67D9D763"/>
    <w:rsid w:val="67DB4014"/>
    <w:rsid w:val="67FF8D16"/>
    <w:rsid w:val="680A2C56"/>
    <w:rsid w:val="680BDF77"/>
    <w:rsid w:val="68126FFF"/>
    <w:rsid w:val="6812ACD8"/>
    <w:rsid w:val="6817A028"/>
    <w:rsid w:val="681BE037"/>
    <w:rsid w:val="68228B3E"/>
    <w:rsid w:val="6822CB4E"/>
    <w:rsid w:val="68273637"/>
    <w:rsid w:val="6831190A"/>
    <w:rsid w:val="68326781"/>
    <w:rsid w:val="683E1B97"/>
    <w:rsid w:val="683EB6D1"/>
    <w:rsid w:val="684052E0"/>
    <w:rsid w:val="6851304F"/>
    <w:rsid w:val="68583F02"/>
    <w:rsid w:val="68639570"/>
    <w:rsid w:val="6868ABCD"/>
    <w:rsid w:val="6873547D"/>
    <w:rsid w:val="6883A6A3"/>
    <w:rsid w:val="6892F777"/>
    <w:rsid w:val="68930D34"/>
    <w:rsid w:val="6896A20C"/>
    <w:rsid w:val="68989FF1"/>
    <w:rsid w:val="689DA26D"/>
    <w:rsid w:val="68A0E9A3"/>
    <w:rsid w:val="68A6FC7C"/>
    <w:rsid w:val="68AE2DF8"/>
    <w:rsid w:val="68BDADD9"/>
    <w:rsid w:val="68CCEF67"/>
    <w:rsid w:val="68D685F7"/>
    <w:rsid w:val="68E9816B"/>
    <w:rsid w:val="68EDA249"/>
    <w:rsid w:val="68FE8516"/>
    <w:rsid w:val="6913EDBF"/>
    <w:rsid w:val="692026D3"/>
    <w:rsid w:val="6920A9C8"/>
    <w:rsid w:val="6924BDE6"/>
    <w:rsid w:val="692EBE13"/>
    <w:rsid w:val="693439B5"/>
    <w:rsid w:val="6935FB71"/>
    <w:rsid w:val="69368952"/>
    <w:rsid w:val="693DB95A"/>
    <w:rsid w:val="693E2BF5"/>
    <w:rsid w:val="69569D06"/>
    <w:rsid w:val="695E08E4"/>
    <w:rsid w:val="69686AB5"/>
    <w:rsid w:val="69737B7D"/>
    <w:rsid w:val="697544A9"/>
    <w:rsid w:val="6977FBCA"/>
    <w:rsid w:val="697E89AA"/>
    <w:rsid w:val="697FE456"/>
    <w:rsid w:val="6986AD66"/>
    <w:rsid w:val="699F19C7"/>
    <w:rsid w:val="69A35BDF"/>
    <w:rsid w:val="69B607A8"/>
    <w:rsid w:val="69CFA1E5"/>
    <w:rsid w:val="69DCBE6E"/>
    <w:rsid w:val="69E37234"/>
    <w:rsid w:val="69E9237C"/>
    <w:rsid w:val="69F491CB"/>
    <w:rsid w:val="69F7CA73"/>
    <w:rsid w:val="69FF8C45"/>
    <w:rsid w:val="6A0F24DE"/>
    <w:rsid w:val="6A163A01"/>
    <w:rsid w:val="6A197DA0"/>
    <w:rsid w:val="6A215BBB"/>
    <w:rsid w:val="6A2BBAD2"/>
    <w:rsid w:val="6A3B7097"/>
    <w:rsid w:val="6A3C20D4"/>
    <w:rsid w:val="6A49CF9E"/>
    <w:rsid w:val="6A4FB087"/>
    <w:rsid w:val="6A57659A"/>
    <w:rsid w:val="6A63250C"/>
    <w:rsid w:val="6A6CB101"/>
    <w:rsid w:val="6A6FF780"/>
    <w:rsid w:val="6A759E1F"/>
    <w:rsid w:val="6A7B810F"/>
    <w:rsid w:val="6A977379"/>
    <w:rsid w:val="6A9F7011"/>
    <w:rsid w:val="6AACADA2"/>
    <w:rsid w:val="6AC418CF"/>
    <w:rsid w:val="6AC88EED"/>
    <w:rsid w:val="6ADB9A8C"/>
    <w:rsid w:val="6AE5AAA7"/>
    <w:rsid w:val="6AF4121B"/>
    <w:rsid w:val="6AF88722"/>
    <w:rsid w:val="6AFEB973"/>
    <w:rsid w:val="6B1C66BF"/>
    <w:rsid w:val="6B292702"/>
    <w:rsid w:val="6B2A4582"/>
    <w:rsid w:val="6B2B8532"/>
    <w:rsid w:val="6B2CB3E4"/>
    <w:rsid w:val="6B39BEA1"/>
    <w:rsid w:val="6B48789A"/>
    <w:rsid w:val="6B48C6B3"/>
    <w:rsid w:val="6B511451"/>
    <w:rsid w:val="6B5146C0"/>
    <w:rsid w:val="6B5272BE"/>
    <w:rsid w:val="6B56E1DE"/>
    <w:rsid w:val="6B5E23A4"/>
    <w:rsid w:val="6B620163"/>
    <w:rsid w:val="6B6540D3"/>
    <w:rsid w:val="6B676B08"/>
    <w:rsid w:val="6B67E651"/>
    <w:rsid w:val="6B69EA06"/>
    <w:rsid w:val="6B74C67C"/>
    <w:rsid w:val="6B77D95E"/>
    <w:rsid w:val="6B7B8197"/>
    <w:rsid w:val="6B866FF3"/>
    <w:rsid w:val="6B881E41"/>
    <w:rsid w:val="6B9A76D7"/>
    <w:rsid w:val="6BA6171E"/>
    <w:rsid w:val="6BA8ABDF"/>
    <w:rsid w:val="6BA8F183"/>
    <w:rsid w:val="6BB315C3"/>
    <w:rsid w:val="6BB335C4"/>
    <w:rsid w:val="6BB7D817"/>
    <w:rsid w:val="6BBC72F6"/>
    <w:rsid w:val="6BCA24FB"/>
    <w:rsid w:val="6BD03604"/>
    <w:rsid w:val="6BDA44F5"/>
    <w:rsid w:val="6BDABD0A"/>
    <w:rsid w:val="6BE97CF6"/>
    <w:rsid w:val="6C056FE5"/>
    <w:rsid w:val="6C095D69"/>
    <w:rsid w:val="6C0F7302"/>
    <w:rsid w:val="6C1AA2F1"/>
    <w:rsid w:val="6C2967A4"/>
    <w:rsid w:val="6C2F55A6"/>
    <w:rsid w:val="6C3C1747"/>
    <w:rsid w:val="6C432724"/>
    <w:rsid w:val="6C441361"/>
    <w:rsid w:val="6C6F04C0"/>
    <w:rsid w:val="6C7821F0"/>
    <w:rsid w:val="6C960175"/>
    <w:rsid w:val="6CA2752D"/>
    <w:rsid w:val="6CAA1270"/>
    <w:rsid w:val="6CBA4637"/>
    <w:rsid w:val="6CC8FB56"/>
    <w:rsid w:val="6CCAC7AC"/>
    <w:rsid w:val="6CDB6BD6"/>
    <w:rsid w:val="6CEBFB34"/>
    <w:rsid w:val="6D08BFC5"/>
    <w:rsid w:val="6D09F942"/>
    <w:rsid w:val="6D1B80BB"/>
    <w:rsid w:val="6D2F5022"/>
    <w:rsid w:val="6D32A118"/>
    <w:rsid w:val="6D353BC5"/>
    <w:rsid w:val="6D3CC89F"/>
    <w:rsid w:val="6D3EC9C6"/>
    <w:rsid w:val="6D5DF8C7"/>
    <w:rsid w:val="6D6C57CB"/>
    <w:rsid w:val="6D77FDA8"/>
    <w:rsid w:val="6D86D6D7"/>
    <w:rsid w:val="6D8A3982"/>
    <w:rsid w:val="6D8D38C2"/>
    <w:rsid w:val="6D977ED8"/>
    <w:rsid w:val="6D98DFA6"/>
    <w:rsid w:val="6D9BBDEA"/>
    <w:rsid w:val="6DA2498A"/>
    <w:rsid w:val="6DAB5C7B"/>
    <w:rsid w:val="6DB76CFF"/>
    <w:rsid w:val="6DBB8023"/>
    <w:rsid w:val="6DE832EB"/>
    <w:rsid w:val="6DEA9565"/>
    <w:rsid w:val="6E068E68"/>
    <w:rsid w:val="6E11284B"/>
    <w:rsid w:val="6E17C0BD"/>
    <w:rsid w:val="6E1FE5E6"/>
    <w:rsid w:val="6E4E7A98"/>
    <w:rsid w:val="6E5094BF"/>
    <w:rsid w:val="6E579FAF"/>
    <w:rsid w:val="6E61D387"/>
    <w:rsid w:val="6E63E3FC"/>
    <w:rsid w:val="6E707064"/>
    <w:rsid w:val="6E75941E"/>
    <w:rsid w:val="6E78B256"/>
    <w:rsid w:val="6E82E0F4"/>
    <w:rsid w:val="6E85EF97"/>
    <w:rsid w:val="6E866820"/>
    <w:rsid w:val="6E911095"/>
    <w:rsid w:val="6E977DC7"/>
    <w:rsid w:val="6EA092BE"/>
    <w:rsid w:val="6EB7BD68"/>
    <w:rsid w:val="6EB8C013"/>
    <w:rsid w:val="6EC9DDDE"/>
    <w:rsid w:val="6ECE5882"/>
    <w:rsid w:val="6ED4735C"/>
    <w:rsid w:val="6EDC8212"/>
    <w:rsid w:val="6EE4B6BD"/>
    <w:rsid w:val="6EEF631A"/>
    <w:rsid w:val="6EF77B16"/>
    <w:rsid w:val="6EFC4AFC"/>
    <w:rsid w:val="6F0683D9"/>
    <w:rsid w:val="6F18E2F0"/>
    <w:rsid w:val="6F20BED3"/>
    <w:rsid w:val="6F40F918"/>
    <w:rsid w:val="6F4CECC6"/>
    <w:rsid w:val="6F528885"/>
    <w:rsid w:val="6F5685EC"/>
    <w:rsid w:val="6F786346"/>
    <w:rsid w:val="6F8BF6E5"/>
    <w:rsid w:val="6F8F1B75"/>
    <w:rsid w:val="6F95F214"/>
    <w:rsid w:val="6F968EB3"/>
    <w:rsid w:val="6FA8798E"/>
    <w:rsid w:val="6FB5D2D1"/>
    <w:rsid w:val="6FBC8158"/>
    <w:rsid w:val="6FC372E7"/>
    <w:rsid w:val="6FCDFD96"/>
    <w:rsid w:val="6FCE4EC4"/>
    <w:rsid w:val="6FE0DDF8"/>
    <w:rsid w:val="6FE1404A"/>
    <w:rsid w:val="6FE5E616"/>
    <w:rsid w:val="6FF4EABD"/>
    <w:rsid w:val="6FFDB412"/>
    <w:rsid w:val="6FFFB45D"/>
    <w:rsid w:val="7005C718"/>
    <w:rsid w:val="7007F4B9"/>
    <w:rsid w:val="701F7BF3"/>
    <w:rsid w:val="70225167"/>
    <w:rsid w:val="7027977E"/>
    <w:rsid w:val="702AAFEB"/>
    <w:rsid w:val="703A5167"/>
    <w:rsid w:val="7060590F"/>
    <w:rsid w:val="7070CD9E"/>
    <w:rsid w:val="70A3C5BC"/>
    <w:rsid w:val="70B43181"/>
    <w:rsid w:val="70B50578"/>
    <w:rsid w:val="70BB36E4"/>
    <w:rsid w:val="70C34DFC"/>
    <w:rsid w:val="70D0D457"/>
    <w:rsid w:val="70DBA4BA"/>
    <w:rsid w:val="70DF263A"/>
    <w:rsid w:val="70E1E7CC"/>
    <w:rsid w:val="70E78DBB"/>
    <w:rsid w:val="70E96539"/>
    <w:rsid w:val="71015ECC"/>
    <w:rsid w:val="7112D1F1"/>
    <w:rsid w:val="71241B08"/>
    <w:rsid w:val="7125B1B0"/>
    <w:rsid w:val="71297131"/>
    <w:rsid w:val="71340477"/>
    <w:rsid w:val="713ED6ED"/>
    <w:rsid w:val="7143B53D"/>
    <w:rsid w:val="71547541"/>
    <w:rsid w:val="716B995A"/>
    <w:rsid w:val="717404F2"/>
    <w:rsid w:val="718F91B9"/>
    <w:rsid w:val="719DF242"/>
    <w:rsid w:val="71A8BB80"/>
    <w:rsid w:val="71BDD4BE"/>
    <w:rsid w:val="71C06F7F"/>
    <w:rsid w:val="71C6BB28"/>
    <w:rsid w:val="71CA2A96"/>
    <w:rsid w:val="71D4634F"/>
    <w:rsid w:val="71E1198A"/>
    <w:rsid w:val="71FA6628"/>
    <w:rsid w:val="72001747"/>
    <w:rsid w:val="72014137"/>
    <w:rsid w:val="7209E72D"/>
    <w:rsid w:val="7226F9AD"/>
    <w:rsid w:val="722DDEA8"/>
    <w:rsid w:val="722E7B98"/>
    <w:rsid w:val="7241B80F"/>
    <w:rsid w:val="72422A10"/>
    <w:rsid w:val="72448B48"/>
    <w:rsid w:val="7246EC56"/>
    <w:rsid w:val="72507324"/>
    <w:rsid w:val="7252B68D"/>
    <w:rsid w:val="725376DA"/>
    <w:rsid w:val="72553FC2"/>
    <w:rsid w:val="72601903"/>
    <w:rsid w:val="7261C300"/>
    <w:rsid w:val="7265D1CD"/>
    <w:rsid w:val="72682D98"/>
    <w:rsid w:val="7274AF7B"/>
    <w:rsid w:val="727B44A4"/>
    <w:rsid w:val="7285EAB2"/>
    <w:rsid w:val="728D9B20"/>
    <w:rsid w:val="72908166"/>
    <w:rsid w:val="72A12498"/>
    <w:rsid w:val="72AE429B"/>
    <w:rsid w:val="72B0A73B"/>
    <w:rsid w:val="72B7C2EF"/>
    <w:rsid w:val="72CCB065"/>
    <w:rsid w:val="72CCD521"/>
    <w:rsid w:val="72D3B135"/>
    <w:rsid w:val="72DA34DC"/>
    <w:rsid w:val="72E63539"/>
    <w:rsid w:val="73002B97"/>
    <w:rsid w:val="730418EC"/>
    <w:rsid w:val="73054D7A"/>
    <w:rsid w:val="73071668"/>
    <w:rsid w:val="730769BB"/>
    <w:rsid w:val="73155C81"/>
    <w:rsid w:val="731DED57"/>
    <w:rsid w:val="7327EEDE"/>
    <w:rsid w:val="73357C12"/>
    <w:rsid w:val="733C4A12"/>
    <w:rsid w:val="733DD8F7"/>
    <w:rsid w:val="7342FE4E"/>
    <w:rsid w:val="734399FF"/>
    <w:rsid w:val="73460BB6"/>
    <w:rsid w:val="73524844"/>
    <w:rsid w:val="735AAA5F"/>
    <w:rsid w:val="735AADBB"/>
    <w:rsid w:val="735FE570"/>
    <w:rsid w:val="736DA24F"/>
    <w:rsid w:val="736E74EC"/>
    <w:rsid w:val="737D0D20"/>
    <w:rsid w:val="737E7C06"/>
    <w:rsid w:val="73818C02"/>
    <w:rsid w:val="73821337"/>
    <w:rsid w:val="7393BE22"/>
    <w:rsid w:val="7394048C"/>
    <w:rsid w:val="7395E686"/>
    <w:rsid w:val="739B63E5"/>
    <w:rsid w:val="73A6806C"/>
    <w:rsid w:val="73C41849"/>
    <w:rsid w:val="73C80433"/>
    <w:rsid w:val="73D1A599"/>
    <w:rsid w:val="73DC23B5"/>
    <w:rsid w:val="73F80732"/>
    <w:rsid w:val="740128DD"/>
    <w:rsid w:val="740AEE9B"/>
    <w:rsid w:val="74171505"/>
    <w:rsid w:val="7419F8EA"/>
    <w:rsid w:val="741A6C23"/>
    <w:rsid w:val="7422E28B"/>
    <w:rsid w:val="74282B2B"/>
    <w:rsid w:val="7440A36C"/>
    <w:rsid w:val="74446AB1"/>
    <w:rsid w:val="7448FA29"/>
    <w:rsid w:val="7450FD4A"/>
    <w:rsid w:val="7456A186"/>
    <w:rsid w:val="7472F67C"/>
    <w:rsid w:val="7474FDB9"/>
    <w:rsid w:val="748BE584"/>
    <w:rsid w:val="748E06D9"/>
    <w:rsid w:val="749787C8"/>
    <w:rsid w:val="74991542"/>
    <w:rsid w:val="749E1823"/>
    <w:rsid w:val="74A33A1C"/>
    <w:rsid w:val="74A8B9EA"/>
    <w:rsid w:val="74B9F4A3"/>
    <w:rsid w:val="74C52953"/>
    <w:rsid w:val="74C8DCF1"/>
    <w:rsid w:val="74C96F03"/>
    <w:rsid w:val="74CE8ECD"/>
    <w:rsid w:val="74CFCE1B"/>
    <w:rsid w:val="74DD681B"/>
    <w:rsid w:val="74EA3E79"/>
    <w:rsid w:val="74EE4648"/>
    <w:rsid w:val="750210BA"/>
    <w:rsid w:val="75042ABB"/>
    <w:rsid w:val="7507DACC"/>
    <w:rsid w:val="750DBB77"/>
    <w:rsid w:val="7514628C"/>
    <w:rsid w:val="751A9C2F"/>
    <w:rsid w:val="751AB279"/>
    <w:rsid w:val="7522D269"/>
    <w:rsid w:val="754D5D81"/>
    <w:rsid w:val="755008A0"/>
    <w:rsid w:val="755201ED"/>
    <w:rsid w:val="75579901"/>
    <w:rsid w:val="75624BCE"/>
    <w:rsid w:val="7574099F"/>
    <w:rsid w:val="7575268B"/>
    <w:rsid w:val="75761B39"/>
    <w:rsid w:val="75810901"/>
    <w:rsid w:val="7599A9A6"/>
    <w:rsid w:val="75A07BBA"/>
    <w:rsid w:val="75AAFB70"/>
    <w:rsid w:val="75B65477"/>
    <w:rsid w:val="75D2860F"/>
    <w:rsid w:val="75DB99FC"/>
    <w:rsid w:val="75DC693A"/>
    <w:rsid w:val="7615E509"/>
    <w:rsid w:val="7616B05C"/>
    <w:rsid w:val="762159EC"/>
    <w:rsid w:val="7624CF6A"/>
    <w:rsid w:val="762DE6AB"/>
    <w:rsid w:val="763B43CA"/>
    <w:rsid w:val="76442212"/>
    <w:rsid w:val="7659C29F"/>
    <w:rsid w:val="766AF9D2"/>
    <w:rsid w:val="767FF87F"/>
    <w:rsid w:val="7682D86E"/>
    <w:rsid w:val="76838D42"/>
    <w:rsid w:val="7688591A"/>
    <w:rsid w:val="76928F53"/>
    <w:rsid w:val="76976C2D"/>
    <w:rsid w:val="769E44E9"/>
    <w:rsid w:val="76B1CB15"/>
    <w:rsid w:val="76B7EE8F"/>
    <w:rsid w:val="76D2F8FA"/>
    <w:rsid w:val="76D9113B"/>
    <w:rsid w:val="76DC685D"/>
    <w:rsid w:val="76E30372"/>
    <w:rsid w:val="76E6F943"/>
    <w:rsid w:val="76E8DC90"/>
    <w:rsid w:val="76EC0032"/>
    <w:rsid w:val="76FA11B4"/>
    <w:rsid w:val="76FC7C3C"/>
    <w:rsid w:val="76FE7E5F"/>
    <w:rsid w:val="770C2928"/>
    <w:rsid w:val="77124479"/>
    <w:rsid w:val="7712C574"/>
    <w:rsid w:val="7727303E"/>
    <w:rsid w:val="772E5314"/>
    <w:rsid w:val="7742797B"/>
    <w:rsid w:val="776289A3"/>
    <w:rsid w:val="776A86F1"/>
    <w:rsid w:val="776D067C"/>
    <w:rsid w:val="776E27F7"/>
    <w:rsid w:val="7787E9BF"/>
    <w:rsid w:val="77A3851C"/>
    <w:rsid w:val="77A5AB33"/>
    <w:rsid w:val="77B1FD2F"/>
    <w:rsid w:val="77B5D47F"/>
    <w:rsid w:val="77BB468C"/>
    <w:rsid w:val="77C0755D"/>
    <w:rsid w:val="77D5E9BF"/>
    <w:rsid w:val="77DB5B49"/>
    <w:rsid w:val="77DBF658"/>
    <w:rsid w:val="77E29980"/>
    <w:rsid w:val="77EC80FE"/>
    <w:rsid w:val="77EE5D1D"/>
    <w:rsid w:val="77F33C2D"/>
    <w:rsid w:val="77FED7CB"/>
    <w:rsid w:val="780311CA"/>
    <w:rsid w:val="78085CF3"/>
    <w:rsid w:val="781C5EC3"/>
    <w:rsid w:val="78226078"/>
    <w:rsid w:val="7835AA52"/>
    <w:rsid w:val="783D9C16"/>
    <w:rsid w:val="783EDE81"/>
    <w:rsid w:val="78460887"/>
    <w:rsid w:val="78501976"/>
    <w:rsid w:val="78528A76"/>
    <w:rsid w:val="7852AC32"/>
    <w:rsid w:val="78564850"/>
    <w:rsid w:val="785BB205"/>
    <w:rsid w:val="786D26E7"/>
    <w:rsid w:val="786DBBFE"/>
    <w:rsid w:val="78747666"/>
    <w:rsid w:val="78755662"/>
    <w:rsid w:val="7876A1DD"/>
    <w:rsid w:val="787E304C"/>
    <w:rsid w:val="78991154"/>
    <w:rsid w:val="78A3ADAC"/>
    <w:rsid w:val="78AC4D93"/>
    <w:rsid w:val="78B97A9B"/>
    <w:rsid w:val="78C07A32"/>
    <w:rsid w:val="78CFAC29"/>
    <w:rsid w:val="78DA43FB"/>
    <w:rsid w:val="78DB0CB1"/>
    <w:rsid w:val="78EA94C0"/>
    <w:rsid w:val="78ED5966"/>
    <w:rsid w:val="790008EA"/>
    <w:rsid w:val="7910E884"/>
    <w:rsid w:val="79196555"/>
    <w:rsid w:val="7925AD2E"/>
    <w:rsid w:val="792EA690"/>
    <w:rsid w:val="794703D0"/>
    <w:rsid w:val="794AA00C"/>
    <w:rsid w:val="7958AB56"/>
    <w:rsid w:val="79859127"/>
    <w:rsid w:val="79A091F7"/>
    <w:rsid w:val="79A6662D"/>
    <w:rsid w:val="79AD39E5"/>
    <w:rsid w:val="79AF51A3"/>
    <w:rsid w:val="79B8C966"/>
    <w:rsid w:val="79B95EA3"/>
    <w:rsid w:val="79BB886B"/>
    <w:rsid w:val="79CA7E55"/>
    <w:rsid w:val="79CAE848"/>
    <w:rsid w:val="79D812F0"/>
    <w:rsid w:val="79DC35D0"/>
    <w:rsid w:val="79DF3E56"/>
    <w:rsid w:val="79F51C03"/>
    <w:rsid w:val="7A18818B"/>
    <w:rsid w:val="7A1F178C"/>
    <w:rsid w:val="7A2307AE"/>
    <w:rsid w:val="7A2462C0"/>
    <w:rsid w:val="7A477B68"/>
    <w:rsid w:val="7A495D7A"/>
    <w:rsid w:val="7A4B71D5"/>
    <w:rsid w:val="7A5B44EA"/>
    <w:rsid w:val="7A5D03F1"/>
    <w:rsid w:val="7A65CDC9"/>
    <w:rsid w:val="7A674ACE"/>
    <w:rsid w:val="7A73F9B8"/>
    <w:rsid w:val="7A740F17"/>
    <w:rsid w:val="7A8B96F2"/>
    <w:rsid w:val="7A8DE430"/>
    <w:rsid w:val="7A9FFEDA"/>
    <w:rsid w:val="7AAEB52C"/>
    <w:rsid w:val="7AB6FDD2"/>
    <w:rsid w:val="7AB8B915"/>
    <w:rsid w:val="7ABCCDB2"/>
    <w:rsid w:val="7ACDE43B"/>
    <w:rsid w:val="7ACEF395"/>
    <w:rsid w:val="7ADAC3EF"/>
    <w:rsid w:val="7AE50C95"/>
    <w:rsid w:val="7B042D22"/>
    <w:rsid w:val="7B047FD1"/>
    <w:rsid w:val="7B242866"/>
    <w:rsid w:val="7B2C9D8F"/>
    <w:rsid w:val="7B3284BD"/>
    <w:rsid w:val="7B32FA7B"/>
    <w:rsid w:val="7B46B8E2"/>
    <w:rsid w:val="7B48570A"/>
    <w:rsid w:val="7B4C7F70"/>
    <w:rsid w:val="7B5C8883"/>
    <w:rsid w:val="7B887DB8"/>
    <w:rsid w:val="7B8D7A63"/>
    <w:rsid w:val="7B93758A"/>
    <w:rsid w:val="7B97E20E"/>
    <w:rsid w:val="7B9A0503"/>
    <w:rsid w:val="7B9D5FCA"/>
    <w:rsid w:val="7BA02E89"/>
    <w:rsid w:val="7BA2523B"/>
    <w:rsid w:val="7BA3019C"/>
    <w:rsid w:val="7BA63636"/>
    <w:rsid w:val="7BAC5162"/>
    <w:rsid w:val="7BB2FB90"/>
    <w:rsid w:val="7BBFF636"/>
    <w:rsid w:val="7BCECF57"/>
    <w:rsid w:val="7BD7ADE7"/>
    <w:rsid w:val="7BD8C904"/>
    <w:rsid w:val="7BD995C2"/>
    <w:rsid w:val="7BF946D1"/>
    <w:rsid w:val="7C0B9978"/>
    <w:rsid w:val="7C18F05B"/>
    <w:rsid w:val="7C1B087A"/>
    <w:rsid w:val="7C1E99BE"/>
    <w:rsid w:val="7C243D23"/>
    <w:rsid w:val="7C26BCB3"/>
    <w:rsid w:val="7C27E971"/>
    <w:rsid w:val="7C306799"/>
    <w:rsid w:val="7C321DF2"/>
    <w:rsid w:val="7C39A2AD"/>
    <w:rsid w:val="7C436CF3"/>
    <w:rsid w:val="7C485814"/>
    <w:rsid w:val="7C48BCBB"/>
    <w:rsid w:val="7C577684"/>
    <w:rsid w:val="7C602D95"/>
    <w:rsid w:val="7C826AD6"/>
    <w:rsid w:val="7C83D6E7"/>
    <w:rsid w:val="7C932DC7"/>
    <w:rsid w:val="7CA2E7B7"/>
    <w:rsid w:val="7CA36B8A"/>
    <w:rsid w:val="7CBA5471"/>
    <w:rsid w:val="7CCDD469"/>
    <w:rsid w:val="7CCEA399"/>
    <w:rsid w:val="7CD10FE9"/>
    <w:rsid w:val="7CD6CB1E"/>
    <w:rsid w:val="7CDEFA7D"/>
    <w:rsid w:val="7CE033DE"/>
    <w:rsid w:val="7CEB9D6B"/>
    <w:rsid w:val="7CF1BCDE"/>
    <w:rsid w:val="7CF30029"/>
    <w:rsid w:val="7CF52F21"/>
    <w:rsid w:val="7CF80971"/>
    <w:rsid w:val="7CF8B7AF"/>
    <w:rsid w:val="7D09009A"/>
    <w:rsid w:val="7D0C74BD"/>
    <w:rsid w:val="7D1E7E11"/>
    <w:rsid w:val="7D25F093"/>
    <w:rsid w:val="7D289DFE"/>
    <w:rsid w:val="7D30D055"/>
    <w:rsid w:val="7D3A53DD"/>
    <w:rsid w:val="7D4134D9"/>
    <w:rsid w:val="7D4CC77A"/>
    <w:rsid w:val="7D55904E"/>
    <w:rsid w:val="7D59C6C9"/>
    <w:rsid w:val="7D75D960"/>
    <w:rsid w:val="7D79D2DA"/>
    <w:rsid w:val="7D79F193"/>
    <w:rsid w:val="7D7E1ABA"/>
    <w:rsid w:val="7D8464D8"/>
    <w:rsid w:val="7D8DA133"/>
    <w:rsid w:val="7D90E14B"/>
    <w:rsid w:val="7D945469"/>
    <w:rsid w:val="7DA1FA2B"/>
    <w:rsid w:val="7DB492D1"/>
    <w:rsid w:val="7DBAC596"/>
    <w:rsid w:val="7DCC5B44"/>
    <w:rsid w:val="7DD22A31"/>
    <w:rsid w:val="7DF805E9"/>
    <w:rsid w:val="7E1513AA"/>
    <w:rsid w:val="7E196B52"/>
    <w:rsid w:val="7E1A6625"/>
    <w:rsid w:val="7E1F98A9"/>
    <w:rsid w:val="7E29BAF5"/>
    <w:rsid w:val="7E2B12F3"/>
    <w:rsid w:val="7E333A89"/>
    <w:rsid w:val="7E40BFE3"/>
    <w:rsid w:val="7E480BBC"/>
    <w:rsid w:val="7E4C6A4C"/>
    <w:rsid w:val="7E5B83BC"/>
    <w:rsid w:val="7E67F655"/>
    <w:rsid w:val="7E72A467"/>
    <w:rsid w:val="7E752C58"/>
    <w:rsid w:val="7E85BAF4"/>
    <w:rsid w:val="7E86A2EC"/>
    <w:rsid w:val="7E870A25"/>
    <w:rsid w:val="7E8A5511"/>
    <w:rsid w:val="7E8C6197"/>
    <w:rsid w:val="7E90C3E8"/>
    <w:rsid w:val="7E9A17AE"/>
    <w:rsid w:val="7EA3DE47"/>
    <w:rsid w:val="7EAC9EEB"/>
    <w:rsid w:val="7EC3B113"/>
    <w:rsid w:val="7ECA4899"/>
    <w:rsid w:val="7ECA824E"/>
    <w:rsid w:val="7ECBFB33"/>
    <w:rsid w:val="7ED18D50"/>
    <w:rsid w:val="7ED23CE3"/>
    <w:rsid w:val="7EDCC199"/>
    <w:rsid w:val="7EE52BE8"/>
    <w:rsid w:val="7EEB4648"/>
    <w:rsid w:val="7EF07132"/>
    <w:rsid w:val="7EF51246"/>
    <w:rsid w:val="7F1503DF"/>
    <w:rsid w:val="7F1715BB"/>
    <w:rsid w:val="7F28F4BF"/>
    <w:rsid w:val="7F292B7F"/>
    <w:rsid w:val="7F2A2230"/>
    <w:rsid w:val="7F38A8D4"/>
    <w:rsid w:val="7F42B2DB"/>
    <w:rsid w:val="7F437E9F"/>
    <w:rsid w:val="7F444610"/>
    <w:rsid w:val="7F51A14A"/>
    <w:rsid w:val="7F570B59"/>
    <w:rsid w:val="7F57FC5B"/>
    <w:rsid w:val="7F590A48"/>
    <w:rsid w:val="7F5AFC0E"/>
    <w:rsid w:val="7F5E190E"/>
    <w:rsid w:val="7F670CDE"/>
    <w:rsid w:val="7F8356A3"/>
    <w:rsid w:val="7F911FF9"/>
    <w:rsid w:val="7F931B39"/>
    <w:rsid w:val="7F9ECACD"/>
    <w:rsid w:val="7FA3C3E0"/>
    <w:rsid w:val="7FA3CC1A"/>
    <w:rsid w:val="7FD35461"/>
    <w:rsid w:val="7FD52A0D"/>
    <w:rsid w:val="7FD80FB2"/>
    <w:rsid w:val="7FE50F9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63273389"/>
  <w15:docId w15:val="{D83966C1-F224-4538-AC87-BC69871C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956AF"/>
    <w:rPr>
      <w:rFonts w:cs="Times New Roman"/>
      <w:sz w:val="16"/>
      <w:szCs w:val="16"/>
    </w:rPr>
  </w:style>
  <w:style w:type="paragraph" w:customStyle="1" w:styleId="Default">
    <w:name w:val="Default"/>
    <w:rsid w:val="001956A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List,Ordered list,Bullet list,1st level - Bullet List Paragraph,List Paragraph11,Lettre d'introduction,Medium Grid 1 - Accent 21,Normal bullet 2,Numbered List,Paragraphe de liste 2,Reference list,Paragraph,Bullet EY,List1,b1,Dot pt,No TOC"/>
    <w:basedOn w:val="Normal"/>
    <w:link w:val="ListParagraphChar"/>
    <w:uiPriority w:val="34"/>
    <w:qFormat/>
    <w:rsid w:val="001956AF"/>
    <w:pPr>
      <w:ind w:left="720"/>
      <w:contextualSpacing/>
    </w:pPr>
  </w:style>
  <w:style w:type="paragraph" w:customStyle="1" w:styleId="LegalNumPar">
    <w:name w:val="LegalNumPar"/>
    <w:basedOn w:val="Normal"/>
    <w:rsid w:val="001956AF"/>
    <w:pPr>
      <w:numPr>
        <w:numId w:val="1"/>
      </w:numPr>
      <w:spacing w:line="360" w:lineRule="auto"/>
    </w:pPr>
  </w:style>
  <w:style w:type="paragraph" w:customStyle="1" w:styleId="LegalNumPar2">
    <w:name w:val="LegalNumPar2"/>
    <w:basedOn w:val="Normal"/>
    <w:rsid w:val="001956AF"/>
    <w:pPr>
      <w:numPr>
        <w:ilvl w:val="1"/>
        <w:numId w:val="1"/>
      </w:numPr>
      <w:spacing w:line="360" w:lineRule="auto"/>
    </w:pPr>
  </w:style>
  <w:style w:type="paragraph" w:customStyle="1" w:styleId="LegalNumPar3">
    <w:name w:val="LegalNumPar3"/>
    <w:basedOn w:val="Normal"/>
    <w:rsid w:val="001956AF"/>
    <w:pPr>
      <w:numPr>
        <w:ilvl w:val="2"/>
        <w:numId w:val="1"/>
      </w:numPr>
      <w:spacing w:line="360" w:lineRule="auto"/>
    </w:pPr>
  </w:style>
  <w:style w:type="character" w:customStyle="1" w:styleId="ui-provider">
    <w:name w:val="ui-provider"/>
    <w:basedOn w:val="DefaultParagraphFont"/>
    <w:rsid w:val="001956AF"/>
  </w:style>
  <w:style w:type="paragraph" w:styleId="ListBullet">
    <w:name w:val="List Bullet"/>
    <w:basedOn w:val="Normal"/>
    <w:uiPriority w:val="99"/>
    <w:semiHidden/>
    <w:unhideWhenUsed/>
    <w:rsid w:val="008E734B"/>
    <w:pPr>
      <w:numPr>
        <w:numId w:val="2"/>
      </w:numPr>
      <w:contextualSpacing/>
    </w:pPr>
  </w:style>
  <w:style w:type="paragraph" w:styleId="ListBullet2">
    <w:name w:val="List Bullet 2"/>
    <w:basedOn w:val="Normal"/>
    <w:uiPriority w:val="99"/>
    <w:semiHidden/>
    <w:unhideWhenUsed/>
    <w:rsid w:val="008E734B"/>
    <w:pPr>
      <w:numPr>
        <w:numId w:val="3"/>
      </w:numPr>
      <w:contextualSpacing/>
    </w:pPr>
  </w:style>
  <w:style w:type="paragraph" w:styleId="ListBullet3">
    <w:name w:val="List Bullet 3"/>
    <w:basedOn w:val="Normal"/>
    <w:uiPriority w:val="99"/>
    <w:semiHidden/>
    <w:unhideWhenUsed/>
    <w:rsid w:val="008E734B"/>
    <w:pPr>
      <w:numPr>
        <w:numId w:val="4"/>
      </w:numPr>
      <w:contextualSpacing/>
    </w:pPr>
  </w:style>
  <w:style w:type="paragraph" w:styleId="ListBullet4">
    <w:name w:val="List Bullet 4"/>
    <w:basedOn w:val="Normal"/>
    <w:uiPriority w:val="99"/>
    <w:unhideWhenUsed/>
    <w:rsid w:val="008E734B"/>
    <w:pPr>
      <w:numPr>
        <w:numId w:val="5"/>
      </w:numPr>
      <w:contextualSpacing/>
    </w:pPr>
  </w:style>
  <w:style w:type="character" w:styleId="Hyperlink">
    <w:name w:val="Hyperlink"/>
    <w:basedOn w:val="DefaultParagraphFont"/>
    <w:uiPriority w:val="99"/>
    <w:unhideWhenUsed/>
    <w:rsid w:val="00031C74"/>
    <w:rPr>
      <w:color w:val="0000FF"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i-FI"/>
    </w:rPr>
  </w:style>
  <w:style w:type="paragraph" w:styleId="CommentSubject">
    <w:name w:val="annotation subject"/>
    <w:basedOn w:val="CommentText"/>
    <w:next w:val="CommentText"/>
    <w:link w:val="CommentSubjectChar"/>
    <w:uiPriority w:val="99"/>
    <w:semiHidden/>
    <w:unhideWhenUsed/>
    <w:rsid w:val="00446EE4"/>
    <w:rPr>
      <w:b/>
      <w:bCs/>
    </w:rPr>
  </w:style>
  <w:style w:type="character" w:customStyle="1" w:styleId="CommentSubjectChar">
    <w:name w:val="Comment Subject Char"/>
    <w:basedOn w:val="CommentTextChar"/>
    <w:link w:val="CommentSubject"/>
    <w:uiPriority w:val="99"/>
    <w:semiHidden/>
    <w:rsid w:val="00446EE4"/>
    <w:rPr>
      <w:rFonts w:ascii="Times New Roman" w:hAnsi="Times New Roman" w:cs="Times New Roman"/>
      <w:b/>
      <w:bCs/>
      <w:sz w:val="20"/>
      <w:szCs w:val="20"/>
      <w:lang w:val="fi-FI"/>
    </w:rPr>
  </w:style>
  <w:style w:type="character" w:customStyle="1" w:styleId="UnresolvedMention">
    <w:name w:val="Unresolved Mention"/>
    <w:basedOn w:val="DefaultParagraphFont"/>
    <w:uiPriority w:val="99"/>
    <w:semiHidden/>
    <w:unhideWhenUsed/>
    <w:rsid w:val="00446EE4"/>
    <w:rPr>
      <w:color w:val="605E5C"/>
      <w:shd w:val="clear" w:color="auto" w:fill="E1DFDD"/>
    </w:rPr>
  </w:style>
  <w:style w:type="paragraph" w:customStyle="1" w:styleId="TableParagraph">
    <w:name w:val="Table Paragraph"/>
    <w:basedOn w:val="Normal"/>
    <w:uiPriority w:val="1"/>
    <w:qFormat/>
    <w:rsid w:val="00141CFD"/>
    <w:pPr>
      <w:widowControl w:val="0"/>
      <w:autoSpaceDE w:val="0"/>
      <w:autoSpaceDN w:val="0"/>
      <w:spacing w:before="0" w:after="0"/>
      <w:ind w:left="107"/>
      <w:jc w:val="left"/>
    </w:pPr>
    <w:rPr>
      <w:rFonts w:eastAsia="Times New Roman"/>
      <w:sz w:val="22"/>
    </w:rPr>
  </w:style>
  <w:style w:type="paragraph" w:styleId="Revision">
    <w:name w:val="Revision"/>
    <w:hidden/>
    <w:uiPriority w:val="99"/>
    <w:semiHidden/>
    <w:rsid w:val="00AE45C7"/>
    <w:pPr>
      <w:spacing w:after="0" w:line="240" w:lineRule="auto"/>
    </w:pPr>
    <w:rPr>
      <w:rFonts w:ascii="Times New Roman" w:hAnsi="Times New Roman" w:cs="Times New Roman"/>
      <w:sz w:val="24"/>
    </w:rPr>
  </w:style>
  <w:style w:type="table" w:styleId="TableGrid">
    <w:name w:val="Table Grid"/>
    <w:basedOn w:val="TableNormal"/>
    <w:rsid w:val="00AA657A"/>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2">
    <w:name w:val="List Dash 2"/>
    <w:basedOn w:val="Normal"/>
    <w:rsid w:val="00052297"/>
    <w:pPr>
      <w:numPr>
        <w:numId w:val="7"/>
      </w:numPr>
      <w:tabs>
        <w:tab w:val="clear" w:pos="1134"/>
        <w:tab w:val="num" w:pos="850"/>
      </w:tabs>
      <w:ind w:left="850" w:hanging="850"/>
    </w:pPr>
    <w:rPr>
      <w:rFonts w:eastAsia="Times New Roman"/>
      <w:lang w:eastAsia="de-DE"/>
    </w:rPr>
  </w:style>
  <w:style w:type="paragraph" w:customStyle="1" w:styleId="ListDash1">
    <w:name w:val="List Dash 1"/>
    <w:basedOn w:val="Normal"/>
    <w:rsid w:val="00052297"/>
    <w:pPr>
      <w:numPr>
        <w:numId w:val="8"/>
      </w:numPr>
    </w:pPr>
    <w:rPr>
      <w:rFonts w:eastAsia="Times New Roman"/>
      <w:lang w:eastAsia="de-DE"/>
    </w:rPr>
  </w:style>
  <w:style w:type="character" w:customStyle="1" w:styleId="ListParagraphChar">
    <w:name w:val="List Paragraph Char"/>
    <w:aliases w:val="List Char,Ordered list Char,Bullet list Char,1st level - Bullet List Paragraph Char,List Paragraph11 Char,Lettre d'introduction Char,Medium Grid 1 - Accent 21 Char,Normal bullet 2 Char,Numbered List Char,Paragraphe de liste 2 Char"/>
    <w:basedOn w:val="DefaultParagraphFont"/>
    <w:link w:val="ListParagraph"/>
    <w:uiPriority w:val="34"/>
    <w:qFormat/>
    <w:rsid w:val="00052297"/>
    <w:rPr>
      <w:rFonts w:ascii="Times New Roman" w:hAnsi="Times New Roman" w:cs="Times New Roman"/>
      <w:sz w:val="24"/>
      <w:lang w:val="fi-FI"/>
    </w:rPr>
  </w:style>
  <w:style w:type="paragraph" w:customStyle="1" w:styleId="footnotedescription">
    <w:name w:val="footnote description"/>
    <w:next w:val="Normal"/>
    <w:link w:val="footnotedescriptionChar"/>
    <w:hidden/>
    <w:rsid w:val="0087757C"/>
    <w:pPr>
      <w:spacing w:after="0" w:line="259" w:lineRule="auto"/>
      <w:ind w:left="720" w:hanging="720"/>
      <w:jc w:val="both"/>
    </w:pPr>
    <w:rPr>
      <w:rFonts w:ascii="Times New Roman" w:eastAsia="Times New Roman" w:hAnsi="Times New Roman" w:cs="Times New Roman"/>
      <w:color w:val="000000"/>
      <w:sz w:val="20"/>
      <w:lang w:eastAsia="en-IE"/>
    </w:rPr>
  </w:style>
  <w:style w:type="character" w:customStyle="1" w:styleId="footnotedescriptionChar">
    <w:name w:val="footnote description Char"/>
    <w:link w:val="footnotedescription"/>
    <w:rsid w:val="0087757C"/>
    <w:rPr>
      <w:rFonts w:ascii="Times New Roman" w:eastAsia="Times New Roman" w:hAnsi="Times New Roman" w:cs="Times New Roman"/>
      <w:color w:val="000000"/>
      <w:sz w:val="20"/>
      <w:lang w:val="fi-FI" w:eastAsia="en-IE"/>
    </w:rPr>
  </w:style>
  <w:style w:type="character" w:customStyle="1" w:styleId="footnotemark">
    <w:name w:val="footnote mark"/>
    <w:hidden/>
    <w:rsid w:val="0087757C"/>
    <w:rPr>
      <w:rFonts w:ascii="Times New Roman" w:eastAsia="Times New Roman" w:hAnsi="Times New Roman" w:cs="Times New Roman"/>
      <w:color w:val="000000"/>
      <w:sz w:val="20"/>
      <w:vertAlign w:val="superscript"/>
    </w:rPr>
  </w:style>
  <w:style w:type="paragraph" w:styleId="NormalWeb">
    <w:name w:val="Normal (Web)"/>
    <w:basedOn w:val="Normal"/>
    <w:uiPriority w:val="99"/>
    <w:semiHidden/>
    <w:unhideWhenUsed/>
    <w:rsid w:val="00133061"/>
    <w:pPr>
      <w:spacing w:before="100" w:beforeAutospacing="1" w:after="100" w:afterAutospacing="1"/>
      <w:jc w:val="left"/>
    </w:pPr>
    <w:rPr>
      <w:rFonts w:eastAsia="Times New Roman"/>
      <w:szCs w:val="24"/>
      <w:lang w:eastAsia="en-IE"/>
    </w:rPr>
  </w:style>
  <w:style w:type="paragraph" w:styleId="PlainText">
    <w:name w:val="Plain Text"/>
    <w:basedOn w:val="Normal"/>
    <w:link w:val="PlainTextChar"/>
    <w:uiPriority w:val="99"/>
    <w:semiHidden/>
    <w:unhideWhenUsed/>
    <w:rsid w:val="00FF25CF"/>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FF25CF"/>
    <w:rPr>
      <w:rFonts w:ascii="Consolas" w:hAnsi="Consolas" w:cs="Times New Roman"/>
      <w:sz w:val="21"/>
      <w:szCs w:val="21"/>
      <w:lang w:val="fi-FI"/>
    </w:rPr>
  </w:style>
  <w:style w:type="character" w:customStyle="1" w:styleId="Mention">
    <w:name w:val="Mention"/>
    <w:basedOn w:val="DefaultParagraphFont"/>
    <w:uiPriority w:val="99"/>
    <w:unhideWhenUsed/>
    <w:rsid w:val="00263B08"/>
    <w:rPr>
      <w:color w:val="2B579A"/>
      <w:shd w:val="clear" w:color="auto" w:fill="E6E6E6"/>
    </w:rPr>
  </w:style>
  <w:style w:type="character" w:styleId="FollowedHyperlink">
    <w:name w:val="FollowedHyperlink"/>
    <w:basedOn w:val="DefaultParagraphFont"/>
    <w:uiPriority w:val="99"/>
    <w:semiHidden/>
    <w:unhideWhenUsed/>
    <w:rsid w:val="00F7481F"/>
    <w:rPr>
      <w:color w:val="800080" w:themeColor="followedHyperlink"/>
      <w:u w:val="single"/>
    </w:rPr>
  </w:style>
  <w:style w:type="character" w:customStyle="1" w:styleId="normaltextrun">
    <w:name w:val="normaltextrun"/>
    <w:basedOn w:val="DefaultParagraphFont"/>
    <w:rsid w:val="003160AD"/>
  </w:style>
  <w:style w:type="paragraph" w:customStyle="1" w:styleId="title-bold">
    <w:name w:val="title-bold"/>
    <w:basedOn w:val="Normal"/>
    <w:rsid w:val="00F82D67"/>
    <w:pPr>
      <w:spacing w:before="100" w:beforeAutospacing="1" w:after="100" w:afterAutospacing="1"/>
      <w:jc w:val="left"/>
    </w:pPr>
    <w:rPr>
      <w:rFonts w:eastAsia="Times New Roman"/>
      <w:szCs w:val="24"/>
      <w:lang w:eastAsia="en-IE"/>
    </w:rPr>
  </w:style>
  <w:style w:type="character" w:customStyle="1" w:styleId="UnresolvedMention1">
    <w:name w:val="Unresolved Mention1"/>
    <w:basedOn w:val="DefaultParagraphFont"/>
    <w:uiPriority w:val="99"/>
    <w:semiHidden/>
    <w:unhideWhenUsed/>
    <w:rsid w:val="001B6AB1"/>
    <w:rPr>
      <w:color w:val="605E5C"/>
      <w:shd w:val="clear" w:color="auto" w:fill="E1DFDD"/>
    </w:rPr>
  </w:style>
  <w:style w:type="character" w:customStyle="1" w:styleId="Mention1">
    <w:name w:val="Mention1"/>
    <w:basedOn w:val="DefaultParagraphFont"/>
    <w:uiPriority w:val="99"/>
    <w:unhideWhenUsed/>
    <w:rsid w:val="001B6AB1"/>
    <w:rPr>
      <w:color w:val="2B579A"/>
      <w:shd w:val="clear" w:color="auto" w:fill="E6E6E6"/>
    </w:rPr>
  </w:style>
  <w:style w:type="paragraph" w:styleId="Header">
    <w:name w:val="header"/>
    <w:basedOn w:val="Normal"/>
    <w:link w:val="HeaderChar"/>
    <w:uiPriority w:val="99"/>
    <w:unhideWhenUsed/>
    <w:rsid w:val="00811919"/>
    <w:pPr>
      <w:tabs>
        <w:tab w:val="center" w:pos="4535"/>
        <w:tab w:val="right" w:pos="9071"/>
      </w:tabs>
      <w:spacing w:before="0"/>
    </w:pPr>
  </w:style>
  <w:style w:type="character" w:customStyle="1" w:styleId="HeaderChar">
    <w:name w:val="Header Char"/>
    <w:basedOn w:val="DefaultParagraphFont"/>
    <w:link w:val="Header"/>
    <w:uiPriority w:val="99"/>
    <w:rsid w:val="00811919"/>
    <w:rPr>
      <w:rFonts w:ascii="Times New Roman" w:hAnsi="Times New Roman" w:cs="Times New Roman"/>
      <w:sz w:val="24"/>
      <w:lang w:val="fi-FI"/>
    </w:rPr>
  </w:style>
  <w:style w:type="paragraph" w:styleId="Footer">
    <w:name w:val="footer"/>
    <w:basedOn w:val="Normal"/>
    <w:link w:val="FooterChar"/>
    <w:uiPriority w:val="99"/>
    <w:unhideWhenUsed/>
    <w:rsid w:val="0081191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11919"/>
    <w:rPr>
      <w:rFonts w:ascii="Times New Roman" w:hAnsi="Times New Roman" w:cs="Times New Roman"/>
      <w:sz w:val="24"/>
      <w:lang w:val="fi-F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i-FI"/>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i-FI"/>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i-FI"/>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i-FI"/>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fi-FI"/>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fi-FI"/>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fi-FI"/>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811919"/>
    <w:pPr>
      <w:tabs>
        <w:tab w:val="center" w:pos="7285"/>
        <w:tab w:val="right" w:pos="14003"/>
      </w:tabs>
      <w:spacing w:before="0"/>
    </w:pPr>
  </w:style>
  <w:style w:type="paragraph" w:customStyle="1" w:styleId="FooterLandscape">
    <w:name w:val="FooterLandscape"/>
    <w:basedOn w:val="Normal"/>
    <w:rsid w:val="0081191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81191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811919"/>
    <w:pPr>
      <w:spacing w:before="0"/>
      <w:jc w:val="right"/>
    </w:pPr>
    <w:rPr>
      <w:sz w:val="28"/>
    </w:rPr>
  </w:style>
  <w:style w:type="paragraph" w:customStyle="1" w:styleId="FooterSensitivity">
    <w:name w:val="Footer Sensitivity"/>
    <w:basedOn w:val="Normal"/>
    <w:rsid w:val="0081191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9351">
      <w:bodyDiv w:val="1"/>
      <w:marLeft w:val="0"/>
      <w:marRight w:val="0"/>
      <w:marTop w:val="0"/>
      <w:marBottom w:val="0"/>
      <w:divBdr>
        <w:top w:val="none" w:sz="0" w:space="0" w:color="auto"/>
        <w:left w:val="none" w:sz="0" w:space="0" w:color="auto"/>
        <w:bottom w:val="none" w:sz="0" w:space="0" w:color="auto"/>
        <w:right w:val="none" w:sz="0" w:space="0" w:color="auto"/>
      </w:divBdr>
    </w:div>
    <w:div w:id="419763196">
      <w:bodyDiv w:val="1"/>
      <w:marLeft w:val="0"/>
      <w:marRight w:val="0"/>
      <w:marTop w:val="0"/>
      <w:marBottom w:val="0"/>
      <w:divBdr>
        <w:top w:val="none" w:sz="0" w:space="0" w:color="auto"/>
        <w:left w:val="none" w:sz="0" w:space="0" w:color="auto"/>
        <w:bottom w:val="none" w:sz="0" w:space="0" w:color="auto"/>
        <w:right w:val="none" w:sz="0" w:space="0" w:color="auto"/>
      </w:divBdr>
    </w:div>
    <w:div w:id="518589100">
      <w:bodyDiv w:val="1"/>
      <w:marLeft w:val="0"/>
      <w:marRight w:val="0"/>
      <w:marTop w:val="0"/>
      <w:marBottom w:val="0"/>
      <w:divBdr>
        <w:top w:val="none" w:sz="0" w:space="0" w:color="auto"/>
        <w:left w:val="none" w:sz="0" w:space="0" w:color="auto"/>
        <w:bottom w:val="none" w:sz="0" w:space="0" w:color="auto"/>
        <w:right w:val="none" w:sz="0" w:space="0" w:color="auto"/>
      </w:divBdr>
    </w:div>
    <w:div w:id="610625648">
      <w:bodyDiv w:val="1"/>
      <w:marLeft w:val="0"/>
      <w:marRight w:val="0"/>
      <w:marTop w:val="0"/>
      <w:marBottom w:val="0"/>
      <w:divBdr>
        <w:top w:val="none" w:sz="0" w:space="0" w:color="auto"/>
        <w:left w:val="none" w:sz="0" w:space="0" w:color="auto"/>
        <w:bottom w:val="none" w:sz="0" w:space="0" w:color="auto"/>
        <w:right w:val="none" w:sz="0" w:space="0" w:color="auto"/>
      </w:divBdr>
    </w:div>
    <w:div w:id="675965958">
      <w:bodyDiv w:val="1"/>
      <w:marLeft w:val="0"/>
      <w:marRight w:val="0"/>
      <w:marTop w:val="0"/>
      <w:marBottom w:val="0"/>
      <w:divBdr>
        <w:top w:val="none" w:sz="0" w:space="0" w:color="auto"/>
        <w:left w:val="none" w:sz="0" w:space="0" w:color="auto"/>
        <w:bottom w:val="none" w:sz="0" w:space="0" w:color="auto"/>
        <w:right w:val="none" w:sz="0" w:space="0" w:color="auto"/>
      </w:divBdr>
    </w:div>
    <w:div w:id="887766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yintracomm.ec.europa.eu/budgweb/EN/leg/internal/Documents/2016-5-legislative-financial-statement-ann-en.docx"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ecd.org/ctp/exchange-of-tax-information/treatyreliefandcomplianceenhancementtrace.htm" TargetMode="External"/><Relationship Id="rId2" Type="http://schemas.openxmlformats.org/officeDocument/2006/relationships/hyperlink" Target="https://taxation-customs.ec.europa.eu/system/files/2017-12/code_of_conduct_on_witholding_tax.pdf" TargetMode="External"/><Relationship Id="rId1" Type="http://schemas.openxmlformats.org/officeDocument/2006/relationships/hyperlink" Target="https://finance.ec.europa.eu/publications/retail-investment-package_en" TargetMode="External"/><Relationship Id="rId4" Type="http://schemas.openxmlformats.org/officeDocument/2006/relationships/hyperlink" Target="https://ec.europa.eu/info/law/better-regulation/have-your-say/initiatives/13031-Withholding-taxes-new-EU-system-to-avoid-double-taxation_f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0C4B8CEF398C046BA02B04000B35719" ma:contentTypeVersion="4" ma:contentTypeDescription="Create a new document in this library." ma:contentTypeScope="" ma:versionID="32ba2009fe51c7e5d42ede39f2db96b0">
  <xsd:schema xmlns:xsd="http://www.w3.org/2001/XMLSchema" xmlns:xs="http://www.w3.org/2001/XMLSchema" xmlns:p="http://schemas.microsoft.com/office/2006/metadata/properties" xmlns:ns3="ae6cfab4-27cb-4408-82ad-0f0a830288e8" xmlns:ns4="66fbeb32-1e5c-4992-9fc4-46497e4795d8" targetNamespace="http://schemas.microsoft.com/office/2006/metadata/properties" ma:root="true" ma:fieldsID="b060bbe80c7e0e9d6ce96ad05d828191" ns3:_="" ns4:_="">
    <xsd:import namespace="ae6cfab4-27cb-4408-82ad-0f0a830288e8"/>
    <xsd:import namespace="66fbeb32-1e5c-4992-9fc4-46497e4795d8"/>
    <xsd:element name="properties">
      <xsd:complexType>
        <xsd:sequence>
          <xsd:element name="documentManagement">
            <xsd:complexType>
              <xsd:all>
                <xsd:element ref="ns3:EC_Collab_Reference" minOccurs="0"/>
                <xsd:element ref="ns3:EC_Collab_DocumentLanguage"/>
                <xsd:element ref="ns3:EC_Collab_Status"/>
                <xsd:element ref="ns3:_x0076_y28"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cfab4-27cb-4408-82ad-0f0a830288e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_x0076_y28" ma:index="15" nillable="true" ma:displayName="Text" ma:internalName="_x0076_y28">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beb32-1e5c-4992-9fc4-46497e4795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76_y28 xmlns="ae6cfab4-27cb-4408-82ad-0f0a830288e8" xsi:nil="true"/>
    <EC_Collab_Status xmlns="ae6cfab4-27cb-4408-82ad-0f0a830288e8">Not Started</EC_Collab_Status>
    <EC_Collab_DocumentLanguage xmlns="ae6cfab4-27cb-4408-82ad-0f0a830288e8">EN</EC_Collab_DocumentLanguage>
    <EC_Collab_Reference xmlns="ae6cfab4-27cb-4408-82ad-0f0a83028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10C4B8CEF398C046BA02B04000B35719" ma:contentTypeVersion="4" ma:contentTypeDescription="Create a new document in this library." ma:contentTypeScope="" ma:versionID="32ba2009fe51c7e5d42ede39f2db96b0">
  <xsd:schema xmlns:xsd="http://www.w3.org/2001/XMLSchema" xmlns:xs="http://www.w3.org/2001/XMLSchema" xmlns:p="http://schemas.microsoft.com/office/2006/metadata/properties" xmlns:ns3="ae6cfab4-27cb-4408-82ad-0f0a830288e8" xmlns:ns4="66fbeb32-1e5c-4992-9fc4-46497e4795d8" targetNamespace="http://schemas.microsoft.com/office/2006/metadata/properties" ma:root="true" ma:fieldsID="b060bbe80c7e0e9d6ce96ad05d828191" ns3:_="" ns4:_="">
    <xsd:import namespace="ae6cfab4-27cb-4408-82ad-0f0a830288e8"/>
    <xsd:import namespace="66fbeb32-1e5c-4992-9fc4-46497e4795d8"/>
    <xsd:element name="properties">
      <xsd:complexType>
        <xsd:sequence>
          <xsd:element name="documentManagement">
            <xsd:complexType>
              <xsd:all>
                <xsd:element ref="ns3:EC_Collab_Reference" minOccurs="0"/>
                <xsd:element ref="ns3:EC_Collab_DocumentLanguage"/>
                <xsd:element ref="ns3:EC_Collab_Status"/>
                <xsd:element ref="ns3:_x0076_y28"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cfab4-27cb-4408-82ad-0f0a830288e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_x0076_y28" ma:index="15" nillable="true" ma:displayName="Text" ma:internalName="_x0076_y28">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beb32-1e5c-4992-9fc4-46497e4795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2A364-56E1-4851-B2CE-59CBE1CA8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cfab4-27cb-4408-82ad-0f0a830288e8"/>
    <ds:schemaRef ds:uri="66fbeb32-1e5c-4992-9fc4-46497e479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F0CAC-B39A-49C0-BED8-6E49E33E30C5}">
  <ds:schemaRefs>
    <ds:schemaRef ds:uri="http://schemas.microsoft.com/office/2006/metadata/properties"/>
    <ds:schemaRef ds:uri="http://schemas.microsoft.com/office/infopath/2007/PartnerControls"/>
    <ds:schemaRef ds:uri="ae6cfab4-27cb-4408-82ad-0f0a830288e8"/>
  </ds:schemaRefs>
</ds:datastoreItem>
</file>

<file path=customXml/itemProps3.xml><?xml version="1.0" encoding="utf-8"?>
<ds:datastoreItem xmlns:ds="http://schemas.openxmlformats.org/officeDocument/2006/customXml" ds:itemID="{C230DA8A-70A8-45FB-90D5-2784825EE91C}">
  <ds:schemaRefs>
    <ds:schemaRef ds:uri="http://schemas.microsoft.com/sharepoint/v3/contenttype/forms"/>
  </ds:schemaRefs>
</ds:datastoreItem>
</file>

<file path=customXml/itemProps4.xml><?xml version="1.0" encoding="utf-8"?>
<ds:datastoreItem xmlns:ds="http://schemas.openxmlformats.org/officeDocument/2006/customXml" ds:itemID="{ED66E37F-945D-4D06-A7FE-0BD01E633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cfab4-27cb-4408-82ad-0f0a830288e8"/>
    <ds:schemaRef ds:uri="66fbeb32-1e5c-4992-9fc4-46497e479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FD7DC8-E0C9-4586-8EE7-A8F57F5A63AB}">
  <ds:schemaRefs>
    <ds:schemaRef ds:uri="http://schemas.microsoft.com/sharepoint/v3/contenttype/forms"/>
  </ds:schemaRefs>
</ds:datastoreItem>
</file>

<file path=customXml/itemProps6.xml><?xml version="1.0" encoding="utf-8"?>
<ds:datastoreItem xmlns:ds="http://schemas.openxmlformats.org/officeDocument/2006/customXml" ds:itemID="{EEFD4E52-533A-4C3B-8093-3B5FAA18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53</TotalTime>
  <Pages>56</Pages>
  <Words>12688</Words>
  <Characters>111408</Characters>
  <Application>Microsoft Office Word</Application>
  <DocSecurity>0</DocSecurity>
  <Lines>2652</Lines>
  <Paragraphs>899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123197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86</cp:revision>
  <cp:lastPrinted>2023-06-01T08:44:00Z</cp:lastPrinted>
  <dcterms:created xsi:type="dcterms:W3CDTF">2023-06-12T10:42:00Z</dcterms:created>
  <dcterms:modified xsi:type="dcterms:W3CDTF">2023-07-24T14:55:00Z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2023-04-11T14:18:38Z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7e4594fd-2f36-40f1-8da8-c19fc39299e8</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SJ-017</vt:lpwstr>
  </property>
  <property fmtid="{D5CDD505-2E9C-101B-9397-08002B2CF9AE}" pid="17" name="ContentTypeId">
    <vt:lpwstr>0x010100258AA79CEB83498886A3A086811232500010C4B8CEF398C046BA02B04000B35719</vt:lpwstr>
  </property>
  <property fmtid="{D5CDD505-2E9C-101B-9397-08002B2CF9AE}" pid="18" name="DQCStatus">
    <vt:lpwstr>Green (DQC version 03)</vt:lpwstr>
  </property>
</Properties>
</file>