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8F07" w14:textId="1382AECF" w:rsidR="00977CF6" w:rsidRPr="00A96D00" w:rsidRDefault="00BE4874" w:rsidP="00BE4874">
      <w:pPr>
        <w:pStyle w:val="Pagedecouverture"/>
        <w:rPr>
          <w:noProof/>
        </w:rPr>
      </w:pPr>
      <w:r>
        <w:rPr>
          <w:noProof/>
        </w:rPr>
        <w:pict w14:anchorId="29615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alt="9FC8F64E-FEBB-4295-82A1-2B8C1D1E6173" style="width:455.25pt;height:369.75pt">
            <v:imagedata r:id="rId13" o:title=""/>
          </v:shape>
        </w:pict>
      </w:r>
    </w:p>
    <w:p w14:paraId="7880CDFD" w14:textId="77777777" w:rsidR="00977CF6" w:rsidRPr="00A96D00" w:rsidRDefault="00977CF6" w:rsidP="00977CF6">
      <w:pPr>
        <w:rPr>
          <w:noProof/>
        </w:rPr>
        <w:sectPr w:rsidR="00977CF6" w:rsidRPr="00A96D00" w:rsidSect="00BE4874">
          <w:footerReference w:type="default" r:id="rId14"/>
          <w:pgSz w:w="11907" w:h="16839"/>
          <w:pgMar w:top="1134" w:right="1417" w:bottom="1134" w:left="1417" w:header="709" w:footer="709" w:gutter="0"/>
          <w:pgNumType w:start="0"/>
          <w:cols w:space="720"/>
          <w:docGrid w:linePitch="360"/>
        </w:sectPr>
      </w:pPr>
    </w:p>
    <w:p w14:paraId="006B69EF" w14:textId="77777777" w:rsidR="00977CF6" w:rsidRPr="00A96D00" w:rsidRDefault="00977CF6" w:rsidP="000430BD">
      <w:pPr>
        <w:pStyle w:val="Exposdesmotifstitre"/>
        <w:rPr>
          <w:noProof/>
        </w:rPr>
      </w:pPr>
      <w:bookmarkStart w:id="0" w:name="_GoBack"/>
      <w:bookmarkEnd w:id="0"/>
      <w:r w:rsidRPr="00A96D00">
        <w:rPr>
          <w:noProof/>
        </w:rPr>
        <w:lastRenderedPageBreak/>
        <w:t>OBRAZLOŽENJE</w:t>
      </w:r>
    </w:p>
    <w:p w14:paraId="33CBB597" w14:textId="77777777" w:rsidR="00977CF6" w:rsidRPr="00A96D00" w:rsidRDefault="00977CF6" w:rsidP="000430BD">
      <w:pPr>
        <w:pStyle w:val="ManualHeading1"/>
        <w:rPr>
          <w:noProof/>
        </w:rPr>
      </w:pPr>
      <w:r w:rsidRPr="00A96D00">
        <w:rPr>
          <w:noProof/>
        </w:rPr>
        <w:t>1.</w:t>
      </w:r>
      <w:r w:rsidRPr="00A96D00">
        <w:rPr>
          <w:noProof/>
        </w:rPr>
        <w:tab/>
        <w:t>KONTEKST PRIJEDLOGA</w:t>
      </w:r>
    </w:p>
    <w:p w14:paraId="29022B70" w14:textId="77777777" w:rsidR="00977CF6" w:rsidRPr="00A96D00" w:rsidRDefault="00977CF6" w:rsidP="000430BD">
      <w:pPr>
        <w:pStyle w:val="ManualHeading2"/>
        <w:rPr>
          <w:rFonts w:eastAsia="Arial Unicode MS"/>
          <w:noProof/>
        </w:rPr>
      </w:pPr>
      <w:r w:rsidRPr="00A96D00">
        <w:rPr>
          <w:noProof/>
          <w:u w:color="000000"/>
          <w:bdr w:val="nil"/>
        </w:rPr>
        <w:t>•</w:t>
      </w:r>
      <w:r w:rsidRPr="00A96D00">
        <w:rPr>
          <w:noProof/>
        </w:rPr>
        <w:tab/>
        <w:t>Razlozi i ciljevi prijedloga</w:t>
      </w:r>
    </w:p>
    <w:p w14:paraId="534934E6" w14:textId="77777777" w:rsidR="00173A86" w:rsidRPr="00A96D00" w:rsidRDefault="00222D8E" w:rsidP="00222D8E">
      <w:pPr>
        <w:pBdr>
          <w:top w:val="nil"/>
          <w:left w:val="nil"/>
          <w:bottom w:val="nil"/>
          <w:right w:val="nil"/>
          <w:between w:val="nil"/>
          <w:bar w:val="nil"/>
        </w:pBdr>
        <w:spacing w:before="0" w:after="240"/>
        <w:rPr>
          <w:noProof/>
        </w:rPr>
      </w:pPr>
      <w:r w:rsidRPr="00A96D00">
        <w:rPr>
          <w:noProof/>
        </w:rPr>
        <w:t xml:space="preserve">Ulagači u EU-u mogu općenito biti dužni dva puta platiti porez na prihod koji ostvare od vrijednosnih papira (točnije na dividende za posjedovanje vlasničkih udjela i kamate za posjedovanje obveznica) u prekograničnom kontekstu. </w:t>
      </w:r>
    </w:p>
    <w:p w14:paraId="3A7F4F82" w14:textId="77777777" w:rsidR="00173A86" w:rsidRPr="00A96D00" w:rsidRDefault="00222D8E" w:rsidP="00405676">
      <w:pPr>
        <w:pStyle w:val="Bullet0"/>
        <w:numPr>
          <w:ilvl w:val="0"/>
          <w:numId w:val="21"/>
        </w:numPr>
        <w:rPr>
          <w:noProof/>
        </w:rPr>
      </w:pPr>
      <w:r w:rsidRPr="00A96D00">
        <w:rPr>
          <w:noProof/>
        </w:rPr>
        <w:t>Porezi se najprije mogu naplatiti u državi u kojoj su vrijednosni papiri izdani (</w:t>
      </w:r>
      <w:r w:rsidRPr="00A96D00">
        <w:rPr>
          <w:b/>
          <w:bCs/>
          <w:noProof/>
        </w:rPr>
        <w:t>država izvora</w:t>
      </w:r>
      <w:r w:rsidRPr="00A96D00">
        <w:rPr>
          <w:noProof/>
        </w:rPr>
        <w:t>) u obliku poreza odbijenog na bruto iznos prihoda od vrijednosnih papira (</w:t>
      </w:r>
      <w:r w:rsidRPr="00A96D00">
        <w:rPr>
          <w:b/>
          <w:bCs/>
          <w:noProof/>
        </w:rPr>
        <w:t>porez po odbitku</w:t>
      </w:r>
      <w:r w:rsidRPr="00A96D00">
        <w:rPr>
          <w:noProof/>
        </w:rPr>
        <w:t xml:space="preserve">). </w:t>
      </w:r>
    </w:p>
    <w:p w14:paraId="4119F842" w14:textId="77777777" w:rsidR="00010692" w:rsidRPr="00A96D00" w:rsidRDefault="30B45375" w:rsidP="002C4E11">
      <w:pPr>
        <w:pStyle w:val="Bullet0"/>
        <w:rPr>
          <w:noProof/>
        </w:rPr>
      </w:pPr>
      <w:r w:rsidRPr="00A96D00">
        <w:rPr>
          <w:noProof/>
        </w:rPr>
        <w:t>Zatim se porezi mogu naplatiti u zemlji porezne rezidentnosti ulagača (</w:t>
      </w:r>
      <w:r w:rsidRPr="00A96D00">
        <w:rPr>
          <w:b/>
          <w:bCs/>
          <w:noProof/>
        </w:rPr>
        <w:t>zemlja rezidentnosti</w:t>
      </w:r>
      <w:r w:rsidRPr="00A96D00">
        <w:rPr>
          <w:noProof/>
        </w:rPr>
        <w:t xml:space="preserve">) u obliku </w:t>
      </w:r>
      <w:r w:rsidRPr="00A96D00">
        <w:rPr>
          <w:b/>
          <w:bCs/>
          <w:noProof/>
        </w:rPr>
        <w:t>poreza na prihod</w:t>
      </w:r>
      <w:r w:rsidRPr="00A96D00">
        <w:rPr>
          <w:noProof/>
        </w:rPr>
        <w:t xml:space="preserve">. </w:t>
      </w:r>
    </w:p>
    <w:p w14:paraId="1C55C123" w14:textId="77777777" w:rsidR="00222D8E" w:rsidRPr="00A96D00" w:rsidRDefault="00222D8E" w:rsidP="00222D8E">
      <w:pPr>
        <w:pBdr>
          <w:top w:val="nil"/>
          <w:left w:val="nil"/>
          <w:bottom w:val="nil"/>
          <w:right w:val="nil"/>
          <w:between w:val="nil"/>
          <w:bar w:val="nil"/>
        </w:pBdr>
        <w:spacing w:before="0" w:after="240"/>
        <w:rPr>
          <w:noProof/>
        </w:rPr>
      </w:pPr>
      <w:r w:rsidRPr="00A96D00">
        <w:rPr>
          <w:noProof/>
        </w:rPr>
        <w:t>Kako bi se izbjeglo takvo dvostruko oporezivanje, brojne države članice dogovorile su podjelu prava na oporezivanje između države izvora i države rezidentnosti sklapanjem ugovora o izbjegavanju dvostrukog oporezivanja. U skladu s uvjetima takvih ugovora nerezidentni ulagači mogu imati pravo na sniženu stopu poreza po odbitku ili na izuzeće od poreza u državi izvora. Uz ugovore o oporezivanju, neke države članice izvora uvele su pravila o sniženim stopama ili izuzećima za određene kategorije nerezidentnih poreznih obveznika, imajući u vidu posebne ciljeve politika.</w:t>
      </w:r>
    </w:p>
    <w:p w14:paraId="20DF284B" w14:textId="77777777" w:rsidR="00FE4542" w:rsidRPr="00A96D00" w:rsidRDefault="00222D8E" w:rsidP="00010692">
      <w:pPr>
        <w:pBdr>
          <w:top w:val="nil"/>
          <w:left w:val="nil"/>
          <w:bottom w:val="nil"/>
          <w:right w:val="nil"/>
          <w:between w:val="nil"/>
          <w:bar w:val="nil"/>
        </w:pBdr>
        <w:spacing w:before="0" w:after="240"/>
        <w:rPr>
          <w:noProof/>
        </w:rPr>
      </w:pPr>
      <w:r w:rsidRPr="00A96D00">
        <w:rPr>
          <w:noProof/>
        </w:rPr>
        <w:t>Snižena stopa ili izuzeće od poreza po odbitku mogu se odobriti na dva načina. Snižena stopa ili izuzeće primjenjuje se izravno u trenutku isplate dividendi/kamata (</w:t>
      </w:r>
      <w:r w:rsidRPr="00A96D00">
        <w:rPr>
          <w:b/>
          <w:bCs/>
          <w:noProof/>
        </w:rPr>
        <w:t>oslobođenje na izvoru</w:t>
      </w:r>
      <w:r w:rsidRPr="00A96D00">
        <w:rPr>
          <w:noProof/>
        </w:rPr>
        <w:t>) ili se preplaćeni iznos poreza po odbitku vraća na temelju zahtjeva ulagača (</w:t>
      </w:r>
      <w:r w:rsidRPr="00A96D00">
        <w:rPr>
          <w:b/>
          <w:bCs/>
          <w:noProof/>
        </w:rPr>
        <w:t>postupak povrata</w:t>
      </w:r>
      <w:r w:rsidRPr="00A96D00">
        <w:rPr>
          <w:noProof/>
        </w:rPr>
        <w:t xml:space="preserve">). </w:t>
      </w:r>
    </w:p>
    <w:p w14:paraId="2C199126" w14:textId="77777777" w:rsidR="009E0D0A" w:rsidRPr="00A96D00" w:rsidRDefault="00222D8E" w:rsidP="00010692">
      <w:pPr>
        <w:pBdr>
          <w:top w:val="nil"/>
          <w:left w:val="nil"/>
          <w:bottom w:val="nil"/>
          <w:right w:val="nil"/>
          <w:between w:val="nil"/>
          <w:bar w:val="nil"/>
        </w:pBdr>
        <w:spacing w:before="0" w:after="240"/>
        <w:rPr>
          <w:noProof/>
        </w:rPr>
      </w:pPr>
      <w:r w:rsidRPr="00A96D00">
        <w:rPr>
          <w:noProof/>
        </w:rPr>
        <w:t xml:space="preserve">Međutim, </w:t>
      </w:r>
      <w:r w:rsidRPr="00A96D00">
        <w:rPr>
          <w:b/>
          <w:noProof/>
        </w:rPr>
        <w:t>postupci poreza po odbitku</w:t>
      </w:r>
      <w:r w:rsidRPr="00A96D00">
        <w:rPr>
          <w:noProof/>
        </w:rPr>
        <w:t xml:space="preserve"> kojima se nerezidentnim ulagačima omogućuju pogodnosti na temelju ugovora o oporezivanju ili nacionalnih propisa često su </w:t>
      </w:r>
      <w:r w:rsidRPr="00A96D00">
        <w:rPr>
          <w:b/>
          <w:bCs/>
          <w:noProof/>
        </w:rPr>
        <w:t>složeni, skupi i dugotrajni</w:t>
      </w:r>
      <w:r w:rsidRPr="00A96D00">
        <w:rPr>
          <w:noProof/>
        </w:rPr>
        <w:t xml:space="preserve"> jer se znatno razlikuju među državama članicama i u odnosu na potrebnu dokumentaciju koju porezni obveznik mora podnijeti radi ostvarivanja oslobođenja od poreza po odbitku i u odnosu na razinu digitalizacije postupaka. S druge strane, </w:t>
      </w:r>
      <w:r w:rsidRPr="00A96D00">
        <w:rPr>
          <w:b/>
          <w:bCs/>
          <w:noProof/>
        </w:rPr>
        <w:t>postupci poreza po odbitku</w:t>
      </w:r>
      <w:r w:rsidRPr="00A96D00">
        <w:rPr>
          <w:noProof/>
        </w:rPr>
        <w:t xml:space="preserve"> ujedno su </w:t>
      </w:r>
      <w:r w:rsidRPr="00A96D00">
        <w:rPr>
          <w:b/>
          <w:bCs/>
          <w:noProof/>
        </w:rPr>
        <w:t>izloženi riziku od poreznih prijevara i zlouporaba</w:t>
      </w:r>
      <w:r w:rsidRPr="00A96D00">
        <w:rPr>
          <w:noProof/>
        </w:rPr>
        <w:t xml:space="preserve"> koji dovode do gubitaka prihoda država članica, što je vidljivo iz niza poreznih skandala, posebno iz takozvanih slučajeva Cum/Cum i Cum/Ex. Takve situacije su moguće zbog toga što porezne uprave ne raspolažu točnim informacijama, do čega dolazi zbog niske razine transparentnosti u financijskom lancu i nedostatka informacija o postojanju financijskih mehanizama povezanih s određenim vrijednosnim papirom.</w:t>
      </w:r>
    </w:p>
    <w:p w14:paraId="6BE238B7" w14:textId="77777777" w:rsidR="00AD6F6E" w:rsidRPr="00A96D00" w:rsidRDefault="00AD6F6E" w:rsidP="009E0D0A">
      <w:pPr>
        <w:pBdr>
          <w:top w:val="nil"/>
          <w:left w:val="nil"/>
          <w:bottom w:val="nil"/>
          <w:right w:val="nil"/>
          <w:between w:val="nil"/>
          <w:bar w:val="nil"/>
        </w:pBdr>
        <w:spacing w:before="0" w:after="240"/>
        <w:rPr>
          <w:noProof/>
        </w:rPr>
      </w:pPr>
      <w:r w:rsidRPr="00A96D00">
        <w:rPr>
          <w:noProof/>
        </w:rPr>
        <w:t>Postupci podnošenja zahtjeva za povrat obično uključuju sljedeće korake i uvjete: porezni obveznik (primatelj isplata) mora dokazati da je rezident države s kojom država članica izvora ima sklopljen ugovor o oporezivanju. U tu svrhu porezni obveznik mora zatražiti potvrdu o rezidentnosti od porezne uprave svoje države rezidentnosti. Usto, ovisno o državi članici izvora nužno je podnijeti niz dodatnih obrazaca i dokumenata. U EU-u je uobičajeno da države članice izvora zahtijevaju dokaz da je porezni obveznik vlasnik vrijednosnog papira i primatelj prihoda, no mogu zahtijevati i više vrsta dokumentacije o lancu isplate ili određene potvrde banaka (npr. potvrda o dividendi) prije povrata preplaćenog poreza po odbitku. Neke države članice su zbog nedavnih, posebno teških slučajeva složenih prijevara uvele ili planiraju uvesti još strože zahtjeve u odnosu na dokumentaciju potrebnu u tim postupcima.</w:t>
      </w:r>
    </w:p>
    <w:p w14:paraId="60A6C37B" w14:textId="77777777" w:rsidR="004B5980" w:rsidRPr="00A96D00" w:rsidRDefault="006849EF" w:rsidP="009E0D0A">
      <w:pPr>
        <w:pBdr>
          <w:top w:val="nil"/>
          <w:left w:val="nil"/>
          <w:bottom w:val="nil"/>
          <w:right w:val="nil"/>
          <w:between w:val="nil"/>
          <w:bar w:val="nil"/>
        </w:pBdr>
        <w:spacing w:before="0" w:after="240"/>
        <w:rPr>
          <w:noProof/>
        </w:rPr>
      </w:pPr>
      <w:r w:rsidRPr="00A96D00">
        <w:rPr>
          <w:noProof/>
        </w:rPr>
        <w:t xml:space="preserve">Jedan od uobičajenih oblika porezne zlouporabe je situacija u kojoj porezni obveznici koji nemaju pravo na sniženu stopu poreza po odbitku provode transakcije (primjerice posudbu ili prodaju i ponovni otkup vrijednosnih papira) sa subjektima koji bi mogli ostvariti korist od snižene stopu poreza po odbitku (npr. na temelju ugovora o oporezivanju ili svojeg posebnog statusa) da su vlasnici vrijednosnog papira, a zatim međusobno podijele ostvarene uštede. </w:t>
      </w:r>
    </w:p>
    <w:p w14:paraId="78A64163" w14:textId="77777777" w:rsidR="006849EF" w:rsidRPr="00A96D00" w:rsidRDefault="00F81CE6" w:rsidP="009E0D0A">
      <w:pPr>
        <w:pBdr>
          <w:top w:val="nil"/>
          <w:left w:val="nil"/>
          <w:bottom w:val="nil"/>
          <w:right w:val="nil"/>
          <w:between w:val="nil"/>
          <w:bar w:val="nil"/>
        </w:pBdr>
        <w:spacing w:before="0" w:after="240"/>
        <w:rPr>
          <w:noProof/>
        </w:rPr>
      </w:pPr>
      <w:r w:rsidRPr="00A96D00">
        <w:rPr>
          <w:noProof/>
        </w:rPr>
        <w:t>Ova vrsta zlouporabe poznata je i kao dividendna arbitraža ili „Cum/Cum”. Uobičajen je i oblik zlouporabe poznat kao „Cum/Ex” koja funkcionira kao prijevara osmišljena za višekratne zahtjeve za povrat: prakse namjerne kratke prodaje u razdoblju oko dana distribucije služe za stvaranje nejasnoće u odnosu na ekonomsko i stvarno vlasništvo vrijednosnih papira, što objema strankama omogućuje upućivanje zahtjeva za povrat poreza koji premašuju iznos koji je prvotno obračunao zastupnik za porez po odbitku.</w:t>
      </w:r>
    </w:p>
    <w:p w14:paraId="1D276EE6" w14:textId="18419EAC" w:rsidR="009E0D0A" w:rsidRPr="00A96D00" w:rsidRDefault="009E0D0A" w:rsidP="00166F1C">
      <w:pPr>
        <w:pBdr>
          <w:bar w:val="nil"/>
        </w:pBdr>
        <w:spacing w:before="0" w:after="240"/>
        <w:rPr>
          <w:noProof/>
        </w:rPr>
      </w:pPr>
      <w:r w:rsidRPr="00A96D00">
        <w:rPr>
          <w:noProof/>
        </w:rPr>
        <w:t>Trenutačno stanje nije poticajno za prekogranična ulaganja unutar EU-a, posebno za male ulagače: u nedavnoj anketi</w:t>
      </w:r>
      <w:r w:rsidRPr="00A96D00">
        <w:rPr>
          <w:rStyle w:val="FootnoteReference"/>
          <w:rFonts w:eastAsia="Times New Roman"/>
          <w:noProof/>
        </w:rPr>
        <w:footnoteReference w:id="2"/>
      </w:r>
      <w:r w:rsidRPr="00A96D00">
        <w:rPr>
          <w:noProof/>
        </w:rPr>
        <w:t xml:space="preserve"> približno 70 % malih ulagača koji bi imali pravo na sniženu stopu poreza po odbitku nije tu stopu zatražilo, navodeći dugotrajnost, velik trošak i složenost postupaka kako glavne razloge. Njih 31 % stoga se odlučilo prodati svoje prekogranične dionice iz EU-a. Ovakva situacija je suštinski u suprotnosti s unijom tržišta kapitala i paketom mjera za male ulagače donesenim 24. svibnja 2023.</w:t>
      </w:r>
      <w:r w:rsidRPr="00A96D00">
        <w:rPr>
          <w:rStyle w:val="FootnoteReference"/>
          <w:noProof/>
        </w:rPr>
        <w:footnoteReference w:id="3"/>
      </w:r>
      <w:r w:rsidRPr="00A96D00">
        <w:rPr>
          <w:noProof/>
        </w:rPr>
        <w:t xml:space="preserve"> i narušava konkurentnost tržišta EU-a u cjelini. Uz zauzimanje znatnih resursa poreznih uprava, stalan rizik prijevara ili zlouporaba ima i štetan učinak na porezne prihode država članica, a time i na pravednost oporezivanja.</w:t>
      </w:r>
    </w:p>
    <w:p w14:paraId="0CD631D1" w14:textId="77777777" w:rsidR="009E0D0A" w:rsidRPr="00A96D00" w:rsidRDefault="009E0D0A" w:rsidP="009E0D0A">
      <w:pPr>
        <w:pBdr>
          <w:top w:val="nil"/>
          <w:left w:val="nil"/>
          <w:bottom w:val="nil"/>
          <w:right w:val="nil"/>
          <w:between w:val="nil"/>
          <w:bar w:val="nil"/>
        </w:pBdr>
        <w:spacing w:before="0" w:after="240"/>
        <w:rPr>
          <w:noProof/>
        </w:rPr>
      </w:pPr>
      <w:r w:rsidRPr="00A96D00">
        <w:rPr>
          <w:noProof/>
        </w:rPr>
        <w:t>Europska komisija i međunarodne organizacije desetljećima analiziraju i nastoje pronaći rješenje za neučinkovitosti i za rizik od prijevara ili zlouporaba povezanih s postupcima poreza po odbitku. Komisija je primjerice 2009. iznijela Preporuku državama članicama o pojednostavnjivanju postupaka poreza po odbitku</w:t>
      </w:r>
      <w:r w:rsidRPr="00A96D00">
        <w:rPr>
          <w:rStyle w:val="FootnoteReference"/>
          <w:noProof/>
        </w:rPr>
        <w:footnoteReference w:id="4"/>
      </w:r>
      <w:r w:rsidRPr="00A96D00">
        <w:rPr>
          <w:noProof/>
        </w:rPr>
        <w:t>. U 2017. Komisija je objavila Kodeks postupanja u vezi s porezom po odbitku</w:t>
      </w:r>
      <w:r w:rsidRPr="00A96D00">
        <w:rPr>
          <w:rStyle w:val="FootnoteReference"/>
          <w:noProof/>
        </w:rPr>
        <w:footnoteReference w:id="5"/>
      </w:r>
      <w:r w:rsidRPr="00A96D00">
        <w:rPr>
          <w:noProof/>
        </w:rPr>
        <w:t xml:space="preserve"> koji je pozivao na dobrovoljno usklađivanje država članica. Na međunarodnoj razini Organizacija za gospodarsku suradnju i razvoj (OECD) je 2013. odobrila provedbeni paket za ugovorna oslobođenja i poboljšanje usklađenosti (TRACE) osmišljen za uklanjanje neučinkovitosti postupaka poreza po odbitku</w:t>
      </w:r>
      <w:r w:rsidRPr="00A96D00">
        <w:rPr>
          <w:rStyle w:val="FootnoteReference"/>
          <w:noProof/>
        </w:rPr>
        <w:footnoteReference w:id="6"/>
      </w:r>
      <w:r w:rsidRPr="00A96D00">
        <w:rPr>
          <w:noProof/>
        </w:rPr>
        <w:t xml:space="preserve">. </w:t>
      </w:r>
    </w:p>
    <w:p w14:paraId="1041E49D" w14:textId="77777777" w:rsidR="009E0D0A" w:rsidRPr="00A96D00" w:rsidRDefault="009E0D0A" w:rsidP="009E0D0A">
      <w:pPr>
        <w:pBdr>
          <w:top w:val="nil"/>
          <w:left w:val="nil"/>
          <w:bottom w:val="nil"/>
          <w:right w:val="nil"/>
          <w:between w:val="nil"/>
          <w:bar w:val="nil"/>
        </w:pBdr>
        <w:spacing w:before="0" w:after="240"/>
        <w:rPr>
          <w:noProof/>
        </w:rPr>
      </w:pPr>
      <w:r w:rsidRPr="00A96D00">
        <w:rPr>
          <w:noProof/>
        </w:rPr>
        <w:t>Iako su te mjere na razini EU-a i međunarodnoj razini donekle urodile plodom, složeni postupci poreza po odbitku i dalje obeshrabruju prekogranična ulaganja, posebno za male ulagače, narušavaju optimalno funkcioniranje EU-ova tržišta kapitala te su i dalje izloženi riziku od prijevara i zlouporaba. Ukupni trošak postupaka poreza po odbitku procjenjuje se na 6,62 milijarde EUR</w:t>
      </w:r>
      <w:r w:rsidRPr="00A96D00">
        <w:rPr>
          <w:rStyle w:val="FootnoteReference"/>
          <w:noProof/>
        </w:rPr>
        <w:footnoteReference w:id="7"/>
      </w:r>
      <w:r w:rsidRPr="00A96D00">
        <w:rPr>
          <w:noProof/>
        </w:rPr>
        <w:t xml:space="preserve">. </w:t>
      </w:r>
    </w:p>
    <w:p w14:paraId="4AEC0BAA" w14:textId="1EDCC06C" w:rsidR="00FE4542" w:rsidRPr="00A96D00" w:rsidRDefault="00FE4542" w:rsidP="009E0D0A">
      <w:pPr>
        <w:pBdr>
          <w:top w:val="nil"/>
          <w:left w:val="nil"/>
          <w:bottom w:val="nil"/>
          <w:right w:val="nil"/>
          <w:between w:val="nil"/>
          <w:bar w:val="nil"/>
        </w:pBdr>
        <w:spacing w:before="0" w:after="240"/>
        <w:rPr>
          <w:noProof/>
        </w:rPr>
      </w:pPr>
      <w:r w:rsidRPr="00A96D00">
        <w:rPr>
          <w:noProof/>
        </w:rPr>
        <w:t>Komisija je stoga 2020. najavila inicijativu u području postupaka poreza po odbitku u Akcijskom planu za pravedno i jednostavno oporezivanje kojim se podupire strategija oporavka</w:t>
      </w:r>
      <w:r w:rsidRPr="00A96D00">
        <w:rPr>
          <w:rStyle w:val="FootnoteReference"/>
          <w:noProof/>
        </w:rPr>
        <w:footnoteReference w:id="8"/>
      </w:r>
      <w:r w:rsidRPr="00A96D00">
        <w:rPr>
          <w:noProof/>
        </w:rPr>
        <w:t xml:space="preserve"> i u Akcijskom planu za Uniju tržišta kapitala za građane i poduzeća</w:t>
      </w:r>
      <w:r w:rsidRPr="00A96D00">
        <w:rPr>
          <w:rStyle w:val="FootnoteReference"/>
          <w:noProof/>
        </w:rPr>
        <w:footnoteReference w:id="9"/>
      </w:r>
      <w:r w:rsidRPr="00A96D00">
        <w:rPr>
          <w:noProof/>
        </w:rPr>
        <w:t>. Europski parlament je u ožujku 2022. pozdravio Akcijski plan za pravedno i jednostavno oporezivanje i podržao njegovu temeljitu provedbu</w:t>
      </w:r>
      <w:r w:rsidRPr="00A96D00">
        <w:rPr>
          <w:rStyle w:val="FootnoteReference"/>
          <w:noProof/>
        </w:rPr>
        <w:footnoteReference w:id="10"/>
      </w:r>
      <w:r w:rsidRPr="00A96D00">
        <w:rPr>
          <w:noProof/>
        </w:rPr>
        <w:t>. Štoviše, Europski parlament snažno je podupro namjeru Komisije da iznese prijedlog o uspostavljanju zajedničkog i standardiziranog sustava za porez po odbitku popraćenog mehanizmom za razmjenu informacija i suradnju poreznih uprava država članica</w:t>
      </w:r>
      <w:r w:rsidRPr="00A96D00">
        <w:rPr>
          <w:rStyle w:val="FootnoteReference"/>
          <w:noProof/>
        </w:rPr>
        <w:footnoteReference w:id="11"/>
      </w:r>
      <w:r w:rsidRPr="00A96D00">
        <w:rPr>
          <w:noProof/>
        </w:rPr>
        <w:t>. U 2020. Europski parlament je u raspravama o Akcijskom planu za Uniju tržišta kapitala istaknuo nužnost smanjivanja poreznih prepreka prekograničnim ulaganjima, uključujući postupke za prekogranične povrate poreza ulagačima, uključujući male ulagače</w:t>
      </w:r>
      <w:r w:rsidRPr="00A96D00">
        <w:rPr>
          <w:rStyle w:val="FootnoteReference"/>
          <w:noProof/>
        </w:rPr>
        <w:footnoteReference w:id="12"/>
      </w:r>
      <w:r w:rsidRPr="00A96D00">
        <w:rPr>
          <w:noProof/>
        </w:rPr>
        <w:t>.</w:t>
      </w:r>
    </w:p>
    <w:p w14:paraId="5C884E2D" w14:textId="77777777" w:rsidR="000023B2" w:rsidRPr="00A96D00" w:rsidRDefault="00C12D5B" w:rsidP="009E0D0A">
      <w:pPr>
        <w:pBdr>
          <w:top w:val="nil"/>
          <w:left w:val="nil"/>
          <w:bottom w:val="nil"/>
          <w:right w:val="nil"/>
          <w:between w:val="nil"/>
          <w:bar w:val="nil"/>
        </w:pBdr>
        <w:spacing w:before="0" w:after="240"/>
        <w:rPr>
          <w:noProof/>
        </w:rPr>
      </w:pPr>
      <w:r w:rsidRPr="00A96D00">
        <w:rPr>
          <w:noProof/>
        </w:rPr>
        <w:t xml:space="preserve">Dva su cilja ovog prijedloga: potpora optimalnom funkcioniranju Unije tržišta kapitala olakšavanjem prekograničnih ulaganja i pravednom oporezivanju sprečavanjem poreznih prijevara i zlouporaba. </w:t>
      </w:r>
    </w:p>
    <w:p w14:paraId="742BF0E2" w14:textId="77777777" w:rsidR="00977CF6" w:rsidRPr="00A96D00" w:rsidRDefault="000361B5" w:rsidP="009E0D0A">
      <w:pPr>
        <w:pBdr>
          <w:top w:val="nil"/>
          <w:left w:val="nil"/>
          <w:bottom w:val="nil"/>
          <w:right w:val="nil"/>
          <w:between w:val="nil"/>
          <w:bar w:val="nil"/>
        </w:pBdr>
        <w:spacing w:before="0" w:after="240"/>
        <w:rPr>
          <w:rFonts w:eastAsia="Arial Unicode MS"/>
          <w:noProof/>
        </w:rPr>
      </w:pPr>
      <w:r w:rsidRPr="00A96D00">
        <w:rPr>
          <w:noProof/>
        </w:rPr>
        <w:t>Radi postizanja ciljeva ovim se prijedlogom uvode učinkovitiji postupci poreza po odbitku istodobno pružajući državama članicama potrebne instrumente za djelotvornu borbu protiv poreznih prijevara i zlouporaba. Predložene izmjene ujedno će imati praktične i korisne učinke za ulagače i dovesti do znatnih ušteda za ulagače koji se procjenjuju na 5,17 milijardi EUR godišnje</w:t>
      </w:r>
      <w:r w:rsidRPr="00A96D00">
        <w:rPr>
          <w:rStyle w:val="FootnoteReference"/>
          <w:noProof/>
        </w:rPr>
        <w:footnoteReference w:id="13"/>
      </w:r>
      <w:r w:rsidRPr="00A96D00">
        <w:rPr>
          <w:noProof/>
        </w:rPr>
        <w:t>.</w:t>
      </w:r>
    </w:p>
    <w:p w14:paraId="54C4F474"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t>Dosljednost s postojećim odredbama politike u tom području</w:t>
      </w:r>
    </w:p>
    <w:p w14:paraId="22E2E4C7" w14:textId="77777777" w:rsidR="009E0D0A" w:rsidRPr="00A96D00" w:rsidRDefault="003962D4" w:rsidP="009E0D0A">
      <w:pPr>
        <w:pBdr>
          <w:top w:val="nil"/>
          <w:left w:val="nil"/>
          <w:bottom w:val="nil"/>
          <w:right w:val="nil"/>
          <w:between w:val="nil"/>
          <w:bar w:val="nil"/>
        </w:pBdr>
        <w:spacing w:before="0" w:after="240"/>
        <w:rPr>
          <w:noProof/>
        </w:rPr>
      </w:pPr>
      <w:r w:rsidRPr="00A96D00">
        <w:rPr>
          <w:noProof/>
        </w:rPr>
        <w:t xml:space="preserve">Ova je inicijativa u potpunosti dosljedna ostalim inicijativama koje je Komisija poduzela posljednjih godina radi ostvarivanja najvećih prioriteta u borbi protiv poreznih prijevara i zlouporaba: </w:t>
      </w:r>
    </w:p>
    <w:p w14:paraId="756F6993" w14:textId="77777777" w:rsidR="00DF63CE" w:rsidRPr="00A96D00" w:rsidRDefault="009E0D0A" w:rsidP="00405676">
      <w:pPr>
        <w:pStyle w:val="Tiret0"/>
        <w:numPr>
          <w:ilvl w:val="0"/>
          <w:numId w:val="9"/>
        </w:numPr>
        <w:rPr>
          <w:noProof/>
        </w:rPr>
      </w:pPr>
      <w:r w:rsidRPr="00A96D00">
        <w:rPr>
          <w:noProof/>
        </w:rPr>
        <w:t>Komisija je 2016. donijela Direktivu o suzbijanju izbjegavanja poreza</w:t>
      </w:r>
      <w:r w:rsidRPr="00A96D00">
        <w:rPr>
          <w:rStyle w:val="FootnoteReference"/>
          <w:noProof/>
        </w:rPr>
        <w:footnoteReference w:id="14"/>
      </w:r>
      <w:r w:rsidRPr="00A96D00">
        <w:rPr>
          <w:noProof/>
        </w:rPr>
        <w:t xml:space="preserve"> radi osiguravanja koordinirane provedbe najvažnijih mjera u državama članicama u borbi protiv izbjegavanja plaćanja poreza proizašlih iz međunarodnih mjera borbe protiv smanjenja porezne osnovice i premještanja dobiti. </w:t>
      </w:r>
    </w:p>
    <w:p w14:paraId="4E3230F3" w14:textId="77777777" w:rsidR="00DF63CE" w:rsidRPr="00A96D00" w:rsidRDefault="00A9533A" w:rsidP="00405676">
      <w:pPr>
        <w:pStyle w:val="Tiret0"/>
        <w:numPr>
          <w:ilvl w:val="0"/>
          <w:numId w:val="9"/>
        </w:numPr>
        <w:rPr>
          <w:noProof/>
        </w:rPr>
      </w:pPr>
      <w:r w:rsidRPr="00A96D00">
        <w:rPr>
          <w:noProof/>
        </w:rPr>
        <w:t>Direktiva o administrativnoj suradnji</w:t>
      </w:r>
      <w:r w:rsidRPr="00A96D00">
        <w:rPr>
          <w:rStyle w:val="FootnoteReference"/>
          <w:noProof/>
        </w:rPr>
        <w:footnoteReference w:id="15"/>
      </w:r>
      <w:r w:rsidRPr="00A96D00">
        <w:rPr>
          <w:noProof/>
        </w:rPr>
        <w:t xml:space="preserve"> je od njezina donošenja 2011. nekoliko puta preispitana i proširena kako bi se omogućila opsežna i pravodobna razmjena informacija u području poreza u cijelom EU-u. Posebno je drugom Direktivom o administrativnoj suradnji</w:t>
      </w:r>
      <w:r w:rsidRPr="00A96D00">
        <w:rPr>
          <w:rStyle w:val="FootnoteReference"/>
          <w:noProof/>
        </w:rPr>
        <w:footnoteReference w:id="16"/>
      </w:r>
      <w:r w:rsidRPr="00A96D00">
        <w:rPr>
          <w:noProof/>
        </w:rPr>
        <w:t xml:space="preserve"> uspostavljen okvir za veću poreznu transparentnost unutar EU-a u odnosu na informacije o financijskim računima. </w:t>
      </w:r>
    </w:p>
    <w:p w14:paraId="768CC08D" w14:textId="77777777" w:rsidR="00DF63CE" w:rsidRPr="00A96D00" w:rsidRDefault="009E0D0A" w:rsidP="00405676">
      <w:pPr>
        <w:pStyle w:val="Tiret0"/>
        <w:numPr>
          <w:ilvl w:val="0"/>
          <w:numId w:val="9"/>
        </w:numPr>
        <w:rPr>
          <w:noProof/>
        </w:rPr>
      </w:pPr>
      <w:r w:rsidRPr="00A96D00">
        <w:rPr>
          <w:noProof/>
        </w:rPr>
        <w:t>Šestom Direktivom o administrativnoj suradnji</w:t>
      </w:r>
      <w:r w:rsidRPr="00A96D00">
        <w:rPr>
          <w:rStyle w:val="FootnoteReference"/>
          <w:noProof/>
        </w:rPr>
        <w:footnoteReference w:id="17"/>
      </w:r>
      <w:r w:rsidRPr="00A96D00">
        <w:rPr>
          <w:noProof/>
        </w:rPr>
        <w:t xml:space="preserve"> posrednici su obvezani obavijestiti porezna tijela o prekograničnim mehanizmima koji se mogu iskoristiti za agresivno porezno planiranje. </w:t>
      </w:r>
    </w:p>
    <w:p w14:paraId="10C3DF1B" w14:textId="77777777" w:rsidR="00C70CF7" w:rsidRPr="00A96D00" w:rsidRDefault="00A16EE8" w:rsidP="00405676">
      <w:pPr>
        <w:pStyle w:val="Tiret0"/>
        <w:numPr>
          <w:ilvl w:val="0"/>
          <w:numId w:val="9"/>
        </w:numPr>
        <w:spacing w:before="0" w:after="200" w:line="276" w:lineRule="auto"/>
        <w:rPr>
          <w:noProof/>
        </w:rPr>
      </w:pPr>
      <w:r w:rsidRPr="00A96D00">
        <w:rPr>
          <w:noProof/>
        </w:rPr>
        <w:t>U 2021. Komisija je donijela prijedlog Direktive o borbi protiv zlouporabe fiktivnih subjekata (subjekata u Europskoj uniji s nikakvom ili s neznatnom gospodarskom aktivnošću)</w:t>
      </w:r>
      <w:r w:rsidRPr="00A96D00">
        <w:rPr>
          <w:rStyle w:val="FootnoteReference"/>
          <w:noProof/>
        </w:rPr>
        <w:footnoteReference w:id="18"/>
      </w:r>
      <w:r w:rsidRPr="00A96D00">
        <w:rPr>
          <w:noProof/>
        </w:rPr>
        <w:t xml:space="preserve"> za izbjegavanje plaćanja ili utaju poreza.  </w:t>
      </w:r>
    </w:p>
    <w:p w14:paraId="4552C847" w14:textId="77777777" w:rsidR="00DF63CE" w:rsidRPr="00A96D00" w:rsidRDefault="00DF63CE" w:rsidP="009C1497">
      <w:pPr>
        <w:spacing w:before="0" w:after="200" w:line="276" w:lineRule="auto"/>
        <w:rPr>
          <w:noProof/>
        </w:rPr>
      </w:pPr>
      <w:r w:rsidRPr="00A96D00">
        <w:rPr>
          <w:noProof/>
        </w:rPr>
        <w:t xml:space="preserve">Međutim, postojeći instrumenti EU-a ne sadržavaju posebne mjere za borbu protiv zlouporaba u postupcima poreza po odbitku. Postojeća pravila ne predviđaju da se poreznim upravama države članice izvora podnose izvješća o transakcijama vrijednosnim papirima (uključujući pojedinosti lanca isplata dividendi ili kamate koje obavljaju financijski posrednici). </w:t>
      </w:r>
    </w:p>
    <w:p w14:paraId="13DA31D9" w14:textId="77777777" w:rsidR="009E0D0A" w:rsidRPr="00A96D00" w:rsidRDefault="00A16EE8" w:rsidP="009C1497">
      <w:pPr>
        <w:spacing w:before="0" w:after="200" w:line="276" w:lineRule="auto"/>
        <w:rPr>
          <w:noProof/>
        </w:rPr>
      </w:pPr>
      <w:r w:rsidRPr="00A96D00">
        <w:rPr>
          <w:noProof/>
        </w:rPr>
        <w:t>Stoga nije moguć adekvatan odgovor na takve zlouporabe. Ovom se Direktivom povećava transparentnost kako bi se državama članicama omogućila provjera ispravne primjene stope poreza po odbitku na svakog pojedinog poreznog obveznika. Direktivom će se osigurati da se transparentnost pravodobno ostvari kako bi se opravdala i omogućila brza i djelotvorna obrada zahtjeva za povrat poreza ili oslobođenje od poreza.</w:t>
      </w:r>
    </w:p>
    <w:p w14:paraId="34B71472" w14:textId="77777777" w:rsidR="009E0D0A" w:rsidRPr="00A96D00" w:rsidRDefault="00A70A0A" w:rsidP="00C66A25">
      <w:pPr>
        <w:spacing w:before="0" w:after="200" w:line="276" w:lineRule="auto"/>
        <w:rPr>
          <w:noProof/>
        </w:rPr>
      </w:pPr>
      <w:r w:rsidRPr="00A96D00">
        <w:rPr>
          <w:noProof/>
        </w:rPr>
        <w:t>Budući da se ovim prijedlogom uređuju postupci poreza po odbitku njime će se samo dopuniti Direktiva o matičnim društvima i društvima kćerima</w:t>
      </w:r>
      <w:r w:rsidRPr="00A96D00">
        <w:rPr>
          <w:rStyle w:val="FootnoteReference"/>
          <w:noProof/>
        </w:rPr>
        <w:footnoteReference w:id="19"/>
      </w:r>
      <w:r w:rsidRPr="00A96D00">
        <w:rPr>
          <w:noProof/>
        </w:rPr>
        <w:t xml:space="preserve"> i Direktiva o kamatama i licencijama</w:t>
      </w:r>
      <w:r w:rsidRPr="00A96D00">
        <w:rPr>
          <w:rStyle w:val="FootnoteReference"/>
          <w:noProof/>
        </w:rPr>
        <w:footnoteReference w:id="20"/>
      </w:r>
      <w:r w:rsidRPr="00A96D00">
        <w:rPr>
          <w:noProof/>
        </w:rPr>
        <w:t xml:space="preserve">, na temelju kojih se od poreza po odbitku izuzimaju dividende i ostali oblici podjele dobiti, odnosno kamate i licencije koje društva kćeri isplaćuju matičnim društvima te se sprečava dvostruko oporezivanje takvih prihoda na razini matičnog društva. Direktiva o matičnim društvima i društvima kćerima i Direktiva o kamatama i licencijama mogu biti mjerodavne u odnosu na vrijednosne papire uvrštene na tržišta koji su obuhvaćeni područjem primjene ovog prijedloga, no ovim se prijedlogom ne sprečava države članice u ispunjavanju odredaba te dvije direktive nego se to postupovno olakšava. </w:t>
      </w:r>
    </w:p>
    <w:p w14:paraId="6E981F3F" w14:textId="77777777" w:rsidR="00977CF6" w:rsidRPr="00A96D00" w:rsidRDefault="00977CF6" w:rsidP="009E0D0A">
      <w:pPr>
        <w:spacing w:before="0" w:after="200" w:line="276" w:lineRule="auto"/>
        <w:jc w:val="left"/>
        <w:rPr>
          <w:rFonts w:eastAsia="Arial Unicode MS"/>
          <w:noProof/>
        </w:rPr>
      </w:pPr>
      <w:r w:rsidRPr="00A96D00">
        <w:rPr>
          <w:noProof/>
          <w:u w:color="000000"/>
          <w:bdr w:val="nil"/>
        </w:rPr>
        <w:t>•</w:t>
      </w:r>
      <w:r w:rsidRPr="00A96D00">
        <w:rPr>
          <w:noProof/>
        </w:rPr>
        <w:tab/>
      </w:r>
      <w:r w:rsidRPr="00A96D00">
        <w:rPr>
          <w:b/>
          <w:noProof/>
        </w:rPr>
        <w:t>Dosljednost u odnosu na druge politike EU-a</w:t>
      </w:r>
    </w:p>
    <w:p w14:paraId="5CF398D0" w14:textId="77777777" w:rsidR="009E0D0A" w:rsidRPr="00A96D00" w:rsidRDefault="009002EC" w:rsidP="009E0D0A">
      <w:pPr>
        <w:pBdr>
          <w:top w:val="nil"/>
          <w:left w:val="nil"/>
          <w:bottom w:val="nil"/>
          <w:right w:val="nil"/>
          <w:between w:val="nil"/>
          <w:bar w:val="nil"/>
        </w:pBdr>
        <w:spacing w:before="0" w:after="240"/>
        <w:rPr>
          <w:noProof/>
        </w:rPr>
      </w:pPr>
      <w:r w:rsidRPr="00A96D00">
        <w:rPr>
          <w:noProof/>
        </w:rPr>
        <w:t xml:space="preserve">Prijedlog je u potpunosti dosljedan i doprinosi optimalnom funkcioniranju Unije tržišta kapitala. Svrha Unije tržišta kapitala je veća dostupnost financiranja za poduzeća u EU-u, olakšavanje ulaganja za pojedince i društva te integriranje nacionalnih tržišta kapitala u jedinstveno tržište. Različiti, složeni i dugotrajni postupci poreza po odbitku uzrokuju znatne troškove koji odvraćaju od prekograničnih ulaganja i narušavaju Uniju tržišta kapitala. Ubrzavanje i pojednostavnjivanje postupaka poreza po odbitku i smanjivanje troškova tih postupaka potaknulo bi prekogranična ulaganja i doprinijelo izgradnji istinski jedinstvenog tržišta kapitala u EU-u. </w:t>
      </w:r>
    </w:p>
    <w:p w14:paraId="083A572E" w14:textId="43DA4744" w:rsidR="003962D4" w:rsidRPr="00A96D00" w:rsidRDefault="003962D4" w:rsidP="003962D4">
      <w:pPr>
        <w:pBdr>
          <w:top w:val="nil"/>
          <w:left w:val="nil"/>
          <w:bottom w:val="nil"/>
          <w:right w:val="nil"/>
          <w:between w:val="nil"/>
          <w:bar w:val="nil"/>
        </w:pBdr>
        <w:spacing w:before="0" w:after="240"/>
        <w:rPr>
          <w:noProof/>
        </w:rPr>
      </w:pPr>
      <w:r w:rsidRPr="00A96D00">
        <w:rPr>
          <w:noProof/>
        </w:rPr>
        <w:t>Budući da se prijedlogom rješavaju najveće prepreke prekograničnim ulaganjima malih ulagača, on je ujedno dopuna strategiji ulaganja za male ulagače donesenoj 24. svibnja 2023.</w:t>
      </w:r>
      <w:r w:rsidRPr="00A96D00">
        <w:rPr>
          <w:rStyle w:val="FootnoteReference"/>
          <w:noProof/>
        </w:rPr>
        <w:footnoteReference w:id="21"/>
      </w:r>
      <w:r w:rsidRPr="00A96D00">
        <w:rPr>
          <w:noProof/>
        </w:rPr>
        <w:t xml:space="preserve"> kako bi se ulagače potaknulo na iskorištavanje pogodnosti tržišta kapitala EU-a.</w:t>
      </w:r>
    </w:p>
    <w:p w14:paraId="412F3D9A" w14:textId="77777777" w:rsidR="009E0D0A" w:rsidRPr="00A96D00" w:rsidRDefault="009E0D0A" w:rsidP="009E0D0A">
      <w:pPr>
        <w:pBdr>
          <w:top w:val="nil"/>
          <w:left w:val="nil"/>
          <w:bottom w:val="nil"/>
          <w:right w:val="nil"/>
          <w:between w:val="nil"/>
          <w:bar w:val="nil"/>
        </w:pBdr>
        <w:spacing w:before="0" w:after="240"/>
        <w:rPr>
          <w:noProof/>
        </w:rPr>
      </w:pPr>
      <w:r w:rsidRPr="00A96D00">
        <w:rPr>
          <w:noProof/>
        </w:rPr>
        <w:t>Ovom se Direktivom ujedno dopunjuje Direktiva o pravima dioničara</w:t>
      </w:r>
      <w:r w:rsidRPr="00A96D00">
        <w:rPr>
          <w:rStyle w:val="FootnoteReference"/>
          <w:noProof/>
        </w:rPr>
        <w:footnoteReference w:id="22"/>
      </w:r>
      <w:r w:rsidRPr="00A96D00">
        <w:rPr>
          <w:noProof/>
        </w:rPr>
        <w:t xml:space="preserve"> jer obje za cilj imaju ostvarivanje transparentnosti u odnosu na konačnog ulagača. Direktiva o pravima dioničara olakšava utvrđivanje dioničara i razmjene informacija između dioničara i izdavatelja vrijednosnih papira. Društva imaju pravo utvrditi svoje dioničare i pribaviti informacije o identitetu dioničara od posrednika koji posjeduje te informacije. </w:t>
      </w:r>
    </w:p>
    <w:p w14:paraId="4C5B1822" w14:textId="77777777" w:rsidR="00977CF6" w:rsidRPr="00A96D00" w:rsidRDefault="00977CF6" w:rsidP="000430BD">
      <w:pPr>
        <w:pStyle w:val="ManualHeading1"/>
        <w:rPr>
          <w:noProof/>
        </w:rPr>
      </w:pPr>
      <w:r w:rsidRPr="00A96D00">
        <w:rPr>
          <w:noProof/>
        </w:rPr>
        <w:t>2.</w:t>
      </w:r>
      <w:r w:rsidRPr="00A96D00">
        <w:rPr>
          <w:noProof/>
        </w:rPr>
        <w:tab/>
        <w:t>PRAVNA OSNOVA, SUPSIDIJARNOST I PROPORCIONALNOST</w:t>
      </w:r>
    </w:p>
    <w:p w14:paraId="5DB9AC5D"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Pravna osnova</w:t>
      </w:r>
    </w:p>
    <w:p w14:paraId="371647B9" w14:textId="77777777" w:rsidR="00977CF6" w:rsidRPr="00A96D00" w:rsidRDefault="00F74AEC" w:rsidP="000430BD">
      <w:pPr>
        <w:pBdr>
          <w:top w:val="nil"/>
          <w:left w:val="nil"/>
          <w:bottom w:val="nil"/>
          <w:right w:val="nil"/>
          <w:between w:val="nil"/>
          <w:bar w:val="nil"/>
        </w:pBdr>
        <w:spacing w:before="0" w:after="240"/>
        <w:rPr>
          <w:rFonts w:eastAsia="Arial Unicode MS"/>
          <w:noProof/>
        </w:rPr>
      </w:pPr>
      <w:r w:rsidRPr="00A96D00">
        <w:rPr>
          <w:noProof/>
        </w:rPr>
        <w:t>Pravna osnova zakonodavne inicijative u području oporezivanja je članak 115. Ugovora o funkcioniranju Europske unije (UFEU). Iako u tom članku nema izričitog upućivanja na izravno oporezivanje, u članku se ipak upućuje na donošenje direktiva za konvergenciju nacionalnih zakona koji izravno utječu na uspostavljanje ili funkcioniranje jedinstvenog tržišta. Iz toga slijedi da su na temelju članka 115. UFEU-a direktive odgovarajući zakonodavni instrument EU-a u tom području. Na temelju članka 288. UFEU-a direktive su obvezujuće za države članice u odnosu na ostvarivanje ciljeva, no nacionalna tijela slobodno odabiru oblik i metode.</w:t>
      </w:r>
    </w:p>
    <w:p w14:paraId="6CCA592C"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 xml:space="preserve">Supsidijarnost (za neisključivu nadležnost) </w:t>
      </w:r>
    </w:p>
    <w:p w14:paraId="29CBEC70" w14:textId="77777777" w:rsidR="009E0D0A" w:rsidRPr="00A96D00" w:rsidRDefault="009E0D0A" w:rsidP="009E0D0A">
      <w:pPr>
        <w:pBdr>
          <w:top w:val="nil"/>
          <w:left w:val="nil"/>
          <w:bottom w:val="nil"/>
          <w:right w:val="nil"/>
          <w:between w:val="nil"/>
          <w:bar w:val="nil"/>
        </w:pBdr>
        <w:spacing w:before="0" w:after="240"/>
        <w:rPr>
          <w:noProof/>
        </w:rPr>
      </w:pPr>
      <w:r w:rsidRPr="00A96D00">
        <w:rPr>
          <w:noProof/>
        </w:rPr>
        <w:t xml:space="preserve">Ovaj je prijedlog u skladu s načelom supsidijarnosti kako je utvrđen u članku 5. Ugovora o Europskoj uniji. Prekogranična priroda problema koji se nastoji riješiti podrazumijeva zajedničku inicijativu u cijelom jedinstvenom tržištu. </w:t>
      </w:r>
    </w:p>
    <w:p w14:paraId="0F3A5D7B" w14:textId="77777777" w:rsidR="009E0D0A" w:rsidRPr="00A96D00" w:rsidRDefault="002E5771" w:rsidP="009E0D0A">
      <w:pPr>
        <w:pBdr>
          <w:top w:val="nil"/>
          <w:left w:val="nil"/>
          <w:bottom w:val="nil"/>
          <w:right w:val="nil"/>
          <w:between w:val="nil"/>
          <w:bar w:val="nil"/>
        </w:pBdr>
        <w:spacing w:before="0" w:after="240"/>
        <w:rPr>
          <w:noProof/>
        </w:rPr>
      </w:pPr>
      <w:r w:rsidRPr="00A96D00">
        <w:rPr>
          <w:noProof/>
        </w:rPr>
        <w:t>Ishodište problema je činjenica da se među državama članicama koje ubiru porez po odbitku na isplate dividendi ili kamata primjenjuju različiti sustavi za oslobođenje od preplaćenog plaćanja poreza u prekograničnim situacijama. U državama članicama primjenjuju se sljedeći sustavi i različiti pragovi ili uvjeti: oslobađanje na izvoru, sustav brzog povrata, standardni sustav povrata ili njihove kombinacije.</w:t>
      </w:r>
    </w:p>
    <w:p w14:paraId="4D20F486" w14:textId="77777777" w:rsidR="009E0D0A" w:rsidRPr="00A96D00" w:rsidRDefault="008D10E7" w:rsidP="009E0D0A">
      <w:pPr>
        <w:pBdr>
          <w:top w:val="nil"/>
          <w:left w:val="nil"/>
          <w:bottom w:val="nil"/>
          <w:right w:val="nil"/>
          <w:between w:val="nil"/>
          <w:bar w:val="nil"/>
        </w:pBdr>
        <w:spacing w:before="0" w:after="240"/>
        <w:rPr>
          <w:noProof/>
        </w:rPr>
      </w:pPr>
      <w:r w:rsidRPr="00A96D00">
        <w:rPr>
          <w:noProof/>
        </w:rPr>
        <w:t xml:space="preserve">Zadržavanje sve rascjepkanijeg okvira postupaka poreza po odbitku u EU-u dovodi do velikih troškova usklađivanja za ulagače i financijske posrednike. Budući da je uglavnom riječ o prekograničnim slučajevima potrebno je djelovanje EU-a radi pojednostavnjenja administrativnih postupaka i smanjivanja troškova usklađivanja. Izostane li takva inicijativa, rascjepkanost nacionalnih postupaka poreza po odbitku i dalje će otežavati djelotvornost postupaka oslobođenja za prekogranične transakcije, a time i pravilno funkcioniranje jedinstvenog tržišta. Stoga je potrebno djelovanje EU-a kako bi se uspostavili jednaki uvjeti za domaće i strane ulagače te za rezidentne i nerezidentne posrednike. </w:t>
      </w:r>
    </w:p>
    <w:p w14:paraId="0451A568" w14:textId="77777777" w:rsidR="009E0D0A" w:rsidRPr="00A96D00" w:rsidRDefault="009E0D0A" w:rsidP="009E0D0A">
      <w:pPr>
        <w:pBdr>
          <w:top w:val="nil"/>
          <w:left w:val="nil"/>
          <w:bottom w:val="nil"/>
          <w:right w:val="nil"/>
          <w:between w:val="nil"/>
          <w:bar w:val="nil"/>
        </w:pBdr>
        <w:spacing w:before="0" w:after="240"/>
        <w:rPr>
          <w:noProof/>
        </w:rPr>
      </w:pPr>
      <w:r w:rsidRPr="00A96D00">
        <w:rPr>
          <w:noProof/>
        </w:rPr>
        <w:t xml:space="preserve">Inicijativom se ujedno želi odgovoriti na preporuke ESMA-e iz „Završnog izvješća o mehanizmima Cum/Ex, Cum/Cum i povrata poreza po odbitku” čiji zaključci upućuju na potrebu za posebnim djelovanjem na razini EU-a u području oporezivanja radi djelotvorne borbe protiv prijevara i zlouporaba. </w:t>
      </w:r>
    </w:p>
    <w:p w14:paraId="4B432966" w14:textId="77777777" w:rsidR="00977CF6" w:rsidRPr="00A96D00" w:rsidRDefault="00CF7DD0" w:rsidP="009E0D0A">
      <w:pPr>
        <w:pBdr>
          <w:top w:val="nil"/>
          <w:left w:val="nil"/>
          <w:bottom w:val="nil"/>
          <w:right w:val="nil"/>
          <w:between w:val="nil"/>
          <w:bar w:val="nil"/>
        </w:pBdr>
        <w:spacing w:before="0" w:after="240"/>
        <w:rPr>
          <w:rFonts w:eastAsia="Arial Unicode MS"/>
          <w:noProof/>
        </w:rPr>
      </w:pPr>
      <w:r w:rsidRPr="00A96D00">
        <w:rPr>
          <w:noProof/>
        </w:rPr>
        <w:t xml:space="preserve">Zakonodavna inicijativa stoga je u skladu s načelom supsidijarnosti kako je utvrđeno u članku 5. Ugovora o Europskoj uniji. </w:t>
      </w:r>
    </w:p>
    <w:p w14:paraId="6A9804BF"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Proporcionalnost</w:t>
      </w:r>
    </w:p>
    <w:p w14:paraId="64FAF34B" w14:textId="77777777" w:rsidR="009E0D0A" w:rsidRPr="00A96D00" w:rsidRDefault="009E0D0A" w:rsidP="009E0D0A">
      <w:pPr>
        <w:pBdr>
          <w:top w:val="nil"/>
          <w:left w:val="nil"/>
          <w:bottom w:val="nil"/>
          <w:right w:val="nil"/>
          <w:between w:val="nil"/>
          <w:bar w:val="nil"/>
        </w:pBdr>
        <w:spacing w:before="0" w:after="240"/>
        <w:rPr>
          <w:noProof/>
        </w:rPr>
      </w:pPr>
      <w:r w:rsidRPr="00A96D00">
        <w:rPr>
          <w:noProof/>
        </w:rPr>
        <w:t xml:space="preserve">Predviđenim mjerama ne prelazi se ono što je nužno za osiguranje minimalne nužne razine zaštite unutarnjeg tržišta i stoga su u skladu s načelom proporcionalnosti. Prijedlogom se ne propisuje potpuno usklađivanje nego utvrđuju zajednička obilježja koja bi unaprijedila sustave država članica za porez po odbitku i osnažila ih u odnosu na prijevare i zlouporabe. </w:t>
      </w:r>
    </w:p>
    <w:p w14:paraId="0A547145" w14:textId="77777777" w:rsidR="009E0D0A" w:rsidRPr="00A96D00" w:rsidRDefault="009E0D0A" w:rsidP="009E0D0A">
      <w:pPr>
        <w:pBdr>
          <w:top w:val="nil"/>
          <w:left w:val="nil"/>
          <w:bottom w:val="nil"/>
          <w:right w:val="nil"/>
          <w:between w:val="nil"/>
          <w:bar w:val="nil"/>
        </w:pBdr>
        <w:spacing w:before="0" w:after="240"/>
        <w:rPr>
          <w:noProof/>
        </w:rPr>
      </w:pPr>
      <w:r w:rsidRPr="00A96D00">
        <w:rPr>
          <w:noProof/>
        </w:rPr>
        <w:t xml:space="preserve">Uvođenje zajedničke digitalne potvrde EU-a o poreznoj rezidentnosti (eTRC) pogodovalo bi ulagačima, financijskim posrednicima i poreznim upravama. Trenutačni sustav, koji je rascjepkan i uglavnom se temelji na papirnatim ispravama, zamijenit će se digitalnim sustavom. Time bi se povećala digitalizacija administrativnih postupaka u državama članicama i ostvarile uštede troškova, ujedno omogućujući unaprjeđivanje postupaka za financijske posrednike. To je važan prvi korak u ostvarivanju učinkovitijih postupaka poreza po odbitku. </w:t>
      </w:r>
    </w:p>
    <w:p w14:paraId="648A228E" w14:textId="77777777" w:rsidR="001B5A28" w:rsidRPr="00A96D00" w:rsidRDefault="001B5A28" w:rsidP="009E0D0A">
      <w:pPr>
        <w:pBdr>
          <w:top w:val="nil"/>
          <w:left w:val="nil"/>
          <w:bottom w:val="nil"/>
          <w:right w:val="nil"/>
          <w:between w:val="nil"/>
          <w:bar w:val="nil"/>
        </w:pBdr>
        <w:spacing w:before="0" w:after="240"/>
        <w:rPr>
          <w:noProof/>
        </w:rPr>
      </w:pPr>
      <w:r w:rsidRPr="00A96D00">
        <w:rPr>
          <w:noProof/>
        </w:rPr>
        <w:t>Uvođenje obveze izvješćivanja za financijske posrednike podrazumijeva određene troškove i administrativno opterećenje. Međutim, ti su troškovi manji od pozitivnog učinka koji bi dostavljene informacije imale za porezne uprave u poboljšavanju postupaka poreza po odbitku, koji bi postali sigurniji i djelotvorniji.</w:t>
      </w:r>
    </w:p>
    <w:p w14:paraId="225C8E29" w14:textId="123D4E3A" w:rsidR="001B5A28" w:rsidRPr="00A96D00" w:rsidRDefault="00060B87" w:rsidP="009E0D0A">
      <w:pPr>
        <w:pBdr>
          <w:top w:val="nil"/>
          <w:left w:val="nil"/>
          <w:bottom w:val="nil"/>
          <w:right w:val="nil"/>
          <w:between w:val="nil"/>
          <w:bar w:val="nil"/>
        </w:pBdr>
        <w:spacing w:before="0" w:after="240"/>
        <w:rPr>
          <w:noProof/>
        </w:rPr>
      </w:pPr>
      <w:r w:rsidRPr="00A96D00">
        <w:rPr>
          <w:noProof/>
        </w:rPr>
        <w:t xml:space="preserve">To bi opterećenje trebalo ocijeniti u odnosu na inicijative koje su nedavno donesene ili najavljene u nekim državama članicama kao odgovor na nedavne skandale i zlouporabe postupaka poreza po odbitku – tim se inicijativama za posrednike uvode novi i opsežni zahtjevi izvješćivanja. </w:t>
      </w:r>
    </w:p>
    <w:p w14:paraId="53C675F0" w14:textId="77777777" w:rsidR="009E0D0A" w:rsidRPr="00A96D00" w:rsidRDefault="00E26957" w:rsidP="009E0D0A">
      <w:pPr>
        <w:pBdr>
          <w:top w:val="nil"/>
          <w:left w:val="nil"/>
          <w:bottom w:val="nil"/>
          <w:right w:val="nil"/>
          <w:between w:val="nil"/>
          <w:bar w:val="nil"/>
        </w:pBdr>
        <w:spacing w:before="0" w:after="240"/>
        <w:rPr>
          <w:noProof/>
        </w:rPr>
      </w:pPr>
      <w:r w:rsidRPr="00A96D00">
        <w:rPr>
          <w:noProof/>
        </w:rPr>
        <w:t xml:space="preserve">Zajednički standard izvješćivanja za cijeli EU doveo bi do ušteda u troškovima usklađivanja za financijske posrednike koji posluju prekogranično jer bi morali ispunjavati jedan standard izvješćivanja za cijeli EU, umjesto brojnih različitih zahtjeva za izvješćivanje. </w:t>
      </w:r>
    </w:p>
    <w:p w14:paraId="7FA7571E"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Odabir instrumenta</w:t>
      </w:r>
    </w:p>
    <w:p w14:paraId="51C61F6B" w14:textId="77777777" w:rsidR="00977CF6" w:rsidRPr="00A96D00" w:rsidRDefault="009E0D0A" w:rsidP="000430BD">
      <w:pPr>
        <w:pBdr>
          <w:top w:val="nil"/>
          <w:left w:val="nil"/>
          <w:bottom w:val="nil"/>
          <w:right w:val="nil"/>
          <w:between w:val="nil"/>
          <w:bar w:val="nil"/>
        </w:pBdr>
        <w:spacing w:before="0" w:after="240"/>
        <w:rPr>
          <w:rFonts w:eastAsia="Arial Unicode MS"/>
          <w:noProof/>
        </w:rPr>
      </w:pPr>
      <w:r w:rsidRPr="00A96D00">
        <w:rPr>
          <w:noProof/>
        </w:rPr>
        <w:t xml:space="preserve">Prijedlog je u obliku direktive, što je jedini dopušteni instrument na temelju pravne osnove (članak 115. UFEU-a). </w:t>
      </w:r>
    </w:p>
    <w:p w14:paraId="38B04016" w14:textId="77777777" w:rsidR="00977CF6" w:rsidRPr="00A96D00" w:rsidRDefault="00977CF6" w:rsidP="000430BD">
      <w:pPr>
        <w:pStyle w:val="ManualHeading1"/>
        <w:rPr>
          <w:noProof/>
        </w:rPr>
      </w:pPr>
      <w:r w:rsidRPr="00A96D00">
        <w:rPr>
          <w:noProof/>
        </w:rPr>
        <w:t>3.</w:t>
      </w:r>
      <w:r w:rsidRPr="00A96D00">
        <w:rPr>
          <w:noProof/>
        </w:rPr>
        <w:tab/>
        <w:t xml:space="preserve">REZULTATI </w:t>
      </w:r>
      <w:r w:rsidRPr="00A96D00">
        <w:rPr>
          <w:i/>
          <w:iCs/>
          <w:noProof/>
        </w:rPr>
        <w:t>EX POST</w:t>
      </w:r>
      <w:r w:rsidRPr="00A96D00">
        <w:rPr>
          <w:noProof/>
        </w:rPr>
        <w:t xml:space="preserve"> EVALUACIJA, SAVJETOVANJA S DIONICIMA I PROCJENA UČINKA</w:t>
      </w:r>
    </w:p>
    <w:p w14:paraId="5C975B44"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i/>
          <w:iCs/>
          <w:noProof/>
          <w:u w:color="000000"/>
          <w:bdr w:val="nil"/>
        </w:rPr>
        <w:t>Ex post</w:t>
      </w:r>
      <w:r w:rsidRPr="00A96D00">
        <w:rPr>
          <w:noProof/>
          <w:u w:color="000000"/>
          <w:bdr w:val="nil"/>
        </w:rPr>
        <w:t xml:space="preserve"> evaluacije/provjere primjerenosti postojećeg zakonodavstva</w:t>
      </w:r>
    </w:p>
    <w:p w14:paraId="35952049" w14:textId="77777777" w:rsidR="00977CF6" w:rsidRPr="00A96D00" w:rsidRDefault="00723390" w:rsidP="000430BD">
      <w:pPr>
        <w:pBdr>
          <w:top w:val="nil"/>
          <w:left w:val="nil"/>
          <w:bottom w:val="nil"/>
          <w:right w:val="nil"/>
          <w:between w:val="nil"/>
          <w:bar w:val="nil"/>
        </w:pBdr>
        <w:spacing w:before="0" w:after="240"/>
        <w:rPr>
          <w:rFonts w:eastAsia="Arial Unicode MS"/>
          <w:noProof/>
        </w:rPr>
      </w:pPr>
      <w:r w:rsidRPr="00A96D00">
        <w:rPr>
          <w:noProof/>
        </w:rPr>
        <w:t xml:space="preserve">Ne postoji prethodno obvezujuće zakonodavstvo u području postupaka oslobođenja za porez po odbitku pa stoga nisu provedene </w:t>
      </w:r>
      <w:r w:rsidRPr="00A96D00">
        <w:rPr>
          <w:i/>
          <w:iCs/>
          <w:noProof/>
        </w:rPr>
        <w:t>ex post</w:t>
      </w:r>
      <w:r w:rsidRPr="00A96D00">
        <w:rPr>
          <w:noProof/>
        </w:rPr>
        <w:t xml:space="preserve"> evaluacije ili provjere primjerenosti. </w:t>
      </w:r>
    </w:p>
    <w:p w14:paraId="35046F88"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Savjetovanja s dionicima</w:t>
      </w:r>
    </w:p>
    <w:p w14:paraId="0637742D" w14:textId="77777777" w:rsidR="00E75BA5" w:rsidRPr="00A96D00" w:rsidRDefault="00723390" w:rsidP="00723390">
      <w:pPr>
        <w:pBdr>
          <w:top w:val="nil"/>
          <w:left w:val="nil"/>
          <w:bottom w:val="nil"/>
          <w:right w:val="nil"/>
          <w:between w:val="nil"/>
          <w:bar w:val="nil"/>
        </w:pBdr>
        <w:spacing w:before="0" w:after="240"/>
        <w:rPr>
          <w:noProof/>
        </w:rPr>
      </w:pPr>
      <w:r w:rsidRPr="00A96D00">
        <w:rPr>
          <w:noProof/>
        </w:rPr>
        <w:t>Strategija savjetovanja s dionicima za ovu inicijativu obuhvaćala je i javna i ciljana savjetovanja. Početna procjena učinka</w:t>
      </w:r>
      <w:r w:rsidRPr="00A96D00">
        <w:rPr>
          <w:rStyle w:val="FootnoteReference"/>
          <w:noProof/>
        </w:rPr>
        <w:footnoteReference w:id="23"/>
      </w:r>
      <w:r w:rsidRPr="00A96D00">
        <w:rPr>
          <w:noProof/>
        </w:rPr>
        <w:t xml:space="preserve"> objavljena je 28. rujna 2021. s razdobljem savjetovanja od četiri tjedna, nakon čega je slijedilo javno savjetovanje od travnja do lipnja 2022. tijekom kojeg su prikupljena 1682 odgovora. </w:t>
      </w:r>
    </w:p>
    <w:p w14:paraId="18708591" w14:textId="77777777" w:rsidR="00723390" w:rsidRPr="00A96D00" w:rsidRDefault="00723390" w:rsidP="00723390">
      <w:pPr>
        <w:pBdr>
          <w:top w:val="nil"/>
          <w:left w:val="nil"/>
          <w:bottom w:val="nil"/>
          <w:right w:val="nil"/>
          <w:between w:val="nil"/>
          <w:bar w:val="nil"/>
        </w:pBdr>
        <w:spacing w:before="0" w:after="240"/>
        <w:rPr>
          <w:noProof/>
        </w:rPr>
      </w:pPr>
      <w:r w:rsidRPr="00A96D00">
        <w:rPr>
          <w:noProof/>
        </w:rPr>
        <w:t>Savjetovanje s državama članicama provedeno je u okviru radne skupine IV., bilateralnih sastanaka te dva sastanka na vrhu poreznih uprava EU-a (TADEUS). Održani su i sastanci s različitim dionicima poput predstavnika financijskih posrednika ili malih ulagača.</w:t>
      </w:r>
    </w:p>
    <w:p w14:paraId="2FC0CD64" w14:textId="77777777" w:rsidR="00E75BA5" w:rsidRPr="00A96D00" w:rsidRDefault="00723390" w:rsidP="00723390">
      <w:pPr>
        <w:pBdr>
          <w:top w:val="nil"/>
          <w:left w:val="nil"/>
          <w:bottom w:val="nil"/>
          <w:right w:val="nil"/>
          <w:between w:val="nil"/>
          <w:bar w:val="nil"/>
        </w:pBdr>
        <w:spacing w:before="0" w:after="240"/>
        <w:rPr>
          <w:noProof/>
        </w:rPr>
      </w:pPr>
      <w:r w:rsidRPr="00A96D00">
        <w:rPr>
          <w:noProof/>
        </w:rPr>
        <w:t xml:space="preserve">Zaključak je svih tih razmatranja i povratnih informacija s različitim dionicima da postoji širok konsenzus o poteškoćama koje proizlaze iz različitih postupaka poreza po odbitku među državama članicama i o potrebi za djelovanjem EU-a za uklanjanje rascjepkanosti i nepovoljne situacije. </w:t>
      </w:r>
    </w:p>
    <w:p w14:paraId="12943445" w14:textId="77777777" w:rsidR="00723390" w:rsidRPr="00A96D00" w:rsidRDefault="00723390" w:rsidP="00723390">
      <w:pPr>
        <w:pBdr>
          <w:top w:val="nil"/>
          <w:left w:val="nil"/>
          <w:bottom w:val="nil"/>
          <w:right w:val="nil"/>
          <w:between w:val="nil"/>
          <w:bar w:val="nil"/>
        </w:pBdr>
        <w:spacing w:before="0" w:after="240"/>
        <w:rPr>
          <w:noProof/>
        </w:rPr>
      </w:pPr>
      <w:r w:rsidRPr="00A96D00">
        <w:rPr>
          <w:noProof/>
        </w:rPr>
        <w:t>Međutim, glavne skupine dionika imaju različita stajališta o mogućim rješenjima:</w:t>
      </w:r>
    </w:p>
    <w:p w14:paraId="5AA604B8" w14:textId="77777777" w:rsidR="00723390" w:rsidRPr="00A96D00" w:rsidRDefault="00723390" w:rsidP="00405676">
      <w:pPr>
        <w:pStyle w:val="Tiret0"/>
        <w:numPr>
          <w:ilvl w:val="0"/>
          <w:numId w:val="22"/>
        </w:numPr>
        <w:rPr>
          <w:noProof/>
        </w:rPr>
      </w:pPr>
      <w:r w:rsidRPr="00A96D00">
        <w:rPr>
          <w:noProof/>
        </w:rPr>
        <w:t xml:space="preserve">ulagači i financijski posrednici jasno smatraju da oslobođenje na izvoru daje najbolje rezultate poput ranog oslobođenja za ulagače i ograničenog opterećenja za posrednike. Ujedno uvažavaju da sustav oslobođenja na izvoru vjerojatno treba dopuniti sustavima povrata poreza po odbitku kao dodatnom rješenju. Stoga podržavaju inicijativu kojom bi se standardizirali trenutačni postupci i obrasci za povrate poreza po odbitku. </w:t>
      </w:r>
    </w:p>
    <w:p w14:paraId="2E0FF5E4" w14:textId="77777777" w:rsidR="00723390" w:rsidRPr="00A96D00" w:rsidRDefault="00723390" w:rsidP="002C4E11">
      <w:pPr>
        <w:pStyle w:val="Tiret0"/>
        <w:rPr>
          <w:noProof/>
        </w:rPr>
      </w:pPr>
      <w:r w:rsidRPr="00A96D00">
        <w:rPr>
          <w:noProof/>
        </w:rPr>
        <w:t xml:space="preserve">Države članice izrazile su potporu uvođenju zajedničke </w:t>
      </w:r>
      <w:r w:rsidRPr="00A96D00">
        <w:rPr>
          <w:b/>
          <w:bCs/>
          <w:noProof/>
        </w:rPr>
        <w:t>digitalne potvrde o poreznoj rezidentnosti na razini EU-a</w:t>
      </w:r>
      <w:r w:rsidRPr="00A96D00">
        <w:rPr>
          <w:noProof/>
        </w:rPr>
        <w:t xml:space="preserve">. Kad je riječ o obvezi izvješćivanja i standardiziranju postupka: </w:t>
      </w:r>
    </w:p>
    <w:p w14:paraId="3558E6A6" w14:textId="0620F866" w:rsidR="00723390" w:rsidRPr="00A96D00" w:rsidRDefault="000305AA" w:rsidP="000305AA">
      <w:pPr>
        <w:pStyle w:val="Point1"/>
        <w:rPr>
          <w:noProof/>
        </w:rPr>
      </w:pPr>
      <w:r w:rsidRPr="000305AA">
        <w:t>(a)</w:t>
      </w:r>
      <w:r w:rsidRPr="000305AA">
        <w:tab/>
      </w:r>
      <w:r w:rsidR="00723390" w:rsidRPr="00A96D00">
        <w:rPr>
          <w:noProof/>
        </w:rPr>
        <w:t>države članice u kojima je stopa poreza po odbitku za nerezidentne ulagače niža od ili jednaka stopi iz ugovora o izbjegavanju dvostrukog oporezivanja ne bi bile izravno obuhvaćene standardizacijom postupaka poreza po odbitku ili obvezom izvješćivanja. Neke od tih država članica izrazile su potporu djelovanju na razini EU-a jer će to poboljšati poziciju ulagača iz tih država;</w:t>
      </w:r>
    </w:p>
    <w:p w14:paraId="2E953856" w14:textId="55645BC2" w:rsidR="00723390" w:rsidRPr="00A96D00" w:rsidRDefault="000305AA" w:rsidP="000305AA">
      <w:pPr>
        <w:pStyle w:val="Point1"/>
        <w:rPr>
          <w:noProof/>
        </w:rPr>
      </w:pPr>
      <w:r w:rsidRPr="000305AA">
        <w:t>(b)</w:t>
      </w:r>
      <w:r w:rsidRPr="000305AA">
        <w:tab/>
      </w:r>
      <w:r w:rsidR="00723390" w:rsidRPr="00A96D00">
        <w:rPr>
          <w:noProof/>
        </w:rPr>
        <w:t>države članice u kojima je stopa poreza po odbitku veća od odgovarajuće stope iz ugovora o izbjegavanju dvostrukog oporezivanja uglavnom se slažu o potrebi povećanja transparentnosti i standardizacije postupaka poreza po odbitku te ističu važnost uravnoteživanja učinkovitosti tih postupaka i zadržavanja kontrole nad tim postupcima kako bi se spriječile porezne zlouporabe.</w:t>
      </w:r>
    </w:p>
    <w:p w14:paraId="2D9F0067" w14:textId="77777777" w:rsidR="00723390" w:rsidRPr="00A96D00" w:rsidRDefault="00723390" w:rsidP="00723390">
      <w:pPr>
        <w:rPr>
          <w:noProof/>
        </w:rPr>
      </w:pPr>
      <w:r w:rsidRPr="00A96D00">
        <w:rPr>
          <w:noProof/>
        </w:rPr>
        <w:t xml:space="preserve">Svi prethodno navedeni komentari i primjedbe uzeti su u obzir u ovom prijedlogu kojim se uvode učinkovitiji postupci poreza po odbitku istodobno pružajući državama članicama potrebne instrumente za djelotvornu borbu protiv poreznih prijevara i zlouporaba. </w:t>
      </w:r>
    </w:p>
    <w:p w14:paraId="47DF3BFF"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Prikupljanje i primjena stručnih znanja</w:t>
      </w:r>
    </w:p>
    <w:p w14:paraId="5A0D718A" w14:textId="77777777" w:rsidR="00977CF6" w:rsidRPr="00A96D00" w:rsidRDefault="00723390" w:rsidP="000430BD">
      <w:pPr>
        <w:pBdr>
          <w:top w:val="nil"/>
          <w:left w:val="nil"/>
          <w:bottom w:val="nil"/>
          <w:right w:val="nil"/>
          <w:between w:val="nil"/>
          <w:bar w:val="nil"/>
        </w:pBdr>
        <w:spacing w:before="0" w:after="240"/>
        <w:rPr>
          <w:noProof/>
        </w:rPr>
      </w:pPr>
      <w:r w:rsidRPr="00A96D00">
        <w:rPr>
          <w:noProof/>
        </w:rPr>
        <w:t xml:space="preserve">Tijekom pripreme prijedloga Komisija se posavjetovala sa širokim krugom dionika i dobila je povratne informacije iz različitih izvora. Komisija se među ostalim oslonila na javno dostupne informacije i doprinose primljene iz privatnog sektora putem poziva i posjeta na licu mjesta radi razmatranja tehničkih elemenata. </w:t>
      </w:r>
    </w:p>
    <w:p w14:paraId="50C9950C" w14:textId="77777777" w:rsidR="00723390" w:rsidRPr="00A96D00" w:rsidRDefault="00723390" w:rsidP="00723390">
      <w:pPr>
        <w:pStyle w:val="ManualHeading2"/>
        <w:rPr>
          <w:noProof/>
        </w:rPr>
      </w:pPr>
      <w:r w:rsidRPr="00A96D00">
        <w:rPr>
          <w:noProof/>
        </w:rPr>
        <w:t>•</w:t>
      </w:r>
      <w:r w:rsidRPr="00A96D00">
        <w:rPr>
          <w:noProof/>
        </w:rPr>
        <w:tab/>
        <w:t>Procjena učinka</w:t>
      </w:r>
    </w:p>
    <w:p w14:paraId="6067C5FF" w14:textId="77777777" w:rsidR="006E5243" w:rsidRPr="00A96D00" w:rsidRDefault="00723390" w:rsidP="000430BD">
      <w:pPr>
        <w:pBdr>
          <w:top w:val="nil"/>
          <w:left w:val="nil"/>
          <w:bottom w:val="nil"/>
          <w:right w:val="nil"/>
          <w:between w:val="nil"/>
          <w:bar w:val="nil"/>
        </w:pBdr>
        <w:spacing w:before="0" w:after="240"/>
        <w:rPr>
          <w:noProof/>
        </w:rPr>
      </w:pPr>
      <w:r w:rsidRPr="00A96D00">
        <w:rPr>
          <w:noProof/>
        </w:rPr>
        <w:t>Tijekom pripreme ove inicijative provedena je procjena učinka. Nacrt izvješća o procjeni učinka podnesen je 16. studenoga 2022. Komisijinu Odboru za nadzor regulative. Nakon sastanka održanog 14. prosinca 2022. Odbor za nadzor regulative je 16. prosinca 2022. izrazio negativno stajalište navodeći određena područja u kojima je bilo nužno poboljšanje. Glavna područja u kojima je bilo nužno poboljšanje bila su: više jasnoće u pogledu važnosti dva posebna cilja inicijative (poboljšanje učinkovitosti i borba protiv poreznih zlouporaba), točan opis sadržaja, funkcioniranja i komplementarnosti opcija i jasan i potpun pregled troškova i koristi svake opcije.</w:t>
      </w:r>
    </w:p>
    <w:p w14:paraId="0823C346" w14:textId="77777777" w:rsidR="006E5243" w:rsidRPr="00A96D00" w:rsidRDefault="00723390" w:rsidP="00896B16">
      <w:pPr>
        <w:rPr>
          <w:noProof/>
        </w:rPr>
      </w:pPr>
      <w:r w:rsidRPr="00A96D00">
        <w:rPr>
          <w:noProof/>
        </w:rPr>
        <w:t>Revidirano izvješće o procjeni učinka podneseno je Odboru za nadzor regulative 20. ožujka 2023. zajedno s izmjenama uvedenim s obzirom na ranije primjedbe Odbora. Konkretno, pojašnjeno je da su oba cilja, (poboljšanje učinkovitosti i borba protiv poreznih zlouporaba) jednako važni; usto, razrada opcija izmijenjena je kako bi se predstavilo tri opcije umjesto četiri (objedinjavanjem prethodnih opcija 1. i 2. u novu opciju 1. i neznatne izmjene i promjena redoslijeda opcija 2. i 3.); procjena učinka izmijenjena je kako bi se postigao bolji sveobuhvatan pregled troškova i koristi te je dodana tablica sa sažetkom u kojoj su prikazani neto troškovi/koristi svake trenutačne opcije za svakog dionika.</w:t>
      </w:r>
    </w:p>
    <w:p w14:paraId="5F06FCAA" w14:textId="77777777" w:rsidR="006E5243" w:rsidRPr="00A96D00" w:rsidRDefault="00975CB0" w:rsidP="000430BD">
      <w:pPr>
        <w:pBdr>
          <w:top w:val="nil"/>
          <w:left w:val="nil"/>
          <w:bottom w:val="nil"/>
          <w:right w:val="nil"/>
          <w:between w:val="nil"/>
          <w:bar w:val="nil"/>
        </w:pBdr>
        <w:spacing w:before="0" w:after="240"/>
        <w:rPr>
          <w:noProof/>
        </w:rPr>
      </w:pPr>
      <w:r w:rsidRPr="00A96D00">
        <w:rPr>
          <w:noProof/>
        </w:rPr>
        <w:t>Odbor za nadzor regulative donio je 21. travnja 2023. pozitivno mišljenje sa zadrškama o revidiranom izvješću o procjeni učinka. Odbor je zatražio dodatna pojašnjenja o dostupnim opcijama i troškovima/uštedama u okviru pristupa „jedan za jedan”. Nadalje, zatraženo je da se u analizi učinka bolje uzme u obzir činjenica da se u najpoželjnijoj opciji državama članicama ostavlja izbor između primjene oslobođenja na izvoru i/ili sustava brzog povrata. Navedene zadrške obrađene su u posljednjoj verziji procjene učinka.</w:t>
      </w:r>
    </w:p>
    <w:p w14:paraId="7405FE6E" w14:textId="77777777" w:rsidR="00723390" w:rsidRPr="00A96D00" w:rsidRDefault="00723390" w:rsidP="000430BD">
      <w:pPr>
        <w:pBdr>
          <w:top w:val="nil"/>
          <w:left w:val="nil"/>
          <w:bottom w:val="nil"/>
          <w:right w:val="nil"/>
          <w:between w:val="nil"/>
          <w:bar w:val="nil"/>
        </w:pBdr>
        <w:spacing w:before="0" w:after="240"/>
        <w:rPr>
          <w:rFonts w:eastAsia="Arial Unicode MS"/>
          <w:noProof/>
        </w:rPr>
      </w:pPr>
      <w:r w:rsidRPr="00A96D00">
        <w:rPr>
          <w:noProof/>
        </w:rPr>
        <w:t>U procjeni učinka, kako je revidirana u skladu s preporukama Odbora za nadzor regulative, razmotrene su tri opcije:</w:t>
      </w:r>
    </w:p>
    <w:p w14:paraId="24FEA4B8" w14:textId="77777777" w:rsidR="00E360AF" w:rsidRPr="00A96D00" w:rsidRDefault="002C0520" w:rsidP="00554778">
      <w:pPr>
        <w:rPr>
          <w:b/>
          <w:bCs/>
          <w:noProof/>
        </w:rPr>
      </w:pPr>
      <w:r w:rsidRPr="00A96D00">
        <w:rPr>
          <w:b/>
          <w:noProof/>
        </w:rPr>
        <w:t>Opcija 1. – Uvođenje zajedničke digitalne potvrde EU-a o poreznoj rezidentnosti (eTRC) i zajednički sustav izvješćivanja</w:t>
      </w:r>
    </w:p>
    <w:p w14:paraId="5801E9E7" w14:textId="77777777" w:rsidR="002C0520" w:rsidRPr="00A96D00" w:rsidRDefault="00D16258" w:rsidP="00554778">
      <w:pPr>
        <w:rPr>
          <w:noProof/>
        </w:rPr>
      </w:pPr>
      <w:r w:rsidRPr="00A96D00">
        <w:rPr>
          <w:noProof/>
        </w:rPr>
        <w:t xml:space="preserve">U okviru ove opcije države članice mogle bi nastaviti primjenjivati trenutačne sustave (tj. oslobođenje na izvoru i/ili postupke povrata), no trebale bi uvesti sljedeće nove elemente: </w:t>
      </w:r>
    </w:p>
    <w:p w14:paraId="5C77328F" w14:textId="77777777" w:rsidR="002C0520" w:rsidRPr="00A96D00" w:rsidRDefault="002C0520" w:rsidP="002C4E11">
      <w:pPr>
        <w:pStyle w:val="Bullet0"/>
        <w:rPr>
          <w:noProof/>
        </w:rPr>
      </w:pPr>
      <w:r w:rsidRPr="00A96D00">
        <w:rPr>
          <w:noProof/>
        </w:rPr>
        <w:t>zajednički eTRC (sa zajedničkim sadržajem i formatom), koji bi na digitalni način izdavale/ovjeravale sve države članice,</w:t>
      </w:r>
    </w:p>
    <w:p w14:paraId="63DB8A83" w14:textId="77777777" w:rsidR="002C0520" w:rsidRPr="00A96D00" w:rsidRDefault="002C0520" w:rsidP="002C4E11">
      <w:pPr>
        <w:pStyle w:val="Bullet0"/>
        <w:rPr>
          <w:noProof/>
        </w:rPr>
      </w:pPr>
      <w:r w:rsidRPr="00A96D00">
        <w:rPr>
          <w:noProof/>
        </w:rPr>
        <w:t>zajednički standard izvješćivanja radi veće transparentnosti jer bi svaki financijski posrednik u financijskom lancu državi članici izvora dostavljao definirani skup informacija. To bi bilo popraćeno standardiziranim postupcima dubinske analize, pravilima o odgovornosti i zajedničkim obrascima za povrat koje treba podnijeti u ime klijenata/poreznih obveznika koji se koriste automatizacijom.</w:t>
      </w:r>
    </w:p>
    <w:p w14:paraId="785DB960" w14:textId="77777777" w:rsidR="00E360AF" w:rsidRPr="00A96D00" w:rsidRDefault="00141CFD" w:rsidP="00554778">
      <w:pPr>
        <w:rPr>
          <w:b/>
          <w:bCs/>
          <w:noProof/>
        </w:rPr>
      </w:pPr>
      <w:r w:rsidRPr="00A96D00">
        <w:rPr>
          <w:b/>
          <w:noProof/>
        </w:rPr>
        <w:t>Opcija 2. – Uvođenje sustava oslobođenja na izvoru</w:t>
      </w:r>
    </w:p>
    <w:p w14:paraId="3E9D8665" w14:textId="64B452A6" w:rsidR="00141CFD" w:rsidRPr="00A96D00" w:rsidRDefault="00141CFD" w:rsidP="00554778">
      <w:pPr>
        <w:rPr>
          <w:noProof/>
        </w:rPr>
      </w:pPr>
      <w:r w:rsidRPr="00A96D00">
        <w:rPr>
          <w:noProof/>
        </w:rPr>
        <w:t>Druga se opcija temelji na elementima iz opcije 1., ali se njome državama članicama propisuje obveza uspostavljanja sustava oslobođenja na izvoru kojim se omogućuje primjena sniženih stopa u skladu s ugovorom o izbjegavanju dvostrukog oporezivanja ili nacionalnim pravilima izravno u trenutku plaćanja. U okviru opcije 2. porezne uprave morale bi nadzirati poreze koji dospijevaju nakon plaćanja.</w:t>
      </w:r>
    </w:p>
    <w:p w14:paraId="3C39A789" w14:textId="77777777" w:rsidR="00E360AF" w:rsidRPr="00A96D00" w:rsidRDefault="00141CFD" w:rsidP="00554778">
      <w:pPr>
        <w:rPr>
          <w:b/>
          <w:bCs/>
          <w:noProof/>
        </w:rPr>
      </w:pPr>
      <w:r w:rsidRPr="00A96D00">
        <w:rPr>
          <w:b/>
          <w:noProof/>
        </w:rPr>
        <w:t>Opcija 3. – Uvođenje sustava brzog povrata unutar određenog roka i/ili oslobođenja na izvoru</w:t>
      </w:r>
    </w:p>
    <w:p w14:paraId="0ADCFA41" w14:textId="77777777" w:rsidR="00141CFD" w:rsidRPr="00A96D00" w:rsidRDefault="00660131" w:rsidP="00554778">
      <w:pPr>
        <w:rPr>
          <w:noProof/>
        </w:rPr>
      </w:pPr>
      <w:r w:rsidRPr="00A96D00">
        <w:rPr>
          <w:noProof/>
        </w:rPr>
        <w:t>Tom opcijom obuhvaćena je opcija 1. s dodatnim zahtjevom da su države članice koje primjenjuju sustav povrata dužne osigurati da povrat obradi unutar utvrđenog razdoblja, takozvanim sustavom brzog povrata. Države članice mogu uvesti ili nastaviti provoditi sustav oslobođenja na izvoru (kao glavni sustav ili za određena niskorizična plaćanja).</w:t>
      </w:r>
    </w:p>
    <w:p w14:paraId="5A794E07" w14:textId="77777777" w:rsidR="00141CFD" w:rsidRPr="00A96D00" w:rsidRDefault="00141CFD" w:rsidP="00141CFD">
      <w:pPr>
        <w:rPr>
          <w:noProof/>
        </w:rPr>
      </w:pPr>
      <w:r w:rsidRPr="00A96D00">
        <w:rPr>
          <w:noProof/>
        </w:rPr>
        <w:t xml:space="preserve">Opcije su ocijenjene u odnosu na sljedeće kriterije: djelotvornost, učinkovitost, koherentnost i proporcionalnost. </w:t>
      </w:r>
    </w:p>
    <w:p w14:paraId="7AB34824" w14:textId="77777777" w:rsidR="00141CFD" w:rsidRPr="00A96D00" w:rsidRDefault="00914B7B" w:rsidP="00141CFD">
      <w:pPr>
        <w:rPr>
          <w:noProof/>
        </w:rPr>
      </w:pPr>
      <w:r w:rsidRPr="00A96D00">
        <w:rPr>
          <w:noProof/>
        </w:rPr>
        <w:t xml:space="preserve">Među navedenim opcijama opcija 3. ocijenjena je najpoželjnijom. Opcija 3. je vrlo djelotvorna u odnosu na probleme utvrđene u EU-u u pogledu brzine te jednostavnijih i digitaliziranijih postupaka. Iako bi se opcijom 2. postigle veće uštede troškova za ulagače, opcijom 3. državama članicama ostavlja se mogućnost provedbe </w:t>
      </w:r>
      <w:r w:rsidRPr="00A96D00">
        <w:rPr>
          <w:i/>
          <w:iCs/>
          <w:noProof/>
        </w:rPr>
        <w:t>ex ante</w:t>
      </w:r>
      <w:r w:rsidRPr="00A96D00">
        <w:rPr>
          <w:noProof/>
        </w:rPr>
        <w:t xml:space="preserve"> nadzora zahtjeva za povrat, što je mogućnost koja bi trebala biti izvediva u svim državama članicama. Borba protiv zlouporaba posebno je relevantna u državama članicama koje su posljednjih godina snažno pogođene praksama Cum/Cum i Cum/Ex. Te bi države članice zbog političkih razloga mogle biti manje sklone u kratkom roku uspostaviti sustav oslobođenja na izvoru, jer u takvom sustavu važniju ulogu dobivaju financijski posrednici.</w:t>
      </w:r>
    </w:p>
    <w:p w14:paraId="4AE398F8" w14:textId="77777777" w:rsidR="002C5F1D" w:rsidRPr="00A96D00" w:rsidRDefault="002C5F1D" w:rsidP="00141CFD">
      <w:pPr>
        <w:rPr>
          <w:b/>
          <w:bCs/>
          <w:noProof/>
        </w:rPr>
      </w:pPr>
      <w:r w:rsidRPr="00A96D00">
        <w:rPr>
          <w:b/>
          <w:noProof/>
        </w:rPr>
        <w:t xml:space="preserve">Ekonomski učinci </w:t>
      </w:r>
    </w:p>
    <w:p w14:paraId="187040BB" w14:textId="77777777" w:rsidR="002C5F1D" w:rsidRPr="00A96D00" w:rsidRDefault="002C5F1D" w:rsidP="00141CFD">
      <w:pPr>
        <w:rPr>
          <w:i/>
          <w:iCs/>
          <w:noProof/>
        </w:rPr>
      </w:pPr>
      <w:r w:rsidRPr="00A96D00">
        <w:rPr>
          <w:i/>
          <w:noProof/>
        </w:rPr>
        <w:t>Koristi</w:t>
      </w:r>
    </w:p>
    <w:p w14:paraId="25700939" w14:textId="77777777" w:rsidR="00A230E0" w:rsidRPr="00A96D00" w:rsidRDefault="002C5F1D" w:rsidP="00141CFD">
      <w:pPr>
        <w:rPr>
          <w:noProof/>
        </w:rPr>
      </w:pPr>
      <w:r w:rsidRPr="00A96D00">
        <w:rPr>
          <w:noProof/>
        </w:rPr>
        <w:t>Predložena inicijativa dovest će do uštede troškova za ulagače, koje se procjenjuju na približno 5,17 milijardi EUR godišnje, uključujući 730 milijuna EUR godišnje zbog smanjenja papirologije (409 milijuna EUR povezanih s ulagačima iz EU-a). Uštede će se ostvariti zahvaljujući tome što će ulagači snositi manje troškova usklađivanja, suočavati se s manje slučajeva dvostrukog oporezivanja i moći pravodobno ponovno uložiti vraćeni novac. Inicijativom će se ukloniti strukturna, dugotrajna prepreka prekograničnim ulaganjima i pomoći poduzećima iz EU-a da privlače kapital od šire baze ulagatelja, što je temeljni cilj unije tržišta kapitala.</w:t>
      </w:r>
    </w:p>
    <w:p w14:paraId="561E8787" w14:textId="77777777" w:rsidR="00F82941" w:rsidRPr="00A96D00" w:rsidRDefault="53FA0D19" w:rsidP="00141CFD">
      <w:pPr>
        <w:rPr>
          <w:noProof/>
        </w:rPr>
      </w:pPr>
      <w:r w:rsidRPr="00A96D00">
        <w:rPr>
          <w:noProof/>
        </w:rPr>
        <w:t xml:space="preserve">Iako bi financijski posrednici kratkoročno snosili znatne troškove za uspostavu sustava potrebnih za usklađivanje s novom direktivom, očekuje se da će dugoročno imati koristi od ušteda (procijenjene na približno 13,5 milijuna EUR godišnje) zbog pojednostavnjenih postupaka, posebno zahvaljujući digitalizaciji nekih aspekata inicijative, kao što je upotreba eTRC-a ili zahtjev za oslobođenje od poreza u skupnom obliku. </w:t>
      </w:r>
    </w:p>
    <w:p w14:paraId="6C422C3E" w14:textId="77777777" w:rsidR="002C5F1D" w:rsidRPr="00A96D00" w:rsidRDefault="00DE446B" w:rsidP="00141CFD">
      <w:pPr>
        <w:rPr>
          <w:noProof/>
        </w:rPr>
      </w:pPr>
      <w:r w:rsidRPr="00A96D00">
        <w:rPr>
          <w:noProof/>
        </w:rPr>
        <w:t>Naposljetku, porezne uprave bit će bolje opremljene za borbu protiv zlouporabe poreza, što bi u konačnici trebalo pozitivno utjecati na porezne prihode. Očekuje se da će pozitivni učinak inicijative na BDP biti okvirno 0,025 %.</w:t>
      </w:r>
    </w:p>
    <w:p w14:paraId="41A83D6F" w14:textId="77777777" w:rsidR="002C5F1D" w:rsidRPr="00A96D00" w:rsidRDefault="002C5F1D" w:rsidP="00141CFD">
      <w:pPr>
        <w:rPr>
          <w:i/>
          <w:iCs/>
          <w:noProof/>
        </w:rPr>
      </w:pPr>
      <w:r w:rsidRPr="00A96D00">
        <w:rPr>
          <w:i/>
          <w:noProof/>
        </w:rPr>
        <w:t>Troškovi</w:t>
      </w:r>
    </w:p>
    <w:p w14:paraId="6E49AF5A" w14:textId="638DD273" w:rsidR="002C5F1D" w:rsidRPr="00A96D00" w:rsidRDefault="00E24D0D" w:rsidP="00141CFD">
      <w:pPr>
        <w:rPr>
          <w:noProof/>
        </w:rPr>
      </w:pPr>
      <w:r w:rsidRPr="00A96D00">
        <w:rPr>
          <w:noProof/>
        </w:rPr>
        <w:t>Financijski posrednici snosit će troškove provedbe u iznosu od 75,9 milijuna EUR i godišnje stalne troškove u iznosu od 13 milijuna EUR. Porezne uprave snosit će troškove razvoja informacijske tehnologije za provedbu eTRC-a (procijenjeni u rasponu od 4,9 – 54 milijuna EUR razvojnih troškova i 0,97 – 10,8 milijuna EUR stalnih troškova) i sustava izvješćivanja potrebnih za primanje podataka (procijenjeni jednokratni trošak od 18,2 milijuna EUR i 3,5 milijuna EUR godišnje za stalne troškove). Naposljetku, s obzirom na to da će biti manje slučajeva dvostrukog oporezivanja, države članice suočit će se sa smanjenjem poreznih prihoda procijenjenim na 2,2 milijarde EUR.</w:t>
      </w:r>
    </w:p>
    <w:p w14:paraId="1BD8FC58"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Primjerenost i pojednostavnjenje propisa</w:t>
      </w:r>
    </w:p>
    <w:p w14:paraId="6E557E21" w14:textId="77777777" w:rsidR="008D4312" w:rsidRPr="00A96D00" w:rsidRDefault="006177A2" w:rsidP="006177A2">
      <w:pPr>
        <w:rPr>
          <w:noProof/>
        </w:rPr>
      </w:pPr>
      <w:r w:rsidRPr="00A96D00">
        <w:rPr>
          <w:noProof/>
        </w:rPr>
        <w:t xml:space="preserve">Jedan od glavnih posebnih ciljeva prijedloga jest uvođenje digitalizacije u postupke poreza po odbitku kako bi se postigli potpuno automatizirani postupci izdavanja eTRC-a, dostavljanja informacija, podnošenja zahtjeva za oslobođenje ili povrat i provjera podataka. Drugi je cilj inicijative izbjeći uvođenje različitih sustava u državama članicama standardizacijom nekih elemenata postupaka poreza po odbitku. </w:t>
      </w:r>
    </w:p>
    <w:p w14:paraId="60D4A0BD" w14:textId="77777777" w:rsidR="00EB3C21" w:rsidRPr="00A96D00" w:rsidRDefault="00EB3C21" w:rsidP="006177A2">
      <w:pPr>
        <w:rPr>
          <w:noProof/>
        </w:rPr>
      </w:pPr>
      <w:r w:rsidRPr="00A96D00">
        <w:rPr>
          <w:noProof/>
        </w:rPr>
        <w:t xml:space="preserve">Kad je riječ o pristupu </w:t>
      </w:r>
      <w:bookmarkStart w:id="1" w:name="_Hlk135761396"/>
      <w:r w:rsidRPr="00A96D00">
        <w:rPr>
          <w:noProof/>
        </w:rPr>
        <w:t>„jedan za jedan”</w:t>
      </w:r>
      <w:bookmarkEnd w:id="1"/>
      <w:r w:rsidRPr="00A96D00">
        <w:rPr>
          <w:noProof/>
        </w:rPr>
        <w:t>, inicijativa će dovesti do ušteda troškova za ulagače povezanih sa smanjenjem papirologije (409 milijuna EUR godišnje) i ušteda troškova za financijske posrednike povezanih s pojednostavnjenjem postupaka (13,5 milijuna EUR godišnje). Istodobno će financijski posrednici snositi troškove provedbe u iznosu od 75,9 milijuna EUR jednokratnih i 13 milijuna EUR stalnih troškova.</w:t>
      </w:r>
    </w:p>
    <w:p w14:paraId="58274A1A" w14:textId="556A6907" w:rsidR="000E6600" w:rsidRPr="00A96D00" w:rsidRDefault="000E6600" w:rsidP="006177A2">
      <w:pPr>
        <w:rPr>
          <w:noProof/>
        </w:rPr>
      </w:pPr>
      <w:r w:rsidRPr="00A96D00">
        <w:rPr>
          <w:noProof/>
        </w:rPr>
        <w:t>Prijedlogom će se uvesti obveze izvješćivanja za financijske posrednike. Prikupljanje detaljnih informacija ključno je kako bi porezna uprava države članice izvora mogla procijeniti i primijeniti odgovarajuće snižene stope poreza po odbitku i učinkovito utvrditi zlouporabe, čime se ostvaruje jedan od ciljeva inicijative. Kako bi se ograničilo opterećenje zbog obveze izvješćivanja, informacije koje financijski posrednici trebaju dostavljati ograničene su na ono što je državama članicama potrebno za rekonstrukciju lanca plaćanja dividendi i kamata te na opseg u kojem su te informacije dostupne financijskim posrednicima koji izvješćuju. Usto, izvješćivanje će se provoditi uporabom standardnih računalnih obrazaca i zajedničkih zahtjeva za komunikacijske kanale koje Komisija treba utvrditi provedbenim aktima.</w:t>
      </w:r>
    </w:p>
    <w:p w14:paraId="7652A04F" w14:textId="77777777" w:rsidR="006177A2" w:rsidRPr="00A96D00" w:rsidRDefault="00252006" w:rsidP="006177A2">
      <w:pPr>
        <w:rPr>
          <w:noProof/>
        </w:rPr>
      </w:pPr>
      <w:r w:rsidRPr="00A96D00">
        <w:rPr>
          <w:noProof/>
        </w:rPr>
        <w:t xml:space="preserve">Radi pojednostavnjenja i pojašnjenja postupaka poreza po odbitku za male ulagače ujedno je uvedeno pravilo </w:t>
      </w:r>
      <w:r w:rsidRPr="00A96D00">
        <w:rPr>
          <w:i/>
          <w:iCs/>
          <w:noProof/>
        </w:rPr>
        <w:t>de minimis</w:t>
      </w:r>
      <w:r w:rsidRPr="00A96D00">
        <w:rPr>
          <w:noProof/>
        </w:rPr>
        <w:t xml:space="preserve"> za obveze izvješćivanja i postupak dubinske analize. Riječ je o tome da se od ulagatelja kojima se isplaćuju dividende ispod praga od 1 000 EUR ne traže informacije o financijskim aranžmanima ili minimalno razdoblje držanja.</w:t>
      </w:r>
    </w:p>
    <w:p w14:paraId="5ADCE0DF" w14:textId="77777777" w:rsidR="00977CF6" w:rsidRPr="00A96D00" w:rsidRDefault="00977CF6" w:rsidP="006177A2">
      <w:pPr>
        <w:pStyle w:val="ManualHeading2"/>
        <w:tabs>
          <w:tab w:val="clear" w:pos="850"/>
          <w:tab w:val="left" w:pos="0"/>
        </w:tabs>
        <w:ind w:left="0" w:firstLine="0"/>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Temeljna prava i ravnopravnost</w:t>
      </w:r>
    </w:p>
    <w:p w14:paraId="66ABB3AF" w14:textId="77777777" w:rsidR="006177A2" w:rsidRPr="00A96D00" w:rsidRDefault="006177A2" w:rsidP="006177A2">
      <w:pPr>
        <w:rPr>
          <w:noProof/>
        </w:rPr>
      </w:pPr>
      <w:r w:rsidRPr="00A96D00">
        <w:rPr>
          <w:noProof/>
        </w:rPr>
        <w:t>Temeljna prava su zajamčena, posebno ispunjavanje zahtjeva koji se odnose na zaštitu osobnih podataka u skladu s Općom uredbom o zaštiti podataka. Osobni podaci obrađivat će se samo radi provjere primjenjuje li se ispravna stopa poreza po odbitku na poreznog obveznika i radi ublažavanja rizika od porezne prijevare i zlouporabe. Osobni podaci prenose se samo među subjektima koji su uključeni u postupke za oslobođenje za porez po odbitku na temelju ove Direktive. Količina osobnih podataka koja se prenosi bit će ograničena na ono što je potrebno za otkrivanje nepotpunog izvješćivanja, neizvješćivanja ili porezne prijevare ili zlouporabe, u skladu sa zahtjevima Opće uredbe o zaštiti podataka. Osobni podaci čuvaju se samo onoliko dugo koliko je to potrebno u tu svrhu.</w:t>
      </w:r>
    </w:p>
    <w:p w14:paraId="64193742" w14:textId="77777777" w:rsidR="00962C8C" w:rsidRPr="00A96D00" w:rsidRDefault="003966D4" w:rsidP="006177A2">
      <w:pPr>
        <w:rPr>
          <w:noProof/>
        </w:rPr>
      </w:pPr>
      <w:r w:rsidRPr="00A96D00">
        <w:rPr>
          <w:noProof/>
        </w:rPr>
        <w:t>Ova inicijativa nema znatan utjecaj na ravnopravnost, uključujući rodnu ravnopravnost.</w:t>
      </w:r>
    </w:p>
    <w:p w14:paraId="3669D464" w14:textId="77777777" w:rsidR="00962C8C" w:rsidRPr="00A96D00" w:rsidRDefault="00962C8C" w:rsidP="00CD5AC5">
      <w:pPr>
        <w:pStyle w:val="ManualHeading2"/>
        <w:tabs>
          <w:tab w:val="clear" w:pos="850"/>
          <w:tab w:val="left" w:pos="0"/>
        </w:tabs>
        <w:ind w:left="0" w:firstLine="0"/>
        <w:rPr>
          <w:rFonts w:eastAsia="Arial Unicode MS"/>
          <w:noProof/>
          <w:u w:color="000000"/>
          <w:bdr w:val="nil"/>
        </w:rPr>
      </w:pPr>
      <w:r w:rsidRPr="00A96D00">
        <w:rPr>
          <w:b w:val="0"/>
          <w:noProof/>
          <w:u w:color="000000"/>
          <w:bdr w:val="nil"/>
        </w:rPr>
        <w:t>•</w:t>
      </w:r>
      <w:r w:rsidRPr="00A96D00">
        <w:rPr>
          <w:noProof/>
        </w:rPr>
        <w:tab/>
      </w:r>
      <w:r w:rsidRPr="00A96D00">
        <w:rPr>
          <w:noProof/>
          <w:u w:color="000000"/>
          <w:bdr w:val="nil"/>
        </w:rPr>
        <w:t>Drugi učinci</w:t>
      </w:r>
    </w:p>
    <w:p w14:paraId="1505CC02" w14:textId="77777777" w:rsidR="00962C8C" w:rsidRPr="00A96D00" w:rsidRDefault="00962C8C" w:rsidP="006177A2">
      <w:pPr>
        <w:rPr>
          <w:noProof/>
          <w:szCs w:val="24"/>
        </w:rPr>
      </w:pPr>
      <w:r w:rsidRPr="00A96D00">
        <w:rPr>
          <w:noProof/>
        </w:rPr>
        <w:t>Neće biti drugih bitnih učinaka. Međutim, očekuje se da će inicijativa imati ograničen pozitivan socijalni učinak jer bi se njome osiguralo pravednije oporezivanje; kao i ograničen pozitivan učinak na okoliš, s obzirom na očekivano smanjenje postupaka povrata u papirnatom obliku. Stoga je trenutačna inicijativa u skladu s ostvarenjem cilja klimatske neutralnosti kako je propisano Europskim zakonom o klimi.</w:t>
      </w:r>
    </w:p>
    <w:p w14:paraId="1A702DBD" w14:textId="77777777" w:rsidR="00934001" w:rsidRPr="00A96D00" w:rsidRDefault="00047A1C" w:rsidP="006177A2">
      <w:pPr>
        <w:rPr>
          <w:noProof/>
          <w:szCs w:val="24"/>
        </w:rPr>
      </w:pPr>
      <w:r w:rsidRPr="00A96D00">
        <w:rPr>
          <w:noProof/>
        </w:rPr>
        <w:t>Prijedlogom se poštuju načela „ne nanosi bitnu štetu” i „digitalizacija kao standard” te se pridonosi postizanju europskog pristupa digitalnom društvu i gospodarstvu.</w:t>
      </w:r>
    </w:p>
    <w:p w14:paraId="5C976A4C" w14:textId="77777777" w:rsidR="00934001" w:rsidRPr="00A96D00" w:rsidRDefault="00934001" w:rsidP="006177A2">
      <w:pPr>
        <w:rPr>
          <w:noProof/>
          <w:szCs w:val="24"/>
        </w:rPr>
      </w:pPr>
      <w:r w:rsidRPr="00A96D00">
        <w:rPr>
          <w:noProof/>
        </w:rPr>
        <w:t>Relevantni ciljevi održivog razvoja koji su djelomično obuhvaćeni inicijativom jesu cilj br. 8. (Dostojanstven rad i gospodarski rast), br. 9. (Industrija, inovacije i infrastruktura) i br. 16. (Mir, pravda i snažne institucije), kako je prikazano u Prilogu 3. procjeni učinka.</w:t>
      </w:r>
    </w:p>
    <w:p w14:paraId="37D5E01E" w14:textId="77777777" w:rsidR="00977CF6" w:rsidRPr="00A96D00" w:rsidRDefault="00977CF6" w:rsidP="000430BD">
      <w:pPr>
        <w:pStyle w:val="ManualHeading1"/>
        <w:rPr>
          <w:noProof/>
        </w:rPr>
      </w:pPr>
      <w:r w:rsidRPr="00A96D00">
        <w:rPr>
          <w:noProof/>
        </w:rPr>
        <w:t>4.</w:t>
      </w:r>
      <w:r w:rsidRPr="00A96D00">
        <w:rPr>
          <w:noProof/>
        </w:rPr>
        <w:tab/>
        <w:t>UTJECAJ NA PRORAČUN</w:t>
      </w:r>
    </w:p>
    <w:p w14:paraId="2303B811" w14:textId="77777777" w:rsidR="00673DBF" w:rsidRPr="00A96D00" w:rsidRDefault="00A32A42" w:rsidP="000430BD">
      <w:pPr>
        <w:pBdr>
          <w:top w:val="nil"/>
          <w:left w:val="nil"/>
          <w:bottom w:val="nil"/>
          <w:right w:val="nil"/>
          <w:between w:val="nil"/>
          <w:bar w:val="nil"/>
        </w:pBdr>
        <w:spacing w:before="0" w:after="240"/>
        <w:rPr>
          <w:rFonts w:eastAsia="Arial Unicode MS"/>
          <w:noProof/>
        </w:rPr>
      </w:pPr>
      <w:r w:rsidRPr="00A96D00">
        <w:rPr>
          <w:noProof/>
        </w:rPr>
        <w:t>Najveći utjecaj inicijative na proračun u odnosu na Komisiju uključuje uvođenje elektroničke potvrde o poreznoj rezidentnosti te utvrđivanje formata i komunikacijskih kanala kojima će se financijski posrednici služiti za izvješćivanje nacionalnih poreznih tijela. U zakonodavnom financijskom izvještaju navode se pojedinosti o potrebnim ljudskim i administrativnim resursima.</w:t>
      </w:r>
    </w:p>
    <w:p w14:paraId="60B91D7F" w14:textId="77777777" w:rsidR="00977CF6" w:rsidRPr="00A96D00" w:rsidRDefault="00977CF6" w:rsidP="000430BD">
      <w:pPr>
        <w:pStyle w:val="ManualHeading1"/>
        <w:rPr>
          <w:noProof/>
        </w:rPr>
      </w:pPr>
      <w:r w:rsidRPr="00A96D00">
        <w:rPr>
          <w:noProof/>
        </w:rPr>
        <w:t>5.</w:t>
      </w:r>
      <w:r w:rsidRPr="00A96D00">
        <w:rPr>
          <w:noProof/>
        </w:rPr>
        <w:tab/>
        <w:t>OSTALI DIJELOVI</w:t>
      </w:r>
    </w:p>
    <w:p w14:paraId="38AD6941"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Planovi provedbe i mehanizmi praćenja, evaluacije i izvješćivanja</w:t>
      </w:r>
    </w:p>
    <w:p w14:paraId="6FABAD77" w14:textId="77777777" w:rsidR="006177A2" w:rsidRPr="00A96D00" w:rsidRDefault="00115ED7" w:rsidP="006177A2">
      <w:pPr>
        <w:pBdr>
          <w:top w:val="nil"/>
          <w:left w:val="nil"/>
          <w:bottom w:val="nil"/>
          <w:right w:val="nil"/>
          <w:between w:val="nil"/>
          <w:bar w:val="nil"/>
        </w:pBdr>
        <w:spacing w:before="0" w:after="240"/>
        <w:rPr>
          <w:noProof/>
        </w:rPr>
      </w:pPr>
      <w:r w:rsidRPr="00A96D00">
        <w:rPr>
          <w:noProof/>
        </w:rPr>
        <w:t xml:space="preserve">Za potrebe praćenja i evaluacije provedbe Direktive države članice svake godine Komisiji dostavljaju relevantne informacije o funkcioniranju Direktive. Relevantne informacije treba definirati provedbenim aktom kako je navedeno u članku 19. Direktive. </w:t>
      </w:r>
    </w:p>
    <w:p w14:paraId="282A99AE" w14:textId="77777777" w:rsidR="006177A2" w:rsidRPr="00A96D00" w:rsidRDefault="00EB3C21" w:rsidP="006177A2">
      <w:pPr>
        <w:pBdr>
          <w:top w:val="nil"/>
          <w:left w:val="nil"/>
          <w:bottom w:val="nil"/>
          <w:right w:val="nil"/>
          <w:between w:val="nil"/>
          <w:bar w:val="nil"/>
        </w:pBdr>
        <w:spacing w:before="0" w:after="240"/>
        <w:rPr>
          <w:noProof/>
        </w:rPr>
      </w:pPr>
      <w:r w:rsidRPr="00A96D00">
        <w:rPr>
          <w:noProof/>
        </w:rPr>
        <w:t xml:space="preserve">Pet godina nakon stupanja na snagu nacionalnog zakonodavstva o prenošenju Komisija evaluira uspješnost Direktive te svakih pet godina nakon toga. </w:t>
      </w:r>
    </w:p>
    <w:p w14:paraId="05566DF9" w14:textId="77777777" w:rsidR="00977CF6" w:rsidRPr="00A96D00" w:rsidRDefault="00977CF6" w:rsidP="000430BD">
      <w:pPr>
        <w:pStyle w:val="ManualHeading2"/>
        <w:rPr>
          <w:rFonts w:eastAsia="Arial Unicode MS"/>
          <w:noProof/>
          <w:u w:color="000000"/>
          <w:bdr w:val="nil"/>
        </w:rPr>
      </w:pPr>
      <w:r w:rsidRPr="00A96D00">
        <w:rPr>
          <w:noProof/>
          <w:u w:color="000000"/>
          <w:bdr w:val="nil"/>
        </w:rPr>
        <w:t>•</w:t>
      </w:r>
      <w:r w:rsidRPr="00A96D00">
        <w:rPr>
          <w:noProof/>
        </w:rPr>
        <w:tab/>
      </w:r>
      <w:r w:rsidRPr="00A96D00">
        <w:rPr>
          <w:noProof/>
          <w:u w:color="000000"/>
          <w:bdr w:val="nil"/>
        </w:rPr>
        <w:t>Detaljno obrazloženje posebnih odredaba prijedloga</w:t>
      </w:r>
    </w:p>
    <w:p w14:paraId="5FC5A10D" w14:textId="77777777" w:rsidR="00977CF6" w:rsidRPr="00A96D00" w:rsidRDefault="00606D65" w:rsidP="00AE09C6">
      <w:pPr>
        <w:pBdr>
          <w:top w:val="nil"/>
          <w:left w:val="nil"/>
          <w:bottom w:val="nil"/>
          <w:right w:val="nil"/>
          <w:between w:val="nil"/>
          <w:bar w:val="nil"/>
        </w:pBdr>
        <w:spacing w:before="0" w:after="240"/>
        <w:rPr>
          <w:noProof/>
        </w:rPr>
      </w:pPr>
      <w:r w:rsidRPr="00A96D00">
        <w:rPr>
          <w:noProof/>
        </w:rPr>
        <w:t>Prijedlog je strukturiran u dvije sastavnice koje su obuhvaćene poglavljima 2. i 3. U poglavlju 2. predviđa se izrada digitalne potvrde o poreznoj rezidentnosti na razini EU-a, dok se poglavlje 3. odnosi na postupke oslobođenja za porez po odbitku. Prijedlog uključuje postupak uspostave nacionalnih registara za određene financijske posrednike (ovlašteni financijski posrednik), standardiziranu obvezu izvješćivanja za takve posrednike i obvezu država članica da uspostave sustav oslobođenja od poreza na izvoru ili sustav brzog povrata poreza ili njihovu kombinaciju kako bi se osiguralo brzo i sigurno oslobođenje od poreza po odbitku na temelju ugovora o izbjegavanju dvostrukog oporezivanja ili nacionalnih pravila za ulagače iz EU-a i izvan EU-a ako su ispunjeni određeni uvjeti u pogledu transparentnosti. Budući da se ti postupci odnose samo na određene države članice koje moraju omogućiti oslobođenje od preplaćenog poreza po odbitku, poglavlje 3. obvezujuće je samo za te države članice.</w:t>
      </w:r>
    </w:p>
    <w:p w14:paraId="3BC06762" w14:textId="77777777" w:rsidR="00AE09C6" w:rsidRPr="00A96D00" w:rsidRDefault="00AE09C6" w:rsidP="00AE09C6">
      <w:pPr>
        <w:pStyle w:val="Point1"/>
        <w:rPr>
          <w:noProof/>
        </w:rPr>
      </w:pPr>
      <w:r w:rsidRPr="00A96D00">
        <w:rPr>
          <w:b/>
          <w:noProof/>
        </w:rPr>
        <w:t>i.</w:t>
      </w:r>
      <w:r w:rsidRPr="00A96D00">
        <w:rPr>
          <w:noProof/>
        </w:rPr>
        <w:tab/>
      </w:r>
      <w:r w:rsidRPr="00A96D00">
        <w:rPr>
          <w:b/>
          <w:bCs/>
          <w:noProof/>
        </w:rPr>
        <w:t>Zajednička digitalna potvrda o poreznoj rezidentnosti</w:t>
      </w:r>
      <w:r w:rsidRPr="00A96D00">
        <w:rPr>
          <w:noProof/>
        </w:rPr>
        <w:t xml:space="preserve"> </w:t>
      </w:r>
      <w:r w:rsidRPr="00A96D00">
        <w:rPr>
          <w:b/>
          <w:noProof/>
        </w:rPr>
        <w:t>(eTRC)</w:t>
      </w:r>
    </w:p>
    <w:p w14:paraId="5F4AF783" w14:textId="77777777" w:rsidR="00AE09C6" w:rsidRPr="00A96D00" w:rsidRDefault="00AE09C6" w:rsidP="00AE09C6">
      <w:pPr>
        <w:rPr>
          <w:noProof/>
        </w:rPr>
      </w:pPr>
      <w:r w:rsidRPr="00A96D00">
        <w:rPr>
          <w:noProof/>
        </w:rPr>
        <w:t>Sve države članice trebaju uvesti eTRC kojim će se osigurati brz, jednostavan i siguran administrativni postupak za potvrđivanje porezne rezidentnosti poreznih obveznika EU-a.</w:t>
      </w:r>
    </w:p>
    <w:p w14:paraId="5A063F6B" w14:textId="77777777" w:rsidR="00AE09C6" w:rsidRPr="00A96D00" w:rsidRDefault="00AE09C6" w:rsidP="00AE09C6">
      <w:pPr>
        <w:rPr>
          <w:noProof/>
        </w:rPr>
      </w:pPr>
      <w:r w:rsidRPr="00A96D00">
        <w:rPr>
          <w:noProof/>
        </w:rPr>
        <w:t xml:space="preserve">Kako je utvrđeno u članku 4., eTRC će imati </w:t>
      </w:r>
      <w:r w:rsidRPr="00A96D00">
        <w:rPr>
          <w:b/>
          <w:noProof/>
        </w:rPr>
        <w:t>zajednički sadržaj</w:t>
      </w:r>
      <w:r w:rsidRPr="00A96D00">
        <w:rPr>
          <w:noProof/>
        </w:rPr>
        <w:t xml:space="preserve"> neovisno o državi članici koja ga izdaje, tj. državi članici rezidentnosti. Elementi utvrđeni u stavku 2. kao zajednički sadržaj za eTRC su elementi kojima se identificira porezni obveznik koji podnosi zahtjev i potvrđuje da je rezident u državama članicama u skladu s njezinim nacionalnim pravilima. </w:t>
      </w:r>
    </w:p>
    <w:p w14:paraId="3CBBDC1D" w14:textId="77777777" w:rsidR="00AE09C6" w:rsidRPr="00A96D00" w:rsidRDefault="00334A00" w:rsidP="00AE09C6">
      <w:pPr>
        <w:rPr>
          <w:noProof/>
        </w:rPr>
      </w:pPr>
      <w:r w:rsidRPr="00A96D00">
        <w:rPr>
          <w:noProof/>
        </w:rPr>
        <w:t xml:space="preserve">Rezultati ciljanih savjetovanja pokazali su da se u pogledu utvrđivanja rezidentnosti ulagatelja primjenjuju ista pravila prema kojima se utvrđuje je li ulagatelj rezident u određenoj državi članici, neovisno o zemlji ulaganja. Stoga se država članica ulaganja ne mora navoditi u eTRC-u. Međutim, takve će informacije biti uključene u zahtjev za oslobođenje kako bi se utvrdila primjenjiva snižena stopa. </w:t>
      </w:r>
    </w:p>
    <w:p w14:paraId="0DF82220" w14:textId="77777777" w:rsidR="00DE3FE0" w:rsidRPr="00A96D00" w:rsidRDefault="00DE3FE0" w:rsidP="00DE3FE0">
      <w:pPr>
        <w:rPr>
          <w:noProof/>
        </w:rPr>
      </w:pPr>
      <w:r w:rsidRPr="00A96D00">
        <w:rPr>
          <w:noProof/>
        </w:rPr>
        <w:t>Budući da je cilj uspostaviti standardiziran eTRC koji se može upotrijebiti za pojednostavnjenje postupaka oslobođenja za porez po odbitku, ali i u druge svrhe, prijedlogom se omogućuje dodavanje informacija u te svrhe.</w:t>
      </w:r>
    </w:p>
    <w:p w14:paraId="0341D416" w14:textId="77777777" w:rsidR="00AE09C6" w:rsidRPr="00A96D00" w:rsidRDefault="00FC34D1" w:rsidP="00AE09C6">
      <w:pPr>
        <w:rPr>
          <w:noProof/>
        </w:rPr>
      </w:pPr>
      <w:r w:rsidRPr="00A96D00">
        <w:rPr>
          <w:noProof/>
        </w:rPr>
        <w:t>S obzirom na to da je jedan od ciljeva ove inicijative smanjenje administrativnog opterećenja za porezne uprave, ulagače i financijsku industriju, predlaže se da eTRC obuhvaća barem cijelu kalendarsku godinu u kojoj je zatražen. Međutim, ako okolnosti na kraju godine ne potkrepljuju sadržaj eTRC-a izdanog tijekom godine, država članica izdavanja i bilo koja druga predmetna država članica mogu smatrati da takav eTRC nije valjan. Minimalno obuhvaćeno razdoblje eTRC-a (jedna kalendarska godina) ne bi trebalo tumačiti kao zapreku državama članicama da izdaju eTRC-ove s duljim obuhvaćenim razdobljem, ovisno o pojmu porezne rezidentnosti i unutarnjoj odluci svake države članice. Države članice priznaju eTRC koji je izdala druga država članica kao odgovarajući dokaz rezidentnosti poreznog obveznika u toj drugoj državi članici, u mjeri u kojoj država članica izdavanja i dalje smatra da je eTRC valjan.</w:t>
      </w:r>
    </w:p>
    <w:p w14:paraId="0F71F4C9" w14:textId="77777777" w:rsidR="0080647F" w:rsidRPr="00A96D00" w:rsidRDefault="00AE09C6" w:rsidP="00AE09C6">
      <w:pPr>
        <w:rPr>
          <w:noProof/>
        </w:rPr>
      </w:pPr>
      <w:r w:rsidRPr="00A96D00">
        <w:rPr>
          <w:noProof/>
        </w:rPr>
        <w:t xml:space="preserve">Države članice morat će izdati eTRC u roku od jednog dana pod uvjetom da im se dostavi poseban skup informacija i pod uvjetom da ne dođe do iznimnih okolnosti koje bi opravdale kašnjenje. U slučajevima u kojima izdavanje u roku od jednog dana neće biti ispunjeno, predmetna država članica trebala bi o tome obavijestiti podnositelja zahtjeva. Kako bi se ispunio zahtjev izdavanja u roku od jednog dana, države članice trebale bi uvesti potpuno </w:t>
      </w:r>
      <w:r w:rsidRPr="00A96D00">
        <w:rPr>
          <w:b/>
          <w:noProof/>
        </w:rPr>
        <w:t>automatizirani sustav</w:t>
      </w:r>
      <w:r w:rsidRPr="00A96D00">
        <w:rPr>
          <w:noProof/>
        </w:rPr>
        <w:t xml:space="preserve"> za izdavanje eTRC-a kojim se omogućuje podnošenje zahtjeva putem internetskog portala dostupnog poreznim obveznicima i subjektima koji su za to ovlašteni (npr. financijski posrednici koji traže eTRC u ime svojih klijenata).</w:t>
      </w:r>
    </w:p>
    <w:p w14:paraId="21C87D9E" w14:textId="77777777" w:rsidR="00AE09C6" w:rsidRPr="00A96D00" w:rsidRDefault="00AE09C6" w:rsidP="00AE09C6">
      <w:pPr>
        <w:rPr>
          <w:noProof/>
        </w:rPr>
      </w:pPr>
      <w:r w:rsidRPr="00A96D00">
        <w:rPr>
          <w:noProof/>
        </w:rPr>
        <w:t>Svaki će eTRC biti zaštićen s pomoću elektroničkog pečata u skladu s Uredbom (EU) br. 910/2014 od 23. srpnja 2014. o elektroničkoj identifikaciji i uslugama povjerenja za elektroničke transakcije na unutarnjem tržištu (Uredba eIDAS)</w:t>
      </w:r>
      <w:r w:rsidRPr="00A96D00">
        <w:rPr>
          <w:rStyle w:val="FootnoteReference"/>
          <w:noProof/>
        </w:rPr>
        <w:footnoteReference w:id="24"/>
      </w:r>
      <w:r w:rsidRPr="00A96D00">
        <w:rPr>
          <w:noProof/>
        </w:rPr>
        <w:t>. Predviđena metoda omogućuje i ljudski i strojno čitljive verzije digitalne potvrde o poreznom rezidentu s dokumentima u formatu PDF ili sličnim formatima koje automatizirani sustavi mogu upotrebljavati.</w:t>
      </w:r>
    </w:p>
    <w:p w14:paraId="2387E287" w14:textId="77777777" w:rsidR="00247DD1" w:rsidRPr="00A96D00" w:rsidRDefault="00247DD1" w:rsidP="00247DD1">
      <w:pPr>
        <w:pStyle w:val="Point1"/>
        <w:rPr>
          <w:b/>
          <w:bCs/>
          <w:noProof/>
        </w:rPr>
      </w:pPr>
      <w:r w:rsidRPr="00A96D00">
        <w:rPr>
          <w:b/>
          <w:noProof/>
        </w:rPr>
        <w:t>ii.</w:t>
      </w:r>
      <w:r w:rsidRPr="00A96D00">
        <w:rPr>
          <w:noProof/>
        </w:rPr>
        <w:tab/>
      </w:r>
      <w:r w:rsidRPr="00A96D00">
        <w:rPr>
          <w:b/>
          <w:noProof/>
        </w:rPr>
        <w:t>Nacionalni registri država članica</w:t>
      </w:r>
    </w:p>
    <w:p w14:paraId="2F0A1D80" w14:textId="77777777" w:rsidR="00247DD1" w:rsidRPr="00A96D00" w:rsidRDefault="00247DD1" w:rsidP="00AE09C6">
      <w:pPr>
        <w:rPr>
          <w:noProof/>
        </w:rPr>
      </w:pPr>
      <w:r w:rsidRPr="00A96D00">
        <w:rPr>
          <w:noProof/>
        </w:rPr>
        <w:t>Kako bi iskoristili postupke oslobođenja za porez po odbitku koji su u suštini Direktive, ulagači će morati moći surađivati s financijskim posrednicima koji su ovlašteni za pružanje tih usluga. Postoje dvije osnove za dobivanje statusa ovlaštenog financijskog posrednika, a time i dobivanje pristupa postupcima iz ove Direktive:</w:t>
      </w:r>
    </w:p>
    <w:p w14:paraId="321A83C7" w14:textId="77777777" w:rsidR="007A3752" w:rsidRPr="00A96D00" w:rsidRDefault="00697CE1" w:rsidP="004E5214">
      <w:pPr>
        <w:pStyle w:val="Tiret1"/>
        <w:numPr>
          <w:ilvl w:val="0"/>
          <w:numId w:val="6"/>
        </w:numPr>
        <w:rPr>
          <w:noProof/>
        </w:rPr>
      </w:pPr>
      <w:r w:rsidRPr="00A96D00">
        <w:rPr>
          <w:noProof/>
        </w:rPr>
        <w:t>Obvezno: za 1. velike institucije, kako su definirane u članku 5. stavku 2. Uredbe (EU) br. 575/2013</w:t>
      </w:r>
      <w:r w:rsidRPr="00A96D00">
        <w:rPr>
          <w:rStyle w:val="FootnoteReference"/>
          <w:noProof/>
        </w:rPr>
        <w:footnoteReference w:id="25"/>
      </w:r>
      <w:r w:rsidRPr="00A96D00">
        <w:rPr>
          <w:noProof/>
        </w:rPr>
        <w:t>, i 2. središnje depozitorije vrijednosnih papira obuhvaćene područjem primjene Uredbe (EU) br. 909/2014</w:t>
      </w:r>
      <w:r w:rsidRPr="00A96D00">
        <w:rPr>
          <w:rStyle w:val="FootnoteReference"/>
          <w:noProof/>
        </w:rPr>
        <w:footnoteReference w:id="26"/>
      </w:r>
      <w:r w:rsidRPr="00A96D00">
        <w:rPr>
          <w:noProof/>
        </w:rPr>
        <w:t xml:space="preserve"> koji pružaju usluge zastupnika za porez po odbitku te se kao takvi moraju registrirati u onim državama članicama u kojima se nalaze izdavatelji vrijednosnih papira i u kojima je uložio bilo koji od njihovih klijenata.</w:t>
      </w:r>
    </w:p>
    <w:p w14:paraId="3E3E3FB0" w14:textId="77777777" w:rsidR="00247DD1" w:rsidRPr="00A96D00" w:rsidRDefault="004D5050" w:rsidP="004E5214">
      <w:pPr>
        <w:pStyle w:val="Tiret1"/>
        <w:numPr>
          <w:ilvl w:val="0"/>
          <w:numId w:val="6"/>
        </w:numPr>
        <w:rPr>
          <w:noProof/>
        </w:rPr>
      </w:pPr>
      <w:r w:rsidRPr="00A96D00">
        <w:rPr>
          <w:noProof/>
        </w:rPr>
        <w:t>Na dobrovoljnoj osnovi: za sve druge subjekte (uključujući one s poslovnim nastanom u jurisdikciji treće zemlje) koji djeluju kao financijski posrednici i ispunjavaju posebne zahtjeve upisom u jedan ili više nacionalnih registara uspostavljenih u skladu s ovom Direktivom, prema odluci predmetnog posrednika; očekuje se da bi registracija trebala biti u onim državama članicama u kojima njihovi klijenti imaju ulaganja.</w:t>
      </w:r>
    </w:p>
    <w:p w14:paraId="751E06F8" w14:textId="77777777" w:rsidR="00A9400E" w:rsidRPr="00A96D00" w:rsidRDefault="00247DD1" w:rsidP="00247DD1">
      <w:pPr>
        <w:rPr>
          <w:noProof/>
        </w:rPr>
      </w:pPr>
      <w:r w:rsidRPr="00A96D00">
        <w:rPr>
          <w:noProof/>
        </w:rPr>
        <w:t>Uvođenje nacionalnog registra nije obvezno za države članice koje ne moraju pružiti oslobođenje od preplaćenog poreza po odbitku zbog izuzeća od poreza po odbitku u odnosu na isplate dividendi ili u slučaju da je relevantna domaća porezna stopa uvijek niža ili jednaka stopi koja bi se mogla primjenjivati u okviru ugovora o izbjegavanju dvostrukog oporezivanja. Države članice koje se odluče za oslobođenje na izvoru ili brzi povrat preplaćenog poreza po odbitku na kamate na obveznice kako je predviđeno ovom Direktivom trebale bi se automatski služiti nacionalnim registrom koji je već uspostavljen kako bi se omogućilo oslobođenje za preplaćeni porez na dividende ili bi trebale uspostaviti nacionalni registar.</w:t>
      </w:r>
    </w:p>
    <w:p w14:paraId="1BFE559A" w14:textId="77777777" w:rsidR="0080647F" w:rsidRPr="00A96D00" w:rsidRDefault="0080647F" w:rsidP="00247DD1">
      <w:pPr>
        <w:rPr>
          <w:noProof/>
        </w:rPr>
      </w:pPr>
      <w:r w:rsidRPr="00A96D00">
        <w:rPr>
          <w:noProof/>
        </w:rPr>
        <w:t>Ovlašteni financijski posrednici koji ne ispunjavaju zahtjeve, uključujući one koji ne ispunjavaju zahtjeve za registraciju, bit će izbrisani iz nacionalnih registara te im se mogu izreći i sankcije.</w:t>
      </w:r>
    </w:p>
    <w:p w14:paraId="0726B204" w14:textId="77777777" w:rsidR="00247DD1" w:rsidRPr="00A96D00" w:rsidRDefault="00247DD1" w:rsidP="00247DD1">
      <w:pPr>
        <w:pStyle w:val="Point1"/>
        <w:rPr>
          <w:b/>
          <w:bCs/>
          <w:noProof/>
        </w:rPr>
      </w:pPr>
      <w:r w:rsidRPr="00A96D00">
        <w:rPr>
          <w:b/>
          <w:noProof/>
        </w:rPr>
        <w:t>iii.</w:t>
      </w:r>
      <w:r w:rsidRPr="00A96D00">
        <w:rPr>
          <w:noProof/>
        </w:rPr>
        <w:tab/>
      </w:r>
      <w:r w:rsidRPr="00A96D00">
        <w:rPr>
          <w:b/>
          <w:noProof/>
        </w:rPr>
        <w:t xml:space="preserve">Zajednički sustav izvješćivanja </w:t>
      </w:r>
    </w:p>
    <w:p w14:paraId="7287F85A" w14:textId="77777777" w:rsidR="007D3EBD" w:rsidRPr="00A96D00" w:rsidRDefault="00247DD1" w:rsidP="00AE09C6">
      <w:pPr>
        <w:rPr>
          <w:noProof/>
        </w:rPr>
      </w:pPr>
      <w:r w:rsidRPr="00A96D00">
        <w:rPr>
          <w:noProof/>
        </w:rPr>
        <w:t xml:space="preserve">Cilj je ove Direktive pomoći u borbi protiv poreznih prijevara i zlouporaba u području postupaka oslobođenja za porez po odbitku i učiniti te postupke djelotvornima. Uvođenje transparentnosti u financijski lanac pomaže u ostvarivanju ta dva cilja jer omogućuje državi članici izvora primanje informacija potrebnih za provjeru primjenjuje li se ispravna stopa poreza po odbitku i procjenjivanje je li potrebno primijeniti pravila protiv zlouporabe. Uspostavom zajedničkog standarda za izvješćivanje u cijelom EU-u ulagačima i financijskim posrednicima smanjuju se troškovi usklađivanja te se omogućuju brži i sigurniji postupci za oslobođenje od poreza po odbitku. </w:t>
      </w:r>
    </w:p>
    <w:p w14:paraId="654F77AC" w14:textId="77777777" w:rsidR="007D3EBD" w:rsidRPr="00A96D00" w:rsidRDefault="007D3EBD" w:rsidP="007D3EBD">
      <w:pPr>
        <w:rPr>
          <w:i/>
          <w:noProof/>
        </w:rPr>
      </w:pPr>
      <w:r w:rsidRPr="00A96D00">
        <w:rPr>
          <w:i/>
          <w:noProof/>
        </w:rPr>
        <w:t>Tko mora izvješćivati i kome?</w:t>
      </w:r>
    </w:p>
    <w:p w14:paraId="34AEFFBD" w14:textId="77777777" w:rsidR="007D3EBD" w:rsidRPr="00A96D00" w:rsidRDefault="00727E85" w:rsidP="007D3EBD">
      <w:pPr>
        <w:rPr>
          <w:noProof/>
        </w:rPr>
      </w:pPr>
      <w:r w:rsidRPr="00A96D00">
        <w:rPr>
          <w:noProof/>
        </w:rPr>
        <w:t xml:space="preserve">Obveze izvješćivanja proizlaze iz upisa u jedan od nacionalnih registara. Svi ovlašteni financijski posrednici upisani u jedan ili više nacionalnih registara dužni su izvješćivati tijelo koje vodi registar i, prema potrebi, zastupnika za porez po odbitku, neovisno o njihovoj zemlji rezidentnosti (u EU-u ili izvan EU-a; u državi članici s uspostavljenim nacionalnim registrom ili bez njega). </w:t>
      </w:r>
    </w:p>
    <w:p w14:paraId="3895D1F9" w14:textId="77777777" w:rsidR="007D3EBD" w:rsidRPr="00A96D00" w:rsidRDefault="007D3EBD" w:rsidP="007D3EBD">
      <w:pPr>
        <w:rPr>
          <w:noProof/>
        </w:rPr>
      </w:pPr>
      <w:r w:rsidRPr="00A96D00">
        <w:rPr>
          <w:noProof/>
        </w:rPr>
        <w:t>Ovlašteni financijski posrednici registrirani u bilo koji nacionalni registar moraju obavijestiti ako se ulaganje njihovih ulagatelja odvija u državi članici koja ima nacionalni registar. Takva država članica izvora morat će pružiti oslobođenje pa stoga mora rekonstruirati lanac isplata za vrijednosni papir i utvrditi krajnjeg ulagača. Direktivom se ne isključuje mogućnost da ovlašteni financijski posrednici obvezu izvješćivanja eksternaliziraju drugom financijskom posredniku u lancu skrbništva ako predmetni ovlašteni financijski posrednik ostaje odgovoran za izvršenje i ispravnost takvog izvješćivanja.</w:t>
      </w:r>
    </w:p>
    <w:p w14:paraId="66A50EE7" w14:textId="77777777" w:rsidR="007D3EBD" w:rsidRPr="00A96D00" w:rsidRDefault="006159CF" w:rsidP="007D3EBD">
      <w:pPr>
        <w:rPr>
          <w:noProof/>
        </w:rPr>
      </w:pPr>
      <w:r w:rsidRPr="00A96D00">
        <w:rPr>
          <w:noProof/>
        </w:rPr>
        <w:t xml:space="preserve">Neispunjavanje obveze izvješćivanja dovest će do sankcija. </w:t>
      </w:r>
    </w:p>
    <w:p w14:paraId="65399EC4" w14:textId="77777777" w:rsidR="007D3EBD" w:rsidRPr="00A96D00" w:rsidRDefault="007D3EBD" w:rsidP="007D3EBD">
      <w:pPr>
        <w:rPr>
          <w:i/>
          <w:noProof/>
        </w:rPr>
      </w:pPr>
      <w:r w:rsidRPr="00A96D00">
        <w:rPr>
          <w:i/>
          <w:noProof/>
        </w:rPr>
        <w:t>Koje je informacije potrebno izvješćivati?</w:t>
      </w:r>
    </w:p>
    <w:p w14:paraId="6E8C9FCA" w14:textId="77777777" w:rsidR="007D3EBD" w:rsidRPr="00A96D00" w:rsidRDefault="007D3EBD" w:rsidP="007D3EBD">
      <w:pPr>
        <w:rPr>
          <w:noProof/>
        </w:rPr>
      </w:pPr>
      <w:r w:rsidRPr="00A96D00">
        <w:rPr>
          <w:noProof/>
        </w:rPr>
        <w:t xml:space="preserve">Direktivom se u Prilogu II. utvrđuje zajednički skup elemenata za izvješćivanje. Svaki ovlašteni financijski posrednik izvješćuje samo o dijelu transakcije koji mu je poznat, tj. od koga prima dividendu/kamate i kome isplaćuje dividendu/kamate. Stoga će primatelj potpunog izvješćivanja, bilo porezna uprava izvora ili zastupnik za porez po odbitku imenovan u njezino ime, imati sve informacije potrebne za rekonstrukciju financijskog lanca transakcije od ulagača do izdavatelja vrijednosnih papira. </w:t>
      </w:r>
    </w:p>
    <w:p w14:paraId="23DAF960" w14:textId="77777777" w:rsidR="007D3EBD" w:rsidRPr="00A96D00" w:rsidRDefault="02362B39" w:rsidP="007D3EBD">
      <w:pPr>
        <w:rPr>
          <w:noProof/>
        </w:rPr>
      </w:pPr>
      <w:r w:rsidRPr="00A96D00">
        <w:rPr>
          <w:noProof/>
        </w:rPr>
        <w:t>Informacije dostavljene poreznoj upravi omogućit će joj utvrđivanje identiteta krajnjeg ulagača i njegovo potencijalno pravo na sniženu stopu poreza po odbitku. Stoga je ublažen rizik od dvostrukog povrata i ojačan kapacitet poreznih uprava za utvrđivanje i suzbijanje drugih praksi zlouporabe i prijevara, kao što je Cum/Cum.</w:t>
      </w:r>
    </w:p>
    <w:p w14:paraId="229DAE6B" w14:textId="77777777" w:rsidR="000C4033" w:rsidRPr="00A96D00" w:rsidRDefault="007B5E95" w:rsidP="007D3EBD">
      <w:pPr>
        <w:rPr>
          <w:noProof/>
        </w:rPr>
      </w:pPr>
      <w:r w:rsidRPr="00A96D00">
        <w:rPr>
          <w:noProof/>
        </w:rPr>
        <w:t>U naslovu E Priloga II. predviđena su dva zahtjeva za izvješćivanje čiji je cilj pomoći u borbi protiv zlouporabe poreza po odbitku, uglavnom mehanizama zlouporabe Cum/Cum, i. izvješćivanje o razdoblju držanja predmetnih vrijednosnih papira te ii. izvješćivanje o financijskim aranžmanima povezanima s vrijednosnim papirima za koje porezni obveznik traži oslobođenje.</w:t>
      </w:r>
    </w:p>
    <w:p w14:paraId="163910D8" w14:textId="77777777" w:rsidR="007E6897" w:rsidRPr="00A96D00" w:rsidRDefault="007D3EBD" w:rsidP="007D3EBD">
      <w:pPr>
        <w:rPr>
          <w:noProof/>
        </w:rPr>
      </w:pPr>
      <w:r w:rsidRPr="00A96D00">
        <w:rPr>
          <w:noProof/>
        </w:rPr>
        <w:t>Prvim se elementom traže informacije o tome jesu li predmetni vrijednosni papiri kupljeni unutar dva dana prije datuma prestanka prava na dividende kako bi se pomoglo spriječiti daljnje mehanizme prijevara/zlouporaba za višestruko potraživanje istog poreza po odbitku kada je ostvareno pravo na samo jedno potraživanje (mehanizmi Cum/Ex).</w:t>
      </w:r>
    </w:p>
    <w:p w14:paraId="2647FD5F" w14:textId="77777777" w:rsidR="007D3EBD" w:rsidRPr="00A96D00" w:rsidRDefault="007D3EBD" w:rsidP="007D3EBD">
      <w:pPr>
        <w:rPr>
          <w:noProof/>
        </w:rPr>
      </w:pPr>
      <w:r w:rsidRPr="00A96D00">
        <w:rPr>
          <w:noProof/>
        </w:rPr>
        <w:t xml:space="preserve">Drugim se elementom traže informacije o tome je li financijski posrednik koji izvješćuje upoznat s </w:t>
      </w:r>
      <w:r w:rsidRPr="00A96D00">
        <w:rPr>
          <w:noProof/>
          <w:color w:val="000000" w:themeColor="text1"/>
        </w:rPr>
        <w:t xml:space="preserve">bilo kojim financijskim aranžmanom koji uključuje </w:t>
      </w:r>
      <w:r w:rsidRPr="00A96D00">
        <w:rPr>
          <w:noProof/>
        </w:rPr>
        <w:t xml:space="preserve">predmetne vrijednosne papire i koji na datum prestanka prava na dividende nije namiren, istekao je ili je na drugi način raskinut kako bi se poreznoj upravi pomoglo u otkrivanju mehanizama zlouporabe poreza (mehanizmi Cum/Cum). Financijski aranžman može biti, na primjer, ugovor o ponovnoj kupnji ili o pozajmljivanju vrijednosnih papira, ali i izvedeni proizvodi kao što su budućnosnice s jednom dionicom. Točnije, ugovor o ponovnoj kupnji uključuje prodaju vrijednosnih papira po određenoj cijeni uz obvezu otkupa istih ili sličnih vrijednosnih papira po fiksnoj cijeni na određeni budući datum. Pozajmljivanje vrijednosnih papira uključuje prijenos vlasništva vrijednosnog papira u zamjenu za jamstvo, obično drugi vrijednosni papir, pod uvjetom da se vlasništvo tog vrijednosnog papira ili sličnih vrijednosnih papira vrati izvornom vlasniku na određeni budući datum. Definicija je široka kako bi se njome mogle obuhvatiti različite vrste aranžmana. </w:t>
      </w:r>
    </w:p>
    <w:p w14:paraId="32CFE341" w14:textId="77777777" w:rsidR="00275591" w:rsidRPr="00A96D00" w:rsidRDefault="007E2FD5" w:rsidP="009D5B08">
      <w:pPr>
        <w:rPr>
          <w:noProof/>
        </w:rPr>
      </w:pPr>
      <w:r w:rsidRPr="00A96D00">
        <w:rPr>
          <w:noProof/>
        </w:rPr>
        <w:t>Budući da su prethodno navedeni mehanizmi zabilježeni samo u odnosu na isplate dividendi, elementi za izvješćivanje iz naslova E nisu potrebni u odnosu na kamate isplaćene na ime obveznica. Isti se pristup primjenjuje u pogledu vrlo niskih iznosa isplaćenih dividendi, što se smatra niskorizičnim slučajevima kojima se ne može opravdati relevantno opterećenje u pogledu izvješćivanja za ovlaštene financijske posrednike Međutim, to ne sprečava države članice u izricanju odgovarajućih sankcija ako stvarno utvrde zlouporabu, čak i u malom iznosu.</w:t>
      </w:r>
    </w:p>
    <w:p w14:paraId="6C4E01DD" w14:textId="77777777" w:rsidR="007D3EBD" w:rsidRPr="00A96D00" w:rsidRDefault="007D3EBD" w:rsidP="007D3EBD">
      <w:pPr>
        <w:rPr>
          <w:i/>
          <w:noProof/>
        </w:rPr>
      </w:pPr>
      <w:r w:rsidRPr="00A96D00">
        <w:rPr>
          <w:i/>
          <w:noProof/>
        </w:rPr>
        <w:t>Kako će se provoditi izvješćivanje?</w:t>
      </w:r>
    </w:p>
    <w:p w14:paraId="07AA5F8B" w14:textId="77777777" w:rsidR="007D3EBD" w:rsidRPr="00A96D00" w:rsidRDefault="007D3EBD" w:rsidP="007D3EBD">
      <w:pPr>
        <w:rPr>
          <w:noProof/>
        </w:rPr>
      </w:pPr>
      <w:r w:rsidRPr="00A96D00">
        <w:rPr>
          <w:noProof/>
        </w:rPr>
        <w:t xml:space="preserve">Izvješćivanje će se odvijati putem standardizirane sheme formata XML koja će biti utvrđena u provedbenom aktu koji će donijeti Komisija. Automatizirani kanal za dostavu informacija gospodarskih subjekata odgovarajućoj poreznoj upravi ili zastupniku za porez po odbitku koji djeluje u njezino ime bit će standardiziran i utvrđen u ovom provedbenom aktu. </w:t>
      </w:r>
    </w:p>
    <w:p w14:paraId="2E200C79" w14:textId="77777777" w:rsidR="007D3EBD" w:rsidRPr="00A96D00" w:rsidRDefault="007D3EBD" w:rsidP="007D3EBD">
      <w:pPr>
        <w:rPr>
          <w:i/>
          <w:noProof/>
        </w:rPr>
      </w:pPr>
      <w:r w:rsidRPr="00A96D00">
        <w:rPr>
          <w:i/>
          <w:noProof/>
        </w:rPr>
        <w:t>Kada nastaje obveza izvješćivanja?</w:t>
      </w:r>
    </w:p>
    <w:p w14:paraId="1E8B418B" w14:textId="77777777" w:rsidR="007D3EBD" w:rsidRPr="00A96D00" w:rsidRDefault="007D3EBD" w:rsidP="008E0AD1">
      <w:pPr>
        <w:rPr>
          <w:noProof/>
        </w:rPr>
      </w:pPr>
      <w:r w:rsidRPr="00A96D00">
        <w:rPr>
          <w:noProof/>
        </w:rPr>
        <w:t xml:space="preserve">Rok za izvješćivanje informacija iz Priloga II. je najkasnije 25 dana od datuma utvrđivanja stanja. Izvješćivanje bi se trebalo provesti što je prije moguće nakon datuma utvrđivanja stanja, osim ako na datum utvrđivanja stanja još nije donesena uputa o namiri za bilo koji dio transakcije, a u tom bi se slučaju izvješćivanje o toj transakciji trebalo provesti što je prije moguće nakon namire. U praksi se sve pozicije obično namiruju u roku od 10 do 15 dana od datuma utvrđivanja stanja. Ako se to ne dogodi do 20. dana od tog datuma, kako bi se postiglo učinkovito oslobođenje od preplaćivanja poreza po odbitku, Direktivom se zahtijeva da ovlašteni financijski posrednici provode izvješćivanje s obzirom na situaciju na taj 20. dan i u sljedećih pet dana.  </w:t>
      </w:r>
    </w:p>
    <w:p w14:paraId="5F5E4530" w14:textId="77777777" w:rsidR="007D3EBD" w:rsidRPr="00A96D00" w:rsidRDefault="0071260E" w:rsidP="007D3EBD">
      <w:pPr>
        <w:rPr>
          <w:noProof/>
        </w:rPr>
      </w:pPr>
      <w:r w:rsidRPr="00A96D00">
        <w:rPr>
          <w:noProof/>
        </w:rPr>
        <w:t>U državama članicama u kojima će se primjenjivati oslobođenje na izvoru, a datum isplate dividende prethodi 25 dana od datuma utvrđivanja stanja, financijski posrednici trebali bi imati uspostavljen mehanizam za pravodobno pružanje informacija zastupniku za porez po odbitku o stopi koja će se primjenjivati.</w:t>
      </w:r>
    </w:p>
    <w:p w14:paraId="3E913E85" w14:textId="77777777" w:rsidR="007D3EBD" w:rsidRPr="00A96D00" w:rsidRDefault="007D3EBD" w:rsidP="007D3EBD">
      <w:pPr>
        <w:pStyle w:val="Point1"/>
        <w:rPr>
          <w:b/>
          <w:bCs/>
          <w:noProof/>
        </w:rPr>
      </w:pPr>
      <w:r w:rsidRPr="00A96D00">
        <w:rPr>
          <w:b/>
          <w:noProof/>
        </w:rPr>
        <w:t>iv.</w:t>
      </w:r>
      <w:r w:rsidRPr="00A96D00">
        <w:rPr>
          <w:noProof/>
        </w:rPr>
        <w:tab/>
      </w:r>
      <w:r w:rsidRPr="00A96D00">
        <w:rPr>
          <w:b/>
          <w:noProof/>
        </w:rPr>
        <w:t xml:space="preserve"> Sustavi oslobođenja</w:t>
      </w:r>
    </w:p>
    <w:p w14:paraId="6518465C" w14:textId="54EEB00E" w:rsidR="007D3EBD" w:rsidRPr="00A96D00" w:rsidRDefault="00295F4E" w:rsidP="007D3EBD">
      <w:pPr>
        <w:rPr>
          <w:noProof/>
        </w:rPr>
      </w:pPr>
      <w:r w:rsidRPr="00A96D00">
        <w:rPr>
          <w:noProof/>
        </w:rPr>
        <w:t xml:space="preserve">Prijedlogom se predviđa sljedeće: (a) sustav oslobođenja na izvoru; i (b) brzi sustav povrata. U okviru sustava oslobođenja na izvoru zastupnik za porez po odbitku primjenjuje točan iznos poreza u trenutku isplate dividende/kamate (članak 12.). U okviru sustava brzog povrata porez se naplaćuje po višoj stopi koja se primjenjuje u državi izvora, ali se preplaćeni porez zatim vraća u utvrđenom roku od najviše 25 dana od datuma podnošenja zahtjeva ili od datuma na koji je ispunjena obveza izvješćivanja, ovisno o tome koji je datum kasniji. To bi trebalo učiniti u roku od 50 kalendarskih dana od datuma plaćanja (članak 13.). U oba slučaja relevantni sudionici u postupcima bili bi ovlašteni financijski posrednici koji djeluju u ime svojih ulagatelja. U člancima 10. (zahtjev za oslobođenje na izvoru ili brzi povrat) i 11. (postupci dubinske analize) utvrđuju se elementi koji su zajednički obama sustavima. </w:t>
      </w:r>
    </w:p>
    <w:p w14:paraId="6F5033A7" w14:textId="77777777" w:rsidR="007D3EBD" w:rsidRPr="00A96D00" w:rsidRDefault="00FC3E8A" w:rsidP="007D3EBD">
      <w:pPr>
        <w:rPr>
          <w:noProof/>
        </w:rPr>
      </w:pPr>
      <w:r w:rsidRPr="00A96D00">
        <w:rPr>
          <w:noProof/>
        </w:rPr>
        <w:t>Pri primjeni postupaka za oslobođenje nadležna porezna uprava može umjesto samostalnog upravljanja zadaćama odlučiti povjeriti relevantne zadaće imenovanom agentu za porez po odbitku, odnosno eksternalizirati ih.</w:t>
      </w:r>
    </w:p>
    <w:p w14:paraId="72DA6DA6" w14:textId="77777777" w:rsidR="007D3EBD" w:rsidRPr="00A96D00" w:rsidRDefault="00FC3E8A" w:rsidP="007D3EBD">
      <w:pPr>
        <w:rPr>
          <w:noProof/>
        </w:rPr>
      </w:pPr>
      <w:r w:rsidRPr="00A96D00">
        <w:rPr>
          <w:noProof/>
        </w:rPr>
        <w:t>Svaka država članica koja primjenjuje postupke oslobođenja za preplaćeni porez po odbitku može odlučiti primijeniti oslobođenje na izvoru ili sustav brzog povrata ili oboje, kao i hoće li iskoristiti prethodno navedenu mogućnost eksternalizacije. Međutim, takve države članice moraju osigurati da barem jedan od ta dva sustava bude dostupan svim ulagačima i stvarno aktiviran te, u svim slučajevima, da su ispunjeni uvjeti utvrđeni ovom Direktivom. U okviru tih dvaju sustava države članice imaju diskrecijsko pravo, na primjer, dopustiti samo niskorizičnim poreznim obveznicima da zatraže oslobođenje na izvoru, dok ostali porezni obveznici mogu zatražiti samo brzi povrat. Ti se sustavi ne odnose na države članice koje ne primjenjuju postupke oslobođenja za preplaćeni porez po odbitku jer uopće ne predviđaju porez po odbitku ili ne predviđaju različite stope poreza po odbitku u različitim okolnostima te se od njih ne zahtijeva poduzimanje mjera.</w:t>
      </w:r>
    </w:p>
    <w:p w14:paraId="40AD6D5E" w14:textId="77777777" w:rsidR="007A2CCF" w:rsidRPr="00A96D00" w:rsidRDefault="006D1052" w:rsidP="007D3EBD">
      <w:pPr>
        <w:rPr>
          <w:noProof/>
        </w:rPr>
      </w:pPr>
      <w:r w:rsidRPr="00A96D00">
        <w:rPr>
          <w:noProof/>
        </w:rPr>
        <w:t xml:space="preserve">U svim slučajevima, u pogledu dokaza o rezidentnosti ulagatelja, države članice trebale bi se prvenstveno oslanjati na eTRC, kako je definiran u članku 4., ili odgovarajući dokaz o poreznoj rezidentnosti iz zemlje koja nije članica EU-a. </w:t>
      </w:r>
    </w:p>
    <w:p w14:paraId="584996EC" w14:textId="77777777" w:rsidR="007D3EBD" w:rsidRPr="00A96D00" w:rsidRDefault="009F2927" w:rsidP="2B607E20">
      <w:pPr>
        <w:rPr>
          <w:noProof/>
        </w:rPr>
      </w:pPr>
      <w:r w:rsidRPr="00A96D00">
        <w:rPr>
          <w:noProof/>
        </w:rPr>
        <w:t xml:space="preserve">Glavni je cilj ove Direktive spriječiti porezne prakse koje predstavljaju zlouporabu/prijevaru, a posebno mehanizme Cum/Ex i Cum/Cum. Porezne uprave država članica koje žele imati više vremena za određene provjere prije dopuštanja oslobođenja imaju mogućnost u određenim posebnim okolnostima ne primjenjivati sustave oslobođenja na izvoru ili brzog povrata koji će se uvesti u skladu s ovom Direktivom. Ta je mogućnost posebno predviđena u slučaju zahtjeva za izuzeće i kada informacije dostavljene u okviru naslova E Priloga II. upućuju na to da su predmetni vrijednosni papiri stečeni u roku od dva kalendarska dana od datuma prestanka prava na dividende i/ili da financijski posrednik izvješćuje o </w:t>
      </w:r>
      <w:r w:rsidRPr="00A96D00">
        <w:rPr>
          <w:noProof/>
          <w:color w:val="000000" w:themeColor="text1"/>
        </w:rPr>
        <w:t xml:space="preserve">financijskom aranžmanu koji uključuje </w:t>
      </w:r>
      <w:r w:rsidRPr="00A96D00">
        <w:rPr>
          <w:noProof/>
        </w:rPr>
        <w:t>predmetne vrijednosne papire i koji na datum prestanka prava na dividende nije namiren, istekao je ili je na drugi način raskinut.</w:t>
      </w:r>
    </w:p>
    <w:p w14:paraId="1A2FCB88" w14:textId="77777777" w:rsidR="007D3EBD" w:rsidRPr="00A96D00" w:rsidRDefault="009F2927" w:rsidP="007D3EBD">
      <w:pPr>
        <w:rPr>
          <w:noProof/>
        </w:rPr>
      </w:pPr>
      <w:r w:rsidRPr="00A96D00">
        <w:rPr>
          <w:noProof/>
        </w:rPr>
        <w:t>Ako se ne primjenjuju sustavi oslobođenja na izvoru i brzog povrata utvrđeni u ovoj Direktivi, primjenjuje se standardni postupak povrata u kojem porezni obveznik ili njegov imenovani zastupnik, koji ne mora nužno biti financijska institucija, mogu izravno zatražiti povrat od poreznog tijela. Ovom se Direktivom ujedno osigurava da će sadržaj informacija koje se dostavljaju poreznom tijelu obuhvaćati barem informacije predviđene u Prilogu II. naslovu E.</w:t>
      </w:r>
    </w:p>
    <w:p w14:paraId="369FD42F" w14:textId="77777777" w:rsidR="00DD40D1" w:rsidRPr="00A96D00" w:rsidRDefault="00DD40D1" w:rsidP="00DD40D1">
      <w:pPr>
        <w:rPr>
          <w:b/>
          <w:noProof/>
        </w:rPr>
      </w:pPr>
      <w:r w:rsidRPr="00A96D00">
        <w:rPr>
          <w:b/>
          <w:noProof/>
        </w:rPr>
        <w:t>Opće odredbe</w:t>
      </w:r>
    </w:p>
    <w:p w14:paraId="2C9BD642" w14:textId="5B993260" w:rsidR="00977CF6" w:rsidRPr="00A96D00" w:rsidRDefault="007D3EBD" w:rsidP="00896B16">
      <w:pPr>
        <w:spacing w:before="0" w:after="0"/>
        <w:rPr>
          <w:noProof/>
        </w:rPr>
        <w:sectPr w:rsidR="00977CF6" w:rsidRPr="00A96D00" w:rsidSect="00BE4874">
          <w:footerReference w:type="default" r:id="rId15"/>
          <w:footerReference w:type="first" r:id="rId16"/>
          <w:pgSz w:w="11907" w:h="16839"/>
          <w:pgMar w:top="1134" w:right="1417" w:bottom="1134" w:left="1417" w:header="709" w:footer="709" w:gutter="0"/>
          <w:cols w:space="708"/>
          <w:docGrid w:linePitch="360"/>
        </w:sectPr>
      </w:pPr>
      <w:r w:rsidRPr="00A96D00">
        <w:rPr>
          <w:noProof/>
        </w:rPr>
        <w:t>Poglavlje 4. odnosi se na opće i završne odredbe, a posebno na provedbene akte, evaluaciju i praćenje, pravila o zaštiti podataka, prenošenje i stupanje na snagu. Ovaj bi prijedlog, nakon što bude donesen, trebalo prenijeti u nacionalno pravo država članica do 31. prosinca 2026. Trebao bi stupiti na snagu dvije godine nakon donošenja provedbenih akata, za koje se očekuje da će biti doneseni do 1. siječnja 2027.</w:t>
      </w:r>
    </w:p>
    <w:p w14:paraId="2F5783C8" w14:textId="2FD028CC" w:rsidR="00CE63CF" w:rsidRDefault="00CE63CF" w:rsidP="00CE63CF">
      <w:pPr>
        <w:pStyle w:val="Rfrenceinterinstitutionnelle"/>
        <w:rPr>
          <w:noProof/>
        </w:rPr>
      </w:pPr>
      <w:r w:rsidRPr="00CE63CF">
        <w:t>2023/0187 (CNS)</w:t>
      </w:r>
    </w:p>
    <w:p w14:paraId="71776AE1" w14:textId="5E70FAEF" w:rsidR="00977CF6" w:rsidRPr="00A96D00" w:rsidRDefault="00A96D00" w:rsidP="00A96D00">
      <w:pPr>
        <w:pStyle w:val="Statut"/>
        <w:rPr>
          <w:noProof/>
        </w:rPr>
      </w:pPr>
      <w:r w:rsidRPr="00A96D00">
        <w:rPr>
          <w:noProof/>
        </w:rPr>
        <w:t>Prijedlog</w:t>
      </w:r>
    </w:p>
    <w:p w14:paraId="0D4C2FD4" w14:textId="15818585" w:rsidR="00A9081A" w:rsidRPr="00A96D00" w:rsidRDefault="00A96D00" w:rsidP="00A96D00">
      <w:pPr>
        <w:pStyle w:val="Typedudocument"/>
        <w:rPr>
          <w:noProof/>
        </w:rPr>
      </w:pPr>
      <w:r w:rsidRPr="00A96D00">
        <w:rPr>
          <w:noProof/>
        </w:rPr>
        <w:t>DIREKTIVE VIJEĆA</w:t>
      </w:r>
    </w:p>
    <w:p w14:paraId="36B09FB7" w14:textId="0E210124" w:rsidR="003F5F62" w:rsidRPr="00A96D00" w:rsidRDefault="00A96D00" w:rsidP="00A96D00">
      <w:pPr>
        <w:pStyle w:val="Titreobjet"/>
        <w:rPr>
          <w:noProof/>
        </w:rPr>
      </w:pPr>
      <w:r w:rsidRPr="00A96D00">
        <w:rPr>
          <w:noProof/>
        </w:rPr>
        <w:t>o bržem i sigurnijem oslobođenju za preplaćeni porez po odbitku</w:t>
      </w:r>
    </w:p>
    <w:p w14:paraId="562220DB" w14:textId="77777777" w:rsidR="00977CF6" w:rsidRPr="00A96D00" w:rsidRDefault="00977CF6" w:rsidP="00977CF6">
      <w:pPr>
        <w:pStyle w:val="Institutionquiagit"/>
        <w:rPr>
          <w:noProof/>
        </w:rPr>
      </w:pPr>
      <w:r w:rsidRPr="00A96D00">
        <w:rPr>
          <w:noProof/>
        </w:rPr>
        <w:t>VIJEĆE EUROPSKE UNIJE,</w:t>
      </w:r>
    </w:p>
    <w:p w14:paraId="765359EE" w14:textId="77777777" w:rsidR="00977CF6" w:rsidRPr="00A96D00" w:rsidRDefault="00977CF6" w:rsidP="00977CF6">
      <w:pPr>
        <w:rPr>
          <w:noProof/>
        </w:rPr>
      </w:pPr>
      <w:r w:rsidRPr="00A96D00">
        <w:rPr>
          <w:noProof/>
        </w:rPr>
        <w:t>uzimajući u obzir Ugovor o funkcioniranju Europske unije, a posebno njegov članak 115.,</w:t>
      </w:r>
    </w:p>
    <w:p w14:paraId="76AE00A2" w14:textId="77777777" w:rsidR="00977CF6" w:rsidRPr="00A96D00" w:rsidRDefault="00977CF6" w:rsidP="00977CF6">
      <w:pPr>
        <w:rPr>
          <w:noProof/>
        </w:rPr>
      </w:pPr>
      <w:r w:rsidRPr="00A96D00">
        <w:rPr>
          <w:noProof/>
        </w:rPr>
        <w:t>uzimajući u obzir prijedlog Europske komisije,</w:t>
      </w:r>
    </w:p>
    <w:p w14:paraId="0C5B4CC0" w14:textId="77777777" w:rsidR="00977CF6" w:rsidRPr="00A96D00" w:rsidRDefault="00977CF6" w:rsidP="00977CF6">
      <w:pPr>
        <w:rPr>
          <w:noProof/>
        </w:rPr>
      </w:pPr>
      <w:r w:rsidRPr="00A96D00">
        <w:rPr>
          <w:noProof/>
        </w:rPr>
        <w:t>nakon prosljeđivanja nacrta zakonodavnog akta nacionalnim parlamentima,</w:t>
      </w:r>
    </w:p>
    <w:p w14:paraId="259C2C02" w14:textId="77777777" w:rsidR="00977CF6" w:rsidRPr="00A96D00" w:rsidRDefault="00977CF6" w:rsidP="00977CF6">
      <w:pPr>
        <w:rPr>
          <w:noProof/>
        </w:rPr>
      </w:pPr>
      <w:r w:rsidRPr="00A96D00">
        <w:rPr>
          <w:noProof/>
        </w:rPr>
        <w:t>uzimajući u obzir mišljenje Europskog parlamenta</w:t>
      </w:r>
      <w:r w:rsidRPr="00A96D00">
        <w:rPr>
          <w:rStyle w:val="FootnoteReference"/>
          <w:noProof/>
        </w:rPr>
        <w:footnoteReference w:id="27"/>
      </w:r>
      <w:r w:rsidRPr="00A96D00">
        <w:rPr>
          <w:noProof/>
        </w:rPr>
        <w:t xml:space="preserve">, </w:t>
      </w:r>
    </w:p>
    <w:p w14:paraId="7350FC6D" w14:textId="77777777" w:rsidR="00977CF6" w:rsidRPr="00A96D00" w:rsidRDefault="00977CF6" w:rsidP="00977CF6">
      <w:pPr>
        <w:rPr>
          <w:noProof/>
        </w:rPr>
      </w:pPr>
      <w:r w:rsidRPr="00A96D00">
        <w:rPr>
          <w:noProof/>
        </w:rPr>
        <w:t>uzimajući u obzir mišljenje Europskoga gospodarskog i socijalnog odbora</w:t>
      </w:r>
      <w:r w:rsidRPr="00A96D00">
        <w:rPr>
          <w:rStyle w:val="FootnoteReference"/>
          <w:noProof/>
        </w:rPr>
        <w:footnoteReference w:id="28"/>
      </w:r>
      <w:r w:rsidRPr="00A96D00">
        <w:rPr>
          <w:noProof/>
        </w:rPr>
        <w:t xml:space="preserve">, </w:t>
      </w:r>
    </w:p>
    <w:p w14:paraId="04F0C82E" w14:textId="77777777" w:rsidR="00977CF6" w:rsidRPr="00A96D00" w:rsidRDefault="00977CF6" w:rsidP="00977CF6">
      <w:pPr>
        <w:rPr>
          <w:noProof/>
        </w:rPr>
      </w:pPr>
      <w:r w:rsidRPr="00A96D00">
        <w:rPr>
          <w:noProof/>
        </w:rPr>
        <w:t>u skladu s posebnim zakonodavnim postupkom,</w:t>
      </w:r>
    </w:p>
    <w:p w14:paraId="243C3373" w14:textId="77777777" w:rsidR="00977CF6" w:rsidRPr="00A96D00" w:rsidRDefault="00977CF6" w:rsidP="00977CF6">
      <w:pPr>
        <w:rPr>
          <w:noProof/>
        </w:rPr>
      </w:pPr>
      <w:r w:rsidRPr="00A96D00">
        <w:rPr>
          <w:noProof/>
        </w:rPr>
        <w:t xml:space="preserve">budući da: </w:t>
      </w:r>
    </w:p>
    <w:p w14:paraId="348E9919" w14:textId="77777777" w:rsidR="002B1027" w:rsidRPr="00A96D00" w:rsidRDefault="00282923" w:rsidP="00282923">
      <w:pPr>
        <w:pStyle w:val="ManualConsidrant"/>
        <w:rPr>
          <w:noProof/>
        </w:rPr>
      </w:pPr>
      <w:r w:rsidRPr="00A96D00">
        <w:rPr>
          <w:noProof/>
        </w:rPr>
        <w:t>(1)</w:t>
      </w:r>
      <w:r w:rsidRPr="00A96D00">
        <w:rPr>
          <w:noProof/>
        </w:rPr>
        <w:tab/>
        <w:t xml:space="preserve">Osiguravanje pravednog oporezivanja na unutarnjem tržištu i dobro funkcioniranje unije tržišta kapitala politički su prioriteti Europske unije (EU). U tom je kontekstu presudno uklanjanje prepreka prekograničnim ulaganjima, uz istodobno suzbijanje poreznih prijevara i zlouporaba. Takve prepreke postoje, na primjer, zbog neučinkovitih i nerazmjerno opterećujućih postupaka za nerezidentne ulagače koji traže oslobođenje od preplaćenog poreza po odbitku na dividende ili kamate isplaćene na dionice ili obveznice kojima se trguje na burzi. Osim toga, </w:t>
      </w:r>
      <w:r w:rsidRPr="00A96D00">
        <w:rPr>
          <w:i/>
          <w:iCs/>
          <w:noProof/>
        </w:rPr>
        <w:t>status quo</w:t>
      </w:r>
      <w:r w:rsidRPr="00A96D00">
        <w:rPr>
          <w:noProof/>
        </w:rPr>
        <w:t xml:space="preserve"> se pokazao neprimjerenim u sprečavanju stalnih rizika od porezne prijevare, utaje poreza i izbjegavanja plaćanja poreza, što je vidljivo iz nedavnih skandala Cum/Ex i Cum/Cum. Ovim se prijedlogom nastoji povećati učinkovitost postupaka oporezivanja po odbitku u EU-u i istodobno ih ojačati u odnosu na rizik od porezne prijevare i zlouporabe. Prijedlog se temelji na relevantnim prethodnim mjerama na razini EU-a i međunarodnoj razini, kao što su Preporuka Komisije iz 2009. o pojednostavnjenju postupaka oporezivanja po odbitku i inicijativa OECD-a za ugovorna oslobođenja i poboljšanje usklađenosti (TRACE)</w:t>
      </w:r>
      <w:r w:rsidRPr="00A96D00">
        <w:rPr>
          <w:rStyle w:val="FootnoteReference"/>
          <w:noProof/>
        </w:rPr>
        <w:footnoteReference w:id="29"/>
      </w:r>
      <w:r w:rsidRPr="00A96D00">
        <w:rPr>
          <w:noProof/>
        </w:rPr>
        <w:t>.</w:t>
      </w:r>
    </w:p>
    <w:p w14:paraId="5D941126" w14:textId="77777777" w:rsidR="000C240F" w:rsidRPr="00A96D00" w:rsidRDefault="00282923" w:rsidP="00282923">
      <w:pPr>
        <w:pStyle w:val="ManualConsidrant"/>
        <w:rPr>
          <w:noProof/>
        </w:rPr>
      </w:pPr>
      <w:r w:rsidRPr="00A96D00">
        <w:rPr>
          <w:noProof/>
        </w:rPr>
        <w:t>(2)</w:t>
      </w:r>
      <w:r w:rsidRPr="00A96D00">
        <w:rPr>
          <w:noProof/>
        </w:rPr>
        <w:tab/>
        <w:t xml:space="preserve">Kako bi se ojačala sposobnost država članica za sprečavanje i borbu protiv potencijalnih prijevara ili zlouporaba, koja je trenutačno ograničena zbog rascjepkanosti i općeg nedostatka pouzdanih i pravodobnih informacija o ulagačima, potrebno je uspostaviti zajednički okvir za oslobođenje od preplaćenog poreza po odbitku na prekogranična ulaganja u vrijednosne papire, koji je otporan na rizik od porezne prijevare ili zlouporabe. Taj bi okvir trebao dovesti do konvergencije različitih postupaka za oslobođenje koji se primjenjuju u EU-u, uz istodobno osiguravanje transparentnosti i jasnoće u pogledu identiteta ulagača za izdavatelje vrijednosnih papira, zastupnike za porez po odbitku, financijske posrednike i države članice, ovisno o slučaju. U tu bi se svrhu okvir trebao oslanjati na automatizirane postupke kao što je digitalizacija potvrde o poreznoj rezidentnosti (u smislu postupka i oblika), što je preduvjet kako bi ulagači imali pristup svim postupcima za oslobođenje ili povrat. Takav bi okvir ujedno trebao biti dovoljno fleksibilan kako bi se na odgovarajući način uzeli u obzir različiti sustavi koji se primjenjuju u različitim državama članicama, uz istodobno osiguravanje veće konvergencije i pružanje odgovarajućih instrumenata za borbu protiv zlouporabe kako bi se ublažili rizici od porezne prijevare, utaje i izbjegavanja plaćanja poreza. </w:t>
      </w:r>
    </w:p>
    <w:p w14:paraId="1462BA12" w14:textId="77777777" w:rsidR="002B75A3" w:rsidRPr="00A96D00" w:rsidRDefault="00282923" w:rsidP="00282923">
      <w:pPr>
        <w:pStyle w:val="ManualConsidrant"/>
        <w:rPr>
          <w:noProof/>
        </w:rPr>
      </w:pPr>
      <w:r w:rsidRPr="00A96D00">
        <w:rPr>
          <w:noProof/>
        </w:rPr>
        <w:t>(3)</w:t>
      </w:r>
      <w:r w:rsidRPr="00A96D00">
        <w:rPr>
          <w:noProof/>
        </w:rPr>
        <w:tab/>
        <w:t xml:space="preserve">Kako bi se osigurao razmjeran pristup, pravila o postupcima za oslobođenje od preplaćenog poreza po odbitku trebala bi biti obvezujuća samo za one države članice koje ubiru porez po odbitku na dividende po različitim stopama ovisno o poreznoj rezidentnosti određenog ulagača. U tom slučaju države članice trebaju pružiti oslobođenje ako primjenjuju više stope u situaciji u kojoj se može primijeniti niža stopa. Države članice bi usto trebale imati mogućnost provedbe sličnih postupaka u vezi s isplatama kamata nerezidentima na ime obveznica kojima se trguje na burzi kako bi se poboljšala učinkovitost relevantnog postupka oslobođenja i osigurala viša razina usklađenosti poreznih obveznika. Države članice kojima nisu potrebni postupci za oslobođenje od preplaćenog poreza po odbitku na dividende i kamate, ovisno o slučaju, nisu obuhvaćene postupcima utvrđenima u ovoj Direktivi pa stoga nisu obvezane tim pravilima. S obzirom na to da se ulagači mogu nalaziti u bilo kojoj državi članici, pravila za zajedničku i digitalnu potvrdu o poreznoj rezidentnosti trebala bi se primjenjivati u svim državama članicama, a isto vrijedi i za opće i završne odredbe. </w:t>
      </w:r>
    </w:p>
    <w:p w14:paraId="2A890128" w14:textId="77777777" w:rsidR="002B75A3" w:rsidRPr="00A96D00" w:rsidRDefault="00282923" w:rsidP="00282923">
      <w:pPr>
        <w:pStyle w:val="ManualConsidrant"/>
        <w:rPr>
          <w:noProof/>
        </w:rPr>
      </w:pPr>
      <w:r w:rsidRPr="00A96D00">
        <w:rPr>
          <w:noProof/>
        </w:rPr>
        <w:t>(4)</w:t>
      </w:r>
      <w:r w:rsidRPr="00A96D00">
        <w:rPr>
          <w:noProof/>
        </w:rPr>
        <w:tab/>
        <w:t xml:space="preserve">Kako bi se osiguralo da svi porezni obveznici u EU-u imaju pristup zajedničkom, primjerenom i djelotvornom dokazu o svojoj rezidentnosti u porezne svrhe, države članice trebale bi primjenjivati automatizirane postupke za izdavanje potvrda o poreznoj rezidentnosti u istom prepoznatljivom i prihvatljivom digitalnom obliku i s istim sadržajem. Kako bi se omogućila veća učinkovitost, potvrda bi trebala vrijediti barem za cijelu godinu tijekom koje je izdana te biti priznata u drugim državama članicama. Države članice mogu opozvati izdani eTRC ako porezna uprava ima dokaze o suprotnoj situaciji odnosu na poreznu rezidentnost za tu godinu. Kako bi se omogućila učinkovita identifikacija poduzeća iz EU-a, potvrda bi trebala sadržavati informacije o europskom jedinstvenom identifikatoru društva (EUID). </w:t>
      </w:r>
    </w:p>
    <w:p w14:paraId="64FE3358" w14:textId="77777777" w:rsidR="0061507A" w:rsidRPr="00A96D00" w:rsidRDefault="00282923" w:rsidP="00282923">
      <w:pPr>
        <w:pStyle w:val="ManualConsidrant"/>
        <w:rPr>
          <w:noProof/>
        </w:rPr>
      </w:pPr>
      <w:r w:rsidRPr="00A96D00">
        <w:rPr>
          <w:noProof/>
        </w:rPr>
        <w:t>(5)</w:t>
      </w:r>
      <w:r w:rsidRPr="00A96D00">
        <w:rPr>
          <w:noProof/>
        </w:rPr>
        <w:tab/>
        <w:t>Kako bi se ostvario cilj učinkovitijeg oslobođenja od preplaćenog poreza po odbitku, trebalo bi uvesti zajedničke postupke kojima se omogućuje brzo dobivanje jasnih i sigurnih informacija o identitetu ulagača, posebno u slučaju velikih baza ulagača, tj. u vezi s ulaganjem u vrijednosne papire kojima se trguje na burzi, kada je utvrđivanje identiteta pojedinačnih ulagača otežano. Kao drugi korak, takvi bi postupci trebali omogućiti i primjenu odgovarajuće porezne stope u trenutku plaćanja (oslobođenje na izvoru) ili brz povrat preplaćenog poreza. S obzirom na to da prekogranična ulaganja obično uključuju lanac plaćanja financijskih posrednika, relevantni postupci trebali bi isto tako omogućiti praćenje i identifikaciju lanca posrednika, a time i prihoda od izdavatelja vrijednosnog papira do krajnjeg primatelja, tj. jedinog ulagača ili registriranog vlasnika. Relevantne države članice, tj. one koje primjenjuju porez po odbitku na prihod od vrijednosnih papira i pružaju oslobođenje za preplaćeni porez, trebale bi stoga uspostaviti i voditi nacionalni registar financijskih posrednika koji imaju značajnu ulogu u lancu plaćanja te od njih zahtijevati da nakon upisa u registar dostavljaju informacije koje su im dostupne o isplatama dividendi ili kamata koje obrađuju, ako je primjenjivo. Tražene informacije trebale bi biti ograničene na informacije koje su presudne za rekonstrukciju lanca plaćanja i korisne za sprečavanje rizika od prijevare ili zlouporabe, u mjeri u kojoj su takve informacije dostupne posredniku koji provodi izvješćivanje. Države članice koje primjenjuju porez po odbitku na kamate po različitim stopama i koje moraju sudjelovati u sličnim postupcima za oslobođenje također mogu razmotriti upotrebu uspostavljenog nacionalnog registra, ovisno o slučaju.</w:t>
      </w:r>
    </w:p>
    <w:p w14:paraId="0704B2AE" w14:textId="57741987" w:rsidR="00105E8D" w:rsidRPr="00A96D00" w:rsidRDefault="00282923" w:rsidP="00282923">
      <w:pPr>
        <w:pStyle w:val="ManualConsidrant"/>
        <w:rPr>
          <w:noProof/>
        </w:rPr>
      </w:pPr>
      <w:r w:rsidRPr="00A96D00">
        <w:rPr>
          <w:noProof/>
        </w:rPr>
        <w:t>(6)</w:t>
      </w:r>
      <w:r w:rsidRPr="00A96D00">
        <w:rPr>
          <w:noProof/>
        </w:rPr>
        <w:tab/>
        <w:t>Budući da su financijski posrednici u lancima plaćanja vrijednosnih papira najčešće velike institucije kako su definirane u Uredbi o kapitalnim zahtjevima</w:t>
      </w:r>
      <w:r w:rsidRPr="00A96D00">
        <w:rPr>
          <w:rStyle w:val="FootnoteReference"/>
          <w:noProof/>
        </w:rPr>
        <w:footnoteReference w:id="30"/>
      </w:r>
      <w:r w:rsidRPr="00A96D00">
        <w:rPr>
          <w:noProof/>
        </w:rPr>
        <w:t xml:space="preserve"> i središnji depozitoriji vrijednosnih papira koji pružaju usluge zastupnika za porez po odbitku, ti bi subjekti trebali biti obvezni zatražiti upis u prethodno navedene nacionalne registre država članica. Ostalim financijskim posrednicima trebalo bi omogućiti slobodan izbor u odnosu na upis u registar. Sam financijski posrednik trebao bi zatražiti upis u registar podnošenjem zahtjeva nadležnom tijelu koje je imenovala država članica i uz zahtjev priložiti dokaze da financijski posrednik ispunjava određene zahtjeve. Svrha je zahtjeva provjeriti </w:t>
      </w:r>
      <w:r w:rsidRPr="00A96D00">
        <w:rPr>
          <w:rStyle w:val="normaltextrun"/>
          <w:noProof/>
          <w:shd w:val="clear" w:color="auto" w:fill="FFFFFF"/>
        </w:rPr>
        <w:t>ispunjava li posrednik koji podnosi zahtjev zahtjeve relevantnih</w:t>
      </w:r>
      <w:r w:rsidRPr="00A96D00">
        <w:rPr>
          <w:rStyle w:val="normaltextrun"/>
          <w:noProof/>
          <w:color w:val="D13438"/>
          <w:shd w:val="clear" w:color="auto" w:fill="FFFFFF"/>
        </w:rPr>
        <w:t xml:space="preserve"> </w:t>
      </w:r>
      <w:r w:rsidRPr="00A96D00">
        <w:rPr>
          <w:noProof/>
        </w:rPr>
        <w:t>propisa EU-a i nadzire li se njegova usklađenost s tim propisima. Ako financijski posrednik ima poslovni nastan izvan EU-a, mora ispunjavati odredbe zakonodavstva treće zemlje rezidentnosti koje su usporedive za potrebe ove Direktive, a treća zemlja rezidentnosti ujedno nije navedena u Prilogu I. EU-ova popisa nekooperativnih jurisdikcija ni na EU-ovu popisu visokorizičnih trećih zemalja (popis za borbu protiv pranja novca). Usklađenost financijskog posrednika iz treće zemlje s relevantnim zahtjevima EU-a odnosi se isključivo na svrhe utvrđene u ovoj Direktivi i ne utječe na ostvarivanje ili primjenu bilo kojih drugih prava i obveza na temelju drugog zakonodavstva EU-a. Nakon što se registriraju, financijski posrednici trebali bi se smatrati „ovlaštenim financijskim posrednicima” u predmetnoj državi članici i podlijegati relevantnim obvezama izvješćivanja i dostavljanja informacija u skladu s ovom Direktivom te bi im se trebalo dodijeliti pravo da zatraže primjenu postupaka za oslobođenje utvrđenih u ovoj Direktivi. Države članice koje vode nacionalni registar također bi trebale poduzeti mjere kako bi iz njega izbrisale svakog ovlaštenog financijskog posrednika koji to zatraži ili koji više ne ispunjava odgovarajuće zahtjeve. Nadalje, te države članice mogu odlučiti da iz svojih nacionalnih registara izbrišu ovlaštene financijske posrednike za koje je utvrđeno da su višekratno prekršili svoje obveze. Ako država članica poduzme takvu mjeru brisanja, trebala bi o tome obavijestiti druge države članice koje vode nacionalni registar kako bi mogle razmotriti brisanje istog ovlaštenog financijskog posrednika iz vlastitog nacionalnog registra. Nacionalno zakonodavstvo predmetnih država članica primjenjuje se na prava i obveze predmetnih stranaka, uključujući i one koje se odnose na mogućnost žalbe u odnosu na sve odluke koje donese država članica u vezi s upisom u registar i brisanjem iz njihova nacionalnog registra.</w:t>
      </w:r>
    </w:p>
    <w:p w14:paraId="5A476C6A" w14:textId="77777777" w:rsidR="00D0444B" w:rsidRPr="00A96D00" w:rsidRDefault="00282923" w:rsidP="00282923">
      <w:pPr>
        <w:pStyle w:val="ManualConsidrant"/>
        <w:rPr>
          <w:noProof/>
        </w:rPr>
      </w:pPr>
      <w:r w:rsidRPr="00A96D00">
        <w:rPr>
          <w:noProof/>
        </w:rPr>
        <w:t>(7)</w:t>
      </w:r>
      <w:r w:rsidRPr="00A96D00">
        <w:rPr>
          <w:noProof/>
        </w:rPr>
        <w:tab/>
        <w:t>Kako bi se osigurala veća transparentnost u pogledu identiteta i okolnosti ulagača koji prima isplate dividende ili kamate te tijeka isplate od izdavatelja, ovlašteni financijski posrednici trebali bi u određenom roku izvijestiti tijelo imenovano za vođenje nacionalnog registra o relevantnom skupu informacija. Ako je moguće oslobođenje na izvoru, te bi informacije trebalo dostaviti i zastupniku za porez po odbitku. Ti bi podaci trebali uključivati informacije o prihvatljivosti predmetnog ulagača, ali bi trebali biti ograničeni na informacije koje su dostupne ovlaštenom financijskom posredniku koji provodi izvješćivanje. Financijski posrednici koji nisu obvezni registrirati se kao ovlašteni financijski posrednici i odlučili su ne registrirati se kao takvi ne podliježu obvezama izvješćivanja u skladu s ovom Direktivom. Međutim, informacije o plaćanjima koja obrađuju takvi posrednici koji nisu ovlašteni financijski posrednici i dalje su relevantne pa ih država članica može prema vlastitoj procjeni smatrati potrebnima kako bi se osigurala transparentnost i omogućila odgovarajuća rekonstrukcija lanca plaćanja prije primjene postupaka oslobođenja utvrđenih u ovoj Direktivi (oslobođenje na izvoru ili brzi povrat). Stoga države članice mogu zatražiti da ovlašteni financijski posrednici pribave te informacije od takvih posrednika i o tome izvješćuju kako bi se primjenjivali postupci za oslobođenje utvrđeni u ovoj Direktivi.</w:t>
      </w:r>
    </w:p>
    <w:p w14:paraId="011708FC" w14:textId="0DDC5C6A" w:rsidR="00AD6ED5" w:rsidRPr="00A96D00" w:rsidRDefault="00282923" w:rsidP="00282923">
      <w:pPr>
        <w:pStyle w:val="ManualConsidrant"/>
        <w:rPr>
          <w:noProof/>
        </w:rPr>
      </w:pPr>
      <w:r w:rsidRPr="00A96D00">
        <w:rPr>
          <w:noProof/>
        </w:rPr>
        <w:t>(8)</w:t>
      </w:r>
      <w:r w:rsidRPr="00A96D00">
        <w:rPr>
          <w:noProof/>
        </w:rPr>
        <w:tab/>
        <w:t>Kako bi unija tržišta kapitala postala djelotvornija i konkurentnija, trebalo bi olakšati i ubrzati postupke za oslobođenje od preplaćenog poreza po odbitku na prihod od vrijednosnih papira ako su relevantni ovlašteni financijski posrednici dostavili relevantne informacije, među ostalim o identitetu ulagača. Relevantni ovlašteni financijski posrednici su svi ovlašteni financijski posrednici u lancu plaćanja između ulagača i izdavatelja vrijednosnih papira od kojih bi se moglo zahtijevati da dostave i informacije o plaćanjima koja su u lancu izvršili financijski posrednici koji nisu ovlašteni, u skladu s odlukom pojedinačne države članice. Uzimajući u obzir različite pristupe u državama članicama, predviđene su dvije vrste postupaka: i. oslobođenje na izvoru izravnom primjenom odgovarajuće porezne stope u trenutku zadržavanja te ii. brzi povrat u roku od najviše 50 dana od datuma isplate dividende ili, ovisno o slučaju, datuma na koji izdavatelj obveznice mora platiti kamatu imatelju obveznice (datum isplate kupona). Države članice trebale bi imati slobodu uvođenja bilo kojeg od ta dva postupka ili njihove kombinacije, kako smatraju primjerenim, istodobno osiguravajući da je barem jedan postupak dostupan svim ulagačima ako su ispunjeni zahtjevi ove Direktive. Kako bi se osigurala pravilna i pravodobna provedba tih postupaka u predmetnim državama članicama, primjereno je primijeniti kamate na zakašnjele povrate preplaćenog poreza po odbitku koji su obuhvaćeni ovom Direktivom i koji ispunjavaju uvjete za ostvarivanje koristi od tih postupaka. Ako relevantni zahtjevi nisu ispunjeni ili predmetni ulagač to želi, države članice trebale bi primijeniti svoje postojeće standardne postupke povrata kako bi se ostvarilo oslobođenje od preplaćenog poreza po odbitku. U svakom slučaju, registrirani vlasnici, posebno mali ulagači i njihovi ovlašteni predstavnici trebali bi zadržati pravo na povrat preplaćenog poreza po odbitku plaćenog u državi članici ako dostave dokaz o ispunjavanju uvjeta utvrđenih nacionalnim pravom.</w:t>
      </w:r>
    </w:p>
    <w:p w14:paraId="6BC0634B" w14:textId="77777777" w:rsidR="002B75A3" w:rsidRPr="00A96D00" w:rsidRDefault="00282923" w:rsidP="00282923">
      <w:pPr>
        <w:pStyle w:val="ManualConsidrant"/>
        <w:rPr>
          <w:noProof/>
        </w:rPr>
      </w:pPr>
      <w:r w:rsidRPr="00A96D00">
        <w:rPr>
          <w:noProof/>
        </w:rPr>
        <w:t>(9)</w:t>
      </w:r>
      <w:r w:rsidRPr="00A96D00">
        <w:rPr>
          <w:noProof/>
        </w:rPr>
        <w:tab/>
        <w:t>Kako bi se zaštitili sustavi za oslobođenje od preplaćenog poreza po odbitku, države članice koje vode nacionalni registar trebale bi od ovlaštenih financijskih posrednika zahtijevati i da provjere prihvatljivost ulagača koji žele zatražiti oslobođenje. Konkretno, ovlašteni financijski posrednici trebali bi pribaviti potvrdu o poreznoj rezidentnosti relevantnog ulagača i izjavu da je takav ulagač stvarni primatelj plaćanja u skladu sa zakonodavstvom države članice izvora. Također bi trebali provjeriti primjenjivu stopu poreza po odbitku na temelju posebnih okolnosti ulagača i navesti jesu li upoznati s bilo kojim financijskim aranžmanom</w:t>
      </w:r>
      <w:r w:rsidRPr="00A96D00">
        <w:rPr>
          <w:noProof/>
          <w:color w:val="000000" w:themeColor="text1"/>
        </w:rPr>
        <w:t xml:space="preserve"> koji uključuje </w:t>
      </w:r>
      <w:r w:rsidRPr="00A96D00">
        <w:rPr>
          <w:noProof/>
        </w:rPr>
        <w:t>predmetne vrijednosne papire i koji na datum prestanka prava na dividende nije namiren, istekao je ili je na drugi način raskinut. Ovlašteni financijski posrednici trebali bi se smatrati odgovornima za gubitke poreznih prihoda nastale zbog neodgovarajućeg ispunjavanja tih obveza, u mjeri u kojoj je to predviđeno nacionalnim pravom države članice u kojoj je nastao gubitak. Kako bi se osigurala proporcionalnost opterećenja i odgovornosti za ovlaštene financijske posrednike, smanjene obveze provjere trebale bi se primjenjivati na sve postupke oslobođenja ako je rizik od zlouporabe nizak, a posebno ako je ukupni iznos dividende isplaćene ulagaču za udio u društvu manji od 1 000 EUR. Ako se zlouporaba dokaže na drugi način, države članice ipak mogu izreći sankcije u skladu s nacionalnim pravom, uključujući uskraćivanje sustava oslobođenja predviđenih ovom Direktivom, ali ne mogu smatrati ovlaštene financijske posrednike odgovornima za izostanak provjere.</w:t>
      </w:r>
    </w:p>
    <w:p w14:paraId="4EAE137B" w14:textId="50A90538" w:rsidR="006E3E2B" w:rsidRPr="00A96D00" w:rsidRDefault="00282923" w:rsidP="00282923">
      <w:pPr>
        <w:pStyle w:val="ManualConsidrant"/>
        <w:rPr>
          <w:noProof/>
        </w:rPr>
      </w:pPr>
      <w:r w:rsidRPr="00A96D00">
        <w:rPr>
          <w:noProof/>
        </w:rPr>
        <w:t>(10)</w:t>
      </w:r>
      <w:r w:rsidRPr="00A96D00">
        <w:rPr>
          <w:noProof/>
        </w:rPr>
        <w:tab/>
        <w:t>Uvažava se da se financijski aranžmani mogu koristiti za premještanje ekonomskog vlasništva, u cijelosti ili djelomično, vrijednosnih papira i/ili relevantnih rizika ulaganja. Dokazano je i da su se takvi mehanizmi upotrebljavali u dividendnoj arbitraži i mehanizmima smanjenja dividendi, kao što su Cum/Ex i Cum/Cum, isključivo u svrhu dobivanja povrata kada na njih nema prava ili povećanja iznosa povrata na koji je ulagač stvarno imao pravo. Informacije o takvim financijskim aranžmanima, koji obuhvaćaju uobičajene legitimne transakcije vrijednosnim papirima kao što su ugovori o ponovnoj kupnji ili pozajmljivanju vrijednosnih papira, kao i izvedene proizvode kao što su budućnosnice s jednom dionicom, stoga su potrebne poreznim upravama radi suzbijanja poreznih zlouporaba. Kako bi se osigurao razmjeran pristup, izvješćivanje tih informacija trebalo bi biti obvezno samo za ovlaštene financijske posrednike koji su zbog svojeg položaja u lancu možda bili izravno uključeni u relevantni financijski aranžman. Takvo izvješćivanje nije obvezno za isplate kamata na obveznice.</w:t>
      </w:r>
    </w:p>
    <w:p w14:paraId="072E35F8" w14:textId="77777777" w:rsidR="00771E52" w:rsidRPr="00A96D00" w:rsidRDefault="00282923" w:rsidP="00282923">
      <w:pPr>
        <w:pStyle w:val="ManualConsidrant"/>
        <w:rPr>
          <w:noProof/>
        </w:rPr>
      </w:pPr>
      <w:r w:rsidRPr="00A96D00">
        <w:rPr>
          <w:noProof/>
        </w:rPr>
        <w:t>(11)</w:t>
      </w:r>
      <w:r w:rsidRPr="00A96D00">
        <w:rPr>
          <w:noProof/>
        </w:rPr>
        <w:tab/>
        <w:t xml:space="preserve">Kako bi se osigurala djelotvornost, države članice trebale bi uspostaviti sustav sankcija za kršenje nacionalnih pravila kojima se prenosi ova Direktiva. Takve sankcije trebali bi biti učinkovite, proporcionalne i odvraćajuće. </w:t>
      </w:r>
    </w:p>
    <w:p w14:paraId="12D92E3C" w14:textId="77777777" w:rsidR="00771E52" w:rsidRPr="00A96D00" w:rsidRDefault="00282923" w:rsidP="00282923">
      <w:pPr>
        <w:pStyle w:val="ManualConsidrant"/>
        <w:rPr>
          <w:noProof/>
        </w:rPr>
      </w:pPr>
      <w:r w:rsidRPr="00A96D00">
        <w:rPr>
          <w:noProof/>
        </w:rPr>
        <w:t>(12)</w:t>
      </w:r>
      <w:r w:rsidRPr="00A96D00">
        <w:rPr>
          <w:noProof/>
        </w:rPr>
        <w:tab/>
        <w:t xml:space="preserve">Pravilna provedba predloženih pravila u svakoj predmetnoj državi članici presudna je za promicanje unije tržišta kapitala u cjelini, kao i za zaštitu porezne osnovice država članica pa bi je stoga Komisija trebala pratiti. Države članice stoga bi Komisiji trebale redovito dostavljati informacije, utvrđene provedbenim aktom, o provedbi nacionalnih mjera donesenih u skladu s ovom Direktivom na svojem državnom području. Komisija bi trebala pripremiti evaluaciju na temelju informacija koje su dostavile države članice i drugih dostupnih podataka kako bi ocijenila djelotvornost predloženih novih pravila. U tom bi kontekstu Komisija trebala razmotriti nužnost ažuriranja pravila uvedenih ovom Direktivom. </w:t>
      </w:r>
    </w:p>
    <w:p w14:paraId="30CF5DAF" w14:textId="77777777" w:rsidR="00771E52" w:rsidRPr="00A96D00" w:rsidRDefault="00282923" w:rsidP="00282923">
      <w:pPr>
        <w:pStyle w:val="ManualConsidrant"/>
        <w:rPr>
          <w:noProof/>
        </w:rPr>
      </w:pPr>
      <w:r w:rsidRPr="00A96D00">
        <w:rPr>
          <w:noProof/>
        </w:rPr>
        <w:t>(13)</w:t>
      </w:r>
      <w:r w:rsidRPr="00A96D00">
        <w:rPr>
          <w:noProof/>
        </w:rPr>
        <w:tab/>
        <w:t>Kako bi se osigurali jedinstveni uvjeti za provedbu ove Direktive, posebno za i. digitalnu potvrdu o poreznoj rezidentnosti, ii. izvješćivanje koje provode financijski posrednici te iii. zahtjev za oslobođenje na temelju ove Direktive, Komisiji bi trebalo dodijeliti provedbene ovlasti za donošenje standardnih obrazaca s ograničenim brojem elemenata, uključujući odredbe o jeziku. Te bi ovlasti trebalo izvršavati u skladu s Uredbom (EU) br. 182/2011 Europskog parlamenta i Vijeća</w:t>
      </w:r>
      <w:r w:rsidRPr="00A96D00">
        <w:rPr>
          <w:rStyle w:val="FootnoteReference"/>
          <w:noProof/>
        </w:rPr>
        <w:footnoteReference w:id="31"/>
      </w:r>
      <w:r w:rsidRPr="00A96D00">
        <w:rPr>
          <w:noProof/>
        </w:rPr>
        <w:t xml:space="preserve">.  </w:t>
      </w:r>
    </w:p>
    <w:p w14:paraId="1E49CAA8" w14:textId="77777777" w:rsidR="00771E52" w:rsidRPr="00A96D00" w:rsidRDefault="00282923" w:rsidP="00282923">
      <w:pPr>
        <w:pStyle w:val="ManualConsidrant"/>
        <w:rPr>
          <w:noProof/>
        </w:rPr>
      </w:pPr>
      <w:r w:rsidRPr="00A96D00">
        <w:rPr>
          <w:noProof/>
        </w:rPr>
        <w:t>(14)</w:t>
      </w:r>
      <w:r w:rsidRPr="00A96D00">
        <w:rPr>
          <w:noProof/>
        </w:rPr>
        <w:tab/>
        <w:t>Svaka obrada osobnih podataka koja se provodi u okviru ove Direktive trebala bi biti u skladu s Uredbom (EU) 2016/679 Europskog parlamenta i Vijeća</w:t>
      </w:r>
      <w:r w:rsidRPr="00A96D00">
        <w:rPr>
          <w:rStyle w:val="FootnoteReference"/>
          <w:noProof/>
        </w:rPr>
        <w:footnoteReference w:id="32"/>
      </w:r>
      <w:r w:rsidRPr="00A96D00">
        <w:rPr>
          <w:noProof/>
        </w:rPr>
        <w:t xml:space="preserve">. Financijski posrednici i države članice smiju obrađivati osobne podatke na temelju ove Direktive isključivo radi očuvanja općeg javnog interesa, odnosno u svrhu borbe protiv porezne prijevare, utaje poreza i izbjegavanja plaćanja poreza, zaštite poreznih prihoda i promicanja pravednog oporezivanja, čime se jačaju mogućnosti za socijalnu, političku i gospodarsku uključenost u državama članicama. Kako bi se taj cilj uspješno ostvario potrebno je ograničiti određena prava pojedinaca predviđena navedenom uredbom, posebno pravo na obavješćivanje o obradi njihovih podataka i opsegu te obrade, kao i pravo na privolu za određene vrste obrade podataka.  </w:t>
      </w:r>
    </w:p>
    <w:p w14:paraId="0FF05ED5" w14:textId="77777777" w:rsidR="00552C80" w:rsidRPr="00A96D00" w:rsidRDefault="00282923" w:rsidP="00282923">
      <w:pPr>
        <w:pStyle w:val="ManualConsidrant"/>
        <w:rPr>
          <w:noProof/>
        </w:rPr>
      </w:pPr>
      <w:r w:rsidRPr="00A96D00">
        <w:rPr>
          <w:noProof/>
        </w:rPr>
        <w:t>(15)</w:t>
      </w:r>
      <w:r w:rsidRPr="00A96D00">
        <w:rPr>
          <w:noProof/>
        </w:rPr>
        <w:tab/>
        <w:t xml:space="preserve">S obzirom na to da cilj ove Direktive ne mogu dostatno ostvariti države članice, nego se zbog prekogranične prirode predmetnih transakcija i potrebe za smanjenjem troškova usklađivanja na unutarnjem tržištu u cjelini on na bolji način može ostvariti na razini Unije, Unija može donijeti mjere u skladu s načelom supsidijarnosti utvrđenim u članku 5. Ugovora o Europskoj uniji. U skladu s načelom proporcionalnosti utvrđenim u tom članku, ova Direktiva ne prelazi ono što je potrebno za ostvarivanje tog cilja. </w:t>
      </w:r>
    </w:p>
    <w:p w14:paraId="1372D604" w14:textId="77777777" w:rsidR="00771E52" w:rsidRPr="00A96D00" w:rsidRDefault="00552C80" w:rsidP="00282923">
      <w:pPr>
        <w:pStyle w:val="ManualConsidrant"/>
        <w:rPr>
          <w:noProof/>
        </w:rPr>
      </w:pPr>
      <w:r w:rsidRPr="00A96D00">
        <w:rPr>
          <w:noProof/>
        </w:rPr>
        <w:t xml:space="preserve">(16) </w:t>
      </w:r>
      <w:r w:rsidRPr="00A96D00">
        <w:rPr>
          <w:noProof/>
        </w:rPr>
        <w:tab/>
        <w:t>Provedeno je savjetovanje s Europskim nadzornikom za zaštitu podataka u skladu s člankom 42. Uredbe (EU) 2018/1725 Europskog parlamenta i Vijeća</w:t>
      </w:r>
      <w:r w:rsidRPr="00A96D00">
        <w:rPr>
          <w:rStyle w:val="FootnoteReference"/>
          <w:noProof/>
        </w:rPr>
        <w:footnoteReference w:id="33"/>
      </w:r>
      <w:r w:rsidRPr="00A96D00">
        <w:rPr>
          <w:noProof/>
        </w:rPr>
        <w:t xml:space="preserve">,  </w:t>
      </w:r>
    </w:p>
    <w:p w14:paraId="3789199E" w14:textId="77777777" w:rsidR="00977CF6" w:rsidRPr="00A96D00" w:rsidRDefault="00977CF6" w:rsidP="000430BD">
      <w:pPr>
        <w:pStyle w:val="Formuledadoption"/>
        <w:rPr>
          <w:noProof/>
        </w:rPr>
      </w:pPr>
      <w:r w:rsidRPr="00A96D00">
        <w:rPr>
          <w:noProof/>
        </w:rPr>
        <w:t>DONIJELO JE OVU DIREKTIVU:</w:t>
      </w:r>
    </w:p>
    <w:p w14:paraId="21A884C9" w14:textId="77777777" w:rsidR="00977CF6" w:rsidRPr="00A96D00" w:rsidRDefault="00977CF6" w:rsidP="00977CF6">
      <w:pPr>
        <w:jc w:val="center"/>
        <w:rPr>
          <w:b/>
          <w:bCs/>
          <w:i/>
          <w:noProof/>
        </w:rPr>
      </w:pPr>
      <w:r w:rsidRPr="00A96D00">
        <w:rPr>
          <w:b/>
          <w:noProof/>
        </w:rPr>
        <w:t>POGLAVLJE I.</w:t>
      </w:r>
    </w:p>
    <w:p w14:paraId="58FAEA4F" w14:textId="77777777" w:rsidR="00977CF6" w:rsidRPr="00A96D00" w:rsidRDefault="00977CF6" w:rsidP="00977CF6">
      <w:pPr>
        <w:jc w:val="center"/>
        <w:rPr>
          <w:b/>
          <w:bCs/>
          <w:noProof/>
        </w:rPr>
      </w:pPr>
      <w:r w:rsidRPr="00A96D00">
        <w:rPr>
          <w:b/>
          <w:noProof/>
        </w:rPr>
        <w:t>OPĆE ODREDBE</w:t>
      </w:r>
    </w:p>
    <w:p w14:paraId="2CFBC9FE" w14:textId="77777777" w:rsidR="00977CF6" w:rsidRPr="00A96D00" w:rsidRDefault="00977CF6" w:rsidP="000430BD">
      <w:pPr>
        <w:pStyle w:val="Titrearticle"/>
        <w:rPr>
          <w:b/>
          <w:bCs/>
          <w:i w:val="0"/>
          <w:iCs/>
          <w:noProof/>
        </w:rPr>
      </w:pPr>
      <w:bookmarkStart w:id="2" w:name="_Hlk132965149"/>
      <w:r w:rsidRPr="00A96D00">
        <w:rPr>
          <w:noProof/>
        </w:rPr>
        <w:t xml:space="preserve">Članak 1. </w:t>
      </w:r>
      <w:r w:rsidRPr="00A96D00">
        <w:rPr>
          <w:noProof/>
        </w:rPr>
        <w:br/>
      </w:r>
      <w:r w:rsidRPr="00A96D00">
        <w:rPr>
          <w:b/>
          <w:i w:val="0"/>
          <w:noProof/>
        </w:rPr>
        <w:t>Predmet</w:t>
      </w:r>
    </w:p>
    <w:bookmarkEnd w:id="2"/>
    <w:p w14:paraId="5280E153" w14:textId="77777777" w:rsidR="001956AF" w:rsidRPr="00A96D00" w:rsidRDefault="001956AF" w:rsidP="001956AF">
      <w:pPr>
        <w:rPr>
          <w:noProof/>
        </w:rPr>
      </w:pPr>
      <w:r w:rsidRPr="00A96D00">
        <w:rPr>
          <w:noProof/>
        </w:rPr>
        <w:t>Ovom se Direktivom utvrđuju pravila o izdavanju digitalne potvrde o poreznoj rezidentnosti koju izdaje država članica i postupku oslobođenja za preplaćeni porez po odbitku koji država članica može odbiti u odnosu na dividendu od dionica kojima se trguje na burzi i, ako je primjenjivo, kamatu od obveznica kojima se trguje na burzi, isplaćenu registriranim vlasnicima koji za porezne svrhe nisu rezidenti te države članice.</w:t>
      </w:r>
    </w:p>
    <w:p w14:paraId="35511501" w14:textId="77777777" w:rsidR="00AE45C7" w:rsidRPr="00A96D00" w:rsidRDefault="00AE45C7" w:rsidP="00AE45C7">
      <w:pPr>
        <w:pStyle w:val="Titrearticle"/>
        <w:rPr>
          <w:b/>
          <w:i w:val="0"/>
          <w:noProof/>
        </w:rPr>
      </w:pPr>
      <w:r w:rsidRPr="00A96D00">
        <w:rPr>
          <w:noProof/>
        </w:rPr>
        <w:t xml:space="preserve">Članak 2. </w:t>
      </w:r>
      <w:r w:rsidRPr="00A96D00">
        <w:rPr>
          <w:noProof/>
        </w:rPr>
        <w:br/>
      </w:r>
      <w:r w:rsidRPr="00A96D00">
        <w:rPr>
          <w:b/>
          <w:i w:val="0"/>
          <w:noProof/>
        </w:rPr>
        <w:t xml:space="preserve">Područje primjene </w:t>
      </w:r>
    </w:p>
    <w:p w14:paraId="029F97C4" w14:textId="77777777" w:rsidR="00DC73B0" w:rsidRPr="00A96D00" w:rsidRDefault="005443A7" w:rsidP="001956AF">
      <w:pPr>
        <w:rPr>
          <w:noProof/>
        </w:rPr>
      </w:pPr>
      <w:r w:rsidRPr="00A96D00">
        <w:rPr>
          <w:noProof/>
        </w:rPr>
        <w:t>Poglavlja I. i IV. primjenjuju se na sve države članice. Poglavlje II. primjenjuje se u svim državama članicama na sve osobe koje su rezidenti u porezne svrhe u toj poreznoj jurisdikciji.</w:t>
      </w:r>
    </w:p>
    <w:p w14:paraId="3F8DE9DC" w14:textId="13738E61" w:rsidR="005F7AA9" w:rsidRPr="00A96D00" w:rsidRDefault="00DC0DFA" w:rsidP="001956AF">
      <w:pPr>
        <w:rPr>
          <w:noProof/>
        </w:rPr>
      </w:pPr>
      <w:r w:rsidRPr="00A96D00">
        <w:rPr>
          <w:noProof/>
        </w:rPr>
        <w:t>Postupci utvrđeni u Poglavlju III. primjenjuju se na sve države članice koje omogućuju oslobođenje od preplaćenog poreza po odbitku na dividende isplaćene za dionice kojima se trguje na burzi. Države članice koje omogućuju oslobođenje od preplaćenog poreza po odbitku na dividende isplaćene na ime obveznica kojima se trguje na burzi mogu primjenjivati Poglavlje III.</w:t>
      </w:r>
    </w:p>
    <w:p w14:paraId="4251647B" w14:textId="77777777" w:rsidR="001956AF" w:rsidRPr="00A96D00" w:rsidRDefault="001956AF" w:rsidP="008A5257">
      <w:pPr>
        <w:pStyle w:val="Titrearticle"/>
        <w:rPr>
          <w:noProof/>
        </w:rPr>
      </w:pPr>
      <w:r w:rsidRPr="00A96D00">
        <w:rPr>
          <w:noProof/>
        </w:rPr>
        <w:t xml:space="preserve">Članak 3. </w:t>
      </w:r>
      <w:r w:rsidRPr="00A96D00">
        <w:rPr>
          <w:noProof/>
        </w:rPr>
        <w:br/>
      </w:r>
      <w:r w:rsidRPr="00A96D00">
        <w:rPr>
          <w:b/>
          <w:i w:val="0"/>
          <w:noProof/>
        </w:rPr>
        <w:t>Definicije</w:t>
      </w:r>
    </w:p>
    <w:p w14:paraId="47889F12" w14:textId="77777777" w:rsidR="001956AF" w:rsidRPr="00A96D00" w:rsidRDefault="001956AF" w:rsidP="008A5257">
      <w:pPr>
        <w:rPr>
          <w:noProof/>
        </w:rPr>
      </w:pPr>
      <w:r w:rsidRPr="00A96D00">
        <w:rPr>
          <w:noProof/>
        </w:rPr>
        <w:t xml:space="preserve">Za potrebe ove Direktive primjenjuju se sljedeće definicije: </w:t>
      </w:r>
    </w:p>
    <w:p w14:paraId="66FA705E" w14:textId="5EEA163F" w:rsidR="002B5330" w:rsidRPr="00A96D00" w:rsidRDefault="000305AA" w:rsidP="000305AA">
      <w:pPr>
        <w:pStyle w:val="Point0"/>
        <w:rPr>
          <w:noProof/>
        </w:rPr>
      </w:pPr>
      <w:r w:rsidRPr="000305AA">
        <w:t>(1)</w:t>
      </w:r>
      <w:r w:rsidRPr="000305AA">
        <w:tab/>
      </w:r>
      <w:r w:rsidR="002B5330" w:rsidRPr="00A96D00">
        <w:rPr>
          <w:noProof/>
        </w:rPr>
        <w:t>„preplaćeni porez po odbitku” znači razliku između iznosa poreza po odbitku koji država članica ubire za isplate dividende ili kamate na ime vrijednosnih papira nerezidentnim vlasnicima na temelju primjene opće nacionalne porezne stope i nižeg iznosa poreza po odbitku koji ta država članica primjenjuje na iste dividende ili kamate u skladu s ugovorom o izbjegavanju dvostrukog oporezivanja ili posebnog nacionalnog propisa, ovisno o tome što je mjerodavno;</w:t>
      </w:r>
    </w:p>
    <w:p w14:paraId="30B5A11D" w14:textId="1BC13A66" w:rsidR="002B5330" w:rsidRPr="00A96D00" w:rsidRDefault="000305AA" w:rsidP="000305AA">
      <w:pPr>
        <w:pStyle w:val="Point0"/>
        <w:rPr>
          <w:noProof/>
        </w:rPr>
      </w:pPr>
      <w:r w:rsidRPr="000305AA">
        <w:t>(2)</w:t>
      </w:r>
      <w:r w:rsidRPr="000305AA">
        <w:tab/>
      </w:r>
      <w:r w:rsidR="002B5330" w:rsidRPr="00A96D00">
        <w:rPr>
          <w:noProof/>
        </w:rPr>
        <w:t>„dionica kojom se trguje na burzi” znači dionica puštena u trgovanje na uređenom tržištu ili multilateralnoj trgovinskoj platformi kako su definirani u članku 4. stavcima 21. i 22. Direktive 2014/65/EU od 15. svibnja 2014.</w:t>
      </w:r>
      <w:r w:rsidR="002B5330" w:rsidRPr="00A96D00">
        <w:rPr>
          <w:rStyle w:val="FootnoteReference"/>
          <w:noProof/>
        </w:rPr>
        <w:footnoteReference w:id="34"/>
      </w:r>
      <w:r w:rsidR="002B5330" w:rsidRPr="00A96D00">
        <w:rPr>
          <w:noProof/>
        </w:rPr>
        <w:t>;</w:t>
      </w:r>
    </w:p>
    <w:p w14:paraId="42F29CA4" w14:textId="698483CD" w:rsidR="00EE72EC" w:rsidRPr="00A96D00" w:rsidRDefault="000305AA" w:rsidP="000305AA">
      <w:pPr>
        <w:pStyle w:val="Point0"/>
        <w:rPr>
          <w:noProof/>
        </w:rPr>
      </w:pPr>
      <w:r w:rsidRPr="000305AA">
        <w:t>(3)</w:t>
      </w:r>
      <w:r w:rsidRPr="000305AA">
        <w:tab/>
      </w:r>
      <w:r w:rsidR="002B5330" w:rsidRPr="00A96D00">
        <w:rPr>
          <w:noProof/>
        </w:rPr>
        <w:t xml:space="preserve">„obveznica kojom se trguje na burzi” znači obveznica puštena u trgovanje na uređenom tržištu ili multilateralnoj trgovinskoj platformi kako su definirani u članku 4. stavcima 21., 22. i 23. Direktive 2014/65/EU od 15. svibnja 2014.; </w:t>
      </w:r>
    </w:p>
    <w:p w14:paraId="707027E0" w14:textId="53AB3106" w:rsidR="002B5330" w:rsidRPr="00A96D00" w:rsidRDefault="000305AA" w:rsidP="000305AA">
      <w:pPr>
        <w:pStyle w:val="Point0"/>
        <w:rPr>
          <w:noProof/>
        </w:rPr>
      </w:pPr>
      <w:r w:rsidRPr="000305AA">
        <w:t>(4)</w:t>
      </w:r>
      <w:r w:rsidRPr="000305AA">
        <w:tab/>
      </w:r>
      <w:r w:rsidR="002B5330" w:rsidRPr="00A96D00">
        <w:rPr>
          <w:noProof/>
        </w:rPr>
        <w:t>„financijski posrednik” znači središnji depozitorij vrijednosnih papira kako je definirano u članku 2. stavku 1. Uredbe (EU) 909/2014 od 23. srpnja 2014.</w:t>
      </w:r>
      <w:r w:rsidR="002B5330" w:rsidRPr="00A96D00">
        <w:rPr>
          <w:rStyle w:val="FootnoteReference"/>
          <w:rFonts w:eastAsiaTheme="minorEastAsia"/>
          <w:noProof/>
        </w:rPr>
        <w:footnoteReference w:id="35"/>
      </w:r>
      <w:r w:rsidR="002B5330" w:rsidRPr="00A96D00">
        <w:rPr>
          <w:noProof/>
        </w:rPr>
        <w:t xml:space="preserve">, kreditna institucija </w:t>
      </w:r>
      <w:r w:rsidR="002B5330" w:rsidRPr="00A96D00">
        <w:rPr>
          <w:noProof/>
          <w:color w:val="333333"/>
        </w:rPr>
        <w:t>kako je definirano u članku 4. stavku 1. podstavku 1. Uredbe (EU) 575/2013</w:t>
      </w:r>
      <w:r w:rsidR="002B5330" w:rsidRPr="00A96D00">
        <w:rPr>
          <w:rStyle w:val="FootnoteReference"/>
          <w:noProof/>
          <w:color w:val="333333"/>
        </w:rPr>
        <w:footnoteReference w:id="36"/>
      </w:r>
      <w:r w:rsidR="002B5330" w:rsidRPr="00A96D00">
        <w:rPr>
          <w:noProof/>
        </w:rPr>
        <w:t xml:space="preserve"> ili investicijsko društvo, </w:t>
      </w:r>
      <w:r w:rsidR="002B5330" w:rsidRPr="00A96D00">
        <w:rPr>
          <w:noProof/>
          <w:color w:val="333333"/>
        </w:rPr>
        <w:t xml:space="preserve">kako je definirano u članku 4. stavku 1. podstavku 1. Direktive 2014/65/EU ili pravna osoba iz treće zemlje ovlaštena za pružanje usluga usporedivih s uslugama središnjeg depozitorija vrijednosnih papira, kreditne institucije ili investicijskog društva na temelju usporedivog zakonodavstva treće zemlje rezidentnosti, koja je dio </w:t>
      </w:r>
      <w:r w:rsidR="002B5330" w:rsidRPr="00A96D00">
        <w:rPr>
          <w:noProof/>
        </w:rPr>
        <w:t>lanca isplata za vrijednosni papir između subjekta koji izdaje vrijednosne papire i registriranog vlasnika koji prima plaćanja na ime tih vrijednosnih papira</w:t>
      </w:r>
      <w:r w:rsidR="002B5330" w:rsidRPr="00A96D00">
        <w:rPr>
          <w:rFonts w:ascii="Arial" w:hAnsi="Arial"/>
          <w:noProof/>
          <w:color w:val="0000FF"/>
        </w:rPr>
        <w:t>;</w:t>
      </w:r>
      <w:r w:rsidR="002B5330" w:rsidRPr="00A96D00">
        <w:rPr>
          <w:noProof/>
        </w:rPr>
        <w:t xml:space="preserve"> </w:t>
      </w:r>
    </w:p>
    <w:p w14:paraId="19B6B696" w14:textId="51D0D5E9" w:rsidR="002B5330" w:rsidRPr="00A96D00" w:rsidRDefault="000305AA" w:rsidP="000305AA">
      <w:pPr>
        <w:pStyle w:val="Point0"/>
        <w:rPr>
          <w:noProof/>
        </w:rPr>
      </w:pPr>
      <w:r w:rsidRPr="000305AA">
        <w:t>(5)</w:t>
      </w:r>
      <w:r w:rsidRPr="000305AA">
        <w:tab/>
      </w:r>
      <w:r w:rsidR="002B5330" w:rsidRPr="00A96D00">
        <w:rPr>
          <w:noProof/>
        </w:rPr>
        <w:t>„EUID” znači europski jedinstveni identifikator društva iz članka 16. Direktive (EU) 2017/1132 Europskog parlamenta i Vijeća</w:t>
      </w:r>
      <w:r w:rsidR="002B5330" w:rsidRPr="00A96D00">
        <w:rPr>
          <w:rStyle w:val="FootnoteReference"/>
          <w:noProof/>
        </w:rPr>
        <w:footnoteReference w:id="37"/>
      </w:r>
      <w:r w:rsidR="002B5330" w:rsidRPr="00A96D00">
        <w:rPr>
          <w:noProof/>
        </w:rPr>
        <w:t xml:space="preserve">; </w:t>
      </w:r>
    </w:p>
    <w:p w14:paraId="118755DD" w14:textId="1C144CBE" w:rsidR="002B5330" w:rsidRPr="00A96D00" w:rsidRDefault="000305AA" w:rsidP="000305AA">
      <w:pPr>
        <w:pStyle w:val="Point0"/>
        <w:rPr>
          <w:noProof/>
        </w:rPr>
      </w:pPr>
      <w:r w:rsidRPr="000305AA">
        <w:t>(6)</w:t>
      </w:r>
      <w:r w:rsidRPr="000305AA">
        <w:tab/>
      </w:r>
      <w:r w:rsidR="002B5330" w:rsidRPr="00A96D00">
        <w:rPr>
          <w:noProof/>
        </w:rPr>
        <w:t>„porezni identifikacijski broj” ili „PIB” znači jedinstveni identifikator registriranog vlasnika koji je za porezne svrhe registriran u državi članici;</w:t>
      </w:r>
    </w:p>
    <w:p w14:paraId="0FF5A9B3" w14:textId="07A690F9" w:rsidR="002F4419" w:rsidRPr="00A96D00" w:rsidRDefault="000305AA" w:rsidP="000305AA">
      <w:pPr>
        <w:pStyle w:val="Point0"/>
        <w:rPr>
          <w:noProof/>
        </w:rPr>
      </w:pPr>
      <w:r w:rsidRPr="000305AA">
        <w:t>(7)</w:t>
      </w:r>
      <w:r w:rsidRPr="000305AA">
        <w:tab/>
      </w:r>
      <w:r w:rsidR="002F4419" w:rsidRPr="00A96D00">
        <w:rPr>
          <w:noProof/>
        </w:rPr>
        <w:t>„postupak oslobođenja za porez po odbitku” znači postupak kojim se vlasnik koji prima isplate dividendi ili kamata na ime vrijednosnih papira koje mogu podlijegati preplaćivanju poreza po odbitku oslobađa tog poreza ili prima povrat preplaćenog poreza;</w:t>
      </w:r>
    </w:p>
    <w:p w14:paraId="5E7BE429" w14:textId="6F2C0AC8" w:rsidR="0054149A" w:rsidRPr="00A96D00" w:rsidRDefault="000305AA" w:rsidP="000305AA">
      <w:pPr>
        <w:pStyle w:val="Point0"/>
        <w:rPr>
          <w:noProof/>
        </w:rPr>
      </w:pPr>
      <w:r w:rsidRPr="000305AA">
        <w:t>(8)</w:t>
      </w:r>
      <w:r w:rsidRPr="000305AA">
        <w:tab/>
      </w:r>
      <w:r w:rsidR="00A5262D" w:rsidRPr="00A96D00">
        <w:rPr>
          <w:noProof/>
        </w:rPr>
        <w:t xml:space="preserve">„nadležno tijelo” znači tijelo koje država članica imenuje u skladu s člankom 5. i uključuje sve osobe koje takvo tijelo ovlasti na temelju nacionalnih propisa za postupanje u ime tog tijela za potrebe ove Direktive; </w:t>
      </w:r>
    </w:p>
    <w:p w14:paraId="51ECD235" w14:textId="41081C22" w:rsidR="00AF47B6" w:rsidRPr="00A96D00" w:rsidRDefault="000305AA" w:rsidP="000305AA">
      <w:pPr>
        <w:pStyle w:val="Point0"/>
        <w:rPr>
          <w:noProof/>
        </w:rPr>
      </w:pPr>
      <w:r w:rsidRPr="000305AA">
        <w:t>(9)</w:t>
      </w:r>
      <w:r w:rsidRPr="000305AA">
        <w:tab/>
      </w:r>
      <w:r w:rsidR="00AF47B6" w:rsidRPr="00A96D00">
        <w:rPr>
          <w:noProof/>
        </w:rPr>
        <w:t>„vrijednosni papir” znači dionica kojom se trguje na burzi ili obveznica kojom se trguje na burzi;</w:t>
      </w:r>
    </w:p>
    <w:p w14:paraId="054928E1" w14:textId="3C0904C0" w:rsidR="00930848" w:rsidRPr="00A96D00" w:rsidRDefault="000305AA" w:rsidP="000305AA">
      <w:pPr>
        <w:pStyle w:val="Point0"/>
        <w:rPr>
          <w:noProof/>
          <w:color w:val="333333"/>
        </w:rPr>
      </w:pPr>
      <w:r w:rsidRPr="000305AA">
        <w:t>(10)</w:t>
      </w:r>
      <w:r w:rsidRPr="000305AA">
        <w:tab/>
      </w:r>
      <w:r w:rsidR="00930848" w:rsidRPr="00A96D00">
        <w:rPr>
          <w:noProof/>
          <w:color w:val="333333"/>
        </w:rPr>
        <w:t>„</w:t>
      </w:r>
      <w:r w:rsidR="00930848" w:rsidRPr="00A96D00">
        <w:rPr>
          <w:noProof/>
        </w:rPr>
        <w:t>velika institucija” znači velika institucija kako je definirano u članku 4. stavku 1. podstavku 146. Uredbe (EU) br. 575/2013</w:t>
      </w:r>
      <w:r w:rsidR="00930848" w:rsidRPr="00A96D00">
        <w:rPr>
          <w:noProof/>
          <w:color w:val="333333"/>
        </w:rPr>
        <w:t>;</w:t>
      </w:r>
    </w:p>
    <w:p w14:paraId="62B1E93F" w14:textId="25B2162A" w:rsidR="00826CE9" w:rsidRPr="00A96D00" w:rsidRDefault="000305AA" w:rsidP="000305AA">
      <w:pPr>
        <w:pStyle w:val="Point0"/>
        <w:rPr>
          <w:noProof/>
        </w:rPr>
      </w:pPr>
      <w:r w:rsidRPr="000305AA">
        <w:t>(11)</w:t>
      </w:r>
      <w:r w:rsidRPr="000305AA">
        <w:tab/>
      </w:r>
      <w:r w:rsidR="00826CE9" w:rsidRPr="00A96D00">
        <w:rPr>
          <w:noProof/>
        </w:rPr>
        <w:t>„zastupnik za porez po odbitku” znači subjekt kojeg država članica ovlašćuje za preuzimanje odgovornosti za zadržavanje poreza po odbitku od iznosa isplate dividendi ili kamata na ime vrijednosnih papira i za prijenos tog poreza po odbitku poreznoj upravi države članice izvora;</w:t>
      </w:r>
    </w:p>
    <w:p w14:paraId="5E4E07DA" w14:textId="1AAACE1E" w:rsidR="00930848" w:rsidRPr="00A96D00" w:rsidRDefault="000305AA" w:rsidP="000305AA">
      <w:pPr>
        <w:pStyle w:val="Point0"/>
        <w:rPr>
          <w:noProof/>
        </w:rPr>
      </w:pPr>
      <w:r w:rsidRPr="000305AA">
        <w:t>(12)</w:t>
      </w:r>
      <w:r w:rsidRPr="000305AA">
        <w:tab/>
      </w:r>
      <w:r w:rsidR="00930848" w:rsidRPr="00A96D00">
        <w:rPr>
          <w:noProof/>
        </w:rPr>
        <w:t>„datum utvrđivanja stanja” znači datum koji je odredio izdavatelj na koji se utvrđuju identitet posjednika takvog vrijednosnog papira i prava koja iz toga proizlaze uključujući pravo na sudjelovanje i glasovanje na glavnoj skupštini, ako je primjenjivo, na temelju namirenih pozicija u knjigama financijskog posrednika unosom u knjige po zaključenju njegova poslovanja kako je definirano u članku 1. stavku 7. Uredbe 2018/1212</w:t>
      </w:r>
      <w:r w:rsidR="00930848" w:rsidRPr="00A96D00">
        <w:rPr>
          <w:rStyle w:val="FootnoteReference"/>
          <w:noProof/>
        </w:rPr>
        <w:footnoteReference w:id="38"/>
      </w:r>
      <w:r w:rsidR="00930848" w:rsidRPr="00A96D00">
        <w:rPr>
          <w:noProof/>
        </w:rPr>
        <w:t xml:space="preserve">; </w:t>
      </w:r>
    </w:p>
    <w:p w14:paraId="72901A99" w14:textId="7D680593" w:rsidR="00AF47B6" w:rsidRPr="00A96D00" w:rsidRDefault="000305AA" w:rsidP="000305AA">
      <w:pPr>
        <w:pStyle w:val="Point0"/>
        <w:rPr>
          <w:noProof/>
        </w:rPr>
      </w:pPr>
      <w:r w:rsidRPr="000305AA">
        <w:t>(13)</w:t>
      </w:r>
      <w:r w:rsidRPr="000305AA">
        <w:tab/>
      </w:r>
      <w:r w:rsidR="00AF47B6" w:rsidRPr="00A96D00">
        <w:rPr>
          <w:noProof/>
        </w:rPr>
        <w:t>„namira” znači dovršavanje transakcije vrijednosnim papirima, kada se ona zaključuje s ciljem izvršavanja obveza stranaka u toj transakciji putem prijenosa gotovine ili vrijednosnih papira ili oboje, kako je definirano u članku 2. stavku 7. Uredbe (EU) 909/2014 od 23. srpnja 2014.;</w:t>
      </w:r>
    </w:p>
    <w:p w14:paraId="1D5948B5" w14:textId="4C0BD7F1" w:rsidR="00826CE9" w:rsidRPr="00A96D00" w:rsidRDefault="000305AA" w:rsidP="000305AA">
      <w:pPr>
        <w:pStyle w:val="Point0"/>
        <w:rPr>
          <w:noProof/>
        </w:rPr>
      </w:pPr>
      <w:r w:rsidRPr="000305AA">
        <w:t>(14)</w:t>
      </w:r>
      <w:r w:rsidRPr="000305AA">
        <w:tab/>
      </w:r>
      <w:r w:rsidR="00826CE9" w:rsidRPr="00A96D00">
        <w:rPr>
          <w:noProof/>
        </w:rPr>
        <w:t>„registrirani vlasnik” znači svaka fizička ili pravna osoba koja ima pravo primanja prihoda od dividendi ili kamata na ime vrijednosnih papira koji podliježe porezu na odbitak u državi članici;</w:t>
      </w:r>
    </w:p>
    <w:p w14:paraId="05471B9A" w14:textId="44174701" w:rsidR="002F4419" w:rsidRPr="00A96D00" w:rsidRDefault="000305AA" w:rsidP="000305AA">
      <w:pPr>
        <w:pStyle w:val="Point0"/>
        <w:rPr>
          <w:noProof/>
        </w:rPr>
      </w:pPr>
      <w:r w:rsidRPr="000305AA">
        <w:t>(15)</w:t>
      </w:r>
      <w:r w:rsidRPr="000305AA">
        <w:tab/>
      </w:r>
      <w:r w:rsidR="002F4419" w:rsidRPr="00A96D00">
        <w:rPr>
          <w:noProof/>
        </w:rPr>
        <w:t>„ulagački račun” znači račun koji financijski posrednici pružaju registriranim vlasnicima na kojem se drže ili preko kojeg su registrirani vrijednosni papiri i na koji se izvršavaju isplate u odnosu na te vrijednosne papire;</w:t>
      </w:r>
    </w:p>
    <w:p w14:paraId="13FAA03D" w14:textId="29D74FA5" w:rsidR="002F4419" w:rsidRPr="00A96D00" w:rsidRDefault="000305AA" w:rsidP="000305AA">
      <w:pPr>
        <w:pStyle w:val="Point0"/>
        <w:rPr>
          <w:noProof/>
        </w:rPr>
      </w:pPr>
      <w:r w:rsidRPr="000305AA">
        <w:t>(16)</w:t>
      </w:r>
      <w:r w:rsidRPr="000305AA">
        <w:tab/>
      </w:r>
      <w:r w:rsidR="002F4419" w:rsidRPr="00A96D00">
        <w:rPr>
          <w:noProof/>
        </w:rPr>
        <w:t>„datum prestanka prava na dividende” znači datum od kojeg se dionicama trguje bez prava koja iz njih proizlaze, uključujući pravo na sudjelovanje i glasovanje na glavnoj skupštini, ako je primjenjivo;</w:t>
      </w:r>
    </w:p>
    <w:p w14:paraId="10E20DF8" w14:textId="25DCFCB4" w:rsidR="002F4419" w:rsidRPr="00A96D00" w:rsidRDefault="000305AA" w:rsidP="000305AA">
      <w:pPr>
        <w:pStyle w:val="Point0"/>
        <w:rPr>
          <w:noProof/>
        </w:rPr>
      </w:pPr>
      <w:r w:rsidRPr="000305AA">
        <w:t>(17)</w:t>
      </w:r>
      <w:r w:rsidRPr="000305AA">
        <w:tab/>
      </w:r>
      <w:r w:rsidR="002F4419" w:rsidRPr="00A96D00">
        <w:rPr>
          <w:noProof/>
        </w:rPr>
        <w:t>„financijski sporazum” znači svaki sporazum ili ugovorna obveza na temelju kojih bilo koji dio vlasništva dionice kojom se trguje na burzi, za koju se isplaćuje dividenda, jest ili može biti trajno ili privremeno prenesen na drugu stranku;</w:t>
      </w:r>
    </w:p>
    <w:p w14:paraId="4B3E9359" w14:textId="72FB1837" w:rsidR="002F4419" w:rsidRPr="00A96D00" w:rsidRDefault="000305AA" w:rsidP="000305AA">
      <w:pPr>
        <w:pStyle w:val="Point0"/>
        <w:rPr>
          <w:noProof/>
        </w:rPr>
      </w:pPr>
      <w:r w:rsidRPr="000305AA">
        <w:t>(18)</w:t>
      </w:r>
      <w:r w:rsidRPr="000305AA">
        <w:tab/>
      </w:r>
      <w:r w:rsidR="002F4419" w:rsidRPr="00A96D00">
        <w:rPr>
          <w:noProof/>
        </w:rPr>
        <w:t>„lanac isplata za vrijednosni papir” znači niz financijskih posrednika koji obrađuju isplatu dividendi ili kamata na ime vrijednosnih papira između izdavatelja vrijednosnog papira i registriranog vlasnika kojem se isplaćuju dividende ili kamate na ime tog vrijednosnog papira;</w:t>
      </w:r>
    </w:p>
    <w:p w14:paraId="3AA79646" w14:textId="0538E6CE" w:rsidR="00626934" w:rsidRPr="00A96D00" w:rsidRDefault="000305AA" w:rsidP="000305AA">
      <w:pPr>
        <w:pStyle w:val="Point0"/>
        <w:rPr>
          <w:noProof/>
        </w:rPr>
      </w:pPr>
      <w:r w:rsidRPr="000305AA">
        <w:t>(19)</w:t>
      </w:r>
      <w:r w:rsidRPr="000305AA">
        <w:tab/>
      </w:r>
      <w:r w:rsidR="00A5262D" w:rsidRPr="00A96D00">
        <w:rPr>
          <w:noProof/>
        </w:rPr>
        <w:t xml:space="preserve">„sporazum o izbjegavanju dvostrukog oporezivanja” znači sporazum ili konvencija na temelju kojih se uklanja dvostruko oporezivanje prihoda i, ako je primjenjivo, kapitala, koji je sklopljen između dvije (ili više) zemalja; </w:t>
      </w:r>
    </w:p>
    <w:p w14:paraId="4A3CC635" w14:textId="6CB8B65C" w:rsidR="002F4419" w:rsidRPr="00A96D00" w:rsidRDefault="000305AA" w:rsidP="000305AA">
      <w:pPr>
        <w:pStyle w:val="Point0"/>
        <w:rPr>
          <w:noProof/>
        </w:rPr>
      </w:pPr>
      <w:r w:rsidRPr="000305AA">
        <w:t>(20)</w:t>
      </w:r>
      <w:r w:rsidRPr="000305AA">
        <w:tab/>
      </w:r>
      <w:r w:rsidR="002F4419" w:rsidRPr="00A96D00">
        <w:rPr>
          <w:noProof/>
        </w:rPr>
        <w:t>„država članica izvora” znači država članica rezidentnosti izdavatelja vrijednosnog papira na ime kojeg se isplaćuju dividende ili kamate;</w:t>
      </w:r>
    </w:p>
    <w:p w14:paraId="188CC3BC" w14:textId="15620724" w:rsidR="002F4419" w:rsidRPr="00A96D00" w:rsidRDefault="000305AA" w:rsidP="000305AA">
      <w:pPr>
        <w:pStyle w:val="Point0"/>
        <w:rPr>
          <w:noProof/>
        </w:rPr>
      </w:pPr>
      <w:r w:rsidRPr="000305AA">
        <w:t>(21)</w:t>
      </w:r>
      <w:r w:rsidRPr="000305AA">
        <w:tab/>
      </w:r>
      <w:r w:rsidR="002F4419" w:rsidRPr="00A96D00">
        <w:rPr>
          <w:noProof/>
        </w:rPr>
        <w:t xml:space="preserve">„sustav brzog povrata” znači sustav u kojem se isplata dividende ili kamate izvršava uračunavajući opću nacionalnu stopu poreza po odbitku, nakon čega slijedi zahtjev za povrat preplaćenog poreza po odbitku u roku utvrđenom u članku 13.; </w:t>
      </w:r>
    </w:p>
    <w:p w14:paraId="6B3DCD06" w14:textId="0265C5CD" w:rsidR="002F4419" w:rsidRPr="00A96D00" w:rsidRDefault="000305AA" w:rsidP="000305AA">
      <w:pPr>
        <w:pStyle w:val="Point0"/>
        <w:rPr>
          <w:noProof/>
        </w:rPr>
      </w:pPr>
      <w:r w:rsidRPr="000305AA">
        <w:t>(22)</w:t>
      </w:r>
      <w:r w:rsidRPr="000305AA">
        <w:tab/>
      </w:r>
      <w:r w:rsidR="002F4419" w:rsidRPr="00A96D00">
        <w:rPr>
          <w:noProof/>
        </w:rPr>
        <w:t xml:space="preserve">„sustav oslobođenja na izvoru” znači sustav u kojem se u trenutku isplate dividendi ili kamata primjenjuje odgovarajuća stopa poreza po odbitku u skladu s primjenjivim nacionalnim propisima i/ili međunarodnim sporazumima, primjerice sporazumima o izbjegavanju dvostrukog oporezivanja; </w:t>
      </w:r>
    </w:p>
    <w:p w14:paraId="3CEF5531" w14:textId="2444E72F" w:rsidR="002F4419" w:rsidRPr="00A96D00" w:rsidRDefault="000305AA" w:rsidP="000305AA">
      <w:pPr>
        <w:pStyle w:val="Point0"/>
        <w:rPr>
          <w:noProof/>
        </w:rPr>
      </w:pPr>
      <w:r w:rsidRPr="000305AA">
        <w:t>(23)</w:t>
      </w:r>
      <w:r w:rsidRPr="000305AA">
        <w:tab/>
      </w:r>
      <w:r w:rsidR="002F4419" w:rsidRPr="00A96D00">
        <w:rPr>
          <w:noProof/>
        </w:rPr>
        <w:t xml:space="preserve">„standardni sustav povrata” znači sustav u kojem se isplata dividende ili kamate izvršava uračunavajući opću nacionalnu stopu poreza po odbitku, nakon čega slijedi zahtjev za povrat preplaćenog poreza na odbitak izvan postupka utvrđenog u članku 13.; </w:t>
      </w:r>
    </w:p>
    <w:p w14:paraId="44A415F0" w14:textId="663F44F2" w:rsidR="00AF037C" w:rsidRPr="00A96D00" w:rsidRDefault="000305AA" w:rsidP="000305AA">
      <w:pPr>
        <w:pStyle w:val="Point0"/>
        <w:rPr>
          <w:noProof/>
        </w:rPr>
      </w:pPr>
      <w:r w:rsidRPr="000305AA">
        <w:t>(24)</w:t>
      </w:r>
      <w:r w:rsidRPr="000305AA">
        <w:tab/>
      </w:r>
      <w:r w:rsidR="624166C1" w:rsidRPr="00A96D00">
        <w:rPr>
          <w:noProof/>
        </w:rPr>
        <w:t>„eurska kratkoročna kamatna stopa” znači eurska kratkoročna kamatna stopa kako je definirano u Smjernici (EU) 2019/1265 Europske središnje banke od 10. srpnja 2019.</w:t>
      </w:r>
      <w:r w:rsidR="624166C1" w:rsidRPr="00A96D00">
        <w:rPr>
          <w:rStyle w:val="FootnoteReference"/>
          <w:noProof/>
        </w:rPr>
        <w:footnoteReference w:id="39"/>
      </w:r>
    </w:p>
    <w:p w14:paraId="65EA698F" w14:textId="77777777" w:rsidR="004D12F8" w:rsidRPr="00A96D00" w:rsidRDefault="004D12F8" w:rsidP="004D12F8">
      <w:pPr>
        <w:rPr>
          <w:noProof/>
        </w:rPr>
      </w:pPr>
    </w:p>
    <w:p w14:paraId="6CE076D4" w14:textId="77777777" w:rsidR="001956AF" w:rsidRPr="00A96D00" w:rsidRDefault="001956AF" w:rsidP="008A5257">
      <w:pPr>
        <w:jc w:val="center"/>
        <w:rPr>
          <w:b/>
          <w:bCs/>
          <w:i/>
          <w:noProof/>
        </w:rPr>
      </w:pPr>
      <w:r w:rsidRPr="00A96D00">
        <w:rPr>
          <w:b/>
          <w:noProof/>
        </w:rPr>
        <w:t>POGLAVLJE II.</w:t>
      </w:r>
    </w:p>
    <w:p w14:paraId="7A3B81B9" w14:textId="77777777" w:rsidR="001956AF" w:rsidRPr="00A96D00" w:rsidRDefault="001956AF" w:rsidP="008A5257">
      <w:pPr>
        <w:jc w:val="center"/>
        <w:rPr>
          <w:noProof/>
        </w:rPr>
      </w:pPr>
      <w:r w:rsidRPr="00A96D00">
        <w:rPr>
          <w:b/>
          <w:noProof/>
        </w:rPr>
        <w:t>DIGITALNA POTVRDA EU-a O POREZNOJ REZIDENTNOSTI</w:t>
      </w:r>
    </w:p>
    <w:p w14:paraId="57EC86D3" w14:textId="77777777" w:rsidR="001956AF" w:rsidRPr="00A96D00" w:rsidRDefault="001956AF" w:rsidP="008A5257">
      <w:pPr>
        <w:pStyle w:val="Titrearticle"/>
        <w:rPr>
          <w:b/>
          <w:i w:val="0"/>
          <w:noProof/>
        </w:rPr>
      </w:pPr>
      <w:r w:rsidRPr="00A96D00">
        <w:rPr>
          <w:noProof/>
        </w:rPr>
        <w:t xml:space="preserve">Članak 4. </w:t>
      </w:r>
      <w:r w:rsidRPr="00A96D00">
        <w:rPr>
          <w:noProof/>
        </w:rPr>
        <w:br/>
      </w:r>
      <w:r w:rsidRPr="00A96D00">
        <w:rPr>
          <w:b/>
          <w:i w:val="0"/>
          <w:noProof/>
        </w:rPr>
        <w:t>Digitalna potvrda EU-a o poreznoj rezidentnosti (eTRC)</w:t>
      </w:r>
    </w:p>
    <w:p w14:paraId="27FD26CB" w14:textId="7FFE9FA4" w:rsidR="001956AF" w:rsidRPr="00A96D00" w:rsidRDefault="000305AA" w:rsidP="000305AA">
      <w:pPr>
        <w:pStyle w:val="ManualNumPar1"/>
        <w:rPr>
          <w:noProof/>
        </w:rPr>
      </w:pPr>
      <w:r w:rsidRPr="000305AA">
        <w:t>1.</w:t>
      </w:r>
      <w:r w:rsidRPr="000305AA">
        <w:tab/>
      </w:r>
      <w:r w:rsidR="001956AF" w:rsidRPr="00A96D00">
        <w:rPr>
          <w:noProof/>
        </w:rPr>
        <w:t xml:space="preserve">Države članice osiguravaju automatski postupak izdavanja digitalne potvrde EU-a o poreznoj rezidentnosti (eTRC) osobama koje u svojoj jurisdikciji smatraju rezidentima u porezne svrhe. </w:t>
      </w:r>
    </w:p>
    <w:p w14:paraId="35C600EE" w14:textId="3F10BBBA" w:rsidR="001956AF" w:rsidRPr="00A96D00" w:rsidRDefault="000305AA" w:rsidP="000305AA">
      <w:pPr>
        <w:pStyle w:val="ManualNumPar1"/>
        <w:rPr>
          <w:noProof/>
        </w:rPr>
      </w:pPr>
      <w:r w:rsidRPr="000305AA">
        <w:t>2.</w:t>
      </w:r>
      <w:r w:rsidRPr="000305AA">
        <w:tab/>
      </w:r>
      <w:r w:rsidR="00B0739F" w:rsidRPr="00A96D00">
        <w:rPr>
          <w:noProof/>
        </w:rPr>
        <w:t>Države članice izdaju eTRC u roku od jednog radnog dana od podnošenja zahtjeva, podložno stavku 4. Svaki eTRC ispunjava tehničke zahtjeve iz Priloga I. i sadržava sljedeće informacije:</w:t>
      </w:r>
    </w:p>
    <w:p w14:paraId="081E735F" w14:textId="59EB9DC7" w:rsidR="001C7FE6" w:rsidRPr="00A96D00" w:rsidRDefault="000305AA" w:rsidP="000305AA">
      <w:pPr>
        <w:pStyle w:val="Point1"/>
        <w:rPr>
          <w:noProof/>
        </w:rPr>
      </w:pPr>
      <w:r w:rsidRPr="000305AA">
        <w:t>(a)</w:t>
      </w:r>
      <w:r w:rsidRPr="000305AA">
        <w:tab/>
      </w:r>
      <w:r w:rsidR="001956AF" w:rsidRPr="00A96D00">
        <w:rPr>
          <w:noProof/>
        </w:rPr>
        <w:t>ime i prezime poreznog obveznika i datum i mjesto rođenja ako je riječ o fizičkoj osobi ili naziv i europski jedinstveni identifikator društva (EUID) ako je riječ o pravnoj osobi;</w:t>
      </w:r>
    </w:p>
    <w:p w14:paraId="133CACE0" w14:textId="0F8E1C98" w:rsidR="001956AF" w:rsidRPr="00A96D00" w:rsidRDefault="000305AA" w:rsidP="000305AA">
      <w:pPr>
        <w:pStyle w:val="Point1"/>
        <w:rPr>
          <w:noProof/>
        </w:rPr>
      </w:pPr>
      <w:r w:rsidRPr="000305AA">
        <w:t>(b)</w:t>
      </w:r>
      <w:r w:rsidRPr="000305AA">
        <w:tab/>
      </w:r>
      <w:r w:rsidR="000E768E" w:rsidRPr="00A96D00">
        <w:rPr>
          <w:noProof/>
        </w:rPr>
        <w:t xml:space="preserve">porezni identifikacijski broj; </w:t>
      </w:r>
    </w:p>
    <w:p w14:paraId="19C0CB0B" w14:textId="2171386B" w:rsidR="001956AF" w:rsidRPr="00A96D00" w:rsidRDefault="000305AA" w:rsidP="000305AA">
      <w:pPr>
        <w:pStyle w:val="Point1"/>
        <w:rPr>
          <w:noProof/>
        </w:rPr>
      </w:pPr>
      <w:r w:rsidRPr="000305AA">
        <w:t>(c)</w:t>
      </w:r>
      <w:r w:rsidRPr="000305AA">
        <w:tab/>
      </w:r>
      <w:r w:rsidR="008E56AC" w:rsidRPr="00A96D00">
        <w:rPr>
          <w:noProof/>
        </w:rPr>
        <w:t>adresu poreznog obveznika;</w:t>
      </w:r>
    </w:p>
    <w:p w14:paraId="143A2B48" w14:textId="20C78620" w:rsidR="001956AF" w:rsidRPr="00A96D00" w:rsidRDefault="000305AA" w:rsidP="000305AA">
      <w:pPr>
        <w:pStyle w:val="Point1"/>
        <w:rPr>
          <w:noProof/>
        </w:rPr>
      </w:pPr>
      <w:r w:rsidRPr="000305AA">
        <w:t>(d)</w:t>
      </w:r>
      <w:r w:rsidRPr="000305AA">
        <w:tab/>
      </w:r>
      <w:r w:rsidR="008E56AC" w:rsidRPr="00A96D00">
        <w:rPr>
          <w:noProof/>
        </w:rPr>
        <w:t>datum izdavanja;</w:t>
      </w:r>
    </w:p>
    <w:p w14:paraId="169B2B2C" w14:textId="1C41BB9F" w:rsidR="001956AF" w:rsidRPr="00A96D00" w:rsidRDefault="000305AA" w:rsidP="000305AA">
      <w:pPr>
        <w:pStyle w:val="Point1"/>
        <w:rPr>
          <w:noProof/>
        </w:rPr>
      </w:pPr>
      <w:r w:rsidRPr="000305AA">
        <w:t>(e)</w:t>
      </w:r>
      <w:r w:rsidRPr="000305AA">
        <w:tab/>
      </w:r>
      <w:r w:rsidR="008E56AC" w:rsidRPr="00A96D00">
        <w:rPr>
          <w:noProof/>
        </w:rPr>
        <w:t xml:space="preserve">obuhvaćeno razdoblje; </w:t>
      </w:r>
    </w:p>
    <w:p w14:paraId="59D3EB6F" w14:textId="5B02FA1B" w:rsidR="0013507F" w:rsidRPr="00A96D00" w:rsidRDefault="000305AA" w:rsidP="000305AA">
      <w:pPr>
        <w:pStyle w:val="Point1"/>
        <w:rPr>
          <w:noProof/>
        </w:rPr>
      </w:pPr>
      <w:r w:rsidRPr="000305AA">
        <w:t>(f)</w:t>
      </w:r>
      <w:r w:rsidRPr="000305AA">
        <w:tab/>
      </w:r>
      <w:r w:rsidR="00292952" w:rsidRPr="00A96D00">
        <w:rPr>
          <w:noProof/>
        </w:rPr>
        <w:t>identifikacijsku oznaku poreznog tijela koje izdaje potvrdu;</w:t>
      </w:r>
    </w:p>
    <w:p w14:paraId="31FBE0DC" w14:textId="58B60C4E" w:rsidR="0013507F" w:rsidRPr="00A96D00" w:rsidRDefault="000305AA" w:rsidP="000305AA">
      <w:pPr>
        <w:pStyle w:val="Point1"/>
        <w:rPr>
          <w:noProof/>
        </w:rPr>
      </w:pPr>
      <w:r w:rsidRPr="000305AA">
        <w:t>(g)</w:t>
      </w:r>
      <w:r w:rsidRPr="000305AA">
        <w:tab/>
      </w:r>
      <w:r w:rsidR="003539B3" w:rsidRPr="00A96D00">
        <w:rPr>
          <w:noProof/>
        </w:rPr>
        <w:t>sve dodatne informacije koje mogu biti relevantne ako je potvrda izdana za potrebe koje nisu oslobođenje od poreza po odbitku na temelju ove Direktive ili informacije koje potvrda o poreznoj rezidentnosti obvezno sadržava u skladu s pravom EU-a.</w:t>
      </w:r>
    </w:p>
    <w:p w14:paraId="26EE221A" w14:textId="0584F4F5" w:rsidR="001956AF" w:rsidRPr="00A96D00" w:rsidRDefault="000305AA" w:rsidP="000305AA">
      <w:pPr>
        <w:pStyle w:val="ManualNumPar1"/>
        <w:rPr>
          <w:noProof/>
        </w:rPr>
      </w:pPr>
      <w:r w:rsidRPr="000305AA">
        <w:t>3.</w:t>
      </w:r>
      <w:r w:rsidRPr="000305AA">
        <w:tab/>
      </w:r>
      <w:r w:rsidR="001956AF" w:rsidRPr="00A96D00">
        <w:rPr>
          <w:noProof/>
        </w:rPr>
        <w:t xml:space="preserve">Svaki eTRC obuhvaća barem kalendarsku godinu u kojoj je upućen zahtjev za njegovo izdavanje i valjan je tijekom tog razdoblja osim ako država članica koja izdaje eTRC ima dokaze koji upućuju na to da osoba na koju se odnosi eTRC nije rezidentna u njezinoj jurisdikciji. </w:t>
      </w:r>
    </w:p>
    <w:p w14:paraId="189F128B" w14:textId="4CF2466F" w:rsidR="001956AF" w:rsidRPr="00A96D00" w:rsidRDefault="000305AA" w:rsidP="000305AA">
      <w:pPr>
        <w:pStyle w:val="ManualNumPar1"/>
        <w:rPr>
          <w:noProof/>
        </w:rPr>
      </w:pPr>
      <w:r w:rsidRPr="000305AA">
        <w:t>4.</w:t>
      </w:r>
      <w:r w:rsidRPr="000305AA">
        <w:tab/>
      </w:r>
      <w:r w:rsidR="005226AB" w:rsidRPr="00A96D00">
        <w:rPr>
          <w:noProof/>
        </w:rPr>
        <w:t xml:space="preserve">Ako je za provjeru porezne rezidentnosti određenog poreznog obveznika potrebno više od jednog radnog dana, država članica obavješćuje osobu koja je uputila zahtjev za potvrdu o potrebi za dodatnim vremenom i o razlozima za kašnjenje. </w:t>
      </w:r>
    </w:p>
    <w:p w14:paraId="299722D5" w14:textId="495B41A6" w:rsidR="001956AF" w:rsidRPr="00A96D00" w:rsidRDefault="000305AA" w:rsidP="000305AA">
      <w:pPr>
        <w:pStyle w:val="ManualNumPar1"/>
        <w:rPr>
          <w:noProof/>
        </w:rPr>
      </w:pPr>
      <w:r w:rsidRPr="000305AA">
        <w:t>5.</w:t>
      </w:r>
      <w:r w:rsidRPr="000305AA">
        <w:tab/>
      </w:r>
      <w:r w:rsidR="001956AF" w:rsidRPr="00A96D00">
        <w:rPr>
          <w:noProof/>
        </w:rPr>
        <w:t>Države članice priznaju eTRC izdan u drugoj državi članici kao dostatan dokaz rezidentnosti poreznog obveznika u toj drugoj državi članici u skladu sa stavkom 3.</w:t>
      </w:r>
    </w:p>
    <w:p w14:paraId="26201208" w14:textId="31E8C1B0" w:rsidR="001956AF" w:rsidRPr="00A96D00" w:rsidRDefault="000305AA" w:rsidP="000305AA">
      <w:pPr>
        <w:pStyle w:val="ManualNumPar1"/>
        <w:rPr>
          <w:noProof/>
        </w:rPr>
      </w:pPr>
      <w:r w:rsidRPr="000305AA">
        <w:t>6.</w:t>
      </w:r>
      <w:r w:rsidRPr="000305AA">
        <w:tab/>
      </w:r>
      <w:r w:rsidR="001956AF" w:rsidRPr="00A96D00">
        <w:rPr>
          <w:noProof/>
        </w:rPr>
        <w:t>Komisija donosi provedbene akte radi utvrđivanja standardnih elektroničkih obrazaca, uključujući odredbe o jeziku, i tehničkih protokola, uključujući sigurnosne standarde za izdavanje eTRC-a. Ti se provedbeni akti donose u skladu s postupkom ispitivanja iz članka 18.</w:t>
      </w:r>
    </w:p>
    <w:p w14:paraId="37608FC7" w14:textId="77777777" w:rsidR="004D12F8" w:rsidRPr="00A96D00" w:rsidRDefault="004D12F8" w:rsidP="004D12F8">
      <w:pPr>
        <w:rPr>
          <w:noProof/>
        </w:rPr>
      </w:pPr>
    </w:p>
    <w:p w14:paraId="0E789B17" w14:textId="77777777" w:rsidR="001956AF" w:rsidRPr="00A96D00" w:rsidRDefault="001956AF" w:rsidP="00350D94">
      <w:pPr>
        <w:jc w:val="center"/>
        <w:rPr>
          <w:b/>
          <w:bCs/>
          <w:i/>
          <w:noProof/>
        </w:rPr>
      </w:pPr>
      <w:bookmarkStart w:id="3" w:name="_Hlk119933448"/>
      <w:r w:rsidRPr="00A96D00">
        <w:rPr>
          <w:b/>
          <w:noProof/>
        </w:rPr>
        <w:t>POGLAVLJE III.</w:t>
      </w:r>
    </w:p>
    <w:bookmarkEnd w:id="3"/>
    <w:p w14:paraId="43E27402" w14:textId="77777777" w:rsidR="001956AF" w:rsidRPr="00A96D00" w:rsidRDefault="001956AF" w:rsidP="00350D94">
      <w:pPr>
        <w:jc w:val="center"/>
        <w:rPr>
          <w:b/>
          <w:bCs/>
          <w:noProof/>
        </w:rPr>
      </w:pPr>
      <w:r w:rsidRPr="00A96D00">
        <w:rPr>
          <w:b/>
          <w:noProof/>
        </w:rPr>
        <w:t>POSTUPAK OSLOBOĐENJA ZA POREZ PO ODBITKU</w:t>
      </w:r>
    </w:p>
    <w:p w14:paraId="61894279" w14:textId="77777777" w:rsidR="001956AF" w:rsidRPr="00A96D00" w:rsidRDefault="001956AF" w:rsidP="00350D94">
      <w:pPr>
        <w:jc w:val="center"/>
        <w:rPr>
          <w:b/>
          <w:bCs/>
          <w:i/>
          <w:noProof/>
        </w:rPr>
      </w:pPr>
    </w:p>
    <w:p w14:paraId="69C7FC50" w14:textId="77777777" w:rsidR="001956AF" w:rsidRPr="00A96D00" w:rsidRDefault="001956AF" w:rsidP="00350D94">
      <w:pPr>
        <w:jc w:val="center"/>
        <w:rPr>
          <w:b/>
          <w:bCs/>
          <w:i/>
          <w:noProof/>
        </w:rPr>
      </w:pPr>
      <w:r w:rsidRPr="00A96D00">
        <w:rPr>
          <w:b/>
          <w:i/>
          <w:noProof/>
        </w:rPr>
        <w:t>Odjeljak 1.</w:t>
      </w:r>
    </w:p>
    <w:p w14:paraId="38277988" w14:textId="77777777" w:rsidR="001956AF" w:rsidRPr="00A96D00" w:rsidRDefault="00F319EE" w:rsidP="00350D94">
      <w:pPr>
        <w:jc w:val="center"/>
        <w:rPr>
          <w:b/>
          <w:bCs/>
          <w:i/>
          <w:noProof/>
        </w:rPr>
      </w:pPr>
      <w:r w:rsidRPr="00A96D00">
        <w:rPr>
          <w:b/>
          <w:noProof/>
        </w:rPr>
        <w:t>OVLAŠTENI FINANCIJSKI POSREDNICI</w:t>
      </w:r>
    </w:p>
    <w:p w14:paraId="5D6E2288" w14:textId="77777777" w:rsidR="001956AF" w:rsidRPr="00A96D00" w:rsidRDefault="001956AF" w:rsidP="00350D94">
      <w:pPr>
        <w:pStyle w:val="Titrearticle"/>
        <w:rPr>
          <w:b/>
          <w:bCs/>
          <w:i w:val="0"/>
          <w:iCs/>
          <w:noProof/>
        </w:rPr>
      </w:pPr>
      <w:r w:rsidRPr="00A96D00">
        <w:rPr>
          <w:noProof/>
        </w:rPr>
        <w:t xml:space="preserve">Članak 5. </w:t>
      </w:r>
      <w:r w:rsidRPr="00A96D00">
        <w:rPr>
          <w:noProof/>
        </w:rPr>
        <w:br/>
      </w:r>
      <w:r w:rsidRPr="00A96D00">
        <w:rPr>
          <w:b/>
          <w:i w:val="0"/>
          <w:noProof/>
        </w:rPr>
        <w:t xml:space="preserve">Nacionalni registar ovlaštenih financijskih posrednika </w:t>
      </w:r>
    </w:p>
    <w:p w14:paraId="652FAA39" w14:textId="14FC662E" w:rsidR="00F737CA" w:rsidRPr="00A96D00" w:rsidRDefault="000305AA" w:rsidP="000305AA">
      <w:pPr>
        <w:pStyle w:val="ManualNumPar1"/>
        <w:rPr>
          <w:noProof/>
        </w:rPr>
      </w:pPr>
      <w:r w:rsidRPr="000305AA">
        <w:t>1.</w:t>
      </w:r>
      <w:r w:rsidRPr="000305AA">
        <w:tab/>
      </w:r>
      <w:r w:rsidR="00EB7A3E" w:rsidRPr="00A96D00">
        <w:rPr>
          <w:noProof/>
        </w:rPr>
        <w:t xml:space="preserve">Države članice koje ubiru porez po odbitku na dividende od dionica kojima se trguje na burzi isplaćene registriranim vlasnicima koji su rezidenti u porezne svrhe izvan te države članice i koje omogućuju oslobođenja od preplaćenog poreza po odbitku moraju uspostaviti nacionalni registar ovlaštenih financijskih posrednika. Države članice mogu se odlučiti upotrebljavati taj nacionalni registar i u odnosu na oslobođenja od preplaćenog poreza po odbitku na kamate od obveznica kojima se trguje na burzi. </w:t>
      </w:r>
    </w:p>
    <w:p w14:paraId="70A23F58" w14:textId="19F988A8" w:rsidR="00F319EE" w:rsidRPr="00A96D00" w:rsidRDefault="000305AA" w:rsidP="000305AA">
      <w:pPr>
        <w:pStyle w:val="ManualNumPar1"/>
        <w:rPr>
          <w:noProof/>
        </w:rPr>
      </w:pPr>
      <w:r w:rsidRPr="000305AA">
        <w:t>2.</w:t>
      </w:r>
      <w:r w:rsidRPr="000305AA">
        <w:tab/>
      </w:r>
      <w:r w:rsidR="000D1985" w:rsidRPr="00A96D00">
        <w:rPr>
          <w:noProof/>
        </w:rPr>
        <w:t>Države članice koje ubiru porez po odbitku na kamate od obveznica kojima se trguje na burzi no istodobno takav porez ne ubiru na dividende od dionica kojima se trguje na burzi mogu se odlučiti na uspostavljanje nacionalnog registra.</w:t>
      </w:r>
    </w:p>
    <w:p w14:paraId="1B650FBA" w14:textId="77A5429D" w:rsidR="00F319EE" w:rsidRPr="00A96D00" w:rsidRDefault="000305AA" w:rsidP="000305AA">
      <w:pPr>
        <w:pStyle w:val="ManualNumPar1"/>
        <w:rPr>
          <w:noProof/>
        </w:rPr>
      </w:pPr>
      <w:r w:rsidRPr="000305AA">
        <w:t>3.</w:t>
      </w:r>
      <w:r w:rsidRPr="000305AA">
        <w:tab/>
      </w:r>
      <w:r w:rsidR="00F319EE" w:rsidRPr="00A96D00">
        <w:rPr>
          <w:noProof/>
        </w:rPr>
        <w:t>Države članice koje uspostave nacionalni registar u skladu sa stavcima 1. i 2. imenuju tijelo nadležno za održavanje i ažuriranje tog registra.</w:t>
      </w:r>
    </w:p>
    <w:p w14:paraId="0F1916AF" w14:textId="5E4AD39E" w:rsidR="00F319EE" w:rsidRPr="00A96D00" w:rsidRDefault="000305AA" w:rsidP="000305AA">
      <w:pPr>
        <w:pStyle w:val="ManualNumPar1"/>
        <w:rPr>
          <w:noProof/>
        </w:rPr>
      </w:pPr>
      <w:r w:rsidRPr="000305AA">
        <w:t>4.</w:t>
      </w:r>
      <w:r w:rsidRPr="000305AA">
        <w:tab/>
      </w:r>
      <w:r w:rsidR="00F319EE" w:rsidRPr="00A96D00">
        <w:rPr>
          <w:noProof/>
        </w:rPr>
        <w:t>Nacionalni registar sadržava sljedeće informacije o ovlaštenim financijskim posrednicima:</w:t>
      </w:r>
    </w:p>
    <w:p w14:paraId="5087EF52" w14:textId="76EF883F" w:rsidR="00F319EE" w:rsidRPr="00A96D00" w:rsidRDefault="000305AA" w:rsidP="000305AA">
      <w:pPr>
        <w:pStyle w:val="Point1"/>
        <w:rPr>
          <w:noProof/>
        </w:rPr>
      </w:pPr>
      <w:r w:rsidRPr="000305AA">
        <w:t>(a)</w:t>
      </w:r>
      <w:r w:rsidRPr="000305AA">
        <w:tab/>
      </w:r>
      <w:r w:rsidR="00F319EE" w:rsidRPr="00A96D00">
        <w:rPr>
          <w:noProof/>
        </w:rPr>
        <w:t>ime ovlaštenog financijskog posrednika;</w:t>
      </w:r>
    </w:p>
    <w:p w14:paraId="09F4FC07" w14:textId="67B07118" w:rsidR="00F319EE" w:rsidRPr="00A96D00" w:rsidRDefault="000305AA" w:rsidP="000305AA">
      <w:pPr>
        <w:pStyle w:val="Point1"/>
        <w:rPr>
          <w:noProof/>
        </w:rPr>
      </w:pPr>
      <w:r w:rsidRPr="000305AA">
        <w:t>(b)</w:t>
      </w:r>
      <w:r w:rsidRPr="000305AA">
        <w:tab/>
      </w:r>
      <w:r w:rsidR="00F319EE" w:rsidRPr="00A96D00">
        <w:rPr>
          <w:noProof/>
        </w:rPr>
        <w:t>datum registracije;</w:t>
      </w:r>
    </w:p>
    <w:p w14:paraId="167546DA" w14:textId="7D20A03E" w:rsidR="00F319EE" w:rsidRPr="00A96D00" w:rsidRDefault="000305AA" w:rsidP="000305AA">
      <w:pPr>
        <w:pStyle w:val="Point1"/>
        <w:rPr>
          <w:noProof/>
        </w:rPr>
      </w:pPr>
      <w:r w:rsidRPr="000305AA">
        <w:t>(c)</w:t>
      </w:r>
      <w:r w:rsidRPr="000305AA">
        <w:tab/>
      </w:r>
      <w:r w:rsidR="00F319EE" w:rsidRPr="00A96D00">
        <w:rPr>
          <w:noProof/>
        </w:rPr>
        <w:t>podatke za kontakt i adresu internetske stranice ovlaštenog financijskih posrednika;</w:t>
      </w:r>
    </w:p>
    <w:p w14:paraId="2C2BD66A" w14:textId="2E653EA2" w:rsidR="00F319EE" w:rsidRPr="00A96D00" w:rsidRDefault="000305AA" w:rsidP="000305AA">
      <w:pPr>
        <w:pStyle w:val="Point1"/>
        <w:rPr>
          <w:noProof/>
        </w:rPr>
      </w:pPr>
      <w:r w:rsidRPr="000305AA">
        <w:t>(d)</w:t>
      </w:r>
      <w:r w:rsidRPr="000305AA">
        <w:tab/>
      </w:r>
      <w:r w:rsidR="00F319EE" w:rsidRPr="00A96D00">
        <w:rPr>
          <w:noProof/>
        </w:rPr>
        <w:t>EUID, ili, ako ovlašteni financijski posrednik nema takav broj, identifikacijsku oznaku pravnog subjekta ili bilo koji drugi registracijski broj koji je izdala njegova zemlja rezidentnosti.</w:t>
      </w:r>
    </w:p>
    <w:p w14:paraId="28CD6358" w14:textId="62CB5ABF" w:rsidR="00F319EE" w:rsidRPr="00A96D00" w:rsidRDefault="000305AA" w:rsidP="000305AA">
      <w:pPr>
        <w:pStyle w:val="ManualNumPar1"/>
        <w:rPr>
          <w:noProof/>
        </w:rPr>
      </w:pPr>
      <w:r w:rsidRPr="000305AA">
        <w:t>5.</w:t>
      </w:r>
      <w:r w:rsidRPr="000305AA">
        <w:tab/>
      </w:r>
      <w:r w:rsidR="00F319EE" w:rsidRPr="00A96D00">
        <w:rPr>
          <w:noProof/>
        </w:rPr>
        <w:t xml:space="preserve">Nacionalni registar mora biti javno dostupan na posebnoj internetskoj stranici države članice i mora se ažurirati barem jednom mjesečno. </w:t>
      </w:r>
    </w:p>
    <w:p w14:paraId="6A6901B4" w14:textId="77777777" w:rsidR="001956AF" w:rsidRPr="00A96D00" w:rsidRDefault="001956AF" w:rsidP="00350D94">
      <w:pPr>
        <w:pStyle w:val="Titrearticle"/>
        <w:rPr>
          <w:b/>
          <w:bCs/>
          <w:i w:val="0"/>
          <w:iCs/>
          <w:noProof/>
        </w:rPr>
      </w:pPr>
      <w:r w:rsidRPr="00A96D00">
        <w:rPr>
          <w:noProof/>
        </w:rPr>
        <w:t xml:space="preserve">Članak 6. </w:t>
      </w:r>
      <w:r w:rsidRPr="00A96D00">
        <w:rPr>
          <w:noProof/>
        </w:rPr>
        <w:br/>
      </w:r>
      <w:r w:rsidRPr="00A96D00">
        <w:rPr>
          <w:b/>
          <w:i w:val="0"/>
          <w:noProof/>
        </w:rPr>
        <w:t>Obveza registriranja kao ovlaštenog financijskog posrednika</w:t>
      </w:r>
    </w:p>
    <w:p w14:paraId="59735551" w14:textId="2ECBFD90" w:rsidR="00974BE9" w:rsidRPr="00A96D00" w:rsidRDefault="000305AA" w:rsidP="000305AA">
      <w:pPr>
        <w:pStyle w:val="ManualNumPar1"/>
        <w:rPr>
          <w:noProof/>
        </w:rPr>
      </w:pPr>
      <w:r w:rsidRPr="000305AA">
        <w:t>1.</w:t>
      </w:r>
      <w:r w:rsidRPr="000305AA">
        <w:tab/>
      </w:r>
      <w:r w:rsidR="00974BE9" w:rsidRPr="00A96D00">
        <w:rPr>
          <w:noProof/>
        </w:rPr>
        <w:t xml:space="preserve">Države članice koje održavaju nacionalni sustav u skladu s člankom 5. propisuju obvezu registriranja </w:t>
      </w:r>
      <w:bookmarkStart w:id="4" w:name="_Hlk132976132"/>
      <w:r w:rsidR="00974BE9" w:rsidRPr="00A96D00">
        <w:rPr>
          <w:noProof/>
        </w:rPr>
        <w:t>u nacionalni registar</w:t>
      </w:r>
      <w:bookmarkEnd w:id="4"/>
      <w:r w:rsidR="00974BE9" w:rsidRPr="00A96D00">
        <w:rPr>
          <w:noProof/>
        </w:rPr>
        <w:t xml:space="preserve"> za sve velike institucije iz članka 3. stavka 10. koje obrađuju isplate dividendi i, ako je relevantno, isplate kamata na ime vrijednosnih papira koje se izvršavaju u njihovim jurisdikcijama, i za sve središnje depozitorije vrijednosnih papira iz članka 3. stavka 4. koji pružaju usluge zastupnika za porez po odbitku za iste isplate.</w:t>
      </w:r>
    </w:p>
    <w:p w14:paraId="389CF917" w14:textId="5915A79C" w:rsidR="00974BE9" w:rsidRPr="00A96D00" w:rsidRDefault="000305AA" w:rsidP="000305AA">
      <w:pPr>
        <w:pStyle w:val="ManualNumPar1"/>
        <w:rPr>
          <w:noProof/>
        </w:rPr>
      </w:pPr>
      <w:r w:rsidRPr="000305AA">
        <w:t>2.</w:t>
      </w:r>
      <w:r w:rsidRPr="000305AA">
        <w:tab/>
      </w:r>
      <w:r w:rsidR="00974BE9" w:rsidRPr="00A96D00">
        <w:rPr>
          <w:noProof/>
        </w:rPr>
        <w:t>Države članice koje održavaju nacionalni sustav u skladu s člankom 5. na zahtjev omogućuju registriranje u taj registar svim financijskim posrednicima koji ispunjavaju zahtjeve iz članka 7.</w:t>
      </w:r>
    </w:p>
    <w:p w14:paraId="790CBA13" w14:textId="77777777" w:rsidR="001956AF" w:rsidRPr="00A96D00" w:rsidRDefault="001956AF" w:rsidP="006F5C2E">
      <w:pPr>
        <w:pStyle w:val="Titrearticle"/>
        <w:rPr>
          <w:b/>
          <w:bCs/>
          <w:i w:val="0"/>
          <w:iCs/>
          <w:noProof/>
        </w:rPr>
      </w:pPr>
      <w:r w:rsidRPr="00A96D00">
        <w:rPr>
          <w:noProof/>
        </w:rPr>
        <w:t xml:space="preserve">Članak 7. </w:t>
      </w:r>
      <w:r w:rsidRPr="00A96D00">
        <w:rPr>
          <w:noProof/>
        </w:rPr>
        <w:br/>
      </w:r>
      <w:r w:rsidRPr="00A96D00">
        <w:rPr>
          <w:b/>
          <w:i w:val="0"/>
          <w:noProof/>
        </w:rPr>
        <w:t>Postupak registriranja</w:t>
      </w:r>
    </w:p>
    <w:p w14:paraId="784B591E" w14:textId="41A7AFF2" w:rsidR="001956AF" w:rsidRPr="00A96D00" w:rsidRDefault="000305AA" w:rsidP="000305AA">
      <w:pPr>
        <w:pStyle w:val="ManualNumPar1"/>
        <w:rPr>
          <w:noProof/>
        </w:rPr>
      </w:pPr>
      <w:r w:rsidRPr="000305AA">
        <w:t>1.</w:t>
      </w:r>
      <w:r w:rsidRPr="000305AA">
        <w:tab/>
      </w:r>
      <w:r w:rsidR="001956AF" w:rsidRPr="00A96D00">
        <w:rPr>
          <w:noProof/>
        </w:rPr>
        <w:t xml:space="preserve">Države članice dužne su pobrinuti se za registriranje financijskog posrednika u nacionalni registar ovlaštenih financijskih posrednika u roku od tri mjeseca od podnošenja zahtjeva financijskog posrednika koji sadržava dokaze o ispunjavanju svih sljedećih uvjeta: </w:t>
      </w:r>
    </w:p>
    <w:p w14:paraId="7DA6DB97" w14:textId="429DFAB4" w:rsidR="00061B4D" w:rsidRPr="00A96D00" w:rsidRDefault="000305AA" w:rsidP="000305AA">
      <w:pPr>
        <w:pStyle w:val="Point1"/>
        <w:rPr>
          <w:noProof/>
        </w:rPr>
      </w:pPr>
      <w:r w:rsidRPr="000305AA">
        <w:t>(a)</w:t>
      </w:r>
      <w:r w:rsidRPr="000305AA">
        <w:tab/>
      </w:r>
      <w:r w:rsidR="000B25F2" w:rsidRPr="00A96D00">
        <w:rPr>
          <w:noProof/>
        </w:rPr>
        <w:t>rezidentnost u porezne svrhe u državi članici ili u jurisdikciji treće zemlje koja nije uvrštena u Prilog I. EU-ova popisa nekooperativnih jurisdikcija u porezne svrhe</w:t>
      </w:r>
      <w:r w:rsidR="000B25F2" w:rsidRPr="00A96D00">
        <w:rPr>
          <w:rStyle w:val="FootnoteReference"/>
          <w:noProof/>
        </w:rPr>
        <w:footnoteReference w:id="40"/>
      </w:r>
      <w:r w:rsidR="000B25F2" w:rsidRPr="00A96D00">
        <w:rPr>
          <w:noProof/>
        </w:rPr>
        <w:t xml:space="preserve"> ni u tablicu I. Priloga Delegiranoj uredbi (EU) 2016/1675</w:t>
      </w:r>
      <w:r w:rsidR="000B25F2" w:rsidRPr="00A96D00">
        <w:rPr>
          <w:rStyle w:val="FootnoteReference"/>
          <w:noProof/>
        </w:rPr>
        <w:footnoteReference w:id="41"/>
      </w:r>
      <w:r w:rsidR="000B25F2" w:rsidRPr="00A96D00">
        <w:rPr>
          <w:noProof/>
        </w:rPr>
        <w:t xml:space="preserve">; </w:t>
      </w:r>
    </w:p>
    <w:p w14:paraId="05432E43" w14:textId="4DC967BF" w:rsidR="001956AF" w:rsidRPr="00A96D00" w:rsidRDefault="000305AA" w:rsidP="000305AA">
      <w:pPr>
        <w:pStyle w:val="Point1"/>
        <w:rPr>
          <w:noProof/>
        </w:rPr>
      </w:pPr>
      <w:r w:rsidRPr="000305AA">
        <w:t>(b)</w:t>
      </w:r>
      <w:r w:rsidRPr="000305AA">
        <w:tab/>
      </w:r>
      <w:r w:rsidR="00051BC3" w:rsidRPr="00A96D00">
        <w:rPr>
          <w:noProof/>
        </w:rPr>
        <w:t>ako je financijski posrednik koji podnosi zahtjev kreditna institucija, ovlaštenje u jurisdikciji za porezne svrhe za obavljanje poslova skrbništva nad vrijednosnim papirima u skladu s točkama 12. i 14. Priloga I. Direktivi 2013/36/EU ili u skladu s usporedivim propisom treće zemlje; ako je financijski posrednik koji podnosi zahtjev investicijsko društvo, ovlaštenje u jurisdikciji za porezne svrhe za obavljanje poslova skrbništva nad vrijednosnim papirima u skladu s točkom 1. odjeljka B Priloga I. Direktivi 2014/65/EU ili u skladu s usporedivim propisom treće zemlje ili; ako je financijski posrednik koji podnosi zahtjev središnji depozitorij vrijednosnih papira, ovlaštenje u jurisdikciji za porezne svrhe u skladu s Uredbom EU 909/2014 ili u skladu s usporedivim propisom treće zemlje rezidentnosti;</w:t>
      </w:r>
    </w:p>
    <w:p w14:paraId="7D52844C" w14:textId="73DF04D5" w:rsidR="004360A9" w:rsidRPr="00A96D00" w:rsidRDefault="000305AA" w:rsidP="000305AA">
      <w:pPr>
        <w:pStyle w:val="Point1"/>
        <w:rPr>
          <w:noProof/>
        </w:rPr>
      </w:pPr>
      <w:r w:rsidRPr="000305AA">
        <w:t>(c)</w:t>
      </w:r>
      <w:r w:rsidRPr="000305AA">
        <w:tab/>
      </w:r>
      <w:r w:rsidR="00AF46FA" w:rsidRPr="00A96D00">
        <w:rPr>
          <w:noProof/>
        </w:rPr>
        <w:t xml:space="preserve">izjavu o usklađenosti s </w:t>
      </w:r>
      <w:bookmarkStart w:id="5" w:name="_Hlk132982294"/>
      <w:r w:rsidR="00AF46FA" w:rsidRPr="00A96D00">
        <w:rPr>
          <w:noProof/>
        </w:rPr>
        <w:t>odredbama Direktive Vijeća 2014/107/EU</w:t>
      </w:r>
      <w:r w:rsidR="00AF46FA" w:rsidRPr="00A96D00">
        <w:rPr>
          <w:rStyle w:val="FootnoteReference"/>
          <w:noProof/>
        </w:rPr>
        <w:footnoteReference w:id="42"/>
      </w:r>
      <w:r w:rsidR="00AF46FA" w:rsidRPr="00A96D00">
        <w:rPr>
          <w:noProof/>
        </w:rPr>
        <w:t xml:space="preserve"> ili odredbama Direktive 2018/843/EU Europskog parlamenta i Vijeća</w:t>
      </w:r>
      <w:r w:rsidR="00AF46FA" w:rsidRPr="00A96D00">
        <w:rPr>
          <w:rStyle w:val="FootnoteReference"/>
          <w:noProof/>
        </w:rPr>
        <w:footnoteReference w:id="43"/>
      </w:r>
      <w:r w:rsidR="00AF46FA" w:rsidRPr="00A96D00">
        <w:rPr>
          <w:noProof/>
        </w:rPr>
        <w:t>, kako je primjenjivo, ili odredbama usporedivog zakonodavstva jurisdikcije treće zemlje koja nije uvrštena u Prilog I. EU-ova popisa nekooperativnih jurisdikcija u porezne svrhe</w:t>
      </w:r>
      <w:bookmarkEnd w:id="5"/>
      <w:r w:rsidR="00AF46FA" w:rsidRPr="00A96D00">
        <w:rPr>
          <w:noProof/>
        </w:rPr>
        <w:t xml:space="preserve"> ni u tablicu I. Priloga Delegiranoj uredbi (EU) 2016/1675.</w:t>
      </w:r>
    </w:p>
    <w:p w14:paraId="61AA4E25" w14:textId="5917748C" w:rsidR="004573F8" w:rsidRPr="00A96D00" w:rsidRDefault="000305AA" w:rsidP="000305AA">
      <w:pPr>
        <w:pStyle w:val="ManualNumPar1"/>
        <w:rPr>
          <w:noProof/>
        </w:rPr>
      </w:pPr>
      <w:r w:rsidRPr="000305AA">
        <w:t>2.</w:t>
      </w:r>
      <w:r w:rsidRPr="000305AA">
        <w:tab/>
      </w:r>
      <w:r w:rsidR="00583BEE" w:rsidRPr="00A96D00">
        <w:rPr>
          <w:noProof/>
        </w:rPr>
        <w:t>Financijski posrednici bez odgode obavješćuju nadležno tijelo države članice o svakoj promjeni informacija dostavljenih u skladu s točkama od (a) do (c).</w:t>
      </w:r>
    </w:p>
    <w:p w14:paraId="5D84C911" w14:textId="77777777" w:rsidR="001956AF" w:rsidRPr="00A96D00" w:rsidRDefault="001956AF" w:rsidP="00974BE9">
      <w:pPr>
        <w:pStyle w:val="Titrearticle"/>
        <w:rPr>
          <w:b/>
          <w:bCs/>
          <w:i w:val="0"/>
          <w:iCs/>
          <w:noProof/>
        </w:rPr>
      </w:pPr>
      <w:r w:rsidRPr="00A96D00">
        <w:rPr>
          <w:noProof/>
        </w:rPr>
        <w:t xml:space="preserve">Članak 8. </w:t>
      </w:r>
      <w:r w:rsidRPr="00A96D00">
        <w:rPr>
          <w:noProof/>
        </w:rPr>
        <w:br/>
      </w:r>
      <w:r w:rsidRPr="00A96D00">
        <w:rPr>
          <w:b/>
          <w:i w:val="0"/>
          <w:noProof/>
        </w:rPr>
        <w:t>Brisanje iz nacionalnog registra</w:t>
      </w:r>
    </w:p>
    <w:p w14:paraId="4A227308" w14:textId="692F5D34" w:rsidR="001956AF" w:rsidRPr="00A96D00" w:rsidRDefault="000305AA" w:rsidP="000305AA">
      <w:pPr>
        <w:pStyle w:val="ManualNumPar1"/>
        <w:rPr>
          <w:noProof/>
        </w:rPr>
      </w:pPr>
      <w:r w:rsidRPr="000305AA">
        <w:t>1.</w:t>
      </w:r>
      <w:r w:rsidRPr="000305AA">
        <w:tab/>
      </w:r>
      <w:r w:rsidR="001956AF" w:rsidRPr="00A96D00">
        <w:rPr>
          <w:noProof/>
        </w:rPr>
        <w:t xml:space="preserve">Države članice brišu ovlaštenog financijskog posrednika iz svojeg nacionalnog registra ako taj posrednik: </w:t>
      </w:r>
    </w:p>
    <w:p w14:paraId="26A3DC4A" w14:textId="26F03BB5" w:rsidR="001956AF" w:rsidRPr="00A96D00" w:rsidRDefault="000305AA" w:rsidP="000305AA">
      <w:pPr>
        <w:pStyle w:val="Point1"/>
        <w:rPr>
          <w:noProof/>
        </w:rPr>
      </w:pPr>
      <w:r w:rsidRPr="000305AA">
        <w:t>(a)</w:t>
      </w:r>
      <w:r w:rsidRPr="000305AA">
        <w:tab/>
      </w:r>
      <w:r w:rsidR="008C4F04" w:rsidRPr="00A96D00">
        <w:rPr>
          <w:noProof/>
        </w:rPr>
        <w:t>zatraži brisanje iz registra; ili</w:t>
      </w:r>
    </w:p>
    <w:p w14:paraId="7746C950" w14:textId="422BD752" w:rsidR="001956AF" w:rsidRPr="00A96D00" w:rsidRDefault="000305AA" w:rsidP="000305AA">
      <w:pPr>
        <w:pStyle w:val="Point1"/>
        <w:rPr>
          <w:noProof/>
        </w:rPr>
      </w:pPr>
      <w:r w:rsidRPr="000305AA">
        <w:t>(b)</w:t>
      </w:r>
      <w:r w:rsidRPr="000305AA">
        <w:tab/>
      </w:r>
      <w:r w:rsidR="001956AF" w:rsidRPr="00A96D00">
        <w:rPr>
          <w:noProof/>
        </w:rPr>
        <w:t xml:space="preserve">više ne ispunjava zahtjeve iz članka 7. </w:t>
      </w:r>
    </w:p>
    <w:p w14:paraId="71A5F85F" w14:textId="6779AE97" w:rsidR="001439E8" w:rsidRPr="00A96D00" w:rsidRDefault="000305AA" w:rsidP="000305AA">
      <w:pPr>
        <w:pStyle w:val="ManualNumPar1"/>
        <w:rPr>
          <w:noProof/>
        </w:rPr>
      </w:pPr>
      <w:r w:rsidRPr="000305AA">
        <w:t>2.</w:t>
      </w:r>
      <w:r w:rsidRPr="000305AA">
        <w:tab/>
      </w:r>
      <w:r w:rsidR="001439E8" w:rsidRPr="00A96D00">
        <w:rPr>
          <w:noProof/>
        </w:rPr>
        <w:t>Države članice mogu iz svojeg nacionalnog registra izbrisati svakog ovlaštenog financijskog posrednika za kojeg utvrde ponovljeno i namjerno neispunjavanje obveza na temelju bilo kojeg od sljedećih instrumenata:</w:t>
      </w:r>
    </w:p>
    <w:p w14:paraId="07364D86" w14:textId="06BBA370" w:rsidR="001439E8" w:rsidRPr="00A96D00" w:rsidRDefault="000305AA" w:rsidP="000305AA">
      <w:pPr>
        <w:pStyle w:val="Point1"/>
        <w:rPr>
          <w:noProof/>
        </w:rPr>
      </w:pPr>
      <w:r w:rsidRPr="000305AA">
        <w:t>(a)</w:t>
      </w:r>
      <w:r w:rsidRPr="000305AA">
        <w:tab/>
      </w:r>
      <w:r w:rsidR="001439E8" w:rsidRPr="00A96D00">
        <w:rPr>
          <w:noProof/>
        </w:rPr>
        <w:t>ove Direktive;</w:t>
      </w:r>
    </w:p>
    <w:p w14:paraId="4948CEA4" w14:textId="00C45348" w:rsidR="001439E8" w:rsidRPr="00A96D00" w:rsidRDefault="000305AA" w:rsidP="000305AA">
      <w:pPr>
        <w:pStyle w:val="Point1"/>
        <w:rPr>
          <w:noProof/>
        </w:rPr>
      </w:pPr>
      <w:r w:rsidRPr="000305AA">
        <w:t>(b)</w:t>
      </w:r>
      <w:r w:rsidRPr="000305AA">
        <w:tab/>
      </w:r>
      <w:r w:rsidR="00EE72EC" w:rsidRPr="00A96D00">
        <w:rPr>
          <w:noProof/>
        </w:rPr>
        <w:t>Direktive Vijeća 2014/107/EU; ili</w:t>
      </w:r>
    </w:p>
    <w:p w14:paraId="092C55EE" w14:textId="6AEF7E11" w:rsidR="001439E8" w:rsidRPr="00A96D00" w:rsidRDefault="000305AA" w:rsidP="000305AA">
      <w:pPr>
        <w:pStyle w:val="Point1"/>
        <w:rPr>
          <w:noProof/>
        </w:rPr>
      </w:pPr>
      <w:r w:rsidRPr="000305AA">
        <w:t>(c)</w:t>
      </w:r>
      <w:r w:rsidRPr="000305AA">
        <w:tab/>
      </w:r>
      <w:r w:rsidR="001439E8" w:rsidRPr="00A96D00">
        <w:rPr>
          <w:noProof/>
        </w:rPr>
        <w:t xml:space="preserve">Direktive 2018/843/EU; ili </w:t>
      </w:r>
    </w:p>
    <w:p w14:paraId="04E9319A" w14:textId="6D081A8D" w:rsidR="001439E8" w:rsidRPr="00A96D00" w:rsidRDefault="000305AA" w:rsidP="000305AA">
      <w:pPr>
        <w:pStyle w:val="Point1"/>
        <w:rPr>
          <w:noProof/>
        </w:rPr>
      </w:pPr>
      <w:r w:rsidRPr="000305AA">
        <w:t>(d)</w:t>
      </w:r>
      <w:r w:rsidRPr="000305AA">
        <w:tab/>
      </w:r>
      <w:r w:rsidR="00F45352" w:rsidRPr="00A96D00">
        <w:rPr>
          <w:noProof/>
        </w:rPr>
        <w:t>usporedivog zakonodavstva treće zemlje rezidentnosti u porezne svrhe.</w:t>
      </w:r>
    </w:p>
    <w:p w14:paraId="0120A5E2" w14:textId="655445D6" w:rsidR="00D85E7D" w:rsidRPr="00A96D00" w:rsidRDefault="000305AA" w:rsidP="000305AA">
      <w:pPr>
        <w:pStyle w:val="ManualNumPar1"/>
        <w:rPr>
          <w:noProof/>
        </w:rPr>
      </w:pPr>
      <w:r w:rsidRPr="000305AA">
        <w:t>3.</w:t>
      </w:r>
      <w:r w:rsidRPr="000305AA">
        <w:tab/>
      </w:r>
      <w:r w:rsidR="001956AF" w:rsidRPr="00A96D00">
        <w:rPr>
          <w:noProof/>
        </w:rPr>
        <w:t>Država članica koja izbriše ovlaštenog financijskog posrednika iz svojeg nacionalnog registra o tome bez odgode obavješćuje sve ostale države članice koje održavaju nacionalni registar u skladu s člankom 5.</w:t>
      </w:r>
    </w:p>
    <w:p w14:paraId="5C8886C6" w14:textId="7AC4A754" w:rsidR="00F82A9C" w:rsidRPr="00A96D00" w:rsidRDefault="000305AA" w:rsidP="000305AA">
      <w:pPr>
        <w:pStyle w:val="ManualNumPar1"/>
        <w:rPr>
          <w:noProof/>
        </w:rPr>
      </w:pPr>
      <w:r w:rsidRPr="000305AA">
        <w:t>4.</w:t>
      </w:r>
      <w:r w:rsidRPr="000305AA">
        <w:tab/>
      </w:r>
      <w:r w:rsidR="00F82A9C" w:rsidRPr="00A96D00">
        <w:rPr>
          <w:noProof/>
        </w:rPr>
        <w:t xml:space="preserve">Države članice moraju se pobrinuti da se financijski posrednik koji je izbrisan iz nacionalnog registra u skladu sa stavkom 1. ponovno registrira ako se otkloni neusklađenost s odredbama ove Direktive uključujući plaćanje ili namirivanje iznosa koje treba platiti zbog te neusklađenosti. </w:t>
      </w:r>
    </w:p>
    <w:p w14:paraId="7CA73231" w14:textId="77777777" w:rsidR="001956AF" w:rsidRPr="00A96D00" w:rsidRDefault="001956AF" w:rsidP="004D12F8">
      <w:pPr>
        <w:rPr>
          <w:noProof/>
        </w:rPr>
      </w:pPr>
    </w:p>
    <w:p w14:paraId="353D8C6B" w14:textId="77777777" w:rsidR="001956AF" w:rsidRPr="00A96D00" w:rsidRDefault="001956AF" w:rsidP="001956AF">
      <w:pPr>
        <w:jc w:val="center"/>
        <w:rPr>
          <w:b/>
          <w:bCs/>
          <w:i/>
          <w:noProof/>
        </w:rPr>
      </w:pPr>
      <w:r w:rsidRPr="00A96D00">
        <w:rPr>
          <w:b/>
          <w:i/>
          <w:noProof/>
        </w:rPr>
        <w:t>ODJELJAK 2.</w:t>
      </w:r>
    </w:p>
    <w:p w14:paraId="1540C036" w14:textId="77777777" w:rsidR="001956AF" w:rsidRPr="00A96D00" w:rsidRDefault="001956AF" w:rsidP="008E734B">
      <w:pPr>
        <w:jc w:val="center"/>
        <w:rPr>
          <w:b/>
          <w:bCs/>
          <w:iCs/>
          <w:noProof/>
        </w:rPr>
      </w:pPr>
      <w:r w:rsidRPr="00A96D00">
        <w:rPr>
          <w:b/>
          <w:noProof/>
        </w:rPr>
        <w:t>IZVJEŠĆIVANJE</w:t>
      </w:r>
    </w:p>
    <w:p w14:paraId="701A9B33" w14:textId="77777777" w:rsidR="001956AF" w:rsidRPr="00A96D00" w:rsidRDefault="001956AF" w:rsidP="008E734B">
      <w:pPr>
        <w:pStyle w:val="Titrearticle"/>
        <w:rPr>
          <w:b/>
          <w:bCs/>
          <w:i w:val="0"/>
          <w:iCs/>
          <w:noProof/>
        </w:rPr>
      </w:pPr>
      <w:r w:rsidRPr="00A96D00">
        <w:rPr>
          <w:noProof/>
        </w:rPr>
        <w:t xml:space="preserve">Članak 9.  </w:t>
      </w:r>
      <w:r w:rsidRPr="00A96D00">
        <w:rPr>
          <w:noProof/>
        </w:rPr>
        <w:br/>
      </w:r>
      <w:r w:rsidRPr="00A96D00">
        <w:rPr>
          <w:b/>
          <w:i w:val="0"/>
          <w:noProof/>
        </w:rPr>
        <w:t>Obveza izvješćivanja</w:t>
      </w:r>
    </w:p>
    <w:p w14:paraId="47C0ED96" w14:textId="43E9C8AF" w:rsidR="00326812" w:rsidRPr="00A96D00" w:rsidRDefault="000305AA" w:rsidP="000305AA">
      <w:pPr>
        <w:pStyle w:val="ManualNumPar1"/>
        <w:rPr>
          <w:noProof/>
        </w:rPr>
      </w:pPr>
      <w:r w:rsidRPr="000305AA">
        <w:t>1.</w:t>
      </w:r>
      <w:r w:rsidRPr="000305AA">
        <w:tab/>
      </w:r>
      <w:r w:rsidR="001956AF" w:rsidRPr="00A96D00">
        <w:rPr>
          <w:noProof/>
        </w:rPr>
        <w:t xml:space="preserve">Države članice poduzimaju potrebne mjere kako bi se ovlaštene financijske posrednike registrirane u nacionalni registar obvezalo da nadležnom tijelu što prije nakon datuma utvrđivanja stanja dostavljaju informacije iz Priloga II., osim ako je na datum utvrđivanja stanja u tijeku uputa o namiri u odnosu na dio transakcije pa se u tom slučaju za tu transakciju izvješćivanje obavlja što prije nakon namire. Ako je 20 dana nakon datuma utvrđivanja stanja namira i dalje u tijeku za dio transakcije, ovlašteni financijski posrednici o tome izvješćuju u roku od sljedećih pet kalendarskih dana navodeći dio za koji je namira u tijeku. </w:t>
      </w:r>
    </w:p>
    <w:p w14:paraId="4F676949" w14:textId="726C684A" w:rsidR="001956AF" w:rsidRPr="00A96D00" w:rsidRDefault="000305AA" w:rsidP="000305AA">
      <w:pPr>
        <w:pStyle w:val="ManualNumPar1"/>
        <w:rPr>
          <w:noProof/>
        </w:rPr>
      </w:pPr>
      <w:r w:rsidRPr="000305AA">
        <w:t>2.</w:t>
      </w:r>
      <w:r w:rsidRPr="000305AA">
        <w:tab/>
      </w:r>
      <w:r w:rsidR="00326812" w:rsidRPr="00A96D00">
        <w:rPr>
          <w:noProof/>
        </w:rPr>
        <w:t>Države članice dužne su pobrinuti se da ovlašteni financijski posrednici ne moraju dostavljati informacije iz Priloga II. naslova E ako iznos ukupne dividende isplaćen registriranom vlasniku na ime vlasnikova dioničarskog udjela u društvu ne premašuje 1 000 EUR.</w:t>
      </w:r>
    </w:p>
    <w:p w14:paraId="4D3EEE89" w14:textId="5340A7A6" w:rsidR="00567641" w:rsidRPr="00A96D00" w:rsidRDefault="000305AA" w:rsidP="000305AA">
      <w:pPr>
        <w:pStyle w:val="ManualNumPar1"/>
        <w:rPr>
          <w:noProof/>
        </w:rPr>
      </w:pPr>
      <w:r w:rsidRPr="000305AA">
        <w:t>3.</w:t>
      </w:r>
      <w:r w:rsidRPr="000305AA">
        <w:tab/>
      </w:r>
      <w:r w:rsidR="00567641" w:rsidRPr="00A96D00">
        <w:rPr>
          <w:noProof/>
        </w:rPr>
        <w:t xml:space="preserve">Države članice koje se odluče upotrebljavati nacionalni registar uspostavljen na temelju članka 5. u odnosu na isplate kamata obvezuju ovlaštene financijske posrednike na dostavljanje informacija iz Priloga II. no ne zahtijevaju dostavljanje informacija iz naslova E. </w:t>
      </w:r>
    </w:p>
    <w:p w14:paraId="0251CF85" w14:textId="3FEBC711" w:rsidR="001956AF" w:rsidRPr="00A96D00" w:rsidRDefault="000305AA" w:rsidP="000305AA">
      <w:pPr>
        <w:pStyle w:val="ManualNumPar1"/>
        <w:rPr>
          <w:noProof/>
        </w:rPr>
      </w:pPr>
      <w:r w:rsidRPr="000305AA">
        <w:t>4.</w:t>
      </w:r>
      <w:r w:rsidRPr="000305AA">
        <w:tab/>
      </w:r>
      <w:r w:rsidR="0098755D" w:rsidRPr="00A96D00">
        <w:rPr>
          <w:noProof/>
        </w:rPr>
        <w:t>Komisija donosi provedbene akte radi utvrđivanja standardnih elektroničkih obrazaca, uključujući odredbe o jeziku, te zahtjeva za komunikacijske kanale za dostavljanje informacija iz Priloga II. Ti se provedbeni akti donose u skladu s postupkom ispitivanja iz članka 18.</w:t>
      </w:r>
    </w:p>
    <w:p w14:paraId="1792DB50" w14:textId="577F0B92" w:rsidR="001956AF" w:rsidRPr="00A96D00" w:rsidRDefault="000305AA" w:rsidP="000305AA">
      <w:pPr>
        <w:pStyle w:val="ManualNumPar1"/>
        <w:rPr>
          <w:noProof/>
        </w:rPr>
      </w:pPr>
      <w:r w:rsidRPr="000305AA">
        <w:t>5.</w:t>
      </w:r>
      <w:r w:rsidRPr="000305AA">
        <w:tab/>
      </w:r>
      <w:r w:rsidR="001956AF" w:rsidRPr="00A96D00">
        <w:rPr>
          <w:noProof/>
        </w:rPr>
        <w:t>Države članice ovlaštenim financijskim posrednicima propisuju čuvanje dokumentacije kojom se potkrepljuju dostavljene informacije u nacionalnim registrima u razdoblju od pet godina i omogućivanje pristupa svim drugim informacijama i pristupa njihovim prostorima za potrebe revizije, te ovlaštenim financijskim posrednicima propisuju brisanje ili anonimiziranje svih osobnih podataka koje sadržava takva dokumentacija čim se revizija završi, a najkasnije pet godina nakon izvješćivanja.</w:t>
      </w:r>
    </w:p>
    <w:p w14:paraId="77F4562A" w14:textId="77777777" w:rsidR="001956AF" w:rsidRPr="00A96D00" w:rsidRDefault="001956AF" w:rsidP="008E734B">
      <w:pPr>
        <w:rPr>
          <w:noProof/>
        </w:rPr>
      </w:pPr>
    </w:p>
    <w:p w14:paraId="739A92C0" w14:textId="77777777" w:rsidR="008E734B" w:rsidRPr="00A96D00" w:rsidRDefault="001956AF" w:rsidP="008E734B">
      <w:pPr>
        <w:jc w:val="center"/>
        <w:rPr>
          <w:b/>
          <w:bCs/>
          <w:i/>
          <w:noProof/>
        </w:rPr>
      </w:pPr>
      <w:r w:rsidRPr="00A96D00">
        <w:rPr>
          <w:b/>
          <w:i/>
          <w:noProof/>
        </w:rPr>
        <w:t>ODJELJAK 3.</w:t>
      </w:r>
    </w:p>
    <w:p w14:paraId="0BFCB595" w14:textId="77777777" w:rsidR="001956AF" w:rsidRPr="00A96D00" w:rsidRDefault="001956AF" w:rsidP="008E734B">
      <w:pPr>
        <w:jc w:val="center"/>
        <w:rPr>
          <w:b/>
          <w:bCs/>
          <w:i/>
          <w:noProof/>
        </w:rPr>
      </w:pPr>
      <w:r w:rsidRPr="00A96D00">
        <w:rPr>
          <w:b/>
          <w:noProof/>
        </w:rPr>
        <w:t>SUSTAVI OSLOBOĐENJA</w:t>
      </w:r>
    </w:p>
    <w:p w14:paraId="78CEC2E8" w14:textId="77777777" w:rsidR="001956AF" w:rsidRPr="00A96D00" w:rsidRDefault="001956AF" w:rsidP="00BA7238">
      <w:pPr>
        <w:pStyle w:val="Titrearticle"/>
        <w:rPr>
          <w:b/>
          <w:bCs/>
          <w:i w:val="0"/>
          <w:iCs/>
          <w:noProof/>
        </w:rPr>
      </w:pPr>
      <w:r w:rsidRPr="00A96D00">
        <w:rPr>
          <w:noProof/>
        </w:rPr>
        <w:t xml:space="preserve">Članak 10. </w:t>
      </w:r>
      <w:r w:rsidRPr="00A96D00">
        <w:rPr>
          <w:noProof/>
        </w:rPr>
        <w:br/>
      </w:r>
      <w:r w:rsidRPr="00A96D00">
        <w:rPr>
          <w:b/>
          <w:i w:val="0"/>
          <w:noProof/>
        </w:rPr>
        <w:t>Zahtjev za oslobođenje na izvoru ili brzi povrat</w:t>
      </w:r>
    </w:p>
    <w:p w14:paraId="2F183DD0" w14:textId="6A444103" w:rsidR="00F03F98" w:rsidRPr="00A96D00" w:rsidRDefault="000305AA" w:rsidP="000305AA">
      <w:pPr>
        <w:pStyle w:val="ManualNumPar1"/>
        <w:rPr>
          <w:noProof/>
        </w:rPr>
      </w:pPr>
      <w:bookmarkStart w:id="6" w:name="_Hlk136606527"/>
      <w:r w:rsidRPr="000305AA">
        <w:t>1.</w:t>
      </w:r>
      <w:r w:rsidRPr="000305AA">
        <w:tab/>
      </w:r>
      <w:r w:rsidR="001956AF" w:rsidRPr="00A96D00">
        <w:rPr>
          <w:noProof/>
        </w:rPr>
        <w:t>Države članice zahtijevaju od ovlaštenog financijskog posrednika koji vodi ulagački račun registriranog vlasnika koji prima dividende ili kamate da zatraži oslobođenje u skladu s člankom 12. i/ili člankom 13. u ime tog registriranog vlasnika ako su ispunjeni sljedeći uvjeti:</w:t>
      </w:r>
    </w:p>
    <w:p w14:paraId="50080E08" w14:textId="3B2DE202" w:rsidR="00F03F98" w:rsidRPr="00A96D00" w:rsidRDefault="000305AA" w:rsidP="000305AA">
      <w:pPr>
        <w:pStyle w:val="Point1"/>
        <w:rPr>
          <w:noProof/>
        </w:rPr>
      </w:pPr>
      <w:r w:rsidRPr="000305AA">
        <w:t>(a)</w:t>
      </w:r>
      <w:r w:rsidRPr="000305AA">
        <w:tab/>
      </w:r>
      <w:r w:rsidR="00F03F98" w:rsidRPr="00A96D00">
        <w:rPr>
          <w:noProof/>
        </w:rPr>
        <w:t xml:space="preserve">registrirani vlasnik ovlastio je ovlaštenog financijskog posrednika da u njegovo ime zatraži oslobođenje; i </w:t>
      </w:r>
    </w:p>
    <w:p w14:paraId="600F2EF5" w14:textId="2E4C2B82" w:rsidR="00497364" w:rsidRPr="00A96D00" w:rsidRDefault="000305AA" w:rsidP="000305AA">
      <w:pPr>
        <w:pStyle w:val="Point1"/>
        <w:rPr>
          <w:noProof/>
        </w:rPr>
      </w:pPr>
      <w:r w:rsidRPr="000305AA">
        <w:t>(b)</w:t>
      </w:r>
      <w:r w:rsidRPr="000305AA">
        <w:tab/>
      </w:r>
      <w:r w:rsidR="00F03F98" w:rsidRPr="00A96D00">
        <w:rPr>
          <w:noProof/>
        </w:rPr>
        <w:t>ovlašteni financijski posrednik provjerio je i utvrdio prihvatljivost registriranog vlasnika u skladu s člankom 11. Takva provjera može uključivati i procjenu rizika kojom se uzimaju u obzir kreditni rizik i rizik od prijevare.</w:t>
      </w:r>
      <w:bookmarkEnd w:id="6"/>
    </w:p>
    <w:p w14:paraId="418955FB" w14:textId="2BC48C6E" w:rsidR="001956AF" w:rsidRPr="00A96D00" w:rsidRDefault="000305AA" w:rsidP="000305AA">
      <w:pPr>
        <w:pStyle w:val="ManualNumPar1"/>
        <w:rPr>
          <w:noProof/>
        </w:rPr>
      </w:pPr>
      <w:r w:rsidRPr="000305AA">
        <w:t>2.</w:t>
      </w:r>
      <w:r w:rsidRPr="000305AA">
        <w:tab/>
      </w:r>
      <w:r w:rsidR="001956AF" w:rsidRPr="00A96D00">
        <w:rPr>
          <w:noProof/>
        </w:rPr>
        <w:t>Neovisno o stavku 1., države članice ne pružaju oslobođenje u okviru sustava predviđenih člancima 12. i 13. za zahtjev, ako je:</w:t>
      </w:r>
    </w:p>
    <w:p w14:paraId="4CB44404" w14:textId="6FC9CCD9" w:rsidR="005B0478" w:rsidRPr="00A96D00" w:rsidRDefault="000305AA" w:rsidP="000305AA">
      <w:pPr>
        <w:pStyle w:val="Point1"/>
        <w:rPr>
          <w:noProof/>
        </w:rPr>
      </w:pPr>
      <w:r w:rsidRPr="000305AA">
        <w:t>(a)</w:t>
      </w:r>
      <w:r w:rsidRPr="000305AA">
        <w:tab/>
      </w:r>
      <w:r w:rsidR="005B0478" w:rsidRPr="00A96D00">
        <w:rPr>
          <w:noProof/>
        </w:rPr>
        <w:t>dividenda isplaćena na dionicu kojom se trguje na burzi, a koju je registrirani vlasnik stekao u roku od dva dana prije datuma prestanka prava na dividende;</w:t>
      </w:r>
    </w:p>
    <w:p w14:paraId="3AA23262" w14:textId="4CC2FF52" w:rsidR="001956AF" w:rsidRPr="00A96D00" w:rsidRDefault="000305AA" w:rsidP="000305AA">
      <w:pPr>
        <w:pStyle w:val="Point1"/>
        <w:rPr>
          <w:noProof/>
        </w:rPr>
      </w:pPr>
      <w:r w:rsidRPr="000305AA">
        <w:t>(b)</w:t>
      </w:r>
      <w:r w:rsidRPr="000305AA">
        <w:tab/>
      </w:r>
      <w:r w:rsidR="003B7A50" w:rsidRPr="00A96D00">
        <w:rPr>
          <w:noProof/>
        </w:rPr>
        <w:t>isplata dividende na predmetni vrijednosni papir za koji se traži oslobođenje povezana s financijskim aranžmanom koji na datum prestanka prava na dividende nije namiren, istekao je ili je na drugi način raskinut.</w:t>
      </w:r>
    </w:p>
    <w:p w14:paraId="7B73A6C6" w14:textId="033CC0F4" w:rsidR="001956AF" w:rsidRPr="00A96D00" w:rsidRDefault="000305AA" w:rsidP="000305AA">
      <w:pPr>
        <w:pStyle w:val="ManualNumPar1"/>
        <w:rPr>
          <w:noProof/>
        </w:rPr>
      </w:pPr>
      <w:r w:rsidRPr="000305AA">
        <w:t>3.</w:t>
      </w:r>
      <w:r w:rsidRPr="000305AA">
        <w:tab/>
      </w:r>
      <w:r w:rsidR="6D09F942" w:rsidRPr="00A96D00">
        <w:rPr>
          <w:noProof/>
        </w:rPr>
        <w:t>Neovisno o stavku 1., države članice mogu izuzeti zahtjeve za oslobođenje na temelju članaka 12. i 13. ako:</w:t>
      </w:r>
    </w:p>
    <w:p w14:paraId="1ED1FD95" w14:textId="7256B3CD" w:rsidR="3E2E3C02" w:rsidRPr="00A96D00" w:rsidRDefault="000305AA" w:rsidP="000305AA">
      <w:pPr>
        <w:pStyle w:val="Point1"/>
        <w:rPr>
          <w:noProof/>
        </w:rPr>
      </w:pPr>
      <w:r w:rsidRPr="000305AA">
        <w:t>(a)</w:t>
      </w:r>
      <w:r w:rsidRPr="000305AA">
        <w:tab/>
      </w:r>
      <w:r w:rsidR="3E2E3C02" w:rsidRPr="00A96D00">
        <w:rPr>
          <w:noProof/>
        </w:rPr>
        <w:t>barem jedan od financijskih posrednika u lancu isplata za vrijednosni papir nije ovlašteni financijski posrednik, a naknadni ovlašteni financijski posrednik u lancu nije dostavio nadležnom tijelu informacije o kojima bi financijski posrednik trebao izvješćivati u skladu s ovom Direktivom ako je riječ o certificiranom financijskom posredniku; ili</w:t>
      </w:r>
    </w:p>
    <w:p w14:paraId="78F9F625" w14:textId="40936A02" w:rsidR="001956AF" w:rsidRPr="00A96D00" w:rsidRDefault="000305AA" w:rsidP="000305AA">
      <w:pPr>
        <w:pStyle w:val="Point1"/>
        <w:rPr>
          <w:noProof/>
        </w:rPr>
      </w:pPr>
      <w:r w:rsidRPr="000305AA">
        <w:t>(b)</w:t>
      </w:r>
      <w:r w:rsidRPr="000305AA">
        <w:tab/>
      </w:r>
      <w:r w:rsidR="00340191" w:rsidRPr="00A96D00">
        <w:rPr>
          <w:noProof/>
        </w:rPr>
        <w:t xml:space="preserve">se zahtijeva izuzeće od poreza po odbitku. </w:t>
      </w:r>
    </w:p>
    <w:p w14:paraId="2864F269" w14:textId="77777777" w:rsidR="001956AF" w:rsidRPr="00A96D00" w:rsidRDefault="001956AF" w:rsidP="000A0493">
      <w:pPr>
        <w:pStyle w:val="Titrearticle"/>
        <w:rPr>
          <w:b/>
          <w:bCs/>
          <w:i w:val="0"/>
          <w:iCs/>
          <w:noProof/>
        </w:rPr>
      </w:pPr>
      <w:r w:rsidRPr="00A96D00">
        <w:rPr>
          <w:noProof/>
        </w:rPr>
        <w:t xml:space="preserve">Članak 11. </w:t>
      </w:r>
      <w:r w:rsidRPr="00A96D00">
        <w:rPr>
          <w:noProof/>
        </w:rPr>
        <w:br/>
      </w:r>
      <w:r w:rsidRPr="00A96D00">
        <w:rPr>
          <w:b/>
          <w:i w:val="0"/>
          <w:noProof/>
        </w:rPr>
        <w:t>Dubinska analiza prihvatljivosti registriranog vlasnika</w:t>
      </w:r>
    </w:p>
    <w:p w14:paraId="43B4817B" w14:textId="4E76D9EE" w:rsidR="001956AF" w:rsidRPr="00A96D00" w:rsidRDefault="000305AA" w:rsidP="000305AA">
      <w:pPr>
        <w:pStyle w:val="ManualNumPar1"/>
        <w:rPr>
          <w:noProof/>
        </w:rPr>
      </w:pPr>
      <w:r w:rsidRPr="000305AA">
        <w:t>1.</w:t>
      </w:r>
      <w:r w:rsidRPr="000305AA">
        <w:tab/>
      </w:r>
      <w:r w:rsidR="001956AF" w:rsidRPr="00A96D00">
        <w:rPr>
          <w:noProof/>
        </w:rPr>
        <w:t>Države članice osiguravaju da ovlašteni financijski posrednik koji u ime registriranog vlasnika zahtijeva oslobođenje u skladu s člankom 12. i/ili 13. od tog registriranog vlasnika dobije izjavu da registrirani vlasnik:</w:t>
      </w:r>
    </w:p>
    <w:p w14:paraId="7ED835A1" w14:textId="5A2166F0" w:rsidR="001956AF" w:rsidRPr="00A96D00" w:rsidRDefault="000305AA" w:rsidP="000305AA">
      <w:pPr>
        <w:pStyle w:val="Point1"/>
        <w:rPr>
          <w:noProof/>
        </w:rPr>
      </w:pPr>
      <w:r w:rsidRPr="000305AA">
        <w:t>(a)</w:t>
      </w:r>
      <w:r w:rsidRPr="000305AA">
        <w:tab/>
      </w:r>
      <w:r w:rsidR="001956AF" w:rsidRPr="00A96D00">
        <w:rPr>
          <w:noProof/>
        </w:rPr>
        <w:t>zaista jest stvarni vlasnik dividende ili kamata kako je definirano nacionalnim zakonodavstvom države članice izvora; i</w:t>
      </w:r>
    </w:p>
    <w:p w14:paraId="478E5B8C" w14:textId="5C2A3433" w:rsidR="001956AF" w:rsidRPr="00A96D00" w:rsidRDefault="000305AA" w:rsidP="000305AA">
      <w:pPr>
        <w:pStyle w:val="Point1"/>
        <w:rPr>
          <w:noProof/>
        </w:rPr>
      </w:pPr>
      <w:r w:rsidRPr="000305AA">
        <w:t>(b)</w:t>
      </w:r>
      <w:r w:rsidRPr="000305AA">
        <w:tab/>
      </w:r>
      <w:r w:rsidR="001956AF" w:rsidRPr="00A96D00">
        <w:rPr>
          <w:noProof/>
        </w:rPr>
        <w:t>nije sudjelovao u financijskom aranžmanu povezanom s predmetnom dionicom kojom se trguje na burzi, a koji na datum prestanka prava na dividende nije namiren, istekao je ili je na drugi način raskinut.</w:t>
      </w:r>
    </w:p>
    <w:p w14:paraId="3B5ADFA7" w14:textId="40CEE4BE" w:rsidR="001956AF" w:rsidRPr="00A96D00" w:rsidRDefault="000305AA" w:rsidP="000305AA">
      <w:pPr>
        <w:pStyle w:val="ManualNumPar1"/>
        <w:rPr>
          <w:noProof/>
        </w:rPr>
      </w:pPr>
      <w:r w:rsidRPr="000305AA">
        <w:t>2.</w:t>
      </w:r>
      <w:r w:rsidRPr="000305AA">
        <w:tab/>
      </w:r>
      <w:r w:rsidR="001956AF" w:rsidRPr="00A96D00">
        <w:rPr>
          <w:noProof/>
        </w:rPr>
        <w:t xml:space="preserve">Države članice osiguravaju da ovlašteni financijski posrednici koji traže oslobođenje u skladu s člankom 12. i/ili 13. u ime registriranog vlasnika provjere: </w:t>
      </w:r>
    </w:p>
    <w:p w14:paraId="2842E2AF" w14:textId="0C29F5FF" w:rsidR="001956AF" w:rsidRPr="00A96D00" w:rsidRDefault="000305AA" w:rsidP="000305AA">
      <w:pPr>
        <w:pStyle w:val="Point1"/>
        <w:rPr>
          <w:noProof/>
        </w:rPr>
      </w:pPr>
      <w:r w:rsidRPr="000305AA">
        <w:t>(a)</w:t>
      </w:r>
      <w:r w:rsidRPr="000305AA">
        <w:tab/>
      </w:r>
      <w:r w:rsidR="008E49A6" w:rsidRPr="00A96D00">
        <w:rPr>
          <w:noProof/>
        </w:rPr>
        <w:t xml:space="preserve">eTRC registriranog vlasnika i/ili odgovarajući dokaz o poreznoj rezidentnosti u trećoj zemlji; </w:t>
      </w:r>
    </w:p>
    <w:p w14:paraId="28FF2553" w14:textId="115F32BB" w:rsidR="001956AF" w:rsidRPr="00A96D00" w:rsidRDefault="000305AA" w:rsidP="000305AA">
      <w:pPr>
        <w:pStyle w:val="Point1"/>
        <w:rPr>
          <w:noProof/>
        </w:rPr>
      </w:pPr>
      <w:r w:rsidRPr="000305AA">
        <w:t>(b)</w:t>
      </w:r>
      <w:r w:rsidRPr="000305AA">
        <w:tab/>
      </w:r>
      <w:r w:rsidR="001956AF" w:rsidRPr="00A96D00">
        <w:rPr>
          <w:noProof/>
        </w:rPr>
        <w:t>izjavu i poreznu rezidentnost registriranog vlasnika na temelju informacija dobivenih mehanizmima unutarnje kontrole kojima se ovlašteni financijski posrednik koristi kako bi ispunio obveze povezane sa sprečavanjem pranja novca i financiranja terorizma na temelju Direktive (EU) 2015/849</w:t>
      </w:r>
      <w:r w:rsidR="001956AF" w:rsidRPr="00A96D00">
        <w:rPr>
          <w:rStyle w:val="FootnoteReference"/>
          <w:noProof/>
        </w:rPr>
        <w:footnoteReference w:id="44"/>
      </w:r>
      <w:r w:rsidR="001956AF" w:rsidRPr="00A96D00">
        <w:rPr>
          <w:noProof/>
        </w:rPr>
        <w:t xml:space="preserve"> ili usporedive informacije koje se zahtijevaju u trećim zemljama;</w:t>
      </w:r>
    </w:p>
    <w:p w14:paraId="5F479B25" w14:textId="72611493" w:rsidR="001956AF" w:rsidRPr="00A96D00" w:rsidRDefault="000305AA" w:rsidP="000305AA">
      <w:pPr>
        <w:pStyle w:val="Point1"/>
        <w:rPr>
          <w:noProof/>
        </w:rPr>
      </w:pPr>
      <w:r w:rsidRPr="000305AA">
        <w:t>(c)</w:t>
      </w:r>
      <w:r w:rsidRPr="000305AA">
        <w:tab/>
      </w:r>
      <w:r w:rsidR="008E49A6" w:rsidRPr="00A96D00">
        <w:rPr>
          <w:noProof/>
        </w:rPr>
        <w:t xml:space="preserve">pravo registriranog vlasnika na određenu sniženu stopu poreza po odbitku u skladu s ugovorom o izbjegavanju dvostrukog oporezivanja između države članice izvora i jurisdikcija u kojima je registrirani vlasnik rezident za porezne svrhe ili u skladu s posebnim nacionalnim zakonodavstvom države članice izvora; </w:t>
      </w:r>
    </w:p>
    <w:p w14:paraId="5917CAE8" w14:textId="0FE57FB6" w:rsidR="00EE06AE" w:rsidRPr="00A96D00" w:rsidRDefault="000305AA" w:rsidP="000305AA">
      <w:pPr>
        <w:pStyle w:val="Point1"/>
        <w:rPr>
          <w:noProof/>
        </w:rPr>
      </w:pPr>
      <w:r w:rsidRPr="000305AA">
        <w:t>(d)</w:t>
      </w:r>
      <w:r w:rsidRPr="000305AA">
        <w:tab/>
      </w:r>
      <w:r w:rsidR="00C05948" w:rsidRPr="00A96D00">
        <w:rPr>
          <w:noProof/>
        </w:rPr>
        <w:t>u slučaju isplate dividende i na temelju informacija dostupnih ovlaštenom financijskom posredniku, moguće postojanje bilo kakvog financijskog aranžmana koji na datum prestanka prava na dividende nije namiren, istekao je ili je na drugi način raskinut, osim ako dividenda isplaćena registriranom vlasniku za svaku grupu identičnih dionica koje posjeduje ne premašuje 1 000 EUR.</w:t>
      </w:r>
    </w:p>
    <w:p w14:paraId="00D018C7" w14:textId="62F94553" w:rsidR="00EE06AE" w:rsidRPr="00A96D00" w:rsidRDefault="000305AA" w:rsidP="000305AA">
      <w:pPr>
        <w:pStyle w:val="ManualNumPar1"/>
        <w:rPr>
          <w:noProof/>
        </w:rPr>
      </w:pPr>
      <w:r w:rsidRPr="000305AA">
        <w:t>3.</w:t>
      </w:r>
      <w:r w:rsidRPr="000305AA">
        <w:tab/>
      </w:r>
      <w:r w:rsidR="00EE06AE" w:rsidRPr="00A96D00">
        <w:rPr>
          <w:noProof/>
        </w:rPr>
        <w:t>Države članice osiguravaju da ovlašteni financijski posrednici imaju uspostavljene odgovarajuće postupke za obavljanje provjera u skladu sa stavkom 2.</w:t>
      </w:r>
    </w:p>
    <w:p w14:paraId="4A532C63" w14:textId="77777777" w:rsidR="001956AF" w:rsidRPr="00A96D00" w:rsidRDefault="001956AF" w:rsidP="00655C22">
      <w:pPr>
        <w:pStyle w:val="Titrearticle"/>
        <w:rPr>
          <w:b/>
          <w:bCs/>
          <w:i w:val="0"/>
          <w:iCs/>
          <w:noProof/>
        </w:rPr>
      </w:pPr>
      <w:r w:rsidRPr="00A96D00">
        <w:rPr>
          <w:noProof/>
        </w:rPr>
        <w:t xml:space="preserve">Članak 12. </w:t>
      </w:r>
      <w:r w:rsidRPr="00A96D00">
        <w:rPr>
          <w:noProof/>
        </w:rPr>
        <w:br/>
      </w:r>
      <w:r w:rsidRPr="00A96D00">
        <w:rPr>
          <w:b/>
          <w:i w:val="0"/>
          <w:noProof/>
        </w:rPr>
        <w:t>Oslobođenje od poreza na izvoru</w:t>
      </w:r>
    </w:p>
    <w:p w14:paraId="73DA9E3D" w14:textId="77777777" w:rsidR="001956AF" w:rsidRPr="00A96D00" w:rsidRDefault="00AC23A2" w:rsidP="004D12F8">
      <w:pPr>
        <w:rPr>
          <w:noProof/>
        </w:rPr>
      </w:pPr>
      <w:r w:rsidRPr="00A96D00">
        <w:rPr>
          <w:noProof/>
        </w:rPr>
        <w:t xml:space="preserve">Države članice mogu dopustiti </w:t>
      </w:r>
      <w:bookmarkStart w:id="7" w:name="_Hlk133000417"/>
      <w:r w:rsidRPr="00A96D00">
        <w:rPr>
          <w:noProof/>
        </w:rPr>
        <w:t>ovlaštenim financijskim posrednicima koji vode ulagački račun registriranog vlasnika da zatraže</w:t>
      </w:r>
      <w:bookmarkEnd w:id="7"/>
      <w:r w:rsidRPr="00A96D00">
        <w:rPr>
          <w:noProof/>
        </w:rPr>
        <w:t xml:space="preserve"> oslobođenje na izvoru u ime registriranog vlasnika u skladu s člankom 10. tako da zastupniku za porez po odbitku dostave sljedeće:</w:t>
      </w:r>
    </w:p>
    <w:p w14:paraId="24F59262" w14:textId="612BA8D8" w:rsidR="001956AF" w:rsidRPr="00A96D00" w:rsidRDefault="000305AA" w:rsidP="000305AA">
      <w:pPr>
        <w:pStyle w:val="Point0"/>
        <w:rPr>
          <w:noProof/>
        </w:rPr>
      </w:pPr>
      <w:r w:rsidRPr="000305AA">
        <w:t>(a)</w:t>
      </w:r>
      <w:r w:rsidRPr="000305AA">
        <w:tab/>
      </w:r>
      <w:r w:rsidR="00CC5F96" w:rsidRPr="00A96D00">
        <w:rPr>
          <w:noProof/>
        </w:rPr>
        <w:t>informacije o poreznoj rezidentnosti registriranog vlasnika; i</w:t>
      </w:r>
    </w:p>
    <w:p w14:paraId="7BFD75C4" w14:textId="23E69D42" w:rsidR="001956AF" w:rsidRPr="00A96D00" w:rsidRDefault="000305AA" w:rsidP="000305AA">
      <w:pPr>
        <w:pStyle w:val="Point0"/>
        <w:rPr>
          <w:noProof/>
        </w:rPr>
      </w:pPr>
      <w:r w:rsidRPr="000305AA">
        <w:t>(b)</w:t>
      </w:r>
      <w:r w:rsidRPr="000305AA">
        <w:tab/>
      </w:r>
      <w:r w:rsidR="00CC5F96" w:rsidRPr="00A96D00">
        <w:rPr>
          <w:noProof/>
        </w:rPr>
        <w:t xml:space="preserve">informacije o stopi poreza po odbitku koja se primjenjuje na plaćanje u skladu s ugovorom o izbjegavanju dvostrukog oporezivanja ili u skladu s posebnim nacionalnim zakonodavstvom. </w:t>
      </w:r>
    </w:p>
    <w:p w14:paraId="459BDAF0" w14:textId="77777777" w:rsidR="001956AF" w:rsidRPr="00A96D00" w:rsidRDefault="001956AF" w:rsidP="008010FF">
      <w:pPr>
        <w:pStyle w:val="Titrearticle"/>
        <w:rPr>
          <w:b/>
          <w:bCs/>
          <w:i w:val="0"/>
          <w:iCs/>
          <w:noProof/>
        </w:rPr>
      </w:pPr>
      <w:r w:rsidRPr="00A96D00">
        <w:rPr>
          <w:noProof/>
        </w:rPr>
        <w:t xml:space="preserve">Članak 13. </w:t>
      </w:r>
      <w:r w:rsidRPr="00A96D00">
        <w:rPr>
          <w:noProof/>
        </w:rPr>
        <w:br/>
      </w:r>
      <w:r w:rsidRPr="00A96D00">
        <w:rPr>
          <w:b/>
          <w:i w:val="0"/>
          <w:noProof/>
        </w:rPr>
        <w:t>Sustav brzog povrata</w:t>
      </w:r>
    </w:p>
    <w:p w14:paraId="072AF10C" w14:textId="6F7984C0" w:rsidR="001956AF" w:rsidRPr="00A96D00" w:rsidRDefault="000305AA" w:rsidP="000305AA">
      <w:pPr>
        <w:pStyle w:val="ManualNumPar1"/>
        <w:rPr>
          <w:noProof/>
        </w:rPr>
      </w:pPr>
      <w:r w:rsidRPr="000305AA">
        <w:t>1.</w:t>
      </w:r>
      <w:r w:rsidRPr="000305AA">
        <w:tab/>
      </w:r>
      <w:r w:rsidR="001F36D2" w:rsidRPr="00A96D00">
        <w:rPr>
          <w:noProof/>
        </w:rPr>
        <w:t>Države članice mogu dopustiti ovlaštenim financijskim posrednicima koji vode ulagački račun registriranog vlasnika da zatraže brzi povrat preplaćenog poreza po odbitku u ime registriranog vlasnika u skladu s člankom 10. ako su informacije iz stavka 3. ovog članka dostavljene što je prije moguće nakon datuma plaćanja, a najkasnije u roku od 25 kalendarskih dana od datuma isplate dividende ili kamate.</w:t>
      </w:r>
    </w:p>
    <w:p w14:paraId="156E1442" w14:textId="0E51B42B" w:rsidR="00C53616" w:rsidRPr="00A96D00" w:rsidRDefault="000305AA" w:rsidP="000305AA">
      <w:pPr>
        <w:pStyle w:val="ManualNumPar1"/>
        <w:rPr>
          <w:noProof/>
        </w:rPr>
      </w:pPr>
      <w:r w:rsidRPr="000305AA">
        <w:t>2.</w:t>
      </w:r>
      <w:r w:rsidRPr="000305AA">
        <w:tab/>
      </w:r>
      <w:r w:rsidR="001F36D2" w:rsidRPr="00A96D00">
        <w:rPr>
          <w:noProof/>
        </w:rPr>
        <w:t>Države članice obrađuju zahtjev za povrat podnesen u skladu sa stavkom 1. u roku od 25 kalendarskih dana od datuma takvog zahtjeva ili od datuma na koji su svi relevantni ovlašteni financijski posrednici ispunili obveze izvješćivanja na temelju ove Direktive, ovisno o tome što nastupi kasnije. Države članice primjenjuju kamate u skladu s člankom 14. na iznos takvih povrata za svaki dan kašnjenja nakon 25. dana.</w:t>
      </w:r>
    </w:p>
    <w:p w14:paraId="3B0BD29D" w14:textId="6B82A71B" w:rsidR="001956AF" w:rsidRPr="00A96D00" w:rsidRDefault="000305AA" w:rsidP="000305AA">
      <w:pPr>
        <w:pStyle w:val="ManualNumPar1"/>
        <w:rPr>
          <w:noProof/>
        </w:rPr>
      </w:pPr>
      <w:r w:rsidRPr="000305AA">
        <w:t>3.</w:t>
      </w:r>
      <w:r w:rsidRPr="000305AA">
        <w:tab/>
      </w:r>
      <w:r w:rsidR="00AC23A2" w:rsidRPr="00A96D00">
        <w:rPr>
          <w:noProof/>
        </w:rPr>
        <w:t>Ovlašteni financijski posrednik koji traži brzi povrat mora predmetnoj državi članici dostaviti sljedeće informacije:</w:t>
      </w:r>
    </w:p>
    <w:p w14:paraId="4F9B9213" w14:textId="3C38D651" w:rsidR="001F36D2" w:rsidRPr="00A96D00" w:rsidRDefault="000305AA" w:rsidP="000305AA">
      <w:pPr>
        <w:pStyle w:val="Point1"/>
        <w:rPr>
          <w:noProof/>
        </w:rPr>
      </w:pPr>
      <w:r w:rsidRPr="000305AA">
        <w:t>(a)</w:t>
      </w:r>
      <w:r w:rsidRPr="000305AA">
        <w:tab/>
      </w:r>
      <w:r w:rsidR="003E7F0F" w:rsidRPr="00A96D00">
        <w:rPr>
          <w:noProof/>
        </w:rPr>
        <w:t>informacije o isplati dividende ili kamate kako je navedeno u naslovu B Priloga II.;</w:t>
      </w:r>
    </w:p>
    <w:p w14:paraId="1E3FAFDB" w14:textId="33115D66" w:rsidR="001F36D2" w:rsidRPr="00A96D00" w:rsidRDefault="000305AA" w:rsidP="000305AA">
      <w:pPr>
        <w:pStyle w:val="Point1"/>
        <w:rPr>
          <w:noProof/>
        </w:rPr>
      </w:pPr>
      <w:r w:rsidRPr="000305AA">
        <w:t>(b)</w:t>
      </w:r>
      <w:r w:rsidRPr="000305AA">
        <w:tab/>
      </w:r>
      <w:r w:rsidR="003E7F0F" w:rsidRPr="00A96D00">
        <w:rPr>
          <w:noProof/>
        </w:rPr>
        <w:t>pravnu osnovu primjenjive stope poreza po odbitku i ukupni iznos preplaćenog poreza koji treba vratiti;</w:t>
      </w:r>
    </w:p>
    <w:p w14:paraId="0C4A2CF1" w14:textId="493FE3C2" w:rsidR="00AC23A2" w:rsidRPr="00A96D00" w:rsidRDefault="000305AA" w:rsidP="000305AA">
      <w:pPr>
        <w:pStyle w:val="Point1"/>
        <w:rPr>
          <w:noProof/>
        </w:rPr>
      </w:pPr>
      <w:r w:rsidRPr="000305AA">
        <w:t>(c)</w:t>
      </w:r>
      <w:r w:rsidRPr="000305AA">
        <w:tab/>
      </w:r>
      <w:r w:rsidR="00B36ECF" w:rsidRPr="00A96D00">
        <w:rPr>
          <w:noProof/>
        </w:rPr>
        <w:t>informacije o poreznoj rezidentnosti registriranog vlasnika;</w:t>
      </w:r>
    </w:p>
    <w:p w14:paraId="14AADEDD" w14:textId="4DDD98E8" w:rsidR="001F36D2" w:rsidRPr="00A96D00" w:rsidRDefault="000305AA" w:rsidP="000305AA">
      <w:pPr>
        <w:pStyle w:val="Point1"/>
        <w:rPr>
          <w:noProof/>
        </w:rPr>
      </w:pPr>
      <w:r w:rsidRPr="000305AA">
        <w:t>(d)</w:t>
      </w:r>
      <w:r w:rsidRPr="000305AA">
        <w:tab/>
      </w:r>
      <w:r w:rsidR="003E7F0F" w:rsidRPr="00A96D00">
        <w:rPr>
          <w:noProof/>
        </w:rPr>
        <w:t>izjavu registriranog vlasnika u skladu s člankom 11.</w:t>
      </w:r>
    </w:p>
    <w:p w14:paraId="7A34786F" w14:textId="405667EC" w:rsidR="003B7A50" w:rsidRPr="00A96D00" w:rsidRDefault="000305AA" w:rsidP="000305AA">
      <w:pPr>
        <w:pStyle w:val="ManualNumPar1"/>
        <w:rPr>
          <w:noProof/>
        </w:rPr>
      </w:pPr>
      <w:r w:rsidRPr="000305AA">
        <w:t>4.</w:t>
      </w:r>
      <w:r w:rsidRPr="000305AA">
        <w:tab/>
      </w:r>
      <w:r w:rsidR="003B7A50" w:rsidRPr="00A96D00">
        <w:rPr>
          <w:noProof/>
        </w:rPr>
        <w:t>Komisija donosi provedbene akte radi utvrđivanja standardnih elektroničkih obrazaca, uključujući odredbe o jeziku, i zahtjeve za komunikacijske kanale za podnošenje zahtjeva u skladu s ovim člankom. Ti se provedbeni akti donose u skladu s postupkom ispitivanja iz članka 18.</w:t>
      </w:r>
    </w:p>
    <w:p w14:paraId="49FD2459" w14:textId="77777777" w:rsidR="001956AF" w:rsidRPr="00A96D00" w:rsidRDefault="001956AF" w:rsidP="000E37A2">
      <w:pPr>
        <w:pStyle w:val="Titrearticle"/>
        <w:rPr>
          <w:b/>
          <w:bCs/>
          <w:i w:val="0"/>
          <w:iCs/>
          <w:noProof/>
        </w:rPr>
      </w:pPr>
      <w:r w:rsidRPr="00A96D00">
        <w:rPr>
          <w:noProof/>
        </w:rPr>
        <w:t xml:space="preserve">Članak 14. </w:t>
      </w:r>
      <w:r w:rsidRPr="00A96D00">
        <w:rPr>
          <w:noProof/>
        </w:rPr>
        <w:br/>
      </w:r>
      <w:r w:rsidRPr="00A96D00">
        <w:rPr>
          <w:b/>
          <w:i w:val="0"/>
          <w:noProof/>
        </w:rPr>
        <w:t>Zatezne kamate</w:t>
      </w:r>
    </w:p>
    <w:p w14:paraId="0F684513" w14:textId="77777777" w:rsidR="001956AF" w:rsidRPr="00A96D00" w:rsidRDefault="004A0A00" w:rsidP="004D12F8">
      <w:pPr>
        <w:rPr>
          <w:noProof/>
        </w:rPr>
      </w:pPr>
      <w:r w:rsidRPr="00A96D00">
        <w:rPr>
          <w:noProof/>
        </w:rPr>
        <w:t xml:space="preserve">Države članice primjenjuju kamatu u skladu s člankom 13. stavkom 2. po stopi jednakoj kamati ili ekvivalentnoj naknadi koju država članica primjenjuje na zakašnjela plaćanja poreza na prihod registriranih vlasnika ili, ako nacionalno zakonodavstvo država članica ne uključuje takvu odredbu, po eurskoj kratkoročnoj kamatnoj stopi uvećanoj za 50 baznih bodova ili, ako nisu dio Europskog tečajnog mehanizma, po ekvivalentnoj kamatnoj stopi koju primjenjuje njihova središnja banka uvećanoj za 50 baznih bodova. </w:t>
      </w:r>
    </w:p>
    <w:p w14:paraId="2E2E9C1B" w14:textId="77777777" w:rsidR="001956AF" w:rsidRPr="00A96D00" w:rsidRDefault="001956AF" w:rsidP="000E37A2">
      <w:pPr>
        <w:pStyle w:val="Titrearticle"/>
        <w:rPr>
          <w:b/>
          <w:bCs/>
          <w:i w:val="0"/>
          <w:iCs/>
          <w:noProof/>
        </w:rPr>
      </w:pPr>
      <w:r w:rsidRPr="00A96D00">
        <w:rPr>
          <w:noProof/>
        </w:rPr>
        <w:t xml:space="preserve">Članak 15. </w:t>
      </w:r>
      <w:r w:rsidRPr="00A96D00">
        <w:rPr>
          <w:noProof/>
        </w:rPr>
        <w:br/>
      </w:r>
      <w:r w:rsidRPr="00A96D00">
        <w:rPr>
          <w:b/>
          <w:i w:val="0"/>
          <w:noProof/>
        </w:rPr>
        <w:t>Standardni sustav povrata</w:t>
      </w:r>
    </w:p>
    <w:p w14:paraId="4D27861C" w14:textId="3CC3A55A" w:rsidR="001956AF" w:rsidRPr="00A96D00" w:rsidRDefault="004A0A00" w:rsidP="000E37A2">
      <w:pPr>
        <w:rPr>
          <w:noProof/>
        </w:rPr>
      </w:pPr>
      <w:r w:rsidRPr="00A96D00">
        <w:rPr>
          <w:noProof/>
        </w:rPr>
        <w:t xml:space="preserve">Države članice donose odgovarajuće mjere kako bi osigurale da, ako se članci 12. i 13. ne primjenjuju na dividende, jer uvjeti ove Direktive nisu ispunjeni, registrirani vlasnik ili njegov ovlašteni predstavnik koji traži povrat preplaćenog poreza po odbitku na takve dividende dostavi barem informacije koje se zahtijevaju u skladu s naslovom E Priloga II., osim ako ukupna dividenda isplaćena registriranom vlasniku na temelju udjela vlasnika u društvu ne prelazi 1 000 EUR, i osim ako su te informacije već dostavljene u skladu s obvezama iz članka 9. </w:t>
      </w:r>
    </w:p>
    <w:p w14:paraId="0050B2E6" w14:textId="77777777" w:rsidR="000E37A2" w:rsidRPr="00A96D00" w:rsidRDefault="001956AF" w:rsidP="000E37A2">
      <w:pPr>
        <w:pStyle w:val="Titrearticle"/>
        <w:rPr>
          <w:b/>
          <w:bCs/>
          <w:i w:val="0"/>
          <w:iCs/>
          <w:noProof/>
        </w:rPr>
      </w:pPr>
      <w:r w:rsidRPr="00A96D00">
        <w:rPr>
          <w:noProof/>
        </w:rPr>
        <w:t xml:space="preserve">Članak 16. </w:t>
      </w:r>
      <w:r w:rsidRPr="00A96D00">
        <w:rPr>
          <w:noProof/>
        </w:rPr>
        <w:br/>
      </w:r>
      <w:r w:rsidRPr="00A96D00">
        <w:rPr>
          <w:b/>
          <w:i w:val="0"/>
          <w:noProof/>
        </w:rPr>
        <w:t>Građanskopravna odgovornost</w:t>
      </w:r>
    </w:p>
    <w:p w14:paraId="32EBC30C" w14:textId="77777777" w:rsidR="00C86220" w:rsidRPr="00A96D00" w:rsidRDefault="00C86220" w:rsidP="004D12F8">
      <w:pPr>
        <w:rPr>
          <w:noProof/>
        </w:rPr>
      </w:pPr>
      <w:r w:rsidRPr="00A96D00">
        <w:rPr>
          <w:noProof/>
        </w:rPr>
        <w:t>Ako ovlašteni financijski posrednik namjerno ili iz nemara ne ispunjava svoje obveze iz članaka 9., 10., 11., 12. i 13., države članice poduzimaju odgovarajuće mjere kako bi osigurale da se ovlašteni financijski posrednik može smatrati odgovornim za cijeli ili dio gubitka prihoda od poreza po odbitku koji je država članica pretrpjela u vezi sa zahtjevom iz članka 12. ili 13.</w:t>
      </w:r>
    </w:p>
    <w:p w14:paraId="19A6849F" w14:textId="77777777" w:rsidR="00091220" w:rsidRPr="00A96D00" w:rsidRDefault="00091220" w:rsidP="00091220">
      <w:pPr>
        <w:pStyle w:val="Titrearticle"/>
        <w:rPr>
          <w:b/>
          <w:bCs/>
          <w:i w:val="0"/>
          <w:iCs/>
          <w:noProof/>
        </w:rPr>
      </w:pPr>
      <w:r w:rsidRPr="00A96D00">
        <w:rPr>
          <w:noProof/>
        </w:rPr>
        <w:t xml:space="preserve">Članak 17. </w:t>
      </w:r>
      <w:r w:rsidRPr="00A96D00">
        <w:rPr>
          <w:noProof/>
        </w:rPr>
        <w:br/>
      </w:r>
      <w:r w:rsidRPr="00A96D00">
        <w:rPr>
          <w:b/>
          <w:i w:val="0"/>
          <w:noProof/>
        </w:rPr>
        <w:t>Sankcije</w:t>
      </w:r>
    </w:p>
    <w:p w14:paraId="243A80C9" w14:textId="77777777" w:rsidR="001956AF" w:rsidRPr="00A96D00" w:rsidRDefault="001956AF" w:rsidP="004D12F8">
      <w:pPr>
        <w:rPr>
          <w:noProof/>
        </w:rPr>
      </w:pPr>
      <w:r w:rsidRPr="00A96D00">
        <w:rPr>
          <w:noProof/>
        </w:rPr>
        <w:t>Države članice utvrđuju pravila o sankcijama koje se primjenjuju na kršenja nacionalnih odredaba donesenih na temelju ove Direktive i poduzimaju sve potrebne mjere radi osiguranja njihove provedbe. Takve sankcije moraju biti učinkovite, proporcionalne i odvraćajuće.</w:t>
      </w:r>
    </w:p>
    <w:p w14:paraId="736B5B42" w14:textId="77777777" w:rsidR="004D12F8" w:rsidRPr="00A96D00" w:rsidRDefault="004D12F8" w:rsidP="004D12F8">
      <w:pPr>
        <w:rPr>
          <w:noProof/>
        </w:rPr>
      </w:pPr>
    </w:p>
    <w:p w14:paraId="7898F4AD" w14:textId="77777777" w:rsidR="001956AF" w:rsidRPr="00A96D00" w:rsidRDefault="001956AF" w:rsidP="00680737">
      <w:pPr>
        <w:jc w:val="center"/>
        <w:rPr>
          <w:b/>
          <w:bCs/>
          <w:i/>
          <w:noProof/>
        </w:rPr>
      </w:pPr>
      <w:r w:rsidRPr="00A96D00">
        <w:rPr>
          <w:b/>
          <w:noProof/>
        </w:rPr>
        <w:t>POGLAVLJE IV.</w:t>
      </w:r>
    </w:p>
    <w:p w14:paraId="1EEF7AE0" w14:textId="77777777" w:rsidR="001956AF" w:rsidRPr="00A96D00" w:rsidRDefault="001956AF" w:rsidP="001956AF">
      <w:pPr>
        <w:jc w:val="center"/>
        <w:rPr>
          <w:b/>
          <w:noProof/>
          <w:szCs w:val="24"/>
        </w:rPr>
      </w:pPr>
      <w:r w:rsidRPr="00A96D00">
        <w:rPr>
          <w:b/>
          <w:noProof/>
        </w:rPr>
        <w:t>ZAVRŠNE ODREDBE</w:t>
      </w:r>
    </w:p>
    <w:p w14:paraId="644997BF" w14:textId="77777777" w:rsidR="001956AF" w:rsidRPr="00A96D00" w:rsidRDefault="001956AF" w:rsidP="00680737">
      <w:pPr>
        <w:pStyle w:val="Titrearticle"/>
        <w:rPr>
          <w:b/>
          <w:bCs/>
          <w:i w:val="0"/>
          <w:iCs/>
          <w:noProof/>
        </w:rPr>
      </w:pPr>
      <w:r w:rsidRPr="00A96D00">
        <w:rPr>
          <w:noProof/>
        </w:rPr>
        <w:t xml:space="preserve">Članak 18. </w:t>
      </w:r>
      <w:r w:rsidRPr="00A96D00">
        <w:rPr>
          <w:noProof/>
        </w:rPr>
        <w:br/>
      </w:r>
      <w:r w:rsidRPr="00A96D00">
        <w:rPr>
          <w:b/>
          <w:i w:val="0"/>
          <w:noProof/>
        </w:rPr>
        <w:t>Postupak odbora</w:t>
      </w:r>
    </w:p>
    <w:p w14:paraId="764F7950" w14:textId="1F3B486E" w:rsidR="001956AF" w:rsidRPr="00A96D00" w:rsidDel="002C0103" w:rsidRDefault="000305AA" w:rsidP="000305AA">
      <w:pPr>
        <w:pStyle w:val="ManualNumPar1"/>
        <w:rPr>
          <w:noProof/>
        </w:rPr>
      </w:pPr>
      <w:r w:rsidRPr="000305AA">
        <w:t>1.</w:t>
      </w:r>
      <w:r w:rsidRPr="000305AA">
        <w:tab/>
      </w:r>
      <w:r w:rsidR="00115ED7" w:rsidRPr="00A96D00">
        <w:rPr>
          <w:noProof/>
        </w:rPr>
        <w:t>Komisiji pomaže odbor. Navedeni odbor je odbor u smislu Uredbe (EU) br. 182/2011.</w:t>
      </w:r>
      <w:r w:rsidR="00115ED7" w:rsidRPr="00A96D00">
        <w:rPr>
          <w:rStyle w:val="FootnoteReference"/>
          <w:noProof/>
        </w:rPr>
        <w:footnoteReference w:id="45"/>
      </w:r>
    </w:p>
    <w:p w14:paraId="61EDE6B9" w14:textId="777A05BE" w:rsidR="001956AF" w:rsidRPr="00A96D00" w:rsidDel="002C0103" w:rsidRDefault="000305AA" w:rsidP="000305AA">
      <w:pPr>
        <w:pStyle w:val="ManualNumPar1"/>
        <w:rPr>
          <w:noProof/>
        </w:rPr>
      </w:pPr>
      <w:r w:rsidRPr="000305AA">
        <w:t>2.</w:t>
      </w:r>
      <w:r w:rsidRPr="000305AA">
        <w:tab/>
      </w:r>
      <w:r w:rsidR="001F36D2" w:rsidRPr="00A96D00">
        <w:rPr>
          <w:noProof/>
        </w:rPr>
        <w:t>Pri upućivanju na ovaj stavak primjenjuje se članak 5. Uredbe (EU) br. 182/2011.</w:t>
      </w:r>
    </w:p>
    <w:p w14:paraId="7EB9405D" w14:textId="77777777" w:rsidR="00BB1F33" w:rsidRPr="00A96D00" w:rsidRDefault="001956AF" w:rsidP="00BB1F33">
      <w:pPr>
        <w:pStyle w:val="Titrearticle"/>
        <w:rPr>
          <w:b/>
          <w:bCs/>
          <w:i w:val="0"/>
          <w:iCs/>
          <w:noProof/>
        </w:rPr>
      </w:pPr>
      <w:r w:rsidRPr="00A96D00">
        <w:rPr>
          <w:noProof/>
        </w:rPr>
        <w:t xml:space="preserve">Članak 19. </w:t>
      </w:r>
      <w:r w:rsidRPr="00A96D00">
        <w:rPr>
          <w:noProof/>
        </w:rPr>
        <w:br/>
      </w:r>
      <w:r w:rsidRPr="00A96D00">
        <w:rPr>
          <w:b/>
          <w:i w:val="0"/>
          <w:noProof/>
        </w:rPr>
        <w:t>Evaluacija</w:t>
      </w:r>
    </w:p>
    <w:p w14:paraId="23E724FA" w14:textId="2F374C62" w:rsidR="001956AF" w:rsidRPr="00A96D00" w:rsidRDefault="000305AA" w:rsidP="000305AA">
      <w:pPr>
        <w:pStyle w:val="ManualNumPar1"/>
        <w:rPr>
          <w:noProof/>
        </w:rPr>
      </w:pPr>
      <w:r w:rsidRPr="000305AA">
        <w:t>1.</w:t>
      </w:r>
      <w:r w:rsidRPr="000305AA">
        <w:tab/>
      </w:r>
      <w:r w:rsidR="001956AF" w:rsidRPr="00A96D00">
        <w:rPr>
          <w:noProof/>
        </w:rPr>
        <w:t>Nakon stupanja na snagu nacionalnog zakonodavstva o prenošenju Komisija svakih pet godina preispituje i evaluira uspješnost Direktive. Izvješće o evaluaciji Direktive uključujući moguću potrebu za izmjenama određenih odredaba dostavlja se Europskom parlamentu i Vijeću do prosinca 2031. i svakih pet godina nakon toga.</w:t>
      </w:r>
    </w:p>
    <w:p w14:paraId="75824197" w14:textId="0D3B18E9" w:rsidR="001956AF" w:rsidRPr="00A96D00" w:rsidRDefault="000305AA" w:rsidP="000305AA">
      <w:pPr>
        <w:pStyle w:val="ManualNumPar1"/>
        <w:rPr>
          <w:noProof/>
        </w:rPr>
      </w:pPr>
      <w:r w:rsidRPr="000305AA">
        <w:t>2.</w:t>
      </w:r>
      <w:r w:rsidRPr="000305AA">
        <w:tab/>
      </w:r>
      <w:r w:rsidR="001956AF" w:rsidRPr="00A96D00">
        <w:rPr>
          <w:noProof/>
        </w:rPr>
        <w:t xml:space="preserve">Države članice dostavljaju Komisiji sve informacije relevantne za evaluaciju Direktive radi poboljšavanja postupaka oslobođenja za porez po odbitku i smanjivanja dvostrukog oporezivanja, kao i radi suzbijanja poreznih zlouporaba, u skladu sa stavkom 3. </w:t>
      </w:r>
    </w:p>
    <w:p w14:paraId="211B3598" w14:textId="413444AB" w:rsidR="001956AF" w:rsidRPr="00A96D00" w:rsidRDefault="000305AA" w:rsidP="000305AA">
      <w:pPr>
        <w:pStyle w:val="ManualNumPar1"/>
        <w:rPr>
          <w:noProof/>
        </w:rPr>
      </w:pPr>
      <w:r w:rsidRPr="000305AA">
        <w:t>3.</w:t>
      </w:r>
      <w:r w:rsidRPr="000305AA">
        <w:tab/>
      </w:r>
      <w:r w:rsidR="001956AF" w:rsidRPr="00A96D00">
        <w:rPr>
          <w:noProof/>
        </w:rPr>
        <w:t xml:space="preserve">Komisija provedbenim aktima utvrđuje informacije koje države članice trebaju dostavljati za potrebe evaluacije te format i načine dostavljanja tih informacija. </w:t>
      </w:r>
    </w:p>
    <w:p w14:paraId="2BE3C5E3" w14:textId="0B186055" w:rsidR="001956AF" w:rsidRPr="00A96D00" w:rsidRDefault="000305AA" w:rsidP="000305AA">
      <w:pPr>
        <w:pStyle w:val="ManualNumPar1"/>
        <w:rPr>
          <w:noProof/>
        </w:rPr>
      </w:pPr>
      <w:r w:rsidRPr="000305AA">
        <w:t>4.</w:t>
      </w:r>
      <w:r w:rsidRPr="000305AA">
        <w:tab/>
      </w:r>
      <w:r w:rsidR="001956AF" w:rsidRPr="00A96D00">
        <w:rPr>
          <w:noProof/>
        </w:rPr>
        <w:t xml:space="preserve">Komisija čuva informacije dostavljene na temelju stavka 2. kao povjerljive informacije u skladu s odredbama koje se primjenjuju na institucije Unije. </w:t>
      </w:r>
    </w:p>
    <w:p w14:paraId="5C2B5BBF" w14:textId="48FF742B" w:rsidR="001956AF" w:rsidRPr="00A96D00" w:rsidRDefault="000305AA" w:rsidP="000305AA">
      <w:pPr>
        <w:pStyle w:val="ManualNumPar1"/>
        <w:rPr>
          <w:noProof/>
        </w:rPr>
      </w:pPr>
      <w:r w:rsidRPr="000305AA">
        <w:t>5.</w:t>
      </w:r>
      <w:r w:rsidRPr="000305AA">
        <w:tab/>
      </w:r>
      <w:r w:rsidR="001956AF" w:rsidRPr="00A96D00">
        <w:rPr>
          <w:noProof/>
        </w:rPr>
        <w:t xml:space="preserve">Informacije koje država članica dostavi Komisiji na temelju stavka 2. i izvješća ili dokumenti Komisije koji sadržavaju te informacije smiju se dostaviti drugim državama članicama. Dostavljene informacije podliježu obvezi čuvanja službene tajne i zaštićene su na način koji se primjenjuje na slične informacije na temelju nacionalnog prava države članice koja ih je primila. </w:t>
      </w:r>
    </w:p>
    <w:p w14:paraId="066B96C4" w14:textId="77777777" w:rsidR="00A30556" w:rsidRPr="00A96D00" w:rsidRDefault="00A30556" w:rsidP="00A30556">
      <w:pPr>
        <w:pStyle w:val="Titrearticle"/>
        <w:rPr>
          <w:b/>
          <w:bCs/>
          <w:i w:val="0"/>
          <w:iCs/>
          <w:noProof/>
        </w:rPr>
      </w:pPr>
      <w:r w:rsidRPr="00A96D00">
        <w:rPr>
          <w:noProof/>
        </w:rPr>
        <w:t xml:space="preserve">Članak 20. </w:t>
      </w:r>
      <w:r w:rsidRPr="00A96D00">
        <w:rPr>
          <w:noProof/>
        </w:rPr>
        <w:br/>
      </w:r>
      <w:r w:rsidRPr="00A96D00">
        <w:rPr>
          <w:b/>
          <w:i w:val="0"/>
          <w:noProof/>
        </w:rPr>
        <w:t>Zaštita osobnih podataka</w:t>
      </w:r>
    </w:p>
    <w:p w14:paraId="688391A7" w14:textId="01FFAF94" w:rsidR="00E85A28" w:rsidRPr="00A96D00" w:rsidRDefault="000305AA" w:rsidP="000305AA">
      <w:pPr>
        <w:pStyle w:val="ManualNumPar1"/>
        <w:rPr>
          <w:noProof/>
        </w:rPr>
      </w:pPr>
      <w:bookmarkStart w:id="9" w:name="_Hlk135840988"/>
      <w:r w:rsidRPr="000305AA">
        <w:t>1.</w:t>
      </w:r>
      <w:r w:rsidRPr="000305AA">
        <w:tab/>
      </w:r>
      <w:r w:rsidR="00E85A28" w:rsidRPr="00A96D00">
        <w:rPr>
          <w:noProof/>
        </w:rPr>
        <w:t>Države članice smiju ograničiti prava osoba čiji se podaci obrađuju na temelju članaka od 15. do 19. Uredbe (EU) 2016/679 Europskog parlamenta i Vijeća</w:t>
      </w:r>
      <w:r w:rsidR="00E85A28" w:rsidRPr="00A96D00">
        <w:rPr>
          <w:rStyle w:val="FootnoteReference"/>
          <w:noProof/>
          <w:szCs w:val="24"/>
        </w:rPr>
        <w:footnoteReference w:id="46"/>
      </w:r>
      <w:r w:rsidR="00E85A28" w:rsidRPr="00A96D00">
        <w:rPr>
          <w:noProof/>
        </w:rPr>
        <w:t xml:space="preserve"> samo u onoj mjeri i onoliko dugo koliko je njihovim nadležnim tijelima potrebno radi ublažavanja rizika od porezne prijevare, utaje ili izbjegavanja plaćanja poreza u državama članicama, posebno provjerom primjenjuje li se na registriranog vlasnika ispravna stopa poreza po odbitku ili provjerom odobrava li se registriranom vlasniku oslobođenje u primjerenom roku, ako na to ima pravo.</w:t>
      </w:r>
      <w:bookmarkEnd w:id="9"/>
    </w:p>
    <w:p w14:paraId="1A779334" w14:textId="4CD77DBE" w:rsidR="00E85A28" w:rsidRPr="00A96D00" w:rsidRDefault="000305AA" w:rsidP="000305AA">
      <w:pPr>
        <w:pStyle w:val="ManualNumPar1"/>
        <w:rPr>
          <w:noProof/>
        </w:rPr>
      </w:pPr>
      <w:r w:rsidRPr="000305AA">
        <w:t>2.</w:t>
      </w:r>
      <w:r w:rsidRPr="000305AA">
        <w:tab/>
      </w:r>
      <w:r w:rsidR="00E85A28" w:rsidRPr="00A96D00">
        <w:rPr>
          <w:noProof/>
        </w:rPr>
        <w:t xml:space="preserve">Pri obradi osobnih podataka ovlašteni financijski posrednici i nadležna tijela država članica smatraju se voditeljima obrade u smislu članka 4. stavka 7. Uredbe (EU) 2016/679, u okviru djelatnosti koje obavljaju na temelju ove Direktive. </w:t>
      </w:r>
    </w:p>
    <w:p w14:paraId="7856FC11" w14:textId="7B7183BA" w:rsidR="00E85A28" w:rsidRPr="00A96D00" w:rsidRDefault="000305AA" w:rsidP="000305AA">
      <w:pPr>
        <w:pStyle w:val="ManualNumPar1"/>
        <w:rPr>
          <w:noProof/>
        </w:rPr>
      </w:pPr>
      <w:r w:rsidRPr="000305AA">
        <w:t>3.</w:t>
      </w:r>
      <w:r w:rsidRPr="000305AA">
        <w:tab/>
      </w:r>
      <w:r w:rsidR="00E85A28" w:rsidRPr="00A96D00">
        <w:rPr>
          <w:noProof/>
        </w:rPr>
        <w:t>Informacije, uključujući osobne podatke, koje se obrađuju na temelju ove Direktive čuvaju se samo u razdoblju koje je nužno za ostvarivanje ciljeva ove Direktive, u skladu s nacionalnim pravilima o rokovima pojedinačnog voditelja obrade za čuvanje takvih podataka, a u svakom slučaju najdulje 10 godina.</w:t>
      </w:r>
    </w:p>
    <w:p w14:paraId="3C1111A3" w14:textId="77777777" w:rsidR="000659D6" w:rsidRPr="00A96D00" w:rsidRDefault="000659D6" w:rsidP="000659D6">
      <w:pPr>
        <w:pStyle w:val="Titrearticle"/>
        <w:rPr>
          <w:b/>
          <w:bCs/>
          <w:i w:val="0"/>
          <w:iCs/>
          <w:noProof/>
        </w:rPr>
      </w:pPr>
      <w:r w:rsidRPr="00A96D00">
        <w:rPr>
          <w:noProof/>
        </w:rPr>
        <w:t xml:space="preserve">Članak 21. </w:t>
      </w:r>
      <w:r w:rsidRPr="00A96D00">
        <w:rPr>
          <w:noProof/>
        </w:rPr>
        <w:br/>
      </w:r>
      <w:r w:rsidRPr="00A96D00">
        <w:rPr>
          <w:b/>
          <w:i w:val="0"/>
          <w:noProof/>
        </w:rPr>
        <w:t xml:space="preserve">Obavješćivanje </w:t>
      </w:r>
    </w:p>
    <w:p w14:paraId="75DE5E9F" w14:textId="77777777" w:rsidR="000659D6" w:rsidRPr="00A96D00" w:rsidRDefault="000659D6" w:rsidP="006126D6">
      <w:pPr>
        <w:rPr>
          <w:noProof/>
        </w:rPr>
      </w:pPr>
      <w:r w:rsidRPr="00A96D00">
        <w:rPr>
          <w:noProof/>
        </w:rPr>
        <w:t xml:space="preserve">Država članica koja uspostavi i održava nacionalni registar u skladu s člankom 5. o tome obavješćuje Komisiju i ostale države članice te o svim promjenama pravila o upravljanju tim registrom. Komisija te informacije objavljuje u </w:t>
      </w:r>
      <w:r w:rsidRPr="00A96D00">
        <w:rPr>
          <w:i/>
          <w:iCs/>
          <w:noProof/>
        </w:rPr>
        <w:t>Službenom listu Europske unije</w:t>
      </w:r>
      <w:r w:rsidRPr="00A96D00">
        <w:rPr>
          <w:noProof/>
        </w:rPr>
        <w:t xml:space="preserve"> i prema potrebi ih ažurira.</w:t>
      </w:r>
    </w:p>
    <w:p w14:paraId="6EE0F3BE" w14:textId="77777777" w:rsidR="001956AF" w:rsidRPr="00A96D00" w:rsidRDefault="001956AF" w:rsidP="00A97BAF">
      <w:pPr>
        <w:pStyle w:val="Titrearticle"/>
        <w:rPr>
          <w:b/>
          <w:bCs/>
          <w:i w:val="0"/>
          <w:iCs/>
          <w:noProof/>
        </w:rPr>
      </w:pPr>
      <w:r w:rsidRPr="00A96D00">
        <w:rPr>
          <w:noProof/>
        </w:rPr>
        <w:t xml:space="preserve">Članak 22. </w:t>
      </w:r>
      <w:r w:rsidRPr="00A96D00">
        <w:rPr>
          <w:noProof/>
        </w:rPr>
        <w:br/>
      </w:r>
      <w:r w:rsidRPr="00A96D00">
        <w:rPr>
          <w:b/>
          <w:i w:val="0"/>
          <w:noProof/>
        </w:rPr>
        <w:t>Prenošenje</w:t>
      </w:r>
    </w:p>
    <w:p w14:paraId="46F3B523" w14:textId="237C87C6" w:rsidR="001956AF" w:rsidRPr="00A96D00" w:rsidRDefault="000305AA" w:rsidP="000305AA">
      <w:pPr>
        <w:pStyle w:val="ManualNumPar1"/>
        <w:rPr>
          <w:noProof/>
        </w:rPr>
      </w:pPr>
      <w:r w:rsidRPr="000305AA">
        <w:t>1.</w:t>
      </w:r>
      <w:r w:rsidRPr="000305AA">
        <w:tab/>
      </w:r>
      <w:r w:rsidR="001956AF" w:rsidRPr="00A96D00">
        <w:rPr>
          <w:noProof/>
        </w:rPr>
        <w:t>Države članice najkasnije do 31. prosinca 2026. donose i objavljuju zakone i druge propise koji su potrebni radi usklađivanja s ovom Direktivom. One Komisiji odmah dostavljaju tekst tih odredaba.</w:t>
      </w:r>
    </w:p>
    <w:p w14:paraId="0E78D5F6" w14:textId="77777777" w:rsidR="00AE0FCF" w:rsidRPr="00A96D00" w:rsidRDefault="00AE0FCF" w:rsidP="00E75766">
      <w:pPr>
        <w:pStyle w:val="Text1"/>
        <w:rPr>
          <w:noProof/>
        </w:rPr>
      </w:pPr>
      <w:r w:rsidRPr="00A96D00">
        <w:rPr>
          <w:noProof/>
        </w:rPr>
        <w:t>One primjenjuju te odredbe od 1. siječnja 2027.</w:t>
      </w:r>
    </w:p>
    <w:p w14:paraId="4CB4F477" w14:textId="77777777" w:rsidR="001956AF" w:rsidRPr="00A96D00" w:rsidRDefault="001956AF" w:rsidP="00E75766">
      <w:pPr>
        <w:pStyle w:val="Text1"/>
        <w:rPr>
          <w:noProof/>
        </w:rPr>
      </w:pPr>
      <w:r w:rsidRPr="00A96D00">
        <w:rPr>
          <w:noProof/>
        </w:rPr>
        <w:t>Kada države članice donose te odredbe, one sadržavaju upućivanje na ovu Direktivu ili se na nju upućuje prilikom njihove službene objave. Države članice određuju načine tog upućivanja.</w:t>
      </w:r>
    </w:p>
    <w:p w14:paraId="5513589D" w14:textId="6A719C0D" w:rsidR="001956AF" w:rsidRPr="00A96D00" w:rsidRDefault="000305AA" w:rsidP="000305AA">
      <w:pPr>
        <w:pStyle w:val="ManualNumPar1"/>
        <w:rPr>
          <w:noProof/>
        </w:rPr>
      </w:pPr>
      <w:r w:rsidRPr="000305AA">
        <w:t>2.</w:t>
      </w:r>
      <w:r w:rsidRPr="000305AA">
        <w:tab/>
      </w:r>
      <w:r w:rsidR="001956AF" w:rsidRPr="00A96D00">
        <w:rPr>
          <w:noProof/>
        </w:rPr>
        <w:t>Države članice Komisiji dostavljaju tekst glavnih odredaba nacionalnog prava koje donesu u području na koje se odnosi ova Direktiva.</w:t>
      </w:r>
    </w:p>
    <w:p w14:paraId="623B61A4" w14:textId="77777777" w:rsidR="001956AF" w:rsidRPr="00A96D00" w:rsidRDefault="001956AF" w:rsidP="00A97BAF">
      <w:pPr>
        <w:pStyle w:val="Titrearticle"/>
        <w:rPr>
          <w:b/>
          <w:bCs/>
          <w:i w:val="0"/>
          <w:iCs/>
          <w:noProof/>
        </w:rPr>
      </w:pPr>
      <w:r w:rsidRPr="00A96D00">
        <w:rPr>
          <w:noProof/>
        </w:rPr>
        <w:t xml:space="preserve">Članak 23. </w:t>
      </w:r>
      <w:r w:rsidRPr="00A96D00">
        <w:rPr>
          <w:noProof/>
        </w:rPr>
        <w:br/>
      </w:r>
      <w:r w:rsidRPr="00A96D00">
        <w:rPr>
          <w:b/>
          <w:i w:val="0"/>
          <w:noProof/>
        </w:rPr>
        <w:t>Stupanje na snagu</w:t>
      </w:r>
    </w:p>
    <w:p w14:paraId="1B1DABEB" w14:textId="77777777" w:rsidR="001956AF" w:rsidRPr="00A96D00" w:rsidRDefault="001956AF" w:rsidP="00A97BAF">
      <w:pPr>
        <w:rPr>
          <w:noProof/>
        </w:rPr>
      </w:pPr>
      <w:r w:rsidRPr="00A96D00">
        <w:rPr>
          <w:noProof/>
        </w:rPr>
        <w:t xml:space="preserve">Ova Direktiva stupa na snagu dvadesetog dana od dana objave u </w:t>
      </w:r>
      <w:r w:rsidRPr="00A96D00">
        <w:rPr>
          <w:i/>
          <w:noProof/>
        </w:rPr>
        <w:t>Službenom listu Europske unije</w:t>
      </w:r>
      <w:r w:rsidRPr="00A96D00">
        <w:rPr>
          <w:noProof/>
        </w:rPr>
        <w:t>.</w:t>
      </w:r>
    </w:p>
    <w:p w14:paraId="5C5919F4" w14:textId="77777777" w:rsidR="001956AF" w:rsidRPr="00A96D00" w:rsidRDefault="001956AF" w:rsidP="00A97BAF">
      <w:pPr>
        <w:pStyle w:val="Titrearticle"/>
        <w:rPr>
          <w:noProof/>
        </w:rPr>
      </w:pPr>
      <w:r w:rsidRPr="00A96D00">
        <w:rPr>
          <w:noProof/>
        </w:rPr>
        <w:t xml:space="preserve">Članak 24. </w:t>
      </w:r>
      <w:r w:rsidRPr="00A96D00">
        <w:rPr>
          <w:noProof/>
        </w:rPr>
        <w:br/>
      </w:r>
      <w:r w:rsidRPr="00A96D00">
        <w:rPr>
          <w:b/>
          <w:noProof/>
        </w:rPr>
        <w:t>Adresati</w:t>
      </w:r>
    </w:p>
    <w:p w14:paraId="61459FB2" w14:textId="77777777" w:rsidR="001956AF" w:rsidRPr="00A96D00" w:rsidRDefault="001956AF" w:rsidP="001956AF">
      <w:pPr>
        <w:rPr>
          <w:noProof/>
        </w:rPr>
      </w:pPr>
      <w:r w:rsidRPr="00A96D00">
        <w:rPr>
          <w:noProof/>
        </w:rPr>
        <w:t>Ova je Direktiva upućena državama članicama.</w:t>
      </w:r>
    </w:p>
    <w:p w14:paraId="470C6BBF" w14:textId="77777777" w:rsidR="001956AF" w:rsidRPr="00A96D00" w:rsidRDefault="001956AF" w:rsidP="001956AF">
      <w:pPr>
        <w:rPr>
          <w:noProof/>
        </w:rPr>
      </w:pPr>
    </w:p>
    <w:p w14:paraId="428E506F" w14:textId="32A0BEAB" w:rsidR="001956AF" w:rsidRPr="00A96D00" w:rsidRDefault="007916C7" w:rsidP="001848DC">
      <w:pPr>
        <w:pStyle w:val="Fait"/>
        <w:rPr>
          <w:noProof/>
        </w:rPr>
      </w:pPr>
      <w:r w:rsidRPr="007916C7">
        <w:t>Sastavljeno u Bruxellesu,</w:t>
      </w:r>
    </w:p>
    <w:p w14:paraId="68B08831" w14:textId="77777777" w:rsidR="001956AF" w:rsidRPr="00A96D00" w:rsidRDefault="001956AF" w:rsidP="001848DC">
      <w:pPr>
        <w:pStyle w:val="Institutionquisigne"/>
        <w:rPr>
          <w:noProof/>
        </w:rPr>
      </w:pPr>
      <w:r w:rsidRPr="00A96D00">
        <w:rPr>
          <w:noProof/>
        </w:rPr>
        <w:tab/>
        <w:t>Za Vijeće</w:t>
      </w:r>
    </w:p>
    <w:p w14:paraId="57659FC8" w14:textId="77777777" w:rsidR="00854600" w:rsidRPr="00A96D00" w:rsidRDefault="001956AF" w:rsidP="00854600">
      <w:pPr>
        <w:pStyle w:val="Personnequisigne"/>
        <w:rPr>
          <w:noProof/>
        </w:rPr>
      </w:pPr>
      <w:r w:rsidRPr="00A96D00">
        <w:rPr>
          <w:noProof/>
        </w:rPr>
        <w:tab/>
        <w:t>Predsjednik</w:t>
      </w:r>
      <w:bookmarkStart w:id="10" w:name="_Hlk133567753"/>
    </w:p>
    <w:p w14:paraId="70AFAFA5" w14:textId="77777777" w:rsidR="00854600" w:rsidRPr="00A96D00" w:rsidRDefault="00854600">
      <w:pPr>
        <w:spacing w:before="0" w:after="200" w:line="276" w:lineRule="auto"/>
        <w:jc w:val="left"/>
        <w:rPr>
          <w:i/>
          <w:noProof/>
        </w:rPr>
      </w:pPr>
      <w:r w:rsidRPr="00A96D00">
        <w:rPr>
          <w:noProof/>
        </w:rPr>
        <w:br w:type="page"/>
      </w:r>
    </w:p>
    <w:bookmarkEnd w:id="10"/>
    <w:p w14:paraId="1EF22DAD" w14:textId="77777777" w:rsidR="001714E3" w:rsidRPr="00A96D00" w:rsidRDefault="001714E3" w:rsidP="00854600">
      <w:pPr>
        <w:rPr>
          <w:noProof/>
        </w:rPr>
        <w:sectPr w:rsidR="001714E3" w:rsidRPr="00A96D00" w:rsidSect="00BE4874">
          <w:pgSz w:w="11907" w:h="16839"/>
          <w:pgMar w:top="1134" w:right="1417" w:bottom="1134" w:left="1417" w:header="709" w:footer="709" w:gutter="0"/>
          <w:cols w:space="708"/>
          <w:docGrid w:linePitch="360"/>
        </w:sectPr>
      </w:pPr>
    </w:p>
    <w:p w14:paraId="4BCF0C81" w14:textId="77777777" w:rsidR="005837D8" w:rsidRPr="00A96D00" w:rsidRDefault="005837D8" w:rsidP="005837D8">
      <w:pPr>
        <w:pStyle w:val="Fichefinanciretitre"/>
        <w:keepNext/>
        <w:rPr>
          <w:noProof/>
        </w:rPr>
      </w:pPr>
      <w:r w:rsidRPr="00A96D00">
        <w:rPr>
          <w:noProof/>
        </w:rPr>
        <w:t>ZAKONODAVNI FINANCIJSKI IZVJEŠTAJ</w:t>
      </w:r>
    </w:p>
    <w:p w14:paraId="611F95B7" w14:textId="77777777" w:rsidR="005837D8" w:rsidRPr="00A96D00" w:rsidRDefault="005837D8" w:rsidP="005837D8">
      <w:pPr>
        <w:pStyle w:val="ManualHeading1"/>
        <w:rPr>
          <w:noProof/>
        </w:rPr>
      </w:pPr>
      <w:r w:rsidRPr="00A96D00">
        <w:rPr>
          <w:noProof/>
        </w:rPr>
        <w:t>1.</w:t>
      </w:r>
      <w:r w:rsidRPr="00A96D00">
        <w:rPr>
          <w:noProof/>
        </w:rPr>
        <w:tab/>
        <w:t>OKVIR PRIJEDLOGA/INICIJATIVE</w:t>
      </w:r>
    </w:p>
    <w:p w14:paraId="13BF7A0E" w14:textId="77777777" w:rsidR="005837D8" w:rsidRPr="00A96D00" w:rsidRDefault="005837D8" w:rsidP="005837D8">
      <w:pPr>
        <w:pStyle w:val="ManualHeading2"/>
        <w:rPr>
          <w:noProof/>
        </w:rPr>
      </w:pPr>
      <w:r w:rsidRPr="00A96D00">
        <w:rPr>
          <w:noProof/>
        </w:rPr>
        <w:tab/>
        <w:t>1.1.</w:t>
      </w:r>
      <w:r w:rsidRPr="00A96D00">
        <w:rPr>
          <w:noProof/>
        </w:rPr>
        <w:tab/>
        <w:t>Naslov prijedloga/inicijative</w:t>
      </w:r>
    </w:p>
    <w:p w14:paraId="33BA2621" w14:textId="77777777" w:rsidR="005837D8" w:rsidRPr="00A96D00" w:rsidRDefault="005837D8" w:rsidP="005837D8">
      <w:pPr>
        <w:pStyle w:val="ManualHeading2"/>
        <w:rPr>
          <w:b w:val="0"/>
          <w:bCs/>
          <w:noProof/>
        </w:rPr>
      </w:pPr>
      <w:r w:rsidRPr="00A96D00">
        <w:rPr>
          <w:noProof/>
        </w:rPr>
        <w:tab/>
      </w:r>
      <w:r w:rsidRPr="00A96D00">
        <w:rPr>
          <w:b w:val="0"/>
          <w:noProof/>
        </w:rPr>
        <w:t xml:space="preserve">Novi sustav EU-a za izbjegavanje dvostrukog oporezivanja i sprečavanje zlouporabe poreza u području poreza po odbitku, takozvani „FASTER” (Brže i sigurnije oslobođenje od preplaćenog poreza, engl.: </w:t>
      </w:r>
      <w:r w:rsidRPr="00A96D00">
        <w:rPr>
          <w:b w:val="0"/>
          <w:i/>
          <w:iCs/>
          <w:noProof/>
        </w:rPr>
        <w:t>Faster and Safer Tax Excess Relief</w:t>
      </w:r>
      <w:r w:rsidRPr="00A96D00">
        <w:rPr>
          <w:b w:val="0"/>
          <w:noProof/>
        </w:rPr>
        <w:t>).</w:t>
      </w:r>
    </w:p>
    <w:p w14:paraId="07559EED" w14:textId="77777777" w:rsidR="005837D8" w:rsidRPr="00A96D00" w:rsidRDefault="005837D8" w:rsidP="005837D8">
      <w:pPr>
        <w:pStyle w:val="ManualHeading2"/>
        <w:rPr>
          <w:noProof/>
        </w:rPr>
      </w:pPr>
      <w:r w:rsidRPr="00A96D00">
        <w:rPr>
          <w:noProof/>
        </w:rPr>
        <w:tab/>
        <w:t>1.2.</w:t>
      </w:r>
      <w:r w:rsidRPr="00A96D00">
        <w:rPr>
          <w:noProof/>
        </w:rPr>
        <w:tab/>
        <w:t>Predmetna područja politike</w:t>
      </w:r>
    </w:p>
    <w:p w14:paraId="7ABEA2E4" w14:textId="77777777" w:rsidR="005837D8" w:rsidRPr="00A96D00" w:rsidRDefault="005837D8" w:rsidP="005837D8">
      <w:pPr>
        <w:pStyle w:val="ManualHeading2"/>
        <w:rPr>
          <w:b w:val="0"/>
          <w:bCs/>
          <w:noProof/>
        </w:rPr>
      </w:pPr>
      <w:r w:rsidRPr="00A96D00">
        <w:rPr>
          <w:noProof/>
        </w:rPr>
        <w:tab/>
      </w:r>
      <w:r w:rsidRPr="00A96D00">
        <w:rPr>
          <w:b w:val="0"/>
          <w:noProof/>
        </w:rPr>
        <w:t>Porezna politika.</w:t>
      </w:r>
    </w:p>
    <w:p w14:paraId="7E7BF8E3" w14:textId="77777777" w:rsidR="005837D8" w:rsidRPr="00A96D00" w:rsidRDefault="005837D8" w:rsidP="005837D8">
      <w:pPr>
        <w:pStyle w:val="ManualHeading2"/>
        <w:rPr>
          <w:noProof/>
        </w:rPr>
      </w:pPr>
      <w:r w:rsidRPr="00A96D00">
        <w:rPr>
          <w:noProof/>
        </w:rPr>
        <w:tab/>
        <w:t>1.3.</w:t>
      </w:r>
      <w:r w:rsidRPr="00A96D00">
        <w:rPr>
          <w:noProof/>
        </w:rPr>
        <w:tab/>
        <w:t>Prijedlog/inicijativa odnosi se na:</w:t>
      </w:r>
    </w:p>
    <w:p w14:paraId="75082A9A" w14:textId="77777777" w:rsidR="005837D8" w:rsidRPr="00A96D00" w:rsidRDefault="005837D8" w:rsidP="005837D8">
      <w:pPr>
        <w:pStyle w:val="ManualHeading2"/>
        <w:rPr>
          <w:b w:val="0"/>
          <w:bCs/>
          <w:noProof/>
        </w:rPr>
      </w:pPr>
      <w:r w:rsidRPr="00A96D00">
        <w:rPr>
          <w:noProof/>
        </w:rPr>
        <w:tab/>
      </w:r>
      <w:r w:rsidRPr="00A96D00">
        <w:rPr>
          <w:b w:val="0"/>
          <w:noProof/>
        </w:rPr>
        <w:t xml:space="preserve">novo djelovanje </w:t>
      </w:r>
    </w:p>
    <w:p w14:paraId="555745D0" w14:textId="77777777" w:rsidR="005837D8" w:rsidRPr="00A96D00" w:rsidRDefault="005837D8" w:rsidP="005837D8">
      <w:pPr>
        <w:pStyle w:val="ManualHeading2"/>
        <w:rPr>
          <w:noProof/>
        </w:rPr>
      </w:pPr>
      <w:r w:rsidRPr="00A96D00">
        <w:rPr>
          <w:noProof/>
        </w:rPr>
        <w:tab/>
        <w:t>1.4.</w:t>
      </w:r>
      <w:r w:rsidRPr="00A96D00">
        <w:rPr>
          <w:noProof/>
        </w:rPr>
        <w:tab/>
        <w:t>Ciljevi</w:t>
      </w:r>
    </w:p>
    <w:p w14:paraId="101E1DBF" w14:textId="77777777" w:rsidR="005837D8" w:rsidRPr="00A96D00" w:rsidRDefault="005837D8" w:rsidP="005837D8">
      <w:pPr>
        <w:pStyle w:val="ManualHeading3"/>
        <w:rPr>
          <w:noProof/>
        </w:rPr>
      </w:pPr>
      <w:r w:rsidRPr="00A96D00">
        <w:rPr>
          <w:noProof/>
        </w:rPr>
        <w:tab/>
        <w:t>1.4.1.</w:t>
      </w:r>
      <w:r w:rsidRPr="00A96D00">
        <w:rPr>
          <w:noProof/>
        </w:rPr>
        <w:tab/>
        <w:t>Opći ciljevi</w:t>
      </w:r>
    </w:p>
    <w:p w14:paraId="6E67F26A" w14:textId="77777777" w:rsidR="005837D8" w:rsidRPr="00A96D00" w:rsidRDefault="005837D8" w:rsidP="005837D8">
      <w:pPr>
        <w:pStyle w:val="ManualHeading3"/>
        <w:rPr>
          <w:i w:val="0"/>
          <w:iCs/>
          <w:noProof/>
        </w:rPr>
      </w:pPr>
      <w:r w:rsidRPr="00A96D00">
        <w:rPr>
          <w:noProof/>
        </w:rPr>
        <w:tab/>
      </w:r>
      <w:r w:rsidRPr="00A96D00">
        <w:rPr>
          <w:i w:val="0"/>
          <w:noProof/>
        </w:rPr>
        <w:t xml:space="preserve">1) </w:t>
      </w:r>
      <w:r w:rsidRPr="00A96D00">
        <w:rPr>
          <w:i w:val="0"/>
          <w:noProof/>
          <w:sz w:val="22"/>
        </w:rPr>
        <w:t>olakšavanje prekograničnih ulaganja u EU-u tako što će porezni obveznici dobiti primjeren i djelotvoran pristup oslobođenjima za porez koja proizlaze iz ugovora o izbjegavanju dvostrukog oporezivanja i direktiva EU-a</w:t>
      </w:r>
    </w:p>
    <w:p w14:paraId="24CBB808" w14:textId="77777777" w:rsidR="005837D8" w:rsidRPr="00A96D00" w:rsidRDefault="005837D8" w:rsidP="005837D8">
      <w:pPr>
        <w:pStyle w:val="ManualHeading3"/>
        <w:rPr>
          <w:i w:val="0"/>
          <w:iCs/>
          <w:noProof/>
        </w:rPr>
      </w:pPr>
      <w:r w:rsidRPr="00A96D00">
        <w:rPr>
          <w:noProof/>
        </w:rPr>
        <w:tab/>
      </w:r>
      <w:r w:rsidRPr="00A96D00">
        <w:rPr>
          <w:i w:val="0"/>
          <w:noProof/>
        </w:rPr>
        <w:t xml:space="preserve">2) </w:t>
      </w:r>
      <w:r w:rsidRPr="00A96D00">
        <w:rPr>
          <w:i w:val="0"/>
          <w:noProof/>
          <w:sz w:val="22"/>
        </w:rPr>
        <w:t>sprečavanje zlouporabe poreza u području poreza po odbitku</w:t>
      </w:r>
    </w:p>
    <w:p w14:paraId="365FD78F" w14:textId="77777777" w:rsidR="005837D8" w:rsidRPr="00A96D00" w:rsidRDefault="005837D8" w:rsidP="005837D8">
      <w:pPr>
        <w:pStyle w:val="ManualHeading3"/>
        <w:rPr>
          <w:i w:val="0"/>
          <w:iCs/>
          <w:noProof/>
        </w:rPr>
      </w:pPr>
      <w:r w:rsidRPr="00A96D00">
        <w:rPr>
          <w:noProof/>
        </w:rPr>
        <w:tab/>
      </w:r>
      <w:r w:rsidRPr="00A96D00">
        <w:rPr>
          <w:i w:val="0"/>
          <w:noProof/>
        </w:rPr>
        <w:t>3) Gospodarske koristi</w:t>
      </w:r>
    </w:p>
    <w:p w14:paraId="15DD5BD3" w14:textId="77777777" w:rsidR="005837D8" w:rsidRPr="00A96D00" w:rsidRDefault="005837D8" w:rsidP="005837D8">
      <w:pPr>
        <w:pStyle w:val="ManualHeading3"/>
        <w:rPr>
          <w:noProof/>
        </w:rPr>
      </w:pPr>
      <w:r w:rsidRPr="00A96D00">
        <w:rPr>
          <w:noProof/>
        </w:rPr>
        <w:tab/>
        <w:t>1.4.2.</w:t>
      </w:r>
      <w:r w:rsidRPr="00A96D00">
        <w:rPr>
          <w:noProof/>
        </w:rPr>
        <w:tab/>
        <w:t>Specifični ciljevi</w:t>
      </w:r>
    </w:p>
    <w:p w14:paraId="68185D14" w14:textId="77777777" w:rsidR="005837D8" w:rsidRPr="00A96D00" w:rsidRDefault="005837D8" w:rsidP="005837D8">
      <w:pPr>
        <w:pStyle w:val="ManualHeading3"/>
        <w:rPr>
          <w:i w:val="0"/>
          <w:iCs/>
          <w:noProof/>
        </w:rPr>
      </w:pPr>
      <w:r w:rsidRPr="00A96D00">
        <w:rPr>
          <w:noProof/>
        </w:rPr>
        <w:tab/>
      </w:r>
      <w:r w:rsidRPr="00A96D00">
        <w:rPr>
          <w:i w:val="0"/>
          <w:noProof/>
        </w:rPr>
        <w:t xml:space="preserve">1) </w:t>
      </w:r>
      <w:r w:rsidRPr="00A96D00">
        <w:rPr>
          <w:i w:val="0"/>
          <w:noProof/>
          <w:sz w:val="22"/>
        </w:rPr>
        <w:t xml:space="preserve">Skraćeno razdoblje za oslobođenje ili povrat preplaćenog poreza po odbitku </w:t>
      </w:r>
    </w:p>
    <w:p w14:paraId="09B7C7A6" w14:textId="77777777" w:rsidR="005837D8" w:rsidRPr="00A96D00" w:rsidRDefault="005837D8" w:rsidP="005837D8">
      <w:pPr>
        <w:pStyle w:val="ManualHeading3"/>
        <w:rPr>
          <w:i w:val="0"/>
          <w:iCs/>
          <w:noProof/>
        </w:rPr>
      </w:pPr>
      <w:r w:rsidRPr="00A96D00">
        <w:rPr>
          <w:noProof/>
        </w:rPr>
        <w:tab/>
      </w:r>
      <w:r w:rsidRPr="00A96D00">
        <w:rPr>
          <w:i w:val="0"/>
          <w:noProof/>
        </w:rPr>
        <w:t xml:space="preserve">2) </w:t>
      </w:r>
      <w:r w:rsidRPr="00A96D00">
        <w:rPr>
          <w:i w:val="0"/>
          <w:noProof/>
          <w:sz w:val="22"/>
        </w:rPr>
        <w:t>Osiguravanje usklađenosti financijskih posrednika sa zahtjevima dubinske analize klijenta i izvješćivanje poreznih uprava o tome</w:t>
      </w:r>
    </w:p>
    <w:p w14:paraId="6A72D6B0" w14:textId="77777777" w:rsidR="005837D8" w:rsidRPr="00A96D00" w:rsidRDefault="005837D8" w:rsidP="005837D8">
      <w:pPr>
        <w:pStyle w:val="ManualHeading3"/>
        <w:rPr>
          <w:i w:val="0"/>
          <w:iCs/>
          <w:noProof/>
        </w:rPr>
      </w:pPr>
      <w:r w:rsidRPr="00A96D00">
        <w:rPr>
          <w:noProof/>
        </w:rPr>
        <w:tab/>
      </w:r>
      <w:r w:rsidRPr="00A96D00">
        <w:rPr>
          <w:i w:val="0"/>
          <w:noProof/>
        </w:rPr>
        <w:t>3) Sprječavanje zlouporaba u području poreza po odbitku (Cum-Ex i Cum-Cum)</w:t>
      </w:r>
    </w:p>
    <w:p w14:paraId="52A2FE4B" w14:textId="77777777" w:rsidR="005837D8" w:rsidRPr="00A96D00" w:rsidRDefault="005837D8" w:rsidP="005837D8">
      <w:pPr>
        <w:pStyle w:val="ManualHeading3"/>
        <w:rPr>
          <w:i w:val="0"/>
          <w:iCs/>
          <w:noProof/>
        </w:rPr>
      </w:pPr>
      <w:r w:rsidRPr="00A96D00">
        <w:rPr>
          <w:noProof/>
        </w:rPr>
        <w:tab/>
      </w:r>
      <w:r w:rsidRPr="00A96D00">
        <w:rPr>
          <w:i w:val="0"/>
          <w:noProof/>
        </w:rPr>
        <w:t>4)</w:t>
      </w:r>
      <w:r w:rsidRPr="00A96D00">
        <w:rPr>
          <w:i w:val="0"/>
          <w:noProof/>
          <w:sz w:val="22"/>
        </w:rPr>
        <w:t xml:space="preserve"> Opremanje poreznih uprava država članica instrumentima za sigurno i pravodobno provođenje postupaka povrata/oslobođenja na izvoru </w:t>
      </w:r>
    </w:p>
    <w:p w14:paraId="520273B6" w14:textId="77777777" w:rsidR="005837D8" w:rsidRPr="00A96D00" w:rsidRDefault="005837D8" w:rsidP="005837D8">
      <w:pPr>
        <w:pStyle w:val="ManualHeading3"/>
        <w:rPr>
          <w:noProof/>
        </w:rPr>
      </w:pPr>
      <w:r w:rsidRPr="00A96D00">
        <w:rPr>
          <w:noProof/>
        </w:rPr>
        <w:tab/>
        <w:t>5) Utjecaj prijedloga na gospodarstvo</w:t>
      </w:r>
    </w:p>
    <w:p w14:paraId="431DFF9C" w14:textId="77777777" w:rsidR="005837D8" w:rsidRPr="00A96D00" w:rsidRDefault="005837D8" w:rsidP="005837D8">
      <w:pPr>
        <w:pStyle w:val="ManualHeading3"/>
        <w:rPr>
          <w:noProof/>
        </w:rPr>
      </w:pPr>
      <w:r w:rsidRPr="00A96D00">
        <w:rPr>
          <w:noProof/>
        </w:rPr>
        <w:tab/>
        <w:t>1.4.3.</w:t>
      </w:r>
      <w:r w:rsidRPr="00A96D00">
        <w:rPr>
          <w:noProof/>
        </w:rPr>
        <w:tab/>
        <w:t>Očekivani rezultati i učinak</w:t>
      </w:r>
    </w:p>
    <w:p w14:paraId="70E3CC20" w14:textId="77777777" w:rsidR="005837D8" w:rsidRPr="00A96D00" w:rsidRDefault="005837D8" w:rsidP="005837D8">
      <w:pPr>
        <w:pStyle w:val="ManualHeading3"/>
        <w:rPr>
          <w:i w:val="0"/>
          <w:iCs/>
          <w:noProof/>
        </w:rPr>
      </w:pPr>
      <w:r w:rsidRPr="00A96D00">
        <w:rPr>
          <w:noProof/>
        </w:rPr>
        <w:tab/>
      </w:r>
      <w:r w:rsidRPr="00A96D00">
        <w:rPr>
          <w:i w:val="0"/>
          <w:noProof/>
        </w:rPr>
        <w:t>Rokovi utvrđeni u okviru Prijedloga zajamčili bi brži povrat preplaćenog poreza po odbitku ili primjenu bilo koje niže primjenjive stope poreza po odbitku u trenutku plaćanja. S obzirom na obveze izvješćivanja, osiguralo bi se da se informacije dostavljaju poreznim tijelima kako bi se omogućila znatna transparentnost i da se te informacije djelotvorno upotrebljavaju za borbu protiv poreznih prijevara, utaje poreza i izbjegavanja plaćanja poreza u sustavima povrata/oslobođenja za porez po odbitku u EU-u, uz istodobno osiguravanje učinkovitosti sustava. Drugi je cilj pozitivan učinak na gospodarske pokazatelje kao što su BDP, plaće i zapošljavanje.</w:t>
      </w:r>
    </w:p>
    <w:p w14:paraId="6E1ADA43" w14:textId="77777777" w:rsidR="005837D8" w:rsidRPr="00A96D00" w:rsidRDefault="005837D8" w:rsidP="005837D8">
      <w:pPr>
        <w:pStyle w:val="ManualHeading3"/>
        <w:rPr>
          <w:noProof/>
        </w:rPr>
      </w:pPr>
      <w:r w:rsidRPr="00A96D00">
        <w:rPr>
          <w:noProof/>
        </w:rPr>
        <w:tab/>
        <w:t>1.4.4.</w:t>
      </w:r>
      <w:r w:rsidRPr="00A96D00">
        <w:rPr>
          <w:noProof/>
        </w:rPr>
        <w:tab/>
        <w:t>Pokazatelji uspješnosti</w:t>
      </w:r>
    </w:p>
    <w:tbl>
      <w:tblPr>
        <w:tblStyle w:val="TableGrid"/>
        <w:tblW w:w="0" w:type="auto"/>
        <w:tblInd w:w="850" w:type="dxa"/>
        <w:tblLook w:val="04A0" w:firstRow="1" w:lastRow="0" w:firstColumn="1" w:lastColumn="0" w:noHBand="0" w:noVBand="1"/>
      </w:tblPr>
      <w:tblGrid>
        <w:gridCol w:w="2811"/>
        <w:gridCol w:w="2813"/>
        <w:gridCol w:w="2813"/>
      </w:tblGrid>
      <w:tr w:rsidR="005837D8" w:rsidRPr="00A96D00" w14:paraId="6138A348" w14:textId="77777777" w:rsidTr="000430BD">
        <w:tc>
          <w:tcPr>
            <w:tcW w:w="2811" w:type="dxa"/>
          </w:tcPr>
          <w:p w14:paraId="17343940" w14:textId="77777777" w:rsidR="005837D8" w:rsidRPr="00A96D00" w:rsidRDefault="005837D8" w:rsidP="000430BD">
            <w:pPr>
              <w:pStyle w:val="ManualHeading2"/>
              <w:ind w:left="0" w:firstLine="0"/>
              <w:rPr>
                <w:noProof/>
              </w:rPr>
            </w:pPr>
            <w:r w:rsidRPr="00A96D00">
              <w:rPr>
                <w:noProof/>
                <w:sz w:val="22"/>
              </w:rPr>
              <w:t xml:space="preserve">Specifični cilj </w:t>
            </w:r>
          </w:p>
        </w:tc>
        <w:tc>
          <w:tcPr>
            <w:tcW w:w="2813" w:type="dxa"/>
          </w:tcPr>
          <w:p w14:paraId="4984F7EF" w14:textId="77777777" w:rsidR="005837D8" w:rsidRPr="00A96D00" w:rsidRDefault="005837D8" w:rsidP="000430BD">
            <w:pPr>
              <w:pStyle w:val="ManualHeading2"/>
              <w:ind w:left="0" w:firstLine="0"/>
              <w:rPr>
                <w:noProof/>
              </w:rPr>
            </w:pPr>
            <w:r w:rsidRPr="00A96D00">
              <w:rPr>
                <w:noProof/>
                <w:sz w:val="22"/>
              </w:rPr>
              <w:t>Pokazatelji</w:t>
            </w:r>
          </w:p>
        </w:tc>
        <w:tc>
          <w:tcPr>
            <w:tcW w:w="2813" w:type="dxa"/>
          </w:tcPr>
          <w:p w14:paraId="0D2861B2" w14:textId="77777777" w:rsidR="005837D8" w:rsidRPr="00A96D00" w:rsidRDefault="005837D8" w:rsidP="000430BD">
            <w:pPr>
              <w:pStyle w:val="ManualHeading2"/>
              <w:ind w:left="0" w:firstLine="0"/>
              <w:rPr>
                <w:noProof/>
              </w:rPr>
            </w:pPr>
            <w:r w:rsidRPr="00A96D00">
              <w:rPr>
                <w:noProof/>
                <w:sz w:val="22"/>
              </w:rPr>
              <w:t>Alati za mjerenje</w:t>
            </w:r>
          </w:p>
        </w:tc>
      </w:tr>
      <w:tr w:rsidR="005837D8" w:rsidRPr="00A96D00" w14:paraId="7CCB1158" w14:textId="77777777" w:rsidTr="000430BD">
        <w:tc>
          <w:tcPr>
            <w:tcW w:w="2811" w:type="dxa"/>
          </w:tcPr>
          <w:p w14:paraId="54DCF525" w14:textId="77777777" w:rsidR="005837D8" w:rsidRPr="00A96D00" w:rsidRDefault="005837D8" w:rsidP="000430BD">
            <w:pPr>
              <w:pStyle w:val="ManualHeading2"/>
              <w:ind w:left="0" w:firstLine="0"/>
              <w:rPr>
                <w:b w:val="0"/>
                <w:bCs/>
                <w:noProof/>
              </w:rPr>
            </w:pPr>
            <w:r w:rsidRPr="00A96D00">
              <w:rPr>
                <w:b w:val="0"/>
                <w:noProof/>
                <w:sz w:val="22"/>
              </w:rPr>
              <w:t xml:space="preserve">Skraćeno razdoblje za oslobođenje ili povrat preplaćenog poreza po odbitku </w:t>
            </w:r>
          </w:p>
        </w:tc>
        <w:tc>
          <w:tcPr>
            <w:tcW w:w="2813" w:type="dxa"/>
          </w:tcPr>
          <w:p w14:paraId="3BB56D2D" w14:textId="77777777" w:rsidR="005837D8" w:rsidRPr="00A96D00" w:rsidRDefault="005837D8" w:rsidP="000430BD">
            <w:pPr>
              <w:pStyle w:val="ManualHeading2"/>
              <w:ind w:left="0" w:firstLine="0"/>
              <w:rPr>
                <w:b w:val="0"/>
                <w:bCs/>
                <w:noProof/>
              </w:rPr>
            </w:pPr>
            <w:r w:rsidRPr="00A96D00">
              <w:rPr>
                <w:b w:val="0"/>
                <w:noProof/>
                <w:sz w:val="22"/>
              </w:rPr>
              <w:t xml:space="preserve">Jesu li dani plaćanja za povrate poreza po odbitku u skladu s unaprijed utvrđenim rokovima plaćanja u prijedlogu i, prema potrebi, plaćaju li se ulagačima zatezne kamate za zakašnjele isplate povrata </w:t>
            </w:r>
          </w:p>
        </w:tc>
        <w:tc>
          <w:tcPr>
            <w:tcW w:w="2813" w:type="dxa"/>
          </w:tcPr>
          <w:p w14:paraId="3A2A1DEE" w14:textId="77777777" w:rsidR="005837D8" w:rsidRPr="00A96D00" w:rsidRDefault="005837D8" w:rsidP="000430BD">
            <w:pPr>
              <w:pStyle w:val="ManualHeading2"/>
              <w:ind w:left="0" w:firstLine="0"/>
              <w:rPr>
                <w:b w:val="0"/>
                <w:bCs/>
                <w:noProof/>
              </w:rPr>
            </w:pPr>
            <w:r w:rsidRPr="00A96D00">
              <w:rPr>
                <w:b w:val="0"/>
                <w:noProof/>
                <w:sz w:val="22"/>
              </w:rPr>
              <w:t>Godišnji podaci koje treba dostaviti Komisiji po državi članici izvora</w:t>
            </w:r>
          </w:p>
        </w:tc>
      </w:tr>
      <w:tr w:rsidR="005837D8" w:rsidRPr="00A96D00" w14:paraId="2281937D" w14:textId="77777777" w:rsidTr="000430BD">
        <w:tc>
          <w:tcPr>
            <w:tcW w:w="2811" w:type="dxa"/>
          </w:tcPr>
          <w:p w14:paraId="15654DAA" w14:textId="77777777" w:rsidR="005837D8" w:rsidRPr="00A96D00" w:rsidRDefault="005837D8" w:rsidP="000430BD">
            <w:pPr>
              <w:pStyle w:val="ManualHeading2"/>
              <w:ind w:left="0" w:firstLine="0"/>
              <w:rPr>
                <w:b w:val="0"/>
                <w:bCs/>
                <w:noProof/>
              </w:rPr>
            </w:pPr>
            <w:r w:rsidRPr="00A96D00">
              <w:rPr>
                <w:b w:val="0"/>
                <w:noProof/>
                <w:sz w:val="22"/>
              </w:rPr>
              <w:t xml:space="preserve">Osiguravanje da se ovlašteni financijski posrednici pridržavaju zahtjeva dubinske analize klijenta i obveza izvješćivanja </w:t>
            </w:r>
          </w:p>
        </w:tc>
        <w:tc>
          <w:tcPr>
            <w:tcW w:w="2813" w:type="dxa"/>
          </w:tcPr>
          <w:p w14:paraId="6A612D6D" w14:textId="77777777" w:rsidR="005837D8" w:rsidRPr="00A96D00" w:rsidRDefault="005837D8" w:rsidP="000430BD">
            <w:pPr>
              <w:pStyle w:val="ManualHeading2"/>
              <w:ind w:left="0" w:firstLine="0"/>
              <w:rPr>
                <w:b w:val="0"/>
                <w:bCs/>
                <w:noProof/>
              </w:rPr>
            </w:pPr>
            <w:r w:rsidRPr="00A96D00">
              <w:rPr>
                <w:b w:val="0"/>
                <w:noProof/>
                <w:sz w:val="22"/>
              </w:rPr>
              <w:t xml:space="preserve">Aktivnosti praćenja koje provodi država članica radi osiguravanja usklađenosti financijskih posrednika iz EU-a (provodi država članica u kojoj su registrirani u nacionalnom registru) i financijskih posrednika izvan EU-a (provode države članice u kojima su registrirani) </w:t>
            </w:r>
          </w:p>
        </w:tc>
        <w:tc>
          <w:tcPr>
            <w:tcW w:w="2813" w:type="dxa"/>
          </w:tcPr>
          <w:p w14:paraId="2D18910E" w14:textId="77777777" w:rsidR="005837D8" w:rsidRPr="00A96D00" w:rsidRDefault="005837D8" w:rsidP="000430BD">
            <w:pPr>
              <w:pStyle w:val="ManualHeading2"/>
              <w:ind w:left="0" w:firstLine="0"/>
              <w:rPr>
                <w:b w:val="0"/>
                <w:bCs/>
                <w:noProof/>
              </w:rPr>
            </w:pPr>
            <w:r w:rsidRPr="00A96D00">
              <w:rPr>
                <w:b w:val="0"/>
                <w:noProof/>
                <w:sz w:val="22"/>
              </w:rPr>
              <w:t>Godišnje izvješće koje država članica dostavlja u nacionalni registar u kojem je financijski posrednik registriran</w:t>
            </w:r>
          </w:p>
        </w:tc>
      </w:tr>
      <w:tr w:rsidR="005837D8" w:rsidRPr="00A96D00" w14:paraId="535492EF" w14:textId="77777777" w:rsidTr="000430BD">
        <w:tc>
          <w:tcPr>
            <w:tcW w:w="2811" w:type="dxa"/>
          </w:tcPr>
          <w:p w14:paraId="6003EE3C" w14:textId="77777777" w:rsidR="005837D8" w:rsidRPr="00A96D00" w:rsidRDefault="005837D8" w:rsidP="000430BD">
            <w:pPr>
              <w:pStyle w:val="ManualHeading2"/>
              <w:ind w:left="0" w:firstLine="0"/>
              <w:rPr>
                <w:b w:val="0"/>
                <w:bCs/>
                <w:noProof/>
              </w:rPr>
            </w:pPr>
            <w:r w:rsidRPr="00A96D00">
              <w:rPr>
                <w:b w:val="0"/>
                <w:noProof/>
                <w:sz w:val="22"/>
              </w:rPr>
              <w:t>Sprječavanje zlouporabe u području poreza</w:t>
            </w:r>
          </w:p>
        </w:tc>
        <w:tc>
          <w:tcPr>
            <w:tcW w:w="2813" w:type="dxa"/>
          </w:tcPr>
          <w:p w14:paraId="11D76D1C" w14:textId="77777777" w:rsidR="005837D8" w:rsidRPr="00A96D00" w:rsidRDefault="005837D8" w:rsidP="000430BD">
            <w:pPr>
              <w:pStyle w:val="ManualHeading2"/>
              <w:ind w:left="0" w:firstLine="0"/>
              <w:rPr>
                <w:b w:val="0"/>
                <w:bCs/>
                <w:noProof/>
              </w:rPr>
            </w:pPr>
            <w:r w:rsidRPr="00A96D00">
              <w:rPr>
                <w:b w:val="0"/>
                <w:noProof/>
                <w:sz w:val="22"/>
              </w:rPr>
              <w:t xml:space="preserve">Godišnja procjena države članice izvora o korisnosti podataka koje su dostavili posrednici/zastupnici za porez po odbitku za stvarno otkrivanje i sprečavanje zlouporabe u području poreza Procjena će uključivati upotrebu i koristi prijavljenih podataka (broj slučajeva zlouporabe i povezane iznose) za otkrivanje i suzbijanje zlouporabe poreza po odbitku (Cum/Ex i Cum/Cum) </w:t>
            </w:r>
          </w:p>
        </w:tc>
        <w:tc>
          <w:tcPr>
            <w:tcW w:w="2813" w:type="dxa"/>
          </w:tcPr>
          <w:p w14:paraId="10818193" w14:textId="77777777" w:rsidR="005837D8" w:rsidRPr="00A96D00" w:rsidRDefault="005837D8" w:rsidP="000430BD">
            <w:pPr>
              <w:pStyle w:val="ManualHeading2"/>
              <w:ind w:left="0" w:firstLine="0"/>
              <w:rPr>
                <w:b w:val="0"/>
                <w:bCs/>
                <w:noProof/>
              </w:rPr>
            </w:pPr>
            <w:r w:rsidRPr="00A96D00">
              <w:rPr>
                <w:b w:val="0"/>
                <w:noProof/>
                <w:sz w:val="22"/>
              </w:rPr>
              <w:t>Godišnja procjena koju Komisiji dostavlja država članica izvora.</w:t>
            </w:r>
          </w:p>
        </w:tc>
      </w:tr>
      <w:tr w:rsidR="005837D8" w:rsidRPr="00A96D00" w14:paraId="420FD651" w14:textId="77777777" w:rsidTr="000430BD">
        <w:tc>
          <w:tcPr>
            <w:tcW w:w="2811" w:type="dxa"/>
          </w:tcPr>
          <w:p w14:paraId="6E95ACF1" w14:textId="77777777" w:rsidR="005837D8" w:rsidRPr="00A96D00" w:rsidRDefault="005837D8" w:rsidP="000430BD">
            <w:pPr>
              <w:pStyle w:val="ManualHeading2"/>
              <w:ind w:left="0" w:firstLine="0"/>
              <w:rPr>
                <w:b w:val="0"/>
                <w:bCs/>
                <w:noProof/>
              </w:rPr>
            </w:pPr>
            <w:r w:rsidRPr="00A96D00">
              <w:rPr>
                <w:b w:val="0"/>
                <w:noProof/>
                <w:sz w:val="22"/>
              </w:rPr>
              <w:t xml:space="preserve">Opremljenost poreznih uprava država članica instrumentima za sigurno provođenje postupaka povrata/oslobođenja na izvoru </w:t>
            </w:r>
          </w:p>
        </w:tc>
        <w:tc>
          <w:tcPr>
            <w:tcW w:w="2813" w:type="dxa"/>
          </w:tcPr>
          <w:p w14:paraId="7F189CBF" w14:textId="77777777" w:rsidR="005837D8" w:rsidRPr="00A96D00" w:rsidRDefault="00060712" w:rsidP="000430BD">
            <w:pPr>
              <w:spacing w:line="276" w:lineRule="auto"/>
              <w:rPr>
                <w:rFonts w:eastAsia="Calibri"/>
                <w:bCs/>
                <w:noProof/>
                <w:sz w:val="22"/>
                <w:szCs w:val="22"/>
              </w:rPr>
            </w:pPr>
            <w:r w:rsidRPr="00A96D00">
              <w:rPr>
                <w:noProof/>
                <w:sz w:val="22"/>
              </w:rPr>
              <w:t xml:space="preserve">Točnost i potpunost informacija koje financijski posrednici/zastupnici za porez po odbitku dostavljaju poreznoj upravi države članice izvora </w:t>
            </w:r>
          </w:p>
          <w:p w14:paraId="6E424DAF" w14:textId="77777777" w:rsidR="005837D8" w:rsidRPr="00A96D00" w:rsidRDefault="005837D8" w:rsidP="000430BD">
            <w:pPr>
              <w:pStyle w:val="ManualHeading2"/>
              <w:ind w:left="0" w:firstLine="0"/>
              <w:rPr>
                <w:b w:val="0"/>
                <w:bCs/>
                <w:noProof/>
              </w:rPr>
            </w:pPr>
            <w:r w:rsidRPr="00A96D00">
              <w:rPr>
                <w:b w:val="0"/>
                <w:noProof/>
                <w:sz w:val="22"/>
              </w:rPr>
              <w:t>Godišnja procjena države članice izvora o provedivosti pravila o raspodjeli odgovornosti na nacionalnoj razini</w:t>
            </w:r>
          </w:p>
        </w:tc>
        <w:tc>
          <w:tcPr>
            <w:tcW w:w="2813" w:type="dxa"/>
          </w:tcPr>
          <w:p w14:paraId="00AB2DFC" w14:textId="77777777" w:rsidR="005837D8" w:rsidRPr="00A96D00" w:rsidRDefault="005837D8" w:rsidP="000430BD">
            <w:pPr>
              <w:pStyle w:val="ManualHeading2"/>
              <w:ind w:left="0" w:firstLine="0"/>
              <w:rPr>
                <w:b w:val="0"/>
                <w:bCs/>
                <w:noProof/>
              </w:rPr>
            </w:pPr>
            <w:r w:rsidRPr="00A96D00">
              <w:rPr>
                <w:b w:val="0"/>
                <w:noProof/>
                <w:sz w:val="22"/>
              </w:rPr>
              <w:t xml:space="preserve">Godišnja procjena koju Komisiji dostavlja država članica izvora.  </w:t>
            </w:r>
          </w:p>
        </w:tc>
      </w:tr>
      <w:tr w:rsidR="005837D8" w:rsidRPr="00A96D00" w14:paraId="1491419C" w14:textId="77777777" w:rsidTr="000430BD">
        <w:tc>
          <w:tcPr>
            <w:tcW w:w="2811" w:type="dxa"/>
          </w:tcPr>
          <w:p w14:paraId="749DBCFD" w14:textId="77777777" w:rsidR="005837D8" w:rsidRPr="00A96D00" w:rsidRDefault="005837D8" w:rsidP="000430BD">
            <w:pPr>
              <w:pStyle w:val="ManualHeading2"/>
              <w:ind w:left="0" w:firstLine="0"/>
              <w:rPr>
                <w:b w:val="0"/>
                <w:bCs/>
                <w:noProof/>
              </w:rPr>
            </w:pPr>
            <w:r w:rsidRPr="00A96D00">
              <w:rPr>
                <w:b w:val="0"/>
                <w:noProof/>
                <w:sz w:val="22"/>
              </w:rPr>
              <w:t>Učinak prijedloga na gospodarstvo EU-a</w:t>
            </w:r>
          </w:p>
        </w:tc>
        <w:tc>
          <w:tcPr>
            <w:tcW w:w="2813" w:type="dxa"/>
          </w:tcPr>
          <w:p w14:paraId="626819DD" w14:textId="77777777" w:rsidR="005837D8" w:rsidRPr="00A96D00" w:rsidRDefault="005837D8" w:rsidP="000430BD">
            <w:pPr>
              <w:pStyle w:val="ManualHeading2"/>
              <w:ind w:left="0" w:firstLine="0"/>
              <w:rPr>
                <w:b w:val="0"/>
                <w:bCs/>
                <w:noProof/>
              </w:rPr>
            </w:pPr>
            <w:r w:rsidRPr="00A96D00">
              <w:rPr>
                <w:b w:val="0"/>
                <w:noProof/>
                <w:sz w:val="22"/>
              </w:rPr>
              <w:t xml:space="preserve">Procjena gospodarskih učinaka prijedloga na BDP, ulaganja, plaće i zapošljavanje Ta će procjena uključivati izvor podataka i metodologiju koji se upotrebljavaju u studijama JRC-a iz Priloga 4. procjeni učinka priloženoj prijedlogu, uključujući prekograničnu koordiniranu anketu o portfeljnim ulaganjima (CPIS) </w:t>
            </w:r>
          </w:p>
        </w:tc>
        <w:tc>
          <w:tcPr>
            <w:tcW w:w="2813" w:type="dxa"/>
          </w:tcPr>
          <w:p w14:paraId="4EB5191D" w14:textId="77777777" w:rsidR="005837D8" w:rsidRPr="00A96D00" w:rsidRDefault="005837D8" w:rsidP="000430BD">
            <w:pPr>
              <w:pStyle w:val="ManualHeading2"/>
              <w:ind w:left="0" w:firstLine="0"/>
              <w:rPr>
                <w:b w:val="0"/>
                <w:bCs/>
                <w:noProof/>
              </w:rPr>
            </w:pPr>
            <w:r w:rsidRPr="00A96D00">
              <w:rPr>
                <w:b w:val="0"/>
                <w:noProof/>
                <w:sz w:val="22"/>
              </w:rPr>
              <w:t xml:space="preserve">Godišnje ocjenjivanje koje provodi Komisija </w:t>
            </w:r>
          </w:p>
        </w:tc>
      </w:tr>
    </w:tbl>
    <w:p w14:paraId="238EA982" w14:textId="77777777" w:rsidR="005837D8" w:rsidRPr="00A96D00" w:rsidRDefault="005837D8" w:rsidP="005837D8">
      <w:pPr>
        <w:pStyle w:val="ManualHeading2"/>
        <w:rPr>
          <w:noProof/>
        </w:rPr>
      </w:pPr>
    </w:p>
    <w:p w14:paraId="33099DAB" w14:textId="77777777" w:rsidR="005837D8" w:rsidRPr="00A96D00" w:rsidRDefault="005837D8" w:rsidP="005837D8">
      <w:pPr>
        <w:pStyle w:val="ManualHeading2"/>
        <w:rPr>
          <w:noProof/>
        </w:rPr>
      </w:pPr>
    </w:p>
    <w:p w14:paraId="12F280DD" w14:textId="77777777" w:rsidR="005837D8" w:rsidRPr="00A96D00" w:rsidRDefault="005837D8" w:rsidP="005837D8">
      <w:pPr>
        <w:pStyle w:val="ManualHeading2"/>
        <w:rPr>
          <w:noProof/>
        </w:rPr>
      </w:pPr>
      <w:r w:rsidRPr="00A96D00">
        <w:rPr>
          <w:noProof/>
        </w:rPr>
        <w:tab/>
        <w:t>1.5.</w:t>
      </w:r>
      <w:r w:rsidRPr="00A96D00">
        <w:rPr>
          <w:noProof/>
        </w:rPr>
        <w:tab/>
        <w:t>Osnova prijedloga/inicijative</w:t>
      </w:r>
    </w:p>
    <w:p w14:paraId="7C466CA8" w14:textId="77777777" w:rsidR="005837D8" w:rsidRPr="00A96D00" w:rsidRDefault="005837D8" w:rsidP="005837D8">
      <w:pPr>
        <w:pStyle w:val="ManualHeading3"/>
        <w:rPr>
          <w:noProof/>
        </w:rPr>
      </w:pPr>
      <w:r w:rsidRPr="00A96D00">
        <w:rPr>
          <w:noProof/>
        </w:rPr>
        <w:tab/>
        <w:t>1.5.1.</w:t>
      </w:r>
      <w:r w:rsidRPr="00A96D00">
        <w:rPr>
          <w:noProof/>
        </w:rPr>
        <w:tab/>
        <w:t>Zahtjevi koje treba ispuniti u kratkoročnom ili dugoročnom razdoblju, uključujući detaljan vremenski plan provedbe inicijative</w:t>
      </w:r>
    </w:p>
    <w:p w14:paraId="34C36916" w14:textId="0FEF615C" w:rsidR="00CA3E5A" w:rsidRPr="00A96D00" w:rsidRDefault="00CB0C85" w:rsidP="00CA3E5A">
      <w:pPr>
        <w:pStyle w:val="Text1"/>
        <w:rPr>
          <w:noProof/>
        </w:rPr>
      </w:pPr>
      <w:r>
        <w:rPr>
          <w:noProof/>
        </w:rPr>
      </w:r>
      <w:r>
        <w:rPr>
          <w:noProof/>
        </w:rPr>
        <w:pict w14:anchorId="62A3F791">
          <v:shapetype id="_x0000_t202" coordsize="21600,21600" o:spt="202" path="m,l,21600r21600,l21600,xe">
            <v:stroke joinstyle="miter"/>
            <v:path gradientshapeok="t" o:connecttype="rect"/>
          </v:shapetype>
          <v:shape id="_x0000_s2058" type="#_x0000_t202" style="width:406.3pt;height:464.25pt;visibility:visible;mso-wrap-style:square;mso-left-percent:-10001;mso-top-percent:-10001;mso-position-horizontal:absolute;mso-position-horizontal-relative:char;mso-position-vertical:absolute;mso-position-vertical-relative:line;mso-left-percent:-10001;mso-top-percent:-10001;v-text-anchor:top">
            <v:textbox>
              <w:txbxContent>
                <w:p w14:paraId="4D111FA4" w14:textId="77777777" w:rsidR="00CA3E5A" w:rsidRDefault="00CA3E5A" w:rsidP="00CA3E5A">
                  <w:r>
                    <w:t>Komisija će za provedbu inicijative morati poduzeti sljedeće mjere: 1. pružati tehničku potporu za provedbu sustava za izdavanje eTRC-a; i 2. osigurati okvir za sustav izvješćivanja i obrasce za podnošenje zahtjeva koje financijski posrednici podnose državama članicama.</w:t>
                  </w:r>
                </w:p>
                <w:p w14:paraId="24F7A5EE" w14:textId="77777777" w:rsidR="00CA3E5A" w:rsidRDefault="00CA3E5A" w:rsidP="00CA3E5A">
                  <w:r>
                    <w:t xml:space="preserve">Za svaki eTRC-u izdaje se elektronički pečat u skladu s Uredbom (EU) br. 910/2014 od 23. srpnja 2014. o elektroničkoj identifikaciji i uslugama povjerenja za elektroničke transakcije na unutarnjem tržištu (Uredba eIDAS). U kasnijoj fazi države članice razmotrit će uvođenje postupka provjere s pomoću provjerljivih vjerodajnica ako su ispunjeni tehnički zahtjevi EU-a. Očekuje se da će eTRC i postupak provjere biti uspostavljeni u roku od 18 mjeseci nakon donošenja Direktive. </w:t>
                  </w:r>
                </w:p>
                <w:p w14:paraId="2F4C694E" w14:textId="773A43D0" w:rsidR="00CA3E5A" w:rsidRPr="00022846" w:rsidRDefault="00CA3E5A" w:rsidP="00022846">
                  <w:r>
                    <w:t xml:space="preserve">Komisija će za potrebe uvođenja eTRC-a u državama članicama morati ponuditi uslugu registra pouzdanih javnih ključeva izdavatelja (pod pretpostavkom da je javne ključeve potrebno povremeno mijenjati). </w:t>
                  </w:r>
                </w:p>
                <w:p w14:paraId="21709B65" w14:textId="77777777" w:rsidR="00CA3E5A" w:rsidRDefault="00CA3E5A" w:rsidP="00CA3E5A">
                  <w:r>
                    <w:t xml:space="preserve">Nadalje, Komisija će podupirati tehnički odbor u pogledu mogućih izmjena tehničke osnove za digitalnu potvrdu o poreznoj rezidentnosti ili u pogledu novih tehničkih dostignuća. </w:t>
                  </w:r>
                </w:p>
                <w:p w14:paraId="78064529" w14:textId="77777777" w:rsidR="00CA3E5A" w:rsidRPr="00CA3E5A" w:rsidRDefault="00CA3E5A">
                  <w:r>
                    <w:t>Od financijskih posrednika obuhvaćenih područjem primjene Prijedloga zahtijevat će se da izvješćuju države članice o dividendama isplaćenima na dionice kojima se trguje na burzi i/ili o kamatama isplaćenima na obveznice kojima se trguje na burzi. Informacije obuhvaćene izvješćivanjem utvrđene su u Prijedlogu. Komisija je ovlaštena za donošenje provedbenih akata o sadržaju informacija koje se izvješćuju. Nadalje, Komisija će provedbenim aktom utvrditi standardizirane računalne obrasce u formatu XML ili jednakovrijednom formatu, uključujući odredbe o jeziku, za dostavljanje informacija. Komisija će utvrditi i zahtjeve za komunikacijske kanale/protokole za sustave izvješćivanja koji bi bili potrebni financijskim posrednicima za razmjenu informacija s poreznim tijelima država članica u okviru područja primjene Prijedloga.</w:t>
                  </w:r>
                </w:p>
              </w:txbxContent>
            </v:textbox>
            <w10:anchorlock/>
          </v:shape>
        </w:pict>
      </w:r>
    </w:p>
    <w:p w14:paraId="47A334CD" w14:textId="77777777" w:rsidR="003F2CA4" w:rsidRPr="00A96D00" w:rsidRDefault="003F2CA4" w:rsidP="005837D8">
      <w:pPr>
        <w:rPr>
          <w:noProof/>
        </w:rPr>
      </w:pPr>
    </w:p>
    <w:p w14:paraId="5B2D8512" w14:textId="77777777" w:rsidR="00052297" w:rsidRPr="00A96D00" w:rsidRDefault="00052297" w:rsidP="00052297">
      <w:pPr>
        <w:pStyle w:val="ManualHeading3"/>
        <w:rPr>
          <w:noProof/>
        </w:rPr>
      </w:pPr>
      <w:r w:rsidRPr="00A96D00">
        <w:rPr>
          <w:noProof/>
        </w:rPr>
        <w:tab/>
        <w:t>1.5.2.</w:t>
      </w:r>
      <w:r w:rsidRPr="00A96D00">
        <w:rPr>
          <w:noProof/>
        </w:rPr>
        <w:tab/>
        <w:t>Dodana vrijednost sudjelovanja Unije (može proizlaziti iz različitih čimbenika, npr. prednosti koordinacije, pravne sigurnosti, veće djelotvornosti ili komplementarnosti). Za potrebe ove točke „dodana vrijednost sudjelovanja Unije” je vrijednost koja proizlazi iz intervencije Unije i koja predstavlja dodatnu vrijednost u odnosu na vrijednost koju bi države članice inače ostvarile same.</w:t>
      </w:r>
    </w:p>
    <w:p w14:paraId="7C56F341" w14:textId="77777777" w:rsidR="00052297" w:rsidRPr="00A96D00" w:rsidRDefault="00CB0C85" w:rsidP="005837D8">
      <w:pPr>
        <w:rPr>
          <w:i/>
          <w:noProof/>
        </w:rPr>
      </w:pPr>
      <w:r>
        <w:rPr>
          <w:noProof/>
        </w:rPr>
      </w:r>
      <w:r>
        <w:rPr>
          <w:noProof/>
        </w:rPr>
        <w:pict w14:anchorId="62CE8077">
          <v:shape id="Text Box 1" o:spid="_x0000_s2057" type="#_x0000_t202" style="width:409pt;height:189.45pt;visibility:visible;mso-left-percent:-10001;mso-top-percent:-10001;mso-position-horizontal:absolute;mso-position-horizontal-relative:char;mso-position-vertical:absolute;mso-position-vertical-relative:line;mso-left-percent:-10001;mso-top-percent:-10001">
            <v:textbox>
              <w:txbxContent>
                <w:p w14:paraId="1DA01A07" w14:textId="77777777" w:rsidR="00052297" w:rsidRPr="00370347" w:rsidRDefault="00052297" w:rsidP="00052297">
                  <w:r>
                    <w:t>Kako bi se pojednostavnio postupak oslobođenja/povrata preplaćenog poreza po odbitku i osigurala brža isplata povrata poreza po odbitku, poželjno je izbjeći nepodudaranja među zahtjevima koje jednostrano provode različite države članice primjenom različitih postupaka.</w:t>
                  </w:r>
                </w:p>
                <w:p w14:paraId="221333E5" w14:textId="77777777" w:rsidR="00052297" w:rsidRPr="00E324B4" w:rsidRDefault="00052297" w:rsidP="00052297">
                  <w:r>
                    <w:t>Uvođenjem zajedničkog standardnog sustava izvješćivanja u cijelom EU-u sve će države članice imati potpunu transparentnost lanca plaćanja dividendi i kamata,  što trenutačno nije slučaj. Prikupljeni podaci pomoći će u utvrđivanju i sprečavanju zlouporabe oslobođenja/povrata za porez po odbitku (Cum/Ex i Cum/Cum).</w:t>
                  </w:r>
                </w:p>
                <w:p w14:paraId="55BA9841" w14:textId="77777777" w:rsidR="00052297" w:rsidRDefault="00052297" w:rsidP="00052297">
                  <w:r>
                    <w:t xml:space="preserve">Očekuje se da će uvođenje rješenja na razini EU-a kojim bi se digitalizirale i uskladile najvažnije značajke postupaka oslobođenja za porez po odbitku uz poštovanje načela proporcionalnosti dovesti do smanjenja administrativnog opterećenja, a time i ušteda vremena i troškova za porezne uprave, ulagače i financijske posrednike. </w:t>
                  </w:r>
                </w:p>
              </w:txbxContent>
            </v:textbox>
            <w10:anchorlock/>
          </v:shape>
        </w:pict>
      </w:r>
    </w:p>
    <w:p w14:paraId="2EBEFE26" w14:textId="77777777" w:rsidR="00052297" w:rsidRPr="00A96D00" w:rsidRDefault="00052297" w:rsidP="005837D8">
      <w:pPr>
        <w:rPr>
          <w:noProof/>
        </w:rPr>
      </w:pPr>
      <w:r w:rsidRPr="00A96D00">
        <w:rPr>
          <w:noProof/>
        </w:rPr>
        <w:tab/>
      </w:r>
      <w:r w:rsidRPr="00A96D00">
        <w:rPr>
          <w:noProof/>
        </w:rPr>
        <w:tab/>
      </w:r>
    </w:p>
    <w:p w14:paraId="7028C341" w14:textId="77777777" w:rsidR="00052297" w:rsidRPr="00A96D00" w:rsidRDefault="00052297" w:rsidP="005837D8">
      <w:pPr>
        <w:pStyle w:val="ManualHeading3"/>
        <w:rPr>
          <w:noProof/>
        </w:rPr>
      </w:pPr>
      <w:r w:rsidRPr="00A96D00">
        <w:rPr>
          <w:noProof/>
        </w:rPr>
        <w:tab/>
        <w:t>1.5.3.</w:t>
      </w:r>
      <w:r w:rsidRPr="00A96D00">
        <w:rPr>
          <w:noProof/>
        </w:rPr>
        <w:tab/>
        <w:t>Pouke iz prijašnjih sličnih iskustava</w:t>
      </w:r>
    </w:p>
    <w:p w14:paraId="66D79171" w14:textId="77777777" w:rsidR="00052297" w:rsidRPr="00A96D00" w:rsidRDefault="00CB0C85" w:rsidP="005837D8">
      <w:pPr>
        <w:rPr>
          <w:noProof/>
        </w:rPr>
      </w:pPr>
      <w:r>
        <w:rPr>
          <w:noProof/>
        </w:rPr>
      </w:r>
      <w:r>
        <w:rPr>
          <w:noProof/>
        </w:rPr>
        <w:pict w14:anchorId="10F05C3E">
          <v:shape id="Text Box 3" o:spid="_x0000_s2056" type="#_x0000_t202" style="width:405pt;height:135.6pt;visibility:visible;mso-left-percent:-10001;mso-top-percent:-10001;mso-position-horizontal:absolute;mso-position-horizontal-relative:char;mso-position-vertical:absolute;mso-position-vertical-relative:line;mso-left-percent:-10001;mso-top-percent:-10001">
            <v:textbox>
              <w:txbxContent>
                <w:p w14:paraId="4833F2C4" w14:textId="77777777" w:rsidR="00052297" w:rsidRDefault="00052297" w:rsidP="00052297">
                  <w:r>
                    <w:t xml:space="preserve">Inicijativa je novi mehanizam na razini EU-a. Sustave brzog povrata uveo je samo manji broj država članica, a i one su imale poteškoća u provedbi. </w:t>
                  </w:r>
                </w:p>
                <w:p w14:paraId="0BF53015" w14:textId="77777777" w:rsidR="00052297" w:rsidRDefault="00052297" w:rsidP="00052297">
                  <w:r>
                    <w:t>Trenutačno je dostavljanje informacija od financijskih posrednika ograničeno i obično ih među svim subjektima u financijskom lancu dostavljaju samo izdavatelj vrijednosnih papira ili zastupnik za porez po odbitku, a ostali financijski posrednici ih ne dostavljaju. Inicijativom bi se osigurala potpuna transparentnost isplata dividendi i kamata u financijskom lancu kako bi se utvrdila i spriječila zlouporaba oslobođenja/povrata za porez po odbitku.</w:t>
                  </w:r>
                </w:p>
              </w:txbxContent>
            </v:textbox>
            <w10:anchorlock/>
          </v:shape>
        </w:pict>
      </w:r>
      <w:r w:rsidR="003D2F87" w:rsidRPr="00A96D00">
        <w:rPr>
          <w:noProof/>
        </w:rPr>
        <w:tab/>
      </w:r>
    </w:p>
    <w:p w14:paraId="76F38D90" w14:textId="77777777" w:rsidR="00052297" w:rsidRPr="00A96D00" w:rsidRDefault="00052297" w:rsidP="005837D8">
      <w:pPr>
        <w:pStyle w:val="ManualHeading3"/>
        <w:rPr>
          <w:noProof/>
        </w:rPr>
      </w:pPr>
      <w:r w:rsidRPr="00A96D00">
        <w:rPr>
          <w:noProof/>
        </w:rPr>
        <w:tab/>
        <w:t>1.5.4.</w:t>
      </w:r>
      <w:r w:rsidRPr="00A96D00">
        <w:rPr>
          <w:noProof/>
        </w:rPr>
        <w:tab/>
        <w:t>Usklađenost s višegodišnjim financijskim okvirom i moguće sinergije s drugim prikladnim instrumentima</w:t>
      </w:r>
    </w:p>
    <w:p w14:paraId="788AD4A1" w14:textId="77777777" w:rsidR="00052297" w:rsidRPr="00A96D00" w:rsidRDefault="00CB0C85" w:rsidP="005837D8">
      <w:pPr>
        <w:rPr>
          <w:noProof/>
        </w:rPr>
      </w:pPr>
      <w:r>
        <w:rPr>
          <w:noProof/>
          <w:color w:val="2B579A"/>
          <w:shd w:val="clear" w:color="auto" w:fill="E6E6E6"/>
        </w:rPr>
      </w:r>
      <w:r>
        <w:rPr>
          <w:noProof/>
          <w:color w:val="2B579A"/>
          <w:shd w:val="clear" w:color="auto" w:fill="E6E6E6"/>
        </w:rPr>
        <w:pict w14:anchorId="1A68136A">
          <v:shape id="Text Box 2" o:spid="_x0000_s2055" type="#_x0000_t202" style="width:407.7pt;height:111.5pt;visibility:visible;mso-left-percent:-10001;mso-top-percent:-10001;mso-position-horizontal:absolute;mso-position-horizontal-relative:char;mso-position-vertical:absolute;mso-position-vertical-relative:line;mso-left-percent:-10001;mso-top-percent:-10001">
            <v:textbox>
              <w:txbxContent>
                <w:p w14:paraId="043D287D" w14:textId="77777777" w:rsidR="00052297" w:rsidRPr="00052297" w:rsidRDefault="00052297" w:rsidP="00052297">
                  <w:pPr>
                    <w:pBdr>
                      <w:top w:val="nil"/>
                      <w:left w:val="nil"/>
                      <w:bottom w:val="nil"/>
                      <w:right w:val="nil"/>
                      <w:between w:val="nil"/>
                      <w:bar w:val="nil"/>
                    </w:pBdr>
                    <w:spacing w:before="0" w:after="240"/>
                    <w:rPr>
                      <w:rFonts w:eastAsia="Arial Unicode MS"/>
                    </w:rPr>
                  </w:pPr>
                  <w:r>
                    <w:t xml:space="preserve">Ova Direktiva odražava jednu od mjera utvrđenih u „Akcijskom planu za pravedno i jednostavno oporezivanje kojim se podupire strategija oporavka” i „Akcijskom planu za Uniju tržišta kapitala 2.0”. </w:t>
                  </w:r>
                </w:p>
                <w:p w14:paraId="39470619" w14:textId="77777777" w:rsidR="00052297" w:rsidRDefault="00052297" w:rsidP="00052297">
                  <w:pPr>
                    <w:pBdr>
                      <w:top w:val="nil"/>
                      <w:left w:val="nil"/>
                      <w:bottom w:val="nil"/>
                      <w:right w:val="nil"/>
                      <w:between w:val="nil"/>
                      <w:bar w:val="nil"/>
                    </w:pBdr>
                    <w:spacing w:before="0" w:after="240"/>
                    <w:rPr>
                      <w:rFonts w:eastAsia="Arial Unicode MS"/>
                    </w:rPr>
                  </w:pPr>
                  <w:r>
                    <w:t>Kako bi se osiguralo pravedno oporezivanje, potrebno je spriječiti porezne zlouporabe. U prijedlogu će se upotrebljavati postupci, rješenja i informatički alati koji su već uspostavljeni ili se razvijaju u okviru DAC-a.</w:t>
                  </w:r>
                </w:p>
              </w:txbxContent>
            </v:textbox>
            <w10:anchorlock/>
          </v:shape>
        </w:pict>
      </w:r>
    </w:p>
    <w:p w14:paraId="010C267E" w14:textId="77777777" w:rsidR="00052297" w:rsidRPr="00A96D00" w:rsidRDefault="00287904" w:rsidP="00287904">
      <w:pPr>
        <w:pStyle w:val="ManualHeading3"/>
        <w:rPr>
          <w:noProof/>
        </w:rPr>
      </w:pPr>
      <w:r w:rsidRPr="00A96D00">
        <w:rPr>
          <w:noProof/>
        </w:rPr>
        <w:tab/>
        <w:t>1.5.5.</w:t>
      </w:r>
      <w:r w:rsidRPr="00A96D00">
        <w:rPr>
          <w:noProof/>
        </w:rPr>
        <w:tab/>
        <w:t>Ocjena različitih dostupnih mogućnosti financiranja, uključujući mogućnost preraspodjele</w:t>
      </w:r>
      <w:r w:rsidRPr="00A96D00">
        <w:rPr>
          <w:noProof/>
        </w:rPr>
        <w:tab/>
      </w:r>
      <w:r w:rsidRPr="00A96D00">
        <w:rPr>
          <w:noProof/>
        </w:rPr>
        <w:tab/>
      </w:r>
    </w:p>
    <w:p w14:paraId="4A2D68F2" w14:textId="77777777" w:rsidR="00052297" w:rsidRPr="00A96D00" w:rsidRDefault="00CB0C85" w:rsidP="005837D8">
      <w:pPr>
        <w:rPr>
          <w:noProof/>
        </w:rPr>
      </w:pPr>
      <w:r>
        <w:rPr>
          <w:noProof/>
        </w:rPr>
      </w:r>
      <w:r>
        <w:rPr>
          <w:noProof/>
        </w:rPr>
        <w:pict w14:anchorId="75E2EE01">
          <v:shape id="_x0000_s2054" type="#_x0000_t202" style="width:408.8pt;height:131.45pt;visibility:visible;mso-left-percent:-10001;mso-top-percent:-10001;mso-position-horizontal:absolute;mso-position-horizontal-relative:char;mso-position-vertical:absolute;mso-position-vertical-relative:line;mso-left-percent:-10001;mso-top-percent:-10001">
            <v:textbox>
              <w:txbxContent>
                <w:p w14:paraId="4704F3E9" w14:textId="77777777" w:rsidR="00A41956" w:rsidRPr="003F2CA4" w:rsidRDefault="00F60C4D" w:rsidP="003F2CA4">
                  <w:pPr>
                    <w:pStyle w:val="ManualHeading2"/>
                    <w:ind w:left="720" w:firstLine="0"/>
                    <w:jc w:val="left"/>
                    <w:rPr>
                      <w:b w:val="0"/>
                      <w:bCs/>
                    </w:rPr>
                  </w:pPr>
                  <w:r>
                    <w:rPr>
                      <w:b w:val="0"/>
                    </w:rPr>
                    <w:t>Komisija će pomoći državama članicama u uvođenju eTRC-a, što uključuje stalnu tehničku potporu. Stalna potpora Komisije državama članicama potrebna je i za provedbu i praćenje okvira za mehanizme izvješćivanja za financijske posrednike. Relevantni troškovi financirat će se iz proračuna EU-a.</w:t>
                  </w:r>
                </w:p>
                <w:p w14:paraId="240DFF33" w14:textId="77777777" w:rsidR="00052297" w:rsidRPr="003F2CA4" w:rsidRDefault="00052297" w:rsidP="003F2CA4">
                  <w:pPr>
                    <w:pStyle w:val="ManualHeading2"/>
                    <w:ind w:left="720" w:firstLine="0"/>
                    <w:jc w:val="left"/>
                    <w:rPr>
                      <w:b w:val="0"/>
                      <w:bCs/>
                    </w:rPr>
                  </w:pPr>
                  <w:r>
                    <w:rPr>
                      <w:b w:val="0"/>
                    </w:rPr>
                    <w:t>Predviđene mjere provodit će same države članice.</w:t>
                  </w:r>
                </w:p>
              </w:txbxContent>
            </v:textbox>
            <w10:anchorlock/>
          </v:shape>
        </w:pict>
      </w:r>
      <w:r w:rsidR="003D2F87" w:rsidRPr="00A96D00">
        <w:rPr>
          <w:noProof/>
        </w:rPr>
        <w:tab/>
      </w:r>
    </w:p>
    <w:p w14:paraId="4B1FD618" w14:textId="77777777" w:rsidR="00052297" w:rsidRPr="00A96D00" w:rsidRDefault="00052297" w:rsidP="005837D8">
      <w:pPr>
        <w:rPr>
          <w:noProof/>
        </w:rPr>
      </w:pPr>
    </w:p>
    <w:p w14:paraId="1F653548" w14:textId="77777777" w:rsidR="00052297" w:rsidRPr="00A96D00" w:rsidRDefault="00052297" w:rsidP="005837D8">
      <w:pPr>
        <w:pStyle w:val="ManualHeading2"/>
        <w:rPr>
          <w:b w:val="0"/>
          <w:noProof/>
        </w:rPr>
      </w:pPr>
      <w:r w:rsidRPr="00A96D00">
        <w:rPr>
          <w:noProof/>
        </w:rPr>
        <w:tab/>
        <w:t>1.6.</w:t>
      </w:r>
      <w:r w:rsidRPr="00A96D00">
        <w:rPr>
          <w:noProof/>
        </w:rPr>
        <w:tab/>
        <w:t>Trajanje i financijski učinak prijedloga/inicijative</w:t>
      </w:r>
    </w:p>
    <w:p w14:paraId="08B9C77A" w14:textId="77777777" w:rsidR="00052297" w:rsidRPr="00A96D00" w:rsidRDefault="00052297" w:rsidP="005837D8">
      <w:pPr>
        <w:rPr>
          <w:noProof/>
        </w:rPr>
      </w:pPr>
      <w:r w:rsidRPr="00A96D00">
        <w:rPr>
          <w:noProof/>
        </w:rPr>
        <w:tab/>
      </w:r>
    </w:p>
    <w:p w14:paraId="5A264F43"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ab/>
      </w:r>
      <w:r w:rsidRPr="00A96D00">
        <w:rPr>
          <w:b/>
          <w:bCs/>
          <w:noProof/>
        </w:rPr>
        <w:t>ograničeno trajanje</w:t>
      </w:r>
      <w:r w:rsidRPr="00A96D00">
        <w:rPr>
          <w:noProof/>
        </w:rPr>
        <w:t xml:space="preserve"> </w:t>
      </w:r>
    </w:p>
    <w:p w14:paraId="0ABBA32C"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ab/>
        <w:t xml:space="preserve">na snazi od [DD/MM]GGGG do [DD/MM]GGGG </w:t>
      </w:r>
    </w:p>
    <w:p w14:paraId="5B6F7CB0"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ab/>
        <w:t xml:space="preserve">financijski učinak od GGGG do GGGG za odobrena sredstva za preuzimanje obveza i od GGGG do GGGG za odobrena sredstva za plaćanje. </w:t>
      </w:r>
    </w:p>
    <w:p w14:paraId="5F0F647F" w14:textId="77777777" w:rsidR="00052297" w:rsidRPr="00A96D00" w:rsidRDefault="00052297" w:rsidP="002C4E11">
      <w:pPr>
        <w:pStyle w:val="Tiret1"/>
        <w:rPr>
          <w:noProof/>
        </w:rPr>
      </w:pPr>
      <w:r w:rsidRPr="00A96D00">
        <w:rPr>
          <w:b/>
          <w:noProof/>
        </w:rPr>
        <w:t>X neograničeno trajanje</w:t>
      </w:r>
    </w:p>
    <w:p w14:paraId="6C8F3FF0" w14:textId="77777777" w:rsidR="00052297" w:rsidRPr="00A96D00" w:rsidRDefault="00052297" w:rsidP="00052297">
      <w:pPr>
        <w:tabs>
          <w:tab w:val="num" w:pos="1134"/>
        </w:tabs>
        <w:ind w:left="1134" w:hanging="283"/>
        <w:rPr>
          <w:rFonts w:eastAsia="Times New Roman"/>
          <w:noProof/>
        </w:rPr>
      </w:pPr>
      <w:r w:rsidRPr="00A96D00">
        <w:rPr>
          <w:noProof/>
        </w:rPr>
        <w:t>provedba s početnim razdobljem od GGGG do GGGG</w:t>
      </w:r>
    </w:p>
    <w:p w14:paraId="4E94D84B" w14:textId="77777777" w:rsidR="00052297" w:rsidRPr="00A96D00" w:rsidRDefault="00052297" w:rsidP="00052297">
      <w:pPr>
        <w:tabs>
          <w:tab w:val="num" w:pos="1134"/>
        </w:tabs>
        <w:ind w:left="1134" w:hanging="283"/>
        <w:rPr>
          <w:rFonts w:eastAsia="Times New Roman"/>
          <w:noProof/>
        </w:rPr>
      </w:pPr>
      <w:r w:rsidRPr="00A96D00">
        <w:rPr>
          <w:noProof/>
        </w:rPr>
        <w:t>nakon čega slijedi redovna provedba.</w:t>
      </w:r>
    </w:p>
    <w:p w14:paraId="3F3A83B2" w14:textId="77777777" w:rsidR="00052297" w:rsidRPr="00A96D00" w:rsidRDefault="00052297" w:rsidP="00052297">
      <w:pPr>
        <w:ind w:left="851"/>
        <w:rPr>
          <w:rFonts w:eastAsia="Times New Roman"/>
          <w:noProof/>
          <w:lang w:eastAsia="de-DE"/>
        </w:rPr>
      </w:pPr>
    </w:p>
    <w:p w14:paraId="42DB2452" w14:textId="77777777" w:rsidR="00052297" w:rsidRPr="00A96D00" w:rsidRDefault="00287904" w:rsidP="00287904">
      <w:pPr>
        <w:pStyle w:val="ManualHeading2"/>
        <w:rPr>
          <w:noProof/>
        </w:rPr>
      </w:pPr>
      <w:r w:rsidRPr="00A96D00">
        <w:rPr>
          <w:noProof/>
        </w:rPr>
        <w:tab/>
        <w:t>1.7.</w:t>
      </w:r>
      <w:r w:rsidRPr="00A96D00">
        <w:rPr>
          <w:noProof/>
        </w:rPr>
        <w:tab/>
      </w:r>
      <w:bookmarkStart w:id="11" w:name="_Toc514938040"/>
      <w:bookmarkStart w:id="12" w:name="_Toc520485041"/>
      <w:r w:rsidRPr="00A96D00">
        <w:rPr>
          <w:noProof/>
        </w:rPr>
        <w:t>Predviđeni načini upravljanja</w:t>
      </w:r>
      <w:bookmarkEnd w:id="11"/>
      <w:bookmarkEnd w:id="12"/>
      <w:r w:rsidRPr="00A96D00">
        <w:rPr>
          <w:noProof/>
        </w:rPr>
        <w:t xml:space="preserve"> </w:t>
      </w:r>
    </w:p>
    <w:p w14:paraId="6C0D43C4" w14:textId="77777777" w:rsidR="00052297" w:rsidRPr="00A96D00" w:rsidRDefault="00052297" w:rsidP="002C4E11">
      <w:pPr>
        <w:pStyle w:val="Tiret1"/>
        <w:rPr>
          <w:noProof/>
        </w:rPr>
      </w:pPr>
      <w:r w:rsidRPr="00A96D00">
        <w:rPr>
          <w:b/>
          <w:noProof/>
        </w:rPr>
        <w:t>X</w:t>
      </w:r>
      <w:r w:rsidRPr="00A96D00">
        <w:rPr>
          <w:i/>
          <w:noProof/>
        </w:rPr>
        <w:t xml:space="preserve"> </w:t>
      </w:r>
      <w:r w:rsidRPr="00A96D00">
        <w:rPr>
          <w:b/>
          <w:bCs/>
          <w:noProof/>
        </w:rPr>
        <w:t>Izravno upravljanje</w:t>
      </w:r>
      <w:r w:rsidRPr="00A96D00">
        <w:rPr>
          <w:noProof/>
        </w:rPr>
        <w:t xml:space="preserve"> koje provodi Komisija</w:t>
      </w:r>
    </w:p>
    <w:p w14:paraId="53ED9835" w14:textId="77777777" w:rsidR="00052297" w:rsidRPr="00A96D00" w:rsidRDefault="00052297" w:rsidP="00052297">
      <w:pPr>
        <w:tabs>
          <w:tab w:val="num" w:pos="1134"/>
        </w:tabs>
        <w:ind w:left="1134" w:hanging="283"/>
        <w:rPr>
          <w:rFonts w:eastAsia="Times New Roman" w:cs="EUAlbertina"/>
          <w:noProof/>
        </w:rPr>
      </w:pPr>
      <w:r w:rsidRPr="00A96D00">
        <w:rPr>
          <w:b/>
          <w:noProof/>
        </w:rPr>
        <w:t>X</w:t>
      </w:r>
      <w:r w:rsidRPr="00A96D00">
        <w:rPr>
          <w:noProof/>
        </w:rPr>
        <w:t xml:space="preserve"> putem svojih službi, uključujući osoblje u delegacijama Unije </w:t>
      </w:r>
    </w:p>
    <w:p w14:paraId="5CF51992"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ab/>
        <w:t xml:space="preserve">putem izvršnih agencija </w:t>
      </w:r>
    </w:p>
    <w:p w14:paraId="41E2DA98" w14:textId="77777777" w:rsidR="00052297" w:rsidRPr="00A96D00" w:rsidRDefault="00052297" w:rsidP="002C4E11">
      <w:pPr>
        <w:pStyle w:val="Tiret1"/>
        <w:rPr>
          <w:noProof/>
        </w:rPr>
      </w:pPr>
      <w:r w:rsidRPr="00A96D00">
        <w:rPr>
          <w:rFonts w:ascii="Wingdings" w:hAnsi="Wingdings"/>
          <w:noProof/>
        </w:rPr>
        <w:sym w:font="Wingdings" w:char="F0A8"/>
      </w:r>
      <w:r w:rsidRPr="00A96D00">
        <w:rPr>
          <w:b/>
          <w:i/>
          <w:noProof/>
        </w:rPr>
        <w:t xml:space="preserve"> </w:t>
      </w:r>
      <w:r w:rsidRPr="00A96D00">
        <w:rPr>
          <w:b/>
          <w:bCs/>
          <w:noProof/>
        </w:rPr>
        <w:t>Podijeljeno upravljanje</w:t>
      </w:r>
      <w:r w:rsidRPr="00A96D00">
        <w:rPr>
          <w:noProof/>
        </w:rPr>
        <w:t xml:space="preserve"> s državama članicama </w:t>
      </w:r>
    </w:p>
    <w:p w14:paraId="36E8C9EB" w14:textId="77777777" w:rsidR="00052297" w:rsidRPr="00A96D00" w:rsidRDefault="00052297" w:rsidP="002C4E11">
      <w:pPr>
        <w:pStyle w:val="Tiret1"/>
        <w:rPr>
          <w:noProof/>
        </w:rPr>
      </w:pPr>
      <w:r w:rsidRPr="00A96D00">
        <w:rPr>
          <w:rFonts w:ascii="Wingdings" w:hAnsi="Wingdings"/>
          <w:noProof/>
        </w:rPr>
        <w:sym w:font="Wingdings" w:char="F0A8"/>
      </w:r>
      <w:r w:rsidRPr="00A96D00">
        <w:rPr>
          <w:i/>
          <w:noProof/>
        </w:rPr>
        <w:t xml:space="preserve"> </w:t>
      </w:r>
      <w:r w:rsidRPr="00A96D00">
        <w:rPr>
          <w:b/>
          <w:bCs/>
          <w:noProof/>
        </w:rPr>
        <w:t>Neizravno upravljanje</w:t>
      </w:r>
      <w:r w:rsidRPr="00A96D00">
        <w:rPr>
          <w:noProof/>
        </w:rPr>
        <w:t xml:space="preserve"> povjeravanjem zadaća izvršenja proračuna:</w:t>
      </w:r>
    </w:p>
    <w:p w14:paraId="1B9707E7"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 xml:space="preserve"> trećim zemljama ili tijelima koja su one odredile</w:t>
      </w:r>
    </w:p>
    <w:p w14:paraId="0C16DFFE"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 xml:space="preserve"> međunarodnim organizacijama i njihovim agencijama (navesti)</w:t>
      </w:r>
    </w:p>
    <w:p w14:paraId="649BDA27"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 xml:space="preserve"> EIB-u i Europskom investicijskom fondu</w:t>
      </w:r>
    </w:p>
    <w:p w14:paraId="4A0D03ED"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 xml:space="preserve"> tijelima iz članaka 70. i 71. Financijske uredbe</w:t>
      </w:r>
    </w:p>
    <w:p w14:paraId="705C7B4E"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 xml:space="preserve"> tijelima javnog prava</w:t>
      </w:r>
    </w:p>
    <w:p w14:paraId="26F341DE"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 xml:space="preserve"> tijelima uređenima privatnim pravom koja pružaju javne usluge, u mjeri u kojoj su im dana odgovarajuća financijska jamstva</w:t>
      </w:r>
    </w:p>
    <w:p w14:paraId="5D32B617"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 xml:space="preserve"> tijelima uređenima privatnim pravom države članice kojima je povjerena provedba javno-privatnog partnerstva i kojima su dana odgovarajuća financijska jamstva</w:t>
      </w:r>
    </w:p>
    <w:p w14:paraId="7D808564" w14:textId="77777777" w:rsidR="00052297" w:rsidRPr="00A96D00" w:rsidRDefault="00052297" w:rsidP="00052297">
      <w:pPr>
        <w:tabs>
          <w:tab w:val="num" w:pos="1134"/>
        </w:tabs>
        <w:ind w:left="1134" w:hanging="283"/>
        <w:rPr>
          <w:rFonts w:eastAsia="Times New Roman"/>
          <w:noProof/>
        </w:rPr>
      </w:pPr>
      <w:r w:rsidRPr="00A96D00">
        <w:rPr>
          <w:rFonts w:ascii="Wingdings" w:hAnsi="Wingdings"/>
          <w:noProof/>
        </w:rPr>
        <w:sym w:font="Wingdings" w:char="F0A8"/>
      </w:r>
      <w:r w:rsidRPr="00A96D00">
        <w:rPr>
          <w:noProof/>
        </w:rPr>
        <w:t xml:space="preserve"> osobama kojima je povjerena provedba određenih djelovanja u području ZVSP-a u skladu s glavom V. UEU-a i koje su navedene u odgovarajućem temeljnom aktu.</w:t>
      </w:r>
    </w:p>
    <w:p w14:paraId="468A42E4" w14:textId="77777777" w:rsidR="006E6DDA" w:rsidRPr="00A96D00" w:rsidRDefault="006E6DDA" w:rsidP="006E6DDA">
      <w:pPr>
        <w:rPr>
          <w:noProof/>
        </w:rPr>
      </w:pPr>
    </w:p>
    <w:p w14:paraId="4134FE84" w14:textId="77777777" w:rsidR="00052297" w:rsidRPr="00A96D00" w:rsidRDefault="00052297" w:rsidP="005837D8">
      <w:pPr>
        <w:pStyle w:val="ManualHeading1"/>
        <w:rPr>
          <w:noProof/>
        </w:rPr>
      </w:pPr>
      <w:r w:rsidRPr="00A96D00">
        <w:rPr>
          <w:noProof/>
        </w:rPr>
        <w:t>2.</w:t>
      </w:r>
      <w:r w:rsidRPr="00A96D00">
        <w:rPr>
          <w:noProof/>
        </w:rPr>
        <w:tab/>
        <w:t>MJERE UPRAVLJANJA</w:t>
      </w:r>
    </w:p>
    <w:p w14:paraId="2914F80E" w14:textId="77777777" w:rsidR="00052297" w:rsidRPr="00A96D00" w:rsidRDefault="00052297" w:rsidP="00052297">
      <w:pPr>
        <w:pStyle w:val="ManualHeading2"/>
        <w:rPr>
          <w:noProof/>
        </w:rPr>
      </w:pPr>
      <w:r w:rsidRPr="00A96D00">
        <w:rPr>
          <w:noProof/>
        </w:rPr>
        <w:tab/>
        <w:t>2.1.</w:t>
      </w:r>
      <w:r w:rsidRPr="00A96D00">
        <w:rPr>
          <w:noProof/>
        </w:rPr>
        <w:tab/>
        <w:t>Pravila praćenja i izvješćivanja</w:t>
      </w:r>
    </w:p>
    <w:p w14:paraId="247CEC5B" w14:textId="77777777" w:rsidR="00052297" w:rsidRPr="00A96D00" w:rsidRDefault="00CB0C85" w:rsidP="00052297">
      <w:pPr>
        <w:pStyle w:val="Text1"/>
        <w:rPr>
          <w:noProof/>
        </w:rPr>
      </w:pPr>
      <w:r>
        <w:rPr>
          <w:noProof/>
        </w:rPr>
      </w:r>
      <w:r>
        <w:rPr>
          <w:noProof/>
        </w:rPr>
        <w:pict w14:anchorId="0A459CE5">
          <v:shape id="_x0000_s2053" type="#_x0000_t202" style="width:450.5pt;height:187.5pt;visibility:visible;mso-left-percent:-10001;mso-top-percent:-10001;mso-position-horizontal:absolute;mso-position-horizontal-relative:char;mso-position-vertical:absolute;mso-position-vertical-relative:line;mso-left-percent:-10001;mso-top-percent:-10001">
            <v:textbox style="mso-next-textbox:#_x0000_s2053">
              <w:txbxContent>
                <w:p w14:paraId="5BBE472A" w14:textId="77777777" w:rsidR="00052297" w:rsidRDefault="00052297" w:rsidP="00052297">
                  <w:r>
                    <w:t xml:space="preserve">Komisija će osigurati uspostavu mehanizama za praćenje i evaluaciju funkcioniranja intervencije imajući u vidu glavne ciljeve politike. </w:t>
                  </w:r>
                </w:p>
                <w:p w14:paraId="2DBCF3C5" w14:textId="77777777" w:rsidR="00052297" w:rsidRDefault="00052297" w:rsidP="00052297">
                  <w:r>
                    <w:t>Države članice Komisiji će svake godine dostavljati informacije navedene u prethodnoj tablici o pokazateljima uspješnosti koji će se upotrebljavati za praćenje usklađenosti s Direktivom. Ovisno o dostupnosti podataka o praćenju i njihovoj primjerenosti, Komisija će razmotriti izmjene pokazatelja u tablici u skladu s tehničkom podrškom eTRC-u i provedbenim aktom za sustav izvješćivanja.</w:t>
                  </w:r>
                </w:p>
                <w:p w14:paraId="44E09A6B" w14:textId="77777777" w:rsidR="00052297" w:rsidRDefault="00052297" w:rsidP="00052297">
                  <w:r>
                    <w:t>Evaluacija će se provesti pet godina nakon provedbe Direktive, čime će se Komisiji omogućiti da preispita rezultate politike s obzirom na njezine ciljeve, kao i ukupne učinke u smislu poboljšanja sustava povrata/oslobođenja za porez po odbitku u EU-u i sprečavanja zlouporabe u tom području.</w:t>
                  </w:r>
                </w:p>
              </w:txbxContent>
            </v:textbox>
            <w10:anchorlock/>
          </v:shape>
        </w:pict>
      </w:r>
    </w:p>
    <w:p w14:paraId="67842C88" w14:textId="77777777" w:rsidR="00052297" w:rsidRPr="00A96D00" w:rsidRDefault="00052297" w:rsidP="00287904">
      <w:pPr>
        <w:pStyle w:val="Text2"/>
        <w:rPr>
          <w:noProof/>
        </w:rPr>
      </w:pPr>
    </w:p>
    <w:p w14:paraId="54AD5690" w14:textId="77777777" w:rsidR="00052297" w:rsidRPr="00A96D00" w:rsidRDefault="00287904" w:rsidP="00287904">
      <w:pPr>
        <w:pStyle w:val="ManualHeading2"/>
        <w:rPr>
          <w:noProof/>
        </w:rPr>
      </w:pPr>
      <w:r w:rsidRPr="00A96D00">
        <w:rPr>
          <w:noProof/>
        </w:rPr>
        <w:tab/>
        <w:t>2.2.</w:t>
      </w:r>
      <w:r w:rsidRPr="00A96D00">
        <w:rPr>
          <w:noProof/>
        </w:rPr>
        <w:tab/>
        <w:t>Sustavi upravljanja i kontrole</w:t>
      </w:r>
    </w:p>
    <w:p w14:paraId="18DEC781" w14:textId="77777777" w:rsidR="00052297" w:rsidRPr="00A96D00" w:rsidRDefault="00052297" w:rsidP="00052297">
      <w:pPr>
        <w:pStyle w:val="ManualHeading3"/>
        <w:rPr>
          <w:noProof/>
        </w:rPr>
      </w:pPr>
      <w:r w:rsidRPr="00A96D00">
        <w:rPr>
          <w:noProof/>
        </w:rPr>
        <w:tab/>
        <w:t>2.2.1.</w:t>
      </w:r>
      <w:r w:rsidRPr="00A96D00">
        <w:rPr>
          <w:noProof/>
        </w:rPr>
        <w:tab/>
        <w:t>Obrazloženje načina upravljanja, mehanizama provedbe financiranja, načina plaćanja i predložene strategije kontrole</w:t>
      </w:r>
    </w:p>
    <w:p w14:paraId="359856A3" w14:textId="77777777" w:rsidR="00052297" w:rsidRPr="00A96D00" w:rsidRDefault="00CB0C85" w:rsidP="00060712">
      <w:pPr>
        <w:pStyle w:val="Text1"/>
        <w:rPr>
          <w:noProof/>
        </w:rPr>
      </w:pPr>
      <w:r>
        <w:rPr>
          <w:noProof/>
        </w:rPr>
      </w:r>
      <w:r>
        <w:rPr>
          <w:noProof/>
        </w:rPr>
        <w:pict w14:anchorId="514FA324">
          <v:shape id="_x0000_s2052" type="#_x0000_t202" style="width:447pt;height:140.55pt;visibility:visible;mso-left-percent:-10001;mso-top-percent:-10001;mso-position-horizontal:absolute;mso-position-horizontal-relative:char;mso-position-vertical:absolute;mso-position-vertical-relative:line;mso-left-percent:-10001;mso-top-percent:-10001">
            <v:textbox>
              <w:txbxContent>
                <w:p w14:paraId="08A7CE07" w14:textId="77777777" w:rsidR="00052297" w:rsidRDefault="00052297" w:rsidP="00052297">
                  <w:r>
                    <w:t>Provedba inicijative bit će povjerena nadležnim tijelima (poreznim upravama) država članica, koje će biti odgovorne za financiranje vlastitih nacionalnih sustava, uključujući uvođenje eTRC-a i uspostavu nacionalnih sustava za primanje izvješćivanja i zahtjeva financijskih posrednika.</w:t>
                  </w:r>
                </w:p>
                <w:p w14:paraId="28979B44" w14:textId="77777777" w:rsidR="00052297" w:rsidRDefault="00052297" w:rsidP="00052297">
                  <w:r>
                    <w:t xml:space="preserve">Komisija će financirati tehničku pomoć za eTRC i uspostavu okvira za sustave izvješćivanja i obrasce zahtjeva na razini EU-a. </w:t>
                  </w:r>
                </w:p>
              </w:txbxContent>
            </v:textbox>
            <w10:anchorlock/>
          </v:shape>
        </w:pict>
      </w:r>
    </w:p>
    <w:p w14:paraId="30407C97" w14:textId="77777777" w:rsidR="00052297" w:rsidRPr="00A96D00" w:rsidRDefault="00052297" w:rsidP="005837D8">
      <w:pPr>
        <w:pStyle w:val="Text3"/>
        <w:rPr>
          <w:noProof/>
        </w:rPr>
      </w:pPr>
    </w:p>
    <w:p w14:paraId="34F86A5F" w14:textId="77777777" w:rsidR="00052297" w:rsidRPr="00A96D00" w:rsidRDefault="00052297" w:rsidP="00052297">
      <w:pPr>
        <w:pStyle w:val="ManualHeading3"/>
        <w:rPr>
          <w:noProof/>
        </w:rPr>
      </w:pPr>
      <w:r w:rsidRPr="00A96D00">
        <w:rPr>
          <w:noProof/>
        </w:rPr>
        <w:tab/>
        <w:t>2.2.2. Informacije o utvrđenim rizicima i uspostavljenim sustavima unutarnje kontrole za ublažavanje rizika</w:t>
      </w:r>
    </w:p>
    <w:p w14:paraId="39159D39"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Kad je riječ o osiguravanju provedbe povrata/oslobođenja za porez po odbitku u propisanom roku, od država članica zahtijevat će se da svake godine izvješćuju Komisiju o statističkim podacima o tome koliko je preplaćenog poreza po odbitku vraćeno/oslobođeno u roku i koliko je bilo slučajeva prekoračenja rokova. Za potonje je potrebno dostaviti obrazloženje. Nadalje, od država članica zahtijevat će se da poreznom obvezniku isplate zatezne kamate za povrat nakon isteka roka. </w:t>
      </w:r>
    </w:p>
    <w:p w14:paraId="0D3D5DF7"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Kad je riječ o usklađenosti ovlaštenih financijskih posrednika u nacionalnim registrima, države članice Komisiji će dostavljati godišnje izvješće o revizijama i aktivnostima koje su poduzele kako bi osigurale da njihovi financijski posrednici ispunjavaju svoje obveze iz Direktive, uključujući obveze izvješćivanja. Nadalje, financijski posrednici smatraju se odgovornima za kršenje svojih obveza na temelju ove Direktive ako je njihovo postupanje dovelo do gubitka poreznih prihoda.</w:t>
      </w:r>
    </w:p>
    <w:p w14:paraId="064A806F"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Države članice morat će Komisiji dostavljati godišnje izvješće o upotrebi podataka dostavljenih u skladu s Direktivom u svrhu otkrivanja i suzbijanja zlouporabe oslobođenja/povrata za preplaćeni porez po odbitku.</w:t>
      </w:r>
    </w:p>
    <w:p w14:paraId="732DE289"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Glavni su elementi strategije kontrole: </w:t>
      </w:r>
    </w:p>
    <w:p w14:paraId="42589529"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ugovori o nabavi </w:t>
      </w:r>
    </w:p>
    <w:p w14:paraId="5B5F153E"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Postupci kontrole nabave utvrđeni u Financijskoj uredbi: svi ugovori o javnoj nabavi dodjeljuju se nakon što službe Komisije provedu uobičajeni postupak provjere plaćanja, uzimajući u obzir ugovorne obveze te dobro financijsko i opće upravljanje. U svim ugovorima koji se sklapaju između Komisije i korisnika predviđene su mjere za suzbijanje prijevara (kontrole, izvješća itd.). Izrađuje se detaljna natječajna dokumentacija koja čini temelj svakog ugovora. U postupku prihvaćanja strogo se slijedi metodologija TAXUD TEMPO: Proizvodi i usluge pregledavaju se, prema potrebi izmjenjuju i zatim izričito prihvaćaju (ili odbijaju). Nijedan račun ne može biti plaćen bez „potvrde o prihvaćanju”. </w:t>
      </w:r>
    </w:p>
    <w:p w14:paraId="69BED312"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Tehnička provjera u postupku nabave </w:t>
      </w:r>
    </w:p>
    <w:p w14:paraId="58B45ACA"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Glavna uprava za oporezivanje i carinsku uniju kontrolira isporučene proizvode ili usluge i nadzire izvođenje radova i pružanje usluga. Redovito provodi i kontrolu kvalitete i sigurnosti svojih izvođača. Kontrolama kvalitete provjerava se jesu li stvarni procesi izvođača u skladu s pravilima i postupcima definiranima u njihovim planovima kvalitete. Kontrole sigurnosti usmjerene su na posebne procese, postupke i ustroj. </w:t>
      </w:r>
    </w:p>
    <w:p w14:paraId="1A0BDDE3"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Osim prethodno navedene kontrole, Glavna uprava za oporezivanje i carinsku uniju obavlja tradicionalne financijske kontrole: </w:t>
      </w:r>
    </w:p>
    <w:p w14:paraId="544C1386"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i/>
          <w:iCs/>
          <w:noProof/>
        </w:rPr>
        <w:t>Ex ante</w:t>
      </w:r>
      <w:r w:rsidRPr="00A96D00">
        <w:rPr>
          <w:noProof/>
        </w:rPr>
        <w:t xml:space="preserve"> provjera obveza </w:t>
      </w:r>
    </w:p>
    <w:p w14:paraId="0595CF27"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Sve obveze u Glavnoj upravi za oporezivanje i carinsku uniju provjerava voditelj odjela ljudskih resursa i financija. To znači da su svi iznosi preuzetih obveza obuhvaćeni ex ante provjerom. Tim se postupkom osigurava visoka razina sigurnosti u pogledu zakonitosti i pravilnosti transakcija. </w:t>
      </w:r>
    </w:p>
    <w:p w14:paraId="5F38CBFB"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Ex ante provjera plaćanja </w:t>
      </w:r>
    </w:p>
    <w:p w14:paraId="20F63A98"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Sva se plaćanja provjeravaju ex ante. Osim toga, svakog se tjedna nasumce odabire barem jedno plaćanje (iz svih kategorija rashoda) radi dodatne ex ante provjere koju provodi voditelj odjela ljudskih resursa i financija. Nije utvrđen cilj u pogledu opsega provjere jer je svrha „nasumce” provjeriti plaćanja kako bi se utvrdilo jesu li sva plaćanja pripremljena u skladu sa zahtjevima. Preostala se plaćanja obrađuju svaki dan u skladu s važećim pravilima. </w:t>
      </w:r>
    </w:p>
    <w:p w14:paraId="2132ADF7"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 xml:space="preserve">Izjave dužnosnika za ovjeravanje na osnovi daljnjeg delegiranja </w:t>
      </w:r>
    </w:p>
    <w:p w14:paraId="3048A0EB" w14:textId="77777777" w:rsidR="00052297" w:rsidRPr="00A96D00" w:rsidRDefault="00052297" w:rsidP="00052297">
      <w:pPr>
        <w:pStyle w:val="Text1"/>
        <w:pBdr>
          <w:top w:val="single" w:sz="4" w:space="1" w:color="auto"/>
          <w:left w:val="single" w:sz="4" w:space="4" w:color="auto"/>
          <w:bottom w:val="single" w:sz="4" w:space="1" w:color="auto"/>
          <w:right w:val="single" w:sz="4" w:space="4" w:color="auto"/>
        </w:pBdr>
        <w:rPr>
          <w:noProof/>
        </w:rPr>
      </w:pPr>
      <w:r w:rsidRPr="00A96D00">
        <w:rPr>
          <w:noProof/>
        </w:rPr>
        <w:t>Svi dužnosnici za ovjeravanje na osnovi daljnjeg delegiranja potpisuju izjave kojima se potvrđuje godišnje izvješće o radu za predmetnu godinu. Tim su izjavama obuhvaćene aktivnosti u okviru programa. Dužnosnici za ovjeravanje na osnovi daljnjeg delegiranja izjavljuju da su aktivnosti povezane s izvršenjem proračuna provedene u skladu s načelima dobrog financijskog upravljanja, da su uspostavljeni sustavi upravljanja i kontrole pružili zadovoljavajuće jamstvo u pogledu zakonitosti i pravilnosti transakcija te da su pravilno utvrđeni i prijavljeni rizici povezani s tim aktivnostima te provedene mjere za njihovo ublažavanje.</w:t>
      </w:r>
    </w:p>
    <w:p w14:paraId="6D521615" w14:textId="77777777" w:rsidR="00052297" w:rsidRPr="00A96D00" w:rsidRDefault="00052297" w:rsidP="00CD2905">
      <w:pPr>
        <w:pStyle w:val="Text3"/>
        <w:ind w:left="0"/>
        <w:rPr>
          <w:noProof/>
        </w:rPr>
      </w:pPr>
    </w:p>
    <w:p w14:paraId="0126251C" w14:textId="77777777" w:rsidR="00052297" w:rsidRPr="00A96D00" w:rsidRDefault="00052297" w:rsidP="00052297">
      <w:pPr>
        <w:pStyle w:val="ManualHeading3"/>
        <w:rPr>
          <w:noProof/>
        </w:rPr>
      </w:pPr>
      <w:r w:rsidRPr="00A96D00">
        <w:rPr>
          <w:noProof/>
        </w:rPr>
        <w:tab/>
        <w:t>2.2.3.</w:t>
      </w:r>
      <w:r w:rsidRPr="00A96D00">
        <w:rPr>
          <w:noProof/>
        </w:rPr>
        <w:tab/>
        <w:t>Procjena i obrazloženje troškovne učinkovitosti kontrola (omjer troškova kontrole i vrijednosti sredstava kojima se upravlja) i procjena očekivane razine rizika od pogreške (pri plaćanju i pri zaključenju)</w:t>
      </w:r>
    </w:p>
    <w:p w14:paraId="2F6A51DB" w14:textId="77777777" w:rsidR="00052297" w:rsidRPr="00A96D00" w:rsidRDefault="00052297" w:rsidP="00060712">
      <w:pPr>
        <w:pStyle w:val="Text1"/>
        <w:rPr>
          <w:noProof/>
        </w:rPr>
      </w:pPr>
      <w:r w:rsidRPr="00A96D00">
        <w:rPr>
          <w:noProof/>
        </w:rPr>
        <w:tab/>
      </w:r>
      <w:r w:rsidR="00CB0C85">
        <w:rPr>
          <w:noProof/>
        </w:rPr>
      </w:r>
      <w:r w:rsidR="00CB0C85">
        <w:rPr>
          <w:noProof/>
        </w:rPr>
        <w:pict w14:anchorId="68ED86FE">
          <v:shape id="_x0000_s2051" type="#_x0000_t202" style="width:433pt;height:147pt;visibility:visible;mso-left-percent:-10001;mso-top-percent:-10001;mso-position-horizontal:absolute;mso-position-horizontal-relative:char;mso-position-vertical:absolute;mso-position-vertical-relative:line;mso-left-percent:-10001;mso-top-percent:-10001">
            <v:textbox>
              <w:txbxContent>
                <w:p w14:paraId="4C96FC25" w14:textId="77777777" w:rsidR="00052297" w:rsidRDefault="00052297" w:rsidP="00052297">
                  <w:r>
                    <w:t>Uspostavljenim sustavima kontrole Glavnoj upravi za oporezivanje i carinsku uniju daje se dovoljno jamstvo u pogledu kvalitete i pravilnosti rashoda i smanjuje rizik od neusklađenosti. Navedenim mjerama strategije kontrole smanjuju se potencijalni rizici ispod ciljane razine od 2 % i obuhvaćaju svi korisnici. Sve dodatne mjere za daljnje smanjenje rizika dovele bi do nerazmjerno visokih troškova te stoga nisu predviđene. Ukupni troškovi povezani s provedbom navedene strategije kontrole za sve rashode u programu Fiscalis ograničeni su na 1,6 % ukupnih izvršenih plaćanja. Očekuje se da će ostati na istoj razini za ovu inicijativu. Strategijom kontrole programa rizik od neusklađenosti svodi se gotovo na nulu te ostaje razmjeran uključenim rizicima.</w:t>
                  </w:r>
                </w:p>
              </w:txbxContent>
            </v:textbox>
            <w10:anchorlock/>
          </v:shape>
        </w:pict>
      </w:r>
    </w:p>
    <w:p w14:paraId="1CD2F842" w14:textId="77777777" w:rsidR="00052297" w:rsidRPr="00A96D00" w:rsidRDefault="00052297" w:rsidP="005837D8">
      <w:pPr>
        <w:pStyle w:val="Text2"/>
        <w:rPr>
          <w:noProof/>
        </w:rPr>
      </w:pPr>
    </w:p>
    <w:p w14:paraId="648AB5B5" w14:textId="77777777" w:rsidR="00052297" w:rsidRPr="00A96D00" w:rsidRDefault="00287904" w:rsidP="00287904">
      <w:pPr>
        <w:pStyle w:val="ManualHeading2"/>
        <w:rPr>
          <w:noProof/>
        </w:rPr>
      </w:pPr>
      <w:r w:rsidRPr="00A96D00">
        <w:rPr>
          <w:noProof/>
        </w:rPr>
        <w:tab/>
        <w:t>2.3.</w:t>
      </w:r>
      <w:r w:rsidRPr="00A96D00">
        <w:rPr>
          <w:noProof/>
        </w:rPr>
        <w:tab/>
        <w:t>Mjere za sprečavanje prijevara i nepravilnosti</w:t>
      </w:r>
    </w:p>
    <w:p w14:paraId="3869CC04" w14:textId="77777777" w:rsidR="00052297" w:rsidRPr="00A96D00" w:rsidRDefault="00CB0C85" w:rsidP="005837D8">
      <w:pPr>
        <w:pStyle w:val="Text1"/>
        <w:rPr>
          <w:noProof/>
        </w:rPr>
      </w:pPr>
      <w:r>
        <w:rPr>
          <w:noProof/>
        </w:rPr>
      </w:r>
      <w:r>
        <w:rPr>
          <w:noProof/>
        </w:rPr>
        <w:pict w14:anchorId="48C5E803">
          <v:shape id="_x0000_s2050" type="#_x0000_t202" style="width:444.5pt;height:119.25pt;visibility:visible;mso-left-percent:-10001;mso-top-percent:-10001;mso-position-horizontal:absolute;mso-position-horizontal-relative:char;mso-position-vertical:absolute;mso-position-vertical-relative:line;mso-left-percent:-10001;mso-top-percent:-10001">
            <v:textbox>
              <w:txbxContent>
                <w:p w14:paraId="4C8CAF9C" w14:textId="77777777" w:rsidR="00052297" w:rsidRDefault="00052297" w:rsidP="00052297">
                  <w:r>
                    <w:t>Europski ured za borbu protiv prijevara (OLAF) može provoditi istrage, uključujući provjere i inspekcije na terenu, u skladu s odredbama i postupcima utvrđenima u Uredbi (EZ) br. 1073/1999 Europskog parlamenta i Vijeća* i Uredbi Vijeća (Euratom, EZ) br. 2185/96 radi utvrđivanja je li došlo do prijevare, korupcije ili bilo koje druge nezakonite aktivnosti, koje utječu na financijske interese Unije, u vezi sa sporazumom o dodjeli bespovratnih sredstava ili odlukom o dodjeli bespovratnih sredstava ili ugovorom koji su financirani u okviru te uredbe.</w:t>
                  </w:r>
                </w:p>
              </w:txbxContent>
            </v:textbox>
            <w10:anchorlock/>
          </v:shape>
        </w:pict>
      </w:r>
    </w:p>
    <w:p w14:paraId="4DC47CC9" w14:textId="77777777" w:rsidR="00052297" w:rsidRPr="00A96D00" w:rsidRDefault="00052297" w:rsidP="005837D8">
      <w:pPr>
        <w:pStyle w:val="Text1"/>
        <w:rPr>
          <w:noProof/>
        </w:rPr>
      </w:pPr>
    </w:p>
    <w:p w14:paraId="05F401DE" w14:textId="77777777" w:rsidR="00052297" w:rsidRPr="00A96D00" w:rsidRDefault="00052297" w:rsidP="005837D8">
      <w:pPr>
        <w:pStyle w:val="Text1"/>
        <w:rPr>
          <w:noProof/>
        </w:rPr>
      </w:pPr>
      <w:r w:rsidRPr="00A96D00">
        <w:rPr>
          <w:noProof/>
        </w:rPr>
        <w:br w:type="page"/>
      </w:r>
    </w:p>
    <w:p w14:paraId="7CF842C3" w14:textId="77777777" w:rsidR="006918A0" w:rsidRPr="00A96D00" w:rsidRDefault="006918A0" w:rsidP="00287904">
      <w:pPr>
        <w:pStyle w:val="ManualHeading1"/>
        <w:rPr>
          <w:noProof/>
        </w:rPr>
      </w:pPr>
      <w:r w:rsidRPr="00A96D00">
        <w:rPr>
          <w:noProof/>
        </w:rPr>
        <w:t>3.</w:t>
      </w:r>
      <w:r w:rsidRPr="00A96D00">
        <w:rPr>
          <w:noProof/>
        </w:rPr>
        <w:tab/>
        <w:t xml:space="preserve">PROCIJENJENI FINANCIJSKI UČINAK PRIJEDLOGA </w:t>
      </w:r>
    </w:p>
    <w:p w14:paraId="5B263DFB" w14:textId="77777777" w:rsidR="006918A0" w:rsidRPr="00A96D00" w:rsidRDefault="00287904" w:rsidP="00287904">
      <w:pPr>
        <w:pStyle w:val="ManualHeading2"/>
        <w:rPr>
          <w:noProof/>
        </w:rPr>
      </w:pPr>
      <w:bookmarkStart w:id="13" w:name="_Toc514938051"/>
      <w:bookmarkStart w:id="14" w:name="_Toc520485050"/>
      <w:r w:rsidRPr="00A96D00">
        <w:rPr>
          <w:noProof/>
        </w:rPr>
        <w:tab/>
        <w:t>3.1.</w:t>
      </w:r>
      <w:r w:rsidRPr="00A96D00">
        <w:rPr>
          <w:noProof/>
        </w:rPr>
        <w:tab/>
        <w:t>Naslovi višegodišnjeg financijskog okvira i proračunske linije rashoda na koje prijedlog/inicijativa ima učinak</w:t>
      </w:r>
      <w:bookmarkEnd w:id="13"/>
      <w:bookmarkEnd w:id="14"/>
      <w:r w:rsidRPr="00A96D00">
        <w:rPr>
          <w:noProof/>
        </w:rPr>
        <w:t xml:space="preserve"> </w:t>
      </w:r>
    </w:p>
    <w:p w14:paraId="6524ABDC" w14:textId="77777777" w:rsidR="006918A0" w:rsidRPr="00A96D00" w:rsidRDefault="006918A0" w:rsidP="006918A0">
      <w:pPr>
        <w:tabs>
          <w:tab w:val="num" w:pos="1134"/>
        </w:tabs>
        <w:ind w:left="1134" w:hanging="283"/>
        <w:rPr>
          <w:rFonts w:eastAsia="Times New Roman"/>
          <w:noProof/>
        </w:rPr>
      </w:pPr>
      <w:r w:rsidRPr="00A96D00">
        <w:rPr>
          <w:noProof/>
        </w:rPr>
        <w:t xml:space="preserve">Postojeće proračunske linije </w:t>
      </w:r>
    </w:p>
    <w:p w14:paraId="4AE2036B" w14:textId="77777777" w:rsidR="006918A0" w:rsidRPr="00A96D00" w:rsidRDefault="006918A0" w:rsidP="006918A0">
      <w:pPr>
        <w:ind w:left="850"/>
        <w:rPr>
          <w:i/>
          <w:noProof/>
        </w:rPr>
      </w:pPr>
      <w:r w:rsidRPr="00A96D00">
        <w:rPr>
          <w:i/>
          <w:noProof/>
          <w:u w:val="single"/>
        </w:rPr>
        <w:t>Prema redoslijedu</w:t>
      </w:r>
      <w:r w:rsidRPr="00A96D00">
        <w:rPr>
          <w:i/>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918A0" w:rsidRPr="00A96D00" w14:paraId="3058213D" w14:textId="77777777" w:rsidTr="000430BD">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BA9FA4F" w14:textId="77777777" w:rsidR="006918A0" w:rsidRPr="00A96D00" w:rsidRDefault="006918A0" w:rsidP="006918A0">
            <w:pPr>
              <w:spacing w:before="60" w:after="60" w:line="276" w:lineRule="auto"/>
              <w:jc w:val="center"/>
              <w:rPr>
                <w:noProof/>
              </w:rPr>
            </w:pPr>
            <w:r w:rsidRPr="00A96D00">
              <w:rPr>
                <w:noProof/>
                <w:sz w:val="18"/>
              </w:rPr>
              <w:t>Naslov višegodišnjeg financijskog okvira</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2F48BC2" w14:textId="77777777" w:rsidR="006918A0" w:rsidRPr="00A96D00" w:rsidRDefault="006918A0" w:rsidP="006918A0">
            <w:pPr>
              <w:spacing w:before="60" w:after="60" w:line="276" w:lineRule="auto"/>
              <w:jc w:val="center"/>
              <w:rPr>
                <w:noProof/>
              </w:rPr>
            </w:pPr>
            <w:r w:rsidRPr="00A96D00">
              <w:rPr>
                <w:noProof/>
                <w:sz w:val="20"/>
              </w:rPr>
              <w:t>Proračunska linija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A249E6" w14:textId="77777777" w:rsidR="006918A0" w:rsidRPr="00A96D00" w:rsidRDefault="006918A0" w:rsidP="006918A0">
            <w:pPr>
              <w:spacing w:before="60" w:after="60" w:line="276" w:lineRule="auto"/>
              <w:jc w:val="center"/>
              <w:rPr>
                <w:noProof/>
              </w:rPr>
            </w:pPr>
            <w:r w:rsidRPr="00A96D00">
              <w:rPr>
                <w:noProof/>
                <w:sz w:val="18"/>
              </w:rPr>
              <w:t xml:space="preserve">Vrsta </w:t>
            </w:r>
            <w:r w:rsidRPr="00A96D00">
              <w:rPr>
                <w:noProof/>
              </w:rPr>
              <w:t xml:space="preserve"> </w:t>
            </w:r>
            <w:r w:rsidRPr="00A96D00">
              <w:rPr>
                <w:noProof/>
              </w:rPr>
              <w:br/>
            </w:r>
            <w:r w:rsidRPr="00A96D00">
              <w:rPr>
                <w:noProof/>
                <w:sz w:val="18"/>
              </w:rPr>
              <w:t>rashoda</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5EF9CDC7" w14:textId="77777777" w:rsidR="006918A0" w:rsidRPr="00A96D00" w:rsidRDefault="006918A0" w:rsidP="006918A0">
            <w:pPr>
              <w:spacing w:before="60" w:after="60" w:line="276" w:lineRule="auto"/>
              <w:jc w:val="center"/>
              <w:rPr>
                <w:noProof/>
              </w:rPr>
            </w:pPr>
            <w:r w:rsidRPr="00A96D00">
              <w:rPr>
                <w:noProof/>
                <w:sz w:val="20"/>
              </w:rPr>
              <w:t xml:space="preserve">Doprinos </w:t>
            </w:r>
          </w:p>
        </w:tc>
      </w:tr>
      <w:tr w:rsidR="006918A0" w:rsidRPr="00A96D00" w14:paraId="3FCBB776" w14:textId="77777777" w:rsidTr="005B3EB2">
        <w:tc>
          <w:tcPr>
            <w:tcW w:w="1080" w:type="dxa"/>
            <w:vMerge/>
            <w:tcBorders>
              <w:top w:val="single" w:sz="4" w:space="0" w:color="auto"/>
              <w:left w:val="single" w:sz="4" w:space="0" w:color="auto"/>
              <w:bottom w:val="single" w:sz="4" w:space="0" w:color="auto"/>
              <w:right w:val="single" w:sz="4" w:space="0" w:color="auto"/>
            </w:tcBorders>
            <w:vAlign w:val="center"/>
            <w:hideMark/>
          </w:tcPr>
          <w:p w14:paraId="3FFFE1C0" w14:textId="77777777" w:rsidR="006918A0" w:rsidRPr="00A96D00" w:rsidRDefault="006918A0" w:rsidP="006918A0">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56844C41" w14:textId="77777777" w:rsidR="006918A0" w:rsidRPr="00A96D00" w:rsidRDefault="006918A0" w:rsidP="006918A0">
            <w:pPr>
              <w:spacing w:line="276" w:lineRule="auto"/>
              <w:rPr>
                <w:noProof/>
              </w:rPr>
            </w:pPr>
            <w:r w:rsidRPr="00A96D00">
              <w:rPr>
                <w:noProof/>
                <w:sz w:val="20"/>
              </w:rPr>
              <w:t xml:space="preserve">Broj: </w:t>
            </w:r>
            <w:r w:rsidRPr="00A96D00">
              <w:rPr>
                <w:noProof/>
              </w:rPr>
              <w:t>03 04 0100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6E3AB9" w14:textId="77777777" w:rsidR="006918A0" w:rsidRPr="00A96D00" w:rsidRDefault="006918A0" w:rsidP="006918A0">
            <w:pPr>
              <w:spacing w:line="276" w:lineRule="auto"/>
              <w:jc w:val="center"/>
              <w:rPr>
                <w:noProof/>
              </w:rPr>
            </w:pPr>
            <w:r w:rsidRPr="00A96D00">
              <w:rPr>
                <w:noProof/>
                <w:sz w:val="18"/>
              </w:rPr>
              <w:t>Dif./nedif.</w:t>
            </w:r>
            <w:r w:rsidRPr="00A96D00">
              <w:rPr>
                <w:rStyle w:val="FootnoteReference"/>
                <w:noProof/>
              </w:rPr>
              <w:footnoteReference w:id="47"/>
            </w:r>
          </w:p>
        </w:tc>
        <w:tc>
          <w:tcPr>
            <w:tcW w:w="956" w:type="dxa"/>
            <w:tcBorders>
              <w:top w:val="single" w:sz="4" w:space="0" w:color="auto"/>
              <w:left w:val="single" w:sz="4" w:space="0" w:color="auto"/>
              <w:bottom w:val="single" w:sz="4" w:space="0" w:color="auto"/>
              <w:right w:val="single" w:sz="4" w:space="0" w:color="auto"/>
            </w:tcBorders>
            <w:vAlign w:val="center"/>
          </w:tcPr>
          <w:p w14:paraId="1BCF8E45" w14:textId="77777777" w:rsidR="006918A0" w:rsidRPr="00A96D00" w:rsidRDefault="006918A0" w:rsidP="006918A0">
            <w:pPr>
              <w:spacing w:line="276" w:lineRule="auto"/>
              <w:jc w:val="center"/>
              <w:rPr>
                <w:noProof/>
              </w:rPr>
            </w:pPr>
            <w:r w:rsidRPr="00A96D00">
              <w:rPr>
                <w:noProof/>
                <w:sz w:val="18"/>
              </w:rPr>
              <w:t>zemalja EFTA-e</w:t>
            </w:r>
            <w:r w:rsidRPr="00A96D00">
              <w:rPr>
                <w:rStyle w:val="FootnoteReference"/>
                <w:noProof/>
              </w:rPr>
              <w:footnoteReference w:id="48"/>
            </w:r>
          </w:p>
          <w:p w14:paraId="0491B65A" w14:textId="77777777" w:rsidR="006918A0" w:rsidRPr="00A96D00" w:rsidRDefault="006918A0" w:rsidP="006918A0">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650D4088" w14:textId="77777777" w:rsidR="006918A0" w:rsidRPr="00A96D00" w:rsidRDefault="006918A0" w:rsidP="006918A0">
            <w:pPr>
              <w:spacing w:line="276" w:lineRule="auto"/>
              <w:jc w:val="center"/>
              <w:rPr>
                <w:noProof/>
              </w:rPr>
            </w:pPr>
            <w:r w:rsidRPr="00A96D00">
              <w:rPr>
                <w:noProof/>
                <w:sz w:val="18"/>
              </w:rPr>
              <w:t>zemalja kandidatkinja</w:t>
            </w:r>
            <w:r w:rsidRPr="00A96D00">
              <w:rPr>
                <w:rStyle w:val="FootnoteReference"/>
                <w:noProof/>
              </w:rPr>
              <w:footnoteReference w:id="49"/>
            </w:r>
          </w:p>
          <w:p w14:paraId="48719731" w14:textId="77777777" w:rsidR="006918A0" w:rsidRPr="00A96D00" w:rsidRDefault="006918A0" w:rsidP="006918A0">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48C22152" w14:textId="77777777" w:rsidR="006918A0" w:rsidRPr="00A96D00" w:rsidRDefault="006918A0" w:rsidP="006918A0">
            <w:pPr>
              <w:spacing w:line="276" w:lineRule="auto"/>
              <w:jc w:val="center"/>
              <w:rPr>
                <w:noProof/>
                <w:sz w:val="18"/>
              </w:rPr>
            </w:pPr>
            <w:r w:rsidRPr="00A96D00">
              <w:rPr>
                <w:noProof/>
                <w:sz w:val="18"/>
              </w:rPr>
              <w:t>trećih zemalja</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A851D8E" w14:textId="77777777" w:rsidR="006918A0" w:rsidRPr="00A96D00" w:rsidRDefault="006918A0" w:rsidP="006918A0">
            <w:pPr>
              <w:spacing w:line="276" w:lineRule="auto"/>
              <w:jc w:val="center"/>
              <w:rPr>
                <w:noProof/>
              </w:rPr>
            </w:pPr>
            <w:r w:rsidRPr="00A96D00">
              <w:rPr>
                <w:noProof/>
                <w:sz w:val="16"/>
              </w:rPr>
              <w:t xml:space="preserve">u smislu članka 21. stavka 2. točke (b) Financijske uredbe </w:t>
            </w:r>
          </w:p>
        </w:tc>
      </w:tr>
      <w:tr w:rsidR="006918A0" w:rsidRPr="00A96D00" w14:paraId="0A9AFE5D" w14:textId="77777777" w:rsidTr="000430BD">
        <w:tc>
          <w:tcPr>
            <w:tcW w:w="1080" w:type="dxa"/>
            <w:tcBorders>
              <w:top w:val="single" w:sz="4" w:space="0" w:color="auto"/>
              <w:left w:val="single" w:sz="4" w:space="0" w:color="auto"/>
              <w:bottom w:val="single" w:sz="4" w:space="0" w:color="auto"/>
              <w:right w:val="single" w:sz="4" w:space="0" w:color="auto"/>
            </w:tcBorders>
            <w:vAlign w:val="center"/>
            <w:hideMark/>
          </w:tcPr>
          <w:p w14:paraId="054A12C5" w14:textId="77777777" w:rsidR="006918A0" w:rsidRPr="00A96D00" w:rsidRDefault="006918A0" w:rsidP="006918A0">
            <w:pPr>
              <w:spacing w:line="276" w:lineRule="auto"/>
              <w:jc w:val="center"/>
              <w:rPr>
                <w:noProof/>
                <w:color w:val="0000FF"/>
              </w:rPr>
            </w:pPr>
            <w:r w:rsidRPr="00A96D00">
              <w:rPr>
                <w:noProof/>
              </w:rPr>
              <w:t>1 – Jedinstveno tržište, inovacije i digitalno gospodarstvo</w:t>
            </w:r>
          </w:p>
        </w:tc>
        <w:tc>
          <w:tcPr>
            <w:tcW w:w="3960" w:type="dxa"/>
            <w:tcBorders>
              <w:top w:val="single" w:sz="4" w:space="0" w:color="auto"/>
              <w:left w:val="single" w:sz="4" w:space="0" w:color="auto"/>
              <w:bottom w:val="single" w:sz="4" w:space="0" w:color="auto"/>
              <w:right w:val="single" w:sz="4" w:space="0" w:color="auto"/>
            </w:tcBorders>
            <w:vAlign w:val="center"/>
          </w:tcPr>
          <w:p w14:paraId="05BECE6F" w14:textId="77777777" w:rsidR="006918A0" w:rsidRPr="00A96D00" w:rsidRDefault="006918A0" w:rsidP="006918A0">
            <w:pPr>
              <w:spacing w:line="276" w:lineRule="auto"/>
              <w:rPr>
                <w:noProof/>
              </w:rPr>
            </w:pPr>
            <w:r w:rsidRPr="00A96D00">
              <w:rPr>
                <w:noProof/>
              </w:rPr>
              <w:t>Poboljšanje ispravnog funkcioniranja poreznog sustava</w:t>
            </w:r>
          </w:p>
          <w:p w14:paraId="04023B04" w14:textId="77777777" w:rsidR="006918A0" w:rsidRPr="00A96D00" w:rsidRDefault="006918A0" w:rsidP="006918A0">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49EAEE4" w14:textId="77777777" w:rsidR="006918A0" w:rsidRPr="00A96D00" w:rsidRDefault="006918A0" w:rsidP="006918A0">
            <w:pPr>
              <w:spacing w:line="276" w:lineRule="auto"/>
              <w:jc w:val="center"/>
              <w:rPr>
                <w:noProof/>
                <w:color w:val="0000FF"/>
              </w:rPr>
            </w:pPr>
            <w:r w:rsidRPr="00A96D00">
              <w:rPr>
                <w:noProof/>
              </w:rPr>
              <w:t>Dif.</w:t>
            </w:r>
          </w:p>
        </w:tc>
        <w:tc>
          <w:tcPr>
            <w:tcW w:w="956" w:type="dxa"/>
            <w:tcBorders>
              <w:top w:val="single" w:sz="4" w:space="0" w:color="auto"/>
              <w:left w:val="single" w:sz="4" w:space="0" w:color="auto"/>
              <w:bottom w:val="single" w:sz="4" w:space="0" w:color="auto"/>
              <w:right w:val="single" w:sz="4" w:space="0" w:color="auto"/>
            </w:tcBorders>
            <w:vAlign w:val="center"/>
            <w:hideMark/>
          </w:tcPr>
          <w:p w14:paraId="36A841A3" w14:textId="77777777" w:rsidR="006918A0" w:rsidRPr="00A96D00" w:rsidRDefault="006918A0" w:rsidP="006918A0">
            <w:pPr>
              <w:spacing w:line="276" w:lineRule="auto"/>
              <w:jc w:val="center"/>
              <w:rPr>
                <w:noProof/>
                <w:sz w:val="20"/>
                <w:szCs w:val="20"/>
              </w:rPr>
            </w:pPr>
            <w:r w:rsidRPr="00A96D00">
              <w:rPr>
                <w:noProof/>
                <w:sz w:val="20"/>
              </w:rPr>
              <w:t>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EAD7C3" w14:textId="77777777" w:rsidR="006918A0" w:rsidRPr="00A96D00" w:rsidRDefault="006918A0" w:rsidP="006918A0">
            <w:pPr>
              <w:spacing w:line="276" w:lineRule="auto"/>
              <w:jc w:val="center"/>
              <w:rPr>
                <w:noProof/>
                <w:sz w:val="20"/>
                <w:szCs w:val="20"/>
              </w:rPr>
            </w:pPr>
            <w:r w:rsidRPr="00A96D00">
              <w:rPr>
                <w:noProof/>
                <w:sz w:val="20"/>
              </w:rPr>
              <w:t>NE</w:t>
            </w:r>
          </w:p>
        </w:tc>
        <w:tc>
          <w:tcPr>
            <w:tcW w:w="956" w:type="dxa"/>
            <w:tcBorders>
              <w:top w:val="single" w:sz="4" w:space="0" w:color="auto"/>
              <w:left w:val="single" w:sz="4" w:space="0" w:color="auto"/>
              <w:bottom w:val="single" w:sz="4" w:space="0" w:color="auto"/>
              <w:right w:val="single" w:sz="4" w:space="0" w:color="auto"/>
            </w:tcBorders>
            <w:vAlign w:val="center"/>
            <w:hideMark/>
          </w:tcPr>
          <w:p w14:paraId="1F6453F8" w14:textId="77777777" w:rsidR="006918A0" w:rsidRPr="00A96D00" w:rsidRDefault="006918A0" w:rsidP="006918A0">
            <w:pPr>
              <w:spacing w:line="276" w:lineRule="auto"/>
              <w:jc w:val="center"/>
              <w:rPr>
                <w:noProof/>
                <w:sz w:val="20"/>
                <w:szCs w:val="20"/>
              </w:rPr>
            </w:pPr>
            <w:r w:rsidRPr="00A96D00">
              <w:rPr>
                <w:noProof/>
                <w:sz w:val="20"/>
              </w:rPr>
              <w:t>NE</w:t>
            </w:r>
          </w:p>
        </w:tc>
        <w:tc>
          <w:tcPr>
            <w:tcW w:w="1448" w:type="dxa"/>
            <w:tcBorders>
              <w:top w:val="single" w:sz="4" w:space="0" w:color="auto"/>
              <w:left w:val="single" w:sz="4" w:space="0" w:color="auto"/>
              <w:bottom w:val="single" w:sz="4" w:space="0" w:color="auto"/>
              <w:right w:val="single" w:sz="4" w:space="0" w:color="auto"/>
            </w:tcBorders>
            <w:vAlign w:val="center"/>
            <w:hideMark/>
          </w:tcPr>
          <w:p w14:paraId="66F61BF2" w14:textId="77777777" w:rsidR="006918A0" w:rsidRPr="00A96D00" w:rsidRDefault="006918A0" w:rsidP="006918A0">
            <w:pPr>
              <w:spacing w:line="276" w:lineRule="auto"/>
              <w:jc w:val="center"/>
              <w:rPr>
                <w:noProof/>
                <w:sz w:val="20"/>
                <w:szCs w:val="20"/>
              </w:rPr>
            </w:pPr>
            <w:r w:rsidRPr="00A96D00">
              <w:rPr>
                <w:noProof/>
                <w:sz w:val="20"/>
              </w:rPr>
              <w:t>NE</w:t>
            </w:r>
          </w:p>
        </w:tc>
      </w:tr>
    </w:tbl>
    <w:p w14:paraId="771CFB64" w14:textId="77777777" w:rsidR="006918A0" w:rsidRPr="00A96D00" w:rsidRDefault="006918A0" w:rsidP="006918A0">
      <w:pPr>
        <w:tabs>
          <w:tab w:val="num" w:pos="1134"/>
        </w:tabs>
        <w:ind w:left="1134" w:hanging="283"/>
        <w:rPr>
          <w:rFonts w:eastAsia="Times New Roman"/>
          <w:noProof/>
        </w:rPr>
      </w:pPr>
      <w:r w:rsidRPr="00A96D00">
        <w:rPr>
          <w:noProof/>
        </w:rPr>
        <w:t xml:space="preserve">Zatražene nove proračunske linije </w:t>
      </w:r>
    </w:p>
    <w:p w14:paraId="2DE521B7" w14:textId="77777777" w:rsidR="006918A0" w:rsidRPr="00A96D00" w:rsidRDefault="006918A0" w:rsidP="006918A0">
      <w:pPr>
        <w:ind w:left="850"/>
        <w:rPr>
          <w:i/>
          <w:noProof/>
          <w:sz w:val="20"/>
        </w:rPr>
      </w:pPr>
      <w:r w:rsidRPr="00A96D00">
        <w:rPr>
          <w:i/>
          <w:noProof/>
          <w:u w:val="single"/>
        </w:rPr>
        <w:t>Prema redoslijedu</w:t>
      </w:r>
      <w:r w:rsidRPr="00A96D00">
        <w:rPr>
          <w:i/>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918A0" w:rsidRPr="00A96D00" w14:paraId="3898E52B" w14:textId="77777777" w:rsidTr="000430BD">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A4B4305" w14:textId="77777777" w:rsidR="006918A0" w:rsidRPr="00A96D00" w:rsidRDefault="006918A0" w:rsidP="006918A0">
            <w:pPr>
              <w:spacing w:before="60" w:after="60" w:line="276" w:lineRule="auto"/>
              <w:jc w:val="center"/>
              <w:rPr>
                <w:noProof/>
                <w:sz w:val="18"/>
                <w:szCs w:val="18"/>
              </w:rPr>
            </w:pPr>
            <w:r w:rsidRPr="00A96D00">
              <w:rPr>
                <w:noProof/>
                <w:sz w:val="18"/>
              </w:rPr>
              <w:t>Naslov višegodišnjeg financijskog okvira</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456F2FA" w14:textId="77777777" w:rsidR="006918A0" w:rsidRPr="00A96D00" w:rsidRDefault="006918A0" w:rsidP="006918A0">
            <w:pPr>
              <w:spacing w:before="60" w:after="60" w:line="276" w:lineRule="auto"/>
              <w:jc w:val="center"/>
              <w:rPr>
                <w:noProof/>
              </w:rPr>
            </w:pPr>
            <w:r w:rsidRPr="00A96D00">
              <w:rPr>
                <w:noProof/>
                <w:sz w:val="20"/>
              </w:rPr>
              <w:t>Proračunska linija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6B44AB1" w14:textId="77777777" w:rsidR="006918A0" w:rsidRPr="00A96D00" w:rsidRDefault="006918A0" w:rsidP="006918A0">
            <w:pPr>
              <w:spacing w:before="60" w:after="60" w:line="276" w:lineRule="auto"/>
              <w:jc w:val="center"/>
              <w:rPr>
                <w:noProof/>
              </w:rPr>
            </w:pPr>
            <w:r w:rsidRPr="00A96D00">
              <w:rPr>
                <w:noProof/>
                <w:sz w:val="18"/>
              </w:rPr>
              <w:t>Vrsta</w:t>
            </w:r>
            <w:r w:rsidRPr="00A96D00">
              <w:rPr>
                <w:noProof/>
              </w:rPr>
              <w:t xml:space="preserve"> </w:t>
            </w:r>
            <w:r w:rsidRPr="00A96D00">
              <w:rPr>
                <w:noProof/>
              </w:rPr>
              <w:br/>
            </w:r>
            <w:r w:rsidRPr="00A96D00">
              <w:rPr>
                <w:noProof/>
                <w:sz w:val="18"/>
              </w:rPr>
              <w:t>rashoda</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5DA25B64" w14:textId="77777777" w:rsidR="006918A0" w:rsidRPr="00A96D00" w:rsidRDefault="006918A0" w:rsidP="006918A0">
            <w:pPr>
              <w:spacing w:before="60" w:after="60" w:line="276" w:lineRule="auto"/>
              <w:jc w:val="center"/>
              <w:rPr>
                <w:noProof/>
              </w:rPr>
            </w:pPr>
            <w:r w:rsidRPr="00A96D00">
              <w:rPr>
                <w:noProof/>
                <w:sz w:val="20"/>
              </w:rPr>
              <w:t xml:space="preserve">Doprinos </w:t>
            </w:r>
          </w:p>
        </w:tc>
      </w:tr>
      <w:tr w:rsidR="006918A0" w:rsidRPr="00A96D00" w14:paraId="68822C77" w14:textId="77777777" w:rsidTr="000430BD">
        <w:tc>
          <w:tcPr>
            <w:tcW w:w="1080" w:type="dxa"/>
            <w:vMerge/>
            <w:tcBorders>
              <w:top w:val="single" w:sz="4" w:space="0" w:color="auto"/>
              <w:left w:val="single" w:sz="4" w:space="0" w:color="auto"/>
              <w:bottom w:val="single" w:sz="4" w:space="0" w:color="auto"/>
              <w:right w:val="single" w:sz="4" w:space="0" w:color="auto"/>
            </w:tcBorders>
            <w:vAlign w:val="center"/>
            <w:hideMark/>
          </w:tcPr>
          <w:p w14:paraId="5C9C744B" w14:textId="77777777" w:rsidR="006918A0" w:rsidRPr="00A96D00" w:rsidRDefault="006918A0" w:rsidP="006918A0">
            <w:pPr>
              <w:spacing w:before="0" w:after="0" w:line="276" w:lineRule="auto"/>
              <w:jc w:val="left"/>
              <w:rPr>
                <w:noProof/>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79263AA2" w14:textId="77777777" w:rsidR="006918A0" w:rsidRPr="00A96D00" w:rsidRDefault="006918A0" w:rsidP="006918A0">
            <w:pPr>
              <w:spacing w:line="276" w:lineRule="auto"/>
              <w:rPr>
                <w:noProof/>
              </w:rPr>
            </w:pPr>
            <w:r w:rsidRPr="00A96D00">
              <w:rPr>
                <w:noProof/>
                <w:sz w:val="20"/>
              </w:rPr>
              <w:t xml:space="preserve">Broj </w:t>
            </w:r>
            <w:r w:rsidRPr="00A96D00">
              <w:rPr>
                <w:noProof/>
              </w:rPr>
              <w:t xml:space="preserve"> </w:t>
            </w:r>
            <w:r w:rsidRPr="00A96D00">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4AA44D71" w14:textId="77777777" w:rsidR="006918A0" w:rsidRPr="00A96D00" w:rsidRDefault="006918A0" w:rsidP="006918A0">
            <w:pPr>
              <w:spacing w:line="276" w:lineRule="auto"/>
              <w:jc w:val="center"/>
              <w:rPr>
                <w:noProof/>
              </w:rPr>
            </w:pPr>
            <w:r w:rsidRPr="00A96D00">
              <w:rPr>
                <w:noProof/>
                <w:sz w:val="18"/>
              </w:rPr>
              <w:t>dif./nedif.</w:t>
            </w:r>
          </w:p>
        </w:tc>
        <w:tc>
          <w:tcPr>
            <w:tcW w:w="956" w:type="dxa"/>
            <w:tcBorders>
              <w:top w:val="single" w:sz="4" w:space="0" w:color="auto"/>
              <w:left w:val="single" w:sz="4" w:space="0" w:color="auto"/>
              <w:bottom w:val="single" w:sz="4" w:space="0" w:color="auto"/>
              <w:right w:val="single" w:sz="4" w:space="0" w:color="auto"/>
            </w:tcBorders>
            <w:vAlign w:val="center"/>
            <w:hideMark/>
          </w:tcPr>
          <w:p w14:paraId="1C3BB3CE" w14:textId="77777777" w:rsidR="006918A0" w:rsidRPr="00A96D00" w:rsidRDefault="006918A0" w:rsidP="006918A0">
            <w:pPr>
              <w:spacing w:line="276" w:lineRule="auto"/>
              <w:jc w:val="center"/>
              <w:rPr>
                <w:noProof/>
                <w:sz w:val="18"/>
              </w:rPr>
            </w:pPr>
            <w:r w:rsidRPr="00A96D00">
              <w:rPr>
                <w:noProof/>
                <w:sz w:val="18"/>
              </w:rPr>
              <w:t>zemalja EFTA-e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6DB1D0" w14:textId="77777777" w:rsidR="006918A0" w:rsidRPr="00A96D00" w:rsidRDefault="006918A0" w:rsidP="006918A0">
            <w:pPr>
              <w:spacing w:line="276" w:lineRule="auto"/>
              <w:jc w:val="center"/>
              <w:rPr>
                <w:noProof/>
                <w:sz w:val="18"/>
              </w:rPr>
            </w:pPr>
            <w:r w:rsidRPr="00A96D00">
              <w:rPr>
                <w:noProof/>
                <w:sz w:val="18"/>
              </w:rPr>
              <w:t>zemalja kandidatkinja</w:t>
            </w:r>
          </w:p>
        </w:tc>
        <w:tc>
          <w:tcPr>
            <w:tcW w:w="956" w:type="dxa"/>
            <w:tcBorders>
              <w:top w:val="single" w:sz="4" w:space="0" w:color="auto"/>
              <w:left w:val="single" w:sz="4" w:space="0" w:color="auto"/>
              <w:bottom w:val="single" w:sz="4" w:space="0" w:color="auto"/>
              <w:right w:val="single" w:sz="4" w:space="0" w:color="auto"/>
            </w:tcBorders>
            <w:vAlign w:val="center"/>
            <w:hideMark/>
          </w:tcPr>
          <w:p w14:paraId="404B5972" w14:textId="77777777" w:rsidR="006918A0" w:rsidRPr="00A96D00" w:rsidRDefault="006918A0" w:rsidP="006918A0">
            <w:pPr>
              <w:spacing w:line="276" w:lineRule="auto"/>
              <w:jc w:val="center"/>
              <w:rPr>
                <w:noProof/>
                <w:sz w:val="18"/>
              </w:rPr>
            </w:pPr>
            <w:r w:rsidRPr="00A96D00">
              <w:rPr>
                <w:noProof/>
                <w:sz w:val="18"/>
              </w:rPr>
              <w:t>trećih zemalja</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5B33EEF" w14:textId="77777777" w:rsidR="006918A0" w:rsidRPr="00A96D00" w:rsidRDefault="006918A0" w:rsidP="006918A0">
            <w:pPr>
              <w:spacing w:line="276" w:lineRule="auto"/>
              <w:jc w:val="center"/>
              <w:rPr>
                <w:noProof/>
              </w:rPr>
            </w:pPr>
            <w:r w:rsidRPr="00A96D00">
              <w:rPr>
                <w:noProof/>
                <w:sz w:val="16"/>
              </w:rPr>
              <w:t xml:space="preserve">u smislu članka 21. stavka 2. točke (b) Financijske uredbe </w:t>
            </w:r>
          </w:p>
        </w:tc>
      </w:tr>
      <w:tr w:rsidR="006918A0" w:rsidRPr="00A96D00" w14:paraId="21F2044D" w14:textId="77777777" w:rsidTr="000430BD">
        <w:tc>
          <w:tcPr>
            <w:tcW w:w="1080" w:type="dxa"/>
            <w:tcBorders>
              <w:top w:val="single" w:sz="4" w:space="0" w:color="auto"/>
              <w:left w:val="single" w:sz="4" w:space="0" w:color="auto"/>
              <w:bottom w:val="single" w:sz="4" w:space="0" w:color="auto"/>
              <w:right w:val="single" w:sz="4" w:space="0" w:color="auto"/>
            </w:tcBorders>
            <w:vAlign w:val="center"/>
          </w:tcPr>
          <w:p w14:paraId="64F0C2AC" w14:textId="77777777" w:rsidR="006918A0" w:rsidRPr="00A96D00" w:rsidRDefault="006918A0" w:rsidP="006918A0">
            <w:pPr>
              <w:spacing w:line="276" w:lineRule="auto"/>
              <w:jc w:val="center"/>
              <w:rPr>
                <w:noProof/>
                <w:color w:val="0000FF"/>
              </w:rPr>
            </w:pPr>
          </w:p>
        </w:tc>
        <w:tc>
          <w:tcPr>
            <w:tcW w:w="3960" w:type="dxa"/>
            <w:tcBorders>
              <w:top w:val="single" w:sz="4" w:space="0" w:color="auto"/>
              <w:left w:val="single" w:sz="4" w:space="0" w:color="auto"/>
              <w:bottom w:val="single" w:sz="4" w:space="0" w:color="auto"/>
              <w:right w:val="single" w:sz="4" w:space="0" w:color="auto"/>
            </w:tcBorders>
            <w:vAlign w:val="center"/>
          </w:tcPr>
          <w:p w14:paraId="03691A7A" w14:textId="77777777" w:rsidR="006918A0" w:rsidRPr="00A96D00" w:rsidRDefault="006918A0" w:rsidP="006918A0">
            <w:pPr>
              <w:spacing w:before="60" w:line="276" w:lineRule="auto"/>
              <w:rPr>
                <w:noProof/>
              </w:rPr>
            </w:pPr>
            <w:r w:rsidRPr="00A96D00">
              <w:rPr>
                <w:noProof/>
              </w:rPr>
              <w:t>[XX YY YY YY]</w:t>
            </w:r>
          </w:p>
          <w:p w14:paraId="72297390" w14:textId="77777777" w:rsidR="006918A0" w:rsidRPr="00A96D00" w:rsidRDefault="006918A0" w:rsidP="006918A0">
            <w:pPr>
              <w:spacing w:after="60" w:line="276" w:lineRule="auto"/>
              <w:rPr>
                <w:noProof/>
                <w:color w:val="0000FF"/>
              </w:rPr>
            </w:pPr>
          </w:p>
        </w:tc>
        <w:tc>
          <w:tcPr>
            <w:tcW w:w="1080" w:type="dxa"/>
            <w:tcBorders>
              <w:top w:val="single" w:sz="4" w:space="0" w:color="auto"/>
              <w:left w:val="single" w:sz="4" w:space="0" w:color="auto"/>
              <w:bottom w:val="single" w:sz="4" w:space="0" w:color="auto"/>
              <w:right w:val="single" w:sz="4" w:space="0" w:color="auto"/>
            </w:tcBorders>
            <w:vAlign w:val="center"/>
          </w:tcPr>
          <w:p w14:paraId="3B4352D3" w14:textId="77777777" w:rsidR="006918A0" w:rsidRPr="00A96D00" w:rsidRDefault="006918A0" w:rsidP="006918A0">
            <w:pPr>
              <w:spacing w:line="276" w:lineRule="auto"/>
              <w:jc w:val="center"/>
              <w:rPr>
                <w:noProof/>
                <w:color w:val="0000FF"/>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20CD37B4" w14:textId="77777777" w:rsidR="006918A0" w:rsidRPr="00A96D00" w:rsidRDefault="006918A0" w:rsidP="006918A0">
            <w:pPr>
              <w:spacing w:line="276" w:lineRule="auto"/>
              <w:jc w:val="center"/>
              <w:rPr>
                <w:noProof/>
                <w:sz w:val="20"/>
                <w:szCs w:val="20"/>
              </w:rPr>
            </w:pPr>
            <w:r w:rsidRPr="00A96D00">
              <w:rPr>
                <w:noProof/>
                <w:sz w:val="20"/>
              </w:rPr>
              <w:t>DA/NE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DEC011" w14:textId="77777777" w:rsidR="006918A0" w:rsidRPr="00A96D00" w:rsidRDefault="006918A0" w:rsidP="006918A0">
            <w:pPr>
              <w:spacing w:line="276" w:lineRule="auto"/>
              <w:jc w:val="center"/>
              <w:rPr>
                <w:noProof/>
                <w:color w:val="0000FF"/>
                <w:sz w:val="20"/>
                <w:szCs w:val="20"/>
              </w:rPr>
            </w:pPr>
            <w:r w:rsidRPr="00A96D00">
              <w:rPr>
                <w:noProof/>
                <w:sz w:val="20"/>
              </w:rPr>
              <w:t>DA/NE</w:t>
            </w:r>
          </w:p>
        </w:tc>
        <w:tc>
          <w:tcPr>
            <w:tcW w:w="956" w:type="dxa"/>
            <w:tcBorders>
              <w:top w:val="single" w:sz="4" w:space="0" w:color="auto"/>
              <w:left w:val="single" w:sz="4" w:space="0" w:color="auto"/>
              <w:bottom w:val="single" w:sz="4" w:space="0" w:color="auto"/>
              <w:right w:val="single" w:sz="4" w:space="0" w:color="auto"/>
            </w:tcBorders>
            <w:vAlign w:val="center"/>
            <w:hideMark/>
          </w:tcPr>
          <w:p w14:paraId="2B7B378D" w14:textId="77777777" w:rsidR="006918A0" w:rsidRPr="00A96D00" w:rsidRDefault="006918A0" w:rsidP="006918A0">
            <w:pPr>
              <w:spacing w:line="276" w:lineRule="auto"/>
              <w:jc w:val="center"/>
              <w:rPr>
                <w:noProof/>
                <w:color w:val="0000FF"/>
                <w:sz w:val="20"/>
                <w:szCs w:val="20"/>
              </w:rPr>
            </w:pPr>
            <w:r w:rsidRPr="00A96D00">
              <w:rPr>
                <w:noProof/>
                <w:sz w:val="20"/>
              </w:rPr>
              <w:t>DA/NE</w:t>
            </w:r>
          </w:p>
        </w:tc>
        <w:tc>
          <w:tcPr>
            <w:tcW w:w="1448" w:type="dxa"/>
            <w:tcBorders>
              <w:top w:val="single" w:sz="4" w:space="0" w:color="auto"/>
              <w:left w:val="single" w:sz="4" w:space="0" w:color="auto"/>
              <w:bottom w:val="single" w:sz="4" w:space="0" w:color="auto"/>
              <w:right w:val="single" w:sz="4" w:space="0" w:color="auto"/>
            </w:tcBorders>
            <w:vAlign w:val="center"/>
            <w:hideMark/>
          </w:tcPr>
          <w:p w14:paraId="310EDAF0" w14:textId="77777777" w:rsidR="006918A0" w:rsidRPr="00A96D00" w:rsidRDefault="006918A0" w:rsidP="006918A0">
            <w:pPr>
              <w:spacing w:line="276" w:lineRule="auto"/>
              <w:jc w:val="center"/>
              <w:rPr>
                <w:noProof/>
                <w:sz w:val="20"/>
                <w:szCs w:val="20"/>
              </w:rPr>
            </w:pPr>
            <w:r w:rsidRPr="00A96D00">
              <w:rPr>
                <w:noProof/>
                <w:sz w:val="20"/>
              </w:rPr>
              <w:t>DA/NE</w:t>
            </w:r>
          </w:p>
        </w:tc>
      </w:tr>
    </w:tbl>
    <w:p w14:paraId="5C9BD304" w14:textId="77777777" w:rsidR="006918A0" w:rsidRPr="00A96D00" w:rsidRDefault="006918A0" w:rsidP="006918A0">
      <w:pPr>
        <w:spacing w:before="0" w:after="0"/>
        <w:jc w:val="left"/>
        <w:rPr>
          <w:noProof/>
        </w:rPr>
        <w:sectPr w:rsidR="006918A0" w:rsidRPr="00A96D00" w:rsidSect="00BE4874">
          <w:pgSz w:w="11907" w:h="16840"/>
          <w:pgMar w:top="1134" w:right="1418" w:bottom="1134" w:left="1418" w:header="709" w:footer="709" w:gutter="0"/>
          <w:cols w:space="720"/>
          <w:docGrid w:linePitch="326"/>
        </w:sectPr>
      </w:pPr>
    </w:p>
    <w:p w14:paraId="60FB2082" w14:textId="77777777" w:rsidR="006918A0" w:rsidRPr="00A96D00" w:rsidRDefault="00287904" w:rsidP="00287904">
      <w:pPr>
        <w:pStyle w:val="ManualHeading2"/>
        <w:rPr>
          <w:noProof/>
        </w:rPr>
      </w:pPr>
      <w:bookmarkStart w:id="15" w:name="_Toc514938052"/>
      <w:bookmarkStart w:id="16" w:name="_Toc520485051"/>
      <w:r w:rsidRPr="00A96D00">
        <w:rPr>
          <w:noProof/>
        </w:rPr>
        <w:tab/>
        <w:t>3.2.</w:t>
      </w:r>
      <w:r w:rsidRPr="00A96D00">
        <w:rPr>
          <w:noProof/>
        </w:rPr>
        <w:tab/>
        <w:t>Procijenjeni financijski učinak prijedloga na odobrena sredstva</w:t>
      </w:r>
      <w:bookmarkEnd w:id="15"/>
      <w:bookmarkEnd w:id="16"/>
      <w:r w:rsidRPr="00A96D00">
        <w:rPr>
          <w:noProof/>
        </w:rPr>
        <w:t xml:space="preserve"> </w:t>
      </w:r>
    </w:p>
    <w:p w14:paraId="1D1B1630" w14:textId="77777777" w:rsidR="006918A0" w:rsidRPr="00A96D00" w:rsidRDefault="00287904" w:rsidP="00287904">
      <w:pPr>
        <w:pStyle w:val="ManualHeading3"/>
        <w:rPr>
          <w:noProof/>
        </w:rPr>
      </w:pPr>
      <w:bookmarkStart w:id="17" w:name="_Toc514938053"/>
      <w:bookmarkStart w:id="18" w:name="_Toc520485052"/>
      <w:r w:rsidRPr="00A96D00">
        <w:rPr>
          <w:noProof/>
        </w:rPr>
        <w:tab/>
        <w:t>3.2.1.</w:t>
      </w:r>
      <w:r w:rsidRPr="00A96D00">
        <w:rPr>
          <w:noProof/>
        </w:rPr>
        <w:tab/>
        <w:t>Sažetak procijenjenog učinka na odobrena sredstva za poslovanje</w:t>
      </w:r>
      <w:bookmarkEnd w:id="17"/>
      <w:bookmarkEnd w:id="18"/>
      <w:r w:rsidRPr="00A96D00">
        <w:rPr>
          <w:noProof/>
        </w:rPr>
        <w:t xml:space="preserve"> </w:t>
      </w:r>
    </w:p>
    <w:p w14:paraId="332EE5B0"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sym w:font="Wingdings" w:char="F0A8"/>
      </w:r>
      <w:r w:rsidRPr="00A96D00">
        <w:rPr>
          <w:noProof/>
        </w:rPr>
        <w:tab/>
        <w:t xml:space="preserve">Za prijedlog/inicijativu nisu potrebna odobrena sredstva za poslovanje. </w:t>
      </w:r>
    </w:p>
    <w:p w14:paraId="292E57E5"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sym w:font="Wingdings" w:char="F0FD"/>
      </w:r>
      <w:r w:rsidRPr="00A96D00">
        <w:rPr>
          <w:noProof/>
        </w:rPr>
        <w:tab/>
        <w:t>Za prijedlog/inicijativu potrebna su sljedeća odobrena sredstva za poslovanje:</w:t>
      </w:r>
    </w:p>
    <w:p w14:paraId="71EEC68D" w14:textId="77777777" w:rsidR="006918A0" w:rsidRPr="00A96D00" w:rsidRDefault="006918A0" w:rsidP="006918A0">
      <w:pPr>
        <w:jc w:val="right"/>
        <w:rPr>
          <w:noProof/>
          <w:sz w:val="18"/>
          <w:szCs w:val="18"/>
        </w:rPr>
      </w:pPr>
      <w:r w:rsidRPr="00A96D00">
        <w:rPr>
          <w:noProof/>
          <w:sz w:val="18"/>
        </w:rPr>
        <w:t>U milijunima EUR (do 3 decimalna mjesta)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918A0" w:rsidRPr="00A96D00" w14:paraId="3EA898B8" w14:textId="77777777" w:rsidTr="000430BD">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704411AC" w14:textId="77777777" w:rsidR="006918A0" w:rsidRPr="00A96D00" w:rsidRDefault="006918A0" w:rsidP="006918A0">
            <w:pPr>
              <w:spacing w:before="60" w:after="60" w:line="276" w:lineRule="auto"/>
              <w:jc w:val="center"/>
              <w:rPr>
                <w:b/>
                <w:noProof/>
              </w:rPr>
            </w:pPr>
            <w:r w:rsidRPr="00A96D00">
              <w:rPr>
                <w:b/>
                <w:noProof/>
              </w:rPr>
              <w:t xml:space="preserve">Naslov višegodišnjeg financijskog </w:t>
            </w:r>
            <w:r w:rsidRPr="00A96D00">
              <w:rPr>
                <w:noProof/>
              </w:rPr>
              <w:t xml:space="preserve"> </w:t>
            </w:r>
            <w:r w:rsidRPr="00A96D00">
              <w:rPr>
                <w:noProof/>
              </w:rPr>
              <w:br/>
            </w:r>
            <w:r w:rsidRPr="00A96D00">
              <w:rPr>
                <w:b/>
                <w:noProof/>
              </w:rPr>
              <w:t xml:space="preserve">okvira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66D676" w14:textId="77777777" w:rsidR="006918A0" w:rsidRPr="00A96D00" w:rsidRDefault="006918A0" w:rsidP="006918A0">
            <w:pPr>
              <w:spacing w:before="60" w:after="60" w:line="276" w:lineRule="auto"/>
              <w:jc w:val="center"/>
              <w:rPr>
                <w:noProof/>
              </w:rPr>
            </w:pPr>
            <w:r w:rsidRPr="00A96D00">
              <w:rPr>
                <w:noProof/>
              </w:rPr>
              <w:t>Broj</w:t>
            </w:r>
          </w:p>
          <w:p w14:paraId="4A3E6B1F" w14:textId="77777777" w:rsidR="006918A0" w:rsidRPr="00A96D00" w:rsidRDefault="006918A0" w:rsidP="006918A0">
            <w:pPr>
              <w:spacing w:before="60" w:after="60" w:line="276" w:lineRule="auto"/>
              <w:jc w:val="center"/>
              <w:rPr>
                <w:noProof/>
              </w:rPr>
            </w:pPr>
            <w:r w:rsidRPr="00A96D00">
              <w:rPr>
                <w:noProof/>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57A060A6" w14:textId="77777777" w:rsidR="006918A0" w:rsidRPr="00A96D00" w:rsidRDefault="006918A0" w:rsidP="006918A0">
            <w:pPr>
              <w:spacing w:before="60" w:after="60" w:line="276" w:lineRule="auto"/>
              <w:rPr>
                <w:noProof/>
              </w:rPr>
            </w:pPr>
            <w:r w:rsidRPr="00A96D00">
              <w:rPr>
                <w:noProof/>
              </w:rPr>
              <w:t>Jedinstveno tržište, inovacije i digitalizacija</w:t>
            </w:r>
          </w:p>
        </w:tc>
      </w:tr>
    </w:tbl>
    <w:p w14:paraId="64F7B192" w14:textId="77777777" w:rsidR="006918A0" w:rsidRPr="00A96D00" w:rsidRDefault="006918A0" w:rsidP="006918A0">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2099"/>
        <w:gridCol w:w="23"/>
      </w:tblGrid>
      <w:tr w:rsidR="006918A0" w:rsidRPr="00A96D00" w14:paraId="3A83AEBA" w14:textId="77777777" w:rsidTr="00E104B3">
        <w:trPr>
          <w:gridAfter w:val="1"/>
          <w:wAfter w:w="23"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0D640901" w14:textId="77777777" w:rsidR="006918A0" w:rsidRPr="00A96D00" w:rsidRDefault="006918A0" w:rsidP="006918A0">
            <w:pPr>
              <w:spacing w:line="276" w:lineRule="auto"/>
              <w:jc w:val="center"/>
              <w:rPr>
                <w:noProof/>
              </w:rPr>
            </w:pPr>
            <w:r w:rsidRPr="00A96D00">
              <w:rPr>
                <w:noProof/>
              </w:rPr>
              <w:t>GU: TAXUD</w:t>
            </w:r>
          </w:p>
        </w:tc>
        <w:tc>
          <w:tcPr>
            <w:tcW w:w="1560" w:type="dxa"/>
            <w:gridSpan w:val="2"/>
            <w:tcBorders>
              <w:top w:val="single" w:sz="4" w:space="0" w:color="auto"/>
              <w:left w:val="single" w:sz="4" w:space="0" w:color="auto"/>
              <w:bottom w:val="single" w:sz="4" w:space="0" w:color="auto"/>
              <w:right w:val="single" w:sz="4" w:space="0" w:color="auto"/>
            </w:tcBorders>
          </w:tcPr>
          <w:p w14:paraId="51BA3278" w14:textId="77777777" w:rsidR="006918A0" w:rsidRPr="00A96D00" w:rsidRDefault="006918A0" w:rsidP="006918A0">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14:paraId="6F2F0DE4" w14:textId="77777777" w:rsidR="006918A0" w:rsidRPr="00A96D00" w:rsidRDefault="006918A0" w:rsidP="006918A0">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B34DE08" w14:textId="77777777" w:rsidR="006918A0" w:rsidRPr="00A96D00" w:rsidRDefault="006918A0" w:rsidP="006918A0">
            <w:pPr>
              <w:spacing w:line="276" w:lineRule="auto"/>
              <w:jc w:val="center"/>
              <w:rPr>
                <w:noProof/>
                <w:sz w:val="20"/>
              </w:rPr>
            </w:pPr>
            <w:r w:rsidRPr="00A96D00">
              <w:rPr>
                <w:noProof/>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3636E300" w14:textId="77777777" w:rsidR="006918A0" w:rsidRPr="00A96D00" w:rsidRDefault="006918A0" w:rsidP="006918A0">
            <w:pPr>
              <w:spacing w:line="276" w:lineRule="auto"/>
              <w:jc w:val="center"/>
              <w:rPr>
                <w:noProof/>
                <w:sz w:val="20"/>
              </w:rPr>
            </w:pPr>
            <w:r w:rsidRPr="00A96D00">
              <w:rPr>
                <w:noProof/>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2AF47D8" w14:textId="77777777" w:rsidR="006918A0" w:rsidRPr="00A96D00" w:rsidRDefault="006918A0" w:rsidP="006918A0">
            <w:pPr>
              <w:spacing w:line="276" w:lineRule="auto"/>
              <w:jc w:val="center"/>
              <w:rPr>
                <w:noProof/>
                <w:sz w:val="20"/>
              </w:rPr>
            </w:pPr>
            <w:r w:rsidRPr="00A96D00">
              <w:rPr>
                <w:noProof/>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964294C" w14:textId="77777777" w:rsidR="006918A0" w:rsidRPr="00A96D00" w:rsidRDefault="006918A0" w:rsidP="006918A0">
            <w:pPr>
              <w:spacing w:line="276" w:lineRule="auto"/>
              <w:jc w:val="center"/>
              <w:rPr>
                <w:noProof/>
                <w:sz w:val="20"/>
              </w:rPr>
            </w:pPr>
            <w:r w:rsidRPr="00A96D00">
              <w:rPr>
                <w:noProof/>
              </w:rPr>
              <w:t>2026.</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22911DF4" w14:textId="77777777" w:rsidR="006918A0" w:rsidRPr="00A96D00" w:rsidRDefault="006918A0" w:rsidP="006918A0">
            <w:pPr>
              <w:spacing w:line="276" w:lineRule="auto"/>
              <w:jc w:val="center"/>
              <w:rPr>
                <w:b/>
                <w:noProof/>
                <w:sz w:val="18"/>
              </w:rPr>
            </w:pPr>
            <w:r w:rsidRPr="00A96D00">
              <w:rPr>
                <w:noProof/>
                <w:sz w:val="18"/>
              </w:rPr>
              <w:t>Unijeti onoliko godina koliko je potrebno za prikaz trajanja učinka (vidjeti točku 1.6.)</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436EF36" w14:textId="77777777" w:rsidR="006918A0" w:rsidRPr="00A96D00" w:rsidRDefault="006918A0" w:rsidP="006918A0">
            <w:pPr>
              <w:spacing w:line="276" w:lineRule="auto"/>
              <w:jc w:val="center"/>
              <w:rPr>
                <w:b/>
                <w:noProof/>
                <w:sz w:val="20"/>
              </w:rPr>
            </w:pPr>
            <w:r w:rsidRPr="00A96D00">
              <w:rPr>
                <w:b/>
                <w:noProof/>
                <w:sz w:val="20"/>
              </w:rPr>
              <w:t>UKUPNO</w:t>
            </w:r>
          </w:p>
        </w:tc>
      </w:tr>
      <w:tr w:rsidR="006918A0" w:rsidRPr="00A96D00" w14:paraId="46A09A5A" w14:textId="77777777" w:rsidTr="00E104B3">
        <w:trPr>
          <w:gridAfter w:val="1"/>
          <w:wAfter w:w="23" w:type="dxa"/>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14:paraId="68D2F3AE" w14:textId="77777777" w:rsidR="006918A0" w:rsidRPr="00A96D00" w:rsidRDefault="006918A0" w:rsidP="006918A0">
            <w:pPr>
              <w:spacing w:before="20" w:after="20" w:line="276" w:lineRule="auto"/>
              <w:rPr>
                <w:noProof/>
                <w:sz w:val="21"/>
              </w:rPr>
            </w:pPr>
            <w:r w:rsidRPr="00A96D00">
              <w:rPr>
                <w:rFonts w:ascii="Wingdings" w:hAnsi="Wingdings"/>
                <w:noProof/>
                <w:sz w:val="21"/>
              </w:rPr>
              <w:sym w:font="Wingdings" w:char="F09F"/>
            </w:r>
            <w:r w:rsidRPr="00A96D00">
              <w:rPr>
                <w:noProof/>
              </w:rPr>
              <w:t xml:space="preserve"> Odobrena sredstva za poslovanje</w:t>
            </w:r>
            <w:r w:rsidRPr="00A96D00">
              <w:rPr>
                <w:noProof/>
                <w:sz w:val="21"/>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14:paraId="7FDB3971" w14:textId="77777777" w:rsidR="006918A0" w:rsidRPr="00A96D0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8379F16" w14:textId="77777777" w:rsidR="006918A0" w:rsidRPr="00A96D0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8DECC5C" w14:textId="77777777" w:rsidR="006918A0" w:rsidRPr="00A96D0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652B633" w14:textId="77777777" w:rsidR="006918A0" w:rsidRPr="00A96D0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E246EA9" w14:textId="77777777" w:rsidR="006918A0" w:rsidRPr="00A96D0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6B622B5" w14:textId="77777777" w:rsidR="006918A0" w:rsidRPr="00A96D0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45E6760" w14:textId="77777777" w:rsidR="006918A0" w:rsidRPr="00A96D00" w:rsidRDefault="006918A0" w:rsidP="006918A0">
            <w:pPr>
              <w:spacing w:line="276" w:lineRule="auto"/>
              <w:rPr>
                <w:b/>
                <w:noProof/>
                <w:sz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44B09DC0" w14:textId="77777777" w:rsidR="006918A0" w:rsidRPr="00A96D00" w:rsidRDefault="006918A0" w:rsidP="006918A0">
            <w:pPr>
              <w:spacing w:line="276" w:lineRule="auto"/>
              <w:rPr>
                <w:b/>
                <w:noProof/>
                <w:sz w:val="20"/>
              </w:rPr>
            </w:pPr>
          </w:p>
        </w:tc>
      </w:tr>
      <w:tr w:rsidR="006918A0" w:rsidRPr="00A96D00" w14:paraId="31EED733" w14:textId="77777777" w:rsidTr="00E104B3">
        <w:trPr>
          <w:gridAfter w:val="1"/>
          <w:wAfter w:w="23" w:type="dxa"/>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1A4E531A" w14:textId="77777777" w:rsidR="006918A0" w:rsidRPr="00A96D00" w:rsidRDefault="006918A0" w:rsidP="006918A0">
            <w:pPr>
              <w:spacing w:line="276" w:lineRule="auto"/>
              <w:rPr>
                <w:noProof/>
              </w:rPr>
            </w:pPr>
            <w:r w:rsidRPr="00A96D00">
              <w:rPr>
                <w:noProof/>
                <w:sz w:val="20"/>
              </w:rPr>
              <w:t>Proračunska linija</w:t>
            </w:r>
            <w:r w:rsidRPr="00A96D00">
              <w:rPr>
                <w:rStyle w:val="FootnoteReference"/>
                <w:noProof/>
              </w:rPr>
              <w:footnoteReference w:id="50"/>
            </w:r>
            <w:r w:rsidRPr="00A96D00">
              <w:rPr>
                <w:noProof/>
                <w:sz w:val="20"/>
              </w:rPr>
              <w:t xml:space="preserve"> 03.04.01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9D6CF35" w14:textId="77777777" w:rsidR="006918A0" w:rsidRPr="00A96D00" w:rsidRDefault="006918A0" w:rsidP="006918A0">
            <w:pPr>
              <w:spacing w:before="20" w:after="20" w:line="276" w:lineRule="auto"/>
              <w:rPr>
                <w:noProof/>
                <w:sz w:val="18"/>
              </w:rPr>
            </w:pPr>
            <w:r w:rsidRPr="00A96D00">
              <w:rPr>
                <w:noProof/>
                <w:sz w:val="18"/>
              </w:rPr>
              <w:t>Obveze</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0D7F806" w14:textId="77777777" w:rsidR="006918A0" w:rsidRPr="00A96D00" w:rsidRDefault="006918A0" w:rsidP="006918A0">
            <w:pPr>
              <w:spacing w:before="20" w:after="20" w:line="276" w:lineRule="auto"/>
              <w:jc w:val="center"/>
              <w:rPr>
                <w:noProof/>
                <w:sz w:val="14"/>
              </w:rPr>
            </w:pPr>
            <w:r w:rsidRPr="00A96D00">
              <w:rPr>
                <w:noProof/>
                <w:sz w:val="14"/>
              </w:rPr>
              <w:t>(1a)</w:t>
            </w:r>
          </w:p>
        </w:tc>
        <w:tc>
          <w:tcPr>
            <w:tcW w:w="868" w:type="dxa"/>
            <w:tcBorders>
              <w:top w:val="single" w:sz="4" w:space="0" w:color="auto"/>
              <w:left w:val="single" w:sz="4" w:space="0" w:color="auto"/>
              <w:bottom w:val="single" w:sz="4" w:space="0" w:color="auto"/>
              <w:right w:val="single" w:sz="4" w:space="0" w:color="auto"/>
            </w:tcBorders>
            <w:hideMark/>
          </w:tcPr>
          <w:p w14:paraId="0852DADF" w14:textId="77777777" w:rsidR="006918A0" w:rsidRPr="00A96D00" w:rsidRDefault="006918A0" w:rsidP="006918A0">
            <w:pPr>
              <w:spacing w:before="20" w:after="20" w:line="276" w:lineRule="auto"/>
              <w:jc w:val="right"/>
              <w:rPr>
                <w:noProof/>
                <w:sz w:val="20"/>
              </w:rPr>
            </w:pPr>
            <w:r w:rsidRPr="00A96D00">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6DA34492" w14:textId="77777777" w:rsidR="006918A0" w:rsidRPr="00A96D00" w:rsidRDefault="006918A0" w:rsidP="006918A0">
            <w:pPr>
              <w:spacing w:before="20" w:after="20" w:line="276" w:lineRule="auto"/>
              <w:jc w:val="right"/>
              <w:rPr>
                <w:noProof/>
                <w:sz w:val="20"/>
              </w:rPr>
            </w:pPr>
            <w:r w:rsidRPr="00A96D00">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2B8A91A5" w14:textId="77777777" w:rsidR="006918A0" w:rsidRPr="00A96D00" w:rsidRDefault="006918A0" w:rsidP="006918A0">
            <w:pPr>
              <w:spacing w:before="20" w:after="20" w:line="276" w:lineRule="auto"/>
              <w:jc w:val="right"/>
              <w:rPr>
                <w:noProof/>
                <w:sz w:val="20"/>
              </w:rPr>
            </w:pPr>
            <w:r w:rsidRPr="00A96D00">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7E024379" w14:textId="77777777" w:rsidR="006918A0" w:rsidRPr="00A96D00" w:rsidRDefault="006918A0" w:rsidP="006918A0">
            <w:pPr>
              <w:spacing w:before="20" w:after="20" w:line="276" w:lineRule="auto"/>
              <w:jc w:val="right"/>
              <w:rPr>
                <w:noProof/>
                <w:sz w:val="20"/>
              </w:rPr>
            </w:pPr>
            <w:r w:rsidRPr="00A96D00">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37E385AC" w14:textId="77777777" w:rsidR="006918A0" w:rsidRPr="00A96D00" w:rsidRDefault="006918A0" w:rsidP="006918A0">
            <w:pPr>
              <w:spacing w:before="20" w:after="20" w:line="276" w:lineRule="auto"/>
              <w:jc w:val="right"/>
              <w:rPr>
                <w:noProof/>
                <w:sz w:val="20"/>
              </w:rPr>
            </w:pPr>
            <w:r w:rsidRPr="00A96D00">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2E8BF61F"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A6DC68C" w14:textId="77777777" w:rsidR="006918A0" w:rsidRPr="00A96D0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7066C70B" w14:textId="77777777" w:rsidR="006918A0" w:rsidRPr="00A96D00" w:rsidRDefault="006918A0" w:rsidP="006918A0">
            <w:pPr>
              <w:spacing w:before="20" w:after="20" w:line="276" w:lineRule="auto"/>
              <w:jc w:val="right"/>
              <w:rPr>
                <w:b/>
                <w:bCs/>
                <w:noProof/>
                <w:sz w:val="20"/>
              </w:rPr>
            </w:pPr>
            <w:r w:rsidRPr="00A96D00">
              <w:rPr>
                <w:b/>
                <w:noProof/>
                <w:sz w:val="20"/>
              </w:rPr>
              <w:t>1,26</w:t>
            </w:r>
          </w:p>
        </w:tc>
      </w:tr>
      <w:tr w:rsidR="006918A0" w:rsidRPr="00A96D00" w14:paraId="51CD9A64" w14:textId="77777777" w:rsidTr="00E104B3">
        <w:tc>
          <w:tcPr>
            <w:tcW w:w="3960" w:type="dxa"/>
            <w:vMerge/>
            <w:tcBorders>
              <w:top w:val="single" w:sz="4" w:space="0" w:color="auto"/>
              <w:left w:val="single" w:sz="4" w:space="0" w:color="auto"/>
              <w:bottom w:val="single" w:sz="4" w:space="0" w:color="auto"/>
              <w:right w:val="single" w:sz="4" w:space="0" w:color="auto"/>
            </w:tcBorders>
            <w:vAlign w:val="center"/>
            <w:hideMark/>
          </w:tcPr>
          <w:p w14:paraId="32C29014" w14:textId="77777777" w:rsidR="006918A0" w:rsidRPr="00A96D00" w:rsidRDefault="006918A0" w:rsidP="006918A0">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D1E0CDB" w14:textId="77777777" w:rsidR="006918A0" w:rsidRPr="00A96D00" w:rsidRDefault="006918A0" w:rsidP="006918A0">
            <w:pPr>
              <w:spacing w:before="20" w:after="20" w:line="276" w:lineRule="auto"/>
              <w:rPr>
                <w:noProof/>
                <w:sz w:val="18"/>
              </w:rPr>
            </w:pPr>
            <w:r w:rsidRPr="00A96D00">
              <w:rPr>
                <w:noProof/>
                <w:sz w:val="18"/>
              </w:rPr>
              <w:t>Plaćanja</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4E0133D" w14:textId="77777777" w:rsidR="006918A0" w:rsidRPr="00A96D00" w:rsidRDefault="006918A0" w:rsidP="006918A0">
            <w:pPr>
              <w:spacing w:before="20" w:after="20" w:line="276" w:lineRule="auto"/>
              <w:jc w:val="center"/>
              <w:rPr>
                <w:noProof/>
                <w:sz w:val="14"/>
              </w:rPr>
            </w:pPr>
            <w:r w:rsidRPr="00A96D00">
              <w:rPr>
                <w:noProof/>
                <w:sz w:val="14"/>
              </w:rPr>
              <w:t>(2a)</w:t>
            </w:r>
          </w:p>
        </w:tc>
        <w:tc>
          <w:tcPr>
            <w:tcW w:w="868" w:type="dxa"/>
            <w:tcBorders>
              <w:top w:val="single" w:sz="4" w:space="0" w:color="auto"/>
              <w:left w:val="single" w:sz="4" w:space="0" w:color="auto"/>
              <w:bottom w:val="single" w:sz="4" w:space="0" w:color="auto"/>
              <w:right w:val="single" w:sz="4" w:space="0" w:color="auto"/>
            </w:tcBorders>
          </w:tcPr>
          <w:p w14:paraId="134ED15F"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hideMark/>
          </w:tcPr>
          <w:p w14:paraId="51C2E48E" w14:textId="77777777" w:rsidR="006918A0" w:rsidRPr="00A96D00" w:rsidRDefault="006918A0" w:rsidP="006918A0">
            <w:pPr>
              <w:spacing w:before="20" w:after="20" w:line="276" w:lineRule="auto"/>
              <w:jc w:val="right"/>
              <w:rPr>
                <w:noProof/>
                <w:sz w:val="20"/>
              </w:rPr>
            </w:pPr>
            <w:r w:rsidRPr="00A96D00">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3CC6FA85" w14:textId="77777777" w:rsidR="006918A0" w:rsidRPr="00A96D00" w:rsidRDefault="006918A0" w:rsidP="006918A0">
            <w:pPr>
              <w:spacing w:before="20" w:after="20" w:line="276" w:lineRule="auto"/>
              <w:jc w:val="right"/>
              <w:rPr>
                <w:noProof/>
                <w:sz w:val="20"/>
              </w:rPr>
            </w:pPr>
            <w:r w:rsidRPr="00A96D00">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38859F7A" w14:textId="77777777" w:rsidR="006918A0" w:rsidRPr="00A96D00" w:rsidRDefault="006918A0" w:rsidP="006918A0">
            <w:pPr>
              <w:spacing w:before="20" w:after="20" w:line="276" w:lineRule="auto"/>
              <w:jc w:val="right"/>
              <w:rPr>
                <w:noProof/>
                <w:sz w:val="20"/>
              </w:rPr>
            </w:pPr>
            <w:r w:rsidRPr="00A96D00">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7943D905" w14:textId="77777777" w:rsidR="006918A0" w:rsidRPr="00A96D00" w:rsidRDefault="006918A0" w:rsidP="006918A0">
            <w:pPr>
              <w:spacing w:before="20" w:after="20" w:line="276" w:lineRule="auto"/>
              <w:jc w:val="right"/>
              <w:rPr>
                <w:noProof/>
                <w:sz w:val="20"/>
              </w:rPr>
            </w:pPr>
            <w:r w:rsidRPr="00A96D00">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3AE97C85" w14:textId="77777777" w:rsidR="006918A0" w:rsidRPr="00A96D00" w:rsidRDefault="006918A0" w:rsidP="006918A0">
            <w:pPr>
              <w:spacing w:before="20" w:after="20" w:line="276" w:lineRule="auto"/>
              <w:jc w:val="right"/>
              <w:rPr>
                <w:noProof/>
                <w:sz w:val="20"/>
              </w:rPr>
            </w:pPr>
            <w:r w:rsidRPr="00A96D00">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2A5ABCC8" w14:textId="77777777" w:rsidR="006918A0" w:rsidRPr="00A96D00" w:rsidRDefault="006918A0" w:rsidP="006918A0">
            <w:pPr>
              <w:spacing w:before="20" w:after="20" w:line="276" w:lineRule="auto"/>
              <w:jc w:val="right"/>
              <w:rPr>
                <w:noProof/>
                <w:sz w:val="20"/>
              </w:rPr>
            </w:pPr>
          </w:p>
        </w:tc>
        <w:tc>
          <w:tcPr>
            <w:tcW w:w="2122" w:type="dxa"/>
            <w:gridSpan w:val="2"/>
            <w:tcBorders>
              <w:top w:val="single" w:sz="4" w:space="0" w:color="auto"/>
              <w:left w:val="single" w:sz="4" w:space="0" w:color="auto"/>
              <w:bottom w:val="single" w:sz="4" w:space="0" w:color="auto"/>
              <w:right w:val="single" w:sz="4" w:space="0" w:color="auto"/>
            </w:tcBorders>
            <w:hideMark/>
          </w:tcPr>
          <w:p w14:paraId="7608FC8D" w14:textId="77777777" w:rsidR="006918A0" w:rsidRPr="00A96D00" w:rsidRDefault="006918A0" w:rsidP="006918A0">
            <w:pPr>
              <w:spacing w:before="20" w:after="20" w:line="276" w:lineRule="auto"/>
              <w:jc w:val="right"/>
              <w:rPr>
                <w:b/>
                <w:bCs/>
                <w:noProof/>
                <w:sz w:val="20"/>
              </w:rPr>
            </w:pPr>
            <w:r w:rsidRPr="00A96D00">
              <w:rPr>
                <w:b/>
                <w:noProof/>
                <w:sz w:val="20"/>
              </w:rPr>
              <w:t>1,26</w:t>
            </w:r>
          </w:p>
        </w:tc>
      </w:tr>
      <w:tr w:rsidR="006918A0" w:rsidRPr="00A96D00" w14:paraId="1E31DA89" w14:textId="77777777" w:rsidTr="00E104B3">
        <w:trPr>
          <w:gridAfter w:val="1"/>
          <w:wAfter w:w="23" w:type="dxa"/>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57A8E131" w14:textId="77777777" w:rsidR="006918A0" w:rsidRPr="00A96D00" w:rsidRDefault="006918A0" w:rsidP="006918A0">
            <w:pPr>
              <w:spacing w:line="276" w:lineRule="auto"/>
              <w:rPr>
                <w:noProof/>
              </w:rPr>
            </w:pPr>
            <w:r w:rsidRPr="00A96D00">
              <w:rPr>
                <w:noProof/>
                <w:sz w:val="20"/>
              </w:rPr>
              <w:t>Proračunska linija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D4001A" w14:textId="77777777" w:rsidR="006918A0" w:rsidRPr="00A96D00" w:rsidRDefault="006918A0" w:rsidP="006918A0">
            <w:pPr>
              <w:spacing w:before="20" w:after="20" w:line="276" w:lineRule="auto"/>
              <w:rPr>
                <w:noProof/>
                <w:sz w:val="18"/>
              </w:rPr>
            </w:pPr>
            <w:r w:rsidRPr="00A96D00">
              <w:rPr>
                <w:noProof/>
                <w:sz w:val="18"/>
              </w:rPr>
              <w:t>Obveze</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4149D1E" w14:textId="77777777" w:rsidR="006918A0" w:rsidRPr="00A96D00" w:rsidRDefault="006918A0" w:rsidP="006918A0">
            <w:pPr>
              <w:spacing w:before="20" w:after="20" w:line="276" w:lineRule="auto"/>
              <w:jc w:val="center"/>
              <w:rPr>
                <w:noProof/>
                <w:sz w:val="14"/>
              </w:rPr>
            </w:pPr>
            <w:r w:rsidRPr="00A96D00">
              <w:rPr>
                <w:noProof/>
                <w:sz w:val="14"/>
              </w:rPr>
              <w:t>(1b)</w:t>
            </w:r>
          </w:p>
        </w:tc>
        <w:tc>
          <w:tcPr>
            <w:tcW w:w="868" w:type="dxa"/>
            <w:tcBorders>
              <w:top w:val="single" w:sz="4" w:space="0" w:color="auto"/>
              <w:left w:val="single" w:sz="4" w:space="0" w:color="auto"/>
              <w:bottom w:val="single" w:sz="4" w:space="0" w:color="auto"/>
              <w:right w:val="single" w:sz="4" w:space="0" w:color="auto"/>
            </w:tcBorders>
          </w:tcPr>
          <w:p w14:paraId="35DC602A"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262040C"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5422390"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355B3809"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7817A41"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D3BBFF2"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83F6075" w14:textId="77777777" w:rsidR="006918A0" w:rsidRPr="00A96D0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42645586" w14:textId="77777777" w:rsidR="006918A0" w:rsidRPr="00A96D00" w:rsidRDefault="006918A0" w:rsidP="006918A0">
            <w:pPr>
              <w:spacing w:before="20" w:after="20" w:line="276" w:lineRule="auto"/>
              <w:jc w:val="right"/>
              <w:rPr>
                <w:b/>
                <w:bCs/>
                <w:noProof/>
                <w:sz w:val="20"/>
              </w:rPr>
            </w:pPr>
          </w:p>
        </w:tc>
      </w:tr>
      <w:tr w:rsidR="006918A0" w:rsidRPr="00A96D00" w14:paraId="38FFB331" w14:textId="77777777" w:rsidTr="00E104B3">
        <w:trPr>
          <w:gridAfter w:val="1"/>
          <w:wAfter w:w="23" w:type="dxa"/>
        </w:trPr>
        <w:tc>
          <w:tcPr>
            <w:tcW w:w="3960" w:type="dxa"/>
            <w:vMerge/>
            <w:tcBorders>
              <w:top w:val="single" w:sz="4" w:space="0" w:color="auto"/>
              <w:left w:val="single" w:sz="4" w:space="0" w:color="auto"/>
              <w:bottom w:val="single" w:sz="4" w:space="0" w:color="auto"/>
              <w:right w:val="single" w:sz="4" w:space="0" w:color="auto"/>
            </w:tcBorders>
            <w:vAlign w:val="center"/>
            <w:hideMark/>
          </w:tcPr>
          <w:p w14:paraId="79997FF9" w14:textId="77777777" w:rsidR="006918A0" w:rsidRPr="00A96D00" w:rsidRDefault="006918A0" w:rsidP="006918A0">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0CF7B3B" w14:textId="77777777" w:rsidR="006918A0" w:rsidRPr="00A96D00" w:rsidRDefault="006918A0" w:rsidP="006918A0">
            <w:pPr>
              <w:spacing w:before="20" w:after="20" w:line="276" w:lineRule="auto"/>
              <w:rPr>
                <w:noProof/>
                <w:sz w:val="18"/>
              </w:rPr>
            </w:pPr>
            <w:r w:rsidRPr="00A96D00">
              <w:rPr>
                <w:noProof/>
                <w:sz w:val="18"/>
              </w:rPr>
              <w:t>Plaćanja</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2B73F02" w14:textId="77777777" w:rsidR="006918A0" w:rsidRPr="00A96D00" w:rsidRDefault="006918A0" w:rsidP="006918A0">
            <w:pPr>
              <w:spacing w:before="20" w:after="20" w:line="276" w:lineRule="auto"/>
              <w:jc w:val="center"/>
              <w:rPr>
                <w:noProof/>
                <w:sz w:val="14"/>
              </w:rPr>
            </w:pPr>
            <w:r w:rsidRPr="00A96D00">
              <w:rPr>
                <w:noProof/>
                <w:sz w:val="14"/>
              </w:rPr>
              <w:t>(2b)</w:t>
            </w:r>
          </w:p>
        </w:tc>
        <w:tc>
          <w:tcPr>
            <w:tcW w:w="868" w:type="dxa"/>
            <w:tcBorders>
              <w:top w:val="single" w:sz="4" w:space="0" w:color="auto"/>
              <w:left w:val="single" w:sz="4" w:space="0" w:color="auto"/>
              <w:bottom w:val="single" w:sz="4" w:space="0" w:color="auto"/>
              <w:right w:val="single" w:sz="4" w:space="0" w:color="auto"/>
            </w:tcBorders>
          </w:tcPr>
          <w:p w14:paraId="4AF8E886"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9FD2A62"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104FC9F2"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003024F"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E7C6FC8"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36D938C1"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6630992" w14:textId="77777777" w:rsidR="006918A0" w:rsidRPr="00A96D0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60730E7D" w14:textId="77777777" w:rsidR="006918A0" w:rsidRPr="00A96D00" w:rsidRDefault="006918A0" w:rsidP="006918A0">
            <w:pPr>
              <w:spacing w:before="20" w:after="20" w:line="276" w:lineRule="auto"/>
              <w:jc w:val="right"/>
              <w:rPr>
                <w:b/>
                <w:bCs/>
                <w:noProof/>
                <w:sz w:val="20"/>
              </w:rPr>
            </w:pPr>
          </w:p>
        </w:tc>
      </w:tr>
      <w:tr w:rsidR="006918A0" w:rsidRPr="00A96D00" w14:paraId="165122BE" w14:textId="77777777" w:rsidTr="00E104B3">
        <w:trPr>
          <w:gridAfter w:val="1"/>
          <w:wAfter w:w="23" w:type="dxa"/>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14:paraId="448A3A37" w14:textId="77777777" w:rsidR="006918A0" w:rsidRPr="00A96D00" w:rsidRDefault="006918A0" w:rsidP="006918A0">
            <w:pPr>
              <w:spacing w:before="20" w:after="20" w:line="276" w:lineRule="auto"/>
              <w:rPr>
                <w:noProof/>
              </w:rPr>
            </w:pPr>
            <w:r w:rsidRPr="00A96D00">
              <w:rPr>
                <w:noProof/>
                <w:sz w:val="21"/>
              </w:rPr>
              <w:t>Administrativna odobrena sredstva koja se financiraju iz omotnice za posebne programe</w:t>
            </w:r>
            <w:r w:rsidRPr="00A96D00">
              <w:rPr>
                <w:rStyle w:val="FootnoteReference"/>
                <w:noProof/>
              </w:rPr>
              <w:footnoteReference w:id="51"/>
            </w:r>
            <w:r w:rsidRPr="00A96D00">
              <w:rPr>
                <w:noProof/>
                <w:sz w:val="21"/>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14:paraId="05E81A8A"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44EC958"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D8F0B10"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3A83357"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6C651DE"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13F9381"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F0A9E3E" w14:textId="77777777" w:rsidR="006918A0" w:rsidRPr="00A96D0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35659D52" w14:textId="77777777" w:rsidR="006918A0" w:rsidRPr="00A96D00" w:rsidRDefault="006918A0" w:rsidP="006918A0">
            <w:pPr>
              <w:spacing w:before="20" w:after="20" w:line="276" w:lineRule="auto"/>
              <w:jc w:val="right"/>
              <w:rPr>
                <w:b/>
                <w:bCs/>
                <w:noProof/>
                <w:sz w:val="20"/>
              </w:rPr>
            </w:pPr>
          </w:p>
        </w:tc>
      </w:tr>
      <w:tr w:rsidR="006918A0" w:rsidRPr="00A96D00" w14:paraId="5E53B413" w14:textId="77777777" w:rsidTr="00E104B3">
        <w:trPr>
          <w:gridAfter w:val="1"/>
          <w:wAfter w:w="23" w:type="dxa"/>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41AE7F3B" w14:textId="77777777" w:rsidR="006918A0" w:rsidRPr="00A96D00" w:rsidRDefault="006918A0" w:rsidP="006918A0">
            <w:pPr>
              <w:spacing w:before="60" w:after="60" w:line="276" w:lineRule="auto"/>
              <w:rPr>
                <w:noProof/>
              </w:rPr>
            </w:pPr>
            <w:r w:rsidRPr="00A96D00">
              <w:rPr>
                <w:noProof/>
                <w:sz w:val="20"/>
              </w:rPr>
              <w:t>Proračunska linija</w:t>
            </w:r>
          </w:p>
        </w:tc>
        <w:tc>
          <w:tcPr>
            <w:tcW w:w="1440" w:type="dxa"/>
            <w:tcBorders>
              <w:top w:val="single" w:sz="4" w:space="0" w:color="auto"/>
              <w:left w:val="single" w:sz="4" w:space="0" w:color="auto"/>
              <w:bottom w:val="single" w:sz="4" w:space="0" w:color="auto"/>
              <w:right w:val="single" w:sz="4" w:space="0" w:color="auto"/>
            </w:tcBorders>
            <w:vAlign w:val="center"/>
          </w:tcPr>
          <w:p w14:paraId="5E53DAB7" w14:textId="77777777" w:rsidR="006918A0" w:rsidRPr="00A96D00" w:rsidRDefault="006918A0" w:rsidP="006918A0">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1FA87FB" w14:textId="77777777" w:rsidR="006918A0" w:rsidRPr="00A96D00" w:rsidRDefault="006918A0" w:rsidP="006918A0">
            <w:pPr>
              <w:spacing w:before="40" w:after="40" w:line="276" w:lineRule="auto"/>
              <w:jc w:val="center"/>
              <w:rPr>
                <w:noProof/>
                <w:sz w:val="14"/>
              </w:rPr>
            </w:pPr>
            <w:r w:rsidRPr="00A96D00">
              <w:rPr>
                <w:noProof/>
                <w:sz w:val="14"/>
              </w:rPr>
              <w:t>(3)</w:t>
            </w:r>
          </w:p>
        </w:tc>
        <w:tc>
          <w:tcPr>
            <w:tcW w:w="868" w:type="dxa"/>
            <w:tcBorders>
              <w:top w:val="single" w:sz="4" w:space="0" w:color="auto"/>
              <w:left w:val="single" w:sz="4" w:space="0" w:color="auto"/>
              <w:bottom w:val="single" w:sz="4" w:space="0" w:color="auto"/>
              <w:right w:val="single" w:sz="4" w:space="0" w:color="auto"/>
            </w:tcBorders>
          </w:tcPr>
          <w:p w14:paraId="133F786F"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4FC0269"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2F51F94"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20C95BC4"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7D2305D"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596488A"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7169870F" w14:textId="77777777" w:rsidR="006918A0" w:rsidRPr="00A96D0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786F3BBD" w14:textId="77777777" w:rsidR="006918A0" w:rsidRPr="00A96D00" w:rsidRDefault="006918A0" w:rsidP="006918A0">
            <w:pPr>
              <w:spacing w:before="20" w:after="20" w:line="276" w:lineRule="auto"/>
              <w:jc w:val="right"/>
              <w:rPr>
                <w:b/>
                <w:bCs/>
                <w:noProof/>
                <w:sz w:val="20"/>
              </w:rPr>
            </w:pPr>
          </w:p>
        </w:tc>
      </w:tr>
      <w:tr w:rsidR="006918A0" w:rsidRPr="00A96D00" w14:paraId="56663982" w14:textId="77777777" w:rsidTr="00E104B3">
        <w:trPr>
          <w:gridAfter w:val="1"/>
          <w:wAfter w:w="23" w:type="dxa"/>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4C3024D4" w14:textId="77777777" w:rsidR="006918A0" w:rsidRPr="00A96D00" w:rsidRDefault="006918A0" w:rsidP="006918A0">
            <w:pPr>
              <w:spacing w:line="276" w:lineRule="auto"/>
              <w:jc w:val="center"/>
              <w:rPr>
                <w:b/>
                <w:noProof/>
              </w:rPr>
            </w:pPr>
            <w:r w:rsidRPr="00A96D00">
              <w:rPr>
                <w:b/>
                <w:noProof/>
              </w:rPr>
              <w:t>UKUPNA odobrena sredstva</w:t>
            </w:r>
            <w:r w:rsidRPr="00A96D00">
              <w:rPr>
                <w:noProof/>
              </w:rPr>
              <w:t xml:space="preserve"> </w:t>
            </w:r>
            <w:r w:rsidRPr="00A96D00">
              <w:rPr>
                <w:noProof/>
              </w:rPr>
              <w:br/>
            </w:r>
            <w:r w:rsidRPr="00A96D00">
              <w:rPr>
                <w:b/>
                <w:bCs/>
                <w:noProof/>
              </w:rPr>
              <w:t>za GU</w:t>
            </w:r>
            <w:r w:rsidRPr="00A96D00">
              <w:rPr>
                <w:noProof/>
              </w:rPr>
              <w:t xml:space="preserve"> TAXUD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01B061" w14:textId="77777777" w:rsidR="006918A0" w:rsidRPr="00A96D00" w:rsidRDefault="006918A0" w:rsidP="006918A0">
            <w:pPr>
              <w:spacing w:line="276" w:lineRule="auto"/>
              <w:rPr>
                <w:noProof/>
                <w:sz w:val="18"/>
              </w:rPr>
            </w:pPr>
            <w:r w:rsidRPr="00A96D00">
              <w:rPr>
                <w:noProof/>
                <w:sz w:val="18"/>
              </w:rPr>
              <w:t>Obveze</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1D8717F" w14:textId="77777777" w:rsidR="006918A0" w:rsidRPr="00A96D00" w:rsidRDefault="006918A0" w:rsidP="006918A0">
            <w:pPr>
              <w:spacing w:line="276" w:lineRule="auto"/>
              <w:jc w:val="center"/>
              <w:rPr>
                <w:noProof/>
                <w:sz w:val="14"/>
              </w:rPr>
            </w:pPr>
            <w:r w:rsidRPr="00A96D00">
              <w:rPr>
                <w:noProof/>
                <w:sz w:val="14"/>
              </w:rPr>
              <w:t>=1a+1b+3</w:t>
            </w:r>
          </w:p>
        </w:tc>
        <w:tc>
          <w:tcPr>
            <w:tcW w:w="868" w:type="dxa"/>
            <w:tcBorders>
              <w:top w:val="single" w:sz="4" w:space="0" w:color="auto"/>
              <w:left w:val="single" w:sz="4" w:space="0" w:color="auto"/>
              <w:bottom w:val="single" w:sz="4" w:space="0" w:color="auto"/>
              <w:right w:val="single" w:sz="4" w:space="0" w:color="auto"/>
            </w:tcBorders>
            <w:hideMark/>
          </w:tcPr>
          <w:p w14:paraId="77870381" w14:textId="77777777" w:rsidR="006918A0" w:rsidRPr="00A96D00" w:rsidRDefault="006918A0" w:rsidP="006918A0">
            <w:pPr>
              <w:spacing w:before="20" w:after="20" w:line="276" w:lineRule="auto"/>
              <w:jc w:val="right"/>
              <w:rPr>
                <w:noProof/>
                <w:sz w:val="20"/>
              </w:rPr>
            </w:pPr>
            <w:r w:rsidRPr="00A96D00">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119E5B0F" w14:textId="77777777" w:rsidR="006918A0" w:rsidRPr="00A96D00" w:rsidRDefault="006918A0" w:rsidP="006918A0">
            <w:pPr>
              <w:spacing w:before="20" w:after="20" w:line="276" w:lineRule="auto"/>
              <w:jc w:val="right"/>
              <w:rPr>
                <w:noProof/>
                <w:sz w:val="20"/>
              </w:rPr>
            </w:pPr>
            <w:r w:rsidRPr="00A96D00">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03181735" w14:textId="77777777" w:rsidR="006918A0" w:rsidRPr="00A96D00" w:rsidRDefault="006918A0" w:rsidP="006918A0">
            <w:pPr>
              <w:spacing w:before="20" w:after="20" w:line="276" w:lineRule="auto"/>
              <w:jc w:val="right"/>
              <w:rPr>
                <w:noProof/>
                <w:sz w:val="20"/>
              </w:rPr>
            </w:pPr>
            <w:r w:rsidRPr="00A96D00">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4E3F0E0A" w14:textId="77777777" w:rsidR="006918A0" w:rsidRPr="00A96D00" w:rsidRDefault="006918A0" w:rsidP="006918A0">
            <w:pPr>
              <w:spacing w:before="20" w:after="20" w:line="276" w:lineRule="auto"/>
              <w:jc w:val="right"/>
              <w:rPr>
                <w:noProof/>
                <w:sz w:val="20"/>
              </w:rPr>
            </w:pPr>
            <w:r w:rsidRPr="00A96D00">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640A81E8" w14:textId="77777777" w:rsidR="006918A0" w:rsidRPr="00A96D00" w:rsidRDefault="006918A0" w:rsidP="006918A0">
            <w:pPr>
              <w:spacing w:before="20" w:after="20" w:line="276" w:lineRule="auto"/>
              <w:jc w:val="right"/>
              <w:rPr>
                <w:noProof/>
                <w:sz w:val="20"/>
              </w:rPr>
            </w:pPr>
            <w:r w:rsidRPr="00A96D00">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02267DD2"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19B5A148" w14:textId="77777777" w:rsidR="006918A0" w:rsidRPr="00A96D0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67F8FF47" w14:textId="77777777" w:rsidR="006918A0" w:rsidRPr="00A96D00" w:rsidRDefault="006918A0" w:rsidP="006918A0">
            <w:pPr>
              <w:spacing w:before="20" w:after="20" w:line="276" w:lineRule="auto"/>
              <w:jc w:val="right"/>
              <w:rPr>
                <w:b/>
                <w:bCs/>
                <w:noProof/>
                <w:sz w:val="20"/>
              </w:rPr>
            </w:pPr>
            <w:r w:rsidRPr="00A96D00">
              <w:rPr>
                <w:b/>
                <w:noProof/>
                <w:sz w:val="20"/>
              </w:rPr>
              <w:t>1,26</w:t>
            </w:r>
          </w:p>
        </w:tc>
      </w:tr>
      <w:tr w:rsidR="006918A0" w:rsidRPr="00A96D00" w14:paraId="200388E7" w14:textId="77777777" w:rsidTr="00E104B3">
        <w:trPr>
          <w:gridAfter w:val="1"/>
          <w:wAfter w:w="23" w:type="dxa"/>
        </w:trPr>
        <w:tc>
          <w:tcPr>
            <w:tcW w:w="3960" w:type="dxa"/>
            <w:vMerge/>
            <w:tcBorders>
              <w:top w:val="single" w:sz="4" w:space="0" w:color="auto"/>
              <w:left w:val="single" w:sz="4" w:space="0" w:color="auto"/>
              <w:bottom w:val="single" w:sz="4" w:space="0" w:color="auto"/>
              <w:right w:val="single" w:sz="4" w:space="0" w:color="auto"/>
            </w:tcBorders>
            <w:vAlign w:val="center"/>
            <w:hideMark/>
          </w:tcPr>
          <w:p w14:paraId="2AB90D97" w14:textId="77777777" w:rsidR="006918A0" w:rsidRPr="00A96D00" w:rsidRDefault="006918A0" w:rsidP="006918A0">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84B19C6" w14:textId="77777777" w:rsidR="006918A0" w:rsidRPr="00A96D00" w:rsidRDefault="006918A0" w:rsidP="006918A0">
            <w:pPr>
              <w:spacing w:line="276" w:lineRule="auto"/>
              <w:rPr>
                <w:noProof/>
                <w:sz w:val="18"/>
              </w:rPr>
            </w:pPr>
            <w:r w:rsidRPr="00A96D00">
              <w:rPr>
                <w:noProof/>
                <w:sz w:val="18"/>
              </w:rPr>
              <w:t>Plaćanja</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4287216" w14:textId="77777777" w:rsidR="006918A0" w:rsidRPr="00A96D00" w:rsidRDefault="006918A0" w:rsidP="006918A0">
            <w:pPr>
              <w:spacing w:line="276" w:lineRule="auto"/>
              <w:jc w:val="center"/>
              <w:rPr>
                <w:noProof/>
                <w:sz w:val="14"/>
              </w:rPr>
            </w:pPr>
            <w:r w:rsidRPr="00A96D00">
              <w:rPr>
                <w:noProof/>
                <w:sz w:val="14"/>
              </w:rPr>
              <w:t>=2a+2b+3</w:t>
            </w:r>
          </w:p>
        </w:tc>
        <w:tc>
          <w:tcPr>
            <w:tcW w:w="868" w:type="dxa"/>
            <w:tcBorders>
              <w:top w:val="single" w:sz="4" w:space="0" w:color="auto"/>
              <w:left w:val="single" w:sz="4" w:space="0" w:color="auto"/>
              <w:bottom w:val="single" w:sz="4" w:space="0" w:color="auto"/>
              <w:right w:val="single" w:sz="4" w:space="0" w:color="auto"/>
            </w:tcBorders>
          </w:tcPr>
          <w:p w14:paraId="6EAD6F76" w14:textId="77777777" w:rsidR="006918A0" w:rsidRPr="00A96D0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hideMark/>
          </w:tcPr>
          <w:p w14:paraId="0E99E7EC" w14:textId="77777777" w:rsidR="006918A0" w:rsidRPr="00A96D00" w:rsidRDefault="006918A0" w:rsidP="006918A0">
            <w:pPr>
              <w:spacing w:before="20" w:after="20" w:line="276" w:lineRule="auto"/>
              <w:jc w:val="right"/>
              <w:rPr>
                <w:noProof/>
                <w:sz w:val="20"/>
              </w:rPr>
            </w:pPr>
            <w:r w:rsidRPr="00A96D00">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41630B7F" w14:textId="77777777" w:rsidR="006918A0" w:rsidRPr="00A96D00" w:rsidRDefault="006918A0" w:rsidP="006918A0">
            <w:pPr>
              <w:spacing w:before="20" w:after="20" w:line="276" w:lineRule="auto"/>
              <w:jc w:val="right"/>
              <w:rPr>
                <w:noProof/>
                <w:sz w:val="20"/>
              </w:rPr>
            </w:pPr>
            <w:r w:rsidRPr="00A96D00">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0FBCDAE9" w14:textId="77777777" w:rsidR="006918A0" w:rsidRPr="00A96D00" w:rsidRDefault="006918A0" w:rsidP="006918A0">
            <w:pPr>
              <w:spacing w:before="20" w:after="20" w:line="276" w:lineRule="auto"/>
              <w:jc w:val="right"/>
              <w:rPr>
                <w:noProof/>
                <w:sz w:val="20"/>
              </w:rPr>
            </w:pPr>
            <w:r w:rsidRPr="00A96D00">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5B26D2F7" w14:textId="77777777" w:rsidR="006918A0" w:rsidRPr="00A96D00" w:rsidRDefault="006918A0" w:rsidP="006918A0">
            <w:pPr>
              <w:spacing w:before="20" w:after="20" w:line="276" w:lineRule="auto"/>
              <w:jc w:val="right"/>
              <w:rPr>
                <w:noProof/>
                <w:sz w:val="20"/>
              </w:rPr>
            </w:pPr>
            <w:r w:rsidRPr="00A96D00">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7B784204" w14:textId="77777777" w:rsidR="006918A0" w:rsidRPr="00A96D00" w:rsidRDefault="006918A0" w:rsidP="006918A0">
            <w:pPr>
              <w:spacing w:before="20" w:after="20" w:line="276" w:lineRule="auto"/>
              <w:jc w:val="right"/>
              <w:rPr>
                <w:noProof/>
                <w:sz w:val="20"/>
              </w:rPr>
            </w:pPr>
            <w:r w:rsidRPr="00A96D00">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4F89900F" w14:textId="77777777" w:rsidR="006918A0" w:rsidRPr="00A96D0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6B686BFC" w14:textId="77777777" w:rsidR="006918A0" w:rsidRPr="00A96D00" w:rsidRDefault="006918A0" w:rsidP="006918A0">
            <w:pPr>
              <w:spacing w:before="20" w:after="20" w:line="276" w:lineRule="auto"/>
              <w:jc w:val="right"/>
              <w:rPr>
                <w:b/>
                <w:bCs/>
                <w:noProof/>
                <w:sz w:val="20"/>
              </w:rPr>
            </w:pPr>
            <w:r w:rsidRPr="00A96D00">
              <w:rPr>
                <w:b/>
                <w:noProof/>
                <w:sz w:val="20"/>
              </w:rPr>
              <w:t>1,26</w:t>
            </w:r>
          </w:p>
        </w:tc>
      </w:tr>
    </w:tbl>
    <w:p w14:paraId="42A7BE30" w14:textId="77777777" w:rsidR="006918A0" w:rsidRPr="00A96D00" w:rsidRDefault="006918A0" w:rsidP="006918A0">
      <w:pPr>
        <w:spacing w:before="0" w:after="0"/>
        <w:jc w:val="left"/>
        <w:rPr>
          <w:noProof/>
        </w:rPr>
      </w:pPr>
      <w:r w:rsidRPr="00A96D00">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918A0" w:rsidRPr="00A96D00" w14:paraId="063024C6" w14:textId="77777777" w:rsidTr="000430BD">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38382116" w14:textId="77777777" w:rsidR="006918A0" w:rsidRPr="00A96D00" w:rsidRDefault="006918A0" w:rsidP="006918A0">
            <w:pPr>
              <w:spacing w:before="60" w:after="60" w:line="276" w:lineRule="auto"/>
              <w:jc w:val="center"/>
              <w:rPr>
                <w:b/>
                <w:noProof/>
              </w:rPr>
            </w:pPr>
            <w:r w:rsidRPr="00A96D00">
              <w:rPr>
                <w:noProof/>
              </w:rPr>
              <w:br w:type="page"/>
            </w:r>
            <w:r w:rsidRPr="00A96D00">
              <w:rPr>
                <w:b/>
                <w:noProof/>
              </w:rPr>
              <w:t xml:space="preserve">Naslov višegodišnjeg financijskog </w:t>
            </w:r>
            <w:r w:rsidRPr="00A96D00">
              <w:rPr>
                <w:noProof/>
              </w:rPr>
              <w:t xml:space="preserve"> </w:t>
            </w:r>
            <w:r w:rsidRPr="00A96D00">
              <w:rPr>
                <w:noProof/>
              </w:rPr>
              <w:br/>
            </w:r>
            <w:r w:rsidRPr="00A96D00">
              <w:rPr>
                <w:b/>
                <w:noProof/>
              </w:rPr>
              <w:t xml:space="preserve">okvira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5C5A272D" w14:textId="77777777" w:rsidR="006918A0" w:rsidRPr="00A96D00" w:rsidRDefault="006918A0" w:rsidP="006918A0">
            <w:pPr>
              <w:spacing w:before="60" w:after="60" w:line="276" w:lineRule="auto"/>
              <w:jc w:val="center"/>
              <w:rPr>
                <w:noProof/>
              </w:rPr>
            </w:pPr>
            <w:r w:rsidRPr="00A96D00">
              <w:rPr>
                <w:b/>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099DCF8E" w14:textId="77777777" w:rsidR="006918A0" w:rsidRPr="00A96D00" w:rsidRDefault="006918A0" w:rsidP="006918A0">
            <w:pPr>
              <w:spacing w:before="60" w:after="60" w:line="276" w:lineRule="auto"/>
              <w:rPr>
                <w:noProof/>
              </w:rPr>
            </w:pPr>
            <w:r w:rsidRPr="00A96D00">
              <w:rPr>
                <w:noProof/>
              </w:rPr>
              <w:t>„Administrativni rashodi”</w:t>
            </w:r>
          </w:p>
        </w:tc>
      </w:tr>
    </w:tbl>
    <w:p w14:paraId="7FFF7D84" w14:textId="77777777" w:rsidR="006918A0" w:rsidRPr="00A96D00" w:rsidRDefault="006918A0" w:rsidP="006918A0">
      <w:pPr>
        <w:jc w:val="left"/>
        <w:rPr>
          <w:noProof/>
          <w:sz w:val="20"/>
        </w:rPr>
      </w:pPr>
      <w:r w:rsidRPr="00A96D00">
        <w:rPr>
          <w:noProof/>
        </w:rPr>
        <w:t xml:space="preserve">U ovaj se dio unose „administrativni proračunski podaci”, koji se najprije unose u </w:t>
      </w:r>
      <w:hyperlink r:id="rId17" w:history="1">
        <w:r w:rsidRPr="00A96D00">
          <w:rPr>
            <w:noProof/>
            <w:color w:val="0000FF"/>
            <w:u w:val="single"/>
          </w:rPr>
          <w:t>prilog zakonodavnom financijskom izvještaju</w:t>
        </w:r>
      </w:hyperlink>
      <w:r w:rsidRPr="00A96D00">
        <w:rPr>
          <w:noProof/>
        </w:rPr>
        <w:t xml:space="preserve"> (Prilog V. internim pravilima), koji se učitava u sustav DECIDE za potrebe savjetovanja među službama.</w:t>
      </w:r>
    </w:p>
    <w:p w14:paraId="077F3CFF" w14:textId="77777777" w:rsidR="006918A0" w:rsidRPr="00A96D00" w:rsidRDefault="006918A0" w:rsidP="006918A0">
      <w:pPr>
        <w:jc w:val="right"/>
        <w:rPr>
          <w:noProof/>
          <w:sz w:val="20"/>
        </w:rPr>
      </w:pPr>
      <w:r w:rsidRPr="00A96D00">
        <w:rPr>
          <w:noProof/>
          <w:sz w:val="20"/>
        </w:rPr>
        <w:t>U milijunima EUR (do 3 decimalna mjesta)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587"/>
        <w:gridCol w:w="520"/>
        <w:gridCol w:w="1155"/>
        <w:gridCol w:w="1300"/>
        <w:gridCol w:w="1155"/>
        <w:gridCol w:w="1129"/>
        <w:gridCol w:w="1183"/>
        <w:gridCol w:w="2161"/>
      </w:tblGrid>
      <w:tr w:rsidR="006918A0" w:rsidRPr="00A96D00" w14:paraId="7AAD01D6" w14:textId="77777777" w:rsidTr="000430BD">
        <w:tc>
          <w:tcPr>
            <w:tcW w:w="1417" w:type="pct"/>
            <w:tcBorders>
              <w:top w:val="nil"/>
              <w:left w:val="nil"/>
              <w:bottom w:val="single" w:sz="4" w:space="0" w:color="auto"/>
              <w:right w:val="nil"/>
            </w:tcBorders>
            <w:vAlign w:val="center"/>
          </w:tcPr>
          <w:p w14:paraId="3753C8D8" w14:textId="77777777" w:rsidR="006918A0" w:rsidRPr="00A96D00" w:rsidRDefault="006918A0" w:rsidP="006918A0">
            <w:pPr>
              <w:spacing w:line="276" w:lineRule="auto"/>
              <w:jc w:val="center"/>
              <w:rPr>
                <w:noProof/>
              </w:rPr>
            </w:pPr>
            <w:bookmarkStart w:id="19" w:name="_Hlk114153140"/>
          </w:p>
        </w:tc>
        <w:tc>
          <w:tcPr>
            <w:tcW w:w="558" w:type="pct"/>
            <w:tcBorders>
              <w:top w:val="nil"/>
              <w:left w:val="nil"/>
              <w:bottom w:val="single" w:sz="4" w:space="0" w:color="auto"/>
              <w:right w:val="nil"/>
            </w:tcBorders>
          </w:tcPr>
          <w:p w14:paraId="244CE7E1" w14:textId="77777777" w:rsidR="006918A0" w:rsidRPr="00A96D00" w:rsidRDefault="006918A0" w:rsidP="006918A0">
            <w:pPr>
              <w:spacing w:line="276" w:lineRule="auto"/>
              <w:jc w:val="center"/>
              <w:rPr>
                <w:noProof/>
              </w:rPr>
            </w:pPr>
          </w:p>
        </w:tc>
        <w:tc>
          <w:tcPr>
            <w:tcW w:w="182" w:type="pct"/>
            <w:tcBorders>
              <w:top w:val="nil"/>
              <w:left w:val="nil"/>
              <w:bottom w:val="single" w:sz="4" w:space="0" w:color="auto"/>
              <w:right w:val="single" w:sz="4" w:space="0" w:color="auto"/>
            </w:tcBorders>
          </w:tcPr>
          <w:p w14:paraId="35685B4F" w14:textId="77777777" w:rsidR="006918A0" w:rsidRPr="00A96D00" w:rsidRDefault="006918A0" w:rsidP="006918A0">
            <w:pPr>
              <w:spacing w:line="276" w:lineRule="auto"/>
              <w:jc w:val="center"/>
              <w:rPr>
                <w:noProof/>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7F83C4DB" w14:textId="77777777" w:rsidR="006918A0" w:rsidRPr="00A96D00" w:rsidRDefault="006918A0" w:rsidP="006918A0">
            <w:pPr>
              <w:spacing w:line="276" w:lineRule="auto"/>
              <w:jc w:val="center"/>
              <w:rPr>
                <w:noProof/>
              </w:rPr>
            </w:pPr>
            <w:r w:rsidRPr="00A96D00">
              <w:rPr>
                <w:noProof/>
              </w:rPr>
              <w:t>2023.</w:t>
            </w:r>
          </w:p>
        </w:tc>
        <w:tc>
          <w:tcPr>
            <w:tcW w:w="457" w:type="pct"/>
            <w:tcBorders>
              <w:top w:val="single" w:sz="4" w:space="0" w:color="auto"/>
              <w:left w:val="single" w:sz="4" w:space="0" w:color="auto"/>
              <w:bottom w:val="single" w:sz="4" w:space="0" w:color="auto"/>
              <w:right w:val="single" w:sz="4" w:space="0" w:color="auto"/>
            </w:tcBorders>
            <w:vAlign w:val="center"/>
            <w:hideMark/>
          </w:tcPr>
          <w:p w14:paraId="7D23F99E" w14:textId="77777777" w:rsidR="006918A0" w:rsidRPr="00A96D00" w:rsidRDefault="006918A0" w:rsidP="006918A0">
            <w:pPr>
              <w:spacing w:line="276" w:lineRule="auto"/>
              <w:jc w:val="center"/>
              <w:rPr>
                <w:noProof/>
              </w:rPr>
            </w:pPr>
            <w:r w:rsidRPr="00A96D00">
              <w:rPr>
                <w:noProof/>
              </w:rPr>
              <w:t>2024.</w:t>
            </w:r>
          </w:p>
        </w:tc>
        <w:tc>
          <w:tcPr>
            <w:tcW w:w="406" w:type="pct"/>
            <w:tcBorders>
              <w:top w:val="single" w:sz="4" w:space="0" w:color="auto"/>
              <w:left w:val="single" w:sz="4" w:space="0" w:color="auto"/>
              <w:bottom w:val="single" w:sz="4" w:space="0" w:color="auto"/>
              <w:right w:val="single" w:sz="4" w:space="0" w:color="auto"/>
            </w:tcBorders>
            <w:vAlign w:val="center"/>
            <w:hideMark/>
          </w:tcPr>
          <w:p w14:paraId="682C3089" w14:textId="77777777" w:rsidR="006918A0" w:rsidRPr="00A96D00" w:rsidRDefault="006918A0" w:rsidP="006918A0">
            <w:pPr>
              <w:spacing w:line="276" w:lineRule="auto"/>
              <w:jc w:val="center"/>
              <w:rPr>
                <w:noProof/>
              </w:rPr>
            </w:pPr>
            <w:r w:rsidRPr="00A96D00">
              <w:rPr>
                <w:noProof/>
              </w:rPr>
              <w:t>2025.</w:t>
            </w:r>
          </w:p>
        </w:tc>
        <w:tc>
          <w:tcPr>
            <w:tcW w:w="397" w:type="pct"/>
            <w:tcBorders>
              <w:top w:val="single" w:sz="4" w:space="0" w:color="auto"/>
              <w:left w:val="single" w:sz="4" w:space="0" w:color="auto"/>
              <w:bottom w:val="single" w:sz="4" w:space="0" w:color="auto"/>
              <w:right w:val="single" w:sz="4" w:space="0" w:color="auto"/>
            </w:tcBorders>
            <w:vAlign w:val="center"/>
            <w:hideMark/>
          </w:tcPr>
          <w:p w14:paraId="024EE7A4" w14:textId="77777777" w:rsidR="006918A0" w:rsidRPr="00A96D00" w:rsidRDefault="006918A0" w:rsidP="006918A0">
            <w:pPr>
              <w:spacing w:line="276" w:lineRule="auto"/>
              <w:jc w:val="center"/>
              <w:rPr>
                <w:noProof/>
              </w:rPr>
            </w:pPr>
            <w:r w:rsidRPr="00A96D00">
              <w:rPr>
                <w:noProof/>
              </w:rPr>
              <w:t>2026.</w:t>
            </w:r>
          </w:p>
        </w:tc>
        <w:tc>
          <w:tcPr>
            <w:tcW w:w="416" w:type="pct"/>
            <w:tcBorders>
              <w:top w:val="single" w:sz="4" w:space="0" w:color="auto"/>
              <w:left w:val="single" w:sz="4" w:space="0" w:color="auto"/>
              <w:bottom w:val="single" w:sz="4" w:space="0" w:color="auto"/>
              <w:right w:val="single" w:sz="4" w:space="0" w:color="auto"/>
            </w:tcBorders>
            <w:vAlign w:val="center"/>
            <w:hideMark/>
          </w:tcPr>
          <w:p w14:paraId="28193953" w14:textId="77777777" w:rsidR="006918A0" w:rsidRPr="00A96D00" w:rsidRDefault="006918A0" w:rsidP="006918A0">
            <w:pPr>
              <w:spacing w:line="276" w:lineRule="auto"/>
              <w:jc w:val="center"/>
              <w:rPr>
                <w:noProof/>
              </w:rPr>
            </w:pPr>
            <w:r w:rsidRPr="00A96D00">
              <w:rPr>
                <w:noProof/>
              </w:rPr>
              <w:t>2027.</w:t>
            </w:r>
          </w:p>
        </w:tc>
        <w:tc>
          <w:tcPr>
            <w:tcW w:w="761" w:type="pct"/>
            <w:tcBorders>
              <w:top w:val="single" w:sz="4" w:space="0" w:color="auto"/>
              <w:left w:val="single" w:sz="4" w:space="0" w:color="auto"/>
              <w:bottom w:val="single" w:sz="4" w:space="0" w:color="auto"/>
              <w:right w:val="single" w:sz="4" w:space="0" w:color="auto"/>
            </w:tcBorders>
            <w:vAlign w:val="center"/>
            <w:hideMark/>
          </w:tcPr>
          <w:p w14:paraId="6AB8E837" w14:textId="77777777" w:rsidR="006918A0" w:rsidRPr="00A96D00" w:rsidRDefault="006918A0" w:rsidP="006918A0">
            <w:pPr>
              <w:spacing w:line="276" w:lineRule="auto"/>
              <w:jc w:val="center"/>
              <w:rPr>
                <w:b/>
                <w:noProof/>
              </w:rPr>
            </w:pPr>
            <w:r w:rsidRPr="00A96D00">
              <w:rPr>
                <w:b/>
                <w:noProof/>
              </w:rPr>
              <w:t>UKUPNO</w:t>
            </w:r>
          </w:p>
          <w:p w14:paraId="52B16643" w14:textId="77777777" w:rsidR="006918A0" w:rsidRPr="00A96D00" w:rsidRDefault="006918A0" w:rsidP="006918A0">
            <w:pPr>
              <w:spacing w:line="276" w:lineRule="auto"/>
              <w:jc w:val="center"/>
              <w:rPr>
                <w:b/>
                <w:noProof/>
              </w:rPr>
            </w:pPr>
            <w:r w:rsidRPr="00A96D00">
              <w:rPr>
                <w:b/>
                <w:noProof/>
              </w:rPr>
              <w:t>VFO 2021.–2027.</w:t>
            </w:r>
          </w:p>
        </w:tc>
      </w:tr>
      <w:tr w:rsidR="006918A0" w:rsidRPr="00A96D00" w14:paraId="74391C36" w14:textId="77777777" w:rsidTr="000430BD">
        <w:trPr>
          <w:gridAfter w:val="8"/>
          <w:wAfter w:w="3583" w:type="pct"/>
        </w:trPr>
        <w:tc>
          <w:tcPr>
            <w:tcW w:w="1417" w:type="pct"/>
            <w:tcBorders>
              <w:top w:val="single" w:sz="4" w:space="0" w:color="auto"/>
              <w:left w:val="single" w:sz="4" w:space="0" w:color="auto"/>
              <w:bottom w:val="single" w:sz="4" w:space="0" w:color="auto"/>
              <w:right w:val="single" w:sz="4" w:space="0" w:color="auto"/>
            </w:tcBorders>
            <w:vAlign w:val="center"/>
            <w:hideMark/>
          </w:tcPr>
          <w:p w14:paraId="5A2C655A" w14:textId="77777777" w:rsidR="006918A0" w:rsidRPr="00A96D00" w:rsidRDefault="006918A0" w:rsidP="006918A0">
            <w:pPr>
              <w:spacing w:before="60" w:after="60" w:line="276" w:lineRule="auto"/>
              <w:jc w:val="center"/>
              <w:rPr>
                <w:noProof/>
              </w:rPr>
            </w:pPr>
            <w:r w:rsidRPr="00A96D00">
              <w:rPr>
                <w:noProof/>
              </w:rPr>
              <w:t>GU: TAXUD</w:t>
            </w:r>
          </w:p>
        </w:tc>
      </w:tr>
      <w:tr w:rsidR="006918A0" w:rsidRPr="00A96D00" w14:paraId="14365A19" w14:textId="77777777" w:rsidTr="000430BD">
        <w:tc>
          <w:tcPr>
            <w:tcW w:w="2158" w:type="pct"/>
            <w:gridSpan w:val="3"/>
            <w:tcBorders>
              <w:top w:val="single" w:sz="4" w:space="0" w:color="auto"/>
              <w:left w:val="single" w:sz="4" w:space="0" w:color="auto"/>
              <w:bottom w:val="single" w:sz="4" w:space="0" w:color="auto"/>
              <w:right w:val="single" w:sz="4" w:space="0" w:color="auto"/>
            </w:tcBorders>
            <w:vAlign w:val="center"/>
            <w:hideMark/>
          </w:tcPr>
          <w:p w14:paraId="4DFC40BF" w14:textId="77777777" w:rsidR="006918A0" w:rsidRPr="00A96D00" w:rsidRDefault="006918A0" w:rsidP="006918A0">
            <w:pPr>
              <w:spacing w:before="60" w:after="60" w:line="276" w:lineRule="auto"/>
              <w:jc w:val="center"/>
              <w:rPr>
                <w:noProof/>
              </w:rPr>
            </w:pPr>
            <w:r w:rsidRPr="00A96D00">
              <w:rPr>
                <w:noProof/>
              </w:rPr>
              <w:sym w:font="Wingdings" w:char="F09F"/>
            </w:r>
            <w:r w:rsidRPr="00A96D00">
              <w:rPr>
                <w:noProof/>
              </w:rPr>
              <w:t xml:space="preserve"> Ljudski resursi</w:t>
            </w:r>
          </w:p>
        </w:tc>
        <w:tc>
          <w:tcPr>
            <w:tcW w:w="406" w:type="pct"/>
            <w:tcBorders>
              <w:top w:val="single" w:sz="4" w:space="0" w:color="auto"/>
              <w:left w:val="single" w:sz="4" w:space="0" w:color="auto"/>
              <w:bottom w:val="single" w:sz="4" w:space="0" w:color="auto"/>
              <w:right w:val="single" w:sz="4" w:space="0" w:color="auto"/>
            </w:tcBorders>
            <w:vAlign w:val="center"/>
            <w:hideMark/>
          </w:tcPr>
          <w:p w14:paraId="614CC669" w14:textId="77777777" w:rsidR="006918A0" w:rsidRPr="00A96D00" w:rsidRDefault="006918A0" w:rsidP="006918A0">
            <w:pPr>
              <w:spacing w:before="60" w:after="60" w:line="276" w:lineRule="auto"/>
              <w:jc w:val="center"/>
              <w:rPr>
                <w:noProof/>
                <w:sz w:val="20"/>
                <w:szCs w:val="20"/>
              </w:rPr>
            </w:pPr>
            <w:r w:rsidRPr="00A96D00">
              <w:rPr>
                <w:noProof/>
                <w:color w:val="000000"/>
                <w:sz w:val="20"/>
              </w:rPr>
              <w:t>0,118</w:t>
            </w:r>
          </w:p>
        </w:tc>
        <w:tc>
          <w:tcPr>
            <w:tcW w:w="457" w:type="pct"/>
            <w:tcBorders>
              <w:top w:val="single" w:sz="4" w:space="0" w:color="auto"/>
              <w:left w:val="single" w:sz="4" w:space="0" w:color="auto"/>
              <w:bottom w:val="single" w:sz="4" w:space="0" w:color="auto"/>
              <w:right w:val="single" w:sz="4" w:space="0" w:color="auto"/>
            </w:tcBorders>
            <w:vAlign w:val="center"/>
            <w:hideMark/>
          </w:tcPr>
          <w:p w14:paraId="5964A0FB" w14:textId="77777777" w:rsidR="006918A0" w:rsidRPr="00A96D00" w:rsidRDefault="006918A0" w:rsidP="006918A0">
            <w:pPr>
              <w:spacing w:before="60" w:after="60" w:line="276" w:lineRule="auto"/>
              <w:jc w:val="center"/>
              <w:rPr>
                <w:noProof/>
                <w:sz w:val="20"/>
                <w:szCs w:val="20"/>
              </w:rPr>
            </w:pPr>
            <w:r w:rsidRPr="00A96D00">
              <w:rPr>
                <w:noProof/>
                <w:color w:val="000000"/>
                <w:sz w:val="20"/>
              </w:rPr>
              <w:t>0,157</w:t>
            </w:r>
          </w:p>
        </w:tc>
        <w:tc>
          <w:tcPr>
            <w:tcW w:w="406" w:type="pct"/>
            <w:tcBorders>
              <w:top w:val="single" w:sz="4" w:space="0" w:color="auto"/>
              <w:left w:val="single" w:sz="4" w:space="0" w:color="auto"/>
              <w:bottom w:val="single" w:sz="4" w:space="0" w:color="auto"/>
              <w:right w:val="single" w:sz="4" w:space="0" w:color="auto"/>
            </w:tcBorders>
            <w:vAlign w:val="center"/>
            <w:hideMark/>
          </w:tcPr>
          <w:p w14:paraId="04809A2C" w14:textId="77777777" w:rsidR="006918A0" w:rsidRPr="00A96D00" w:rsidRDefault="006918A0" w:rsidP="006918A0">
            <w:pPr>
              <w:spacing w:before="60" w:after="60" w:line="276" w:lineRule="auto"/>
              <w:jc w:val="center"/>
              <w:rPr>
                <w:noProof/>
                <w:sz w:val="20"/>
                <w:szCs w:val="20"/>
              </w:rPr>
            </w:pPr>
            <w:r w:rsidRPr="00A96D00">
              <w:rPr>
                <w:noProof/>
                <w:color w:val="000000"/>
                <w:sz w:val="20"/>
              </w:rPr>
              <w:t>0,157</w:t>
            </w:r>
          </w:p>
        </w:tc>
        <w:tc>
          <w:tcPr>
            <w:tcW w:w="397" w:type="pct"/>
            <w:tcBorders>
              <w:top w:val="single" w:sz="4" w:space="0" w:color="auto"/>
              <w:left w:val="single" w:sz="4" w:space="0" w:color="auto"/>
              <w:bottom w:val="single" w:sz="4" w:space="0" w:color="auto"/>
              <w:right w:val="single" w:sz="4" w:space="0" w:color="auto"/>
            </w:tcBorders>
            <w:vAlign w:val="center"/>
            <w:hideMark/>
          </w:tcPr>
          <w:p w14:paraId="54A74D6B" w14:textId="77777777" w:rsidR="006918A0" w:rsidRPr="00A96D00" w:rsidRDefault="006918A0" w:rsidP="006918A0">
            <w:pPr>
              <w:spacing w:before="60" w:after="60" w:line="276" w:lineRule="auto"/>
              <w:jc w:val="center"/>
              <w:rPr>
                <w:noProof/>
                <w:sz w:val="20"/>
                <w:szCs w:val="20"/>
              </w:rPr>
            </w:pPr>
            <w:r w:rsidRPr="00A96D00">
              <w:rPr>
                <w:noProof/>
                <w:color w:val="000000"/>
                <w:sz w:val="20"/>
              </w:rPr>
              <w:t>0,063</w:t>
            </w:r>
          </w:p>
        </w:tc>
        <w:tc>
          <w:tcPr>
            <w:tcW w:w="416" w:type="pct"/>
            <w:tcBorders>
              <w:top w:val="single" w:sz="4" w:space="0" w:color="auto"/>
              <w:left w:val="single" w:sz="4" w:space="0" w:color="auto"/>
              <w:bottom w:val="single" w:sz="4" w:space="0" w:color="auto"/>
              <w:right w:val="single" w:sz="4" w:space="0" w:color="auto"/>
            </w:tcBorders>
            <w:vAlign w:val="center"/>
            <w:hideMark/>
          </w:tcPr>
          <w:p w14:paraId="3151EDFE" w14:textId="77777777" w:rsidR="006918A0" w:rsidRPr="00A96D00" w:rsidRDefault="006918A0" w:rsidP="006918A0">
            <w:pPr>
              <w:spacing w:before="60" w:after="60" w:line="276" w:lineRule="auto"/>
              <w:jc w:val="center"/>
              <w:rPr>
                <w:noProof/>
                <w:sz w:val="20"/>
                <w:szCs w:val="20"/>
              </w:rPr>
            </w:pPr>
            <w:r w:rsidRPr="00A96D00">
              <w:rPr>
                <w:noProof/>
                <w:color w:val="000000"/>
                <w:sz w:val="20"/>
              </w:rPr>
              <w:t>0,016</w:t>
            </w:r>
          </w:p>
        </w:tc>
        <w:tc>
          <w:tcPr>
            <w:tcW w:w="761" w:type="pct"/>
            <w:tcBorders>
              <w:top w:val="single" w:sz="4" w:space="0" w:color="auto"/>
              <w:left w:val="single" w:sz="4" w:space="0" w:color="auto"/>
              <w:bottom w:val="single" w:sz="4" w:space="0" w:color="auto"/>
              <w:right w:val="single" w:sz="4" w:space="0" w:color="auto"/>
            </w:tcBorders>
            <w:vAlign w:val="center"/>
            <w:hideMark/>
          </w:tcPr>
          <w:p w14:paraId="2F24073C" w14:textId="77777777" w:rsidR="006918A0" w:rsidRPr="00A96D00" w:rsidRDefault="006918A0" w:rsidP="006918A0">
            <w:pPr>
              <w:spacing w:before="60" w:after="60" w:line="276" w:lineRule="auto"/>
              <w:jc w:val="center"/>
              <w:rPr>
                <w:b/>
                <w:noProof/>
                <w:sz w:val="20"/>
                <w:szCs w:val="20"/>
              </w:rPr>
            </w:pPr>
            <w:r w:rsidRPr="00A96D00">
              <w:rPr>
                <w:b/>
                <w:noProof/>
                <w:sz w:val="20"/>
              </w:rPr>
              <w:t>0,511</w:t>
            </w:r>
          </w:p>
        </w:tc>
      </w:tr>
      <w:tr w:rsidR="006918A0" w:rsidRPr="00A96D00" w14:paraId="35C4FFFC" w14:textId="77777777" w:rsidTr="000430BD">
        <w:trPr>
          <w:trHeight w:val="351"/>
        </w:trPr>
        <w:tc>
          <w:tcPr>
            <w:tcW w:w="2158" w:type="pct"/>
            <w:gridSpan w:val="3"/>
            <w:tcBorders>
              <w:top w:val="single" w:sz="4" w:space="0" w:color="auto"/>
              <w:left w:val="single" w:sz="4" w:space="0" w:color="auto"/>
              <w:bottom w:val="single" w:sz="4" w:space="0" w:color="auto"/>
              <w:right w:val="single" w:sz="4" w:space="0" w:color="auto"/>
            </w:tcBorders>
            <w:vAlign w:val="center"/>
            <w:hideMark/>
          </w:tcPr>
          <w:p w14:paraId="042B27A2" w14:textId="77777777" w:rsidR="006918A0" w:rsidRPr="00A96D00" w:rsidRDefault="006918A0" w:rsidP="006918A0">
            <w:pPr>
              <w:spacing w:before="20" w:after="20" w:line="276" w:lineRule="auto"/>
              <w:jc w:val="center"/>
              <w:rPr>
                <w:noProof/>
              </w:rPr>
            </w:pPr>
            <w:r w:rsidRPr="00A96D00">
              <w:rPr>
                <w:noProof/>
              </w:rPr>
              <w:sym w:font="Wingdings" w:char="F09F"/>
            </w:r>
            <w:r w:rsidRPr="00A96D00">
              <w:rPr>
                <w:noProof/>
              </w:rPr>
              <w:t xml:space="preserve"> Ostali administrativni rashodi</w:t>
            </w:r>
          </w:p>
        </w:tc>
        <w:tc>
          <w:tcPr>
            <w:tcW w:w="406" w:type="pct"/>
            <w:tcBorders>
              <w:top w:val="single" w:sz="4" w:space="0" w:color="auto"/>
              <w:left w:val="single" w:sz="4" w:space="0" w:color="auto"/>
              <w:bottom w:val="single" w:sz="4" w:space="0" w:color="auto"/>
              <w:right w:val="single" w:sz="4" w:space="0" w:color="auto"/>
            </w:tcBorders>
            <w:vAlign w:val="center"/>
            <w:hideMark/>
          </w:tcPr>
          <w:p w14:paraId="069C2E53" w14:textId="77777777" w:rsidR="006918A0" w:rsidRPr="00A96D00" w:rsidRDefault="006918A0" w:rsidP="006918A0">
            <w:pPr>
              <w:spacing w:before="20" w:after="20" w:line="276" w:lineRule="auto"/>
              <w:jc w:val="center"/>
              <w:rPr>
                <w:noProof/>
                <w:sz w:val="20"/>
                <w:szCs w:val="20"/>
              </w:rPr>
            </w:pPr>
            <w:r w:rsidRPr="00A96D00">
              <w:rPr>
                <w:noProof/>
                <w:color w:val="000000"/>
                <w:sz w:val="20"/>
              </w:rPr>
              <w:t>0,004</w:t>
            </w:r>
          </w:p>
        </w:tc>
        <w:tc>
          <w:tcPr>
            <w:tcW w:w="457" w:type="pct"/>
            <w:tcBorders>
              <w:top w:val="single" w:sz="4" w:space="0" w:color="auto"/>
              <w:left w:val="single" w:sz="4" w:space="0" w:color="auto"/>
              <w:bottom w:val="single" w:sz="4" w:space="0" w:color="auto"/>
              <w:right w:val="single" w:sz="4" w:space="0" w:color="auto"/>
            </w:tcBorders>
            <w:vAlign w:val="center"/>
            <w:hideMark/>
          </w:tcPr>
          <w:p w14:paraId="30A9C9AB" w14:textId="77777777" w:rsidR="006918A0" w:rsidRPr="00A96D00" w:rsidRDefault="006918A0" w:rsidP="006918A0">
            <w:pPr>
              <w:spacing w:before="20" w:after="20" w:line="276" w:lineRule="auto"/>
              <w:jc w:val="center"/>
              <w:rPr>
                <w:noProof/>
                <w:sz w:val="20"/>
                <w:szCs w:val="20"/>
              </w:rPr>
            </w:pPr>
            <w:r w:rsidRPr="00A96D00">
              <w:rPr>
                <w:noProof/>
                <w:color w:val="000000"/>
                <w:sz w:val="20"/>
              </w:rPr>
              <w:t>0,004</w:t>
            </w:r>
          </w:p>
        </w:tc>
        <w:tc>
          <w:tcPr>
            <w:tcW w:w="406" w:type="pct"/>
            <w:tcBorders>
              <w:top w:val="single" w:sz="4" w:space="0" w:color="auto"/>
              <w:left w:val="single" w:sz="4" w:space="0" w:color="auto"/>
              <w:bottom w:val="single" w:sz="4" w:space="0" w:color="auto"/>
              <w:right w:val="single" w:sz="4" w:space="0" w:color="auto"/>
            </w:tcBorders>
            <w:vAlign w:val="center"/>
            <w:hideMark/>
          </w:tcPr>
          <w:p w14:paraId="7CAA82B4" w14:textId="77777777" w:rsidR="006918A0" w:rsidRPr="00A96D00" w:rsidRDefault="006918A0" w:rsidP="006918A0">
            <w:pPr>
              <w:spacing w:before="20" w:after="20" w:line="276" w:lineRule="auto"/>
              <w:jc w:val="center"/>
              <w:rPr>
                <w:noProof/>
                <w:sz w:val="20"/>
                <w:szCs w:val="20"/>
              </w:rPr>
            </w:pPr>
            <w:r w:rsidRPr="00A96D00">
              <w:rPr>
                <w:noProof/>
                <w:color w:val="000000"/>
                <w:sz w:val="20"/>
              </w:rPr>
              <w:t>0,002</w:t>
            </w:r>
          </w:p>
        </w:tc>
        <w:tc>
          <w:tcPr>
            <w:tcW w:w="397" w:type="pct"/>
            <w:tcBorders>
              <w:top w:val="single" w:sz="4" w:space="0" w:color="auto"/>
              <w:left w:val="single" w:sz="4" w:space="0" w:color="auto"/>
              <w:bottom w:val="single" w:sz="4" w:space="0" w:color="auto"/>
              <w:right w:val="single" w:sz="4" w:space="0" w:color="auto"/>
            </w:tcBorders>
            <w:vAlign w:val="center"/>
            <w:hideMark/>
          </w:tcPr>
          <w:p w14:paraId="34652E93" w14:textId="77777777" w:rsidR="006918A0" w:rsidRPr="00A96D00" w:rsidRDefault="006918A0" w:rsidP="006918A0">
            <w:pPr>
              <w:spacing w:before="20" w:after="20" w:line="276" w:lineRule="auto"/>
              <w:jc w:val="center"/>
              <w:rPr>
                <w:noProof/>
                <w:sz w:val="20"/>
                <w:szCs w:val="20"/>
              </w:rPr>
            </w:pPr>
            <w:r w:rsidRPr="00A96D00">
              <w:rPr>
                <w:noProof/>
                <w:color w:val="000000"/>
                <w:sz w:val="20"/>
              </w:rPr>
              <w:t>0,002</w:t>
            </w:r>
          </w:p>
        </w:tc>
        <w:tc>
          <w:tcPr>
            <w:tcW w:w="416" w:type="pct"/>
            <w:tcBorders>
              <w:top w:val="single" w:sz="4" w:space="0" w:color="auto"/>
              <w:left w:val="single" w:sz="4" w:space="0" w:color="auto"/>
              <w:bottom w:val="single" w:sz="4" w:space="0" w:color="auto"/>
              <w:right w:val="single" w:sz="4" w:space="0" w:color="auto"/>
            </w:tcBorders>
            <w:vAlign w:val="center"/>
            <w:hideMark/>
          </w:tcPr>
          <w:p w14:paraId="28B8888F" w14:textId="77777777" w:rsidR="006918A0" w:rsidRPr="00A96D00" w:rsidRDefault="006918A0" w:rsidP="006918A0">
            <w:pPr>
              <w:spacing w:before="20" w:after="20" w:line="276" w:lineRule="auto"/>
              <w:jc w:val="center"/>
              <w:rPr>
                <w:noProof/>
                <w:sz w:val="20"/>
                <w:szCs w:val="20"/>
              </w:rPr>
            </w:pPr>
            <w:r w:rsidRPr="00A96D00">
              <w:rPr>
                <w:noProof/>
                <w:color w:val="000000"/>
                <w:sz w:val="20"/>
              </w:rPr>
              <w:t>0,001</w:t>
            </w:r>
          </w:p>
        </w:tc>
        <w:tc>
          <w:tcPr>
            <w:tcW w:w="761" w:type="pct"/>
            <w:tcBorders>
              <w:top w:val="single" w:sz="4" w:space="0" w:color="auto"/>
              <w:left w:val="single" w:sz="4" w:space="0" w:color="auto"/>
              <w:bottom w:val="single" w:sz="4" w:space="0" w:color="auto"/>
              <w:right w:val="single" w:sz="4" w:space="0" w:color="auto"/>
            </w:tcBorders>
            <w:vAlign w:val="center"/>
            <w:hideMark/>
          </w:tcPr>
          <w:p w14:paraId="4A5B908B" w14:textId="77777777" w:rsidR="006918A0" w:rsidRPr="00A96D00" w:rsidRDefault="006918A0" w:rsidP="006918A0">
            <w:pPr>
              <w:spacing w:before="20" w:after="20" w:line="276" w:lineRule="auto"/>
              <w:jc w:val="center"/>
              <w:rPr>
                <w:b/>
                <w:noProof/>
                <w:sz w:val="20"/>
                <w:szCs w:val="20"/>
              </w:rPr>
            </w:pPr>
            <w:r w:rsidRPr="00A96D00">
              <w:rPr>
                <w:b/>
                <w:noProof/>
                <w:sz w:val="20"/>
              </w:rPr>
              <w:t>0,013</w:t>
            </w:r>
          </w:p>
        </w:tc>
      </w:tr>
      <w:tr w:rsidR="006918A0" w:rsidRPr="00A96D00" w14:paraId="4F672734" w14:textId="77777777" w:rsidTr="000430BD">
        <w:tc>
          <w:tcPr>
            <w:tcW w:w="1417" w:type="pct"/>
            <w:tcBorders>
              <w:top w:val="single" w:sz="4" w:space="0" w:color="auto"/>
              <w:left w:val="single" w:sz="4" w:space="0" w:color="auto"/>
              <w:bottom w:val="single" w:sz="4" w:space="0" w:color="auto"/>
              <w:right w:val="single" w:sz="4" w:space="0" w:color="auto"/>
            </w:tcBorders>
            <w:vAlign w:val="center"/>
            <w:hideMark/>
          </w:tcPr>
          <w:p w14:paraId="619D3811" w14:textId="77777777" w:rsidR="006918A0" w:rsidRPr="00A96D00" w:rsidRDefault="006918A0" w:rsidP="006918A0">
            <w:pPr>
              <w:spacing w:line="276" w:lineRule="auto"/>
              <w:jc w:val="center"/>
              <w:rPr>
                <w:b/>
                <w:noProof/>
              </w:rPr>
            </w:pPr>
            <w:r w:rsidRPr="00A96D00">
              <w:rPr>
                <w:b/>
                <w:noProof/>
              </w:rPr>
              <w:t>UKUPNO GU TAXUD</w:t>
            </w: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14:paraId="677CD5FD" w14:textId="77777777" w:rsidR="006918A0" w:rsidRPr="00A96D00" w:rsidRDefault="006918A0" w:rsidP="006918A0">
            <w:pPr>
              <w:rPr>
                <w:b/>
                <w:noProof/>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3B2A47BE" w14:textId="77777777" w:rsidR="006918A0" w:rsidRPr="00A96D00" w:rsidRDefault="006918A0" w:rsidP="006918A0">
            <w:pPr>
              <w:spacing w:before="60" w:after="60" w:line="276" w:lineRule="auto"/>
              <w:jc w:val="center"/>
              <w:rPr>
                <w:noProof/>
                <w:sz w:val="20"/>
                <w:szCs w:val="20"/>
              </w:rPr>
            </w:pPr>
            <w:r w:rsidRPr="00A96D00">
              <w:rPr>
                <w:noProof/>
                <w:sz w:val="20"/>
              </w:rPr>
              <w:t>0,122</w:t>
            </w:r>
          </w:p>
        </w:tc>
        <w:tc>
          <w:tcPr>
            <w:tcW w:w="457" w:type="pct"/>
            <w:tcBorders>
              <w:top w:val="single" w:sz="4" w:space="0" w:color="auto"/>
              <w:left w:val="single" w:sz="4" w:space="0" w:color="auto"/>
              <w:bottom w:val="single" w:sz="4" w:space="0" w:color="auto"/>
              <w:right w:val="single" w:sz="4" w:space="0" w:color="auto"/>
            </w:tcBorders>
            <w:vAlign w:val="center"/>
            <w:hideMark/>
          </w:tcPr>
          <w:p w14:paraId="600F0F06" w14:textId="77777777" w:rsidR="006918A0" w:rsidRPr="00A96D00" w:rsidRDefault="006918A0" w:rsidP="006918A0">
            <w:pPr>
              <w:spacing w:before="20" w:after="20" w:line="276" w:lineRule="auto"/>
              <w:jc w:val="center"/>
              <w:rPr>
                <w:noProof/>
                <w:sz w:val="20"/>
                <w:szCs w:val="20"/>
              </w:rPr>
            </w:pPr>
            <w:r w:rsidRPr="00A96D00">
              <w:rPr>
                <w:noProof/>
                <w:sz w:val="20"/>
              </w:rPr>
              <w:t>0,161</w:t>
            </w:r>
          </w:p>
        </w:tc>
        <w:tc>
          <w:tcPr>
            <w:tcW w:w="406" w:type="pct"/>
            <w:tcBorders>
              <w:top w:val="single" w:sz="4" w:space="0" w:color="auto"/>
              <w:left w:val="single" w:sz="4" w:space="0" w:color="auto"/>
              <w:bottom w:val="single" w:sz="4" w:space="0" w:color="auto"/>
              <w:right w:val="single" w:sz="4" w:space="0" w:color="auto"/>
            </w:tcBorders>
            <w:vAlign w:val="center"/>
            <w:hideMark/>
          </w:tcPr>
          <w:p w14:paraId="3CC05290" w14:textId="77777777" w:rsidR="006918A0" w:rsidRPr="00A96D00" w:rsidRDefault="006918A0" w:rsidP="006918A0">
            <w:pPr>
              <w:spacing w:before="20" w:after="20" w:line="276" w:lineRule="auto"/>
              <w:jc w:val="center"/>
              <w:rPr>
                <w:noProof/>
                <w:sz w:val="20"/>
                <w:szCs w:val="20"/>
              </w:rPr>
            </w:pPr>
            <w:r w:rsidRPr="00A96D00">
              <w:rPr>
                <w:noProof/>
                <w:sz w:val="20"/>
              </w:rPr>
              <w:t>0,159</w:t>
            </w:r>
          </w:p>
        </w:tc>
        <w:tc>
          <w:tcPr>
            <w:tcW w:w="397" w:type="pct"/>
            <w:tcBorders>
              <w:top w:val="single" w:sz="4" w:space="0" w:color="auto"/>
              <w:left w:val="single" w:sz="4" w:space="0" w:color="auto"/>
              <w:bottom w:val="single" w:sz="4" w:space="0" w:color="auto"/>
              <w:right w:val="single" w:sz="4" w:space="0" w:color="auto"/>
            </w:tcBorders>
            <w:vAlign w:val="center"/>
            <w:hideMark/>
          </w:tcPr>
          <w:p w14:paraId="392C420B" w14:textId="77777777" w:rsidR="006918A0" w:rsidRPr="00A96D00" w:rsidRDefault="006918A0" w:rsidP="006918A0">
            <w:pPr>
              <w:spacing w:before="20" w:after="20" w:line="276" w:lineRule="auto"/>
              <w:jc w:val="center"/>
              <w:rPr>
                <w:noProof/>
                <w:sz w:val="20"/>
                <w:szCs w:val="20"/>
              </w:rPr>
            </w:pPr>
            <w:r w:rsidRPr="00A96D00">
              <w:rPr>
                <w:noProof/>
                <w:sz w:val="20"/>
              </w:rPr>
              <w:t>0,065</w:t>
            </w:r>
          </w:p>
        </w:tc>
        <w:tc>
          <w:tcPr>
            <w:tcW w:w="416" w:type="pct"/>
            <w:tcBorders>
              <w:top w:val="single" w:sz="4" w:space="0" w:color="auto"/>
              <w:left w:val="single" w:sz="4" w:space="0" w:color="auto"/>
              <w:bottom w:val="single" w:sz="4" w:space="0" w:color="auto"/>
              <w:right w:val="single" w:sz="4" w:space="0" w:color="auto"/>
            </w:tcBorders>
            <w:vAlign w:val="center"/>
            <w:hideMark/>
          </w:tcPr>
          <w:p w14:paraId="71EE70C4" w14:textId="77777777" w:rsidR="006918A0" w:rsidRPr="00A96D00" w:rsidRDefault="006918A0" w:rsidP="006918A0">
            <w:pPr>
              <w:spacing w:before="20" w:after="20" w:line="276" w:lineRule="auto"/>
              <w:jc w:val="center"/>
              <w:rPr>
                <w:noProof/>
                <w:sz w:val="20"/>
                <w:szCs w:val="20"/>
              </w:rPr>
            </w:pPr>
            <w:r w:rsidRPr="00A96D00">
              <w:rPr>
                <w:noProof/>
                <w:sz w:val="20"/>
              </w:rPr>
              <w:t>0,017</w:t>
            </w:r>
          </w:p>
        </w:tc>
        <w:tc>
          <w:tcPr>
            <w:tcW w:w="761" w:type="pct"/>
            <w:tcBorders>
              <w:top w:val="single" w:sz="4" w:space="0" w:color="auto"/>
              <w:left w:val="single" w:sz="4" w:space="0" w:color="auto"/>
              <w:bottom w:val="single" w:sz="4" w:space="0" w:color="auto"/>
              <w:right w:val="single" w:sz="4" w:space="0" w:color="auto"/>
            </w:tcBorders>
            <w:vAlign w:val="center"/>
            <w:hideMark/>
          </w:tcPr>
          <w:p w14:paraId="63690810" w14:textId="77777777" w:rsidR="006918A0" w:rsidRPr="00A96D00" w:rsidRDefault="006918A0" w:rsidP="006918A0">
            <w:pPr>
              <w:spacing w:before="20" w:after="20" w:line="276" w:lineRule="auto"/>
              <w:jc w:val="center"/>
              <w:rPr>
                <w:b/>
                <w:noProof/>
                <w:sz w:val="20"/>
                <w:szCs w:val="20"/>
              </w:rPr>
            </w:pPr>
            <w:r w:rsidRPr="00A96D00">
              <w:rPr>
                <w:b/>
                <w:noProof/>
                <w:sz w:val="20"/>
              </w:rPr>
              <w:t>0,524</w:t>
            </w:r>
          </w:p>
        </w:tc>
      </w:tr>
      <w:bookmarkEnd w:id="19"/>
    </w:tbl>
    <w:p w14:paraId="4357C41E" w14:textId="77777777" w:rsidR="006918A0" w:rsidRPr="00A96D00" w:rsidRDefault="006918A0" w:rsidP="006918A0">
      <w:pPr>
        <w:jc w:val="center"/>
        <w:rPr>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409"/>
        <w:gridCol w:w="1303"/>
        <w:gridCol w:w="1112"/>
        <w:gridCol w:w="1362"/>
        <w:gridCol w:w="1015"/>
        <w:gridCol w:w="1138"/>
        <w:gridCol w:w="2087"/>
      </w:tblGrid>
      <w:tr w:rsidR="006918A0" w:rsidRPr="00A96D00" w14:paraId="598A144C" w14:textId="77777777" w:rsidTr="000430BD">
        <w:tc>
          <w:tcPr>
            <w:tcW w:w="1334" w:type="pct"/>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190B7EA7" w14:textId="77777777" w:rsidR="006918A0" w:rsidRPr="00A96D00" w:rsidRDefault="006918A0" w:rsidP="006918A0">
            <w:pPr>
              <w:spacing w:line="276" w:lineRule="auto"/>
              <w:jc w:val="center"/>
              <w:rPr>
                <w:b/>
                <w:noProof/>
              </w:rPr>
            </w:pPr>
            <w:r w:rsidRPr="00A96D00">
              <w:rPr>
                <w:b/>
                <w:noProof/>
              </w:rPr>
              <w:t>UKUPNA odobrena sredstva</w:t>
            </w:r>
            <w:r w:rsidRPr="00A96D00">
              <w:rPr>
                <w:noProof/>
              </w:rPr>
              <w:t xml:space="preserve"> </w:t>
            </w:r>
            <w:r w:rsidRPr="00A96D00">
              <w:rPr>
                <w:noProof/>
              </w:rPr>
              <w:br/>
            </w:r>
            <w:r w:rsidRPr="00A96D00">
              <w:rPr>
                <w:b/>
                <w:noProof/>
              </w:rPr>
              <w:t>iz NASLOVA 7.</w:t>
            </w:r>
            <w:r w:rsidRPr="00A96D00">
              <w:rPr>
                <w:noProof/>
              </w:rPr>
              <w:t xml:space="preserve"> </w:t>
            </w:r>
            <w:r w:rsidRPr="00A96D00">
              <w:rPr>
                <w:noProof/>
              </w:rPr>
              <w:br/>
              <w:t>višegodišnjeg financijskog okvira</w:t>
            </w:r>
          </w:p>
        </w:tc>
        <w:tc>
          <w:tcPr>
            <w:tcW w:w="847" w:type="pct"/>
            <w:tcBorders>
              <w:top w:val="single" w:sz="4" w:space="0" w:color="auto"/>
              <w:left w:val="single" w:sz="4" w:space="0" w:color="auto"/>
              <w:bottom w:val="single" w:sz="4" w:space="0" w:color="auto"/>
              <w:right w:val="single" w:sz="4" w:space="0" w:color="auto"/>
            </w:tcBorders>
            <w:vAlign w:val="center"/>
            <w:hideMark/>
          </w:tcPr>
          <w:p w14:paraId="690698A5" w14:textId="77777777" w:rsidR="006918A0" w:rsidRPr="00A96D00" w:rsidRDefault="006918A0" w:rsidP="006918A0">
            <w:pPr>
              <w:spacing w:before="40" w:after="40" w:line="276" w:lineRule="auto"/>
              <w:jc w:val="center"/>
              <w:rPr>
                <w:noProof/>
              </w:rPr>
            </w:pPr>
            <w:r w:rsidRPr="00A96D00">
              <w:rPr>
                <w:noProof/>
                <w:sz w:val="18"/>
              </w:rPr>
              <w:t>(ukupne obveze = ukupna plaćanja)</w:t>
            </w:r>
          </w:p>
        </w:tc>
        <w:tc>
          <w:tcPr>
            <w:tcW w:w="458" w:type="pct"/>
            <w:tcBorders>
              <w:top w:val="single" w:sz="4" w:space="0" w:color="auto"/>
              <w:left w:val="single" w:sz="4" w:space="0" w:color="auto"/>
              <w:bottom w:val="single" w:sz="4" w:space="0" w:color="auto"/>
              <w:right w:val="single" w:sz="4" w:space="0" w:color="auto"/>
            </w:tcBorders>
            <w:vAlign w:val="center"/>
            <w:hideMark/>
          </w:tcPr>
          <w:p w14:paraId="3D1AD2D3" w14:textId="77777777" w:rsidR="006918A0" w:rsidRPr="00A96D00" w:rsidRDefault="006918A0" w:rsidP="006918A0">
            <w:pPr>
              <w:spacing w:before="20" w:after="20" w:line="276" w:lineRule="auto"/>
              <w:jc w:val="center"/>
              <w:rPr>
                <w:noProof/>
              </w:rPr>
            </w:pPr>
            <w:r w:rsidRPr="00A96D00">
              <w:rPr>
                <w:noProof/>
                <w:sz w:val="20"/>
              </w:rPr>
              <w:t>0,122</w:t>
            </w:r>
          </w:p>
        </w:tc>
        <w:tc>
          <w:tcPr>
            <w:tcW w:w="391" w:type="pct"/>
            <w:tcBorders>
              <w:top w:val="single" w:sz="4" w:space="0" w:color="auto"/>
              <w:left w:val="single" w:sz="4" w:space="0" w:color="auto"/>
              <w:bottom w:val="single" w:sz="4" w:space="0" w:color="auto"/>
              <w:right w:val="single" w:sz="4" w:space="0" w:color="auto"/>
            </w:tcBorders>
            <w:vAlign w:val="center"/>
            <w:hideMark/>
          </w:tcPr>
          <w:p w14:paraId="4916BD2C" w14:textId="77777777" w:rsidR="006918A0" w:rsidRPr="00A96D00" w:rsidRDefault="006918A0" w:rsidP="006918A0">
            <w:pPr>
              <w:spacing w:before="20" w:after="20" w:line="276" w:lineRule="auto"/>
              <w:jc w:val="center"/>
              <w:rPr>
                <w:noProof/>
              </w:rPr>
            </w:pPr>
            <w:r w:rsidRPr="00A96D00">
              <w:rPr>
                <w:noProof/>
                <w:sz w:val="20"/>
              </w:rPr>
              <w:t>0,161</w:t>
            </w:r>
          </w:p>
        </w:tc>
        <w:tc>
          <w:tcPr>
            <w:tcW w:w="479" w:type="pct"/>
            <w:tcBorders>
              <w:top w:val="single" w:sz="4" w:space="0" w:color="auto"/>
              <w:left w:val="single" w:sz="4" w:space="0" w:color="auto"/>
              <w:bottom w:val="single" w:sz="4" w:space="0" w:color="auto"/>
              <w:right w:val="single" w:sz="4" w:space="0" w:color="auto"/>
            </w:tcBorders>
            <w:vAlign w:val="center"/>
            <w:hideMark/>
          </w:tcPr>
          <w:p w14:paraId="086416A2" w14:textId="77777777" w:rsidR="006918A0" w:rsidRPr="00A96D00" w:rsidRDefault="006918A0" w:rsidP="006918A0">
            <w:pPr>
              <w:spacing w:before="20" w:after="20" w:line="276" w:lineRule="auto"/>
              <w:jc w:val="center"/>
              <w:rPr>
                <w:noProof/>
              </w:rPr>
            </w:pPr>
            <w:r w:rsidRPr="00A96D00">
              <w:rPr>
                <w:noProof/>
                <w:sz w:val="20"/>
              </w:rPr>
              <w:t>0,159</w:t>
            </w:r>
          </w:p>
        </w:tc>
        <w:tc>
          <w:tcPr>
            <w:tcW w:w="357" w:type="pct"/>
            <w:tcBorders>
              <w:top w:val="single" w:sz="4" w:space="0" w:color="auto"/>
              <w:left w:val="single" w:sz="4" w:space="0" w:color="auto"/>
              <w:bottom w:val="single" w:sz="4" w:space="0" w:color="auto"/>
              <w:right w:val="single" w:sz="4" w:space="0" w:color="auto"/>
            </w:tcBorders>
            <w:vAlign w:val="center"/>
            <w:hideMark/>
          </w:tcPr>
          <w:p w14:paraId="02C4E992" w14:textId="77777777" w:rsidR="006918A0" w:rsidRPr="00A96D00" w:rsidRDefault="006918A0" w:rsidP="006918A0">
            <w:pPr>
              <w:spacing w:before="20" w:after="20" w:line="276" w:lineRule="auto"/>
              <w:jc w:val="center"/>
              <w:rPr>
                <w:noProof/>
              </w:rPr>
            </w:pPr>
            <w:r w:rsidRPr="00A96D00">
              <w:rPr>
                <w:noProof/>
                <w:sz w:val="20"/>
              </w:rPr>
              <w:t>0,065</w:t>
            </w:r>
          </w:p>
        </w:tc>
        <w:tc>
          <w:tcPr>
            <w:tcW w:w="400" w:type="pct"/>
            <w:tcBorders>
              <w:top w:val="single" w:sz="4" w:space="0" w:color="auto"/>
              <w:left w:val="single" w:sz="4" w:space="0" w:color="auto"/>
              <w:bottom w:val="single" w:sz="4" w:space="0" w:color="auto"/>
              <w:right w:val="single" w:sz="4" w:space="0" w:color="auto"/>
            </w:tcBorders>
            <w:vAlign w:val="center"/>
            <w:hideMark/>
          </w:tcPr>
          <w:p w14:paraId="574139AA" w14:textId="77777777" w:rsidR="006918A0" w:rsidRPr="00A96D00" w:rsidRDefault="006918A0" w:rsidP="006918A0">
            <w:pPr>
              <w:spacing w:before="20" w:after="20" w:line="276" w:lineRule="auto"/>
              <w:jc w:val="center"/>
              <w:rPr>
                <w:noProof/>
              </w:rPr>
            </w:pPr>
            <w:r w:rsidRPr="00A96D00">
              <w:rPr>
                <w:noProof/>
                <w:sz w:val="20"/>
              </w:rPr>
              <w:t>0,017</w:t>
            </w:r>
          </w:p>
        </w:tc>
        <w:tc>
          <w:tcPr>
            <w:tcW w:w="735" w:type="pct"/>
            <w:tcBorders>
              <w:top w:val="single" w:sz="4" w:space="0" w:color="auto"/>
              <w:left w:val="single" w:sz="4" w:space="0" w:color="auto"/>
              <w:bottom w:val="single" w:sz="4" w:space="0" w:color="auto"/>
              <w:right w:val="single" w:sz="4" w:space="0" w:color="auto"/>
            </w:tcBorders>
            <w:vAlign w:val="center"/>
            <w:hideMark/>
          </w:tcPr>
          <w:p w14:paraId="7C4E0E5E" w14:textId="77777777" w:rsidR="006918A0" w:rsidRPr="00A96D00" w:rsidRDefault="006918A0" w:rsidP="006918A0">
            <w:pPr>
              <w:spacing w:before="20" w:after="20" w:line="276" w:lineRule="auto"/>
              <w:jc w:val="center"/>
              <w:rPr>
                <w:b/>
                <w:noProof/>
              </w:rPr>
            </w:pPr>
            <w:r w:rsidRPr="00A96D00">
              <w:rPr>
                <w:b/>
                <w:noProof/>
                <w:sz w:val="20"/>
              </w:rPr>
              <w:t>0,524</w:t>
            </w:r>
          </w:p>
        </w:tc>
      </w:tr>
    </w:tbl>
    <w:p w14:paraId="21399408" w14:textId="77777777" w:rsidR="006918A0" w:rsidRPr="00A96D00" w:rsidRDefault="006918A0" w:rsidP="006918A0">
      <w:pPr>
        <w:jc w:val="right"/>
        <w:rPr>
          <w:noProof/>
          <w:sz w:val="20"/>
        </w:rPr>
      </w:pPr>
      <w:r w:rsidRPr="00A96D00">
        <w:rPr>
          <w:noProof/>
          <w:sz w:val="20"/>
        </w:rPr>
        <w:t>U milijunima EUR (do 3 decimalna mjesta)</w:t>
      </w:r>
    </w:p>
    <w:tbl>
      <w:tblPr>
        <w:tblW w:w="508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
        <w:gridCol w:w="3709"/>
        <w:gridCol w:w="324"/>
        <w:gridCol w:w="1236"/>
        <w:gridCol w:w="350"/>
        <w:gridCol w:w="182"/>
        <w:gridCol w:w="365"/>
        <w:gridCol w:w="504"/>
        <w:gridCol w:w="625"/>
        <w:gridCol w:w="243"/>
        <w:gridCol w:w="868"/>
        <w:gridCol w:w="188"/>
        <w:gridCol w:w="680"/>
        <w:gridCol w:w="475"/>
        <w:gridCol w:w="394"/>
        <w:gridCol w:w="761"/>
        <w:gridCol w:w="107"/>
        <w:gridCol w:w="868"/>
        <w:gridCol w:w="179"/>
        <w:gridCol w:w="1598"/>
        <w:gridCol w:w="564"/>
      </w:tblGrid>
      <w:tr w:rsidR="00750F4B" w:rsidRPr="00A96D00" w14:paraId="54B62E77" w14:textId="77777777" w:rsidTr="000430BD">
        <w:trPr>
          <w:gridBefore w:val="1"/>
          <w:wBefore w:w="87" w:type="pct"/>
        </w:trPr>
        <w:tc>
          <w:tcPr>
            <w:tcW w:w="1393" w:type="pct"/>
            <w:gridSpan w:val="2"/>
            <w:tcBorders>
              <w:top w:val="nil"/>
              <w:left w:val="nil"/>
              <w:bottom w:val="single" w:sz="4" w:space="0" w:color="auto"/>
              <w:right w:val="nil"/>
            </w:tcBorders>
            <w:vAlign w:val="center"/>
          </w:tcPr>
          <w:p w14:paraId="38F0CA61" w14:textId="77777777" w:rsidR="006918A0" w:rsidRPr="00A96D00" w:rsidRDefault="006918A0" w:rsidP="006918A0">
            <w:pPr>
              <w:spacing w:line="276" w:lineRule="auto"/>
              <w:jc w:val="center"/>
              <w:rPr>
                <w:noProof/>
              </w:rPr>
            </w:pPr>
          </w:p>
        </w:tc>
        <w:tc>
          <w:tcPr>
            <w:tcW w:w="548" w:type="pct"/>
            <w:gridSpan w:val="2"/>
            <w:tcBorders>
              <w:top w:val="nil"/>
              <w:left w:val="nil"/>
              <w:bottom w:val="single" w:sz="4" w:space="0" w:color="auto"/>
              <w:right w:val="nil"/>
            </w:tcBorders>
          </w:tcPr>
          <w:p w14:paraId="0890AC0E" w14:textId="77777777" w:rsidR="006918A0" w:rsidRPr="00A96D00" w:rsidRDefault="006918A0" w:rsidP="006918A0">
            <w:pPr>
              <w:spacing w:line="276" w:lineRule="auto"/>
              <w:jc w:val="center"/>
              <w:rPr>
                <w:noProof/>
              </w:rPr>
            </w:pPr>
          </w:p>
        </w:tc>
        <w:tc>
          <w:tcPr>
            <w:tcW w:w="189" w:type="pct"/>
            <w:gridSpan w:val="2"/>
            <w:tcBorders>
              <w:top w:val="nil"/>
              <w:left w:val="nil"/>
              <w:bottom w:val="single" w:sz="4" w:space="0" w:color="auto"/>
              <w:right w:val="single" w:sz="4" w:space="0" w:color="auto"/>
            </w:tcBorders>
          </w:tcPr>
          <w:p w14:paraId="31254D22" w14:textId="77777777" w:rsidR="006918A0" w:rsidRPr="00A96D00" w:rsidRDefault="006918A0" w:rsidP="006918A0">
            <w:pPr>
              <w:spacing w:line="276" w:lineRule="auto"/>
              <w:jc w:val="center"/>
              <w:rPr>
                <w:noProof/>
              </w:rPr>
            </w:pP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7F0CE618" w14:textId="77777777" w:rsidR="006918A0" w:rsidRPr="00A96D00" w:rsidRDefault="006918A0" w:rsidP="006918A0">
            <w:pPr>
              <w:spacing w:line="276" w:lineRule="auto"/>
              <w:jc w:val="center"/>
              <w:rPr>
                <w:noProof/>
              </w:rPr>
            </w:pPr>
            <w:r w:rsidRPr="00A96D00">
              <w:rPr>
                <w:noProof/>
              </w:rPr>
              <w:t>2023.</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2CE41145" w14:textId="77777777" w:rsidR="006918A0" w:rsidRPr="00A96D00" w:rsidRDefault="006918A0" w:rsidP="006918A0">
            <w:pPr>
              <w:spacing w:line="276" w:lineRule="auto"/>
              <w:jc w:val="center"/>
              <w:rPr>
                <w:noProof/>
              </w:rPr>
            </w:pPr>
            <w:r w:rsidRPr="00A96D00">
              <w:rPr>
                <w:noProof/>
              </w:rPr>
              <w:t>2024.</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447742EE" w14:textId="77777777" w:rsidR="006918A0" w:rsidRPr="00A96D00" w:rsidRDefault="006918A0" w:rsidP="006918A0">
            <w:pPr>
              <w:spacing w:line="276" w:lineRule="auto"/>
              <w:jc w:val="center"/>
              <w:rPr>
                <w:noProof/>
              </w:rPr>
            </w:pPr>
            <w:r w:rsidRPr="00A96D00">
              <w:rPr>
                <w:noProof/>
              </w:rPr>
              <w:t>2025.</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2E4F8D83" w14:textId="77777777" w:rsidR="006918A0" w:rsidRPr="00A96D00" w:rsidRDefault="006918A0" w:rsidP="006918A0">
            <w:pPr>
              <w:spacing w:line="276" w:lineRule="auto"/>
              <w:jc w:val="center"/>
              <w:rPr>
                <w:noProof/>
              </w:rPr>
            </w:pPr>
            <w:r w:rsidRPr="00A96D00">
              <w:rPr>
                <w:noProof/>
              </w:rPr>
              <w:t>2026.</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3CF4A764" w14:textId="77777777" w:rsidR="006918A0" w:rsidRPr="00A96D00" w:rsidRDefault="006918A0" w:rsidP="006918A0">
            <w:pPr>
              <w:spacing w:line="276" w:lineRule="auto"/>
              <w:jc w:val="center"/>
              <w:rPr>
                <w:b/>
                <w:noProof/>
                <w:sz w:val="18"/>
              </w:rPr>
            </w:pPr>
            <w:r w:rsidRPr="00A96D00">
              <w:rPr>
                <w:noProof/>
              </w:rPr>
              <w:t>2027.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10C68824" w14:textId="77777777" w:rsidR="006918A0" w:rsidRPr="00A96D00" w:rsidRDefault="006918A0" w:rsidP="006918A0">
            <w:pPr>
              <w:spacing w:line="276" w:lineRule="auto"/>
              <w:jc w:val="center"/>
              <w:rPr>
                <w:b/>
                <w:noProof/>
              </w:rPr>
            </w:pPr>
            <w:r w:rsidRPr="00A96D00">
              <w:rPr>
                <w:b/>
                <w:noProof/>
              </w:rPr>
              <w:t>UKUPNO</w:t>
            </w:r>
          </w:p>
          <w:p w14:paraId="2B617444" w14:textId="77777777" w:rsidR="006918A0" w:rsidRPr="00A96D00" w:rsidRDefault="006918A0" w:rsidP="006918A0">
            <w:pPr>
              <w:spacing w:line="276" w:lineRule="auto"/>
              <w:jc w:val="center"/>
              <w:rPr>
                <w:b/>
                <w:noProof/>
              </w:rPr>
            </w:pPr>
            <w:r w:rsidRPr="00A96D00">
              <w:rPr>
                <w:b/>
                <w:noProof/>
              </w:rPr>
              <w:t>VFO 2021.–2027.</w:t>
            </w:r>
          </w:p>
        </w:tc>
      </w:tr>
      <w:tr w:rsidR="00555CA4" w:rsidRPr="00A96D00" w14:paraId="6E15A9F1" w14:textId="77777777" w:rsidTr="000430BD">
        <w:trPr>
          <w:gridBefore w:val="1"/>
          <w:wBefore w:w="87" w:type="pct"/>
        </w:trPr>
        <w:tc>
          <w:tcPr>
            <w:tcW w:w="1393"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C217C4B" w14:textId="77777777" w:rsidR="006918A0" w:rsidRPr="00A96D00" w:rsidRDefault="006918A0" w:rsidP="006918A0">
            <w:pPr>
              <w:spacing w:line="276" w:lineRule="auto"/>
              <w:jc w:val="center"/>
              <w:rPr>
                <w:b/>
                <w:noProof/>
              </w:rPr>
            </w:pPr>
            <w:r w:rsidRPr="00A96D00">
              <w:rPr>
                <w:b/>
                <w:bCs/>
                <w:noProof/>
              </w:rPr>
              <w:t xml:space="preserve">UKUPNA odobrena sredstva </w:t>
            </w:r>
            <w:r w:rsidRPr="00A96D00">
              <w:rPr>
                <w:b/>
                <w:bCs/>
                <w:noProof/>
              </w:rPr>
              <w:br/>
              <w:t>iz NASLOVA 1.–7.</w:t>
            </w:r>
            <w:r w:rsidRPr="00A96D00">
              <w:rPr>
                <w:noProof/>
              </w:rPr>
              <w:t xml:space="preserve"> </w:t>
            </w:r>
            <w:r w:rsidRPr="00A96D00">
              <w:rPr>
                <w:noProof/>
              </w:rPr>
              <w:br/>
              <w:t>višegodišnjeg financijskog okvira</w:t>
            </w:r>
          </w:p>
        </w:tc>
        <w:tc>
          <w:tcPr>
            <w:tcW w:w="737" w:type="pct"/>
            <w:gridSpan w:val="4"/>
            <w:tcBorders>
              <w:top w:val="single" w:sz="4" w:space="0" w:color="auto"/>
              <w:left w:val="single" w:sz="4" w:space="0" w:color="auto"/>
              <w:bottom w:val="single" w:sz="4" w:space="0" w:color="auto"/>
              <w:right w:val="single" w:sz="4" w:space="0" w:color="auto"/>
            </w:tcBorders>
            <w:vAlign w:val="center"/>
            <w:hideMark/>
          </w:tcPr>
          <w:p w14:paraId="5BAA4D1E" w14:textId="77777777" w:rsidR="006918A0" w:rsidRPr="00A96D00" w:rsidRDefault="006918A0" w:rsidP="006918A0">
            <w:pPr>
              <w:spacing w:line="276" w:lineRule="auto"/>
              <w:jc w:val="center"/>
              <w:rPr>
                <w:noProof/>
                <w:sz w:val="14"/>
              </w:rPr>
            </w:pPr>
            <w:r w:rsidRPr="00A96D00">
              <w:rPr>
                <w:noProof/>
                <w:sz w:val="18"/>
              </w:rPr>
              <w:t>Obveze</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2F5D6C1D" w14:textId="77777777" w:rsidR="006918A0" w:rsidRPr="00A96D00" w:rsidRDefault="006918A0" w:rsidP="006918A0">
            <w:pPr>
              <w:spacing w:before="60" w:after="60" w:line="276" w:lineRule="auto"/>
              <w:jc w:val="center"/>
              <w:rPr>
                <w:b/>
                <w:noProof/>
              </w:rPr>
            </w:pPr>
            <w:r w:rsidRPr="00A96D00">
              <w:rPr>
                <w:noProof/>
                <w:color w:val="000000"/>
                <w:sz w:val="20"/>
              </w:rPr>
              <w:t>0,272</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2E0963D0" w14:textId="77777777" w:rsidR="006918A0" w:rsidRPr="00A96D00" w:rsidRDefault="006918A0" w:rsidP="006918A0">
            <w:pPr>
              <w:spacing w:before="60" w:after="60" w:line="276" w:lineRule="auto"/>
              <w:jc w:val="center"/>
              <w:rPr>
                <w:b/>
                <w:noProof/>
              </w:rPr>
            </w:pPr>
            <w:r w:rsidRPr="00A96D00">
              <w:rPr>
                <w:noProof/>
                <w:color w:val="000000"/>
                <w:sz w:val="20"/>
              </w:rPr>
              <w:t>0,561</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3946DCC8" w14:textId="77777777" w:rsidR="006918A0" w:rsidRPr="00A96D00" w:rsidRDefault="006918A0" w:rsidP="006918A0">
            <w:pPr>
              <w:spacing w:line="276" w:lineRule="auto"/>
              <w:jc w:val="center"/>
              <w:rPr>
                <w:b/>
                <w:noProof/>
                <w:color w:val="000000"/>
              </w:rPr>
            </w:pPr>
            <w:r w:rsidRPr="00A96D00">
              <w:rPr>
                <w:noProof/>
                <w:color w:val="000000"/>
                <w:sz w:val="20"/>
              </w:rPr>
              <w:t>0,359</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6E90C3AA" w14:textId="77777777" w:rsidR="006918A0" w:rsidRPr="00A96D00" w:rsidRDefault="006918A0" w:rsidP="006918A0">
            <w:pPr>
              <w:spacing w:line="276" w:lineRule="auto"/>
              <w:jc w:val="center"/>
              <w:rPr>
                <w:b/>
                <w:noProof/>
                <w:color w:val="000000"/>
              </w:rPr>
            </w:pPr>
            <w:r w:rsidRPr="00A96D00">
              <w:rPr>
                <w:noProof/>
                <w:color w:val="000000"/>
                <w:sz w:val="20"/>
              </w:rPr>
              <w:t>0,395</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42AF36E3" w14:textId="77777777" w:rsidR="006918A0" w:rsidRPr="00A96D00" w:rsidRDefault="006918A0" w:rsidP="006918A0">
            <w:pPr>
              <w:spacing w:line="276" w:lineRule="auto"/>
              <w:jc w:val="center"/>
              <w:rPr>
                <w:b/>
                <w:noProof/>
                <w:color w:val="000000"/>
              </w:rPr>
            </w:pPr>
            <w:r w:rsidRPr="00A96D00">
              <w:rPr>
                <w:noProof/>
                <w:color w:val="000000"/>
                <w:sz w:val="20"/>
              </w:rPr>
              <w:t>0,197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56D96C1E" w14:textId="77777777" w:rsidR="006918A0" w:rsidRPr="00A96D00" w:rsidRDefault="006918A0" w:rsidP="006918A0">
            <w:pPr>
              <w:spacing w:line="276" w:lineRule="auto"/>
              <w:jc w:val="right"/>
              <w:rPr>
                <w:b/>
                <w:noProof/>
                <w:color w:val="000000"/>
              </w:rPr>
            </w:pPr>
            <w:r w:rsidRPr="00A96D00">
              <w:rPr>
                <w:b/>
                <w:noProof/>
                <w:color w:val="000000"/>
                <w:sz w:val="20"/>
              </w:rPr>
              <w:t>1,784</w:t>
            </w:r>
          </w:p>
        </w:tc>
      </w:tr>
      <w:tr w:rsidR="006918A0" w:rsidRPr="00A96D00" w14:paraId="3B859BAA" w14:textId="77777777" w:rsidTr="000430BD">
        <w:trPr>
          <w:gridBefore w:val="1"/>
          <w:wBefore w:w="87" w:type="pct"/>
        </w:trPr>
        <w:tc>
          <w:tcPr>
            <w:tcW w:w="0" w:type="auto"/>
            <w:gridSpan w:val="2"/>
            <w:vMerge/>
            <w:tcBorders>
              <w:top w:val="nil"/>
              <w:left w:val="nil"/>
              <w:bottom w:val="nil"/>
              <w:right w:val="nil"/>
            </w:tcBorders>
            <w:vAlign w:val="center"/>
            <w:hideMark/>
          </w:tcPr>
          <w:p w14:paraId="502563BB" w14:textId="77777777" w:rsidR="006918A0" w:rsidRPr="00A96D00" w:rsidRDefault="006918A0" w:rsidP="006918A0">
            <w:pPr>
              <w:spacing w:before="0" w:after="0" w:line="276" w:lineRule="auto"/>
              <w:jc w:val="left"/>
              <w:rPr>
                <w:b/>
                <w:noProof/>
              </w:rPr>
            </w:pPr>
          </w:p>
        </w:tc>
        <w:tc>
          <w:tcPr>
            <w:tcW w:w="737" w:type="pct"/>
            <w:gridSpan w:val="4"/>
            <w:tcBorders>
              <w:top w:val="single" w:sz="4" w:space="0" w:color="auto"/>
              <w:left w:val="single" w:sz="4" w:space="0" w:color="auto"/>
              <w:bottom w:val="single" w:sz="4" w:space="0" w:color="auto"/>
              <w:right w:val="single" w:sz="4" w:space="0" w:color="auto"/>
            </w:tcBorders>
            <w:vAlign w:val="center"/>
            <w:hideMark/>
          </w:tcPr>
          <w:p w14:paraId="456FED67" w14:textId="77777777" w:rsidR="006918A0" w:rsidRPr="00A96D00" w:rsidRDefault="006918A0" w:rsidP="006918A0">
            <w:pPr>
              <w:spacing w:line="276" w:lineRule="auto"/>
              <w:jc w:val="center"/>
              <w:rPr>
                <w:noProof/>
                <w:sz w:val="14"/>
              </w:rPr>
            </w:pPr>
            <w:r w:rsidRPr="00A96D00">
              <w:rPr>
                <w:noProof/>
                <w:sz w:val="18"/>
              </w:rPr>
              <w:t>Plaćanja</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71F3548B" w14:textId="77777777" w:rsidR="006918A0" w:rsidRPr="00A96D00" w:rsidRDefault="006918A0" w:rsidP="006918A0">
            <w:pPr>
              <w:spacing w:before="60" w:after="60" w:line="276" w:lineRule="auto"/>
              <w:jc w:val="center"/>
              <w:rPr>
                <w:b/>
                <w:noProof/>
              </w:rPr>
            </w:pPr>
            <w:r w:rsidRPr="00A96D00">
              <w:rPr>
                <w:noProof/>
                <w:sz w:val="20"/>
              </w:rPr>
              <w:t>0,122</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1EFF4751" w14:textId="77777777" w:rsidR="006918A0" w:rsidRPr="00A96D00" w:rsidRDefault="006918A0" w:rsidP="006918A0">
            <w:pPr>
              <w:spacing w:before="60" w:after="60" w:line="276" w:lineRule="auto"/>
              <w:jc w:val="center"/>
              <w:rPr>
                <w:b/>
                <w:noProof/>
              </w:rPr>
            </w:pPr>
            <w:r w:rsidRPr="00A96D00">
              <w:rPr>
                <w:noProof/>
                <w:sz w:val="20"/>
              </w:rPr>
              <w:t>0,311</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425FBAC7" w14:textId="77777777" w:rsidR="006918A0" w:rsidRPr="00A96D00" w:rsidRDefault="006918A0" w:rsidP="006918A0">
            <w:pPr>
              <w:spacing w:line="276" w:lineRule="auto"/>
              <w:jc w:val="center"/>
              <w:rPr>
                <w:b/>
                <w:noProof/>
                <w:color w:val="000000"/>
              </w:rPr>
            </w:pPr>
            <w:r w:rsidRPr="00A96D00">
              <w:rPr>
                <w:noProof/>
                <w:sz w:val="20"/>
              </w:rPr>
              <w:t>0,559</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6D8D41A7" w14:textId="77777777" w:rsidR="006918A0" w:rsidRPr="00A96D00" w:rsidRDefault="006918A0" w:rsidP="006918A0">
            <w:pPr>
              <w:spacing w:line="276" w:lineRule="auto"/>
              <w:jc w:val="center"/>
              <w:rPr>
                <w:b/>
                <w:noProof/>
                <w:color w:val="000000"/>
              </w:rPr>
            </w:pPr>
            <w:r w:rsidRPr="00A96D00">
              <w:rPr>
                <w:noProof/>
                <w:sz w:val="20"/>
              </w:rPr>
              <w:t>0,265</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5F1C89F2" w14:textId="77777777" w:rsidR="006918A0" w:rsidRPr="00A96D00" w:rsidRDefault="006918A0" w:rsidP="006918A0">
            <w:pPr>
              <w:spacing w:line="276" w:lineRule="auto"/>
              <w:jc w:val="center"/>
              <w:rPr>
                <w:b/>
                <w:noProof/>
                <w:color w:val="000000"/>
              </w:rPr>
            </w:pPr>
            <w:r w:rsidRPr="00A96D00">
              <w:rPr>
                <w:noProof/>
                <w:sz w:val="20"/>
              </w:rPr>
              <w:t>0,347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4E4E081" w14:textId="77777777" w:rsidR="006918A0" w:rsidRPr="00A96D00" w:rsidRDefault="006918A0" w:rsidP="006918A0">
            <w:pPr>
              <w:spacing w:line="276" w:lineRule="auto"/>
              <w:jc w:val="right"/>
              <w:rPr>
                <w:b/>
                <w:noProof/>
                <w:color w:val="000000"/>
              </w:rPr>
            </w:pPr>
            <w:r w:rsidRPr="00A96D00">
              <w:rPr>
                <w:b/>
                <w:noProof/>
                <w:color w:val="000000"/>
                <w:sz w:val="20"/>
              </w:rPr>
              <w:t>1,604</w:t>
            </w:r>
          </w:p>
        </w:tc>
      </w:tr>
      <w:tr w:rsidR="00750F4B" w:rsidRPr="00A96D00" w14:paraId="7813AC18" w14:textId="77777777" w:rsidTr="000430BD">
        <w:trPr>
          <w:gridAfter w:val="1"/>
          <w:wAfter w:w="195" w:type="pct"/>
        </w:trPr>
        <w:tc>
          <w:tcPr>
            <w:tcW w:w="1368" w:type="pct"/>
            <w:gridSpan w:val="2"/>
            <w:tcBorders>
              <w:top w:val="nil"/>
              <w:left w:val="nil"/>
              <w:bottom w:val="single" w:sz="4" w:space="0" w:color="auto"/>
              <w:right w:val="nil"/>
            </w:tcBorders>
            <w:vAlign w:val="center"/>
          </w:tcPr>
          <w:p w14:paraId="0FB1AAB1" w14:textId="77777777" w:rsidR="006918A0" w:rsidRPr="00A96D00" w:rsidRDefault="006918A0" w:rsidP="006918A0">
            <w:pPr>
              <w:spacing w:line="276" w:lineRule="auto"/>
              <w:jc w:val="center"/>
              <w:rPr>
                <w:noProof/>
              </w:rPr>
            </w:pPr>
          </w:p>
        </w:tc>
        <w:tc>
          <w:tcPr>
            <w:tcW w:w="539" w:type="pct"/>
            <w:gridSpan w:val="2"/>
            <w:tcBorders>
              <w:top w:val="nil"/>
              <w:left w:val="nil"/>
              <w:bottom w:val="single" w:sz="4" w:space="0" w:color="auto"/>
              <w:right w:val="nil"/>
            </w:tcBorders>
          </w:tcPr>
          <w:p w14:paraId="2DEE0B4A" w14:textId="77777777" w:rsidR="006918A0" w:rsidRPr="00A96D00" w:rsidRDefault="006918A0" w:rsidP="006918A0">
            <w:pPr>
              <w:spacing w:line="276" w:lineRule="auto"/>
              <w:rPr>
                <w:noProof/>
                <w:sz w:val="20"/>
              </w:rPr>
            </w:pPr>
          </w:p>
        </w:tc>
        <w:tc>
          <w:tcPr>
            <w:tcW w:w="184" w:type="pct"/>
            <w:gridSpan w:val="2"/>
            <w:tcBorders>
              <w:top w:val="nil"/>
              <w:left w:val="nil"/>
              <w:bottom w:val="single" w:sz="4" w:space="0" w:color="auto"/>
              <w:right w:val="single" w:sz="4" w:space="0" w:color="auto"/>
            </w:tcBorders>
          </w:tcPr>
          <w:p w14:paraId="2033D832" w14:textId="77777777" w:rsidR="006918A0" w:rsidRPr="00A96D00" w:rsidRDefault="006918A0" w:rsidP="006918A0">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7FF9C67C" w14:textId="77777777" w:rsidR="006918A0" w:rsidRPr="00A96D00" w:rsidRDefault="006918A0" w:rsidP="006918A0">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2C407876" w14:textId="77777777" w:rsidR="006918A0" w:rsidRPr="00A96D00" w:rsidRDefault="006918A0" w:rsidP="006918A0">
            <w:pPr>
              <w:spacing w:line="276" w:lineRule="auto"/>
              <w:jc w:val="center"/>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05A129F" w14:textId="77777777" w:rsidR="006918A0" w:rsidRPr="00A96D00" w:rsidRDefault="006918A0" w:rsidP="006918A0">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5A8929BD" w14:textId="77777777" w:rsidR="006918A0" w:rsidRPr="00A96D00" w:rsidRDefault="006918A0" w:rsidP="006918A0">
            <w:pPr>
              <w:spacing w:line="276" w:lineRule="auto"/>
              <w:jc w:val="center"/>
              <w:rPr>
                <w:noProof/>
                <w:sz w:val="20"/>
              </w:rPr>
            </w:pPr>
          </w:p>
        </w:tc>
        <w:tc>
          <w:tcPr>
            <w:tcW w:w="900" w:type="pct"/>
            <w:gridSpan w:val="5"/>
            <w:tcBorders>
              <w:top w:val="single" w:sz="4" w:space="0" w:color="auto"/>
              <w:left w:val="single" w:sz="4" w:space="0" w:color="auto"/>
              <w:bottom w:val="single" w:sz="4" w:space="0" w:color="auto"/>
              <w:right w:val="single" w:sz="4" w:space="0" w:color="auto"/>
            </w:tcBorders>
            <w:vAlign w:val="center"/>
          </w:tcPr>
          <w:p w14:paraId="5B13188B" w14:textId="77777777" w:rsidR="006918A0" w:rsidRPr="00A96D00" w:rsidRDefault="006918A0" w:rsidP="006918A0">
            <w:pPr>
              <w:spacing w:line="276" w:lineRule="auto"/>
              <w:jc w:val="center"/>
              <w:rPr>
                <w:b/>
                <w:noProof/>
                <w:sz w:val="18"/>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06A16105" w14:textId="77777777" w:rsidR="006918A0" w:rsidRPr="00A96D00" w:rsidRDefault="006918A0" w:rsidP="006918A0">
            <w:pPr>
              <w:spacing w:line="276" w:lineRule="auto"/>
              <w:jc w:val="center"/>
              <w:rPr>
                <w:b/>
                <w:noProof/>
                <w:sz w:val="20"/>
              </w:rPr>
            </w:pPr>
          </w:p>
        </w:tc>
      </w:tr>
      <w:tr w:rsidR="00555CA4" w:rsidRPr="00A96D00" w14:paraId="02C9FE61" w14:textId="77777777" w:rsidTr="000430BD">
        <w:trPr>
          <w:gridAfter w:val="1"/>
          <w:wAfter w:w="195" w:type="pct"/>
        </w:trPr>
        <w:tc>
          <w:tcPr>
            <w:tcW w:w="1368"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5BE062A" w14:textId="77777777" w:rsidR="006918A0" w:rsidRPr="00A96D00" w:rsidRDefault="006918A0" w:rsidP="006918A0">
            <w:pPr>
              <w:spacing w:line="276" w:lineRule="auto"/>
              <w:jc w:val="center"/>
              <w:rPr>
                <w:b/>
                <w:noProof/>
              </w:rPr>
            </w:pPr>
            <w:r w:rsidRPr="00A96D00">
              <w:rPr>
                <w:b/>
                <w:bCs/>
                <w:noProof/>
              </w:rPr>
              <w:t xml:space="preserve">UKUPNA odobrena sredstva </w:t>
            </w:r>
            <w:r w:rsidRPr="00A96D00">
              <w:rPr>
                <w:b/>
                <w:bCs/>
                <w:noProof/>
              </w:rPr>
              <w:br/>
              <w:t>iz NASLOVA 1.–7.</w:t>
            </w:r>
            <w:r w:rsidRPr="00A96D00">
              <w:rPr>
                <w:noProof/>
              </w:rPr>
              <w:t xml:space="preserve"> </w:t>
            </w:r>
            <w:r w:rsidRPr="00A96D00">
              <w:rPr>
                <w:noProof/>
              </w:rPr>
              <w:br/>
              <w:t>višegodišnjeg financijskog okvira</w:t>
            </w:r>
            <w:r w:rsidRPr="00A96D00">
              <w:rPr>
                <w:b/>
                <w:noProof/>
              </w:rPr>
              <w:t xml:space="preserve"> </w:t>
            </w:r>
          </w:p>
        </w:tc>
        <w:tc>
          <w:tcPr>
            <w:tcW w:w="723" w:type="pct"/>
            <w:gridSpan w:val="4"/>
            <w:tcBorders>
              <w:top w:val="single" w:sz="4" w:space="0" w:color="auto"/>
              <w:left w:val="single" w:sz="4" w:space="0" w:color="auto"/>
              <w:bottom w:val="single" w:sz="4" w:space="0" w:color="auto"/>
              <w:right w:val="single" w:sz="4" w:space="0" w:color="auto"/>
            </w:tcBorders>
            <w:vAlign w:val="center"/>
          </w:tcPr>
          <w:p w14:paraId="05FF2D0A" w14:textId="77777777" w:rsidR="006918A0" w:rsidRPr="00A96D00" w:rsidRDefault="006918A0" w:rsidP="006918A0">
            <w:pPr>
              <w:spacing w:line="276" w:lineRule="auto"/>
              <w:rPr>
                <w:noProof/>
                <w:sz w:val="14"/>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296F7974" w14:textId="77777777" w:rsidR="006918A0" w:rsidRPr="00A96D0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3493200C" w14:textId="77777777" w:rsidR="006918A0" w:rsidRPr="00A96D00"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0B413C16" w14:textId="77777777" w:rsidR="006918A0" w:rsidRPr="00A96D0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60AAD5A8" w14:textId="77777777" w:rsidR="006918A0" w:rsidRPr="00A96D0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4D37AAE" w14:textId="77777777" w:rsidR="006918A0" w:rsidRPr="00A96D0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016273A" w14:textId="77777777" w:rsidR="006918A0" w:rsidRPr="00A96D00"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3CEB9085" w14:textId="77777777" w:rsidR="006918A0" w:rsidRPr="00A96D00" w:rsidRDefault="006918A0" w:rsidP="006918A0">
            <w:pPr>
              <w:spacing w:before="20" w:after="20" w:line="276" w:lineRule="auto"/>
              <w:jc w:val="right"/>
              <w:rPr>
                <w:noProof/>
                <w:sz w:val="20"/>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34141DDA" w14:textId="77777777" w:rsidR="006918A0" w:rsidRPr="00A96D00" w:rsidRDefault="006918A0" w:rsidP="006918A0">
            <w:pPr>
              <w:spacing w:before="20" w:after="20" w:line="276" w:lineRule="auto"/>
              <w:jc w:val="right"/>
              <w:rPr>
                <w:b/>
                <w:bCs/>
                <w:noProof/>
                <w:sz w:val="20"/>
              </w:rPr>
            </w:pPr>
          </w:p>
        </w:tc>
      </w:tr>
      <w:tr w:rsidR="006918A0" w:rsidRPr="00A96D00" w14:paraId="039EE65B" w14:textId="77777777" w:rsidTr="000430BD">
        <w:trPr>
          <w:gridAfter w:val="1"/>
          <w:wAfter w:w="195"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307BF9" w14:textId="77777777" w:rsidR="006918A0" w:rsidRPr="00A96D00" w:rsidRDefault="006918A0" w:rsidP="006918A0">
            <w:pPr>
              <w:spacing w:before="0" w:after="0" w:line="276" w:lineRule="auto"/>
              <w:jc w:val="left"/>
              <w:rPr>
                <w:b/>
                <w:noProof/>
              </w:rPr>
            </w:pPr>
          </w:p>
        </w:tc>
        <w:tc>
          <w:tcPr>
            <w:tcW w:w="723" w:type="pct"/>
            <w:gridSpan w:val="4"/>
            <w:tcBorders>
              <w:top w:val="single" w:sz="4" w:space="0" w:color="auto"/>
              <w:left w:val="single" w:sz="4" w:space="0" w:color="auto"/>
              <w:bottom w:val="single" w:sz="4" w:space="0" w:color="auto"/>
              <w:right w:val="single" w:sz="4" w:space="0" w:color="auto"/>
            </w:tcBorders>
            <w:vAlign w:val="center"/>
          </w:tcPr>
          <w:p w14:paraId="5110C3CB" w14:textId="77777777" w:rsidR="006918A0" w:rsidRPr="00A96D00" w:rsidRDefault="006918A0" w:rsidP="006918A0">
            <w:pPr>
              <w:spacing w:line="276" w:lineRule="auto"/>
              <w:rPr>
                <w:noProof/>
                <w:sz w:val="14"/>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B342667" w14:textId="77777777" w:rsidR="006918A0" w:rsidRPr="00A96D0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6AB20738" w14:textId="77777777" w:rsidR="006918A0" w:rsidRPr="00A96D00"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ACBEC53" w14:textId="77777777" w:rsidR="006918A0" w:rsidRPr="00A96D0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C360519" w14:textId="77777777" w:rsidR="006918A0" w:rsidRPr="00A96D0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F6E3480" w14:textId="77777777" w:rsidR="006918A0" w:rsidRPr="00A96D0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1E0D09E" w14:textId="77777777" w:rsidR="006918A0" w:rsidRPr="00A96D00"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78B00720" w14:textId="77777777" w:rsidR="006918A0" w:rsidRPr="00A96D00" w:rsidRDefault="006918A0" w:rsidP="006918A0">
            <w:pPr>
              <w:spacing w:before="20" w:after="20" w:line="276" w:lineRule="auto"/>
              <w:jc w:val="right"/>
              <w:rPr>
                <w:noProof/>
                <w:sz w:val="20"/>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140E4CA4" w14:textId="77777777" w:rsidR="006918A0" w:rsidRPr="00A96D00" w:rsidRDefault="006918A0" w:rsidP="006918A0">
            <w:pPr>
              <w:spacing w:before="20" w:after="20" w:line="276" w:lineRule="auto"/>
              <w:jc w:val="right"/>
              <w:rPr>
                <w:b/>
                <w:bCs/>
                <w:noProof/>
                <w:sz w:val="20"/>
              </w:rPr>
            </w:pPr>
          </w:p>
        </w:tc>
      </w:tr>
    </w:tbl>
    <w:p w14:paraId="01F7DC12" w14:textId="77777777" w:rsidR="006918A0" w:rsidRPr="00A96D00" w:rsidRDefault="006918A0" w:rsidP="006918A0">
      <w:pPr>
        <w:rPr>
          <w:noProof/>
        </w:rPr>
      </w:pPr>
    </w:p>
    <w:p w14:paraId="1CC25C0F" w14:textId="77777777" w:rsidR="006918A0" w:rsidRPr="00A96D00" w:rsidRDefault="00287904" w:rsidP="00287904">
      <w:pPr>
        <w:pStyle w:val="ManualHeading3"/>
        <w:rPr>
          <w:noProof/>
          <w:szCs w:val="24"/>
        </w:rPr>
      </w:pPr>
      <w:r w:rsidRPr="00A96D00">
        <w:rPr>
          <w:noProof/>
        </w:rPr>
        <w:tab/>
        <w:t>3.2.2.</w:t>
      </w:r>
      <w:r w:rsidRPr="00A96D00">
        <w:rPr>
          <w:noProof/>
        </w:rPr>
        <w:tab/>
        <w:t xml:space="preserve">Procijenjeni učinak na odobrena sredstva za poslovanje </w:t>
      </w:r>
    </w:p>
    <w:p w14:paraId="675263CC"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t></w:t>
      </w:r>
      <w:r w:rsidRPr="00A96D00">
        <w:rPr>
          <w:noProof/>
        </w:rPr>
        <w:tab/>
        <w:t xml:space="preserve">Za prijedlog/inicijativu nisu potrebna odobrena sredstva za poslovanje. </w:t>
      </w:r>
    </w:p>
    <w:p w14:paraId="5ECB6A5D"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t></w:t>
      </w:r>
      <w:r w:rsidRPr="00A96D00">
        <w:rPr>
          <w:noProof/>
        </w:rPr>
        <w:tab/>
        <w:t>Za prijedlog/inicijativu potrebna su sljedeća odobrena sredstva za poslovanje:</w:t>
      </w:r>
    </w:p>
    <w:p w14:paraId="3CBC6925" w14:textId="77777777" w:rsidR="006918A0" w:rsidRPr="00A96D00" w:rsidRDefault="006918A0" w:rsidP="006918A0">
      <w:pPr>
        <w:jc w:val="right"/>
        <w:rPr>
          <w:noProof/>
          <w:sz w:val="20"/>
        </w:rPr>
      </w:pPr>
      <w:r w:rsidRPr="00A96D00">
        <w:rPr>
          <w:noProof/>
          <w:sz w:val="20"/>
        </w:rPr>
        <w:t>Odobrena sredstva za preuzimanje obveza u milijunima EUR (do 3 decimalna mjesta)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66"/>
        <w:gridCol w:w="973"/>
        <w:gridCol w:w="786"/>
        <w:gridCol w:w="732"/>
        <w:gridCol w:w="774"/>
        <w:gridCol w:w="716"/>
        <w:gridCol w:w="810"/>
        <w:gridCol w:w="716"/>
        <w:gridCol w:w="1020"/>
        <w:gridCol w:w="716"/>
        <w:gridCol w:w="710"/>
        <w:gridCol w:w="716"/>
        <w:gridCol w:w="23"/>
        <w:gridCol w:w="678"/>
        <w:gridCol w:w="710"/>
        <w:gridCol w:w="130"/>
        <w:gridCol w:w="255"/>
        <w:gridCol w:w="268"/>
        <w:gridCol w:w="233"/>
        <w:gridCol w:w="17"/>
        <w:gridCol w:w="1084"/>
      </w:tblGrid>
      <w:tr w:rsidR="006918A0" w:rsidRPr="00A96D00" w14:paraId="7F4E5216" w14:textId="77777777" w:rsidTr="000430BD">
        <w:trPr>
          <w:jc w:val="center"/>
        </w:trPr>
        <w:tc>
          <w:tcPr>
            <w:tcW w:w="483" w:type="pct"/>
            <w:vMerge w:val="restart"/>
            <w:tcBorders>
              <w:top w:val="single" w:sz="4" w:space="0" w:color="auto"/>
              <w:left w:val="single" w:sz="4" w:space="0" w:color="auto"/>
              <w:bottom w:val="single" w:sz="4" w:space="0" w:color="auto"/>
              <w:right w:val="single" w:sz="4" w:space="0" w:color="auto"/>
            </w:tcBorders>
            <w:vAlign w:val="center"/>
          </w:tcPr>
          <w:p w14:paraId="231A97D8" w14:textId="77777777" w:rsidR="006918A0" w:rsidRPr="00A96D00" w:rsidRDefault="006918A0" w:rsidP="006918A0">
            <w:pPr>
              <w:spacing w:line="276" w:lineRule="auto"/>
              <w:ind w:right="-29"/>
              <w:jc w:val="center"/>
              <w:rPr>
                <w:b/>
                <w:noProof/>
                <w:sz w:val="18"/>
                <w:szCs w:val="18"/>
              </w:rPr>
            </w:pPr>
            <w:r w:rsidRPr="00A96D00">
              <w:rPr>
                <w:b/>
                <w:noProof/>
                <w:sz w:val="18"/>
              </w:rPr>
              <w:t xml:space="preserve">Navesti ciljeve i rezultate </w:t>
            </w:r>
          </w:p>
          <w:p w14:paraId="4E40066B" w14:textId="77777777" w:rsidR="006918A0" w:rsidRPr="00A96D00" w:rsidRDefault="006918A0" w:rsidP="006918A0">
            <w:pPr>
              <w:spacing w:line="276" w:lineRule="auto"/>
              <w:ind w:right="-29"/>
              <w:jc w:val="center"/>
              <w:rPr>
                <w:b/>
                <w:noProof/>
                <w:sz w:val="18"/>
                <w:szCs w:val="18"/>
              </w:rPr>
            </w:pPr>
          </w:p>
          <w:p w14:paraId="0943259E" w14:textId="77777777" w:rsidR="006918A0" w:rsidRPr="00A96D00" w:rsidRDefault="006918A0" w:rsidP="006918A0">
            <w:pPr>
              <w:spacing w:line="276" w:lineRule="auto"/>
              <w:ind w:right="-29"/>
              <w:jc w:val="center"/>
              <w:rPr>
                <w:noProof/>
                <w:sz w:val="18"/>
                <w:szCs w:val="18"/>
              </w:rPr>
            </w:pPr>
            <w:r w:rsidRPr="00A96D00">
              <w:rPr>
                <w:noProof/>
                <w:sz w:val="18"/>
              </w:rPr>
              <w:sym w:font="Wingdings" w:char="F0F2"/>
            </w:r>
          </w:p>
        </w:tc>
        <w:tc>
          <w:tcPr>
            <w:tcW w:w="249" w:type="pct"/>
            <w:tcBorders>
              <w:top w:val="single" w:sz="4" w:space="0" w:color="auto"/>
              <w:left w:val="single" w:sz="4" w:space="0" w:color="auto"/>
              <w:bottom w:val="single" w:sz="4" w:space="0" w:color="auto"/>
              <w:right w:val="single" w:sz="4" w:space="0" w:color="auto"/>
            </w:tcBorders>
            <w:vAlign w:val="center"/>
          </w:tcPr>
          <w:p w14:paraId="7006E3B4" w14:textId="77777777" w:rsidR="006918A0" w:rsidRPr="00A96D0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tcPr>
          <w:p w14:paraId="535A7144" w14:textId="77777777" w:rsidR="006918A0" w:rsidRPr="00A96D00" w:rsidRDefault="006918A0" w:rsidP="006918A0">
            <w:pPr>
              <w:spacing w:line="276" w:lineRule="auto"/>
              <w:ind w:right="-29"/>
              <w:jc w:val="center"/>
              <w:rPr>
                <w:noProof/>
                <w:sz w:val="18"/>
                <w:szCs w:val="18"/>
              </w:rPr>
            </w:pPr>
          </w:p>
        </w:tc>
        <w:tc>
          <w:tcPr>
            <w:tcW w:w="551" w:type="pct"/>
            <w:gridSpan w:val="2"/>
            <w:tcBorders>
              <w:top w:val="single" w:sz="4" w:space="0" w:color="auto"/>
              <w:left w:val="nil"/>
              <w:bottom w:val="single" w:sz="4" w:space="0" w:color="auto"/>
              <w:right w:val="single" w:sz="4" w:space="0" w:color="auto"/>
            </w:tcBorders>
            <w:vAlign w:val="center"/>
            <w:hideMark/>
          </w:tcPr>
          <w:p w14:paraId="4FB827BA" w14:textId="77777777" w:rsidR="006918A0" w:rsidRPr="00A96D00" w:rsidRDefault="006918A0" w:rsidP="006918A0">
            <w:pPr>
              <w:spacing w:line="276" w:lineRule="auto"/>
              <w:ind w:right="-29"/>
              <w:jc w:val="center"/>
              <w:rPr>
                <w:noProof/>
                <w:sz w:val="18"/>
                <w:szCs w:val="18"/>
              </w:rPr>
            </w:pPr>
            <w:r w:rsidRPr="00A96D00">
              <w:rPr>
                <w:noProof/>
                <w:sz w:val="18"/>
              </w:rPr>
              <w:t>2023.</w:t>
            </w:r>
          </w:p>
        </w:tc>
        <w:tc>
          <w:tcPr>
            <w:tcW w:w="537" w:type="pct"/>
            <w:gridSpan w:val="2"/>
            <w:tcBorders>
              <w:top w:val="single" w:sz="4" w:space="0" w:color="auto"/>
              <w:left w:val="single" w:sz="4" w:space="0" w:color="auto"/>
              <w:bottom w:val="single" w:sz="4" w:space="0" w:color="auto"/>
              <w:right w:val="single" w:sz="4" w:space="0" w:color="auto"/>
            </w:tcBorders>
            <w:vAlign w:val="center"/>
            <w:hideMark/>
          </w:tcPr>
          <w:p w14:paraId="66D8E53B" w14:textId="77777777" w:rsidR="006918A0" w:rsidRPr="00A96D00" w:rsidRDefault="006918A0" w:rsidP="006918A0">
            <w:pPr>
              <w:spacing w:line="276" w:lineRule="auto"/>
              <w:ind w:right="-29"/>
              <w:jc w:val="center"/>
              <w:rPr>
                <w:noProof/>
                <w:sz w:val="18"/>
                <w:szCs w:val="18"/>
              </w:rPr>
            </w:pPr>
            <w:r w:rsidRPr="00A96D00">
              <w:rPr>
                <w:noProof/>
                <w:sz w:val="18"/>
              </w:rPr>
              <w:t>2024.</w:t>
            </w:r>
          </w:p>
        </w:tc>
        <w:tc>
          <w:tcPr>
            <w:tcW w:w="544" w:type="pct"/>
            <w:gridSpan w:val="2"/>
            <w:tcBorders>
              <w:top w:val="single" w:sz="4" w:space="0" w:color="auto"/>
              <w:left w:val="single" w:sz="4" w:space="0" w:color="auto"/>
              <w:bottom w:val="single" w:sz="4" w:space="0" w:color="auto"/>
              <w:right w:val="single" w:sz="4" w:space="0" w:color="auto"/>
            </w:tcBorders>
            <w:vAlign w:val="center"/>
            <w:hideMark/>
          </w:tcPr>
          <w:p w14:paraId="29DF0065" w14:textId="77777777" w:rsidR="006918A0" w:rsidRPr="00A96D00" w:rsidRDefault="006918A0" w:rsidP="006918A0">
            <w:pPr>
              <w:spacing w:line="276" w:lineRule="auto"/>
              <w:ind w:right="-29"/>
              <w:jc w:val="center"/>
              <w:rPr>
                <w:noProof/>
                <w:sz w:val="18"/>
                <w:szCs w:val="18"/>
              </w:rPr>
            </w:pPr>
            <w:r w:rsidRPr="00A96D00">
              <w:rPr>
                <w:noProof/>
                <w:sz w:val="18"/>
              </w:rPr>
              <w:t>2025.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14:paraId="6B1EF51C" w14:textId="77777777" w:rsidR="006918A0" w:rsidRPr="00A96D00" w:rsidRDefault="006918A0" w:rsidP="006918A0">
            <w:pPr>
              <w:spacing w:line="276" w:lineRule="auto"/>
              <w:ind w:right="-29"/>
              <w:jc w:val="center"/>
              <w:rPr>
                <w:noProof/>
                <w:sz w:val="18"/>
                <w:szCs w:val="18"/>
              </w:rPr>
            </w:pPr>
            <w:r w:rsidRPr="00A96D00">
              <w:rPr>
                <w:noProof/>
                <w:sz w:val="18"/>
              </w:rPr>
              <w:t>2026.</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1DAE2BE2" w14:textId="77777777" w:rsidR="006918A0" w:rsidRPr="00A96D00" w:rsidRDefault="006918A0" w:rsidP="006918A0">
            <w:pPr>
              <w:spacing w:line="276" w:lineRule="auto"/>
              <w:jc w:val="center"/>
              <w:rPr>
                <w:noProof/>
                <w:sz w:val="18"/>
                <w:szCs w:val="18"/>
              </w:rPr>
            </w:pPr>
            <w:r w:rsidRPr="00A96D00">
              <w:rPr>
                <w:noProof/>
                <w:sz w:val="18"/>
              </w:rPr>
              <w:t>2027.</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14:paraId="3DD6488E" w14:textId="77777777" w:rsidR="006918A0" w:rsidRPr="00A96D00" w:rsidRDefault="006918A0" w:rsidP="006918A0">
            <w:pPr>
              <w:spacing w:line="276" w:lineRule="auto"/>
              <w:jc w:val="center"/>
              <w:rPr>
                <w:noProof/>
                <w:sz w:val="18"/>
                <w:szCs w:val="18"/>
              </w:rPr>
            </w:pPr>
            <w:r w:rsidRPr="00A96D00">
              <w:rPr>
                <w:noProof/>
                <w:sz w:val="18"/>
              </w:rPr>
              <w:t>2028.</w:t>
            </w:r>
          </w:p>
        </w:tc>
        <w:tc>
          <w:tcPr>
            <w:tcW w:w="627" w:type="pct"/>
            <w:gridSpan w:val="5"/>
            <w:tcBorders>
              <w:top w:val="single" w:sz="4" w:space="0" w:color="auto"/>
              <w:left w:val="nil"/>
              <w:bottom w:val="nil"/>
              <w:right w:val="single" w:sz="4" w:space="0" w:color="auto"/>
            </w:tcBorders>
            <w:vAlign w:val="center"/>
            <w:hideMark/>
          </w:tcPr>
          <w:p w14:paraId="60AA460D" w14:textId="77777777" w:rsidR="006918A0" w:rsidRPr="00A96D00" w:rsidRDefault="006918A0" w:rsidP="006918A0">
            <w:pPr>
              <w:spacing w:line="276" w:lineRule="auto"/>
              <w:ind w:right="-29"/>
              <w:jc w:val="center"/>
              <w:rPr>
                <w:noProof/>
                <w:sz w:val="18"/>
                <w:szCs w:val="18"/>
              </w:rPr>
            </w:pPr>
            <w:r w:rsidRPr="00A96D00">
              <w:rPr>
                <w:b/>
                <w:noProof/>
                <w:sz w:val="18"/>
              </w:rPr>
              <w:t>UKUPNO</w:t>
            </w:r>
          </w:p>
        </w:tc>
      </w:tr>
      <w:tr w:rsidR="006918A0" w:rsidRPr="00A96D00" w14:paraId="00BF4029" w14:textId="77777777" w:rsidTr="004202F1">
        <w:trPr>
          <w:jc w:val="center"/>
        </w:trPr>
        <w:tc>
          <w:tcPr>
            <w:tcW w:w="0" w:type="auto"/>
            <w:vMerge/>
            <w:vAlign w:val="center"/>
            <w:hideMark/>
          </w:tcPr>
          <w:p w14:paraId="7AB00F5F" w14:textId="77777777" w:rsidR="006918A0" w:rsidRPr="00A96D00" w:rsidRDefault="006918A0" w:rsidP="006918A0">
            <w:pPr>
              <w:spacing w:before="0" w:after="0" w:line="276" w:lineRule="auto"/>
              <w:jc w:val="left"/>
              <w:rPr>
                <w:noProof/>
                <w:sz w:val="18"/>
                <w:szCs w:val="18"/>
              </w:rPr>
            </w:pPr>
          </w:p>
        </w:tc>
        <w:tc>
          <w:tcPr>
            <w:tcW w:w="4517" w:type="pct"/>
            <w:gridSpan w:val="21"/>
            <w:tcBorders>
              <w:top w:val="single" w:sz="4" w:space="0" w:color="auto"/>
              <w:left w:val="single" w:sz="4" w:space="0" w:color="auto"/>
              <w:bottom w:val="single" w:sz="4" w:space="0" w:color="auto"/>
              <w:right w:val="single" w:sz="4" w:space="0" w:color="auto"/>
            </w:tcBorders>
            <w:vAlign w:val="center"/>
            <w:hideMark/>
          </w:tcPr>
          <w:p w14:paraId="4F4AB99B" w14:textId="77777777" w:rsidR="006918A0" w:rsidRPr="00A96D00" w:rsidRDefault="006918A0" w:rsidP="006918A0">
            <w:pPr>
              <w:spacing w:before="60" w:after="60" w:line="276" w:lineRule="auto"/>
              <w:ind w:right="-29"/>
              <w:jc w:val="center"/>
              <w:rPr>
                <w:noProof/>
                <w:sz w:val="18"/>
                <w:szCs w:val="18"/>
              </w:rPr>
            </w:pPr>
            <w:r w:rsidRPr="00A96D00">
              <w:rPr>
                <w:b/>
                <w:noProof/>
                <w:sz w:val="18"/>
              </w:rPr>
              <w:t>REZULTATI</w:t>
            </w:r>
          </w:p>
        </w:tc>
      </w:tr>
      <w:tr w:rsidR="00263B08" w:rsidRPr="00A96D00" w14:paraId="1132C755" w14:textId="77777777" w:rsidTr="000430BD">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D17FF" w14:textId="77777777" w:rsidR="006918A0" w:rsidRPr="00A96D00" w:rsidRDefault="006918A0" w:rsidP="006918A0">
            <w:pPr>
              <w:spacing w:before="0" w:after="0" w:line="276" w:lineRule="auto"/>
              <w:jc w:val="left"/>
              <w:rPr>
                <w:noProof/>
                <w:sz w:val="18"/>
                <w:szCs w:val="18"/>
              </w:rPr>
            </w:pPr>
          </w:p>
        </w:tc>
        <w:tc>
          <w:tcPr>
            <w:tcW w:w="249" w:type="pct"/>
            <w:tcBorders>
              <w:top w:val="single" w:sz="4" w:space="0" w:color="auto"/>
              <w:left w:val="single" w:sz="4" w:space="0" w:color="auto"/>
              <w:bottom w:val="single" w:sz="4" w:space="0" w:color="auto"/>
              <w:right w:val="single" w:sz="4" w:space="0" w:color="auto"/>
            </w:tcBorders>
            <w:vAlign w:val="center"/>
          </w:tcPr>
          <w:p w14:paraId="455E66D5" w14:textId="77777777" w:rsidR="006918A0" w:rsidRPr="00A96D00" w:rsidRDefault="006918A0" w:rsidP="006918A0">
            <w:pPr>
              <w:spacing w:line="276" w:lineRule="auto"/>
              <w:jc w:val="center"/>
              <w:rPr>
                <w:noProof/>
                <w:sz w:val="18"/>
                <w:szCs w:val="18"/>
              </w:rPr>
            </w:pPr>
            <w:r w:rsidRPr="00A96D00">
              <w:rPr>
                <w:noProof/>
                <w:sz w:val="18"/>
              </w:rPr>
              <w:t>Vrsta</w:t>
            </w:r>
            <w:r w:rsidRPr="00A96D00">
              <w:rPr>
                <w:rStyle w:val="FootnoteReference"/>
                <w:noProof/>
              </w:rPr>
              <w:footnoteReference w:id="52"/>
            </w:r>
          </w:p>
          <w:p w14:paraId="519BCC79" w14:textId="77777777" w:rsidR="006918A0" w:rsidRPr="00A96D00" w:rsidRDefault="006918A0" w:rsidP="006918A0">
            <w:pPr>
              <w:spacing w:before="0" w:after="0" w:line="276" w:lineRule="auto"/>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hideMark/>
          </w:tcPr>
          <w:p w14:paraId="610028A7" w14:textId="77777777" w:rsidR="006918A0" w:rsidRPr="00A96D00" w:rsidRDefault="006918A0" w:rsidP="006918A0">
            <w:pPr>
              <w:spacing w:line="276" w:lineRule="auto"/>
              <w:jc w:val="center"/>
              <w:rPr>
                <w:noProof/>
                <w:sz w:val="18"/>
                <w:szCs w:val="18"/>
              </w:rPr>
            </w:pPr>
            <w:r w:rsidRPr="00A96D00">
              <w:rPr>
                <w:noProof/>
                <w:sz w:val="18"/>
              </w:rPr>
              <w:t>Prosječni trošak</w:t>
            </w:r>
          </w:p>
        </w:tc>
        <w:tc>
          <w:tcPr>
            <w:tcW w:w="285" w:type="pct"/>
            <w:tcBorders>
              <w:top w:val="single" w:sz="4" w:space="0" w:color="auto"/>
              <w:left w:val="nil"/>
              <w:bottom w:val="single" w:sz="4" w:space="0" w:color="auto"/>
              <w:right w:val="dashSmallGap" w:sz="4" w:space="0" w:color="auto"/>
            </w:tcBorders>
            <w:shd w:val="pct10" w:color="auto" w:fill="auto"/>
            <w:textDirection w:val="btLr"/>
            <w:vAlign w:val="center"/>
            <w:hideMark/>
          </w:tcPr>
          <w:p w14:paraId="5E2481AE" w14:textId="77777777" w:rsidR="006918A0" w:rsidRPr="00A96D00" w:rsidRDefault="006918A0" w:rsidP="006918A0">
            <w:pPr>
              <w:spacing w:line="276" w:lineRule="auto"/>
              <w:ind w:left="113" w:right="113"/>
              <w:jc w:val="center"/>
              <w:rPr>
                <w:noProof/>
                <w:sz w:val="18"/>
                <w:szCs w:val="18"/>
              </w:rPr>
            </w:pPr>
            <w:r w:rsidRPr="00A96D00">
              <w:rPr>
                <w:noProof/>
                <w:sz w:val="18"/>
              </w:rPr>
              <w:t>Broj</w:t>
            </w:r>
          </w:p>
        </w:tc>
        <w:tc>
          <w:tcPr>
            <w:tcW w:w="26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398FE972" w14:textId="77777777" w:rsidR="006918A0" w:rsidRPr="00A96D00" w:rsidRDefault="006918A0" w:rsidP="006918A0">
            <w:pPr>
              <w:spacing w:line="276" w:lineRule="auto"/>
              <w:jc w:val="center"/>
              <w:rPr>
                <w:noProof/>
                <w:sz w:val="18"/>
                <w:szCs w:val="18"/>
              </w:rPr>
            </w:pPr>
            <w:r w:rsidRPr="00A96D00">
              <w:rPr>
                <w:noProof/>
                <w:sz w:val="18"/>
              </w:rPr>
              <w:t>Trošak</w:t>
            </w:r>
          </w:p>
        </w:tc>
        <w:tc>
          <w:tcPr>
            <w:tcW w:w="281"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0FB9035" w14:textId="77777777" w:rsidR="006918A0" w:rsidRPr="00A96D00" w:rsidRDefault="006918A0" w:rsidP="006918A0">
            <w:pPr>
              <w:spacing w:line="276" w:lineRule="auto"/>
              <w:ind w:left="113" w:right="113"/>
              <w:jc w:val="center"/>
              <w:rPr>
                <w:noProof/>
                <w:sz w:val="18"/>
                <w:szCs w:val="18"/>
              </w:rPr>
            </w:pPr>
            <w:r w:rsidRPr="00A96D00">
              <w:rPr>
                <w:noProof/>
                <w:sz w:val="18"/>
              </w:rPr>
              <w:t>Broj</w:t>
            </w:r>
          </w:p>
        </w:tc>
        <w:tc>
          <w:tcPr>
            <w:tcW w:w="25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2DD81A45" w14:textId="77777777" w:rsidR="006918A0" w:rsidRPr="00A96D00" w:rsidRDefault="006918A0" w:rsidP="006918A0">
            <w:pPr>
              <w:spacing w:line="276" w:lineRule="auto"/>
              <w:jc w:val="center"/>
              <w:rPr>
                <w:noProof/>
                <w:sz w:val="18"/>
                <w:szCs w:val="18"/>
              </w:rPr>
            </w:pPr>
            <w:r w:rsidRPr="00A96D00">
              <w:rPr>
                <w:noProof/>
                <w:sz w:val="18"/>
              </w:rPr>
              <w:t>Trošak</w:t>
            </w:r>
          </w:p>
        </w:tc>
        <w:tc>
          <w:tcPr>
            <w:tcW w:w="298"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56749AD0" w14:textId="77777777" w:rsidR="006918A0" w:rsidRPr="00A96D00" w:rsidRDefault="006918A0" w:rsidP="006918A0">
            <w:pPr>
              <w:spacing w:line="276" w:lineRule="auto"/>
              <w:ind w:left="113" w:right="113"/>
              <w:jc w:val="center"/>
              <w:rPr>
                <w:noProof/>
                <w:sz w:val="18"/>
                <w:szCs w:val="18"/>
              </w:rPr>
            </w:pPr>
            <w:r w:rsidRPr="00A96D00">
              <w:rPr>
                <w:noProof/>
                <w:sz w:val="18"/>
              </w:rPr>
              <w:t>Broj</w:t>
            </w:r>
          </w:p>
        </w:tc>
        <w:tc>
          <w:tcPr>
            <w:tcW w:w="24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5263FDEB" w14:textId="77777777" w:rsidR="006918A0" w:rsidRPr="00A96D00" w:rsidRDefault="006918A0" w:rsidP="006918A0">
            <w:pPr>
              <w:spacing w:line="276" w:lineRule="auto"/>
              <w:jc w:val="center"/>
              <w:rPr>
                <w:noProof/>
                <w:sz w:val="18"/>
                <w:szCs w:val="18"/>
              </w:rPr>
            </w:pPr>
            <w:r w:rsidRPr="00A96D00">
              <w:rPr>
                <w:noProof/>
                <w:sz w:val="18"/>
              </w:rPr>
              <w:t>Trošak</w:t>
            </w:r>
          </w:p>
        </w:tc>
        <w:tc>
          <w:tcPr>
            <w:tcW w:w="367"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11110D6" w14:textId="77777777" w:rsidR="006918A0" w:rsidRPr="00A96D00" w:rsidRDefault="006918A0" w:rsidP="006918A0">
            <w:pPr>
              <w:spacing w:line="276" w:lineRule="auto"/>
              <w:ind w:left="113" w:right="113"/>
              <w:jc w:val="center"/>
              <w:rPr>
                <w:noProof/>
                <w:sz w:val="18"/>
                <w:szCs w:val="18"/>
              </w:rPr>
            </w:pPr>
            <w:r w:rsidRPr="00A96D00">
              <w:rPr>
                <w:noProof/>
                <w:sz w:val="18"/>
              </w:rPr>
              <w:t>Broj</w:t>
            </w:r>
          </w:p>
        </w:tc>
        <w:tc>
          <w:tcPr>
            <w:tcW w:w="225"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66BFD43B" w14:textId="77777777" w:rsidR="006918A0" w:rsidRPr="00A96D00" w:rsidRDefault="006918A0" w:rsidP="006918A0">
            <w:pPr>
              <w:spacing w:line="276" w:lineRule="auto"/>
              <w:jc w:val="center"/>
              <w:rPr>
                <w:noProof/>
                <w:sz w:val="18"/>
                <w:szCs w:val="18"/>
              </w:rPr>
            </w:pPr>
            <w:r w:rsidRPr="00A96D00">
              <w:rPr>
                <w:noProof/>
                <w:sz w:val="18"/>
              </w:rPr>
              <w:t>Trošak</w:t>
            </w:r>
          </w:p>
        </w:tc>
        <w:tc>
          <w:tcPr>
            <w:tcW w:w="258"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83DCA40" w14:textId="77777777" w:rsidR="006918A0" w:rsidRPr="00A96D00" w:rsidRDefault="006918A0" w:rsidP="006918A0">
            <w:pPr>
              <w:spacing w:line="276" w:lineRule="auto"/>
              <w:ind w:left="113" w:right="113"/>
              <w:jc w:val="center"/>
              <w:rPr>
                <w:noProof/>
                <w:sz w:val="18"/>
                <w:szCs w:val="18"/>
              </w:rPr>
            </w:pPr>
            <w:r w:rsidRPr="00A96D00">
              <w:rPr>
                <w:noProof/>
                <w:sz w:val="18"/>
              </w:rPr>
              <w:t>Broj</w:t>
            </w:r>
          </w:p>
        </w:tc>
        <w:tc>
          <w:tcPr>
            <w:tcW w:w="241"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2584EBE4" w14:textId="77777777" w:rsidR="006918A0" w:rsidRPr="00A96D00" w:rsidRDefault="006918A0" w:rsidP="006918A0">
            <w:pPr>
              <w:spacing w:line="276" w:lineRule="auto"/>
              <w:jc w:val="center"/>
              <w:rPr>
                <w:noProof/>
                <w:sz w:val="18"/>
                <w:szCs w:val="18"/>
              </w:rPr>
            </w:pPr>
            <w:r w:rsidRPr="00A96D00">
              <w:rPr>
                <w:noProof/>
                <w:sz w:val="18"/>
              </w:rPr>
              <w:t>Trošak</w:t>
            </w:r>
          </w:p>
        </w:tc>
        <w:tc>
          <w:tcPr>
            <w:tcW w:w="249" w:type="pct"/>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775A6038" w14:textId="77777777" w:rsidR="006918A0" w:rsidRPr="00A96D00" w:rsidRDefault="006918A0" w:rsidP="006918A0">
            <w:pPr>
              <w:spacing w:line="276" w:lineRule="auto"/>
              <w:ind w:left="113" w:right="113"/>
              <w:jc w:val="center"/>
              <w:rPr>
                <w:noProof/>
                <w:sz w:val="18"/>
                <w:szCs w:val="18"/>
              </w:rPr>
            </w:pPr>
            <w:r w:rsidRPr="00A96D00">
              <w:rPr>
                <w:noProof/>
                <w:sz w:val="18"/>
              </w:rPr>
              <w:t>Broj</w:t>
            </w:r>
          </w:p>
        </w:tc>
        <w:tc>
          <w:tcPr>
            <w:tcW w:w="318" w:type="pct"/>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612A2EBD" w14:textId="77777777" w:rsidR="006918A0" w:rsidRPr="00A96D00" w:rsidRDefault="006918A0" w:rsidP="006918A0">
            <w:pPr>
              <w:spacing w:line="276" w:lineRule="auto"/>
              <w:jc w:val="center"/>
              <w:rPr>
                <w:noProof/>
                <w:sz w:val="18"/>
                <w:szCs w:val="18"/>
              </w:rPr>
            </w:pPr>
            <w:r w:rsidRPr="00A96D00">
              <w:rPr>
                <w:noProof/>
                <w:sz w:val="18"/>
              </w:rPr>
              <w:t>Trošak</w:t>
            </w:r>
          </w:p>
        </w:tc>
        <w:tc>
          <w:tcPr>
            <w:tcW w:w="223" w:type="pct"/>
            <w:gridSpan w:val="3"/>
            <w:tcBorders>
              <w:top w:val="single" w:sz="4" w:space="0" w:color="auto"/>
              <w:left w:val="single" w:sz="4" w:space="0" w:color="auto"/>
              <w:bottom w:val="single" w:sz="4" w:space="0" w:color="auto"/>
              <w:right w:val="dashSmallGap" w:sz="4" w:space="0" w:color="auto"/>
            </w:tcBorders>
            <w:shd w:val="pct10" w:color="auto" w:fill="auto"/>
            <w:vAlign w:val="center"/>
            <w:hideMark/>
          </w:tcPr>
          <w:p w14:paraId="2A50062B" w14:textId="77777777" w:rsidR="006918A0" w:rsidRPr="00A96D00" w:rsidRDefault="006918A0" w:rsidP="006918A0">
            <w:pPr>
              <w:spacing w:line="276" w:lineRule="auto"/>
              <w:jc w:val="center"/>
              <w:rPr>
                <w:noProof/>
                <w:sz w:val="18"/>
                <w:szCs w:val="18"/>
              </w:rPr>
            </w:pPr>
            <w:r w:rsidRPr="00A96D00">
              <w:rPr>
                <w:noProof/>
                <w:sz w:val="18"/>
              </w:rPr>
              <w:t>Ukupni broj</w:t>
            </w:r>
          </w:p>
        </w:tc>
        <w:tc>
          <w:tcPr>
            <w:tcW w:w="403" w:type="pct"/>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5B095C9D" w14:textId="77777777" w:rsidR="006918A0" w:rsidRPr="00A96D00" w:rsidRDefault="006918A0" w:rsidP="006918A0">
            <w:pPr>
              <w:spacing w:line="276" w:lineRule="auto"/>
              <w:jc w:val="center"/>
              <w:rPr>
                <w:noProof/>
                <w:sz w:val="18"/>
                <w:szCs w:val="18"/>
              </w:rPr>
            </w:pPr>
            <w:r w:rsidRPr="00A96D00">
              <w:rPr>
                <w:noProof/>
                <w:sz w:val="18"/>
              </w:rPr>
              <w:t>Ukupni trošak</w:t>
            </w:r>
          </w:p>
        </w:tc>
      </w:tr>
      <w:tr w:rsidR="006918A0" w:rsidRPr="00A96D00" w14:paraId="341F7E24" w14:textId="77777777" w:rsidTr="000430BD">
        <w:trPr>
          <w:jc w:val="center"/>
        </w:trPr>
        <w:tc>
          <w:tcPr>
            <w:tcW w:w="1083" w:type="pct"/>
            <w:gridSpan w:val="3"/>
            <w:tcBorders>
              <w:top w:val="single" w:sz="4" w:space="0" w:color="auto"/>
              <w:left w:val="single" w:sz="4" w:space="0" w:color="auto"/>
              <w:bottom w:val="single" w:sz="4" w:space="0" w:color="auto"/>
              <w:right w:val="single" w:sz="4" w:space="0" w:color="auto"/>
            </w:tcBorders>
            <w:vAlign w:val="center"/>
            <w:hideMark/>
          </w:tcPr>
          <w:p w14:paraId="6415C89D" w14:textId="77777777" w:rsidR="006918A0" w:rsidRPr="00A96D00" w:rsidRDefault="006918A0" w:rsidP="006918A0">
            <w:pPr>
              <w:spacing w:before="60" w:after="60" w:line="276" w:lineRule="auto"/>
              <w:ind w:right="-29"/>
              <w:jc w:val="center"/>
              <w:rPr>
                <w:noProof/>
                <w:sz w:val="18"/>
                <w:szCs w:val="18"/>
              </w:rPr>
            </w:pPr>
            <w:r w:rsidRPr="00A96D00">
              <w:rPr>
                <w:noProof/>
                <w:sz w:val="18"/>
              </w:rPr>
              <w:t>SPECIFIČNI CILJ br. 1</w:t>
            </w:r>
            <w:r w:rsidRPr="00A96D00">
              <w:rPr>
                <w:rStyle w:val="FootnoteReference"/>
                <w:noProof/>
              </w:rPr>
              <w:footnoteReference w:id="53"/>
            </w:r>
            <w:r w:rsidRPr="00A96D00">
              <w:rPr>
                <w:noProof/>
                <w:sz w:val="18"/>
              </w:rPr>
              <w:t>…</w:t>
            </w:r>
          </w:p>
        </w:tc>
        <w:tc>
          <w:tcPr>
            <w:tcW w:w="285" w:type="pct"/>
            <w:tcBorders>
              <w:top w:val="nil"/>
              <w:left w:val="nil"/>
              <w:bottom w:val="nil"/>
              <w:right w:val="nil"/>
            </w:tcBorders>
          </w:tcPr>
          <w:p w14:paraId="32BE2CD7" w14:textId="77777777" w:rsidR="006918A0" w:rsidRPr="00A96D00" w:rsidRDefault="006918A0" w:rsidP="006918A0">
            <w:pPr>
              <w:spacing w:before="60" w:after="60" w:line="276" w:lineRule="auto"/>
              <w:ind w:right="-29"/>
              <w:jc w:val="center"/>
              <w:rPr>
                <w:noProof/>
                <w:sz w:val="18"/>
                <w:szCs w:val="18"/>
              </w:rPr>
            </w:pPr>
          </w:p>
        </w:tc>
        <w:tc>
          <w:tcPr>
            <w:tcW w:w="266" w:type="pct"/>
            <w:tcBorders>
              <w:top w:val="nil"/>
              <w:left w:val="nil"/>
              <w:bottom w:val="nil"/>
              <w:right w:val="nil"/>
            </w:tcBorders>
          </w:tcPr>
          <w:p w14:paraId="44CB0CF8" w14:textId="77777777" w:rsidR="006918A0" w:rsidRPr="00A96D00" w:rsidRDefault="006918A0" w:rsidP="006918A0">
            <w:pPr>
              <w:spacing w:before="60" w:after="60" w:line="276" w:lineRule="auto"/>
              <w:ind w:right="-29"/>
              <w:jc w:val="center"/>
              <w:rPr>
                <w:noProof/>
                <w:sz w:val="18"/>
                <w:szCs w:val="18"/>
              </w:rPr>
            </w:pPr>
          </w:p>
        </w:tc>
        <w:tc>
          <w:tcPr>
            <w:tcW w:w="281" w:type="pct"/>
            <w:tcBorders>
              <w:top w:val="nil"/>
              <w:left w:val="nil"/>
              <w:bottom w:val="nil"/>
              <w:right w:val="nil"/>
            </w:tcBorders>
          </w:tcPr>
          <w:p w14:paraId="3CBD7045" w14:textId="77777777" w:rsidR="006918A0" w:rsidRPr="00A96D00" w:rsidRDefault="006918A0" w:rsidP="006918A0">
            <w:pPr>
              <w:spacing w:before="60" w:after="60" w:line="276" w:lineRule="auto"/>
              <w:ind w:right="-29"/>
              <w:jc w:val="center"/>
              <w:rPr>
                <w:noProof/>
                <w:sz w:val="18"/>
                <w:szCs w:val="18"/>
              </w:rPr>
            </w:pPr>
          </w:p>
        </w:tc>
        <w:tc>
          <w:tcPr>
            <w:tcW w:w="256" w:type="pct"/>
            <w:tcBorders>
              <w:top w:val="nil"/>
              <w:left w:val="nil"/>
              <w:bottom w:val="nil"/>
              <w:right w:val="nil"/>
            </w:tcBorders>
          </w:tcPr>
          <w:p w14:paraId="4A88C94D" w14:textId="77777777" w:rsidR="006918A0" w:rsidRPr="00A96D00" w:rsidRDefault="006918A0" w:rsidP="006918A0">
            <w:pPr>
              <w:spacing w:before="60" w:after="60" w:line="276" w:lineRule="auto"/>
              <w:ind w:right="-29"/>
              <w:jc w:val="center"/>
              <w:rPr>
                <w:noProof/>
                <w:sz w:val="18"/>
                <w:szCs w:val="18"/>
              </w:rPr>
            </w:pPr>
          </w:p>
        </w:tc>
        <w:tc>
          <w:tcPr>
            <w:tcW w:w="298" w:type="pct"/>
            <w:tcBorders>
              <w:top w:val="nil"/>
              <w:left w:val="nil"/>
              <w:bottom w:val="nil"/>
              <w:right w:val="nil"/>
            </w:tcBorders>
          </w:tcPr>
          <w:p w14:paraId="7C9F7EB0" w14:textId="77777777" w:rsidR="006918A0" w:rsidRPr="00A96D00" w:rsidRDefault="006918A0" w:rsidP="006918A0">
            <w:pPr>
              <w:spacing w:before="60" w:after="60" w:line="276" w:lineRule="auto"/>
              <w:ind w:right="-29"/>
              <w:jc w:val="center"/>
              <w:rPr>
                <w:noProof/>
                <w:sz w:val="18"/>
                <w:szCs w:val="18"/>
              </w:rPr>
            </w:pPr>
          </w:p>
        </w:tc>
        <w:tc>
          <w:tcPr>
            <w:tcW w:w="246" w:type="pct"/>
            <w:tcBorders>
              <w:top w:val="nil"/>
              <w:left w:val="nil"/>
              <w:bottom w:val="nil"/>
              <w:right w:val="nil"/>
            </w:tcBorders>
          </w:tcPr>
          <w:p w14:paraId="0DCC1F79" w14:textId="77777777" w:rsidR="006918A0" w:rsidRPr="00A96D00" w:rsidRDefault="006918A0" w:rsidP="006918A0">
            <w:pPr>
              <w:spacing w:before="60" w:after="60" w:line="276" w:lineRule="auto"/>
              <w:ind w:right="-29"/>
              <w:jc w:val="center"/>
              <w:rPr>
                <w:noProof/>
                <w:sz w:val="18"/>
                <w:szCs w:val="18"/>
              </w:rPr>
            </w:pPr>
          </w:p>
        </w:tc>
        <w:tc>
          <w:tcPr>
            <w:tcW w:w="367" w:type="pct"/>
            <w:tcBorders>
              <w:top w:val="nil"/>
              <w:left w:val="nil"/>
              <w:bottom w:val="nil"/>
              <w:right w:val="nil"/>
            </w:tcBorders>
          </w:tcPr>
          <w:p w14:paraId="6AE03068" w14:textId="77777777" w:rsidR="006918A0" w:rsidRPr="00A96D00" w:rsidRDefault="006918A0" w:rsidP="006918A0">
            <w:pPr>
              <w:spacing w:before="60" w:after="60" w:line="276" w:lineRule="auto"/>
              <w:ind w:right="-29"/>
              <w:jc w:val="center"/>
              <w:rPr>
                <w:noProof/>
                <w:sz w:val="18"/>
                <w:szCs w:val="18"/>
              </w:rPr>
            </w:pPr>
          </w:p>
        </w:tc>
        <w:tc>
          <w:tcPr>
            <w:tcW w:w="225" w:type="pct"/>
            <w:tcBorders>
              <w:top w:val="nil"/>
              <w:left w:val="nil"/>
              <w:bottom w:val="nil"/>
              <w:right w:val="nil"/>
            </w:tcBorders>
          </w:tcPr>
          <w:p w14:paraId="35AE029D" w14:textId="77777777" w:rsidR="006918A0" w:rsidRPr="00A96D00" w:rsidRDefault="006918A0" w:rsidP="006918A0">
            <w:pPr>
              <w:spacing w:before="60" w:after="60" w:line="276" w:lineRule="auto"/>
              <w:ind w:right="-29"/>
              <w:jc w:val="center"/>
              <w:rPr>
                <w:noProof/>
                <w:sz w:val="18"/>
                <w:szCs w:val="18"/>
              </w:rPr>
            </w:pPr>
          </w:p>
        </w:tc>
        <w:tc>
          <w:tcPr>
            <w:tcW w:w="258" w:type="pct"/>
            <w:tcBorders>
              <w:top w:val="nil"/>
              <w:left w:val="nil"/>
              <w:bottom w:val="nil"/>
              <w:right w:val="nil"/>
            </w:tcBorders>
          </w:tcPr>
          <w:p w14:paraId="6FA70C30" w14:textId="77777777" w:rsidR="006918A0" w:rsidRPr="00A96D00" w:rsidRDefault="006918A0" w:rsidP="006918A0">
            <w:pPr>
              <w:spacing w:before="60" w:after="60" w:line="276" w:lineRule="auto"/>
              <w:ind w:right="-29"/>
              <w:jc w:val="center"/>
              <w:rPr>
                <w:noProof/>
                <w:sz w:val="18"/>
                <w:szCs w:val="18"/>
              </w:rPr>
            </w:pPr>
          </w:p>
        </w:tc>
        <w:tc>
          <w:tcPr>
            <w:tcW w:w="241" w:type="pct"/>
            <w:tcBorders>
              <w:top w:val="nil"/>
              <w:left w:val="nil"/>
              <w:bottom w:val="nil"/>
              <w:right w:val="nil"/>
            </w:tcBorders>
          </w:tcPr>
          <w:p w14:paraId="768B6E64" w14:textId="77777777" w:rsidR="006918A0" w:rsidRPr="00A96D00" w:rsidRDefault="006918A0" w:rsidP="006918A0">
            <w:pPr>
              <w:spacing w:before="60" w:after="60" w:line="276" w:lineRule="auto"/>
              <w:ind w:right="-29"/>
              <w:jc w:val="center"/>
              <w:rPr>
                <w:noProof/>
                <w:sz w:val="18"/>
                <w:szCs w:val="18"/>
              </w:rPr>
            </w:pPr>
          </w:p>
        </w:tc>
        <w:tc>
          <w:tcPr>
            <w:tcW w:w="249" w:type="pct"/>
            <w:gridSpan w:val="2"/>
            <w:tcBorders>
              <w:top w:val="nil"/>
              <w:left w:val="nil"/>
              <w:bottom w:val="nil"/>
              <w:right w:val="nil"/>
            </w:tcBorders>
          </w:tcPr>
          <w:p w14:paraId="5E16F454" w14:textId="77777777" w:rsidR="006918A0" w:rsidRPr="00A96D00" w:rsidRDefault="006918A0" w:rsidP="006918A0">
            <w:pPr>
              <w:spacing w:before="60" w:after="60" w:line="276" w:lineRule="auto"/>
              <w:ind w:right="-29"/>
              <w:jc w:val="center"/>
              <w:rPr>
                <w:noProof/>
                <w:sz w:val="18"/>
                <w:szCs w:val="18"/>
              </w:rPr>
            </w:pPr>
          </w:p>
        </w:tc>
        <w:tc>
          <w:tcPr>
            <w:tcW w:w="264" w:type="pct"/>
            <w:tcBorders>
              <w:top w:val="nil"/>
              <w:left w:val="nil"/>
              <w:bottom w:val="nil"/>
              <w:right w:val="nil"/>
            </w:tcBorders>
          </w:tcPr>
          <w:p w14:paraId="31A81A0D" w14:textId="77777777" w:rsidR="006918A0" w:rsidRPr="00A96D00" w:rsidRDefault="006918A0" w:rsidP="006918A0">
            <w:pPr>
              <w:spacing w:before="60" w:after="60" w:line="276" w:lineRule="auto"/>
              <w:ind w:right="-29"/>
              <w:jc w:val="center"/>
              <w:rPr>
                <w:noProof/>
                <w:sz w:val="18"/>
                <w:szCs w:val="18"/>
              </w:rPr>
            </w:pPr>
          </w:p>
        </w:tc>
        <w:tc>
          <w:tcPr>
            <w:tcW w:w="129" w:type="pct"/>
            <w:gridSpan w:val="2"/>
            <w:tcBorders>
              <w:top w:val="nil"/>
              <w:left w:val="nil"/>
              <w:bottom w:val="nil"/>
              <w:right w:val="nil"/>
            </w:tcBorders>
          </w:tcPr>
          <w:p w14:paraId="18FC2EE8" w14:textId="77777777" w:rsidR="006918A0" w:rsidRPr="00A96D00" w:rsidRDefault="006918A0" w:rsidP="006918A0">
            <w:pPr>
              <w:spacing w:before="60" w:after="60" w:line="276" w:lineRule="auto"/>
              <w:ind w:right="-29"/>
              <w:jc w:val="center"/>
              <w:rPr>
                <w:noProof/>
                <w:sz w:val="18"/>
                <w:szCs w:val="18"/>
              </w:rPr>
            </w:pPr>
          </w:p>
        </w:tc>
        <w:tc>
          <w:tcPr>
            <w:tcW w:w="79" w:type="pct"/>
            <w:tcBorders>
              <w:top w:val="nil"/>
              <w:left w:val="nil"/>
              <w:bottom w:val="nil"/>
              <w:right w:val="nil"/>
            </w:tcBorders>
          </w:tcPr>
          <w:p w14:paraId="1DA02704" w14:textId="77777777" w:rsidR="006918A0" w:rsidRPr="00A96D00" w:rsidRDefault="006918A0" w:rsidP="006918A0">
            <w:pPr>
              <w:spacing w:before="60" w:after="60" w:line="276" w:lineRule="auto"/>
              <w:ind w:right="-29"/>
              <w:jc w:val="center"/>
              <w:rPr>
                <w:noProof/>
                <w:sz w:val="18"/>
                <w:szCs w:val="18"/>
              </w:rPr>
            </w:pPr>
          </w:p>
        </w:tc>
        <w:tc>
          <w:tcPr>
            <w:tcW w:w="78" w:type="pct"/>
            <w:gridSpan w:val="2"/>
            <w:tcBorders>
              <w:top w:val="nil"/>
              <w:left w:val="nil"/>
              <w:bottom w:val="nil"/>
              <w:right w:val="nil"/>
            </w:tcBorders>
          </w:tcPr>
          <w:p w14:paraId="240588CA" w14:textId="77777777" w:rsidR="006918A0" w:rsidRPr="00A96D00" w:rsidRDefault="006918A0" w:rsidP="006918A0">
            <w:pPr>
              <w:spacing w:before="60" w:after="60" w:line="276" w:lineRule="auto"/>
              <w:ind w:right="-29"/>
              <w:jc w:val="center"/>
              <w:rPr>
                <w:noProof/>
                <w:sz w:val="18"/>
                <w:szCs w:val="18"/>
              </w:rPr>
            </w:pPr>
          </w:p>
        </w:tc>
        <w:tc>
          <w:tcPr>
            <w:tcW w:w="394" w:type="pct"/>
            <w:tcBorders>
              <w:top w:val="nil"/>
              <w:left w:val="nil"/>
              <w:bottom w:val="nil"/>
              <w:right w:val="nil"/>
            </w:tcBorders>
          </w:tcPr>
          <w:p w14:paraId="035D7A0A" w14:textId="77777777" w:rsidR="006918A0" w:rsidRPr="00A96D00" w:rsidRDefault="006918A0" w:rsidP="006918A0">
            <w:pPr>
              <w:spacing w:before="60" w:after="60" w:line="276" w:lineRule="auto"/>
              <w:ind w:right="-29"/>
              <w:jc w:val="center"/>
              <w:rPr>
                <w:noProof/>
                <w:sz w:val="18"/>
                <w:szCs w:val="18"/>
              </w:rPr>
            </w:pPr>
          </w:p>
        </w:tc>
      </w:tr>
      <w:tr w:rsidR="006918A0" w:rsidRPr="00A96D00" w14:paraId="56AA0DB7"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373700DF" w14:textId="77777777" w:rsidR="006918A0" w:rsidRPr="00A96D00" w:rsidRDefault="006918A0" w:rsidP="006918A0">
            <w:pPr>
              <w:spacing w:line="276" w:lineRule="auto"/>
              <w:ind w:right="-29"/>
              <w:jc w:val="center"/>
              <w:rPr>
                <w:noProof/>
                <w:sz w:val="18"/>
                <w:szCs w:val="18"/>
              </w:rPr>
            </w:pPr>
            <w:r w:rsidRPr="00A96D00">
              <w:rPr>
                <w:noProof/>
                <w:sz w:val="18"/>
              </w:rPr>
              <w:t>Specifikacije</w:t>
            </w:r>
          </w:p>
        </w:tc>
        <w:tc>
          <w:tcPr>
            <w:tcW w:w="249" w:type="pct"/>
            <w:tcBorders>
              <w:top w:val="single" w:sz="4" w:space="0" w:color="auto"/>
              <w:left w:val="single" w:sz="4" w:space="0" w:color="auto"/>
              <w:bottom w:val="single" w:sz="4" w:space="0" w:color="auto"/>
              <w:right w:val="single" w:sz="4" w:space="0" w:color="auto"/>
            </w:tcBorders>
          </w:tcPr>
          <w:p w14:paraId="54294407" w14:textId="77777777" w:rsidR="006918A0" w:rsidRPr="00A96D0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E23924A" w14:textId="77777777" w:rsidR="006918A0" w:rsidRPr="00A96D0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dashSmallGap" w:sz="4" w:space="0" w:color="auto"/>
            </w:tcBorders>
          </w:tcPr>
          <w:p w14:paraId="45B0013E" w14:textId="77777777" w:rsidR="006918A0" w:rsidRPr="00A96D00" w:rsidRDefault="006918A0" w:rsidP="006918A0">
            <w:pPr>
              <w:spacing w:line="276" w:lineRule="auto"/>
              <w:ind w:right="-29"/>
              <w:jc w:val="center"/>
              <w:rPr>
                <w:noProof/>
                <w:sz w:val="18"/>
                <w:szCs w:val="18"/>
              </w:rPr>
            </w:pPr>
          </w:p>
        </w:tc>
        <w:tc>
          <w:tcPr>
            <w:tcW w:w="266" w:type="pct"/>
            <w:tcBorders>
              <w:top w:val="single" w:sz="4" w:space="0" w:color="auto"/>
              <w:left w:val="dashSmallGap" w:sz="4" w:space="0" w:color="auto"/>
              <w:bottom w:val="single" w:sz="4" w:space="0" w:color="auto"/>
              <w:right w:val="single" w:sz="4" w:space="0" w:color="auto"/>
            </w:tcBorders>
            <w:hideMark/>
          </w:tcPr>
          <w:p w14:paraId="0C2C71A2" w14:textId="77777777" w:rsidR="006918A0" w:rsidRPr="00A96D00" w:rsidRDefault="006918A0" w:rsidP="006918A0">
            <w:pPr>
              <w:spacing w:line="276" w:lineRule="auto"/>
              <w:ind w:right="-29"/>
              <w:jc w:val="center"/>
              <w:rPr>
                <w:noProof/>
                <w:sz w:val="18"/>
                <w:szCs w:val="18"/>
              </w:rPr>
            </w:pPr>
            <w:r w:rsidRPr="00A96D00">
              <w:rPr>
                <w:noProof/>
                <w:sz w:val="18"/>
              </w:rPr>
              <w:t>0,150</w:t>
            </w:r>
          </w:p>
        </w:tc>
        <w:tc>
          <w:tcPr>
            <w:tcW w:w="281" w:type="pct"/>
            <w:tcBorders>
              <w:top w:val="single" w:sz="4" w:space="0" w:color="auto"/>
              <w:left w:val="single" w:sz="4" w:space="0" w:color="auto"/>
              <w:bottom w:val="single" w:sz="4" w:space="0" w:color="auto"/>
              <w:right w:val="dashSmallGap" w:sz="4" w:space="0" w:color="auto"/>
            </w:tcBorders>
          </w:tcPr>
          <w:p w14:paraId="200FF99E" w14:textId="77777777" w:rsidR="006918A0" w:rsidRPr="00A96D00" w:rsidRDefault="006918A0" w:rsidP="006918A0">
            <w:pPr>
              <w:spacing w:line="276" w:lineRule="auto"/>
              <w:ind w:right="-29"/>
              <w:jc w:val="center"/>
              <w:rPr>
                <w:noProof/>
                <w:sz w:val="18"/>
                <w:szCs w:val="18"/>
              </w:rPr>
            </w:pPr>
          </w:p>
        </w:tc>
        <w:tc>
          <w:tcPr>
            <w:tcW w:w="256" w:type="pct"/>
            <w:tcBorders>
              <w:top w:val="single" w:sz="4" w:space="0" w:color="auto"/>
              <w:left w:val="dashSmallGap" w:sz="4" w:space="0" w:color="auto"/>
              <w:bottom w:val="single" w:sz="4" w:space="0" w:color="auto"/>
              <w:right w:val="single" w:sz="4" w:space="0" w:color="auto"/>
            </w:tcBorders>
            <w:hideMark/>
          </w:tcPr>
          <w:p w14:paraId="1FE7EADB" w14:textId="77777777" w:rsidR="006918A0" w:rsidRPr="00A96D00" w:rsidRDefault="006918A0" w:rsidP="006918A0">
            <w:pPr>
              <w:spacing w:line="276" w:lineRule="auto"/>
              <w:ind w:right="-29"/>
              <w:jc w:val="center"/>
              <w:rPr>
                <w:noProof/>
                <w:sz w:val="18"/>
                <w:szCs w:val="18"/>
              </w:rPr>
            </w:pPr>
            <w:r w:rsidRPr="00A96D00">
              <w:rPr>
                <w:noProof/>
                <w:sz w:val="18"/>
              </w:rPr>
              <w:t>0,100</w:t>
            </w:r>
          </w:p>
        </w:tc>
        <w:tc>
          <w:tcPr>
            <w:tcW w:w="298" w:type="pct"/>
            <w:tcBorders>
              <w:top w:val="single" w:sz="4" w:space="0" w:color="auto"/>
              <w:left w:val="single" w:sz="4" w:space="0" w:color="auto"/>
              <w:bottom w:val="single" w:sz="4" w:space="0" w:color="auto"/>
              <w:right w:val="dashSmallGap" w:sz="4" w:space="0" w:color="auto"/>
            </w:tcBorders>
          </w:tcPr>
          <w:p w14:paraId="1F299FD7" w14:textId="77777777" w:rsidR="006918A0" w:rsidRPr="00A96D00" w:rsidRDefault="006918A0" w:rsidP="006918A0">
            <w:pPr>
              <w:spacing w:line="276" w:lineRule="auto"/>
              <w:ind w:right="-29"/>
              <w:jc w:val="center"/>
              <w:rPr>
                <w:noProof/>
                <w:sz w:val="18"/>
                <w:szCs w:val="18"/>
              </w:rPr>
            </w:pPr>
          </w:p>
        </w:tc>
        <w:tc>
          <w:tcPr>
            <w:tcW w:w="246" w:type="pct"/>
            <w:tcBorders>
              <w:top w:val="single" w:sz="4" w:space="0" w:color="auto"/>
              <w:left w:val="dashSmallGap" w:sz="4" w:space="0" w:color="auto"/>
              <w:bottom w:val="single" w:sz="4" w:space="0" w:color="auto"/>
              <w:right w:val="single" w:sz="4" w:space="0" w:color="auto"/>
            </w:tcBorders>
          </w:tcPr>
          <w:p w14:paraId="1AE5AB23" w14:textId="77777777" w:rsidR="006918A0" w:rsidRPr="00A96D00"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dashSmallGap" w:sz="4" w:space="0" w:color="auto"/>
            </w:tcBorders>
          </w:tcPr>
          <w:p w14:paraId="77E321BF" w14:textId="77777777" w:rsidR="006918A0" w:rsidRPr="00A96D00" w:rsidRDefault="006918A0" w:rsidP="006918A0">
            <w:pPr>
              <w:spacing w:line="276" w:lineRule="auto"/>
              <w:ind w:right="-29"/>
              <w:jc w:val="center"/>
              <w:rPr>
                <w:noProof/>
                <w:sz w:val="18"/>
                <w:szCs w:val="18"/>
              </w:rPr>
            </w:pPr>
          </w:p>
        </w:tc>
        <w:tc>
          <w:tcPr>
            <w:tcW w:w="225" w:type="pct"/>
            <w:tcBorders>
              <w:top w:val="single" w:sz="4" w:space="0" w:color="auto"/>
              <w:left w:val="dashSmallGap" w:sz="4" w:space="0" w:color="auto"/>
              <w:bottom w:val="single" w:sz="4" w:space="0" w:color="auto"/>
              <w:right w:val="single" w:sz="4" w:space="0" w:color="auto"/>
            </w:tcBorders>
          </w:tcPr>
          <w:p w14:paraId="5F9299E4" w14:textId="77777777" w:rsidR="006918A0" w:rsidRPr="00A96D00"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dashSmallGap" w:sz="4" w:space="0" w:color="auto"/>
            </w:tcBorders>
          </w:tcPr>
          <w:p w14:paraId="1626A343" w14:textId="77777777" w:rsidR="006918A0" w:rsidRPr="00A96D00" w:rsidRDefault="006918A0" w:rsidP="006918A0">
            <w:pPr>
              <w:spacing w:line="276" w:lineRule="auto"/>
              <w:ind w:right="-29"/>
              <w:jc w:val="center"/>
              <w:rPr>
                <w:noProof/>
                <w:sz w:val="18"/>
                <w:szCs w:val="18"/>
              </w:rPr>
            </w:pPr>
          </w:p>
        </w:tc>
        <w:tc>
          <w:tcPr>
            <w:tcW w:w="241" w:type="pct"/>
            <w:tcBorders>
              <w:top w:val="single" w:sz="4" w:space="0" w:color="auto"/>
              <w:left w:val="dashSmallGap" w:sz="4" w:space="0" w:color="auto"/>
              <w:bottom w:val="single" w:sz="4" w:space="0" w:color="auto"/>
              <w:right w:val="single" w:sz="4" w:space="0" w:color="auto"/>
            </w:tcBorders>
          </w:tcPr>
          <w:p w14:paraId="6351F63D" w14:textId="77777777" w:rsidR="006918A0" w:rsidRPr="00A96D0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dashSmallGap" w:sz="4" w:space="0" w:color="auto"/>
            </w:tcBorders>
          </w:tcPr>
          <w:p w14:paraId="5A606524" w14:textId="77777777" w:rsidR="006918A0" w:rsidRPr="00A96D00" w:rsidRDefault="006918A0" w:rsidP="006918A0">
            <w:pPr>
              <w:spacing w:line="276" w:lineRule="auto"/>
              <w:ind w:right="-29"/>
              <w:jc w:val="center"/>
              <w:rPr>
                <w:noProof/>
                <w:sz w:val="18"/>
                <w:szCs w:val="18"/>
              </w:rPr>
            </w:pPr>
          </w:p>
        </w:tc>
        <w:tc>
          <w:tcPr>
            <w:tcW w:w="318" w:type="pct"/>
            <w:gridSpan w:val="2"/>
            <w:tcBorders>
              <w:top w:val="single" w:sz="4" w:space="0" w:color="auto"/>
              <w:left w:val="dashSmallGap" w:sz="4" w:space="0" w:color="auto"/>
              <w:bottom w:val="single" w:sz="4" w:space="0" w:color="auto"/>
              <w:right w:val="single" w:sz="4" w:space="0" w:color="auto"/>
            </w:tcBorders>
          </w:tcPr>
          <w:p w14:paraId="3F14EDE5" w14:textId="77777777" w:rsidR="006918A0" w:rsidRPr="00A96D0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20F73F89" w14:textId="77777777" w:rsidR="006918A0" w:rsidRPr="00A96D0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484D4056" w14:textId="77777777" w:rsidR="006918A0" w:rsidRPr="00A96D00" w:rsidRDefault="006918A0" w:rsidP="006918A0">
            <w:pPr>
              <w:spacing w:line="276" w:lineRule="auto"/>
              <w:ind w:right="-29"/>
              <w:jc w:val="right"/>
              <w:rPr>
                <w:noProof/>
                <w:sz w:val="18"/>
                <w:szCs w:val="18"/>
              </w:rPr>
            </w:pPr>
            <w:r w:rsidRPr="00A96D00">
              <w:rPr>
                <w:b/>
                <w:noProof/>
                <w:sz w:val="18"/>
              </w:rPr>
              <w:t>0,250</w:t>
            </w:r>
          </w:p>
        </w:tc>
      </w:tr>
      <w:tr w:rsidR="006918A0" w:rsidRPr="00A96D00" w14:paraId="6ECF543E"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54DD0397" w14:textId="77777777" w:rsidR="006918A0" w:rsidRPr="00A96D00" w:rsidRDefault="006918A0" w:rsidP="006918A0">
            <w:pPr>
              <w:spacing w:line="276" w:lineRule="auto"/>
              <w:ind w:right="-29"/>
              <w:jc w:val="center"/>
              <w:rPr>
                <w:noProof/>
                <w:sz w:val="18"/>
                <w:szCs w:val="18"/>
              </w:rPr>
            </w:pPr>
            <w:r w:rsidRPr="00A96D00">
              <w:rPr>
                <w:noProof/>
                <w:sz w:val="18"/>
              </w:rPr>
              <w:t>Razvoj</w:t>
            </w:r>
          </w:p>
        </w:tc>
        <w:tc>
          <w:tcPr>
            <w:tcW w:w="249" w:type="pct"/>
            <w:tcBorders>
              <w:top w:val="single" w:sz="4" w:space="0" w:color="auto"/>
              <w:left w:val="single" w:sz="4" w:space="0" w:color="auto"/>
              <w:bottom w:val="single" w:sz="4" w:space="0" w:color="auto"/>
              <w:right w:val="single" w:sz="4" w:space="0" w:color="auto"/>
            </w:tcBorders>
          </w:tcPr>
          <w:p w14:paraId="3DDF9717" w14:textId="77777777" w:rsidR="006918A0" w:rsidRPr="00A96D0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5B42206" w14:textId="77777777" w:rsidR="006918A0" w:rsidRPr="00A96D0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dashSmallGap" w:sz="4" w:space="0" w:color="auto"/>
            </w:tcBorders>
          </w:tcPr>
          <w:p w14:paraId="2A8A23C3" w14:textId="77777777" w:rsidR="006918A0" w:rsidRPr="00A96D00" w:rsidRDefault="006918A0" w:rsidP="006918A0">
            <w:pPr>
              <w:spacing w:line="276" w:lineRule="auto"/>
              <w:ind w:right="-29"/>
              <w:jc w:val="center"/>
              <w:rPr>
                <w:noProof/>
                <w:sz w:val="18"/>
                <w:szCs w:val="18"/>
              </w:rPr>
            </w:pPr>
          </w:p>
        </w:tc>
        <w:tc>
          <w:tcPr>
            <w:tcW w:w="266" w:type="pct"/>
            <w:tcBorders>
              <w:top w:val="single" w:sz="4" w:space="0" w:color="auto"/>
              <w:left w:val="dashSmallGap" w:sz="4" w:space="0" w:color="auto"/>
              <w:bottom w:val="single" w:sz="4" w:space="0" w:color="auto"/>
              <w:right w:val="single" w:sz="4" w:space="0" w:color="auto"/>
            </w:tcBorders>
          </w:tcPr>
          <w:p w14:paraId="108AB2AE" w14:textId="77777777" w:rsidR="006918A0" w:rsidRPr="00A96D0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dashSmallGap" w:sz="4" w:space="0" w:color="auto"/>
            </w:tcBorders>
          </w:tcPr>
          <w:p w14:paraId="33F57196" w14:textId="77777777" w:rsidR="006918A0" w:rsidRPr="00A96D00" w:rsidRDefault="006918A0" w:rsidP="006918A0">
            <w:pPr>
              <w:spacing w:line="276" w:lineRule="auto"/>
              <w:ind w:right="-29"/>
              <w:jc w:val="center"/>
              <w:rPr>
                <w:noProof/>
                <w:sz w:val="18"/>
                <w:szCs w:val="18"/>
              </w:rPr>
            </w:pPr>
          </w:p>
        </w:tc>
        <w:tc>
          <w:tcPr>
            <w:tcW w:w="256" w:type="pct"/>
            <w:tcBorders>
              <w:top w:val="single" w:sz="4" w:space="0" w:color="auto"/>
              <w:left w:val="dashSmallGap" w:sz="4" w:space="0" w:color="auto"/>
              <w:bottom w:val="single" w:sz="4" w:space="0" w:color="auto"/>
              <w:right w:val="single" w:sz="4" w:space="0" w:color="auto"/>
            </w:tcBorders>
            <w:hideMark/>
          </w:tcPr>
          <w:p w14:paraId="6A13600E" w14:textId="77777777" w:rsidR="006918A0" w:rsidRPr="00A96D00" w:rsidRDefault="006918A0" w:rsidP="006918A0">
            <w:pPr>
              <w:spacing w:line="276" w:lineRule="auto"/>
              <w:ind w:right="-29"/>
              <w:jc w:val="center"/>
              <w:rPr>
                <w:noProof/>
                <w:sz w:val="18"/>
                <w:szCs w:val="18"/>
              </w:rPr>
            </w:pPr>
            <w:r w:rsidRPr="00A96D00">
              <w:rPr>
                <w:noProof/>
                <w:sz w:val="18"/>
              </w:rPr>
              <w:t>0,300</w:t>
            </w:r>
          </w:p>
        </w:tc>
        <w:tc>
          <w:tcPr>
            <w:tcW w:w="298" w:type="pct"/>
            <w:tcBorders>
              <w:top w:val="single" w:sz="4" w:space="0" w:color="auto"/>
              <w:left w:val="single" w:sz="4" w:space="0" w:color="auto"/>
              <w:bottom w:val="single" w:sz="4" w:space="0" w:color="auto"/>
              <w:right w:val="dashSmallGap" w:sz="4" w:space="0" w:color="auto"/>
            </w:tcBorders>
          </w:tcPr>
          <w:p w14:paraId="0458EDC1" w14:textId="77777777" w:rsidR="006918A0" w:rsidRPr="00A96D00" w:rsidRDefault="006918A0" w:rsidP="006918A0">
            <w:pPr>
              <w:spacing w:line="276" w:lineRule="auto"/>
              <w:ind w:right="-29"/>
              <w:jc w:val="center"/>
              <w:rPr>
                <w:noProof/>
                <w:sz w:val="18"/>
                <w:szCs w:val="18"/>
              </w:rPr>
            </w:pPr>
          </w:p>
        </w:tc>
        <w:tc>
          <w:tcPr>
            <w:tcW w:w="246" w:type="pct"/>
            <w:tcBorders>
              <w:top w:val="single" w:sz="4" w:space="0" w:color="auto"/>
              <w:left w:val="dashSmallGap" w:sz="4" w:space="0" w:color="auto"/>
              <w:bottom w:val="single" w:sz="4" w:space="0" w:color="auto"/>
              <w:right w:val="single" w:sz="4" w:space="0" w:color="auto"/>
            </w:tcBorders>
            <w:hideMark/>
          </w:tcPr>
          <w:p w14:paraId="62A5B178" w14:textId="77777777" w:rsidR="006918A0" w:rsidRPr="00A96D00" w:rsidRDefault="006918A0" w:rsidP="006918A0">
            <w:pPr>
              <w:spacing w:line="276" w:lineRule="auto"/>
              <w:ind w:right="-29"/>
              <w:jc w:val="center"/>
              <w:rPr>
                <w:noProof/>
                <w:sz w:val="18"/>
                <w:szCs w:val="18"/>
              </w:rPr>
            </w:pPr>
            <w:r w:rsidRPr="00A96D00">
              <w:rPr>
                <w:noProof/>
                <w:sz w:val="18"/>
              </w:rPr>
              <w:t>0,200</w:t>
            </w:r>
          </w:p>
        </w:tc>
        <w:tc>
          <w:tcPr>
            <w:tcW w:w="367" w:type="pct"/>
            <w:tcBorders>
              <w:top w:val="single" w:sz="4" w:space="0" w:color="auto"/>
              <w:left w:val="single" w:sz="4" w:space="0" w:color="auto"/>
              <w:bottom w:val="single" w:sz="4" w:space="0" w:color="auto"/>
              <w:right w:val="dashSmallGap" w:sz="4" w:space="0" w:color="auto"/>
            </w:tcBorders>
          </w:tcPr>
          <w:p w14:paraId="099636D1" w14:textId="77777777" w:rsidR="006918A0" w:rsidRPr="00A96D00" w:rsidRDefault="006918A0" w:rsidP="006918A0">
            <w:pPr>
              <w:spacing w:line="276" w:lineRule="auto"/>
              <w:ind w:right="-29"/>
              <w:jc w:val="center"/>
              <w:rPr>
                <w:noProof/>
                <w:sz w:val="18"/>
                <w:szCs w:val="18"/>
              </w:rPr>
            </w:pPr>
          </w:p>
        </w:tc>
        <w:tc>
          <w:tcPr>
            <w:tcW w:w="225" w:type="pct"/>
            <w:tcBorders>
              <w:top w:val="single" w:sz="4" w:space="0" w:color="auto"/>
              <w:left w:val="dashSmallGap" w:sz="4" w:space="0" w:color="auto"/>
              <w:bottom w:val="single" w:sz="4" w:space="0" w:color="auto"/>
              <w:right w:val="single" w:sz="4" w:space="0" w:color="auto"/>
            </w:tcBorders>
            <w:hideMark/>
          </w:tcPr>
          <w:p w14:paraId="62C1AAD1" w14:textId="77777777" w:rsidR="006918A0" w:rsidRPr="00A96D00" w:rsidRDefault="006918A0" w:rsidP="006918A0">
            <w:pPr>
              <w:spacing w:line="276" w:lineRule="auto"/>
              <w:ind w:right="-29"/>
              <w:jc w:val="center"/>
              <w:rPr>
                <w:noProof/>
                <w:sz w:val="18"/>
                <w:szCs w:val="18"/>
              </w:rPr>
            </w:pPr>
            <w:r w:rsidRPr="00A96D00">
              <w:rPr>
                <w:noProof/>
                <w:sz w:val="18"/>
              </w:rPr>
              <w:t>0,150</w:t>
            </w:r>
          </w:p>
        </w:tc>
        <w:tc>
          <w:tcPr>
            <w:tcW w:w="258" w:type="pct"/>
            <w:tcBorders>
              <w:top w:val="single" w:sz="4" w:space="0" w:color="auto"/>
              <w:left w:val="single" w:sz="4" w:space="0" w:color="auto"/>
              <w:bottom w:val="single" w:sz="4" w:space="0" w:color="auto"/>
              <w:right w:val="dashSmallGap" w:sz="4" w:space="0" w:color="auto"/>
            </w:tcBorders>
          </w:tcPr>
          <w:p w14:paraId="3AC30B4A" w14:textId="77777777" w:rsidR="006918A0" w:rsidRPr="00A96D00" w:rsidRDefault="006918A0" w:rsidP="006918A0">
            <w:pPr>
              <w:spacing w:line="276" w:lineRule="auto"/>
              <w:ind w:right="-29"/>
              <w:jc w:val="center"/>
              <w:rPr>
                <w:noProof/>
                <w:sz w:val="18"/>
                <w:szCs w:val="18"/>
              </w:rPr>
            </w:pPr>
          </w:p>
        </w:tc>
        <w:tc>
          <w:tcPr>
            <w:tcW w:w="241" w:type="pct"/>
            <w:tcBorders>
              <w:top w:val="single" w:sz="4" w:space="0" w:color="auto"/>
              <w:left w:val="dashSmallGap" w:sz="4" w:space="0" w:color="auto"/>
              <w:bottom w:val="single" w:sz="4" w:space="0" w:color="auto"/>
              <w:right w:val="single" w:sz="4" w:space="0" w:color="auto"/>
            </w:tcBorders>
          </w:tcPr>
          <w:p w14:paraId="6794D6EB" w14:textId="77777777" w:rsidR="006918A0" w:rsidRPr="00A96D0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dashSmallGap" w:sz="4" w:space="0" w:color="auto"/>
            </w:tcBorders>
          </w:tcPr>
          <w:p w14:paraId="5405E8AF" w14:textId="77777777" w:rsidR="006918A0" w:rsidRPr="00A96D00" w:rsidRDefault="006918A0" w:rsidP="006918A0">
            <w:pPr>
              <w:spacing w:line="276" w:lineRule="auto"/>
              <w:ind w:right="-29"/>
              <w:jc w:val="center"/>
              <w:rPr>
                <w:noProof/>
                <w:sz w:val="18"/>
                <w:szCs w:val="18"/>
              </w:rPr>
            </w:pPr>
          </w:p>
        </w:tc>
        <w:tc>
          <w:tcPr>
            <w:tcW w:w="318" w:type="pct"/>
            <w:gridSpan w:val="2"/>
            <w:tcBorders>
              <w:top w:val="single" w:sz="4" w:space="0" w:color="auto"/>
              <w:left w:val="dashSmallGap" w:sz="4" w:space="0" w:color="auto"/>
              <w:bottom w:val="single" w:sz="4" w:space="0" w:color="auto"/>
              <w:right w:val="single" w:sz="4" w:space="0" w:color="auto"/>
            </w:tcBorders>
          </w:tcPr>
          <w:p w14:paraId="01BC7053" w14:textId="77777777" w:rsidR="006918A0" w:rsidRPr="00A96D0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352DBF19" w14:textId="77777777" w:rsidR="006918A0" w:rsidRPr="00A96D0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708FC99" w14:textId="77777777" w:rsidR="006918A0" w:rsidRPr="00A96D00" w:rsidRDefault="006918A0" w:rsidP="006918A0">
            <w:pPr>
              <w:spacing w:line="276" w:lineRule="auto"/>
              <w:ind w:right="-29"/>
              <w:jc w:val="right"/>
              <w:rPr>
                <w:noProof/>
                <w:sz w:val="18"/>
                <w:szCs w:val="18"/>
              </w:rPr>
            </w:pPr>
            <w:r w:rsidRPr="00A96D00">
              <w:rPr>
                <w:b/>
                <w:noProof/>
                <w:sz w:val="18"/>
              </w:rPr>
              <w:t>0,650</w:t>
            </w:r>
          </w:p>
        </w:tc>
      </w:tr>
      <w:tr w:rsidR="006918A0" w:rsidRPr="00A96D00" w14:paraId="188A4ED3"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22DFC67C" w14:textId="77777777" w:rsidR="006918A0" w:rsidRPr="00A96D00" w:rsidRDefault="006918A0" w:rsidP="006918A0">
            <w:pPr>
              <w:spacing w:line="276" w:lineRule="auto"/>
              <w:ind w:right="-29"/>
              <w:jc w:val="center"/>
              <w:rPr>
                <w:noProof/>
                <w:sz w:val="18"/>
                <w:szCs w:val="18"/>
              </w:rPr>
            </w:pPr>
            <w:r w:rsidRPr="00A96D00">
              <w:rPr>
                <w:noProof/>
                <w:sz w:val="18"/>
              </w:rPr>
              <w:t>Održavanje</w:t>
            </w:r>
          </w:p>
        </w:tc>
        <w:tc>
          <w:tcPr>
            <w:tcW w:w="249" w:type="pct"/>
            <w:tcBorders>
              <w:top w:val="single" w:sz="4" w:space="0" w:color="auto"/>
              <w:left w:val="single" w:sz="4" w:space="0" w:color="auto"/>
              <w:bottom w:val="single" w:sz="4" w:space="0" w:color="auto"/>
              <w:right w:val="single" w:sz="4" w:space="0" w:color="auto"/>
            </w:tcBorders>
          </w:tcPr>
          <w:p w14:paraId="7DCE558A" w14:textId="77777777" w:rsidR="006918A0" w:rsidRPr="00A96D0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6FB48ECF" w14:textId="77777777" w:rsidR="006918A0" w:rsidRPr="00A96D0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7CD788D1" w14:textId="77777777" w:rsidR="006918A0" w:rsidRPr="00A96D0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73A8B03C" w14:textId="77777777" w:rsidR="006918A0" w:rsidRPr="00A96D0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297DE6CF" w14:textId="77777777" w:rsidR="006918A0" w:rsidRPr="00A96D0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5E0C5429" w14:textId="77777777" w:rsidR="006918A0" w:rsidRPr="00A96D0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1A05953E" w14:textId="77777777" w:rsidR="006918A0" w:rsidRPr="00A96D0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tcPr>
          <w:p w14:paraId="633B3806" w14:textId="77777777" w:rsidR="006918A0" w:rsidRPr="00A96D00"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single" w:sz="4" w:space="0" w:color="auto"/>
            </w:tcBorders>
          </w:tcPr>
          <w:p w14:paraId="71E12979" w14:textId="77777777" w:rsidR="006918A0" w:rsidRPr="00A96D0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66010B5A" w14:textId="77777777" w:rsidR="006918A0" w:rsidRPr="00A96D00" w:rsidRDefault="006918A0" w:rsidP="006918A0">
            <w:pPr>
              <w:spacing w:line="276" w:lineRule="auto"/>
              <w:ind w:right="-29"/>
              <w:jc w:val="center"/>
              <w:rPr>
                <w:noProof/>
                <w:sz w:val="18"/>
                <w:szCs w:val="18"/>
              </w:rPr>
            </w:pPr>
            <w:r w:rsidRPr="00A96D00">
              <w:rPr>
                <w:noProof/>
                <w:sz w:val="18"/>
              </w:rPr>
              <w:t>0,100</w:t>
            </w:r>
          </w:p>
        </w:tc>
        <w:tc>
          <w:tcPr>
            <w:tcW w:w="258" w:type="pct"/>
            <w:tcBorders>
              <w:top w:val="single" w:sz="4" w:space="0" w:color="auto"/>
              <w:left w:val="single" w:sz="4" w:space="0" w:color="auto"/>
              <w:bottom w:val="single" w:sz="4" w:space="0" w:color="auto"/>
              <w:right w:val="single" w:sz="4" w:space="0" w:color="auto"/>
            </w:tcBorders>
          </w:tcPr>
          <w:p w14:paraId="511D7A66" w14:textId="77777777" w:rsidR="006918A0" w:rsidRPr="00A96D0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72ED7ACF" w14:textId="77777777" w:rsidR="006918A0" w:rsidRPr="00A96D00" w:rsidRDefault="006918A0" w:rsidP="006918A0">
            <w:pPr>
              <w:spacing w:line="276" w:lineRule="auto"/>
              <w:ind w:right="-29"/>
              <w:jc w:val="center"/>
              <w:rPr>
                <w:noProof/>
                <w:sz w:val="18"/>
                <w:szCs w:val="18"/>
              </w:rPr>
            </w:pPr>
            <w:r w:rsidRPr="00A96D00">
              <w:rPr>
                <w:noProof/>
                <w:sz w:val="18"/>
              </w:rPr>
              <w:t>0,100</w:t>
            </w:r>
          </w:p>
        </w:tc>
        <w:tc>
          <w:tcPr>
            <w:tcW w:w="249" w:type="pct"/>
            <w:gridSpan w:val="2"/>
            <w:tcBorders>
              <w:top w:val="single" w:sz="4" w:space="0" w:color="auto"/>
              <w:left w:val="single" w:sz="4" w:space="0" w:color="auto"/>
              <w:bottom w:val="single" w:sz="4" w:space="0" w:color="auto"/>
              <w:right w:val="single" w:sz="4" w:space="0" w:color="auto"/>
            </w:tcBorders>
          </w:tcPr>
          <w:p w14:paraId="1B8D5CA6" w14:textId="77777777" w:rsidR="006918A0" w:rsidRPr="00A96D0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1928131D" w14:textId="77777777" w:rsidR="006918A0" w:rsidRPr="00A96D00" w:rsidRDefault="006918A0" w:rsidP="006918A0">
            <w:pPr>
              <w:spacing w:line="276" w:lineRule="auto"/>
              <w:ind w:right="-29"/>
              <w:jc w:val="center"/>
              <w:rPr>
                <w:noProof/>
                <w:sz w:val="18"/>
                <w:szCs w:val="18"/>
              </w:rPr>
            </w:pPr>
            <w:r w:rsidRPr="00A96D00">
              <w:rPr>
                <w:noProof/>
                <w:sz w:val="18"/>
              </w:rPr>
              <w:t>0,100</w:t>
            </w:r>
          </w:p>
        </w:tc>
        <w:tc>
          <w:tcPr>
            <w:tcW w:w="223" w:type="pct"/>
            <w:gridSpan w:val="3"/>
            <w:tcBorders>
              <w:top w:val="single" w:sz="4" w:space="0" w:color="auto"/>
              <w:left w:val="single" w:sz="4" w:space="0" w:color="auto"/>
              <w:bottom w:val="single" w:sz="4" w:space="0" w:color="auto"/>
              <w:right w:val="single" w:sz="4" w:space="0" w:color="auto"/>
            </w:tcBorders>
          </w:tcPr>
          <w:p w14:paraId="31720BF7" w14:textId="77777777" w:rsidR="006918A0" w:rsidRPr="00A96D0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F41C0B1" w14:textId="77777777" w:rsidR="006918A0" w:rsidRPr="00A96D00" w:rsidRDefault="006918A0" w:rsidP="006918A0">
            <w:pPr>
              <w:spacing w:line="276" w:lineRule="auto"/>
              <w:ind w:right="-29"/>
              <w:jc w:val="right"/>
              <w:rPr>
                <w:noProof/>
                <w:sz w:val="18"/>
                <w:szCs w:val="18"/>
              </w:rPr>
            </w:pPr>
            <w:r w:rsidRPr="00A96D00">
              <w:rPr>
                <w:b/>
                <w:noProof/>
                <w:sz w:val="18"/>
              </w:rPr>
              <w:t>0,300</w:t>
            </w:r>
          </w:p>
        </w:tc>
      </w:tr>
      <w:tr w:rsidR="006918A0" w:rsidRPr="00A96D00" w14:paraId="6D06F24B"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0CFEA655" w14:textId="77777777" w:rsidR="006918A0" w:rsidRPr="00A96D00" w:rsidRDefault="006918A0" w:rsidP="006918A0">
            <w:pPr>
              <w:spacing w:line="276" w:lineRule="auto"/>
              <w:ind w:right="-29"/>
              <w:jc w:val="center"/>
              <w:rPr>
                <w:noProof/>
                <w:sz w:val="18"/>
              </w:rPr>
            </w:pPr>
            <w:r w:rsidRPr="00A96D00">
              <w:rPr>
                <w:noProof/>
                <w:sz w:val="18"/>
              </w:rPr>
              <w:t>Potpora</w:t>
            </w:r>
          </w:p>
        </w:tc>
        <w:tc>
          <w:tcPr>
            <w:tcW w:w="249" w:type="pct"/>
            <w:tcBorders>
              <w:top w:val="single" w:sz="4" w:space="0" w:color="auto"/>
              <w:left w:val="single" w:sz="4" w:space="0" w:color="auto"/>
              <w:bottom w:val="single" w:sz="4" w:space="0" w:color="auto"/>
              <w:right w:val="single" w:sz="4" w:space="0" w:color="auto"/>
            </w:tcBorders>
          </w:tcPr>
          <w:p w14:paraId="203FCEC4" w14:textId="77777777" w:rsidR="006918A0" w:rsidRPr="00A96D0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AEBFE68" w14:textId="77777777" w:rsidR="006918A0" w:rsidRPr="00A96D0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5A8BC761" w14:textId="77777777" w:rsidR="006918A0" w:rsidRPr="00A96D0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3F6CA7C9" w14:textId="77777777" w:rsidR="006918A0" w:rsidRPr="00A96D0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466D91CD" w14:textId="77777777" w:rsidR="006918A0" w:rsidRPr="00A96D0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7F3FC2" w14:textId="77777777" w:rsidR="006918A0" w:rsidRPr="00A96D0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50BDF0F5" w14:textId="77777777" w:rsidR="006918A0" w:rsidRPr="00A96D0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21D1CE08" w14:textId="77777777" w:rsidR="006918A0" w:rsidRPr="00A96D00" w:rsidRDefault="006918A0" w:rsidP="006918A0">
            <w:pPr>
              <w:spacing w:line="276" w:lineRule="auto"/>
              <w:ind w:right="-29"/>
              <w:jc w:val="center"/>
              <w:rPr>
                <w:noProof/>
                <w:sz w:val="18"/>
                <w:szCs w:val="18"/>
              </w:rPr>
            </w:pPr>
            <w:r w:rsidRPr="00A96D00">
              <w:rPr>
                <w:noProof/>
                <w:sz w:val="18"/>
              </w:rPr>
              <w:t>0,020</w:t>
            </w:r>
          </w:p>
        </w:tc>
        <w:tc>
          <w:tcPr>
            <w:tcW w:w="367" w:type="pct"/>
            <w:tcBorders>
              <w:top w:val="single" w:sz="4" w:space="0" w:color="auto"/>
              <w:left w:val="single" w:sz="4" w:space="0" w:color="auto"/>
              <w:bottom w:val="single" w:sz="4" w:space="0" w:color="auto"/>
              <w:right w:val="single" w:sz="4" w:space="0" w:color="auto"/>
            </w:tcBorders>
          </w:tcPr>
          <w:p w14:paraId="08D9D962" w14:textId="77777777" w:rsidR="006918A0" w:rsidRPr="00A96D0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28753B3A" w14:textId="77777777" w:rsidR="006918A0" w:rsidRPr="00A96D00" w:rsidRDefault="006918A0" w:rsidP="006918A0">
            <w:pPr>
              <w:spacing w:line="276" w:lineRule="auto"/>
              <w:ind w:right="-29"/>
              <w:jc w:val="center"/>
              <w:rPr>
                <w:noProof/>
                <w:sz w:val="18"/>
                <w:szCs w:val="18"/>
              </w:rPr>
            </w:pPr>
            <w:r w:rsidRPr="00A96D00">
              <w:rPr>
                <w:noProof/>
                <w:sz w:val="18"/>
              </w:rPr>
              <w:t>0,020</w:t>
            </w:r>
          </w:p>
        </w:tc>
        <w:tc>
          <w:tcPr>
            <w:tcW w:w="258" w:type="pct"/>
            <w:tcBorders>
              <w:top w:val="single" w:sz="4" w:space="0" w:color="auto"/>
              <w:left w:val="single" w:sz="4" w:space="0" w:color="auto"/>
              <w:bottom w:val="single" w:sz="4" w:space="0" w:color="auto"/>
              <w:right w:val="single" w:sz="4" w:space="0" w:color="auto"/>
            </w:tcBorders>
          </w:tcPr>
          <w:p w14:paraId="346DE382" w14:textId="77777777" w:rsidR="006918A0" w:rsidRPr="00A96D0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76BDB7FB" w14:textId="77777777" w:rsidR="006918A0" w:rsidRPr="00A96D00" w:rsidRDefault="006918A0" w:rsidP="006918A0">
            <w:pPr>
              <w:spacing w:line="276" w:lineRule="auto"/>
              <w:ind w:right="-29"/>
              <w:jc w:val="center"/>
              <w:rPr>
                <w:noProof/>
                <w:sz w:val="18"/>
                <w:szCs w:val="18"/>
              </w:rPr>
            </w:pPr>
            <w:r w:rsidRPr="00A96D00">
              <w:rPr>
                <w:noProof/>
                <w:sz w:val="18"/>
              </w:rPr>
              <w:t>0,020</w:t>
            </w:r>
          </w:p>
        </w:tc>
        <w:tc>
          <w:tcPr>
            <w:tcW w:w="249" w:type="pct"/>
            <w:gridSpan w:val="2"/>
            <w:tcBorders>
              <w:top w:val="single" w:sz="4" w:space="0" w:color="auto"/>
              <w:left w:val="single" w:sz="4" w:space="0" w:color="auto"/>
              <w:bottom w:val="single" w:sz="4" w:space="0" w:color="auto"/>
              <w:right w:val="single" w:sz="4" w:space="0" w:color="auto"/>
            </w:tcBorders>
          </w:tcPr>
          <w:p w14:paraId="67481C81" w14:textId="77777777" w:rsidR="006918A0" w:rsidRPr="00A96D0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547A78AC" w14:textId="77777777" w:rsidR="006918A0" w:rsidRPr="00A96D00" w:rsidRDefault="006918A0" w:rsidP="006918A0">
            <w:pPr>
              <w:spacing w:line="276" w:lineRule="auto"/>
              <w:ind w:right="-29"/>
              <w:jc w:val="center"/>
              <w:rPr>
                <w:noProof/>
                <w:sz w:val="18"/>
                <w:szCs w:val="18"/>
              </w:rPr>
            </w:pPr>
            <w:r w:rsidRPr="00A96D00">
              <w:rPr>
                <w:noProof/>
                <w:sz w:val="18"/>
              </w:rPr>
              <w:t>0,020</w:t>
            </w:r>
          </w:p>
        </w:tc>
        <w:tc>
          <w:tcPr>
            <w:tcW w:w="223" w:type="pct"/>
            <w:gridSpan w:val="3"/>
            <w:tcBorders>
              <w:top w:val="single" w:sz="4" w:space="0" w:color="auto"/>
              <w:left w:val="single" w:sz="4" w:space="0" w:color="auto"/>
              <w:bottom w:val="single" w:sz="4" w:space="0" w:color="auto"/>
              <w:right w:val="single" w:sz="4" w:space="0" w:color="auto"/>
            </w:tcBorders>
          </w:tcPr>
          <w:p w14:paraId="79744954" w14:textId="77777777" w:rsidR="006918A0" w:rsidRPr="00A96D0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D2E1C77" w14:textId="77777777" w:rsidR="006918A0" w:rsidRPr="00A96D00" w:rsidRDefault="006918A0" w:rsidP="006918A0">
            <w:pPr>
              <w:spacing w:line="276" w:lineRule="auto"/>
              <w:ind w:right="-29"/>
              <w:jc w:val="right"/>
              <w:rPr>
                <w:noProof/>
                <w:sz w:val="18"/>
                <w:szCs w:val="18"/>
              </w:rPr>
            </w:pPr>
            <w:r w:rsidRPr="00A96D00">
              <w:rPr>
                <w:b/>
                <w:noProof/>
                <w:sz w:val="18"/>
              </w:rPr>
              <w:t>0,080</w:t>
            </w:r>
          </w:p>
        </w:tc>
      </w:tr>
      <w:tr w:rsidR="006918A0" w:rsidRPr="00A96D00" w14:paraId="25B012D3"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3E8A2B32" w14:textId="77777777" w:rsidR="006918A0" w:rsidRPr="00A96D00" w:rsidRDefault="006918A0" w:rsidP="006918A0">
            <w:pPr>
              <w:spacing w:line="276" w:lineRule="auto"/>
              <w:ind w:right="-29"/>
              <w:jc w:val="center"/>
              <w:rPr>
                <w:noProof/>
                <w:sz w:val="18"/>
              </w:rPr>
            </w:pPr>
            <w:r w:rsidRPr="00A96D00">
              <w:rPr>
                <w:noProof/>
                <w:sz w:val="18"/>
              </w:rPr>
              <w:t>Osposobljavanje</w:t>
            </w:r>
          </w:p>
        </w:tc>
        <w:tc>
          <w:tcPr>
            <w:tcW w:w="249" w:type="pct"/>
            <w:tcBorders>
              <w:top w:val="single" w:sz="4" w:space="0" w:color="auto"/>
              <w:left w:val="single" w:sz="4" w:space="0" w:color="auto"/>
              <w:bottom w:val="single" w:sz="4" w:space="0" w:color="auto"/>
              <w:right w:val="single" w:sz="4" w:space="0" w:color="auto"/>
            </w:tcBorders>
          </w:tcPr>
          <w:p w14:paraId="55A7F20F" w14:textId="77777777" w:rsidR="006918A0" w:rsidRPr="00A96D0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26FDFB93" w14:textId="77777777" w:rsidR="006918A0" w:rsidRPr="00A96D0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78A8ECDF" w14:textId="77777777" w:rsidR="006918A0" w:rsidRPr="00A96D0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0394293E" w14:textId="77777777" w:rsidR="006918A0" w:rsidRPr="00A96D0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65FED74F" w14:textId="77777777" w:rsidR="006918A0" w:rsidRPr="00A96D0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7C96DCD8" w14:textId="77777777" w:rsidR="006918A0" w:rsidRPr="00A96D0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42A340EE" w14:textId="77777777" w:rsidR="006918A0" w:rsidRPr="00A96D0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0BFECB0C" w14:textId="77777777" w:rsidR="006918A0" w:rsidRPr="00A96D00" w:rsidRDefault="006918A0" w:rsidP="006918A0">
            <w:pPr>
              <w:spacing w:line="276" w:lineRule="auto"/>
              <w:ind w:right="-29"/>
              <w:jc w:val="center"/>
              <w:rPr>
                <w:noProof/>
                <w:sz w:val="18"/>
                <w:szCs w:val="18"/>
              </w:rPr>
            </w:pPr>
            <w:r w:rsidRPr="00A96D00">
              <w:rPr>
                <w:noProof/>
                <w:sz w:val="18"/>
              </w:rPr>
              <w:t>0,020</w:t>
            </w:r>
          </w:p>
        </w:tc>
        <w:tc>
          <w:tcPr>
            <w:tcW w:w="367" w:type="pct"/>
            <w:tcBorders>
              <w:top w:val="single" w:sz="4" w:space="0" w:color="auto"/>
              <w:left w:val="single" w:sz="4" w:space="0" w:color="auto"/>
              <w:bottom w:val="single" w:sz="4" w:space="0" w:color="auto"/>
              <w:right w:val="single" w:sz="4" w:space="0" w:color="auto"/>
            </w:tcBorders>
          </w:tcPr>
          <w:p w14:paraId="48C04401" w14:textId="77777777" w:rsidR="006918A0" w:rsidRPr="00A96D0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12FDC07E" w14:textId="77777777" w:rsidR="006918A0" w:rsidRPr="00A96D00"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single" w:sz="4" w:space="0" w:color="auto"/>
            </w:tcBorders>
          </w:tcPr>
          <w:p w14:paraId="2BCE6B5B" w14:textId="77777777" w:rsidR="006918A0" w:rsidRPr="00A96D0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tcPr>
          <w:p w14:paraId="28F943C6" w14:textId="77777777" w:rsidR="006918A0" w:rsidRPr="00A96D0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single" w:sz="4" w:space="0" w:color="auto"/>
            </w:tcBorders>
          </w:tcPr>
          <w:p w14:paraId="7DA9C1DE" w14:textId="77777777" w:rsidR="006918A0" w:rsidRPr="00A96D0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tcPr>
          <w:p w14:paraId="747F51AA" w14:textId="77777777" w:rsidR="006918A0" w:rsidRPr="00A96D0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536CD5E0" w14:textId="77777777" w:rsidR="006918A0" w:rsidRPr="00A96D0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155DA9A" w14:textId="77777777" w:rsidR="006918A0" w:rsidRPr="00A96D00" w:rsidRDefault="006918A0" w:rsidP="006918A0">
            <w:pPr>
              <w:spacing w:line="276" w:lineRule="auto"/>
              <w:ind w:right="-29"/>
              <w:jc w:val="right"/>
              <w:rPr>
                <w:noProof/>
                <w:sz w:val="18"/>
                <w:szCs w:val="18"/>
              </w:rPr>
            </w:pPr>
            <w:r w:rsidRPr="00A96D00">
              <w:rPr>
                <w:b/>
                <w:noProof/>
                <w:sz w:val="18"/>
              </w:rPr>
              <w:t>0,020</w:t>
            </w:r>
          </w:p>
        </w:tc>
      </w:tr>
      <w:tr w:rsidR="006918A0" w:rsidRPr="00A96D00" w14:paraId="6B20B7AE" w14:textId="77777777" w:rsidTr="000430BD">
        <w:trPr>
          <w:trHeight w:hRule="exact" w:val="1106"/>
          <w:jc w:val="center"/>
        </w:trPr>
        <w:tc>
          <w:tcPr>
            <w:tcW w:w="483" w:type="pct"/>
            <w:tcBorders>
              <w:top w:val="single" w:sz="4" w:space="0" w:color="auto"/>
              <w:left w:val="single" w:sz="4" w:space="0" w:color="auto"/>
              <w:bottom w:val="single" w:sz="4" w:space="0" w:color="auto"/>
              <w:right w:val="single" w:sz="4" w:space="0" w:color="auto"/>
            </w:tcBorders>
            <w:hideMark/>
          </w:tcPr>
          <w:p w14:paraId="6ECEEA10" w14:textId="77777777" w:rsidR="006918A0" w:rsidRPr="00A96D00" w:rsidRDefault="006918A0" w:rsidP="006918A0">
            <w:pPr>
              <w:spacing w:line="276" w:lineRule="auto"/>
              <w:ind w:right="-29"/>
              <w:jc w:val="center"/>
              <w:rPr>
                <w:noProof/>
                <w:sz w:val="18"/>
              </w:rPr>
            </w:pPr>
            <w:bookmarkStart w:id="20" w:name="OLE_LINK1"/>
            <w:r w:rsidRPr="00A96D00">
              <w:rPr>
                <w:noProof/>
                <w:sz w:val="18"/>
              </w:rPr>
              <w:t>ITSM (infrastruktura, hosting, dozvole itd.)</w:t>
            </w:r>
            <w:bookmarkEnd w:id="20"/>
          </w:p>
        </w:tc>
        <w:tc>
          <w:tcPr>
            <w:tcW w:w="249" w:type="pct"/>
            <w:tcBorders>
              <w:top w:val="single" w:sz="4" w:space="0" w:color="auto"/>
              <w:left w:val="single" w:sz="4" w:space="0" w:color="auto"/>
              <w:bottom w:val="single" w:sz="4" w:space="0" w:color="auto"/>
              <w:right w:val="single" w:sz="4" w:space="0" w:color="auto"/>
            </w:tcBorders>
          </w:tcPr>
          <w:p w14:paraId="12F6579C" w14:textId="77777777" w:rsidR="006918A0" w:rsidRPr="00A96D0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0F8BAF73" w14:textId="77777777" w:rsidR="006918A0" w:rsidRPr="00A96D0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7CD695F5" w14:textId="77777777" w:rsidR="006918A0" w:rsidRPr="00A96D0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4F43C746" w14:textId="77777777" w:rsidR="006918A0" w:rsidRPr="00A96D0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7640983A" w14:textId="77777777" w:rsidR="006918A0" w:rsidRPr="00A96D0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hideMark/>
          </w:tcPr>
          <w:p w14:paraId="271CD412" w14:textId="77777777" w:rsidR="006918A0" w:rsidRPr="00A96D00" w:rsidRDefault="006918A0" w:rsidP="006918A0">
            <w:pPr>
              <w:spacing w:line="276" w:lineRule="auto"/>
              <w:ind w:right="-29"/>
              <w:jc w:val="center"/>
              <w:rPr>
                <w:noProof/>
                <w:sz w:val="18"/>
                <w:szCs w:val="18"/>
              </w:rPr>
            </w:pPr>
            <w:r w:rsidRPr="00A96D00">
              <w:rPr>
                <w:noProof/>
                <w:sz w:val="18"/>
              </w:rPr>
              <w:t>0,020</w:t>
            </w:r>
          </w:p>
        </w:tc>
        <w:tc>
          <w:tcPr>
            <w:tcW w:w="298" w:type="pct"/>
            <w:tcBorders>
              <w:top w:val="single" w:sz="4" w:space="0" w:color="auto"/>
              <w:left w:val="single" w:sz="4" w:space="0" w:color="auto"/>
              <w:bottom w:val="single" w:sz="4" w:space="0" w:color="auto"/>
              <w:right w:val="single" w:sz="4" w:space="0" w:color="auto"/>
            </w:tcBorders>
          </w:tcPr>
          <w:p w14:paraId="180078B4" w14:textId="77777777" w:rsidR="006918A0" w:rsidRPr="00A96D0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652353C6" w14:textId="77777777" w:rsidR="006918A0" w:rsidRPr="00A96D00" w:rsidRDefault="006918A0" w:rsidP="006918A0">
            <w:pPr>
              <w:spacing w:line="276" w:lineRule="auto"/>
              <w:ind w:right="-29"/>
              <w:jc w:val="center"/>
              <w:rPr>
                <w:noProof/>
                <w:sz w:val="18"/>
                <w:szCs w:val="18"/>
              </w:rPr>
            </w:pPr>
            <w:r w:rsidRPr="00A96D00">
              <w:rPr>
                <w:noProof/>
                <w:sz w:val="18"/>
              </w:rPr>
              <w:t>0,060</w:t>
            </w:r>
          </w:p>
        </w:tc>
        <w:tc>
          <w:tcPr>
            <w:tcW w:w="367" w:type="pct"/>
            <w:tcBorders>
              <w:top w:val="single" w:sz="4" w:space="0" w:color="auto"/>
              <w:left w:val="single" w:sz="4" w:space="0" w:color="auto"/>
              <w:bottom w:val="single" w:sz="4" w:space="0" w:color="auto"/>
              <w:right w:val="single" w:sz="4" w:space="0" w:color="auto"/>
            </w:tcBorders>
          </w:tcPr>
          <w:p w14:paraId="1751D096" w14:textId="77777777" w:rsidR="006918A0" w:rsidRPr="00A96D0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38BBD56C" w14:textId="77777777" w:rsidR="006918A0" w:rsidRPr="00A96D00" w:rsidRDefault="006918A0" w:rsidP="006918A0">
            <w:pPr>
              <w:spacing w:line="276" w:lineRule="auto"/>
              <w:ind w:right="-29"/>
              <w:jc w:val="center"/>
              <w:rPr>
                <w:noProof/>
                <w:sz w:val="18"/>
                <w:szCs w:val="18"/>
              </w:rPr>
            </w:pPr>
            <w:r w:rsidRPr="00A96D00">
              <w:rPr>
                <w:noProof/>
                <w:sz w:val="18"/>
              </w:rPr>
              <w:t>0,060</w:t>
            </w:r>
          </w:p>
        </w:tc>
        <w:tc>
          <w:tcPr>
            <w:tcW w:w="258" w:type="pct"/>
            <w:tcBorders>
              <w:top w:val="single" w:sz="4" w:space="0" w:color="auto"/>
              <w:left w:val="single" w:sz="4" w:space="0" w:color="auto"/>
              <w:bottom w:val="single" w:sz="4" w:space="0" w:color="auto"/>
              <w:right w:val="single" w:sz="4" w:space="0" w:color="auto"/>
            </w:tcBorders>
          </w:tcPr>
          <w:p w14:paraId="18F75C4A" w14:textId="77777777" w:rsidR="006918A0" w:rsidRPr="00A96D0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649C445E" w14:textId="77777777" w:rsidR="006918A0" w:rsidRPr="00A96D00" w:rsidRDefault="006918A0" w:rsidP="006918A0">
            <w:pPr>
              <w:spacing w:line="276" w:lineRule="auto"/>
              <w:ind w:right="-29"/>
              <w:jc w:val="center"/>
              <w:rPr>
                <w:noProof/>
                <w:sz w:val="18"/>
                <w:szCs w:val="18"/>
              </w:rPr>
            </w:pPr>
            <w:r w:rsidRPr="00A96D00">
              <w:rPr>
                <w:noProof/>
                <w:sz w:val="18"/>
              </w:rPr>
              <w:t>0,060</w:t>
            </w:r>
          </w:p>
        </w:tc>
        <w:tc>
          <w:tcPr>
            <w:tcW w:w="249" w:type="pct"/>
            <w:gridSpan w:val="2"/>
            <w:tcBorders>
              <w:top w:val="single" w:sz="4" w:space="0" w:color="auto"/>
              <w:left w:val="single" w:sz="4" w:space="0" w:color="auto"/>
              <w:bottom w:val="single" w:sz="4" w:space="0" w:color="auto"/>
              <w:right w:val="single" w:sz="4" w:space="0" w:color="auto"/>
            </w:tcBorders>
          </w:tcPr>
          <w:p w14:paraId="59F7C0E9" w14:textId="77777777" w:rsidR="006918A0" w:rsidRPr="00A96D0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10B080AA" w14:textId="77777777" w:rsidR="006918A0" w:rsidRPr="00A96D00" w:rsidRDefault="006918A0" w:rsidP="006918A0">
            <w:pPr>
              <w:spacing w:line="276" w:lineRule="auto"/>
              <w:ind w:right="-29"/>
              <w:jc w:val="center"/>
              <w:rPr>
                <w:noProof/>
                <w:sz w:val="18"/>
                <w:szCs w:val="18"/>
              </w:rPr>
            </w:pPr>
            <w:r w:rsidRPr="00A96D00">
              <w:rPr>
                <w:noProof/>
                <w:sz w:val="18"/>
              </w:rPr>
              <w:t>0,060</w:t>
            </w:r>
          </w:p>
        </w:tc>
        <w:tc>
          <w:tcPr>
            <w:tcW w:w="223" w:type="pct"/>
            <w:gridSpan w:val="3"/>
            <w:tcBorders>
              <w:top w:val="single" w:sz="4" w:space="0" w:color="auto"/>
              <w:left w:val="single" w:sz="4" w:space="0" w:color="auto"/>
              <w:bottom w:val="single" w:sz="4" w:space="0" w:color="auto"/>
              <w:right w:val="single" w:sz="4" w:space="0" w:color="auto"/>
            </w:tcBorders>
          </w:tcPr>
          <w:p w14:paraId="5E44C150" w14:textId="77777777" w:rsidR="006918A0" w:rsidRPr="00A96D0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EB905D0" w14:textId="77777777" w:rsidR="006918A0" w:rsidRPr="00A96D00" w:rsidRDefault="006918A0" w:rsidP="006918A0">
            <w:pPr>
              <w:spacing w:line="276" w:lineRule="auto"/>
              <w:ind w:right="-29"/>
              <w:jc w:val="right"/>
              <w:rPr>
                <w:noProof/>
                <w:sz w:val="18"/>
                <w:szCs w:val="18"/>
              </w:rPr>
            </w:pPr>
            <w:r w:rsidRPr="00A96D00">
              <w:rPr>
                <w:b/>
                <w:noProof/>
                <w:sz w:val="18"/>
              </w:rPr>
              <w:t>0,260</w:t>
            </w:r>
          </w:p>
        </w:tc>
      </w:tr>
      <w:tr w:rsidR="006918A0" w:rsidRPr="00A96D00" w14:paraId="7A0845E2" w14:textId="77777777" w:rsidTr="000430BD">
        <w:trPr>
          <w:trHeight w:val="77"/>
          <w:jc w:val="center"/>
        </w:trPr>
        <w:tc>
          <w:tcPr>
            <w:tcW w:w="1083" w:type="pct"/>
            <w:gridSpan w:val="3"/>
            <w:tcBorders>
              <w:top w:val="single" w:sz="4" w:space="0" w:color="auto"/>
              <w:left w:val="single" w:sz="4" w:space="0" w:color="auto"/>
              <w:bottom w:val="single" w:sz="12" w:space="0" w:color="auto"/>
              <w:right w:val="single" w:sz="4" w:space="0" w:color="auto"/>
            </w:tcBorders>
            <w:vAlign w:val="center"/>
            <w:hideMark/>
          </w:tcPr>
          <w:p w14:paraId="6133741D" w14:textId="77777777" w:rsidR="006918A0" w:rsidRPr="00A96D00" w:rsidRDefault="006918A0" w:rsidP="006918A0">
            <w:pPr>
              <w:spacing w:line="276" w:lineRule="auto"/>
              <w:ind w:right="-29"/>
              <w:jc w:val="center"/>
              <w:rPr>
                <w:noProof/>
                <w:sz w:val="18"/>
                <w:szCs w:val="18"/>
              </w:rPr>
            </w:pPr>
            <w:r w:rsidRPr="00A96D00">
              <w:rPr>
                <w:noProof/>
                <w:sz w:val="18"/>
              </w:rPr>
              <w:t>Međuzbroj za specifični cilj br. 1</w:t>
            </w:r>
          </w:p>
        </w:tc>
        <w:tc>
          <w:tcPr>
            <w:tcW w:w="285" w:type="pct"/>
            <w:tcBorders>
              <w:top w:val="single" w:sz="4" w:space="0" w:color="auto"/>
              <w:left w:val="single" w:sz="4" w:space="0" w:color="auto"/>
              <w:bottom w:val="single" w:sz="12" w:space="0" w:color="auto"/>
              <w:right w:val="single" w:sz="4" w:space="0" w:color="auto"/>
            </w:tcBorders>
          </w:tcPr>
          <w:p w14:paraId="0DFA5794" w14:textId="77777777" w:rsidR="006918A0" w:rsidRPr="00A96D0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12" w:space="0" w:color="auto"/>
              <w:right w:val="single" w:sz="4" w:space="0" w:color="auto"/>
            </w:tcBorders>
            <w:hideMark/>
          </w:tcPr>
          <w:p w14:paraId="57FE707A" w14:textId="77777777" w:rsidR="006918A0" w:rsidRPr="00A96D00" w:rsidRDefault="006918A0" w:rsidP="006918A0">
            <w:pPr>
              <w:spacing w:line="276" w:lineRule="auto"/>
              <w:ind w:right="-29"/>
              <w:jc w:val="center"/>
              <w:rPr>
                <w:noProof/>
                <w:sz w:val="18"/>
                <w:szCs w:val="18"/>
              </w:rPr>
            </w:pPr>
            <w:r w:rsidRPr="00A96D00">
              <w:rPr>
                <w:b/>
                <w:noProof/>
                <w:sz w:val="18"/>
              </w:rPr>
              <w:t>0,150</w:t>
            </w:r>
          </w:p>
        </w:tc>
        <w:tc>
          <w:tcPr>
            <w:tcW w:w="281" w:type="pct"/>
            <w:tcBorders>
              <w:top w:val="single" w:sz="4" w:space="0" w:color="auto"/>
              <w:left w:val="single" w:sz="4" w:space="0" w:color="auto"/>
              <w:bottom w:val="single" w:sz="12" w:space="0" w:color="auto"/>
              <w:right w:val="single" w:sz="4" w:space="0" w:color="auto"/>
            </w:tcBorders>
          </w:tcPr>
          <w:p w14:paraId="572DDC80" w14:textId="77777777" w:rsidR="006918A0" w:rsidRPr="00A96D0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12" w:space="0" w:color="auto"/>
              <w:right w:val="single" w:sz="4" w:space="0" w:color="auto"/>
            </w:tcBorders>
            <w:hideMark/>
          </w:tcPr>
          <w:p w14:paraId="1570EEB9" w14:textId="77777777" w:rsidR="006918A0" w:rsidRPr="00A96D00" w:rsidRDefault="006918A0" w:rsidP="006918A0">
            <w:pPr>
              <w:spacing w:line="276" w:lineRule="auto"/>
              <w:ind w:right="-29"/>
              <w:jc w:val="center"/>
              <w:rPr>
                <w:noProof/>
                <w:sz w:val="18"/>
                <w:szCs w:val="18"/>
              </w:rPr>
            </w:pPr>
            <w:r w:rsidRPr="00A96D00">
              <w:rPr>
                <w:b/>
                <w:noProof/>
                <w:sz w:val="18"/>
              </w:rPr>
              <w:t>0,420</w:t>
            </w:r>
          </w:p>
        </w:tc>
        <w:tc>
          <w:tcPr>
            <w:tcW w:w="298" w:type="pct"/>
            <w:tcBorders>
              <w:top w:val="single" w:sz="4" w:space="0" w:color="auto"/>
              <w:left w:val="single" w:sz="4" w:space="0" w:color="auto"/>
              <w:bottom w:val="single" w:sz="12" w:space="0" w:color="auto"/>
              <w:right w:val="single" w:sz="4" w:space="0" w:color="auto"/>
            </w:tcBorders>
          </w:tcPr>
          <w:p w14:paraId="2882E8FA" w14:textId="77777777" w:rsidR="006918A0" w:rsidRPr="00A96D0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12" w:space="0" w:color="auto"/>
              <w:right w:val="single" w:sz="4" w:space="0" w:color="auto"/>
            </w:tcBorders>
            <w:hideMark/>
          </w:tcPr>
          <w:p w14:paraId="41309A62" w14:textId="77777777" w:rsidR="006918A0" w:rsidRPr="00A96D00" w:rsidRDefault="006918A0" w:rsidP="006918A0">
            <w:pPr>
              <w:spacing w:line="276" w:lineRule="auto"/>
              <w:ind w:right="-29"/>
              <w:jc w:val="center"/>
              <w:rPr>
                <w:noProof/>
                <w:sz w:val="18"/>
                <w:szCs w:val="18"/>
              </w:rPr>
            </w:pPr>
            <w:r w:rsidRPr="00A96D00">
              <w:rPr>
                <w:b/>
                <w:noProof/>
                <w:sz w:val="18"/>
              </w:rPr>
              <w:t>0,300</w:t>
            </w:r>
          </w:p>
        </w:tc>
        <w:tc>
          <w:tcPr>
            <w:tcW w:w="367" w:type="pct"/>
            <w:tcBorders>
              <w:top w:val="single" w:sz="4" w:space="0" w:color="auto"/>
              <w:left w:val="single" w:sz="4" w:space="0" w:color="auto"/>
              <w:bottom w:val="single" w:sz="12" w:space="0" w:color="auto"/>
              <w:right w:val="single" w:sz="4" w:space="0" w:color="auto"/>
            </w:tcBorders>
          </w:tcPr>
          <w:p w14:paraId="009F7A19" w14:textId="77777777" w:rsidR="006918A0" w:rsidRPr="00A96D0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12" w:space="0" w:color="auto"/>
              <w:right w:val="single" w:sz="4" w:space="0" w:color="auto"/>
            </w:tcBorders>
            <w:hideMark/>
          </w:tcPr>
          <w:p w14:paraId="011BB20E" w14:textId="77777777" w:rsidR="006918A0" w:rsidRPr="00A96D00" w:rsidRDefault="006918A0" w:rsidP="006918A0">
            <w:pPr>
              <w:spacing w:line="276" w:lineRule="auto"/>
              <w:ind w:right="-29"/>
              <w:jc w:val="center"/>
              <w:rPr>
                <w:noProof/>
                <w:sz w:val="18"/>
                <w:szCs w:val="18"/>
              </w:rPr>
            </w:pPr>
            <w:r w:rsidRPr="00A96D00">
              <w:rPr>
                <w:b/>
                <w:noProof/>
                <w:sz w:val="18"/>
              </w:rPr>
              <w:t>0,330</w:t>
            </w:r>
          </w:p>
        </w:tc>
        <w:tc>
          <w:tcPr>
            <w:tcW w:w="258" w:type="pct"/>
            <w:tcBorders>
              <w:top w:val="single" w:sz="4" w:space="0" w:color="auto"/>
              <w:left w:val="single" w:sz="4" w:space="0" w:color="auto"/>
              <w:bottom w:val="single" w:sz="12" w:space="0" w:color="auto"/>
              <w:right w:val="single" w:sz="4" w:space="0" w:color="auto"/>
            </w:tcBorders>
          </w:tcPr>
          <w:p w14:paraId="1E8A7391" w14:textId="77777777" w:rsidR="006918A0" w:rsidRPr="00A96D0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12" w:space="0" w:color="auto"/>
              <w:right w:val="single" w:sz="4" w:space="0" w:color="auto"/>
            </w:tcBorders>
            <w:hideMark/>
          </w:tcPr>
          <w:p w14:paraId="408054A8" w14:textId="77777777" w:rsidR="006918A0" w:rsidRPr="00A96D00" w:rsidRDefault="006918A0" w:rsidP="006918A0">
            <w:pPr>
              <w:spacing w:line="276" w:lineRule="auto"/>
              <w:ind w:right="-29"/>
              <w:jc w:val="center"/>
              <w:rPr>
                <w:noProof/>
                <w:sz w:val="18"/>
                <w:szCs w:val="18"/>
              </w:rPr>
            </w:pPr>
            <w:r w:rsidRPr="00A96D00">
              <w:rPr>
                <w:b/>
                <w:noProof/>
                <w:sz w:val="18"/>
              </w:rPr>
              <w:t>0,180</w:t>
            </w:r>
          </w:p>
        </w:tc>
        <w:tc>
          <w:tcPr>
            <w:tcW w:w="249" w:type="pct"/>
            <w:gridSpan w:val="2"/>
            <w:tcBorders>
              <w:top w:val="single" w:sz="4" w:space="0" w:color="auto"/>
              <w:left w:val="single" w:sz="4" w:space="0" w:color="auto"/>
              <w:bottom w:val="single" w:sz="12" w:space="0" w:color="auto"/>
              <w:right w:val="single" w:sz="4" w:space="0" w:color="auto"/>
            </w:tcBorders>
          </w:tcPr>
          <w:p w14:paraId="163C8D75" w14:textId="77777777" w:rsidR="006918A0" w:rsidRPr="00A96D0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12" w:space="0" w:color="auto"/>
              <w:right w:val="single" w:sz="4" w:space="0" w:color="auto"/>
            </w:tcBorders>
            <w:hideMark/>
          </w:tcPr>
          <w:p w14:paraId="2C0B8A30" w14:textId="77777777" w:rsidR="006918A0" w:rsidRPr="00A96D00" w:rsidRDefault="006918A0" w:rsidP="006918A0">
            <w:pPr>
              <w:spacing w:line="276" w:lineRule="auto"/>
              <w:ind w:right="-29"/>
              <w:jc w:val="center"/>
              <w:rPr>
                <w:noProof/>
                <w:sz w:val="18"/>
                <w:szCs w:val="18"/>
              </w:rPr>
            </w:pPr>
            <w:r w:rsidRPr="00A96D00">
              <w:rPr>
                <w:b/>
                <w:noProof/>
                <w:sz w:val="18"/>
              </w:rPr>
              <w:t>0,180</w:t>
            </w:r>
          </w:p>
        </w:tc>
        <w:tc>
          <w:tcPr>
            <w:tcW w:w="223" w:type="pct"/>
            <w:gridSpan w:val="3"/>
            <w:tcBorders>
              <w:top w:val="single" w:sz="4" w:space="0" w:color="auto"/>
              <w:left w:val="single" w:sz="4" w:space="0" w:color="auto"/>
              <w:bottom w:val="single" w:sz="12" w:space="0" w:color="auto"/>
              <w:right w:val="single" w:sz="4" w:space="0" w:color="auto"/>
            </w:tcBorders>
          </w:tcPr>
          <w:p w14:paraId="51C10E41" w14:textId="77777777" w:rsidR="006918A0" w:rsidRPr="00A96D0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12" w:space="0" w:color="auto"/>
              <w:right w:val="single" w:sz="4" w:space="0" w:color="auto"/>
            </w:tcBorders>
            <w:vAlign w:val="center"/>
            <w:hideMark/>
          </w:tcPr>
          <w:p w14:paraId="764CC401" w14:textId="77777777" w:rsidR="006918A0" w:rsidRPr="00A96D00" w:rsidRDefault="006918A0" w:rsidP="006918A0">
            <w:pPr>
              <w:spacing w:line="276" w:lineRule="auto"/>
              <w:ind w:right="-29"/>
              <w:jc w:val="right"/>
              <w:rPr>
                <w:noProof/>
                <w:sz w:val="18"/>
                <w:szCs w:val="18"/>
              </w:rPr>
            </w:pPr>
            <w:r w:rsidRPr="00A96D00">
              <w:rPr>
                <w:b/>
                <w:noProof/>
                <w:sz w:val="18"/>
              </w:rPr>
              <w:t>1,560</w:t>
            </w:r>
          </w:p>
        </w:tc>
      </w:tr>
      <w:tr w:rsidR="006918A0" w:rsidRPr="00A96D00" w14:paraId="1BDF07BB" w14:textId="77777777" w:rsidTr="000430BD">
        <w:trPr>
          <w:jc w:val="center"/>
        </w:trPr>
        <w:tc>
          <w:tcPr>
            <w:tcW w:w="1083" w:type="pct"/>
            <w:gridSpan w:val="3"/>
            <w:tcBorders>
              <w:top w:val="single" w:sz="4" w:space="0" w:color="auto"/>
              <w:left w:val="single" w:sz="4" w:space="0" w:color="auto"/>
              <w:bottom w:val="single" w:sz="4" w:space="0" w:color="auto"/>
              <w:right w:val="single" w:sz="4" w:space="0" w:color="auto"/>
            </w:tcBorders>
            <w:vAlign w:val="center"/>
            <w:hideMark/>
          </w:tcPr>
          <w:p w14:paraId="2A6DE21E" w14:textId="77777777" w:rsidR="006918A0" w:rsidRPr="00A96D00" w:rsidRDefault="006918A0" w:rsidP="006918A0">
            <w:pPr>
              <w:spacing w:before="60" w:after="60" w:line="276" w:lineRule="auto"/>
              <w:ind w:right="-29"/>
              <w:jc w:val="center"/>
              <w:rPr>
                <w:noProof/>
                <w:sz w:val="18"/>
                <w:szCs w:val="18"/>
              </w:rPr>
            </w:pPr>
            <w:r w:rsidRPr="00A96D00">
              <w:rPr>
                <w:noProof/>
                <w:sz w:val="18"/>
              </w:rPr>
              <w:t>SPECIFIČNI CILJ br. 2...</w:t>
            </w:r>
          </w:p>
        </w:tc>
        <w:tc>
          <w:tcPr>
            <w:tcW w:w="285" w:type="pct"/>
            <w:tcBorders>
              <w:top w:val="nil"/>
              <w:left w:val="nil"/>
              <w:bottom w:val="nil"/>
              <w:right w:val="nil"/>
            </w:tcBorders>
          </w:tcPr>
          <w:p w14:paraId="54886BD8" w14:textId="77777777" w:rsidR="006918A0" w:rsidRPr="00A96D00" w:rsidRDefault="006918A0" w:rsidP="006918A0">
            <w:pPr>
              <w:spacing w:before="60" w:after="60" w:line="276" w:lineRule="auto"/>
              <w:ind w:right="-29"/>
              <w:jc w:val="center"/>
              <w:rPr>
                <w:noProof/>
                <w:sz w:val="18"/>
                <w:szCs w:val="18"/>
              </w:rPr>
            </w:pPr>
          </w:p>
        </w:tc>
        <w:tc>
          <w:tcPr>
            <w:tcW w:w="266" w:type="pct"/>
            <w:tcBorders>
              <w:top w:val="nil"/>
              <w:left w:val="nil"/>
              <w:bottom w:val="nil"/>
              <w:right w:val="nil"/>
            </w:tcBorders>
          </w:tcPr>
          <w:p w14:paraId="109E1A3C" w14:textId="77777777" w:rsidR="006918A0" w:rsidRPr="00A96D00" w:rsidRDefault="006918A0" w:rsidP="006918A0">
            <w:pPr>
              <w:spacing w:before="60" w:after="60" w:line="276" w:lineRule="auto"/>
              <w:ind w:right="-29"/>
              <w:jc w:val="center"/>
              <w:rPr>
                <w:noProof/>
                <w:sz w:val="18"/>
                <w:szCs w:val="18"/>
              </w:rPr>
            </w:pPr>
          </w:p>
        </w:tc>
        <w:tc>
          <w:tcPr>
            <w:tcW w:w="281" w:type="pct"/>
            <w:tcBorders>
              <w:top w:val="nil"/>
              <w:left w:val="nil"/>
              <w:bottom w:val="nil"/>
              <w:right w:val="nil"/>
            </w:tcBorders>
          </w:tcPr>
          <w:p w14:paraId="1C611E54" w14:textId="77777777" w:rsidR="006918A0" w:rsidRPr="00A96D00" w:rsidRDefault="006918A0" w:rsidP="006918A0">
            <w:pPr>
              <w:spacing w:before="60" w:after="60" w:line="276" w:lineRule="auto"/>
              <w:ind w:right="-29"/>
              <w:jc w:val="center"/>
              <w:rPr>
                <w:noProof/>
                <w:sz w:val="18"/>
                <w:szCs w:val="18"/>
              </w:rPr>
            </w:pPr>
          </w:p>
        </w:tc>
        <w:tc>
          <w:tcPr>
            <w:tcW w:w="256" w:type="pct"/>
            <w:tcBorders>
              <w:top w:val="nil"/>
              <w:left w:val="nil"/>
              <w:bottom w:val="nil"/>
              <w:right w:val="nil"/>
            </w:tcBorders>
          </w:tcPr>
          <w:p w14:paraId="54D54EA3" w14:textId="77777777" w:rsidR="006918A0" w:rsidRPr="00A96D00" w:rsidRDefault="006918A0" w:rsidP="006918A0">
            <w:pPr>
              <w:spacing w:before="60" w:after="60" w:line="276" w:lineRule="auto"/>
              <w:ind w:right="-29"/>
              <w:jc w:val="center"/>
              <w:rPr>
                <w:noProof/>
                <w:sz w:val="18"/>
                <w:szCs w:val="18"/>
              </w:rPr>
            </w:pPr>
          </w:p>
        </w:tc>
        <w:tc>
          <w:tcPr>
            <w:tcW w:w="298" w:type="pct"/>
            <w:tcBorders>
              <w:top w:val="nil"/>
              <w:left w:val="nil"/>
              <w:bottom w:val="nil"/>
              <w:right w:val="nil"/>
            </w:tcBorders>
          </w:tcPr>
          <w:p w14:paraId="1636A00E" w14:textId="77777777" w:rsidR="006918A0" w:rsidRPr="00A96D00" w:rsidRDefault="006918A0" w:rsidP="006918A0">
            <w:pPr>
              <w:spacing w:before="60" w:after="60" w:line="276" w:lineRule="auto"/>
              <w:ind w:right="-29"/>
              <w:jc w:val="center"/>
              <w:rPr>
                <w:noProof/>
                <w:sz w:val="18"/>
                <w:szCs w:val="18"/>
              </w:rPr>
            </w:pPr>
          </w:p>
        </w:tc>
        <w:tc>
          <w:tcPr>
            <w:tcW w:w="246" w:type="pct"/>
            <w:tcBorders>
              <w:top w:val="nil"/>
              <w:left w:val="nil"/>
              <w:bottom w:val="nil"/>
              <w:right w:val="nil"/>
            </w:tcBorders>
          </w:tcPr>
          <w:p w14:paraId="48A6EE96" w14:textId="77777777" w:rsidR="006918A0" w:rsidRPr="00A96D00" w:rsidRDefault="006918A0" w:rsidP="006918A0">
            <w:pPr>
              <w:spacing w:before="60" w:after="60" w:line="276" w:lineRule="auto"/>
              <w:ind w:right="-29"/>
              <w:jc w:val="center"/>
              <w:rPr>
                <w:noProof/>
                <w:sz w:val="18"/>
                <w:szCs w:val="18"/>
              </w:rPr>
            </w:pPr>
          </w:p>
        </w:tc>
        <w:tc>
          <w:tcPr>
            <w:tcW w:w="367" w:type="pct"/>
            <w:tcBorders>
              <w:top w:val="nil"/>
              <w:left w:val="nil"/>
              <w:bottom w:val="nil"/>
              <w:right w:val="nil"/>
            </w:tcBorders>
          </w:tcPr>
          <w:p w14:paraId="471BBE7E" w14:textId="77777777" w:rsidR="006918A0" w:rsidRPr="00A96D00" w:rsidRDefault="006918A0" w:rsidP="006918A0">
            <w:pPr>
              <w:spacing w:before="60" w:after="60" w:line="276" w:lineRule="auto"/>
              <w:ind w:right="-29"/>
              <w:jc w:val="center"/>
              <w:rPr>
                <w:noProof/>
                <w:sz w:val="18"/>
                <w:szCs w:val="18"/>
              </w:rPr>
            </w:pPr>
          </w:p>
        </w:tc>
        <w:tc>
          <w:tcPr>
            <w:tcW w:w="225" w:type="pct"/>
            <w:tcBorders>
              <w:top w:val="nil"/>
              <w:left w:val="nil"/>
              <w:bottom w:val="nil"/>
              <w:right w:val="nil"/>
            </w:tcBorders>
          </w:tcPr>
          <w:p w14:paraId="0E67C4FD" w14:textId="77777777" w:rsidR="006918A0" w:rsidRPr="00A96D00" w:rsidRDefault="006918A0" w:rsidP="006918A0">
            <w:pPr>
              <w:spacing w:before="60" w:after="60" w:line="276" w:lineRule="auto"/>
              <w:ind w:right="-29"/>
              <w:jc w:val="center"/>
              <w:rPr>
                <w:noProof/>
                <w:sz w:val="18"/>
                <w:szCs w:val="18"/>
              </w:rPr>
            </w:pPr>
          </w:p>
        </w:tc>
        <w:tc>
          <w:tcPr>
            <w:tcW w:w="258" w:type="pct"/>
            <w:tcBorders>
              <w:top w:val="nil"/>
              <w:left w:val="nil"/>
              <w:bottom w:val="nil"/>
              <w:right w:val="nil"/>
            </w:tcBorders>
          </w:tcPr>
          <w:p w14:paraId="3DFCCFE3" w14:textId="77777777" w:rsidR="006918A0" w:rsidRPr="00A96D00" w:rsidRDefault="006918A0" w:rsidP="006918A0">
            <w:pPr>
              <w:spacing w:before="60" w:after="60" w:line="276" w:lineRule="auto"/>
              <w:ind w:right="-29"/>
              <w:jc w:val="center"/>
              <w:rPr>
                <w:noProof/>
                <w:sz w:val="18"/>
                <w:szCs w:val="18"/>
              </w:rPr>
            </w:pPr>
          </w:p>
        </w:tc>
        <w:tc>
          <w:tcPr>
            <w:tcW w:w="241" w:type="pct"/>
            <w:tcBorders>
              <w:top w:val="nil"/>
              <w:left w:val="nil"/>
              <w:bottom w:val="nil"/>
              <w:right w:val="nil"/>
            </w:tcBorders>
          </w:tcPr>
          <w:p w14:paraId="26C0173A" w14:textId="77777777" w:rsidR="006918A0" w:rsidRPr="00A96D00" w:rsidRDefault="006918A0" w:rsidP="006918A0">
            <w:pPr>
              <w:spacing w:before="60" w:after="60" w:line="276" w:lineRule="auto"/>
              <w:ind w:right="-29"/>
              <w:jc w:val="center"/>
              <w:rPr>
                <w:noProof/>
                <w:sz w:val="18"/>
                <w:szCs w:val="18"/>
              </w:rPr>
            </w:pPr>
          </w:p>
        </w:tc>
        <w:tc>
          <w:tcPr>
            <w:tcW w:w="249" w:type="pct"/>
            <w:gridSpan w:val="2"/>
            <w:tcBorders>
              <w:top w:val="nil"/>
              <w:left w:val="nil"/>
              <w:bottom w:val="nil"/>
              <w:right w:val="nil"/>
            </w:tcBorders>
          </w:tcPr>
          <w:p w14:paraId="3247C4CB" w14:textId="77777777" w:rsidR="006918A0" w:rsidRPr="00A96D00" w:rsidRDefault="006918A0" w:rsidP="006918A0">
            <w:pPr>
              <w:spacing w:before="60" w:after="60" w:line="276" w:lineRule="auto"/>
              <w:ind w:right="-29"/>
              <w:jc w:val="center"/>
              <w:rPr>
                <w:noProof/>
                <w:sz w:val="18"/>
                <w:szCs w:val="18"/>
              </w:rPr>
            </w:pPr>
          </w:p>
        </w:tc>
        <w:tc>
          <w:tcPr>
            <w:tcW w:w="264" w:type="pct"/>
            <w:tcBorders>
              <w:top w:val="nil"/>
              <w:left w:val="nil"/>
              <w:bottom w:val="nil"/>
              <w:right w:val="nil"/>
            </w:tcBorders>
          </w:tcPr>
          <w:p w14:paraId="0655667B" w14:textId="77777777" w:rsidR="006918A0" w:rsidRPr="00A96D00" w:rsidRDefault="006918A0" w:rsidP="006918A0">
            <w:pPr>
              <w:spacing w:before="60" w:after="60" w:line="276" w:lineRule="auto"/>
              <w:ind w:right="-29"/>
              <w:jc w:val="center"/>
              <w:rPr>
                <w:noProof/>
                <w:sz w:val="18"/>
                <w:szCs w:val="18"/>
              </w:rPr>
            </w:pPr>
          </w:p>
        </w:tc>
        <w:tc>
          <w:tcPr>
            <w:tcW w:w="129" w:type="pct"/>
            <w:gridSpan w:val="2"/>
            <w:tcBorders>
              <w:top w:val="nil"/>
              <w:left w:val="nil"/>
              <w:bottom w:val="nil"/>
              <w:right w:val="nil"/>
            </w:tcBorders>
          </w:tcPr>
          <w:p w14:paraId="15494225" w14:textId="77777777" w:rsidR="006918A0" w:rsidRPr="00A96D00" w:rsidRDefault="006918A0" w:rsidP="006918A0">
            <w:pPr>
              <w:spacing w:before="60" w:after="60" w:line="276" w:lineRule="auto"/>
              <w:ind w:right="-29"/>
              <w:jc w:val="center"/>
              <w:rPr>
                <w:noProof/>
                <w:sz w:val="18"/>
                <w:szCs w:val="18"/>
              </w:rPr>
            </w:pPr>
          </w:p>
        </w:tc>
        <w:tc>
          <w:tcPr>
            <w:tcW w:w="79" w:type="pct"/>
            <w:tcBorders>
              <w:top w:val="nil"/>
              <w:left w:val="nil"/>
              <w:bottom w:val="nil"/>
              <w:right w:val="nil"/>
            </w:tcBorders>
          </w:tcPr>
          <w:p w14:paraId="367B4787" w14:textId="77777777" w:rsidR="006918A0" w:rsidRPr="00A96D00" w:rsidRDefault="006918A0" w:rsidP="006918A0">
            <w:pPr>
              <w:spacing w:before="60" w:after="60" w:line="276" w:lineRule="auto"/>
              <w:ind w:right="-29"/>
              <w:jc w:val="center"/>
              <w:rPr>
                <w:noProof/>
                <w:sz w:val="18"/>
                <w:szCs w:val="18"/>
              </w:rPr>
            </w:pPr>
          </w:p>
        </w:tc>
        <w:tc>
          <w:tcPr>
            <w:tcW w:w="78" w:type="pct"/>
            <w:gridSpan w:val="2"/>
            <w:tcBorders>
              <w:top w:val="nil"/>
              <w:left w:val="nil"/>
              <w:bottom w:val="nil"/>
              <w:right w:val="nil"/>
            </w:tcBorders>
            <w:vAlign w:val="center"/>
          </w:tcPr>
          <w:p w14:paraId="3273E7D3" w14:textId="77777777" w:rsidR="006918A0" w:rsidRPr="00A96D00" w:rsidRDefault="006918A0" w:rsidP="006918A0">
            <w:pPr>
              <w:spacing w:before="60" w:after="60" w:line="276" w:lineRule="auto"/>
              <w:ind w:right="-29"/>
              <w:jc w:val="right"/>
              <w:rPr>
                <w:noProof/>
                <w:sz w:val="18"/>
                <w:szCs w:val="18"/>
              </w:rPr>
            </w:pPr>
          </w:p>
        </w:tc>
        <w:tc>
          <w:tcPr>
            <w:tcW w:w="394" w:type="pct"/>
            <w:tcBorders>
              <w:top w:val="nil"/>
              <w:left w:val="nil"/>
              <w:bottom w:val="nil"/>
              <w:right w:val="nil"/>
            </w:tcBorders>
            <w:vAlign w:val="center"/>
          </w:tcPr>
          <w:p w14:paraId="23916511" w14:textId="77777777" w:rsidR="006918A0" w:rsidRPr="00A96D00" w:rsidRDefault="006918A0" w:rsidP="006918A0">
            <w:pPr>
              <w:spacing w:before="60" w:after="60" w:line="276" w:lineRule="auto"/>
              <w:ind w:right="-29"/>
              <w:jc w:val="right"/>
              <w:rPr>
                <w:noProof/>
                <w:sz w:val="18"/>
                <w:szCs w:val="18"/>
              </w:rPr>
            </w:pPr>
          </w:p>
        </w:tc>
      </w:tr>
      <w:tr w:rsidR="006918A0" w:rsidRPr="00A96D00" w14:paraId="65C43922"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56386082" w14:textId="77777777" w:rsidR="006918A0" w:rsidRPr="00A96D00" w:rsidRDefault="006918A0" w:rsidP="006918A0">
            <w:pPr>
              <w:spacing w:line="276" w:lineRule="auto"/>
              <w:ind w:right="-29"/>
              <w:jc w:val="center"/>
              <w:rPr>
                <w:noProof/>
                <w:sz w:val="18"/>
                <w:szCs w:val="18"/>
              </w:rPr>
            </w:pPr>
            <w:r w:rsidRPr="00A96D00">
              <w:rPr>
                <w:noProof/>
                <w:sz w:val="18"/>
              </w:rPr>
              <w:t>– rezultat</w:t>
            </w:r>
          </w:p>
        </w:tc>
        <w:tc>
          <w:tcPr>
            <w:tcW w:w="249" w:type="pct"/>
            <w:tcBorders>
              <w:top w:val="single" w:sz="4" w:space="0" w:color="auto"/>
              <w:left w:val="single" w:sz="4" w:space="0" w:color="auto"/>
              <w:bottom w:val="single" w:sz="4" w:space="0" w:color="auto"/>
              <w:right w:val="single" w:sz="4" w:space="0" w:color="auto"/>
            </w:tcBorders>
          </w:tcPr>
          <w:p w14:paraId="4BDB3152" w14:textId="77777777" w:rsidR="006918A0" w:rsidRPr="00A96D0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32FFE551" w14:textId="77777777" w:rsidR="006918A0" w:rsidRPr="00A96D0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1E0D15B1" w14:textId="77777777" w:rsidR="006918A0" w:rsidRPr="00A96D0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7705E2CA" w14:textId="77777777" w:rsidR="006918A0" w:rsidRPr="00A96D0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37DA6821" w14:textId="77777777" w:rsidR="006918A0" w:rsidRPr="00A96D0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50D9807F" w14:textId="77777777" w:rsidR="006918A0" w:rsidRPr="00A96D0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43235F0E" w14:textId="77777777" w:rsidR="006918A0" w:rsidRPr="00A96D0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tcPr>
          <w:p w14:paraId="3F026A89" w14:textId="77777777" w:rsidR="006918A0" w:rsidRPr="00A96D00"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single" w:sz="4" w:space="0" w:color="auto"/>
            </w:tcBorders>
          </w:tcPr>
          <w:p w14:paraId="5ABDEA6D" w14:textId="77777777" w:rsidR="006918A0" w:rsidRPr="00A96D0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42D73D93" w14:textId="77777777" w:rsidR="006918A0" w:rsidRPr="00A96D00"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single" w:sz="4" w:space="0" w:color="auto"/>
            </w:tcBorders>
          </w:tcPr>
          <w:p w14:paraId="56621268" w14:textId="77777777" w:rsidR="006918A0" w:rsidRPr="00A96D0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tcPr>
          <w:p w14:paraId="0B69101A" w14:textId="77777777" w:rsidR="006918A0" w:rsidRPr="00A96D0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single" w:sz="4" w:space="0" w:color="auto"/>
            </w:tcBorders>
          </w:tcPr>
          <w:p w14:paraId="589B73A2" w14:textId="77777777" w:rsidR="006918A0" w:rsidRPr="00A96D0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tcPr>
          <w:p w14:paraId="5EB004E9" w14:textId="77777777" w:rsidR="006918A0" w:rsidRPr="00A96D0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21B9508A" w14:textId="77777777" w:rsidR="006918A0" w:rsidRPr="00A96D0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D537534" w14:textId="77777777" w:rsidR="006918A0" w:rsidRPr="00A96D00" w:rsidRDefault="006918A0" w:rsidP="006918A0">
            <w:pPr>
              <w:spacing w:line="276" w:lineRule="auto"/>
              <w:ind w:right="-29"/>
              <w:jc w:val="right"/>
              <w:rPr>
                <w:noProof/>
                <w:sz w:val="18"/>
                <w:szCs w:val="18"/>
              </w:rPr>
            </w:pPr>
          </w:p>
        </w:tc>
      </w:tr>
      <w:tr w:rsidR="006918A0" w:rsidRPr="00A96D00" w14:paraId="0C5C5DD0" w14:textId="77777777" w:rsidTr="000430BD">
        <w:trPr>
          <w:jc w:val="center"/>
        </w:trPr>
        <w:tc>
          <w:tcPr>
            <w:tcW w:w="1083" w:type="pct"/>
            <w:gridSpan w:val="3"/>
            <w:tcBorders>
              <w:top w:val="single" w:sz="4" w:space="0" w:color="auto"/>
              <w:left w:val="single" w:sz="4" w:space="0" w:color="auto"/>
              <w:bottom w:val="single" w:sz="12" w:space="0" w:color="auto"/>
              <w:right w:val="single" w:sz="4" w:space="0" w:color="auto"/>
            </w:tcBorders>
            <w:vAlign w:val="center"/>
            <w:hideMark/>
          </w:tcPr>
          <w:p w14:paraId="33D0C71C" w14:textId="77777777" w:rsidR="006918A0" w:rsidRPr="00A96D00" w:rsidRDefault="006918A0" w:rsidP="006918A0">
            <w:pPr>
              <w:spacing w:line="276" w:lineRule="auto"/>
              <w:jc w:val="center"/>
              <w:rPr>
                <w:noProof/>
                <w:sz w:val="18"/>
                <w:szCs w:val="18"/>
              </w:rPr>
            </w:pPr>
            <w:r w:rsidRPr="00A96D00">
              <w:rPr>
                <w:noProof/>
                <w:sz w:val="18"/>
              </w:rPr>
              <w:t>Međuzbroj za specifični cilj br. 2</w:t>
            </w:r>
          </w:p>
        </w:tc>
        <w:tc>
          <w:tcPr>
            <w:tcW w:w="285" w:type="pct"/>
            <w:tcBorders>
              <w:top w:val="single" w:sz="4" w:space="0" w:color="auto"/>
              <w:left w:val="single" w:sz="4" w:space="0" w:color="auto"/>
              <w:bottom w:val="single" w:sz="12" w:space="0" w:color="auto"/>
              <w:right w:val="single" w:sz="4" w:space="0" w:color="auto"/>
            </w:tcBorders>
          </w:tcPr>
          <w:p w14:paraId="6B735D61" w14:textId="77777777" w:rsidR="006918A0" w:rsidRPr="00A96D0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12" w:space="0" w:color="auto"/>
              <w:right w:val="single" w:sz="4" w:space="0" w:color="auto"/>
            </w:tcBorders>
          </w:tcPr>
          <w:p w14:paraId="43D234C5" w14:textId="77777777" w:rsidR="006918A0" w:rsidRPr="00A96D0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12" w:space="0" w:color="auto"/>
              <w:right w:val="single" w:sz="4" w:space="0" w:color="auto"/>
            </w:tcBorders>
          </w:tcPr>
          <w:p w14:paraId="723F3E02" w14:textId="77777777" w:rsidR="006918A0" w:rsidRPr="00A96D0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12" w:space="0" w:color="auto"/>
              <w:right w:val="single" w:sz="4" w:space="0" w:color="auto"/>
            </w:tcBorders>
          </w:tcPr>
          <w:p w14:paraId="7F3AC7C3" w14:textId="77777777" w:rsidR="006918A0" w:rsidRPr="00A96D0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12" w:space="0" w:color="auto"/>
              <w:right w:val="single" w:sz="4" w:space="0" w:color="auto"/>
            </w:tcBorders>
          </w:tcPr>
          <w:p w14:paraId="0D0E798E" w14:textId="77777777" w:rsidR="006918A0" w:rsidRPr="00A96D0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12" w:space="0" w:color="auto"/>
              <w:right w:val="single" w:sz="4" w:space="0" w:color="auto"/>
            </w:tcBorders>
          </w:tcPr>
          <w:p w14:paraId="7F59FDD8" w14:textId="77777777" w:rsidR="006918A0" w:rsidRPr="00A96D00"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12" w:space="0" w:color="auto"/>
              <w:right w:val="single" w:sz="4" w:space="0" w:color="auto"/>
            </w:tcBorders>
          </w:tcPr>
          <w:p w14:paraId="3A6C4FB0" w14:textId="77777777" w:rsidR="006918A0" w:rsidRPr="00A96D0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12" w:space="0" w:color="auto"/>
              <w:right w:val="single" w:sz="4" w:space="0" w:color="auto"/>
            </w:tcBorders>
          </w:tcPr>
          <w:p w14:paraId="6839F577" w14:textId="77777777" w:rsidR="006918A0" w:rsidRPr="00A96D00"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12" w:space="0" w:color="auto"/>
              <w:right w:val="single" w:sz="4" w:space="0" w:color="auto"/>
            </w:tcBorders>
          </w:tcPr>
          <w:p w14:paraId="128AD0F7" w14:textId="77777777" w:rsidR="006918A0" w:rsidRPr="00A96D0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12" w:space="0" w:color="auto"/>
              <w:right w:val="single" w:sz="4" w:space="0" w:color="auto"/>
            </w:tcBorders>
          </w:tcPr>
          <w:p w14:paraId="727F5B6F" w14:textId="77777777" w:rsidR="006918A0" w:rsidRPr="00A96D0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12" w:space="0" w:color="auto"/>
              <w:right w:val="single" w:sz="4" w:space="0" w:color="auto"/>
            </w:tcBorders>
          </w:tcPr>
          <w:p w14:paraId="1AE3AB03" w14:textId="77777777" w:rsidR="006918A0" w:rsidRPr="00A96D0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12" w:space="0" w:color="auto"/>
              <w:right w:val="single" w:sz="4" w:space="0" w:color="auto"/>
            </w:tcBorders>
          </w:tcPr>
          <w:p w14:paraId="2B2444F8" w14:textId="77777777" w:rsidR="006918A0" w:rsidRPr="00A96D0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12" w:space="0" w:color="auto"/>
              <w:right w:val="single" w:sz="4" w:space="0" w:color="auto"/>
            </w:tcBorders>
          </w:tcPr>
          <w:p w14:paraId="29769E62" w14:textId="77777777" w:rsidR="006918A0" w:rsidRPr="00A96D0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12" w:space="0" w:color="auto"/>
              <w:right w:val="single" w:sz="4" w:space="0" w:color="auto"/>
            </w:tcBorders>
            <w:vAlign w:val="center"/>
          </w:tcPr>
          <w:p w14:paraId="46A6E999" w14:textId="77777777" w:rsidR="006918A0" w:rsidRPr="00A96D00" w:rsidRDefault="006918A0" w:rsidP="006918A0">
            <w:pPr>
              <w:spacing w:line="276" w:lineRule="auto"/>
              <w:ind w:right="-29"/>
              <w:jc w:val="right"/>
              <w:rPr>
                <w:noProof/>
                <w:sz w:val="18"/>
                <w:szCs w:val="18"/>
              </w:rPr>
            </w:pPr>
          </w:p>
        </w:tc>
      </w:tr>
      <w:tr w:rsidR="006918A0" w:rsidRPr="00A96D00" w14:paraId="5ACCDF85" w14:textId="77777777" w:rsidTr="000430BD">
        <w:trPr>
          <w:jc w:val="center"/>
        </w:trPr>
        <w:tc>
          <w:tcPr>
            <w:tcW w:w="1083" w:type="pct"/>
            <w:gridSpan w:val="3"/>
            <w:tcBorders>
              <w:top w:val="single" w:sz="12" w:space="0" w:color="auto"/>
              <w:left w:val="single" w:sz="12" w:space="0" w:color="auto"/>
              <w:bottom w:val="single" w:sz="12" w:space="0" w:color="auto"/>
              <w:right w:val="single" w:sz="4" w:space="0" w:color="auto"/>
            </w:tcBorders>
            <w:vAlign w:val="center"/>
            <w:hideMark/>
          </w:tcPr>
          <w:p w14:paraId="4E87B620" w14:textId="77777777" w:rsidR="006918A0" w:rsidRPr="00A96D00" w:rsidRDefault="006918A0" w:rsidP="006918A0">
            <w:pPr>
              <w:spacing w:line="276" w:lineRule="auto"/>
              <w:ind w:right="-29"/>
              <w:jc w:val="center"/>
              <w:rPr>
                <w:noProof/>
                <w:sz w:val="18"/>
                <w:szCs w:val="18"/>
              </w:rPr>
            </w:pPr>
            <w:r w:rsidRPr="00A96D00">
              <w:rPr>
                <w:b/>
                <w:noProof/>
                <w:sz w:val="18"/>
              </w:rPr>
              <w:t>UKUPNO</w:t>
            </w:r>
          </w:p>
        </w:tc>
        <w:tc>
          <w:tcPr>
            <w:tcW w:w="285" w:type="pct"/>
            <w:tcBorders>
              <w:top w:val="single" w:sz="12" w:space="0" w:color="auto"/>
              <w:left w:val="single" w:sz="4" w:space="0" w:color="auto"/>
              <w:bottom w:val="single" w:sz="12" w:space="0" w:color="auto"/>
              <w:right w:val="single" w:sz="4" w:space="0" w:color="auto"/>
            </w:tcBorders>
          </w:tcPr>
          <w:p w14:paraId="4762C0FE" w14:textId="77777777" w:rsidR="006918A0" w:rsidRPr="00A96D00" w:rsidRDefault="006918A0" w:rsidP="006918A0">
            <w:pPr>
              <w:spacing w:before="180" w:after="180" w:line="276" w:lineRule="auto"/>
              <w:ind w:right="-29"/>
              <w:jc w:val="center"/>
              <w:rPr>
                <w:noProof/>
                <w:sz w:val="18"/>
                <w:szCs w:val="18"/>
              </w:rPr>
            </w:pPr>
          </w:p>
        </w:tc>
        <w:tc>
          <w:tcPr>
            <w:tcW w:w="266" w:type="pct"/>
            <w:tcBorders>
              <w:top w:val="single" w:sz="12" w:space="0" w:color="auto"/>
              <w:left w:val="single" w:sz="4" w:space="0" w:color="auto"/>
              <w:bottom w:val="single" w:sz="12" w:space="0" w:color="auto"/>
              <w:right w:val="single" w:sz="4" w:space="0" w:color="auto"/>
            </w:tcBorders>
            <w:hideMark/>
          </w:tcPr>
          <w:p w14:paraId="3292A22C" w14:textId="77777777" w:rsidR="006918A0" w:rsidRPr="00A96D00" w:rsidRDefault="006918A0" w:rsidP="006918A0">
            <w:pPr>
              <w:spacing w:before="180" w:after="180" w:line="276" w:lineRule="auto"/>
              <w:ind w:right="-29"/>
              <w:jc w:val="center"/>
              <w:rPr>
                <w:noProof/>
                <w:sz w:val="18"/>
                <w:szCs w:val="18"/>
              </w:rPr>
            </w:pPr>
            <w:r w:rsidRPr="00A96D00">
              <w:rPr>
                <w:b/>
                <w:noProof/>
                <w:sz w:val="18"/>
              </w:rPr>
              <w:t>0,150</w:t>
            </w:r>
          </w:p>
        </w:tc>
        <w:tc>
          <w:tcPr>
            <w:tcW w:w="281" w:type="pct"/>
            <w:tcBorders>
              <w:top w:val="single" w:sz="12" w:space="0" w:color="auto"/>
              <w:left w:val="single" w:sz="4" w:space="0" w:color="auto"/>
              <w:bottom w:val="single" w:sz="12" w:space="0" w:color="auto"/>
              <w:right w:val="single" w:sz="4" w:space="0" w:color="auto"/>
            </w:tcBorders>
          </w:tcPr>
          <w:p w14:paraId="3E6439EA" w14:textId="77777777" w:rsidR="006918A0" w:rsidRPr="00A96D00" w:rsidRDefault="006918A0" w:rsidP="006918A0">
            <w:pPr>
              <w:spacing w:before="180" w:after="180" w:line="276" w:lineRule="auto"/>
              <w:ind w:right="-29"/>
              <w:jc w:val="center"/>
              <w:rPr>
                <w:noProof/>
                <w:sz w:val="18"/>
                <w:szCs w:val="18"/>
              </w:rPr>
            </w:pPr>
          </w:p>
        </w:tc>
        <w:tc>
          <w:tcPr>
            <w:tcW w:w="256" w:type="pct"/>
            <w:tcBorders>
              <w:top w:val="single" w:sz="12" w:space="0" w:color="auto"/>
              <w:left w:val="single" w:sz="4" w:space="0" w:color="auto"/>
              <w:bottom w:val="single" w:sz="12" w:space="0" w:color="auto"/>
              <w:right w:val="single" w:sz="4" w:space="0" w:color="auto"/>
            </w:tcBorders>
            <w:hideMark/>
          </w:tcPr>
          <w:p w14:paraId="260EAE3C" w14:textId="77777777" w:rsidR="006918A0" w:rsidRPr="00A96D00" w:rsidRDefault="006918A0" w:rsidP="006918A0">
            <w:pPr>
              <w:spacing w:before="180" w:after="180" w:line="276" w:lineRule="auto"/>
              <w:ind w:right="-29"/>
              <w:jc w:val="center"/>
              <w:rPr>
                <w:noProof/>
                <w:sz w:val="18"/>
                <w:szCs w:val="18"/>
              </w:rPr>
            </w:pPr>
            <w:r w:rsidRPr="00A96D00">
              <w:rPr>
                <w:b/>
                <w:noProof/>
                <w:sz w:val="18"/>
              </w:rPr>
              <w:t>0,420</w:t>
            </w:r>
          </w:p>
        </w:tc>
        <w:tc>
          <w:tcPr>
            <w:tcW w:w="298" w:type="pct"/>
            <w:tcBorders>
              <w:top w:val="single" w:sz="12" w:space="0" w:color="auto"/>
              <w:left w:val="single" w:sz="4" w:space="0" w:color="auto"/>
              <w:bottom w:val="single" w:sz="12" w:space="0" w:color="auto"/>
              <w:right w:val="single" w:sz="4" w:space="0" w:color="auto"/>
            </w:tcBorders>
          </w:tcPr>
          <w:p w14:paraId="1C3F00AD" w14:textId="77777777" w:rsidR="006918A0" w:rsidRPr="00A96D00" w:rsidRDefault="006918A0" w:rsidP="006918A0">
            <w:pPr>
              <w:spacing w:before="180" w:after="180" w:line="276" w:lineRule="auto"/>
              <w:ind w:right="-29"/>
              <w:jc w:val="center"/>
              <w:rPr>
                <w:noProof/>
                <w:sz w:val="18"/>
                <w:szCs w:val="18"/>
              </w:rPr>
            </w:pPr>
          </w:p>
        </w:tc>
        <w:tc>
          <w:tcPr>
            <w:tcW w:w="246" w:type="pct"/>
            <w:tcBorders>
              <w:top w:val="single" w:sz="12" w:space="0" w:color="auto"/>
              <w:left w:val="single" w:sz="4" w:space="0" w:color="auto"/>
              <w:bottom w:val="single" w:sz="12" w:space="0" w:color="auto"/>
              <w:right w:val="single" w:sz="4" w:space="0" w:color="auto"/>
            </w:tcBorders>
            <w:hideMark/>
          </w:tcPr>
          <w:p w14:paraId="3809AE43" w14:textId="77777777" w:rsidR="006918A0" w:rsidRPr="00A96D00" w:rsidRDefault="006918A0" w:rsidP="006918A0">
            <w:pPr>
              <w:spacing w:before="180" w:after="180" w:line="276" w:lineRule="auto"/>
              <w:ind w:right="-29"/>
              <w:jc w:val="center"/>
              <w:rPr>
                <w:noProof/>
                <w:sz w:val="18"/>
                <w:szCs w:val="18"/>
              </w:rPr>
            </w:pPr>
            <w:r w:rsidRPr="00A96D00">
              <w:rPr>
                <w:b/>
                <w:noProof/>
                <w:sz w:val="18"/>
              </w:rPr>
              <w:t>0,300</w:t>
            </w:r>
          </w:p>
        </w:tc>
        <w:tc>
          <w:tcPr>
            <w:tcW w:w="367" w:type="pct"/>
            <w:tcBorders>
              <w:top w:val="single" w:sz="12" w:space="0" w:color="auto"/>
              <w:left w:val="single" w:sz="4" w:space="0" w:color="auto"/>
              <w:bottom w:val="single" w:sz="12" w:space="0" w:color="auto"/>
              <w:right w:val="single" w:sz="4" w:space="0" w:color="auto"/>
            </w:tcBorders>
          </w:tcPr>
          <w:p w14:paraId="666F09C4" w14:textId="77777777" w:rsidR="006918A0" w:rsidRPr="00A96D00" w:rsidRDefault="006918A0" w:rsidP="006918A0">
            <w:pPr>
              <w:spacing w:before="180" w:after="180" w:line="276" w:lineRule="auto"/>
              <w:ind w:right="-29"/>
              <w:jc w:val="center"/>
              <w:rPr>
                <w:noProof/>
                <w:sz w:val="18"/>
                <w:szCs w:val="18"/>
              </w:rPr>
            </w:pPr>
          </w:p>
        </w:tc>
        <w:tc>
          <w:tcPr>
            <w:tcW w:w="225" w:type="pct"/>
            <w:tcBorders>
              <w:top w:val="single" w:sz="12" w:space="0" w:color="auto"/>
              <w:left w:val="single" w:sz="4" w:space="0" w:color="auto"/>
              <w:bottom w:val="single" w:sz="12" w:space="0" w:color="auto"/>
              <w:right w:val="single" w:sz="4" w:space="0" w:color="auto"/>
            </w:tcBorders>
            <w:hideMark/>
          </w:tcPr>
          <w:p w14:paraId="4CD6A4B4" w14:textId="77777777" w:rsidR="006918A0" w:rsidRPr="00A96D00" w:rsidRDefault="006918A0" w:rsidP="006918A0">
            <w:pPr>
              <w:spacing w:before="180" w:after="180" w:line="276" w:lineRule="auto"/>
              <w:ind w:right="-29"/>
              <w:jc w:val="center"/>
              <w:rPr>
                <w:noProof/>
                <w:sz w:val="18"/>
                <w:szCs w:val="18"/>
              </w:rPr>
            </w:pPr>
            <w:r w:rsidRPr="00A96D00">
              <w:rPr>
                <w:b/>
                <w:noProof/>
                <w:sz w:val="18"/>
              </w:rPr>
              <w:t>0,330</w:t>
            </w:r>
          </w:p>
        </w:tc>
        <w:tc>
          <w:tcPr>
            <w:tcW w:w="258" w:type="pct"/>
            <w:tcBorders>
              <w:top w:val="single" w:sz="12" w:space="0" w:color="auto"/>
              <w:left w:val="single" w:sz="4" w:space="0" w:color="auto"/>
              <w:bottom w:val="single" w:sz="12" w:space="0" w:color="auto"/>
              <w:right w:val="single" w:sz="4" w:space="0" w:color="auto"/>
            </w:tcBorders>
          </w:tcPr>
          <w:p w14:paraId="61797AEF" w14:textId="77777777" w:rsidR="006918A0" w:rsidRPr="00A96D00" w:rsidRDefault="006918A0" w:rsidP="006918A0">
            <w:pPr>
              <w:spacing w:before="180" w:after="180" w:line="276" w:lineRule="auto"/>
              <w:ind w:right="-29"/>
              <w:jc w:val="center"/>
              <w:rPr>
                <w:noProof/>
                <w:sz w:val="18"/>
                <w:szCs w:val="18"/>
              </w:rPr>
            </w:pPr>
          </w:p>
        </w:tc>
        <w:tc>
          <w:tcPr>
            <w:tcW w:w="241" w:type="pct"/>
            <w:tcBorders>
              <w:top w:val="single" w:sz="12" w:space="0" w:color="auto"/>
              <w:left w:val="single" w:sz="4" w:space="0" w:color="auto"/>
              <w:bottom w:val="single" w:sz="12" w:space="0" w:color="auto"/>
              <w:right w:val="single" w:sz="4" w:space="0" w:color="auto"/>
            </w:tcBorders>
            <w:hideMark/>
          </w:tcPr>
          <w:p w14:paraId="0C6E1219" w14:textId="77777777" w:rsidR="006918A0" w:rsidRPr="00A96D00" w:rsidRDefault="006918A0" w:rsidP="006918A0">
            <w:pPr>
              <w:spacing w:before="180" w:after="180" w:line="276" w:lineRule="auto"/>
              <w:ind w:right="-29"/>
              <w:jc w:val="center"/>
              <w:rPr>
                <w:noProof/>
                <w:sz w:val="18"/>
                <w:szCs w:val="18"/>
              </w:rPr>
            </w:pPr>
            <w:r w:rsidRPr="00A96D00">
              <w:rPr>
                <w:b/>
                <w:noProof/>
                <w:sz w:val="18"/>
              </w:rPr>
              <w:t>0,180</w:t>
            </w:r>
          </w:p>
        </w:tc>
        <w:tc>
          <w:tcPr>
            <w:tcW w:w="249" w:type="pct"/>
            <w:gridSpan w:val="2"/>
            <w:tcBorders>
              <w:top w:val="single" w:sz="12" w:space="0" w:color="auto"/>
              <w:left w:val="single" w:sz="4" w:space="0" w:color="auto"/>
              <w:bottom w:val="single" w:sz="12" w:space="0" w:color="auto"/>
              <w:right w:val="single" w:sz="4" w:space="0" w:color="auto"/>
            </w:tcBorders>
          </w:tcPr>
          <w:p w14:paraId="75B8F271" w14:textId="77777777" w:rsidR="006918A0" w:rsidRPr="00A96D00" w:rsidRDefault="006918A0" w:rsidP="006918A0">
            <w:pPr>
              <w:spacing w:before="180" w:after="180" w:line="276" w:lineRule="auto"/>
              <w:ind w:right="-29"/>
              <w:jc w:val="center"/>
              <w:rPr>
                <w:noProof/>
                <w:sz w:val="18"/>
                <w:szCs w:val="18"/>
              </w:rPr>
            </w:pPr>
          </w:p>
        </w:tc>
        <w:tc>
          <w:tcPr>
            <w:tcW w:w="318" w:type="pct"/>
            <w:gridSpan w:val="2"/>
            <w:tcBorders>
              <w:top w:val="single" w:sz="12" w:space="0" w:color="auto"/>
              <w:left w:val="single" w:sz="4" w:space="0" w:color="auto"/>
              <w:bottom w:val="single" w:sz="12" w:space="0" w:color="auto"/>
              <w:right w:val="single" w:sz="4" w:space="0" w:color="auto"/>
            </w:tcBorders>
            <w:hideMark/>
          </w:tcPr>
          <w:p w14:paraId="5339BD14" w14:textId="77777777" w:rsidR="006918A0" w:rsidRPr="00A96D00" w:rsidRDefault="006918A0" w:rsidP="006918A0">
            <w:pPr>
              <w:spacing w:before="180" w:after="180" w:line="276" w:lineRule="auto"/>
              <w:ind w:right="-29"/>
              <w:jc w:val="center"/>
              <w:rPr>
                <w:noProof/>
                <w:sz w:val="18"/>
                <w:szCs w:val="18"/>
              </w:rPr>
            </w:pPr>
            <w:r w:rsidRPr="00A96D00">
              <w:rPr>
                <w:b/>
                <w:noProof/>
                <w:sz w:val="18"/>
              </w:rPr>
              <w:t>0,180</w:t>
            </w:r>
          </w:p>
        </w:tc>
        <w:tc>
          <w:tcPr>
            <w:tcW w:w="223" w:type="pct"/>
            <w:gridSpan w:val="3"/>
            <w:tcBorders>
              <w:top w:val="single" w:sz="12" w:space="0" w:color="auto"/>
              <w:left w:val="single" w:sz="4" w:space="0" w:color="auto"/>
              <w:bottom w:val="single" w:sz="12" w:space="0" w:color="auto"/>
              <w:right w:val="single" w:sz="4" w:space="0" w:color="auto"/>
            </w:tcBorders>
          </w:tcPr>
          <w:p w14:paraId="691794FC" w14:textId="77777777" w:rsidR="006918A0" w:rsidRPr="00A96D00" w:rsidRDefault="006918A0" w:rsidP="006918A0">
            <w:pPr>
              <w:spacing w:before="180" w:after="180" w:line="276" w:lineRule="auto"/>
              <w:ind w:right="-29"/>
              <w:jc w:val="center"/>
              <w:rPr>
                <w:noProof/>
                <w:sz w:val="18"/>
                <w:szCs w:val="18"/>
              </w:rPr>
            </w:pPr>
          </w:p>
        </w:tc>
        <w:tc>
          <w:tcPr>
            <w:tcW w:w="403" w:type="pct"/>
            <w:gridSpan w:val="2"/>
            <w:tcBorders>
              <w:top w:val="single" w:sz="12" w:space="0" w:color="auto"/>
              <w:left w:val="single" w:sz="4" w:space="0" w:color="auto"/>
              <w:bottom w:val="single" w:sz="12" w:space="0" w:color="auto"/>
              <w:right w:val="single" w:sz="12" w:space="0" w:color="auto"/>
            </w:tcBorders>
            <w:vAlign w:val="center"/>
            <w:hideMark/>
          </w:tcPr>
          <w:p w14:paraId="48BB76E4" w14:textId="77777777" w:rsidR="006918A0" w:rsidRPr="00A96D00" w:rsidRDefault="006918A0" w:rsidP="006918A0">
            <w:pPr>
              <w:spacing w:before="180" w:after="180" w:line="276" w:lineRule="auto"/>
              <w:ind w:right="-29"/>
              <w:jc w:val="right"/>
              <w:rPr>
                <w:noProof/>
                <w:sz w:val="18"/>
                <w:szCs w:val="18"/>
              </w:rPr>
            </w:pPr>
            <w:r w:rsidRPr="00A96D00">
              <w:rPr>
                <w:b/>
                <w:noProof/>
                <w:sz w:val="18"/>
              </w:rPr>
              <w:t>1,560</w:t>
            </w:r>
          </w:p>
        </w:tc>
      </w:tr>
    </w:tbl>
    <w:p w14:paraId="00A7D13B" w14:textId="77777777" w:rsidR="006918A0" w:rsidRPr="00A96D00" w:rsidRDefault="006918A0" w:rsidP="006918A0">
      <w:pPr>
        <w:spacing w:before="0" w:after="0"/>
        <w:jc w:val="left"/>
        <w:rPr>
          <w:noProof/>
        </w:rPr>
        <w:sectPr w:rsidR="006918A0" w:rsidRPr="00A96D00" w:rsidSect="00BE4874">
          <w:headerReference w:type="default" r:id="rId18"/>
          <w:footerReference w:type="default" r:id="rId19"/>
          <w:headerReference w:type="first" r:id="rId20"/>
          <w:footerReference w:type="first" r:id="rId21"/>
          <w:pgSz w:w="16840" w:h="11907" w:orient="landscape"/>
          <w:pgMar w:top="851" w:right="1418" w:bottom="426" w:left="1418" w:header="709" w:footer="709" w:gutter="0"/>
          <w:cols w:space="720"/>
          <w:docGrid w:linePitch="326"/>
        </w:sectPr>
      </w:pPr>
    </w:p>
    <w:p w14:paraId="411264BA" w14:textId="77777777" w:rsidR="006918A0" w:rsidRPr="00A96D00" w:rsidRDefault="00287904" w:rsidP="00287904">
      <w:pPr>
        <w:pStyle w:val="ManualHeading3"/>
        <w:rPr>
          <w:noProof/>
          <w:szCs w:val="24"/>
        </w:rPr>
      </w:pPr>
      <w:r w:rsidRPr="00A96D00">
        <w:rPr>
          <w:noProof/>
        </w:rPr>
        <w:tab/>
        <w:t xml:space="preserve">3.2.3. </w:t>
      </w:r>
      <w:bookmarkStart w:id="21" w:name="_Toc514938055"/>
      <w:bookmarkStart w:id="22" w:name="_Toc520485054"/>
      <w:r w:rsidRPr="00A96D00">
        <w:rPr>
          <w:noProof/>
        </w:rPr>
        <w:t>Sažetak procijenjenog učinka na administrativna odobrena sredstva</w:t>
      </w:r>
      <w:bookmarkEnd w:id="21"/>
      <w:bookmarkEnd w:id="22"/>
      <w:r w:rsidRPr="00A96D00">
        <w:rPr>
          <w:noProof/>
        </w:rPr>
        <w:t xml:space="preserve"> </w:t>
      </w:r>
    </w:p>
    <w:p w14:paraId="79AF186C"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t></w:t>
      </w:r>
      <w:r w:rsidRPr="00A96D00">
        <w:rPr>
          <w:noProof/>
        </w:rPr>
        <w:tab/>
        <w:t xml:space="preserve">Za prijedlog/inicijativu nisu potrebna administrativna odobrena sredstva. </w:t>
      </w:r>
    </w:p>
    <w:p w14:paraId="4D48DF45"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t></w:t>
      </w:r>
      <w:r w:rsidRPr="00A96D00">
        <w:rPr>
          <w:noProof/>
        </w:rPr>
        <w:tab/>
        <w:t>Za prijedlog/inicijativu potrebna su sljedeća administrativna odobrena sredstva:</w:t>
      </w:r>
    </w:p>
    <w:p w14:paraId="7FAA339A" w14:textId="77777777" w:rsidR="006918A0" w:rsidRPr="00A96D00" w:rsidRDefault="006918A0" w:rsidP="006918A0">
      <w:pPr>
        <w:rPr>
          <w:noProof/>
          <w:sz w:val="20"/>
        </w:rPr>
      </w:pPr>
      <w:r w:rsidRPr="00A96D00">
        <w:rPr>
          <w:noProof/>
          <w:sz w:val="20"/>
        </w:rPr>
        <w:t>U milijunima EUR (do 3 decimalna mjesta)</w:t>
      </w:r>
    </w:p>
    <w:tbl>
      <w:tblPr>
        <w:tblW w:w="909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1"/>
        <w:gridCol w:w="1081"/>
        <w:gridCol w:w="1081"/>
        <w:gridCol w:w="1081"/>
        <w:gridCol w:w="1081"/>
        <w:gridCol w:w="1705"/>
      </w:tblGrid>
      <w:tr w:rsidR="006918A0" w:rsidRPr="00A96D00" w14:paraId="0C3F1274"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tcPr>
          <w:p w14:paraId="3F8A9D79" w14:textId="77777777" w:rsidR="006918A0" w:rsidRPr="00A96D00" w:rsidRDefault="006918A0" w:rsidP="006918A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43C7EE9E" w14:textId="77777777" w:rsidR="006918A0" w:rsidRPr="00A96D00" w:rsidRDefault="006918A0" w:rsidP="006918A0">
            <w:pPr>
              <w:spacing w:before="60" w:after="60" w:line="200" w:lineRule="exact"/>
              <w:jc w:val="center"/>
              <w:rPr>
                <w:noProof/>
                <w:sz w:val="16"/>
                <w:szCs w:val="16"/>
              </w:rPr>
            </w:pPr>
            <w:r w:rsidRPr="00A96D00">
              <w:rPr>
                <w:noProof/>
                <w:sz w:val="16"/>
              </w:rPr>
              <w:t>Godina</w:t>
            </w:r>
            <w:r w:rsidRPr="00A96D00">
              <w:rPr>
                <w:noProof/>
              </w:rPr>
              <w:t xml:space="preserve"> </w:t>
            </w:r>
            <w:r w:rsidRPr="00A96D00">
              <w:rPr>
                <w:noProof/>
              </w:rPr>
              <w:br/>
            </w:r>
            <w:r w:rsidRPr="00A96D00">
              <w:rPr>
                <w:b/>
                <w:noProof/>
                <w:sz w:val="16"/>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819FE0F" w14:textId="77777777" w:rsidR="006918A0" w:rsidRPr="00A96D00" w:rsidRDefault="006918A0" w:rsidP="006918A0">
            <w:pPr>
              <w:spacing w:before="60" w:after="60" w:line="200" w:lineRule="exact"/>
              <w:jc w:val="center"/>
              <w:rPr>
                <w:noProof/>
                <w:sz w:val="16"/>
                <w:szCs w:val="16"/>
              </w:rPr>
            </w:pPr>
            <w:r w:rsidRPr="00A96D00">
              <w:rPr>
                <w:noProof/>
                <w:sz w:val="16"/>
              </w:rPr>
              <w:t>Godina</w:t>
            </w:r>
            <w:r w:rsidRPr="00A96D00">
              <w:rPr>
                <w:noProof/>
              </w:rPr>
              <w:t xml:space="preserve"> </w:t>
            </w:r>
            <w:r w:rsidRPr="00A96D00">
              <w:rPr>
                <w:noProof/>
              </w:rPr>
              <w:br/>
            </w:r>
            <w:r w:rsidRPr="00A96D00">
              <w:rPr>
                <w:b/>
                <w:noProof/>
                <w:sz w:val="16"/>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8347D69" w14:textId="77777777" w:rsidR="006918A0" w:rsidRPr="00A96D00" w:rsidRDefault="006918A0" w:rsidP="006918A0">
            <w:pPr>
              <w:spacing w:before="60" w:after="60" w:line="200" w:lineRule="exact"/>
              <w:jc w:val="center"/>
              <w:rPr>
                <w:noProof/>
                <w:sz w:val="16"/>
                <w:szCs w:val="16"/>
              </w:rPr>
            </w:pPr>
            <w:r w:rsidRPr="00A96D00">
              <w:rPr>
                <w:noProof/>
                <w:sz w:val="16"/>
              </w:rPr>
              <w:t>Godina</w:t>
            </w:r>
            <w:r w:rsidRPr="00A96D00">
              <w:rPr>
                <w:noProof/>
              </w:rPr>
              <w:t xml:space="preserve"> </w:t>
            </w:r>
            <w:r w:rsidRPr="00A96D00">
              <w:rPr>
                <w:noProof/>
              </w:rPr>
              <w:br/>
            </w:r>
            <w:r w:rsidRPr="00A96D00">
              <w:rPr>
                <w:b/>
                <w:noProof/>
                <w:sz w:val="16"/>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0BBF791" w14:textId="77777777" w:rsidR="006918A0" w:rsidRPr="00A96D00" w:rsidRDefault="006918A0" w:rsidP="006918A0">
            <w:pPr>
              <w:spacing w:before="60" w:after="60" w:line="200" w:lineRule="exact"/>
              <w:jc w:val="center"/>
              <w:rPr>
                <w:noProof/>
                <w:sz w:val="16"/>
                <w:szCs w:val="16"/>
              </w:rPr>
            </w:pPr>
            <w:r w:rsidRPr="00A96D00">
              <w:rPr>
                <w:noProof/>
                <w:sz w:val="16"/>
              </w:rPr>
              <w:t>Godina</w:t>
            </w:r>
            <w:r w:rsidRPr="00A96D00">
              <w:rPr>
                <w:noProof/>
              </w:rPr>
              <w:t xml:space="preserve"> </w:t>
            </w:r>
            <w:r w:rsidRPr="00A96D00">
              <w:rPr>
                <w:noProof/>
              </w:rPr>
              <w:br/>
            </w:r>
            <w:r w:rsidRPr="00A96D00">
              <w:rPr>
                <w:b/>
                <w:noProof/>
                <w:sz w:val="16"/>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6154805" w14:textId="77777777" w:rsidR="006918A0" w:rsidRPr="00A96D00" w:rsidRDefault="006918A0" w:rsidP="006918A0">
            <w:pPr>
              <w:spacing w:line="200" w:lineRule="exact"/>
              <w:jc w:val="center"/>
              <w:rPr>
                <w:b/>
                <w:noProof/>
                <w:sz w:val="16"/>
                <w:szCs w:val="16"/>
              </w:rPr>
            </w:pPr>
            <w:r w:rsidRPr="00A96D00">
              <w:rPr>
                <w:noProof/>
                <w:sz w:val="16"/>
              </w:rPr>
              <w:t>Godina</w:t>
            </w:r>
            <w:r w:rsidRPr="00A96D00">
              <w:rPr>
                <w:noProof/>
              </w:rPr>
              <w:t xml:space="preserve"> </w:t>
            </w:r>
            <w:r w:rsidRPr="00A96D00">
              <w:rPr>
                <w:noProof/>
              </w:rPr>
              <w:br/>
            </w:r>
            <w:r w:rsidRPr="00A96D00">
              <w:rPr>
                <w:b/>
                <w:noProof/>
                <w:sz w:val="16"/>
              </w:rPr>
              <w:t>2027.</w:t>
            </w:r>
          </w:p>
        </w:tc>
        <w:tc>
          <w:tcPr>
            <w:tcW w:w="1704" w:type="dxa"/>
            <w:tcBorders>
              <w:top w:val="single" w:sz="2" w:space="0" w:color="auto"/>
              <w:left w:val="single" w:sz="2" w:space="0" w:color="auto"/>
              <w:bottom w:val="single" w:sz="2" w:space="0" w:color="auto"/>
              <w:right w:val="single" w:sz="2" w:space="0" w:color="auto"/>
            </w:tcBorders>
            <w:vAlign w:val="center"/>
            <w:hideMark/>
          </w:tcPr>
          <w:p w14:paraId="5978D98E" w14:textId="77777777" w:rsidR="006918A0" w:rsidRPr="00A96D00" w:rsidRDefault="006918A0" w:rsidP="006918A0">
            <w:pPr>
              <w:spacing w:before="60" w:after="60" w:line="200" w:lineRule="exact"/>
              <w:jc w:val="center"/>
              <w:rPr>
                <w:b/>
                <w:noProof/>
                <w:sz w:val="16"/>
                <w:szCs w:val="16"/>
              </w:rPr>
            </w:pPr>
            <w:r w:rsidRPr="00A96D00">
              <w:rPr>
                <w:b/>
                <w:noProof/>
                <w:sz w:val="16"/>
              </w:rPr>
              <w:t>UKUPNO</w:t>
            </w:r>
          </w:p>
        </w:tc>
      </w:tr>
    </w:tbl>
    <w:p w14:paraId="6AB394E6" w14:textId="77777777" w:rsidR="006918A0" w:rsidRPr="00A96D00" w:rsidRDefault="006918A0" w:rsidP="006918A0">
      <w:pPr>
        <w:spacing w:line="200" w:lineRule="exact"/>
        <w:rPr>
          <w:noProof/>
          <w:sz w:val="16"/>
          <w:szCs w:val="16"/>
        </w:rPr>
      </w:pPr>
    </w:p>
    <w:tbl>
      <w:tblPr>
        <w:tblW w:w="9090" w:type="dxa"/>
        <w:tblInd w:w="-612" w:type="dxa"/>
        <w:tblLayout w:type="fixed"/>
        <w:tblLook w:val="01E0" w:firstRow="1" w:lastRow="1" w:firstColumn="1" w:lastColumn="1" w:noHBand="0" w:noVBand="0"/>
      </w:tblPr>
      <w:tblGrid>
        <w:gridCol w:w="1980"/>
        <w:gridCol w:w="1081"/>
        <w:gridCol w:w="1081"/>
        <w:gridCol w:w="1081"/>
        <w:gridCol w:w="1081"/>
        <w:gridCol w:w="1081"/>
        <w:gridCol w:w="1705"/>
      </w:tblGrid>
      <w:tr w:rsidR="006918A0" w:rsidRPr="00A96D00" w14:paraId="1BB919B4"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hideMark/>
          </w:tcPr>
          <w:p w14:paraId="06643491" w14:textId="77777777" w:rsidR="006918A0" w:rsidRPr="00A96D00" w:rsidRDefault="006918A0" w:rsidP="006918A0">
            <w:pPr>
              <w:spacing w:before="60" w:after="60" w:line="200" w:lineRule="exact"/>
              <w:jc w:val="center"/>
              <w:rPr>
                <w:b/>
                <w:noProof/>
                <w:sz w:val="16"/>
              </w:rPr>
            </w:pPr>
            <w:r w:rsidRPr="00A96D00">
              <w:rPr>
                <w:b/>
                <w:noProof/>
                <w:sz w:val="16"/>
              </w:rPr>
              <w:t>NASLOV 7.</w:t>
            </w:r>
            <w:r w:rsidRPr="00A96D00">
              <w:rPr>
                <w:noProof/>
              </w:rPr>
              <w:t xml:space="preserve"> </w:t>
            </w:r>
            <w:r w:rsidRPr="00A96D00">
              <w:rPr>
                <w:noProof/>
              </w:rPr>
              <w:br/>
            </w:r>
            <w:r w:rsidRPr="00A96D00">
              <w:rPr>
                <w:b/>
                <w:noProof/>
                <w:sz w:val="16"/>
              </w:rPr>
              <w:t>višegodišnjeg financijskog okvira</w:t>
            </w:r>
          </w:p>
        </w:tc>
        <w:tc>
          <w:tcPr>
            <w:tcW w:w="1081" w:type="dxa"/>
            <w:tcBorders>
              <w:top w:val="single" w:sz="12" w:space="0" w:color="auto"/>
              <w:left w:val="single" w:sz="2" w:space="0" w:color="auto"/>
              <w:bottom w:val="single" w:sz="12" w:space="0" w:color="auto"/>
              <w:right w:val="single" w:sz="2" w:space="0" w:color="auto"/>
            </w:tcBorders>
            <w:vAlign w:val="center"/>
          </w:tcPr>
          <w:p w14:paraId="4D415F90" w14:textId="77777777" w:rsidR="006918A0" w:rsidRPr="00A96D0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5FFBFCB0" w14:textId="77777777" w:rsidR="006918A0" w:rsidRPr="00A96D0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6119E2EC" w14:textId="77777777" w:rsidR="006918A0" w:rsidRPr="00A96D0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392362A8" w14:textId="77777777" w:rsidR="006918A0" w:rsidRPr="00A96D0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D8CA897" w14:textId="77777777" w:rsidR="006918A0" w:rsidRPr="00A96D00" w:rsidRDefault="006918A0" w:rsidP="006918A0">
            <w:pPr>
              <w:spacing w:before="60" w:after="60" w:line="200" w:lineRule="exact"/>
              <w:jc w:val="right"/>
              <w:rPr>
                <w:b/>
                <w:bCs/>
                <w:noProof/>
                <w:sz w:val="20"/>
                <w:szCs w:val="20"/>
              </w:rPr>
            </w:pPr>
          </w:p>
        </w:tc>
        <w:tc>
          <w:tcPr>
            <w:tcW w:w="1705" w:type="dxa"/>
            <w:tcBorders>
              <w:top w:val="single" w:sz="12" w:space="0" w:color="auto"/>
              <w:left w:val="single" w:sz="2" w:space="0" w:color="auto"/>
              <w:bottom w:val="single" w:sz="12" w:space="0" w:color="auto"/>
              <w:right w:val="single" w:sz="2" w:space="0" w:color="auto"/>
            </w:tcBorders>
            <w:vAlign w:val="center"/>
          </w:tcPr>
          <w:p w14:paraId="382C6F5D" w14:textId="77777777" w:rsidR="006918A0" w:rsidRPr="00A96D00" w:rsidRDefault="006918A0" w:rsidP="006918A0">
            <w:pPr>
              <w:spacing w:before="60" w:after="60" w:line="200" w:lineRule="exact"/>
              <w:jc w:val="right"/>
              <w:rPr>
                <w:b/>
                <w:bCs/>
                <w:noProof/>
                <w:color w:val="000000"/>
                <w:sz w:val="20"/>
                <w:szCs w:val="20"/>
              </w:rPr>
            </w:pPr>
          </w:p>
        </w:tc>
      </w:tr>
      <w:tr w:rsidR="006918A0" w:rsidRPr="00A96D00" w14:paraId="31B69A4E"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271BDCD8" w14:textId="77777777" w:rsidR="006918A0" w:rsidRPr="00A96D00" w:rsidRDefault="006918A0" w:rsidP="006918A0">
            <w:pPr>
              <w:spacing w:before="60" w:after="60" w:line="200" w:lineRule="exact"/>
              <w:jc w:val="center"/>
              <w:rPr>
                <w:b/>
                <w:noProof/>
                <w:sz w:val="16"/>
              </w:rPr>
            </w:pPr>
            <w:r w:rsidRPr="00A96D00">
              <w:rPr>
                <w:b/>
                <w:noProof/>
                <w:sz w:val="16"/>
              </w:rPr>
              <w:t xml:space="preserve">Ljudski resursi </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2F404C3" w14:textId="77777777" w:rsidR="006918A0" w:rsidRPr="00A96D00" w:rsidRDefault="006918A0" w:rsidP="006918A0">
            <w:pPr>
              <w:spacing w:before="20" w:after="20" w:line="276" w:lineRule="auto"/>
              <w:jc w:val="right"/>
              <w:rPr>
                <w:b/>
                <w:bCs/>
                <w:noProof/>
                <w:sz w:val="20"/>
                <w:szCs w:val="20"/>
              </w:rPr>
            </w:pPr>
            <w:r w:rsidRPr="00A96D00">
              <w:rPr>
                <w:b/>
                <w:noProof/>
                <w:sz w:val="20"/>
              </w:rPr>
              <w:t>0,118</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66792D2" w14:textId="77777777" w:rsidR="006918A0" w:rsidRPr="00A96D00" w:rsidRDefault="006918A0" w:rsidP="006918A0">
            <w:pPr>
              <w:spacing w:before="20" w:after="20" w:line="276" w:lineRule="auto"/>
              <w:jc w:val="right"/>
              <w:rPr>
                <w:b/>
                <w:bCs/>
                <w:noProof/>
                <w:sz w:val="20"/>
                <w:szCs w:val="20"/>
              </w:rPr>
            </w:pPr>
            <w:r w:rsidRPr="00A96D00">
              <w:rPr>
                <w:b/>
                <w:noProof/>
                <w:sz w:val="20"/>
              </w:rPr>
              <w:t>0,157</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E783E02" w14:textId="77777777" w:rsidR="006918A0" w:rsidRPr="00A96D00" w:rsidRDefault="006918A0" w:rsidP="006918A0">
            <w:pPr>
              <w:spacing w:before="20" w:after="20" w:line="276" w:lineRule="auto"/>
              <w:jc w:val="right"/>
              <w:rPr>
                <w:b/>
                <w:bCs/>
                <w:noProof/>
                <w:sz w:val="20"/>
                <w:szCs w:val="20"/>
              </w:rPr>
            </w:pPr>
            <w:r w:rsidRPr="00A96D00">
              <w:rPr>
                <w:b/>
                <w:noProof/>
                <w:sz w:val="20"/>
              </w:rPr>
              <w:t>0,157</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5EFA3A7" w14:textId="77777777" w:rsidR="006918A0" w:rsidRPr="00A96D00" w:rsidRDefault="006918A0" w:rsidP="006918A0">
            <w:pPr>
              <w:spacing w:before="20" w:after="20" w:line="276" w:lineRule="auto"/>
              <w:jc w:val="right"/>
              <w:rPr>
                <w:b/>
                <w:bCs/>
                <w:noProof/>
                <w:sz w:val="20"/>
                <w:szCs w:val="20"/>
              </w:rPr>
            </w:pPr>
            <w:r w:rsidRPr="00A96D00">
              <w:rPr>
                <w:b/>
                <w:noProof/>
                <w:sz w:val="20"/>
              </w:rPr>
              <w:t>0,063</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565F7BD" w14:textId="77777777" w:rsidR="006918A0" w:rsidRPr="00A96D00" w:rsidRDefault="006918A0" w:rsidP="006918A0">
            <w:pPr>
              <w:spacing w:before="60" w:after="60" w:line="200" w:lineRule="exact"/>
              <w:jc w:val="right"/>
              <w:rPr>
                <w:b/>
                <w:bCs/>
                <w:noProof/>
                <w:sz w:val="20"/>
                <w:szCs w:val="20"/>
              </w:rPr>
            </w:pPr>
            <w:r w:rsidRPr="00A96D00">
              <w:rPr>
                <w:b/>
                <w:noProof/>
                <w:sz w:val="20"/>
              </w:rPr>
              <w:t>0,016</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43DDDEBC" w14:textId="77777777" w:rsidR="006918A0" w:rsidRPr="00A96D00" w:rsidRDefault="006918A0" w:rsidP="006918A0">
            <w:pPr>
              <w:spacing w:before="60" w:after="60" w:line="200" w:lineRule="exact"/>
              <w:jc w:val="right"/>
              <w:rPr>
                <w:b/>
                <w:bCs/>
                <w:noProof/>
                <w:color w:val="000000"/>
                <w:sz w:val="20"/>
                <w:szCs w:val="20"/>
              </w:rPr>
            </w:pPr>
            <w:r w:rsidRPr="00A96D00">
              <w:rPr>
                <w:b/>
                <w:noProof/>
                <w:color w:val="000000"/>
                <w:sz w:val="20"/>
              </w:rPr>
              <w:t>0,511</w:t>
            </w:r>
          </w:p>
        </w:tc>
      </w:tr>
      <w:tr w:rsidR="006918A0" w:rsidRPr="00A96D00" w14:paraId="45443AC1"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454A6B2B" w14:textId="77777777" w:rsidR="006918A0" w:rsidRPr="00A96D00" w:rsidRDefault="006918A0" w:rsidP="006918A0">
            <w:pPr>
              <w:spacing w:before="60" w:after="60" w:line="200" w:lineRule="exact"/>
              <w:jc w:val="center"/>
              <w:rPr>
                <w:b/>
                <w:noProof/>
                <w:sz w:val="16"/>
              </w:rPr>
            </w:pPr>
            <w:r w:rsidRPr="00A96D00">
              <w:rPr>
                <w:b/>
                <w:noProof/>
                <w:sz w:val="16"/>
              </w:rPr>
              <w:t xml:space="preserve">Ostali administrativni rashodi </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2FE1960" w14:textId="77777777" w:rsidR="006918A0" w:rsidRPr="00A96D00" w:rsidRDefault="006918A0" w:rsidP="006918A0">
            <w:pPr>
              <w:spacing w:before="20" w:after="20" w:line="276" w:lineRule="auto"/>
              <w:jc w:val="right"/>
              <w:rPr>
                <w:b/>
                <w:bCs/>
                <w:noProof/>
                <w:sz w:val="20"/>
                <w:szCs w:val="20"/>
              </w:rPr>
            </w:pPr>
            <w:r w:rsidRPr="00A96D00">
              <w:rPr>
                <w:b/>
                <w:noProof/>
                <w:sz w:val="20"/>
              </w:rPr>
              <w:t>0,004</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9206006" w14:textId="77777777" w:rsidR="006918A0" w:rsidRPr="00A96D00" w:rsidRDefault="006918A0" w:rsidP="006918A0">
            <w:pPr>
              <w:spacing w:before="20" w:after="20" w:line="276" w:lineRule="auto"/>
              <w:jc w:val="right"/>
              <w:rPr>
                <w:b/>
                <w:bCs/>
                <w:noProof/>
                <w:sz w:val="20"/>
                <w:szCs w:val="20"/>
              </w:rPr>
            </w:pPr>
            <w:r w:rsidRPr="00A96D00">
              <w:rPr>
                <w:b/>
                <w:noProof/>
                <w:sz w:val="20"/>
              </w:rPr>
              <w:t>0,004</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6A10B273" w14:textId="77777777" w:rsidR="006918A0" w:rsidRPr="00A96D00" w:rsidRDefault="006918A0" w:rsidP="006918A0">
            <w:pPr>
              <w:spacing w:before="20" w:after="20" w:line="276" w:lineRule="auto"/>
              <w:jc w:val="right"/>
              <w:rPr>
                <w:b/>
                <w:bCs/>
                <w:noProof/>
                <w:sz w:val="20"/>
                <w:szCs w:val="20"/>
              </w:rPr>
            </w:pPr>
            <w:r w:rsidRPr="00A96D00">
              <w:rPr>
                <w:b/>
                <w:noProof/>
                <w:sz w:val="20"/>
              </w:rPr>
              <w:t>0,002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D9AD1C0" w14:textId="77777777" w:rsidR="006918A0" w:rsidRPr="00A96D00" w:rsidRDefault="006918A0" w:rsidP="006918A0">
            <w:pPr>
              <w:spacing w:before="20" w:after="20" w:line="276" w:lineRule="auto"/>
              <w:jc w:val="right"/>
              <w:rPr>
                <w:b/>
                <w:bCs/>
                <w:noProof/>
                <w:sz w:val="20"/>
                <w:szCs w:val="20"/>
              </w:rPr>
            </w:pPr>
            <w:r w:rsidRPr="00A96D00">
              <w:rPr>
                <w:b/>
                <w:noProof/>
                <w:sz w:val="20"/>
              </w:rPr>
              <w:t>0,002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76D82C6" w14:textId="77777777" w:rsidR="006918A0" w:rsidRPr="00A96D00" w:rsidRDefault="006918A0" w:rsidP="006918A0">
            <w:pPr>
              <w:spacing w:before="60" w:after="60" w:line="200" w:lineRule="exact"/>
              <w:jc w:val="right"/>
              <w:rPr>
                <w:b/>
                <w:bCs/>
                <w:noProof/>
                <w:sz w:val="20"/>
                <w:szCs w:val="20"/>
              </w:rPr>
            </w:pPr>
            <w:r w:rsidRPr="00A96D00">
              <w:rPr>
                <w:b/>
                <w:noProof/>
                <w:sz w:val="20"/>
              </w:rPr>
              <w:t>0,001</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1F3EBF79" w14:textId="77777777" w:rsidR="006918A0" w:rsidRPr="00A96D00" w:rsidRDefault="006918A0" w:rsidP="006918A0">
            <w:pPr>
              <w:spacing w:before="60" w:after="60" w:line="200" w:lineRule="exact"/>
              <w:jc w:val="right"/>
              <w:rPr>
                <w:b/>
                <w:bCs/>
                <w:noProof/>
                <w:color w:val="000000"/>
                <w:sz w:val="20"/>
                <w:szCs w:val="20"/>
              </w:rPr>
            </w:pPr>
            <w:r w:rsidRPr="00A96D00">
              <w:rPr>
                <w:b/>
                <w:noProof/>
                <w:color w:val="000000"/>
                <w:sz w:val="20"/>
              </w:rPr>
              <w:t>0,013</w:t>
            </w:r>
          </w:p>
        </w:tc>
      </w:tr>
      <w:tr w:rsidR="006918A0" w:rsidRPr="00A96D00" w14:paraId="1066BDF8"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hideMark/>
          </w:tcPr>
          <w:p w14:paraId="658EE7FC" w14:textId="77777777" w:rsidR="006918A0" w:rsidRPr="00A96D00" w:rsidRDefault="006918A0" w:rsidP="006918A0">
            <w:pPr>
              <w:spacing w:before="60" w:after="60" w:line="200" w:lineRule="exact"/>
              <w:jc w:val="center"/>
              <w:rPr>
                <w:b/>
                <w:noProof/>
                <w:sz w:val="16"/>
              </w:rPr>
            </w:pPr>
            <w:r w:rsidRPr="00A96D00">
              <w:rPr>
                <w:b/>
                <w:noProof/>
                <w:sz w:val="16"/>
              </w:rPr>
              <w:t>Međuzbroj za NASLOV 7.</w:t>
            </w:r>
            <w:r w:rsidRPr="00A96D00">
              <w:rPr>
                <w:noProof/>
              </w:rPr>
              <w:t xml:space="preserve"> </w:t>
            </w:r>
            <w:r w:rsidRPr="00A96D00">
              <w:rPr>
                <w:noProof/>
              </w:rPr>
              <w:br/>
            </w:r>
            <w:r w:rsidRPr="00A96D00">
              <w:rPr>
                <w:b/>
                <w:noProof/>
                <w:sz w:val="16"/>
              </w:rPr>
              <w:t xml:space="preserve">višegodišnjeg financijskog okvira </w:t>
            </w:r>
          </w:p>
        </w:tc>
        <w:tc>
          <w:tcPr>
            <w:tcW w:w="1081" w:type="dxa"/>
            <w:tcBorders>
              <w:top w:val="single" w:sz="12" w:space="0" w:color="auto"/>
              <w:left w:val="single" w:sz="2" w:space="0" w:color="auto"/>
              <w:bottom w:val="single" w:sz="12" w:space="0" w:color="auto"/>
              <w:right w:val="single" w:sz="2" w:space="0" w:color="auto"/>
            </w:tcBorders>
            <w:vAlign w:val="center"/>
          </w:tcPr>
          <w:p w14:paraId="3666A1A3" w14:textId="77777777" w:rsidR="006918A0" w:rsidRPr="00A96D0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A53C40E" w14:textId="77777777" w:rsidR="006918A0" w:rsidRPr="00A96D0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A951EC3" w14:textId="77777777" w:rsidR="006918A0" w:rsidRPr="00A96D0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65C9D1DD" w14:textId="77777777" w:rsidR="006918A0" w:rsidRPr="00A96D0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0A84FFE1" w14:textId="77777777" w:rsidR="006918A0" w:rsidRPr="00A96D00" w:rsidRDefault="006918A0" w:rsidP="006918A0">
            <w:pPr>
              <w:spacing w:before="60" w:after="60" w:line="200" w:lineRule="exact"/>
              <w:jc w:val="right"/>
              <w:rPr>
                <w:b/>
                <w:bCs/>
                <w:noProof/>
                <w:sz w:val="20"/>
                <w:szCs w:val="20"/>
              </w:rPr>
            </w:pPr>
          </w:p>
        </w:tc>
        <w:tc>
          <w:tcPr>
            <w:tcW w:w="1705" w:type="dxa"/>
            <w:tcBorders>
              <w:top w:val="single" w:sz="12" w:space="0" w:color="auto"/>
              <w:left w:val="single" w:sz="2" w:space="0" w:color="auto"/>
              <w:bottom w:val="single" w:sz="12" w:space="0" w:color="auto"/>
              <w:right w:val="single" w:sz="2" w:space="0" w:color="auto"/>
            </w:tcBorders>
            <w:vAlign w:val="center"/>
          </w:tcPr>
          <w:p w14:paraId="2B590021" w14:textId="77777777" w:rsidR="006918A0" w:rsidRPr="00A96D00" w:rsidRDefault="006918A0" w:rsidP="006918A0">
            <w:pPr>
              <w:spacing w:before="60" w:after="60" w:line="200" w:lineRule="exact"/>
              <w:jc w:val="right"/>
              <w:rPr>
                <w:b/>
                <w:bCs/>
                <w:noProof/>
                <w:color w:val="000000"/>
                <w:sz w:val="20"/>
                <w:szCs w:val="20"/>
              </w:rPr>
            </w:pPr>
          </w:p>
        </w:tc>
      </w:tr>
      <w:tr w:rsidR="006918A0" w:rsidRPr="00A96D00" w14:paraId="683DC427"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50928D9D" w14:textId="77777777" w:rsidR="006918A0" w:rsidRPr="00A96D00" w:rsidRDefault="006918A0" w:rsidP="006918A0">
            <w:pPr>
              <w:spacing w:before="60" w:after="60" w:line="200" w:lineRule="exact"/>
              <w:jc w:val="center"/>
              <w:rPr>
                <w:noProof/>
                <w:sz w:val="16"/>
                <w:szCs w:val="16"/>
              </w:rPr>
            </w:pPr>
            <w:r w:rsidRPr="00A96D00">
              <w:rPr>
                <w:b/>
                <w:noProof/>
                <w:sz w:val="16"/>
              </w:rPr>
              <w:t>UKUPNO</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214F948E" w14:textId="77777777" w:rsidR="006918A0" w:rsidRPr="00A96D00" w:rsidRDefault="006918A0" w:rsidP="006918A0">
            <w:pPr>
              <w:spacing w:before="20" w:after="20" w:line="276" w:lineRule="auto"/>
              <w:jc w:val="right"/>
              <w:rPr>
                <w:noProof/>
                <w:sz w:val="20"/>
              </w:rPr>
            </w:pPr>
            <w:r w:rsidRPr="00A96D00">
              <w:rPr>
                <w:b/>
                <w:noProof/>
                <w:sz w:val="20"/>
              </w:rPr>
              <w:t>0,122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502E13C" w14:textId="77777777" w:rsidR="006918A0" w:rsidRPr="00A96D00" w:rsidRDefault="006918A0" w:rsidP="006918A0">
            <w:pPr>
              <w:spacing w:before="20" w:after="20" w:line="276" w:lineRule="auto"/>
              <w:jc w:val="right"/>
              <w:rPr>
                <w:noProof/>
                <w:sz w:val="20"/>
              </w:rPr>
            </w:pPr>
            <w:r w:rsidRPr="00A96D00">
              <w:rPr>
                <w:b/>
                <w:noProof/>
                <w:sz w:val="20"/>
              </w:rPr>
              <w:t>0,161</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A875F83" w14:textId="77777777" w:rsidR="006918A0" w:rsidRPr="00A96D00" w:rsidRDefault="006918A0" w:rsidP="006918A0">
            <w:pPr>
              <w:spacing w:before="20" w:after="20" w:line="276" w:lineRule="auto"/>
              <w:jc w:val="right"/>
              <w:rPr>
                <w:noProof/>
                <w:sz w:val="20"/>
              </w:rPr>
            </w:pPr>
            <w:r w:rsidRPr="00A96D00">
              <w:rPr>
                <w:b/>
                <w:noProof/>
                <w:sz w:val="20"/>
              </w:rPr>
              <w:t>0,159</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667FE95" w14:textId="77777777" w:rsidR="006918A0" w:rsidRPr="00A96D00" w:rsidRDefault="006918A0" w:rsidP="006918A0">
            <w:pPr>
              <w:spacing w:before="20" w:after="20" w:line="276" w:lineRule="auto"/>
              <w:jc w:val="right"/>
              <w:rPr>
                <w:noProof/>
                <w:sz w:val="20"/>
              </w:rPr>
            </w:pPr>
            <w:r w:rsidRPr="00A96D00">
              <w:rPr>
                <w:b/>
                <w:noProof/>
                <w:sz w:val="20"/>
              </w:rPr>
              <w:t>0,065</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2E9E5360" w14:textId="77777777" w:rsidR="006918A0" w:rsidRPr="00A96D00" w:rsidRDefault="006918A0" w:rsidP="006918A0">
            <w:pPr>
              <w:spacing w:before="60" w:after="60" w:line="200" w:lineRule="exact"/>
              <w:jc w:val="right"/>
              <w:rPr>
                <w:noProof/>
                <w:sz w:val="16"/>
                <w:szCs w:val="16"/>
              </w:rPr>
            </w:pPr>
            <w:r w:rsidRPr="00A96D00">
              <w:rPr>
                <w:b/>
                <w:noProof/>
                <w:sz w:val="20"/>
              </w:rPr>
              <w:t>0,017</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0AF15B07" w14:textId="77777777" w:rsidR="006918A0" w:rsidRPr="00A96D00" w:rsidRDefault="006918A0" w:rsidP="006918A0">
            <w:pPr>
              <w:spacing w:before="60" w:after="60" w:line="200" w:lineRule="exact"/>
              <w:jc w:val="right"/>
              <w:rPr>
                <w:b/>
                <w:noProof/>
                <w:sz w:val="18"/>
                <w:szCs w:val="18"/>
              </w:rPr>
            </w:pPr>
            <w:r w:rsidRPr="00A96D00">
              <w:rPr>
                <w:b/>
                <w:noProof/>
                <w:color w:val="000000"/>
                <w:sz w:val="20"/>
              </w:rPr>
              <w:t>0,524</w:t>
            </w:r>
          </w:p>
        </w:tc>
      </w:tr>
    </w:tbl>
    <w:p w14:paraId="249AF73E" w14:textId="77777777" w:rsidR="006918A0" w:rsidRPr="00A96D00" w:rsidRDefault="006918A0" w:rsidP="006918A0">
      <w:pPr>
        <w:rPr>
          <w:noProof/>
          <w:sz w:val="18"/>
        </w:rPr>
      </w:pPr>
    </w:p>
    <w:p w14:paraId="680BCEA7" w14:textId="77777777" w:rsidR="006918A0" w:rsidRPr="00A96D00" w:rsidRDefault="006918A0" w:rsidP="006918A0">
      <w:pPr>
        <w:rPr>
          <w:noProof/>
          <w:sz w:val="18"/>
        </w:rPr>
      </w:pPr>
    </w:p>
    <w:tbl>
      <w:tblPr>
        <w:tblW w:w="951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0"/>
        <w:gridCol w:w="1080"/>
        <w:gridCol w:w="1080"/>
        <w:gridCol w:w="1080"/>
        <w:gridCol w:w="1080"/>
        <w:gridCol w:w="2129"/>
      </w:tblGrid>
      <w:tr w:rsidR="00555CA4" w:rsidRPr="00A96D00" w14:paraId="1FD17F12"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14:paraId="2803C14C" w14:textId="77777777" w:rsidR="006918A0" w:rsidRPr="00A96D00" w:rsidRDefault="006918A0" w:rsidP="006918A0">
            <w:pPr>
              <w:spacing w:before="60" w:after="60" w:line="200" w:lineRule="exact"/>
              <w:jc w:val="center"/>
              <w:rPr>
                <w:noProof/>
                <w:sz w:val="16"/>
                <w:szCs w:val="16"/>
              </w:rPr>
            </w:pPr>
            <w:r w:rsidRPr="00A96D00">
              <w:rPr>
                <w:b/>
                <w:noProof/>
                <w:sz w:val="16"/>
              </w:rPr>
              <w:t>Izvan NASLOVA 7.</w:t>
            </w:r>
            <w:r w:rsidRPr="00A96D00">
              <w:rPr>
                <w:rStyle w:val="FootnoteReference"/>
                <w:noProof/>
              </w:rPr>
              <w:footnoteReference w:id="54"/>
            </w:r>
            <w:r w:rsidRPr="00A96D00">
              <w:rPr>
                <w:noProof/>
              </w:rPr>
              <w:t xml:space="preserve"> </w:t>
            </w:r>
            <w:r w:rsidRPr="00A96D00">
              <w:rPr>
                <w:noProof/>
              </w:rPr>
              <w:br/>
            </w:r>
            <w:r w:rsidRPr="00A96D00">
              <w:rPr>
                <w:b/>
                <w:noProof/>
                <w:sz w:val="16"/>
              </w:rPr>
              <w:t xml:space="preserve">višegodišnjeg financijskog okvira </w:t>
            </w:r>
          </w:p>
          <w:p w14:paraId="331B5847" w14:textId="77777777" w:rsidR="006918A0" w:rsidRPr="00A96D00" w:rsidRDefault="006918A0" w:rsidP="006918A0">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B166333"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4E87956"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583C1F7"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AB505E2"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DAF912F" w14:textId="77777777" w:rsidR="006918A0" w:rsidRPr="00A96D00"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13618900" w14:textId="77777777" w:rsidR="006918A0" w:rsidRPr="00A96D00" w:rsidRDefault="006918A0" w:rsidP="006918A0">
            <w:pPr>
              <w:spacing w:before="60" w:after="60" w:line="200" w:lineRule="exact"/>
              <w:jc w:val="right"/>
              <w:rPr>
                <w:b/>
                <w:noProof/>
                <w:sz w:val="16"/>
                <w:szCs w:val="16"/>
              </w:rPr>
            </w:pPr>
          </w:p>
        </w:tc>
      </w:tr>
      <w:tr w:rsidR="006918A0" w:rsidRPr="00A96D00" w14:paraId="36C7775C"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4304A69D" w14:textId="77777777" w:rsidR="006918A0" w:rsidRPr="00A96D00" w:rsidRDefault="006918A0" w:rsidP="006918A0">
            <w:pPr>
              <w:spacing w:before="60" w:after="60" w:line="200" w:lineRule="exact"/>
              <w:ind w:left="72"/>
              <w:jc w:val="left"/>
              <w:rPr>
                <w:noProof/>
                <w:sz w:val="16"/>
                <w:szCs w:val="16"/>
              </w:rPr>
            </w:pPr>
            <w:r w:rsidRPr="00A96D00">
              <w:rPr>
                <w:noProof/>
                <w:sz w:val="16"/>
              </w:rPr>
              <w:t xml:space="preserve">Ljudski resursi </w:t>
            </w:r>
          </w:p>
        </w:tc>
        <w:tc>
          <w:tcPr>
            <w:tcW w:w="1080" w:type="dxa"/>
            <w:tcBorders>
              <w:top w:val="single" w:sz="2" w:space="0" w:color="auto"/>
              <w:left w:val="single" w:sz="2" w:space="0" w:color="auto"/>
              <w:bottom w:val="single" w:sz="2" w:space="0" w:color="auto"/>
              <w:right w:val="single" w:sz="2" w:space="0" w:color="auto"/>
            </w:tcBorders>
            <w:vAlign w:val="center"/>
          </w:tcPr>
          <w:p w14:paraId="24789D0B"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22D77D4"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55AC8C5"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6D515B7"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7AEF9C1" w14:textId="77777777" w:rsidR="006918A0" w:rsidRPr="00A96D00"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2EB026A6" w14:textId="77777777" w:rsidR="006918A0" w:rsidRPr="00A96D00" w:rsidRDefault="006918A0" w:rsidP="006918A0">
            <w:pPr>
              <w:spacing w:before="60" w:after="60" w:line="200" w:lineRule="exact"/>
              <w:jc w:val="right"/>
              <w:rPr>
                <w:b/>
                <w:noProof/>
                <w:sz w:val="16"/>
                <w:szCs w:val="16"/>
              </w:rPr>
            </w:pPr>
          </w:p>
        </w:tc>
      </w:tr>
      <w:tr w:rsidR="006918A0" w:rsidRPr="00A96D00" w14:paraId="3AFA88FB"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1D3AE216" w14:textId="77777777" w:rsidR="006918A0" w:rsidRPr="00A96D00" w:rsidRDefault="006918A0" w:rsidP="006918A0">
            <w:pPr>
              <w:spacing w:before="60" w:after="60" w:line="200" w:lineRule="exact"/>
              <w:ind w:left="72"/>
              <w:jc w:val="left"/>
              <w:rPr>
                <w:noProof/>
                <w:sz w:val="16"/>
                <w:szCs w:val="16"/>
              </w:rPr>
            </w:pPr>
            <w:r w:rsidRPr="00A96D00">
              <w:rPr>
                <w:noProof/>
                <w:sz w:val="16"/>
              </w:rPr>
              <w:t xml:space="preserve">Ostali administrativni </w:t>
            </w:r>
            <w:r w:rsidRPr="00A96D00">
              <w:rPr>
                <w:noProof/>
              </w:rPr>
              <w:t xml:space="preserve"> </w:t>
            </w:r>
            <w:r w:rsidRPr="00A96D00">
              <w:rPr>
                <w:noProof/>
              </w:rPr>
              <w:br/>
            </w:r>
            <w:r w:rsidRPr="00A96D00">
              <w:rPr>
                <w:noProof/>
                <w:sz w:val="16"/>
              </w:rPr>
              <w:t>rashodi</w:t>
            </w:r>
          </w:p>
        </w:tc>
        <w:tc>
          <w:tcPr>
            <w:tcW w:w="1080" w:type="dxa"/>
            <w:tcBorders>
              <w:top w:val="single" w:sz="2" w:space="0" w:color="auto"/>
              <w:left w:val="single" w:sz="2" w:space="0" w:color="auto"/>
              <w:bottom w:val="single" w:sz="2" w:space="0" w:color="auto"/>
              <w:right w:val="single" w:sz="2" w:space="0" w:color="auto"/>
            </w:tcBorders>
            <w:vAlign w:val="center"/>
          </w:tcPr>
          <w:p w14:paraId="77001B6A"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A289EE7"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364E53F"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0BBA038"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8FE4143" w14:textId="77777777" w:rsidR="006918A0" w:rsidRPr="00A96D00"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3D1A74AB" w14:textId="77777777" w:rsidR="006918A0" w:rsidRPr="00A96D00" w:rsidRDefault="006918A0" w:rsidP="006918A0">
            <w:pPr>
              <w:spacing w:before="60" w:after="60" w:line="200" w:lineRule="exact"/>
              <w:jc w:val="right"/>
              <w:rPr>
                <w:b/>
                <w:noProof/>
                <w:sz w:val="16"/>
                <w:szCs w:val="16"/>
              </w:rPr>
            </w:pPr>
          </w:p>
        </w:tc>
      </w:tr>
      <w:tr w:rsidR="00555CA4" w:rsidRPr="00A96D00" w14:paraId="09DA54BF"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3865DC40" w14:textId="77777777" w:rsidR="006918A0" w:rsidRPr="00A96D00" w:rsidRDefault="006918A0" w:rsidP="006918A0">
            <w:pPr>
              <w:spacing w:before="60" w:after="60" w:line="200" w:lineRule="exact"/>
              <w:jc w:val="center"/>
              <w:rPr>
                <w:b/>
                <w:noProof/>
                <w:sz w:val="16"/>
                <w:szCs w:val="16"/>
              </w:rPr>
            </w:pPr>
            <w:r w:rsidRPr="00A96D00">
              <w:rPr>
                <w:b/>
                <w:noProof/>
                <w:sz w:val="16"/>
              </w:rPr>
              <w:t xml:space="preserve">Međuzbroj </w:t>
            </w:r>
            <w:r w:rsidRPr="00A96D00">
              <w:rPr>
                <w:noProof/>
              </w:rPr>
              <w:t xml:space="preserve"> </w:t>
            </w:r>
            <w:r w:rsidRPr="00A96D00">
              <w:rPr>
                <w:noProof/>
              </w:rPr>
              <w:br/>
            </w:r>
            <w:r w:rsidRPr="00A96D00">
              <w:rPr>
                <w:b/>
                <w:noProof/>
                <w:sz w:val="16"/>
              </w:rPr>
              <w:t>izvan NASLOVA 7.</w:t>
            </w:r>
            <w:r w:rsidRPr="00A96D00">
              <w:rPr>
                <w:noProof/>
              </w:rPr>
              <w:t xml:space="preserve"> </w:t>
            </w:r>
            <w:r w:rsidRPr="00A96D00">
              <w:rPr>
                <w:noProof/>
              </w:rPr>
              <w:br/>
            </w:r>
            <w:r w:rsidRPr="00A96D00">
              <w:rPr>
                <w:b/>
                <w:noProof/>
                <w:sz w:val="16"/>
              </w:rPr>
              <w:t xml:space="preserve">višegodišnjeg financijskog okvira </w:t>
            </w:r>
          </w:p>
        </w:tc>
        <w:tc>
          <w:tcPr>
            <w:tcW w:w="1080" w:type="dxa"/>
            <w:tcBorders>
              <w:top w:val="single" w:sz="2" w:space="0" w:color="auto"/>
              <w:left w:val="single" w:sz="2" w:space="0" w:color="auto"/>
              <w:bottom w:val="single" w:sz="2" w:space="0" w:color="auto"/>
              <w:right w:val="single" w:sz="2" w:space="0" w:color="auto"/>
            </w:tcBorders>
            <w:vAlign w:val="center"/>
          </w:tcPr>
          <w:p w14:paraId="36BF5FA3"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6C4C8A1"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651AF38"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6BBABF2" w14:textId="77777777" w:rsidR="006918A0" w:rsidRPr="00A96D0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8C02A06" w14:textId="77777777" w:rsidR="006918A0" w:rsidRPr="00A96D00"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4F18EA1E" w14:textId="77777777" w:rsidR="006918A0" w:rsidRPr="00A96D00" w:rsidRDefault="006918A0" w:rsidP="006918A0">
            <w:pPr>
              <w:spacing w:before="60" w:after="60" w:line="200" w:lineRule="exact"/>
              <w:jc w:val="right"/>
              <w:rPr>
                <w:b/>
                <w:noProof/>
                <w:sz w:val="16"/>
                <w:szCs w:val="16"/>
              </w:rPr>
            </w:pPr>
          </w:p>
        </w:tc>
      </w:tr>
    </w:tbl>
    <w:p w14:paraId="17F1E0AE" w14:textId="77777777" w:rsidR="006918A0" w:rsidRPr="00A96D00" w:rsidRDefault="006918A0" w:rsidP="006918A0">
      <w:pPr>
        <w:rPr>
          <w:noProof/>
          <w:sz w:val="18"/>
        </w:rPr>
      </w:pPr>
    </w:p>
    <w:p w14:paraId="35453D04" w14:textId="77777777" w:rsidR="006918A0" w:rsidRPr="00A96D00" w:rsidRDefault="006918A0" w:rsidP="006918A0">
      <w:pPr>
        <w:rPr>
          <w:noProof/>
          <w:sz w:val="18"/>
        </w:rPr>
      </w:pPr>
    </w:p>
    <w:tbl>
      <w:tblPr>
        <w:tblW w:w="9510" w:type="dxa"/>
        <w:tblInd w:w="-612" w:type="dxa"/>
        <w:tblLayout w:type="fixed"/>
        <w:tblLook w:val="01E0" w:firstRow="1" w:lastRow="1" w:firstColumn="1" w:lastColumn="1" w:noHBand="0" w:noVBand="0"/>
      </w:tblPr>
      <w:tblGrid>
        <w:gridCol w:w="1981"/>
        <w:gridCol w:w="1080"/>
        <w:gridCol w:w="1080"/>
        <w:gridCol w:w="1080"/>
        <w:gridCol w:w="1080"/>
        <w:gridCol w:w="1080"/>
        <w:gridCol w:w="2129"/>
      </w:tblGrid>
      <w:tr w:rsidR="00555CA4" w:rsidRPr="00A96D00" w14:paraId="668018DD"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3C429912" w14:textId="77777777" w:rsidR="006918A0" w:rsidRPr="00A96D00" w:rsidRDefault="006918A0" w:rsidP="006918A0">
            <w:pPr>
              <w:spacing w:before="60" w:after="60" w:line="200" w:lineRule="exact"/>
              <w:jc w:val="center"/>
              <w:rPr>
                <w:noProof/>
                <w:sz w:val="16"/>
                <w:szCs w:val="16"/>
              </w:rPr>
            </w:pPr>
            <w:r w:rsidRPr="00A96D00">
              <w:rPr>
                <w:b/>
                <w:noProof/>
                <w:sz w:val="16"/>
              </w:rPr>
              <w:t>UKUPNO</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61F7207A" w14:textId="77777777" w:rsidR="006918A0" w:rsidRPr="00A96D00" w:rsidRDefault="006918A0" w:rsidP="006918A0">
            <w:pPr>
              <w:spacing w:before="60" w:after="60" w:line="200" w:lineRule="exact"/>
              <w:jc w:val="right"/>
              <w:rPr>
                <w:b/>
                <w:noProof/>
                <w:sz w:val="16"/>
                <w:szCs w:val="16"/>
              </w:rPr>
            </w:pPr>
            <w:r w:rsidRPr="00A96D00">
              <w:rPr>
                <w:noProof/>
                <w:sz w:val="20"/>
              </w:rPr>
              <w:t>0,122</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60A5D976" w14:textId="77777777" w:rsidR="006918A0" w:rsidRPr="00A96D00" w:rsidRDefault="006918A0" w:rsidP="006918A0">
            <w:pPr>
              <w:spacing w:before="60" w:after="60" w:line="200" w:lineRule="exact"/>
              <w:jc w:val="right"/>
              <w:rPr>
                <w:b/>
                <w:noProof/>
                <w:sz w:val="16"/>
                <w:szCs w:val="16"/>
              </w:rPr>
            </w:pPr>
            <w:r w:rsidRPr="00A96D00">
              <w:rPr>
                <w:noProof/>
                <w:sz w:val="20"/>
              </w:rPr>
              <w:t>0,161</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55946858" w14:textId="77777777" w:rsidR="006918A0" w:rsidRPr="00A96D00" w:rsidRDefault="006918A0" w:rsidP="006918A0">
            <w:pPr>
              <w:spacing w:before="60" w:after="60" w:line="200" w:lineRule="exact"/>
              <w:jc w:val="right"/>
              <w:rPr>
                <w:b/>
                <w:noProof/>
                <w:sz w:val="16"/>
                <w:szCs w:val="16"/>
              </w:rPr>
            </w:pPr>
            <w:r w:rsidRPr="00A96D00">
              <w:rPr>
                <w:noProof/>
                <w:sz w:val="20"/>
              </w:rPr>
              <w:t>0,159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3973E810" w14:textId="77777777" w:rsidR="006918A0" w:rsidRPr="00A96D00" w:rsidRDefault="006918A0" w:rsidP="006918A0">
            <w:pPr>
              <w:spacing w:before="60" w:after="60" w:line="200" w:lineRule="exact"/>
              <w:jc w:val="right"/>
              <w:rPr>
                <w:b/>
                <w:noProof/>
                <w:sz w:val="16"/>
                <w:szCs w:val="16"/>
              </w:rPr>
            </w:pPr>
            <w:r w:rsidRPr="00A96D00">
              <w:rPr>
                <w:noProof/>
                <w:sz w:val="20"/>
              </w:rPr>
              <w:t>0,065</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2E9A7D76" w14:textId="77777777" w:rsidR="006918A0" w:rsidRPr="00A96D00" w:rsidRDefault="006918A0" w:rsidP="006918A0">
            <w:pPr>
              <w:spacing w:before="60" w:after="60" w:line="200" w:lineRule="exact"/>
              <w:jc w:val="right"/>
              <w:rPr>
                <w:b/>
                <w:noProof/>
                <w:sz w:val="16"/>
                <w:szCs w:val="16"/>
              </w:rPr>
            </w:pPr>
            <w:r w:rsidRPr="00A96D00">
              <w:rPr>
                <w:noProof/>
                <w:sz w:val="20"/>
              </w:rPr>
              <w:t>0,017</w:t>
            </w:r>
          </w:p>
        </w:tc>
        <w:tc>
          <w:tcPr>
            <w:tcW w:w="2129" w:type="dxa"/>
            <w:tcBorders>
              <w:top w:val="single" w:sz="12" w:space="0" w:color="auto"/>
              <w:left w:val="single" w:sz="2" w:space="0" w:color="auto"/>
              <w:bottom w:val="single" w:sz="12" w:space="0" w:color="auto"/>
              <w:right w:val="single" w:sz="12" w:space="0" w:color="auto"/>
            </w:tcBorders>
            <w:vAlign w:val="center"/>
            <w:hideMark/>
          </w:tcPr>
          <w:p w14:paraId="77CBF4ED" w14:textId="77777777" w:rsidR="006918A0" w:rsidRPr="00A96D00" w:rsidRDefault="006918A0" w:rsidP="006918A0">
            <w:pPr>
              <w:spacing w:before="60" w:after="60" w:line="200" w:lineRule="exact"/>
              <w:jc w:val="right"/>
              <w:rPr>
                <w:b/>
                <w:noProof/>
                <w:sz w:val="16"/>
                <w:szCs w:val="16"/>
              </w:rPr>
            </w:pPr>
            <w:r w:rsidRPr="00A96D00">
              <w:rPr>
                <w:b/>
                <w:noProof/>
                <w:color w:val="000000"/>
                <w:sz w:val="20"/>
              </w:rPr>
              <w:t>0,524</w:t>
            </w:r>
          </w:p>
        </w:tc>
      </w:tr>
    </w:tbl>
    <w:p w14:paraId="5B46BE5C" w14:textId="77777777" w:rsidR="006918A0" w:rsidRPr="00A96D00" w:rsidRDefault="006918A0" w:rsidP="006918A0">
      <w:pPr>
        <w:rPr>
          <w:noProof/>
          <w:sz w:val="18"/>
        </w:rPr>
      </w:pPr>
    </w:p>
    <w:p w14:paraId="4401B4BA" w14:textId="77777777" w:rsidR="006918A0" w:rsidRPr="00A96D00" w:rsidRDefault="006918A0" w:rsidP="006918A0">
      <w:pPr>
        <w:rPr>
          <w:noProof/>
          <w:sz w:val="18"/>
        </w:rPr>
      </w:pPr>
      <w:r w:rsidRPr="00A96D00">
        <w:rPr>
          <w:noProof/>
          <w:sz w:val="18"/>
        </w:rPr>
        <w:t>Potrebna odobrena sredstva za ljudske resurse i ostale administrativne rashode pokrit će se odobrenim sredstvima glavne uprave koja su već dodijeljena za upravljanje djelovanjem i/ili su preraspodijeljena unutar glavne uprave te, prema potrebi, dodatnim sredstvima koja se mogu dodijeliti nadležnoj glavnoj upravi u okviru godišnjeg postupka dodjele sredstava uzimajući u obzir proračunska ograničenja.</w:t>
      </w:r>
    </w:p>
    <w:p w14:paraId="107F0D3A" w14:textId="77777777" w:rsidR="006918A0" w:rsidRPr="00A96D00" w:rsidRDefault="006918A0" w:rsidP="006918A0">
      <w:pPr>
        <w:spacing w:before="0" w:after="0"/>
        <w:jc w:val="left"/>
        <w:rPr>
          <w:noProof/>
          <w:sz w:val="18"/>
        </w:rPr>
        <w:sectPr w:rsidR="006918A0" w:rsidRPr="00A96D00" w:rsidSect="00BE4874">
          <w:headerReference w:type="default" r:id="rId22"/>
          <w:footerReference w:type="default" r:id="rId23"/>
          <w:headerReference w:type="first" r:id="rId24"/>
          <w:footerReference w:type="first" r:id="rId25"/>
          <w:pgSz w:w="11907" w:h="16840"/>
          <w:pgMar w:top="1134" w:right="1418" w:bottom="1134" w:left="1418" w:header="709" w:footer="709" w:gutter="0"/>
          <w:cols w:space="720"/>
          <w:docGrid w:linePitch="326"/>
        </w:sectPr>
      </w:pPr>
    </w:p>
    <w:p w14:paraId="752B32BF" w14:textId="77777777" w:rsidR="006918A0" w:rsidRPr="00A96D00" w:rsidRDefault="00287904" w:rsidP="00287904">
      <w:pPr>
        <w:pStyle w:val="ManualHeading4"/>
        <w:rPr>
          <w:noProof/>
          <w:szCs w:val="24"/>
        </w:rPr>
      </w:pPr>
      <w:r w:rsidRPr="00A96D00">
        <w:rPr>
          <w:noProof/>
        </w:rPr>
        <w:tab/>
        <w:t>3.2.3.1. Procijenjene potrebe u pogledu ljudskih resursa</w:t>
      </w:r>
    </w:p>
    <w:p w14:paraId="1546D0EF"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t></w:t>
      </w:r>
      <w:r w:rsidRPr="00A96D00">
        <w:rPr>
          <w:noProof/>
        </w:rPr>
        <w:tab/>
        <w:t xml:space="preserve">Za prijedlog/inicijativu nisu potrebni ljudski resursi. </w:t>
      </w:r>
    </w:p>
    <w:p w14:paraId="58CA2AED"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t></w:t>
      </w:r>
      <w:r w:rsidRPr="00A96D00">
        <w:rPr>
          <w:noProof/>
        </w:rPr>
        <w:tab/>
        <w:t>Za prijedlog/inicijativu potrebni su sljedeći ljudski resursi:</w:t>
      </w:r>
    </w:p>
    <w:p w14:paraId="5EDDB896" w14:textId="77777777" w:rsidR="006918A0" w:rsidRPr="00A96D00" w:rsidRDefault="006918A0" w:rsidP="006918A0">
      <w:pPr>
        <w:tabs>
          <w:tab w:val="left" w:pos="720"/>
        </w:tabs>
        <w:ind w:left="1134" w:hanging="283"/>
        <w:rPr>
          <w:rFonts w:eastAsia="Times New Roman"/>
          <w:noProof/>
          <w:lang w:eastAsia="de-DE"/>
        </w:rPr>
      </w:pP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
        <w:gridCol w:w="2376"/>
        <w:gridCol w:w="2378"/>
        <w:gridCol w:w="731"/>
        <w:gridCol w:w="731"/>
        <w:gridCol w:w="731"/>
        <w:gridCol w:w="731"/>
        <w:gridCol w:w="731"/>
        <w:gridCol w:w="1462"/>
      </w:tblGrid>
      <w:tr w:rsidR="006918A0" w:rsidRPr="00A96D00" w14:paraId="20FEB3AA"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tcPr>
          <w:p w14:paraId="7AFF414F" w14:textId="77777777" w:rsidR="006918A0" w:rsidRPr="00A96D00" w:rsidRDefault="006918A0" w:rsidP="006918A0">
            <w:pPr>
              <w:spacing w:before="40" w:after="40" w:line="276" w:lineRule="auto"/>
              <w:jc w:val="center"/>
              <w:rPr>
                <w:i/>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hideMark/>
          </w:tcPr>
          <w:p w14:paraId="2D796657" w14:textId="77777777" w:rsidR="006918A0" w:rsidRPr="00A96D00" w:rsidRDefault="006918A0" w:rsidP="006918A0">
            <w:pPr>
              <w:spacing w:before="20" w:after="20" w:line="276" w:lineRule="auto"/>
              <w:jc w:val="center"/>
              <w:rPr>
                <w:noProof/>
                <w:sz w:val="16"/>
                <w:szCs w:val="16"/>
              </w:rPr>
            </w:pPr>
            <w:r w:rsidRPr="00A96D00">
              <w:rPr>
                <w:noProof/>
                <w:sz w:val="16"/>
              </w:rPr>
              <w:t>2023.</w:t>
            </w:r>
          </w:p>
        </w:tc>
        <w:tc>
          <w:tcPr>
            <w:tcW w:w="731" w:type="dxa"/>
            <w:tcBorders>
              <w:top w:val="single" w:sz="6" w:space="0" w:color="auto"/>
              <w:left w:val="single" w:sz="6" w:space="0" w:color="auto"/>
              <w:bottom w:val="single" w:sz="6" w:space="0" w:color="auto"/>
              <w:right w:val="single" w:sz="6" w:space="0" w:color="auto"/>
            </w:tcBorders>
            <w:vAlign w:val="center"/>
            <w:hideMark/>
          </w:tcPr>
          <w:p w14:paraId="2557EE26" w14:textId="77777777" w:rsidR="006918A0" w:rsidRPr="00A96D00" w:rsidRDefault="006918A0" w:rsidP="006918A0">
            <w:pPr>
              <w:spacing w:before="20" w:after="20" w:line="276" w:lineRule="auto"/>
              <w:jc w:val="center"/>
              <w:rPr>
                <w:noProof/>
                <w:sz w:val="16"/>
                <w:szCs w:val="16"/>
              </w:rPr>
            </w:pPr>
            <w:r w:rsidRPr="00A96D00">
              <w:rPr>
                <w:noProof/>
                <w:sz w:val="16"/>
              </w:rPr>
              <w:t>2024.</w:t>
            </w:r>
          </w:p>
        </w:tc>
        <w:tc>
          <w:tcPr>
            <w:tcW w:w="731" w:type="dxa"/>
            <w:tcBorders>
              <w:top w:val="single" w:sz="6" w:space="0" w:color="auto"/>
              <w:left w:val="single" w:sz="6" w:space="0" w:color="auto"/>
              <w:bottom w:val="single" w:sz="6" w:space="0" w:color="auto"/>
              <w:right w:val="single" w:sz="6" w:space="0" w:color="auto"/>
            </w:tcBorders>
            <w:vAlign w:val="center"/>
            <w:hideMark/>
          </w:tcPr>
          <w:p w14:paraId="3957F9C7" w14:textId="77777777" w:rsidR="006918A0" w:rsidRPr="00A96D00" w:rsidRDefault="006918A0" w:rsidP="006918A0">
            <w:pPr>
              <w:spacing w:before="20" w:after="20" w:line="276" w:lineRule="auto"/>
              <w:jc w:val="center"/>
              <w:rPr>
                <w:noProof/>
                <w:sz w:val="16"/>
                <w:szCs w:val="16"/>
              </w:rPr>
            </w:pPr>
            <w:r w:rsidRPr="00A96D00">
              <w:rPr>
                <w:noProof/>
                <w:sz w:val="16"/>
              </w:rPr>
              <w:t>2025.</w:t>
            </w:r>
          </w:p>
        </w:tc>
        <w:tc>
          <w:tcPr>
            <w:tcW w:w="731" w:type="dxa"/>
            <w:tcBorders>
              <w:top w:val="single" w:sz="6" w:space="0" w:color="auto"/>
              <w:left w:val="single" w:sz="6" w:space="0" w:color="auto"/>
              <w:bottom w:val="single" w:sz="6" w:space="0" w:color="auto"/>
              <w:right w:val="single" w:sz="6" w:space="0" w:color="auto"/>
            </w:tcBorders>
            <w:vAlign w:val="center"/>
            <w:hideMark/>
          </w:tcPr>
          <w:p w14:paraId="7F161630" w14:textId="77777777" w:rsidR="006918A0" w:rsidRPr="00A96D00" w:rsidRDefault="006918A0" w:rsidP="006918A0">
            <w:pPr>
              <w:spacing w:before="20" w:after="20" w:line="276" w:lineRule="auto"/>
              <w:jc w:val="center"/>
              <w:rPr>
                <w:noProof/>
                <w:sz w:val="16"/>
                <w:szCs w:val="16"/>
              </w:rPr>
            </w:pPr>
            <w:r w:rsidRPr="00A96D00">
              <w:rPr>
                <w:noProof/>
                <w:sz w:val="16"/>
              </w:rPr>
              <w:t>2026.</w:t>
            </w:r>
          </w:p>
        </w:tc>
        <w:tc>
          <w:tcPr>
            <w:tcW w:w="731" w:type="dxa"/>
            <w:tcBorders>
              <w:top w:val="single" w:sz="6" w:space="0" w:color="auto"/>
              <w:left w:val="single" w:sz="6" w:space="0" w:color="auto"/>
              <w:bottom w:val="single" w:sz="6" w:space="0" w:color="auto"/>
              <w:right w:val="single" w:sz="6" w:space="0" w:color="auto"/>
            </w:tcBorders>
            <w:vAlign w:val="center"/>
            <w:hideMark/>
          </w:tcPr>
          <w:p w14:paraId="0D5E39E9" w14:textId="77777777" w:rsidR="006918A0" w:rsidRPr="00A96D00" w:rsidRDefault="006918A0" w:rsidP="006918A0">
            <w:pPr>
              <w:spacing w:line="276" w:lineRule="auto"/>
              <w:jc w:val="center"/>
              <w:rPr>
                <w:b/>
                <w:noProof/>
                <w:sz w:val="16"/>
                <w:szCs w:val="16"/>
              </w:rPr>
            </w:pPr>
            <w:r w:rsidRPr="00A96D00">
              <w:rPr>
                <w:noProof/>
                <w:sz w:val="16"/>
              </w:rPr>
              <w:t>2027.</w:t>
            </w:r>
          </w:p>
        </w:tc>
        <w:tc>
          <w:tcPr>
            <w:tcW w:w="1462" w:type="dxa"/>
            <w:tcBorders>
              <w:top w:val="single" w:sz="6" w:space="0" w:color="auto"/>
              <w:left w:val="single" w:sz="6" w:space="0" w:color="auto"/>
              <w:bottom w:val="single" w:sz="6" w:space="0" w:color="auto"/>
              <w:right w:val="single" w:sz="6" w:space="0" w:color="auto"/>
            </w:tcBorders>
            <w:vAlign w:val="center"/>
            <w:hideMark/>
          </w:tcPr>
          <w:p w14:paraId="72E04688" w14:textId="77777777" w:rsidR="006918A0" w:rsidRPr="00A96D00" w:rsidRDefault="006918A0" w:rsidP="006918A0">
            <w:pPr>
              <w:spacing w:line="276" w:lineRule="auto"/>
              <w:jc w:val="center"/>
              <w:rPr>
                <w:b/>
                <w:noProof/>
                <w:sz w:val="16"/>
                <w:szCs w:val="16"/>
              </w:rPr>
            </w:pPr>
            <w:r w:rsidRPr="00A96D00">
              <w:rPr>
                <w:b/>
                <w:noProof/>
                <w:sz w:val="16"/>
              </w:rPr>
              <w:t>Ukupno</w:t>
            </w:r>
          </w:p>
        </w:tc>
      </w:tr>
      <w:tr w:rsidR="006918A0" w:rsidRPr="00A96D00" w14:paraId="21FD30E2" w14:textId="77777777" w:rsidTr="000430BD">
        <w:trPr>
          <w:gridBefore w:val="1"/>
          <w:wBefore w:w="15" w:type="dxa"/>
          <w:trHeight w:val="289"/>
          <w:jc w:val="center"/>
        </w:trPr>
        <w:tc>
          <w:tcPr>
            <w:tcW w:w="9871" w:type="dxa"/>
            <w:gridSpan w:val="8"/>
            <w:tcBorders>
              <w:top w:val="single" w:sz="6" w:space="0" w:color="auto"/>
              <w:left w:val="single" w:sz="6" w:space="0" w:color="auto"/>
              <w:bottom w:val="single" w:sz="6" w:space="0" w:color="auto"/>
              <w:right w:val="single" w:sz="6" w:space="0" w:color="auto"/>
            </w:tcBorders>
            <w:hideMark/>
          </w:tcPr>
          <w:p w14:paraId="663F35BB" w14:textId="77777777" w:rsidR="006918A0" w:rsidRPr="00A96D00" w:rsidRDefault="006918A0" w:rsidP="006918A0">
            <w:pPr>
              <w:spacing w:line="276" w:lineRule="auto"/>
              <w:jc w:val="left"/>
              <w:rPr>
                <w:noProof/>
                <w:sz w:val="16"/>
                <w:szCs w:val="16"/>
              </w:rPr>
            </w:pPr>
            <w:r w:rsidRPr="00A96D00">
              <w:rPr>
                <w:rFonts w:ascii="Wingdings" w:hAnsi="Wingdings"/>
                <w:b/>
                <w:noProof/>
                <w:sz w:val="16"/>
              </w:rPr>
              <w:sym w:font="Wingdings" w:char="F09F"/>
            </w:r>
            <w:r w:rsidRPr="00A96D00">
              <w:rPr>
                <w:noProof/>
              </w:rPr>
              <w:t xml:space="preserve"> </w:t>
            </w:r>
            <w:r w:rsidRPr="00A96D00">
              <w:rPr>
                <w:b/>
                <w:bCs/>
                <w:noProof/>
              </w:rPr>
              <w:t>Radna mjesta prema planu radnih mjesta (dužnosnici i privremeno osoblje)</w:t>
            </w:r>
          </w:p>
        </w:tc>
      </w:tr>
      <w:tr w:rsidR="006918A0" w:rsidRPr="00A96D00" w14:paraId="36BE6F7B"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94921CD" w14:textId="77777777" w:rsidR="006918A0" w:rsidRPr="00A96D00" w:rsidRDefault="006918A0" w:rsidP="006918A0">
            <w:pPr>
              <w:spacing w:beforeLines="20" w:before="48" w:afterLines="20" w:after="48" w:line="276" w:lineRule="auto"/>
              <w:ind w:left="984"/>
              <w:jc w:val="left"/>
              <w:rPr>
                <w:b/>
                <w:noProof/>
                <w:sz w:val="16"/>
                <w:szCs w:val="16"/>
              </w:rPr>
            </w:pPr>
            <w:r w:rsidRPr="00A96D00">
              <w:rPr>
                <w:noProof/>
                <w:sz w:val="16"/>
              </w:rPr>
              <w:t>20 01 02 01 (sjedište i predstavništva Komisije)</w:t>
            </w:r>
          </w:p>
        </w:tc>
        <w:tc>
          <w:tcPr>
            <w:tcW w:w="731" w:type="dxa"/>
            <w:tcBorders>
              <w:top w:val="single" w:sz="6" w:space="0" w:color="auto"/>
              <w:left w:val="single" w:sz="6" w:space="0" w:color="auto"/>
              <w:bottom w:val="single" w:sz="6" w:space="0" w:color="auto"/>
              <w:right w:val="single" w:sz="6" w:space="0" w:color="auto"/>
            </w:tcBorders>
            <w:vAlign w:val="center"/>
            <w:hideMark/>
          </w:tcPr>
          <w:p w14:paraId="55A264D4" w14:textId="77777777" w:rsidR="006918A0" w:rsidRPr="00A96D00" w:rsidRDefault="006918A0" w:rsidP="006918A0">
            <w:pPr>
              <w:spacing w:beforeLines="20" w:before="48" w:afterLines="20" w:after="48" w:line="276" w:lineRule="auto"/>
              <w:jc w:val="center"/>
              <w:rPr>
                <w:noProof/>
                <w:sz w:val="16"/>
                <w:szCs w:val="16"/>
              </w:rPr>
            </w:pPr>
            <w:r w:rsidRPr="00A96D00">
              <w:rPr>
                <w:noProof/>
                <w:sz w:val="16"/>
              </w:rPr>
              <w:t>0,75</w:t>
            </w:r>
          </w:p>
        </w:tc>
        <w:tc>
          <w:tcPr>
            <w:tcW w:w="731" w:type="dxa"/>
            <w:tcBorders>
              <w:top w:val="single" w:sz="6" w:space="0" w:color="auto"/>
              <w:left w:val="single" w:sz="6" w:space="0" w:color="auto"/>
              <w:bottom w:val="single" w:sz="6" w:space="0" w:color="auto"/>
              <w:right w:val="single" w:sz="6" w:space="0" w:color="auto"/>
            </w:tcBorders>
            <w:vAlign w:val="center"/>
            <w:hideMark/>
          </w:tcPr>
          <w:p w14:paraId="5202EB10" w14:textId="77777777" w:rsidR="006918A0" w:rsidRPr="00A96D00" w:rsidRDefault="006918A0" w:rsidP="006918A0">
            <w:pPr>
              <w:spacing w:beforeLines="20" w:before="48" w:afterLines="20" w:after="48" w:line="276" w:lineRule="auto"/>
              <w:jc w:val="center"/>
              <w:rPr>
                <w:noProof/>
                <w:sz w:val="16"/>
                <w:szCs w:val="16"/>
              </w:rPr>
            </w:pPr>
            <w:r w:rsidRPr="00A96D00">
              <w:rPr>
                <w:noProof/>
                <w:sz w:val="16"/>
              </w:rPr>
              <w:t>1</w:t>
            </w:r>
          </w:p>
        </w:tc>
        <w:tc>
          <w:tcPr>
            <w:tcW w:w="731" w:type="dxa"/>
            <w:tcBorders>
              <w:top w:val="single" w:sz="6" w:space="0" w:color="auto"/>
              <w:left w:val="single" w:sz="6" w:space="0" w:color="auto"/>
              <w:bottom w:val="single" w:sz="6" w:space="0" w:color="auto"/>
              <w:right w:val="single" w:sz="6" w:space="0" w:color="auto"/>
            </w:tcBorders>
            <w:vAlign w:val="center"/>
            <w:hideMark/>
          </w:tcPr>
          <w:p w14:paraId="55009AAE" w14:textId="77777777" w:rsidR="006918A0" w:rsidRPr="00A96D00" w:rsidRDefault="006918A0" w:rsidP="006918A0">
            <w:pPr>
              <w:spacing w:beforeLines="20" w:before="48" w:afterLines="20" w:after="48" w:line="276" w:lineRule="auto"/>
              <w:jc w:val="center"/>
              <w:rPr>
                <w:noProof/>
                <w:sz w:val="16"/>
                <w:szCs w:val="16"/>
              </w:rPr>
            </w:pPr>
            <w:r w:rsidRPr="00A96D00">
              <w:rPr>
                <w:noProof/>
                <w:sz w:val="16"/>
              </w:rPr>
              <w:t>1</w:t>
            </w:r>
          </w:p>
        </w:tc>
        <w:tc>
          <w:tcPr>
            <w:tcW w:w="731" w:type="dxa"/>
            <w:tcBorders>
              <w:top w:val="single" w:sz="6" w:space="0" w:color="auto"/>
              <w:left w:val="single" w:sz="6" w:space="0" w:color="auto"/>
              <w:bottom w:val="single" w:sz="6" w:space="0" w:color="auto"/>
              <w:right w:val="single" w:sz="6" w:space="0" w:color="auto"/>
            </w:tcBorders>
            <w:vAlign w:val="center"/>
            <w:hideMark/>
          </w:tcPr>
          <w:p w14:paraId="133AE532" w14:textId="77777777" w:rsidR="006918A0" w:rsidRPr="00A96D00" w:rsidRDefault="006918A0" w:rsidP="006918A0">
            <w:pPr>
              <w:spacing w:beforeLines="20" w:before="48" w:afterLines="20" w:after="48" w:line="276" w:lineRule="auto"/>
              <w:jc w:val="center"/>
              <w:rPr>
                <w:noProof/>
                <w:sz w:val="16"/>
                <w:szCs w:val="16"/>
              </w:rPr>
            </w:pPr>
            <w:r w:rsidRPr="00A96D00">
              <w:rPr>
                <w:noProof/>
                <w:sz w:val="16"/>
              </w:rPr>
              <w:t>0,4</w:t>
            </w:r>
          </w:p>
        </w:tc>
        <w:tc>
          <w:tcPr>
            <w:tcW w:w="731" w:type="dxa"/>
            <w:tcBorders>
              <w:top w:val="single" w:sz="6" w:space="0" w:color="auto"/>
              <w:left w:val="single" w:sz="6" w:space="0" w:color="auto"/>
              <w:bottom w:val="single" w:sz="6" w:space="0" w:color="auto"/>
              <w:right w:val="single" w:sz="6" w:space="0" w:color="auto"/>
            </w:tcBorders>
            <w:vAlign w:val="center"/>
            <w:hideMark/>
          </w:tcPr>
          <w:p w14:paraId="55777CCA" w14:textId="77777777" w:rsidR="006918A0" w:rsidRPr="00A96D00" w:rsidRDefault="006918A0" w:rsidP="006918A0">
            <w:pPr>
              <w:spacing w:beforeLines="20" w:before="48" w:afterLines="20" w:after="48" w:line="276" w:lineRule="auto"/>
              <w:jc w:val="center"/>
              <w:rPr>
                <w:noProof/>
                <w:sz w:val="16"/>
                <w:szCs w:val="16"/>
              </w:rPr>
            </w:pPr>
            <w:r w:rsidRPr="00A96D00">
              <w:rPr>
                <w:noProof/>
                <w:sz w:val="16"/>
              </w:rPr>
              <w:t>0,1</w:t>
            </w:r>
          </w:p>
        </w:tc>
        <w:tc>
          <w:tcPr>
            <w:tcW w:w="1462" w:type="dxa"/>
            <w:tcBorders>
              <w:top w:val="single" w:sz="6" w:space="0" w:color="auto"/>
              <w:left w:val="single" w:sz="6" w:space="0" w:color="auto"/>
              <w:bottom w:val="single" w:sz="6" w:space="0" w:color="auto"/>
              <w:right w:val="single" w:sz="6" w:space="0" w:color="auto"/>
            </w:tcBorders>
            <w:vAlign w:val="center"/>
            <w:hideMark/>
          </w:tcPr>
          <w:p w14:paraId="63FB321D" w14:textId="77777777" w:rsidR="006918A0" w:rsidRPr="00A96D00" w:rsidRDefault="006918A0" w:rsidP="006918A0">
            <w:pPr>
              <w:spacing w:beforeLines="20" w:before="48" w:afterLines="20" w:after="48" w:line="276" w:lineRule="auto"/>
              <w:jc w:val="right"/>
              <w:rPr>
                <w:noProof/>
                <w:sz w:val="16"/>
                <w:szCs w:val="16"/>
              </w:rPr>
            </w:pPr>
            <w:r w:rsidRPr="00A96D00">
              <w:rPr>
                <w:b/>
                <w:noProof/>
                <w:sz w:val="16"/>
              </w:rPr>
              <w:t>3,25</w:t>
            </w:r>
          </w:p>
        </w:tc>
      </w:tr>
      <w:tr w:rsidR="006918A0" w:rsidRPr="00A96D00" w14:paraId="023D9A9E"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42C79F92" w14:textId="77777777" w:rsidR="006918A0" w:rsidRPr="00A96D00" w:rsidRDefault="006918A0" w:rsidP="006918A0">
            <w:pPr>
              <w:spacing w:beforeLines="20" w:before="48" w:afterLines="20" w:after="48" w:line="276" w:lineRule="auto"/>
              <w:ind w:left="984"/>
              <w:jc w:val="left"/>
              <w:rPr>
                <w:noProof/>
                <w:sz w:val="16"/>
              </w:rPr>
            </w:pPr>
            <w:r w:rsidRPr="00A96D00">
              <w:rPr>
                <w:noProof/>
                <w:sz w:val="16"/>
              </w:rPr>
              <w:t>20 01 02 03 (delegacije)</w:t>
            </w:r>
          </w:p>
        </w:tc>
        <w:tc>
          <w:tcPr>
            <w:tcW w:w="731" w:type="dxa"/>
            <w:tcBorders>
              <w:top w:val="single" w:sz="6" w:space="0" w:color="auto"/>
              <w:left w:val="single" w:sz="6" w:space="0" w:color="auto"/>
              <w:bottom w:val="single" w:sz="6" w:space="0" w:color="auto"/>
              <w:right w:val="single" w:sz="6" w:space="0" w:color="auto"/>
            </w:tcBorders>
            <w:vAlign w:val="center"/>
          </w:tcPr>
          <w:p w14:paraId="7F416E5D"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C33ED2F"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F1EE03E"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E8D7EE5"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549DEE6"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6DF8F0DF"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402DB315"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0615FC4" w14:textId="77777777" w:rsidR="006918A0" w:rsidRPr="00A96D00" w:rsidRDefault="006918A0" w:rsidP="006918A0">
            <w:pPr>
              <w:spacing w:beforeLines="20" w:before="48" w:afterLines="20" w:after="48" w:line="276" w:lineRule="auto"/>
              <w:ind w:left="984"/>
              <w:jc w:val="left"/>
              <w:rPr>
                <w:noProof/>
                <w:sz w:val="16"/>
                <w:szCs w:val="16"/>
              </w:rPr>
            </w:pPr>
            <w:r w:rsidRPr="00A96D00">
              <w:rPr>
                <w:noProof/>
                <w:sz w:val="16"/>
              </w:rPr>
              <w:t>01 01 01 01</w:t>
            </w:r>
            <w:r w:rsidRPr="00A96D00">
              <w:rPr>
                <w:rFonts w:ascii="Arial Narrow" w:hAnsi="Arial Narrow"/>
                <w:noProof/>
                <w:color w:val="000000"/>
                <w:sz w:val="20"/>
              </w:rPr>
              <w:t xml:space="preserve"> </w:t>
            </w:r>
            <w:r w:rsidRPr="00A96D00">
              <w:rPr>
                <w:noProof/>
                <w:sz w:val="16"/>
              </w:rPr>
              <w:t xml:space="preserve"> (neizravno istraživanje)</w:t>
            </w:r>
          </w:p>
        </w:tc>
        <w:tc>
          <w:tcPr>
            <w:tcW w:w="731" w:type="dxa"/>
            <w:tcBorders>
              <w:top w:val="single" w:sz="6" w:space="0" w:color="auto"/>
              <w:left w:val="single" w:sz="6" w:space="0" w:color="auto"/>
              <w:bottom w:val="single" w:sz="6" w:space="0" w:color="auto"/>
              <w:right w:val="single" w:sz="6" w:space="0" w:color="auto"/>
            </w:tcBorders>
            <w:vAlign w:val="center"/>
          </w:tcPr>
          <w:p w14:paraId="02A396CF"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8DD3AF2"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A2B3527"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6A2DE7A"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13DC8D5"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4A4E7D67"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660C975A"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343BFE3A" w14:textId="77777777" w:rsidR="006918A0" w:rsidRPr="00A96D00" w:rsidRDefault="006918A0" w:rsidP="006918A0">
            <w:pPr>
              <w:spacing w:beforeLines="20" w:before="48" w:afterLines="20" w:after="48" w:line="276" w:lineRule="auto"/>
              <w:ind w:left="984"/>
              <w:jc w:val="left"/>
              <w:rPr>
                <w:noProof/>
                <w:sz w:val="16"/>
                <w:szCs w:val="16"/>
              </w:rPr>
            </w:pPr>
            <w:r w:rsidRPr="00A96D00">
              <w:rPr>
                <w:noProof/>
                <w:sz w:val="16"/>
              </w:rPr>
              <w:t xml:space="preserve"> 01 01 01 11 (izravno istraživanje)</w:t>
            </w:r>
          </w:p>
        </w:tc>
        <w:tc>
          <w:tcPr>
            <w:tcW w:w="731" w:type="dxa"/>
            <w:tcBorders>
              <w:top w:val="single" w:sz="6" w:space="0" w:color="auto"/>
              <w:left w:val="single" w:sz="6" w:space="0" w:color="auto"/>
              <w:bottom w:val="single" w:sz="6" w:space="0" w:color="auto"/>
              <w:right w:val="single" w:sz="6" w:space="0" w:color="auto"/>
            </w:tcBorders>
            <w:vAlign w:val="center"/>
          </w:tcPr>
          <w:p w14:paraId="7C94C97D"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302B91E"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A84A5B7"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DD63405"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D969C26"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15F15312"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64A742B9"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C175248" w14:textId="77777777" w:rsidR="006918A0" w:rsidRPr="00A96D00" w:rsidRDefault="006918A0" w:rsidP="006918A0">
            <w:pPr>
              <w:spacing w:beforeLines="20" w:before="48" w:afterLines="20" w:after="48" w:line="276" w:lineRule="auto"/>
              <w:ind w:left="984"/>
              <w:jc w:val="left"/>
              <w:rPr>
                <w:noProof/>
                <w:sz w:val="16"/>
              </w:rPr>
            </w:pPr>
            <w:r w:rsidRPr="00A96D00">
              <w:rPr>
                <w:noProof/>
                <w:sz w:val="16"/>
              </w:rPr>
              <w:t>Druge proračunske linije (navesti)</w:t>
            </w:r>
          </w:p>
        </w:tc>
        <w:tc>
          <w:tcPr>
            <w:tcW w:w="731" w:type="dxa"/>
            <w:tcBorders>
              <w:top w:val="single" w:sz="6" w:space="0" w:color="auto"/>
              <w:left w:val="single" w:sz="6" w:space="0" w:color="auto"/>
              <w:bottom w:val="single" w:sz="6" w:space="0" w:color="auto"/>
              <w:right w:val="single" w:sz="6" w:space="0" w:color="auto"/>
            </w:tcBorders>
            <w:vAlign w:val="center"/>
          </w:tcPr>
          <w:p w14:paraId="75BC4DEC"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40658A9"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284240A"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2674289"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E7076BB"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B87D29A"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39371835" w14:textId="77777777" w:rsidTr="000430BD">
        <w:trPr>
          <w:trHeight w:val="248"/>
          <w:jc w:val="center"/>
        </w:trPr>
        <w:tc>
          <w:tcPr>
            <w:tcW w:w="9886" w:type="dxa"/>
            <w:gridSpan w:val="9"/>
            <w:tcBorders>
              <w:top w:val="single" w:sz="6" w:space="0" w:color="auto"/>
              <w:left w:val="single" w:sz="6" w:space="0" w:color="auto"/>
              <w:bottom w:val="single" w:sz="6" w:space="0" w:color="auto"/>
              <w:right w:val="single" w:sz="6" w:space="0" w:color="auto"/>
            </w:tcBorders>
            <w:vAlign w:val="center"/>
          </w:tcPr>
          <w:p w14:paraId="7FB798CE" w14:textId="77777777" w:rsidR="006918A0" w:rsidRPr="00A96D00" w:rsidRDefault="006918A0" w:rsidP="006918A0">
            <w:pPr>
              <w:spacing w:before="60" w:after="60" w:line="276" w:lineRule="auto"/>
              <w:jc w:val="left"/>
              <w:rPr>
                <w:b/>
                <w:noProof/>
                <w:sz w:val="16"/>
                <w:szCs w:val="16"/>
              </w:rPr>
            </w:pPr>
            <w:r w:rsidRPr="00A96D00">
              <w:rPr>
                <w:b/>
                <w:noProof/>
                <w:sz w:val="16"/>
              </w:rPr>
              <w:sym w:font="Wingdings" w:char="F09F"/>
            </w:r>
            <w:r w:rsidRPr="00A96D00">
              <w:rPr>
                <w:noProof/>
              </w:rPr>
              <w:t xml:space="preserve"> </w:t>
            </w:r>
            <w:r w:rsidRPr="00A96D00">
              <w:rPr>
                <w:b/>
                <w:bCs/>
                <w:noProof/>
              </w:rPr>
              <w:t>Vanjsko osoblje (u ekvivalentu punog radnog vremena:</w:t>
            </w:r>
            <w:r w:rsidRPr="00A96D00">
              <w:rPr>
                <w:b/>
                <w:noProof/>
                <w:sz w:val="16"/>
              </w:rPr>
              <w:t xml:space="preserve"> EPRV)</w:t>
            </w:r>
            <w:r w:rsidRPr="00A96D00">
              <w:rPr>
                <w:rStyle w:val="FootnoteReference"/>
                <w:noProof/>
              </w:rPr>
              <w:footnoteReference w:id="55"/>
            </w:r>
          </w:p>
          <w:p w14:paraId="416E22BA" w14:textId="77777777" w:rsidR="006918A0" w:rsidRPr="00A96D00" w:rsidRDefault="006918A0" w:rsidP="006918A0">
            <w:pPr>
              <w:spacing w:before="0" w:after="0" w:line="276" w:lineRule="auto"/>
              <w:jc w:val="left"/>
              <w:rPr>
                <w:noProof/>
                <w:sz w:val="16"/>
                <w:szCs w:val="16"/>
              </w:rPr>
            </w:pPr>
          </w:p>
        </w:tc>
      </w:tr>
      <w:tr w:rsidR="006918A0" w:rsidRPr="00A96D00" w14:paraId="6FC90485"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1A86C8B" w14:textId="77777777" w:rsidR="006918A0" w:rsidRPr="00A96D00" w:rsidRDefault="006918A0" w:rsidP="006918A0">
            <w:pPr>
              <w:spacing w:beforeLines="20" w:before="48" w:afterLines="20" w:after="48" w:line="276" w:lineRule="auto"/>
              <w:ind w:left="986"/>
              <w:jc w:val="left"/>
              <w:rPr>
                <w:b/>
                <w:noProof/>
                <w:sz w:val="16"/>
                <w:szCs w:val="16"/>
              </w:rPr>
            </w:pPr>
            <w:r w:rsidRPr="00A96D00">
              <w:rPr>
                <w:noProof/>
                <w:sz w:val="16"/>
              </w:rPr>
              <w:t>20 02 01 (UO, UNS, UsO iz „globalne omotnice”)</w:t>
            </w:r>
          </w:p>
        </w:tc>
        <w:tc>
          <w:tcPr>
            <w:tcW w:w="731" w:type="dxa"/>
            <w:tcBorders>
              <w:top w:val="single" w:sz="6" w:space="0" w:color="auto"/>
              <w:left w:val="single" w:sz="6" w:space="0" w:color="auto"/>
              <w:bottom w:val="single" w:sz="6" w:space="0" w:color="auto"/>
              <w:right w:val="single" w:sz="6" w:space="0" w:color="auto"/>
            </w:tcBorders>
            <w:vAlign w:val="center"/>
          </w:tcPr>
          <w:p w14:paraId="0558C852"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A09B1A1"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0F03E0A"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B88C339"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8B64763"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53DD6719"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1170097B"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DBF4560" w14:textId="77777777" w:rsidR="006918A0" w:rsidRPr="00A96D00" w:rsidRDefault="006918A0" w:rsidP="006918A0">
            <w:pPr>
              <w:spacing w:beforeLines="20" w:before="48" w:afterLines="20" w:after="48" w:line="276" w:lineRule="auto"/>
              <w:ind w:left="986"/>
              <w:jc w:val="left"/>
              <w:rPr>
                <w:noProof/>
                <w:sz w:val="16"/>
              </w:rPr>
            </w:pPr>
            <w:r w:rsidRPr="00A96D00">
              <w:rPr>
                <w:noProof/>
                <w:sz w:val="16"/>
              </w:rPr>
              <w:t>20 02 03 (UO, LO, UNS, UsO i MSD u delegacijama)</w:t>
            </w:r>
          </w:p>
        </w:tc>
        <w:tc>
          <w:tcPr>
            <w:tcW w:w="731" w:type="dxa"/>
            <w:tcBorders>
              <w:top w:val="single" w:sz="6" w:space="0" w:color="auto"/>
              <w:left w:val="single" w:sz="6" w:space="0" w:color="auto"/>
              <w:bottom w:val="single" w:sz="6" w:space="0" w:color="auto"/>
              <w:right w:val="single" w:sz="6" w:space="0" w:color="auto"/>
            </w:tcBorders>
            <w:vAlign w:val="center"/>
          </w:tcPr>
          <w:p w14:paraId="7DD52C71"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616F092"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9180540"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98E5DF6"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5B78DEB"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2DCC4B43"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7DEA6A58" w14:textId="77777777" w:rsidTr="000430BD">
        <w:trPr>
          <w:gridBefore w:val="1"/>
          <w:wBefore w:w="15" w:type="dxa"/>
          <w:trHeight w:val="289"/>
          <w:jc w:val="center"/>
        </w:trPr>
        <w:tc>
          <w:tcPr>
            <w:tcW w:w="2376" w:type="dxa"/>
            <w:vMerge w:val="restart"/>
            <w:tcBorders>
              <w:top w:val="single" w:sz="6" w:space="0" w:color="auto"/>
              <w:left w:val="single" w:sz="6" w:space="0" w:color="auto"/>
              <w:bottom w:val="single" w:sz="6" w:space="0" w:color="auto"/>
              <w:right w:val="single" w:sz="6" w:space="0" w:color="auto"/>
            </w:tcBorders>
            <w:vAlign w:val="center"/>
          </w:tcPr>
          <w:p w14:paraId="122879BF" w14:textId="77777777" w:rsidR="006918A0" w:rsidRPr="00A96D00" w:rsidRDefault="006918A0" w:rsidP="006918A0">
            <w:pPr>
              <w:spacing w:beforeLines="20" w:before="48" w:afterLines="20" w:after="48" w:line="276" w:lineRule="auto"/>
              <w:ind w:left="986"/>
              <w:jc w:val="left"/>
              <w:rPr>
                <w:b/>
                <w:noProof/>
                <w:sz w:val="16"/>
                <w:szCs w:val="16"/>
              </w:rPr>
            </w:pPr>
            <w:r w:rsidRPr="00A96D00">
              <w:rPr>
                <w:b/>
                <w:noProof/>
                <w:sz w:val="16"/>
              </w:rPr>
              <w:t>XX</w:t>
            </w:r>
            <w:r w:rsidRPr="00A96D00">
              <w:rPr>
                <w:noProof/>
                <w:sz w:val="16"/>
              </w:rPr>
              <w:t xml:space="preserve"> 01  xx </w:t>
            </w:r>
            <w:r w:rsidRPr="00A96D00">
              <w:rPr>
                <w:b/>
                <w:noProof/>
                <w:sz w:val="16"/>
              </w:rPr>
              <w:t xml:space="preserve">yy zz </w:t>
            </w:r>
            <w:r w:rsidRPr="00A96D00">
              <w:rPr>
                <w:b/>
                <w:i/>
                <w:noProof/>
                <w:sz w:val="16"/>
              </w:rPr>
              <w:t xml:space="preserve"> </w:t>
            </w:r>
            <w:r w:rsidRPr="00A96D00">
              <w:rPr>
                <w:rStyle w:val="FootnoteReference"/>
                <w:noProof/>
              </w:rPr>
              <w:footnoteReference w:id="56"/>
            </w:r>
          </w:p>
          <w:p w14:paraId="35D3417F" w14:textId="77777777" w:rsidR="006918A0" w:rsidRPr="00A96D00" w:rsidRDefault="006918A0" w:rsidP="006918A0">
            <w:pPr>
              <w:spacing w:beforeLines="20" w:before="48" w:afterLines="20" w:after="48" w:line="276" w:lineRule="auto"/>
              <w:ind w:left="986"/>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tcPr>
          <w:p w14:paraId="048465F4" w14:textId="77777777" w:rsidR="006918A0" w:rsidRPr="00A96D00" w:rsidRDefault="006918A0" w:rsidP="006918A0">
            <w:pPr>
              <w:spacing w:beforeLines="20" w:before="48" w:afterLines="20" w:after="48" w:line="276" w:lineRule="auto"/>
              <w:ind w:left="986"/>
              <w:jc w:val="left"/>
              <w:rPr>
                <w:b/>
                <w:noProof/>
                <w:sz w:val="16"/>
                <w:szCs w:val="16"/>
              </w:rPr>
            </w:pPr>
            <w:r w:rsidRPr="00A96D00">
              <w:rPr>
                <w:noProof/>
                <w:sz w:val="16"/>
              </w:rPr>
              <w:t>– u sjedištima</w:t>
            </w:r>
          </w:p>
          <w:p w14:paraId="6647F9AF" w14:textId="77777777" w:rsidR="006918A0" w:rsidRPr="00A96D00" w:rsidRDefault="006918A0" w:rsidP="006918A0">
            <w:pPr>
              <w:spacing w:beforeLines="20" w:before="48" w:afterLines="20" w:after="48" w:line="276" w:lineRule="auto"/>
              <w:ind w:left="986"/>
              <w:jc w:val="left"/>
              <w:rPr>
                <w:b/>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242A9AE" w14:textId="77777777" w:rsidR="006918A0" w:rsidRPr="00A96D00" w:rsidRDefault="006918A0" w:rsidP="006918A0">
            <w:pPr>
              <w:spacing w:beforeLines="20" w:before="48" w:afterLines="20" w:after="48" w:line="276" w:lineRule="auto"/>
              <w:ind w:left="850"/>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27462C3"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5FD91B4"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BCB8F72"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B4AC5DB"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E953A4D"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782FD36C" w14:textId="77777777" w:rsidTr="004202F1">
        <w:trPr>
          <w:gridBefore w:val="1"/>
          <w:wBefore w:w="15" w:type="dxa"/>
          <w:trHeight w:val="289"/>
          <w:jc w:val="center"/>
        </w:trPr>
        <w:tc>
          <w:tcPr>
            <w:tcW w:w="9871" w:type="dxa"/>
            <w:vMerge/>
            <w:vAlign w:val="center"/>
            <w:hideMark/>
          </w:tcPr>
          <w:p w14:paraId="24FEB206" w14:textId="77777777" w:rsidR="006918A0" w:rsidRPr="00A96D00" w:rsidRDefault="006918A0" w:rsidP="006918A0">
            <w:pPr>
              <w:spacing w:before="0" w:after="0" w:line="276" w:lineRule="auto"/>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hideMark/>
          </w:tcPr>
          <w:p w14:paraId="5A0053FD" w14:textId="77777777" w:rsidR="006918A0" w:rsidRPr="00A96D00" w:rsidRDefault="006918A0" w:rsidP="006918A0">
            <w:pPr>
              <w:spacing w:beforeLines="20" w:before="48" w:afterLines="20" w:after="48" w:line="276" w:lineRule="auto"/>
              <w:ind w:left="986"/>
              <w:jc w:val="left"/>
              <w:rPr>
                <w:b/>
                <w:noProof/>
                <w:sz w:val="16"/>
                <w:szCs w:val="16"/>
              </w:rPr>
            </w:pPr>
            <w:r w:rsidRPr="00A96D00">
              <w:rPr>
                <w:noProof/>
                <w:sz w:val="16"/>
              </w:rPr>
              <w:t xml:space="preserve">– u delegacijama </w:t>
            </w:r>
          </w:p>
        </w:tc>
        <w:tc>
          <w:tcPr>
            <w:tcW w:w="731" w:type="dxa"/>
            <w:tcBorders>
              <w:top w:val="single" w:sz="6" w:space="0" w:color="auto"/>
              <w:left w:val="single" w:sz="6" w:space="0" w:color="auto"/>
              <w:bottom w:val="single" w:sz="6" w:space="0" w:color="auto"/>
              <w:right w:val="single" w:sz="6" w:space="0" w:color="auto"/>
            </w:tcBorders>
            <w:vAlign w:val="center"/>
          </w:tcPr>
          <w:p w14:paraId="59A2F982" w14:textId="77777777" w:rsidR="006918A0" w:rsidRPr="00A96D00" w:rsidRDefault="006918A0" w:rsidP="006918A0">
            <w:pPr>
              <w:spacing w:beforeLines="20" w:before="48" w:afterLines="20" w:after="48" w:line="276" w:lineRule="auto"/>
              <w:ind w:left="850"/>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C4ADFF1"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F7E1A16"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3BB894B"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C8EF124"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02C5C554"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46739F78"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DCEC102" w14:textId="77777777" w:rsidR="006918A0" w:rsidRPr="00A96D00" w:rsidRDefault="006918A0" w:rsidP="006918A0">
            <w:pPr>
              <w:spacing w:beforeLines="20" w:before="48" w:afterLines="20" w:after="48" w:line="276" w:lineRule="auto"/>
              <w:ind w:left="986"/>
              <w:jc w:val="left"/>
              <w:rPr>
                <w:noProof/>
                <w:sz w:val="16"/>
                <w:szCs w:val="16"/>
              </w:rPr>
            </w:pPr>
            <w:r w:rsidRPr="00A96D00">
              <w:rPr>
                <w:noProof/>
                <w:sz w:val="16"/>
              </w:rPr>
              <w:t>01 01 01 02 (UO, UNS, UsO – neizravno istraživanje)</w:t>
            </w:r>
          </w:p>
        </w:tc>
        <w:tc>
          <w:tcPr>
            <w:tcW w:w="731" w:type="dxa"/>
            <w:tcBorders>
              <w:top w:val="single" w:sz="6" w:space="0" w:color="auto"/>
              <w:left w:val="single" w:sz="6" w:space="0" w:color="auto"/>
              <w:bottom w:val="single" w:sz="6" w:space="0" w:color="auto"/>
              <w:right w:val="single" w:sz="6" w:space="0" w:color="auto"/>
            </w:tcBorders>
            <w:vAlign w:val="center"/>
          </w:tcPr>
          <w:p w14:paraId="5FCF5459"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FE3C661"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03E4E3B"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14C02DB"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C1641BB"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5CE48949"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1CF4F5B6"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CB9924A" w14:textId="77777777" w:rsidR="006918A0" w:rsidRPr="00A96D00" w:rsidRDefault="006918A0" w:rsidP="006918A0">
            <w:pPr>
              <w:spacing w:beforeLines="20" w:before="48" w:afterLines="20" w:after="48" w:line="276" w:lineRule="auto"/>
              <w:ind w:left="986"/>
              <w:jc w:val="left"/>
              <w:rPr>
                <w:noProof/>
                <w:color w:val="FF0000"/>
                <w:sz w:val="16"/>
                <w:szCs w:val="16"/>
              </w:rPr>
            </w:pPr>
            <w:r w:rsidRPr="00A96D00">
              <w:rPr>
                <w:noProof/>
                <w:sz w:val="16"/>
              </w:rPr>
              <w:t xml:space="preserve"> 01 01 01 12 (UO, UNS, UsO – izravno istraživanje)</w:t>
            </w:r>
          </w:p>
        </w:tc>
        <w:tc>
          <w:tcPr>
            <w:tcW w:w="731" w:type="dxa"/>
            <w:tcBorders>
              <w:top w:val="single" w:sz="6" w:space="0" w:color="auto"/>
              <w:left w:val="single" w:sz="6" w:space="0" w:color="auto"/>
              <w:bottom w:val="single" w:sz="6" w:space="0" w:color="auto"/>
              <w:right w:val="single" w:sz="6" w:space="0" w:color="auto"/>
            </w:tcBorders>
            <w:vAlign w:val="center"/>
          </w:tcPr>
          <w:p w14:paraId="562DF69A"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C5A43FE"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DEF3D24"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E096E11"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AD02984"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ED56E4A"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3506C152"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7C82FF03" w14:textId="77777777" w:rsidR="006918A0" w:rsidRPr="00A96D00" w:rsidRDefault="006918A0" w:rsidP="006918A0">
            <w:pPr>
              <w:spacing w:beforeLines="20" w:before="48" w:afterLines="20" w:after="48" w:line="276" w:lineRule="auto"/>
              <w:ind w:left="986"/>
              <w:jc w:val="left"/>
              <w:rPr>
                <w:noProof/>
                <w:sz w:val="16"/>
              </w:rPr>
            </w:pPr>
            <w:r w:rsidRPr="00A96D00">
              <w:rPr>
                <w:noProof/>
                <w:sz w:val="16"/>
              </w:rPr>
              <w:t>Druge proračunske linije (navesti)</w:t>
            </w:r>
          </w:p>
        </w:tc>
        <w:tc>
          <w:tcPr>
            <w:tcW w:w="731" w:type="dxa"/>
            <w:tcBorders>
              <w:top w:val="single" w:sz="6" w:space="0" w:color="auto"/>
              <w:left w:val="single" w:sz="6" w:space="0" w:color="auto"/>
              <w:bottom w:val="single" w:sz="6" w:space="0" w:color="auto"/>
              <w:right w:val="single" w:sz="6" w:space="0" w:color="auto"/>
            </w:tcBorders>
            <w:vAlign w:val="center"/>
          </w:tcPr>
          <w:p w14:paraId="487E0343"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54FEDD8"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6643C68"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E6E1974" w14:textId="77777777" w:rsidR="006918A0" w:rsidRPr="00A96D0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0D34F67" w14:textId="77777777" w:rsidR="006918A0" w:rsidRPr="00A96D0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759A2191" w14:textId="77777777" w:rsidR="006918A0" w:rsidRPr="00A96D00" w:rsidRDefault="006918A0" w:rsidP="006918A0">
            <w:pPr>
              <w:spacing w:beforeLines="20" w:before="48" w:afterLines="20" w:after="48" w:line="276" w:lineRule="auto"/>
              <w:jc w:val="center"/>
              <w:rPr>
                <w:noProof/>
                <w:sz w:val="16"/>
                <w:szCs w:val="16"/>
              </w:rPr>
            </w:pPr>
          </w:p>
        </w:tc>
      </w:tr>
      <w:tr w:rsidR="006918A0" w:rsidRPr="00A96D00" w14:paraId="676C0873" w14:textId="77777777" w:rsidTr="000430BD">
        <w:trPr>
          <w:gridBefore w:val="1"/>
          <w:wBefore w:w="15" w:type="dxa"/>
          <w:trHeight w:val="289"/>
          <w:jc w:val="center"/>
        </w:trPr>
        <w:tc>
          <w:tcPr>
            <w:tcW w:w="4754" w:type="dxa"/>
            <w:gridSpan w:val="2"/>
            <w:tcBorders>
              <w:top w:val="double" w:sz="4" w:space="0" w:color="auto"/>
              <w:left w:val="single" w:sz="6" w:space="0" w:color="auto"/>
              <w:bottom w:val="single" w:sz="6" w:space="0" w:color="auto"/>
              <w:right w:val="single" w:sz="6" w:space="0" w:color="auto"/>
            </w:tcBorders>
            <w:vAlign w:val="center"/>
            <w:hideMark/>
          </w:tcPr>
          <w:p w14:paraId="5F333430" w14:textId="77777777" w:rsidR="006918A0" w:rsidRPr="00A96D00" w:rsidRDefault="006918A0" w:rsidP="006918A0">
            <w:pPr>
              <w:spacing w:beforeLines="20" w:before="48" w:afterLines="20" w:after="48" w:line="276" w:lineRule="auto"/>
              <w:ind w:left="986"/>
              <w:jc w:val="left"/>
              <w:rPr>
                <w:noProof/>
                <w:sz w:val="16"/>
                <w:szCs w:val="16"/>
              </w:rPr>
            </w:pPr>
            <w:r w:rsidRPr="00A96D00">
              <w:rPr>
                <w:b/>
                <w:noProof/>
                <w:sz w:val="16"/>
              </w:rPr>
              <w:t>UKUPNO</w:t>
            </w:r>
          </w:p>
        </w:tc>
        <w:tc>
          <w:tcPr>
            <w:tcW w:w="731" w:type="dxa"/>
            <w:tcBorders>
              <w:top w:val="double" w:sz="4" w:space="0" w:color="auto"/>
              <w:left w:val="single" w:sz="6" w:space="0" w:color="auto"/>
              <w:bottom w:val="single" w:sz="6" w:space="0" w:color="auto"/>
              <w:right w:val="single" w:sz="6" w:space="0" w:color="auto"/>
            </w:tcBorders>
            <w:vAlign w:val="center"/>
            <w:hideMark/>
          </w:tcPr>
          <w:p w14:paraId="4A6607A1" w14:textId="77777777" w:rsidR="006918A0" w:rsidRPr="00A96D00" w:rsidRDefault="006918A0" w:rsidP="006918A0">
            <w:pPr>
              <w:spacing w:beforeLines="20" w:before="48" w:afterLines="20" w:after="48" w:line="276" w:lineRule="auto"/>
              <w:jc w:val="center"/>
              <w:rPr>
                <w:b/>
                <w:noProof/>
                <w:sz w:val="16"/>
                <w:szCs w:val="16"/>
              </w:rPr>
            </w:pPr>
            <w:r w:rsidRPr="00A96D00">
              <w:rPr>
                <w:b/>
                <w:noProof/>
                <w:sz w:val="16"/>
              </w:rPr>
              <w:t>0,75</w:t>
            </w:r>
          </w:p>
        </w:tc>
        <w:tc>
          <w:tcPr>
            <w:tcW w:w="731" w:type="dxa"/>
            <w:tcBorders>
              <w:top w:val="double" w:sz="4" w:space="0" w:color="auto"/>
              <w:left w:val="single" w:sz="6" w:space="0" w:color="auto"/>
              <w:bottom w:val="single" w:sz="6" w:space="0" w:color="auto"/>
              <w:right w:val="single" w:sz="6" w:space="0" w:color="auto"/>
            </w:tcBorders>
            <w:vAlign w:val="center"/>
            <w:hideMark/>
          </w:tcPr>
          <w:p w14:paraId="473F7E6F" w14:textId="77777777" w:rsidR="006918A0" w:rsidRPr="00A96D00" w:rsidRDefault="006918A0" w:rsidP="006918A0">
            <w:pPr>
              <w:spacing w:beforeLines="20" w:before="48" w:afterLines="20" w:after="48" w:line="276" w:lineRule="auto"/>
              <w:jc w:val="center"/>
              <w:rPr>
                <w:b/>
                <w:noProof/>
                <w:sz w:val="16"/>
                <w:szCs w:val="16"/>
              </w:rPr>
            </w:pPr>
            <w:r w:rsidRPr="00A96D00">
              <w:rPr>
                <w:b/>
                <w:noProof/>
                <w:sz w:val="16"/>
              </w:rPr>
              <w:t>1</w:t>
            </w:r>
          </w:p>
        </w:tc>
        <w:tc>
          <w:tcPr>
            <w:tcW w:w="731" w:type="dxa"/>
            <w:tcBorders>
              <w:top w:val="double" w:sz="4" w:space="0" w:color="auto"/>
              <w:left w:val="single" w:sz="6" w:space="0" w:color="auto"/>
              <w:bottom w:val="single" w:sz="6" w:space="0" w:color="auto"/>
              <w:right w:val="single" w:sz="6" w:space="0" w:color="auto"/>
            </w:tcBorders>
            <w:vAlign w:val="center"/>
            <w:hideMark/>
          </w:tcPr>
          <w:p w14:paraId="69E24515" w14:textId="77777777" w:rsidR="006918A0" w:rsidRPr="00A96D00" w:rsidRDefault="006918A0" w:rsidP="006918A0">
            <w:pPr>
              <w:spacing w:beforeLines="20" w:before="48" w:afterLines="20" w:after="48" w:line="276" w:lineRule="auto"/>
              <w:jc w:val="center"/>
              <w:rPr>
                <w:b/>
                <w:noProof/>
                <w:sz w:val="16"/>
                <w:szCs w:val="16"/>
              </w:rPr>
            </w:pPr>
            <w:r w:rsidRPr="00A96D00">
              <w:rPr>
                <w:b/>
                <w:noProof/>
                <w:sz w:val="16"/>
              </w:rPr>
              <w:t>1</w:t>
            </w:r>
          </w:p>
        </w:tc>
        <w:tc>
          <w:tcPr>
            <w:tcW w:w="731" w:type="dxa"/>
            <w:tcBorders>
              <w:top w:val="double" w:sz="4" w:space="0" w:color="auto"/>
              <w:left w:val="single" w:sz="6" w:space="0" w:color="auto"/>
              <w:bottom w:val="single" w:sz="6" w:space="0" w:color="auto"/>
              <w:right w:val="single" w:sz="6" w:space="0" w:color="auto"/>
            </w:tcBorders>
            <w:vAlign w:val="center"/>
            <w:hideMark/>
          </w:tcPr>
          <w:p w14:paraId="288131E3" w14:textId="77777777" w:rsidR="006918A0" w:rsidRPr="00A96D00" w:rsidRDefault="006918A0" w:rsidP="006918A0">
            <w:pPr>
              <w:spacing w:beforeLines="20" w:before="48" w:afterLines="20" w:after="48" w:line="276" w:lineRule="auto"/>
              <w:jc w:val="center"/>
              <w:rPr>
                <w:b/>
                <w:noProof/>
                <w:sz w:val="16"/>
                <w:szCs w:val="16"/>
              </w:rPr>
            </w:pPr>
            <w:r w:rsidRPr="00A96D00">
              <w:rPr>
                <w:b/>
                <w:noProof/>
                <w:sz w:val="16"/>
              </w:rPr>
              <w:t>0,4</w:t>
            </w:r>
          </w:p>
        </w:tc>
        <w:tc>
          <w:tcPr>
            <w:tcW w:w="731" w:type="dxa"/>
            <w:tcBorders>
              <w:top w:val="double" w:sz="4" w:space="0" w:color="auto"/>
              <w:left w:val="single" w:sz="6" w:space="0" w:color="auto"/>
              <w:bottom w:val="single" w:sz="6" w:space="0" w:color="auto"/>
              <w:right w:val="single" w:sz="6" w:space="0" w:color="auto"/>
            </w:tcBorders>
            <w:vAlign w:val="center"/>
            <w:hideMark/>
          </w:tcPr>
          <w:p w14:paraId="7F63A395" w14:textId="77777777" w:rsidR="006918A0" w:rsidRPr="00A96D00" w:rsidRDefault="006918A0" w:rsidP="006918A0">
            <w:pPr>
              <w:spacing w:beforeLines="20" w:before="48" w:afterLines="20" w:after="48" w:line="276" w:lineRule="auto"/>
              <w:jc w:val="center"/>
              <w:rPr>
                <w:b/>
                <w:noProof/>
                <w:sz w:val="16"/>
                <w:szCs w:val="16"/>
              </w:rPr>
            </w:pPr>
            <w:r w:rsidRPr="00A96D00">
              <w:rPr>
                <w:b/>
                <w:noProof/>
                <w:sz w:val="16"/>
              </w:rPr>
              <w:t>0,1</w:t>
            </w:r>
          </w:p>
        </w:tc>
        <w:tc>
          <w:tcPr>
            <w:tcW w:w="1462" w:type="dxa"/>
            <w:tcBorders>
              <w:top w:val="double" w:sz="4" w:space="0" w:color="auto"/>
              <w:left w:val="single" w:sz="6" w:space="0" w:color="auto"/>
              <w:bottom w:val="single" w:sz="6" w:space="0" w:color="auto"/>
              <w:right w:val="single" w:sz="6" w:space="0" w:color="auto"/>
            </w:tcBorders>
            <w:vAlign w:val="center"/>
            <w:hideMark/>
          </w:tcPr>
          <w:p w14:paraId="2C878E54" w14:textId="77777777" w:rsidR="006918A0" w:rsidRPr="00A96D00" w:rsidRDefault="006918A0" w:rsidP="006918A0">
            <w:pPr>
              <w:spacing w:beforeLines="20" w:before="48" w:afterLines="20" w:after="48" w:line="276" w:lineRule="auto"/>
              <w:jc w:val="right"/>
              <w:rPr>
                <w:b/>
                <w:noProof/>
                <w:sz w:val="16"/>
                <w:szCs w:val="16"/>
              </w:rPr>
            </w:pPr>
            <w:r w:rsidRPr="00A96D00">
              <w:rPr>
                <w:b/>
                <w:noProof/>
                <w:sz w:val="16"/>
              </w:rPr>
              <w:t>3,25</w:t>
            </w:r>
          </w:p>
        </w:tc>
      </w:tr>
    </w:tbl>
    <w:p w14:paraId="368D1F1C" w14:textId="77777777" w:rsidR="006918A0" w:rsidRPr="00A96D00" w:rsidRDefault="006918A0" w:rsidP="006918A0">
      <w:pPr>
        <w:tabs>
          <w:tab w:val="left" w:pos="720"/>
        </w:tabs>
        <w:ind w:left="1134" w:hanging="283"/>
        <w:rPr>
          <w:rFonts w:eastAsia="Times New Roman"/>
          <w:noProof/>
          <w:lang w:eastAsia="de-DE"/>
        </w:rPr>
      </w:pPr>
    </w:p>
    <w:p w14:paraId="5EEF4E43" w14:textId="77777777" w:rsidR="006918A0" w:rsidRPr="00A96D00" w:rsidRDefault="006918A0" w:rsidP="006918A0">
      <w:pPr>
        <w:spacing w:after="60"/>
        <w:jc w:val="right"/>
        <w:rPr>
          <w:i/>
          <w:noProof/>
          <w:sz w:val="20"/>
        </w:rPr>
      </w:pPr>
      <w:r w:rsidRPr="00A96D00">
        <w:rPr>
          <w:i/>
          <w:noProof/>
          <w:sz w:val="20"/>
        </w:rPr>
        <w:t>Procjenu navesti u ekvivalentima punog radnog vremena</w:t>
      </w:r>
    </w:p>
    <w:p w14:paraId="1D9A390F" w14:textId="77777777" w:rsidR="006918A0" w:rsidRPr="00A96D00" w:rsidRDefault="006918A0" w:rsidP="006918A0">
      <w:pPr>
        <w:spacing w:before="60" w:after="60"/>
        <w:ind w:left="851"/>
        <w:rPr>
          <w:noProof/>
          <w:sz w:val="18"/>
          <w:szCs w:val="18"/>
        </w:rPr>
      </w:pPr>
      <w:r w:rsidRPr="00A96D00">
        <w:rPr>
          <w:b/>
          <w:bCs/>
          <w:noProof/>
          <w:sz w:val="18"/>
        </w:rPr>
        <w:t>XX</w:t>
      </w:r>
      <w:r w:rsidRPr="00A96D00">
        <w:rPr>
          <w:noProof/>
          <w:sz w:val="18"/>
        </w:rPr>
        <w:t xml:space="preserve"> se odnosi na odgovarajuće područje politike ili glavu proračuna.</w:t>
      </w:r>
    </w:p>
    <w:p w14:paraId="408BAA53" w14:textId="77777777" w:rsidR="006918A0" w:rsidRPr="00A96D00" w:rsidRDefault="006918A0" w:rsidP="006918A0">
      <w:pPr>
        <w:ind w:left="850"/>
        <w:rPr>
          <w:noProof/>
          <w:sz w:val="18"/>
          <w:szCs w:val="18"/>
        </w:rPr>
      </w:pPr>
      <w:r w:rsidRPr="00A96D00">
        <w:rPr>
          <w:noProof/>
          <w:sz w:val="18"/>
        </w:rPr>
        <w:t>Potrebe za ljudskim resursima pokrit će se osobljem glavne uprave kojemu je već povjereno upravljanje djelovanjem i/ili koje je preraspoređeno unutar glavne uprave te, prema potrebi, resursima koji se mogu dodijeliti nadležnoj glavnoj upravi u okviru godišnjeg postupka dodjele sredstava uzimajući u obzir proračunska ograničenja.</w:t>
      </w:r>
    </w:p>
    <w:p w14:paraId="4911FCA1" w14:textId="77777777" w:rsidR="006918A0" w:rsidRPr="00A96D00" w:rsidRDefault="006918A0" w:rsidP="006918A0">
      <w:pPr>
        <w:rPr>
          <w:noProof/>
          <w:sz w:val="20"/>
        </w:rPr>
      </w:pPr>
      <w:bookmarkStart w:id="23" w:name="_Hlk114160563"/>
      <w:r w:rsidRPr="00A96D00">
        <w:rPr>
          <w:noProof/>
          <w:sz w:val="20"/>
        </w:rPr>
        <w:t>Opis zadaća: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918A0" w:rsidRPr="00A96D00" w14:paraId="0AD6D46D" w14:textId="77777777" w:rsidTr="000430BD">
        <w:tc>
          <w:tcPr>
            <w:tcW w:w="3240" w:type="dxa"/>
            <w:tcBorders>
              <w:top w:val="single" w:sz="2" w:space="0" w:color="auto"/>
              <w:left w:val="single" w:sz="2" w:space="0" w:color="auto"/>
              <w:bottom w:val="single" w:sz="2" w:space="0" w:color="auto"/>
              <w:right w:val="single" w:sz="2" w:space="0" w:color="auto"/>
            </w:tcBorders>
            <w:hideMark/>
          </w:tcPr>
          <w:bookmarkEnd w:id="23"/>
          <w:p w14:paraId="52159B75" w14:textId="77777777" w:rsidR="006918A0" w:rsidRPr="00A96D00" w:rsidRDefault="006918A0" w:rsidP="006918A0">
            <w:pPr>
              <w:spacing w:line="276" w:lineRule="auto"/>
              <w:rPr>
                <w:noProof/>
                <w:sz w:val="20"/>
              </w:rPr>
            </w:pPr>
            <w:r w:rsidRPr="00A96D00">
              <w:rPr>
                <w:noProof/>
                <w:sz w:val="20"/>
              </w:rPr>
              <w:t>Dužnosnici i privremeno osoblje</w:t>
            </w:r>
          </w:p>
        </w:tc>
        <w:tc>
          <w:tcPr>
            <w:tcW w:w="7200" w:type="dxa"/>
            <w:tcBorders>
              <w:top w:val="single" w:sz="2" w:space="0" w:color="auto"/>
              <w:left w:val="single" w:sz="2" w:space="0" w:color="auto"/>
              <w:bottom w:val="single" w:sz="2" w:space="0" w:color="auto"/>
              <w:right w:val="single" w:sz="2" w:space="0" w:color="auto"/>
            </w:tcBorders>
            <w:hideMark/>
          </w:tcPr>
          <w:p w14:paraId="21F9B1B8" w14:textId="77777777" w:rsidR="006918A0" w:rsidRPr="00A96D00" w:rsidRDefault="006918A0" w:rsidP="006918A0">
            <w:pPr>
              <w:spacing w:line="276" w:lineRule="auto"/>
              <w:rPr>
                <w:noProof/>
                <w:sz w:val="20"/>
              </w:rPr>
            </w:pPr>
            <w:r w:rsidRPr="00A96D00">
              <w:rPr>
                <w:noProof/>
                <w:sz w:val="20"/>
              </w:rPr>
              <w:t xml:space="preserve">Priprema sastanaka i korespondencije s državama članicama; rad na obrascima, informatičkim formatima i središnjem direktoriju; </w:t>
            </w:r>
          </w:p>
          <w:p w14:paraId="0323ADFF" w14:textId="77777777" w:rsidR="006918A0" w:rsidRPr="00A96D00" w:rsidRDefault="006918A0" w:rsidP="006918A0">
            <w:pPr>
              <w:spacing w:line="276" w:lineRule="auto"/>
              <w:rPr>
                <w:noProof/>
                <w:sz w:val="20"/>
              </w:rPr>
            </w:pPr>
            <w:r w:rsidRPr="00A96D00">
              <w:rPr>
                <w:noProof/>
                <w:sz w:val="20"/>
              </w:rPr>
              <w:t>angažiranje vanjskih izvođača za rad na informatičkom sustavu.</w:t>
            </w:r>
          </w:p>
        </w:tc>
      </w:tr>
      <w:tr w:rsidR="006918A0" w:rsidRPr="00A96D00" w14:paraId="7F032E5D" w14:textId="77777777" w:rsidTr="000430BD">
        <w:tc>
          <w:tcPr>
            <w:tcW w:w="3240" w:type="dxa"/>
            <w:tcBorders>
              <w:top w:val="single" w:sz="2" w:space="0" w:color="auto"/>
              <w:left w:val="single" w:sz="2" w:space="0" w:color="auto"/>
              <w:bottom w:val="single" w:sz="2" w:space="0" w:color="auto"/>
              <w:right w:val="single" w:sz="2" w:space="0" w:color="auto"/>
            </w:tcBorders>
            <w:hideMark/>
          </w:tcPr>
          <w:p w14:paraId="6EA00355" w14:textId="77777777" w:rsidR="006918A0" w:rsidRPr="00A96D00" w:rsidRDefault="006918A0" w:rsidP="006918A0">
            <w:pPr>
              <w:spacing w:before="60" w:after="60" w:line="276" w:lineRule="auto"/>
              <w:rPr>
                <w:noProof/>
                <w:sz w:val="20"/>
              </w:rPr>
            </w:pPr>
            <w:r w:rsidRPr="00A96D00">
              <w:rPr>
                <w:noProof/>
                <w:sz w:val="20"/>
              </w:rPr>
              <w:t>Vanjsko osoblje</w:t>
            </w:r>
          </w:p>
        </w:tc>
        <w:tc>
          <w:tcPr>
            <w:tcW w:w="7200" w:type="dxa"/>
            <w:tcBorders>
              <w:top w:val="single" w:sz="2" w:space="0" w:color="auto"/>
              <w:left w:val="single" w:sz="2" w:space="0" w:color="auto"/>
              <w:bottom w:val="single" w:sz="2" w:space="0" w:color="auto"/>
              <w:right w:val="single" w:sz="2" w:space="0" w:color="auto"/>
            </w:tcBorders>
            <w:hideMark/>
          </w:tcPr>
          <w:p w14:paraId="0BACCB62" w14:textId="77777777" w:rsidR="006918A0" w:rsidRPr="00A96D00" w:rsidRDefault="006918A0" w:rsidP="006918A0">
            <w:pPr>
              <w:spacing w:line="276" w:lineRule="auto"/>
              <w:rPr>
                <w:noProof/>
                <w:sz w:val="20"/>
              </w:rPr>
            </w:pPr>
            <w:r w:rsidRPr="00A96D00">
              <w:rPr>
                <w:noProof/>
                <w:sz w:val="20"/>
              </w:rPr>
              <w:t>nije primjenjivo</w:t>
            </w:r>
          </w:p>
        </w:tc>
      </w:tr>
    </w:tbl>
    <w:p w14:paraId="381695BB" w14:textId="77777777" w:rsidR="006918A0" w:rsidRPr="00A96D00" w:rsidRDefault="006918A0" w:rsidP="006918A0">
      <w:pPr>
        <w:spacing w:before="0" w:after="0"/>
        <w:jc w:val="left"/>
        <w:rPr>
          <w:noProof/>
        </w:rPr>
        <w:sectPr w:rsidR="006918A0" w:rsidRPr="00A96D00" w:rsidSect="00BE4874">
          <w:pgSz w:w="11907" w:h="16840"/>
          <w:pgMar w:top="1134" w:right="1418" w:bottom="1134" w:left="1418" w:header="709" w:footer="709" w:gutter="0"/>
          <w:cols w:space="720"/>
          <w:docGrid w:linePitch="326"/>
        </w:sectPr>
      </w:pPr>
    </w:p>
    <w:p w14:paraId="557AE8CB" w14:textId="77777777" w:rsidR="006918A0" w:rsidRPr="00A96D00" w:rsidRDefault="00287904" w:rsidP="00287904">
      <w:pPr>
        <w:pStyle w:val="ManualHeading3"/>
        <w:rPr>
          <w:noProof/>
        </w:rPr>
      </w:pPr>
      <w:bookmarkStart w:id="24" w:name="_Toc514938056"/>
      <w:bookmarkStart w:id="25" w:name="_Toc520485055"/>
      <w:r w:rsidRPr="00A96D00">
        <w:rPr>
          <w:noProof/>
        </w:rPr>
        <w:tab/>
        <w:t>3.2.4. Usklađenost s aktualnim višegodišnjim financijskim okvirom</w:t>
      </w:r>
      <w:bookmarkEnd w:id="24"/>
      <w:bookmarkEnd w:id="25"/>
      <w:r w:rsidRPr="00A96D00">
        <w:rPr>
          <w:noProof/>
        </w:rPr>
        <w:t xml:space="preserve"> </w:t>
      </w:r>
    </w:p>
    <w:p w14:paraId="6741A6FC" w14:textId="77777777" w:rsidR="006918A0" w:rsidRPr="00A96D00" w:rsidRDefault="006918A0" w:rsidP="006918A0">
      <w:pPr>
        <w:ind w:left="850"/>
        <w:rPr>
          <w:noProof/>
        </w:rPr>
      </w:pPr>
      <w:bookmarkStart w:id="26" w:name="_Toc514938058"/>
      <w:bookmarkStart w:id="27" w:name="_Toc520485056"/>
      <w:r w:rsidRPr="00A96D00">
        <w:rPr>
          <w:noProof/>
        </w:rPr>
        <w:t>U prijedlogu/inicijativi:</w:t>
      </w:r>
    </w:p>
    <w:p w14:paraId="5CAFF952"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t></w:t>
      </w:r>
      <w:r w:rsidRPr="00A96D00">
        <w:rPr>
          <w:noProof/>
        </w:rPr>
        <w:tab/>
        <w:t>može se u potpunosti financirati preraspodjelom unutar relevantnog naslova višegodišnjeg financijskog okvira (VFO).</w:t>
      </w:r>
    </w:p>
    <w:p w14:paraId="65FCAE95" w14:textId="77777777" w:rsidR="006918A0" w:rsidRPr="00A96D00" w:rsidRDefault="006918A0" w:rsidP="006918A0">
      <w:pPr>
        <w:pBdr>
          <w:top w:val="single" w:sz="4" w:space="1" w:color="auto"/>
          <w:left w:val="single" w:sz="4" w:space="4" w:color="auto"/>
          <w:bottom w:val="single" w:sz="4" w:space="1" w:color="auto"/>
          <w:right w:val="single" w:sz="4" w:space="4" w:color="auto"/>
        </w:pBdr>
        <w:ind w:left="850"/>
        <w:rPr>
          <w:noProof/>
          <w:sz w:val="20"/>
        </w:rPr>
      </w:pPr>
      <w:r w:rsidRPr="00A96D00">
        <w:rPr>
          <w:noProof/>
          <w:sz w:val="20"/>
        </w:rPr>
        <w:t>Objasniti o kakvom je reprogramiranju riječ te navesti predmetne proračunske linije i odgovarajuće iznose.</w:t>
      </w:r>
      <w:r w:rsidRPr="00A96D00">
        <w:rPr>
          <w:noProof/>
        </w:rPr>
        <w:t xml:space="preserve"> </w:t>
      </w:r>
      <w:r w:rsidRPr="00A96D00">
        <w:rPr>
          <w:noProof/>
          <w:sz w:val="20"/>
        </w:rPr>
        <w:t>U slučaju većeg reprogramiranja dostaviti tablicu u Excel formatu.</w:t>
      </w:r>
    </w:p>
    <w:p w14:paraId="29C26445"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sym w:font="Wingdings" w:char="F0A8"/>
      </w:r>
      <w:r w:rsidRPr="00A96D00">
        <w:rPr>
          <w:noProof/>
        </w:rPr>
        <w:tab/>
        <w:t>zahtijeva upotrebu nedodijeljene razlike u okviru relevantnog naslova VFO-a i/ili upotrebu posebnih instrumenata kako su definirani u Uredbi o VFO-u.</w:t>
      </w:r>
    </w:p>
    <w:p w14:paraId="218D7240" w14:textId="77777777" w:rsidR="006918A0" w:rsidRPr="00A96D00" w:rsidRDefault="006918A0" w:rsidP="006918A0">
      <w:pPr>
        <w:pBdr>
          <w:top w:val="single" w:sz="4" w:space="1" w:color="auto"/>
          <w:left w:val="single" w:sz="4" w:space="4" w:color="auto"/>
          <w:bottom w:val="single" w:sz="4" w:space="1" w:color="auto"/>
          <w:right w:val="single" w:sz="4" w:space="4" w:color="auto"/>
        </w:pBdr>
        <w:ind w:left="850"/>
        <w:rPr>
          <w:noProof/>
          <w:sz w:val="20"/>
        </w:rPr>
      </w:pPr>
      <w:r w:rsidRPr="00A96D00">
        <w:rPr>
          <w:noProof/>
          <w:sz w:val="20"/>
        </w:rPr>
        <w:t>Objasniti što je potrebno te navesti predmetne naslove i proračunske linije, odgovarajuće iznose te instrumente čija se upotreba predlaže.</w:t>
      </w:r>
    </w:p>
    <w:p w14:paraId="4A64CA28"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sym w:font="Wingdings" w:char="F0A8"/>
      </w:r>
      <w:r w:rsidRPr="00A96D00">
        <w:rPr>
          <w:noProof/>
        </w:rPr>
        <w:tab/>
        <w:t>zahtijeva reviziju VFO-a.</w:t>
      </w:r>
    </w:p>
    <w:p w14:paraId="17AC3042" w14:textId="77777777" w:rsidR="006918A0" w:rsidRPr="00A96D00" w:rsidRDefault="006918A0" w:rsidP="006918A0">
      <w:pPr>
        <w:pBdr>
          <w:top w:val="single" w:sz="4" w:space="1" w:color="auto"/>
          <w:left w:val="single" w:sz="4" w:space="4" w:color="auto"/>
          <w:bottom w:val="single" w:sz="4" w:space="1" w:color="auto"/>
          <w:right w:val="single" w:sz="4" w:space="4" w:color="auto"/>
        </w:pBdr>
        <w:ind w:left="850"/>
        <w:rPr>
          <w:noProof/>
          <w:sz w:val="20"/>
        </w:rPr>
      </w:pPr>
      <w:r w:rsidRPr="00A96D00">
        <w:rPr>
          <w:noProof/>
          <w:sz w:val="20"/>
        </w:rPr>
        <w:t>Objasniti što je potrebno te navesti predmetne naslove i proračunske linije te odgovarajuće iznose.</w:t>
      </w:r>
    </w:p>
    <w:p w14:paraId="43C411A5" w14:textId="77777777" w:rsidR="006918A0" w:rsidRPr="00A96D00" w:rsidRDefault="00287904" w:rsidP="00287904">
      <w:pPr>
        <w:pStyle w:val="ManualHeading3"/>
        <w:rPr>
          <w:noProof/>
          <w:szCs w:val="24"/>
        </w:rPr>
      </w:pPr>
      <w:r w:rsidRPr="00A96D00">
        <w:rPr>
          <w:noProof/>
        </w:rPr>
        <w:tab/>
        <w:t>3.2.5. Doprinos trećih strana</w:t>
      </w:r>
      <w:bookmarkEnd w:id="26"/>
      <w:bookmarkEnd w:id="27"/>
      <w:r w:rsidRPr="00A96D00">
        <w:rPr>
          <w:noProof/>
        </w:rPr>
        <w:t xml:space="preserve"> </w:t>
      </w:r>
    </w:p>
    <w:p w14:paraId="53E5AD39" w14:textId="77777777" w:rsidR="006918A0" w:rsidRPr="00A96D00" w:rsidRDefault="006918A0" w:rsidP="006918A0">
      <w:pPr>
        <w:ind w:left="850"/>
        <w:rPr>
          <w:noProof/>
        </w:rPr>
      </w:pPr>
      <w:r w:rsidRPr="00A96D00">
        <w:rPr>
          <w:noProof/>
        </w:rPr>
        <w:t>U prijedlogu/inicijativi:</w:t>
      </w:r>
    </w:p>
    <w:p w14:paraId="2D334C15"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t></w:t>
      </w:r>
      <w:r w:rsidRPr="00A96D00">
        <w:rPr>
          <w:noProof/>
        </w:rPr>
        <w:tab/>
        <w:t>ne predviđa se sudjelovanje trećih strana u sufinanciranju.</w:t>
      </w:r>
    </w:p>
    <w:p w14:paraId="23FA9C72"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sym w:font="Wingdings" w:char="F0A8"/>
      </w:r>
      <w:r w:rsidRPr="00A96D00">
        <w:rPr>
          <w:noProof/>
        </w:rPr>
        <w:tab/>
        <w:t>predviđa se sudjelovanje trećih strana u sufinanciranju prema sljedećoj procjeni:</w:t>
      </w:r>
    </w:p>
    <w:p w14:paraId="60507A95" w14:textId="77777777" w:rsidR="006918A0" w:rsidRPr="00A96D00" w:rsidRDefault="006918A0" w:rsidP="006918A0">
      <w:pPr>
        <w:jc w:val="right"/>
        <w:rPr>
          <w:noProof/>
          <w:sz w:val="20"/>
        </w:rPr>
      </w:pPr>
      <w:r w:rsidRPr="00A96D00">
        <w:rPr>
          <w:noProof/>
          <w:sz w:val="20"/>
        </w:rPr>
        <w:t>Odobrena sredstva u milijunima EUR (do 3 decimalna mjesta)</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rsidR="006918A0" w:rsidRPr="00A96D00" w14:paraId="5E1FC052" w14:textId="77777777" w:rsidTr="000430BD">
        <w:trPr>
          <w:cantSplit/>
        </w:trPr>
        <w:tc>
          <w:tcPr>
            <w:tcW w:w="2340" w:type="dxa"/>
            <w:tcBorders>
              <w:top w:val="single" w:sz="6" w:space="0" w:color="auto"/>
              <w:left w:val="single" w:sz="6" w:space="0" w:color="auto"/>
              <w:bottom w:val="single" w:sz="6" w:space="0" w:color="auto"/>
              <w:right w:val="single" w:sz="6" w:space="0" w:color="auto"/>
            </w:tcBorders>
          </w:tcPr>
          <w:p w14:paraId="0A7B96AD" w14:textId="77777777" w:rsidR="006918A0" w:rsidRPr="00A96D00" w:rsidRDefault="006918A0" w:rsidP="006918A0">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14:paraId="42501794" w14:textId="77777777" w:rsidR="006918A0" w:rsidRPr="00A96D00" w:rsidRDefault="006918A0" w:rsidP="006918A0">
            <w:pPr>
              <w:spacing w:line="276" w:lineRule="auto"/>
              <w:jc w:val="center"/>
              <w:rPr>
                <w:noProof/>
                <w:sz w:val="20"/>
              </w:rPr>
            </w:pPr>
            <w:r w:rsidRPr="00A96D00">
              <w:rPr>
                <w:noProof/>
                <w:sz w:val="20"/>
              </w:rPr>
              <w:t>Godina</w:t>
            </w:r>
            <w:r w:rsidRPr="00A96D00">
              <w:rPr>
                <w:noProof/>
              </w:rPr>
              <w:t xml:space="preserve"> </w:t>
            </w:r>
            <w:r w:rsidRPr="00A96D00">
              <w:rPr>
                <w:noProof/>
              </w:rPr>
              <w:br/>
            </w:r>
            <w:r w:rsidRPr="00A96D00">
              <w:rPr>
                <w:b/>
                <w:noProof/>
                <w:sz w:val="20"/>
              </w:rPr>
              <w:t>N</w:t>
            </w:r>
            <w:r w:rsidRPr="00A96D00">
              <w:rPr>
                <w:rStyle w:val="FootnoteReference"/>
                <w:noProof/>
              </w:rPr>
              <w:footnoteReference w:id="57"/>
            </w:r>
          </w:p>
        </w:tc>
        <w:tc>
          <w:tcPr>
            <w:tcW w:w="964" w:type="dxa"/>
            <w:tcBorders>
              <w:top w:val="single" w:sz="6" w:space="0" w:color="auto"/>
              <w:left w:val="single" w:sz="6" w:space="0" w:color="auto"/>
              <w:bottom w:val="single" w:sz="6" w:space="0" w:color="auto"/>
              <w:right w:val="single" w:sz="6" w:space="0" w:color="auto"/>
            </w:tcBorders>
            <w:vAlign w:val="center"/>
            <w:hideMark/>
          </w:tcPr>
          <w:p w14:paraId="15A57377" w14:textId="77777777" w:rsidR="006918A0" w:rsidRPr="00A96D00" w:rsidRDefault="006918A0" w:rsidP="006918A0">
            <w:pPr>
              <w:spacing w:line="276" w:lineRule="auto"/>
              <w:jc w:val="center"/>
              <w:rPr>
                <w:noProof/>
                <w:sz w:val="20"/>
              </w:rPr>
            </w:pPr>
            <w:r w:rsidRPr="00A96D00">
              <w:rPr>
                <w:noProof/>
                <w:sz w:val="20"/>
              </w:rPr>
              <w:t>Godina</w:t>
            </w:r>
            <w:r w:rsidRPr="00A96D00">
              <w:rPr>
                <w:noProof/>
              </w:rPr>
              <w:t xml:space="preserve"> </w:t>
            </w:r>
            <w:r w:rsidRPr="00A96D00">
              <w:rPr>
                <w:noProof/>
              </w:rPr>
              <w:br/>
            </w:r>
            <w:r w:rsidRPr="00A96D00">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14:paraId="074B68E3" w14:textId="77777777" w:rsidR="006918A0" w:rsidRPr="00A96D00" w:rsidRDefault="006918A0" w:rsidP="006918A0">
            <w:pPr>
              <w:spacing w:line="276" w:lineRule="auto"/>
              <w:jc w:val="center"/>
              <w:rPr>
                <w:noProof/>
                <w:sz w:val="20"/>
              </w:rPr>
            </w:pPr>
            <w:r w:rsidRPr="00A96D00">
              <w:rPr>
                <w:noProof/>
                <w:sz w:val="20"/>
              </w:rPr>
              <w:t>Godina</w:t>
            </w:r>
            <w:r w:rsidRPr="00A96D00">
              <w:rPr>
                <w:noProof/>
              </w:rPr>
              <w:t xml:space="preserve"> </w:t>
            </w:r>
            <w:r w:rsidRPr="00A96D00">
              <w:rPr>
                <w:noProof/>
              </w:rPr>
              <w:br/>
            </w:r>
            <w:r w:rsidRPr="00A96D00">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14:paraId="730378F8" w14:textId="77777777" w:rsidR="006918A0" w:rsidRPr="00A96D00" w:rsidRDefault="006918A0" w:rsidP="006918A0">
            <w:pPr>
              <w:spacing w:line="276" w:lineRule="auto"/>
              <w:jc w:val="center"/>
              <w:rPr>
                <w:noProof/>
                <w:sz w:val="20"/>
              </w:rPr>
            </w:pPr>
            <w:r w:rsidRPr="00A96D00">
              <w:rPr>
                <w:noProof/>
                <w:sz w:val="20"/>
              </w:rPr>
              <w:t>Godina</w:t>
            </w:r>
            <w:r w:rsidRPr="00A96D00">
              <w:rPr>
                <w:noProof/>
              </w:rPr>
              <w:t xml:space="preserve"> </w:t>
            </w:r>
            <w:r w:rsidRPr="00A96D00">
              <w:rPr>
                <w:noProof/>
              </w:rPr>
              <w:br/>
            </w:r>
            <w:r w:rsidRPr="00A96D00">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14:paraId="6744BE3F" w14:textId="77777777" w:rsidR="006918A0" w:rsidRPr="00A96D00" w:rsidRDefault="006918A0" w:rsidP="006918A0">
            <w:pPr>
              <w:spacing w:line="276" w:lineRule="auto"/>
              <w:jc w:val="center"/>
              <w:rPr>
                <w:b/>
                <w:noProof/>
                <w:sz w:val="20"/>
              </w:rPr>
            </w:pPr>
            <w:r w:rsidRPr="00A96D00">
              <w:rPr>
                <w:noProof/>
                <w:sz w:val="20"/>
              </w:rPr>
              <w:t>Unijeti onoliko godina koliko je potrebno za prikaz trajanja učinka (vidjeti točku 1.6.)</w:t>
            </w:r>
          </w:p>
        </w:tc>
        <w:tc>
          <w:tcPr>
            <w:tcW w:w="1158" w:type="dxa"/>
            <w:tcBorders>
              <w:top w:val="single" w:sz="6" w:space="0" w:color="auto"/>
              <w:left w:val="single" w:sz="6" w:space="0" w:color="auto"/>
              <w:bottom w:val="single" w:sz="6" w:space="0" w:color="auto"/>
              <w:right w:val="single" w:sz="6" w:space="0" w:color="auto"/>
            </w:tcBorders>
            <w:vAlign w:val="center"/>
            <w:hideMark/>
          </w:tcPr>
          <w:p w14:paraId="53437657" w14:textId="77777777" w:rsidR="006918A0" w:rsidRPr="00A96D00" w:rsidRDefault="006918A0" w:rsidP="006918A0">
            <w:pPr>
              <w:spacing w:before="60" w:after="60" w:line="276" w:lineRule="auto"/>
              <w:jc w:val="center"/>
              <w:rPr>
                <w:noProof/>
                <w:sz w:val="20"/>
              </w:rPr>
            </w:pPr>
            <w:r w:rsidRPr="00A96D00">
              <w:rPr>
                <w:noProof/>
                <w:sz w:val="20"/>
              </w:rPr>
              <w:t>Ukupno</w:t>
            </w:r>
          </w:p>
        </w:tc>
      </w:tr>
      <w:tr w:rsidR="006918A0" w:rsidRPr="00A96D00" w14:paraId="511ABFA8" w14:textId="77777777" w:rsidTr="000430BD">
        <w:trPr>
          <w:cantSplit/>
        </w:trPr>
        <w:tc>
          <w:tcPr>
            <w:tcW w:w="2340" w:type="dxa"/>
            <w:tcBorders>
              <w:top w:val="single" w:sz="6" w:space="0" w:color="auto"/>
              <w:left w:val="single" w:sz="6" w:space="0" w:color="auto"/>
              <w:bottom w:val="single" w:sz="6" w:space="0" w:color="auto"/>
              <w:right w:val="single" w:sz="6" w:space="0" w:color="auto"/>
            </w:tcBorders>
            <w:hideMark/>
          </w:tcPr>
          <w:p w14:paraId="0321E608" w14:textId="77777777" w:rsidR="006918A0" w:rsidRPr="00A96D00" w:rsidRDefault="006918A0" w:rsidP="006918A0">
            <w:pPr>
              <w:spacing w:line="276" w:lineRule="auto"/>
              <w:rPr>
                <w:noProof/>
              </w:rPr>
            </w:pPr>
            <w:r w:rsidRPr="00A96D00">
              <w:rPr>
                <w:noProof/>
                <w:sz w:val="20"/>
              </w:rPr>
              <w:t>Navesti tijelo koje sudjeluje u financiranju</w:t>
            </w:r>
            <w:r w:rsidRPr="00A96D00">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46826506"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36A5FCA"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2E9933C"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5C2503F"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A8D46A6"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8DC05E6"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BDB4037" w14:textId="77777777" w:rsidR="006918A0" w:rsidRPr="00A96D00" w:rsidRDefault="006918A0" w:rsidP="006918A0">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053B5AE5" w14:textId="77777777" w:rsidR="006918A0" w:rsidRPr="00A96D00" w:rsidRDefault="006918A0" w:rsidP="006918A0">
            <w:pPr>
              <w:spacing w:before="60" w:after="60" w:line="276" w:lineRule="auto"/>
              <w:jc w:val="center"/>
              <w:rPr>
                <w:noProof/>
                <w:sz w:val="20"/>
              </w:rPr>
            </w:pPr>
          </w:p>
        </w:tc>
      </w:tr>
      <w:tr w:rsidR="006918A0" w:rsidRPr="00A96D00" w14:paraId="0E9640B7" w14:textId="77777777" w:rsidTr="000430BD">
        <w:trPr>
          <w:cantSplit/>
        </w:trPr>
        <w:tc>
          <w:tcPr>
            <w:tcW w:w="2340" w:type="dxa"/>
            <w:tcBorders>
              <w:top w:val="single" w:sz="6" w:space="0" w:color="auto"/>
              <w:left w:val="single" w:sz="6" w:space="0" w:color="auto"/>
              <w:bottom w:val="single" w:sz="6" w:space="0" w:color="auto"/>
              <w:right w:val="single" w:sz="6" w:space="0" w:color="auto"/>
            </w:tcBorders>
            <w:hideMark/>
          </w:tcPr>
          <w:p w14:paraId="0A378047" w14:textId="77777777" w:rsidR="006918A0" w:rsidRPr="00A96D00" w:rsidRDefault="006918A0" w:rsidP="006918A0">
            <w:pPr>
              <w:spacing w:before="60" w:after="60" w:line="276" w:lineRule="auto"/>
              <w:jc w:val="left"/>
              <w:rPr>
                <w:noProof/>
                <w:sz w:val="20"/>
              </w:rPr>
            </w:pPr>
            <w:r w:rsidRPr="00A96D00">
              <w:rPr>
                <w:noProof/>
                <w:sz w:val="20"/>
              </w:rPr>
              <w:t xml:space="preserve">UKUPNO sufinancirana odobrena sredstva </w:t>
            </w:r>
          </w:p>
        </w:tc>
        <w:tc>
          <w:tcPr>
            <w:tcW w:w="964" w:type="dxa"/>
            <w:tcBorders>
              <w:top w:val="single" w:sz="6" w:space="0" w:color="auto"/>
              <w:left w:val="single" w:sz="6" w:space="0" w:color="auto"/>
              <w:bottom w:val="single" w:sz="6" w:space="0" w:color="auto"/>
              <w:right w:val="single" w:sz="6" w:space="0" w:color="auto"/>
            </w:tcBorders>
            <w:vAlign w:val="center"/>
          </w:tcPr>
          <w:p w14:paraId="0E40DB05"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91EFD45"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4E73195"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660217"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86AE17B"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758FD35" w14:textId="77777777" w:rsidR="006918A0" w:rsidRPr="00A96D0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BF6A5B6" w14:textId="77777777" w:rsidR="006918A0" w:rsidRPr="00A96D00" w:rsidRDefault="006918A0" w:rsidP="006918A0">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603FE738" w14:textId="77777777" w:rsidR="006918A0" w:rsidRPr="00A96D00" w:rsidRDefault="006918A0" w:rsidP="006918A0">
            <w:pPr>
              <w:spacing w:before="60" w:after="60" w:line="276" w:lineRule="auto"/>
              <w:jc w:val="center"/>
              <w:rPr>
                <w:noProof/>
                <w:sz w:val="20"/>
              </w:rPr>
            </w:pPr>
          </w:p>
        </w:tc>
      </w:tr>
    </w:tbl>
    <w:p w14:paraId="353D5924" w14:textId="77777777" w:rsidR="006918A0" w:rsidRPr="00A96D00" w:rsidRDefault="006918A0" w:rsidP="006918A0">
      <w:pPr>
        <w:rPr>
          <w:noProof/>
        </w:rPr>
      </w:pPr>
      <w:r w:rsidRPr="00A96D00">
        <w:rPr>
          <w:noProof/>
        </w:rPr>
        <w:t xml:space="preserve"> </w:t>
      </w:r>
      <w:r w:rsidRPr="00A96D00">
        <w:rPr>
          <w:noProof/>
        </w:rPr>
        <w:br/>
      </w:r>
    </w:p>
    <w:p w14:paraId="0D917773" w14:textId="77777777" w:rsidR="006918A0" w:rsidRPr="00A96D00" w:rsidRDefault="006918A0" w:rsidP="00287904">
      <w:pPr>
        <w:pStyle w:val="ManualHeading2"/>
        <w:ind w:hanging="130"/>
        <w:rPr>
          <w:noProof/>
          <w:szCs w:val="24"/>
        </w:rPr>
      </w:pPr>
      <w:r w:rsidRPr="00A96D00">
        <w:rPr>
          <w:noProof/>
        </w:rPr>
        <w:br w:type="page"/>
      </w:r>
      <w:bookmarkStart w:id="28" w:name="_Toc514938059"/>
      <w:bookmarkStart w:id="29" w:name="_Toc520485057"/>
      <w:r w:rsidRPr="00A96D00">
        <w:rPr>
          <w:noProof/>
        </w:rPr>
        <w:t>3.3. Procijenjeni učinak na prihode</w:t>
      </w:r>
      <w:bookmarkEnd w:id="28"/>
      <w:bookmarkEnd w:id="29"/>
      <w:r w:rsidRPr="00A96D00">
        <w:rPr>
          <w:noProof/>
        </w:rPr>
        <w:t xml:space="preserve"> </w:t>
      </w:r>
    </w:p>
    <w:p w14:paraId="20A02130" w14:textId="77777777" w:rsidR="006918A0" w:rsidRPr="00A96D00" w:rsidRDefault="001714E3" w:rsidP="006918A0">
      <w:pPr>
        <w:tabs>
          <w:tab w:val="num" w:pos="1134"/>
        </w:tabs>
        <w:ind w:left="1134" w:hanging="283"/>
        <w:rPr>
          <w:rFonts w:eastAsia="Times New Roman"/>
          <w:noProof/>
        </w:rPr>
      </w:pPr>
      <w:r w:rsidRPr="00A96D00">
        <w:rPr>
          <w:rFonts w:ascii="Wingdings" w:hAnsi="Wingdings"/>
          <w:noProof/>
        </w:rPr>
        <w:t></w:t>
      </w:r>
      <w:r w:rsidRPr="00A96D00">
        <w:rPr>
          <w:noProof/>
        </w:rPr>
        <w:tab/>
        <w:t>Prijedlog/inicijativa nema financijski učinak na prihode.</w:t>
      </w:r>
    </w:p>
    <w:p w14:paraId="3A2600EF" w14:textId="77777777" w:rsidR="006918A0" w:rsidRPr="00A96D00" w:rsidRDefault="006918A0" w:rsidP="006918A0">
      <w:pPr>
        <w:tabs>
          <w:tab w:val="num" w:pos="1134"/>
        </w:tabs>
        <w:ind w:left="1134" w:hanging="283"/>
        <w:rPr>
          <w:rFonts w:eastAsia="Times New Roman"/>
          <w:noProof/>
        </w:rPr>
      </w:pPr>
      <w:r w:rsidRPr="00A96D00">
        <w:rPr>
          <w:rFonts w:ascii="Wingdings" w:hAnsi="Wingdings"/>
          <w:noProof/>
        </w:rPr>
        <w:sym w:font="Wingdings" w:char="F0A8"/>
      </w:r>
      <w:r w:rsidRPr="00A96D00">
        <w:rPr>
          <w:noProof/>
        </w:rPr>
        <w:tab/>
        <w:t>Prijedlog/inicijativa ima sljedeći financijski učinak:</w:t>
      </w:r>
    </w:p>
    <w:p w14:paraId="5EFEAA23" w14:textId="77777777" w:rsidR="006918A0" w:rsidRPr="00A96D00" w:rsidRDefault="006918A0" w:rsidP="006918A0">
      <w:pPr>
        <w:numPr>
          <w:ilvl w:val="2"/>
          <w:numId w:val="0"/>
        </w:numPr>
        <w:tabs>
          <w:tab w:val="num" w:pos="2126"/>
        </w:tabs>
        <w:ind w:left="2126" w:hanging="709"/>
        <w:rPr>
          <w:rFonts w:eastAsia="Times New Roman"/>
          <w:noProof/>
        </w:rPr>
      </w:pPr>
      <w:r w:rsidRPr="00A96D00">
        <w:rPr>
          <w:rFonts w:ascii="Wingdings" w:hAnsi="Wingdings"/>
          <w:noProof/>
        </w:rPr>
        <w:sym w:font="Wingdings" w:char="F0A8"/>
      </w:r>
      <w:r w:rsidRPr="00A96D00">
        <w:rPr>
          <w:noProof/>
        </w:rPr>
        <w:tab/>
        <w:t xml:space="preserve">na vlastita sredstva </w:t>
      </w:r>
    </w:p>
    <w:p w14:paraId="6AD1EE55" w14:textId="77777777" w:rsidR="006918A0" w:rsidRPr="00A96D00" w:rsidRDefault="006918A0" w:rsidP="006918A0">
      <w:pPr>
        <w:numPr>
          <w:ilvl w:val="2"/>
          <w:numId w:val="0"/>
        </w:numPr>
        <w:tabs>
          <w:tab w:val="num" w:pos="2126"/>
        </w:tabs>
        <w:ind w:left="2126" w:hanging="709"/>
        <w:rPr>
          <w:rFonts w:eastAsia="Times New Roman"/>
          <w:noProof/>
        </w:rPr>
      </w:pPr>
      <w:r w:rsidRPr="00A96D00">
        <w:rPr>
          <w:rFonts w:ascii="Wingdings" w:hAnsi="Wingdings"/>
          <w:noProof/>
        </w:rPr>
        <w:sym w:font="Wingdings" w:char="F0A8"/>
      </w:r>
      <w:r w:rsidRPr="00A96D00">
        <w:rPr>
          <w:noProof/>
        </w:rPr>
        <w:tab/>
        <w:t>na ostale prihode</w:t>
      </w:r>
    </w:p>
    <w:p w14:paraId="12B1291E" w14:textId="77777777" w:rsidR="006918A0" w:rsidRPr="00A96D00" w:rsidRDefault="006918A0" w:rsidP="006918A0">
      <w:pPr>
        <w:numPr>
          <w:ilvl w:val="2"/>
          <w:numId w:val="0"/>
        </w:numPr>
        <w:tabs>
          <w:tab w:val="num" w:pos="2126"/>
        </w:tabs>
        <w:ind w:left="2126" w:hanging="709"/>
        <w:rPr>
          <w:rFonts w:eastAsia="Times New Roman"/>
          <w:noProof/>
        </w:rPr>
      </w:pPr>
      <w:r w:rsidRPr="00A96D00">
        <w:rPr>
          <w:noProof/>
        </w:rPr>
        <w:t xml:space="preserve">navesti jesu li prihodi namijenjeni proračunskim linijama rashoda </w:t>
      </w:r>
      <w:r w:rsidRPr="00A96D00">
        <w:rPr>
          <w:rFonts w:ascii="Wingdings" w:hAnsi="Wingdings"/>
          <w:noProof/>
        </w:rPr>
        <w:sym w:font="Wingdings" w:char="F0A8"/>
      </w:r>
      <w:r w:rsidRPr="00A96D00">
        <w:rPr>
          <w:noProof/>
        </w:rPr>
        <w:tab/>
      </w:r>
    </w:p>
    <w:p w14:paraId="31832FA7" w14:textId="77777777" w:rsidR="006918A0" w:rsidRPr="00A96D00" w:rsidRDefault="006918A0" w:rsidP="006918A0">
      <w:pPr>
        <w:ind w:left="4320"/>
        <w:rPr>
          <w:i/>
          <w:noProof/>
          <w:sz w:val="20"/>
        </w:rPr>
      </w:pPr>
      <w:r w:rsidRPr="00A96D00">
        <w:rPr>
          <w:noProof/>
        </w:rPr>
        <w:t xml:space="preserve">     U milijunima EUR (do 3 decimalna mjesta)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325"/>
        <w:gridCol w:w="1031"/>
        <w:gridCol w:w="900"/>
        <w:gridCol w:w="900"/>
        <w:gridCol w:w="1080"/>
        <w:gridCol w:w="1080"/>
        <w:gridCol w:w="1080"/>
        <w:gridCol w:w="1080"/>
      </w:tblGrid>
      <w:tr w:rsidR="006918A0" w:rsidRPr="00A96D00" w14:paraId="4A5297A1" w14:textId="77777777" w:rsidTr="000430BD">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10C7E5A6" w14:textId="77777777" w:rsidR="006918A0" w:rsidRPr="00A96D00" w:rsidRDefault="006918A0" w:rsidP="006918A0">
            <w:pPr>
              <w:spacing w:before="40" w:after="40" w:line="276" w:lineRule="auto"/>
              <w:rPr>
                <w:noProof/>
                <w:sz w:val="18"/>
              </w:rPr>
            </w:pPr>
            <w:r w:rsidRPr="00A96D00">
              <w:rPr>
                <w:noProof/>
                <w:sz w:val="18"/>
              </w:rPr>
              <w:t>Proračunska linija prihoda:</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5FC1CBD2" w14:textId="77777777" w:rsidR="006918A0" w:rsidRPr="00A96D00" w:rsidRDefault="006918A0" w:rsidP="006918A0">
            <w:pPr>
              <w:spacing w:line="276" w:lineRule="auto"/>
              <w:jc w:val="center"/>
              <w:rPr>
                <w:noProof/>
                <w:sz w:val="18"/>
              </w:rPr>
            </w:pPr>
            <w:r w:rsidRPr="00A96D00">
              <w:rPr>
                <w:noProof/>
                <w:sz w:val="18"/>
              </w:rPr>
              <w:t>Odobrena sredstva dostupna za tekuću financijsku godinu</w:t>
            </w:r>
          </w:p>
        </w:tc>
        <w:tc>
          <w:tcPr>
            <w:tcW w:w="7151" w:type="dxa"/>
            <w:gridSpan w:val="7"/>
            <w:tcBorders>
              <w:top w:val="single" w:sz="4" w:space="0" w:color="auto"/>
              <w:left w:val="single" w:sz="4" w:space="0" w:color="auto"/>
              <w:bottom w:val="single" w:sz="4" w:space="0" w:color="auto"/>
              <w:right w:val="single" w:sz="4" w:space="0" w:color="auto"/>
            </w:tcBorders>
            <w:vAlign w:val="center"/>
            <w:hideMark/>
          </w:tcPr>
          <w:p w14:paraId="28B5322C" w14:textId="77777777" w:rsidR="006918A0" w:rsidRPr="00A96D00" w:rsidRDefault="006918A0" w:rsidP="006918A0">
            <w:pPr>
              <w:spacing w:line="276" w:lineRule="auto"/>
              <w:jc w:val="center"/>
              <w:rPr>
                <w:noProof/>
                <w:sz w:val="18"/>
              </w:rPr>
            </w:pPr>
            <w:r w:rsidRPr="00A96D00">
              <w:rPr>
                <w:noProof/>
                <w:sz w:val="18"/>
              </w:rPr>
              <w:t>Učinak prijedloga/inicijative</w:t>
            </w:r>
            <w:r w:rsidRPr="00A96D00">
              <w:rPr>
                <w:rStyle w:val="FootnoteReference"/>
                <w:noProof/>
              </w:rPr>
              <w:footnoteReference w:id="58"/>
            </w:r>
          </w:p>
        </w:tc>
      </w:tr>
      <w:tr w:rsidR="006918A0" w:rsidRPr="00A96D00" w14:paraId="47D39764" w14:textId="77777777" w:rsidTr="00E104B3">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5D8FC691" w14:textId="77777777" w:rsidR="006918A0" w:rsidRPr="00A96D00" w:rsidRDefault="006918A0" w:rsidP="006918A0">
            <w:pPr>
              <w:spacing w:before="0" w:after="0" w:line="276" w:lineRule="auto"/>
              <w:jc w:val="left"/>
              <w:rPr>
                <w:noProof/>
                <w:sz w:val="18"/>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6FC182A9" w14:textId="77777777" w:rsidR="006918A0" w:rsidRPr="00A96D00" w:rsidRDefault="006918A0" w:rsidP="006918A0">
            <w:pPr>
              <w:spacing w:before="0" w:after="0" w:line="276" w:lineRule="auto"/>
              <w:jc w:val="left"/>
              <w:rPr>
                <w:noProof/>
                <w:sz w:val="18"/>
              </w:rPr>
            </w:pPr>
          </w:p>
        </w:tc>
        <w:tc>
          <w:tcPr>
            <w:tcW w:w="1031" w:type="dxa"/>
            <w:tcBorders>
              <w:top w:val="single" w:sz="4" w:space="0" w:color="auto"/>
              <w:left w:val="single" w:sz="4" w:space="0" w:color="auto"/>
              <w:bottom w:val="single" w:sz="4" w:space="0" w:color="auto"/>
              <w:right w:val="single" w:sz="4" w:space="0" w:color="auto"/>
            </w:tcBorders>
            <w:vAlign w:val="center"/>
            <w:hideMark/>
          </w:tcPr>
          <w:p w14:paraId="6DBE935D" w14:textId="77777777" w:rsidR="006918A0" w:rsidRPr="00A96D00" w:rsidRDefault="006918A0" w:rsidP="006918A0">
            <w:pPr>
              <w:spacing w:line="276" w:lineRule="auto"/>
              <w:jc w:val="center"/>
              <w:rPr>
                <w:noProof/>
                <w:sz w:val="18"/>
              </w:rPr>
            </w:pPr>
            <w:r w:rsidRPr="00A96D00">
              <w:rPr>
                <w:noProof/>
                <w:sz w:val="18"/>
              </w:rPr>
              <w:t>Godina</w:t>
            </w:r>
            <w:r w:rsidRPr="00A96D00">
              <w:rPr>
                <w:noProof/>
              </w:rPr>
              <w:t xml:space="preserve"> </w:t>
            </w:r>
            <w:r w:rsidRPr="00A96D00">
              <w:rPr>
                <w:noProof/>
              </w:rPr>
              <w:br/>
            </w:r>
            <w:r w:rsidRPr="00A96D00">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43284E4C" w14:textId="77777777" w:rsidR="006918A0" w:rsidRPr="00A96D00" w:rsidRDefault="006918A0" w:rsidP="006918A0">
            <w:pPr>
              <w:spacing w:line="276" w:lineRule="auto"/>
              <w:jc w:val="center"/>
              <w:rPr>
                <w:noProof/>
                <w:sz w:val="18"/>
              </w:rPr>
            </w:pPr>
            <w:r w:rsidRPr="00A96D00">
              <w:rPr>
                <w:noProof/>
                <w:sz w:val="18"/>
              </w:rPr>
              <w:t>Godina</w:t>
            </w:r>
            <w:r w:rsidRPr="00A96D00">
              <w:rPr>
                <w:noProof/>
              </w:rPr>
              <w:t xml:space="preserve"> </w:t>
            </w:r>
            <w:r w:rsidRPr="00A96D00">
              <w:rPr>
                <w:noProof/>
              </w:rPr>
              <w:br/>
            </w:r>
            <w:r w:rsidRPr="00A96D00">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5088A8" w14:textId="77777777" w:rsidR="006918A0" w:rsidRPr="00A96D00" w:rsidRDefault="006918A0" w:rsidP="006918A0">
            <w:pPr>
              <w:spacing w:line="276" w:lineRule="auto"/>
              <w:jc w:val="center"/>
              <w:rPr>
                <w:noProof/>
                <w:sz w:val="18"/>
              </w:rPr>
            </w:pPr>
            <w:r w:rsidRPr="00A96D00">
              <w:rPr>
                <w:noProof/>
                <w:sz w:val="18"/>
              </w:rPr>
              <w:t>Godina</w:t>
            </w:r>
            <w:r w:rsidRPr="00A96D00">
              <w:rPr>
                <w:noProof/>
              </w:rPr>
              <w:t xml:space="preserve"> </w:t>
            </w:r>
            <w:r w:rsidRPr="00A96D00">
              <w:rPr>
                <w:noProof/>
              </w:rPr>
              <w:br/>
            </w:r>
            <w:r w:rsidRPr="00A96D00">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8978713" w14:textId="77777777" w:rsidR="006918A0" w:rsidRPr="00A96D00" w:rsidRDefault="006918A0" w:rsidP="006918A0">
            <w:pPr>
              <w:spacing w:line="276" w:lineRule="auto"/>
              <w:jc w:val="center"/>
              <w:rPr>
                <w:noProof/>
                <w:sz w:val="18"/>
              </w:rPr>
            </w:pPr>
            <w:r w:rsidRPr="00A96D00">
              <w:rPr>
                <w:noProof/>
                <w:sz w:val="18"/>
              </w:rPr>
              <w:t>Godina</w:t>
            </w:r>
            <w:r w:rsidRPr="00A96D00">
              <w:rPr>
                <w:noProof/>
              </w:rPr>
              <w:t xml:space="preserve"> </w:t>
            </w:r>
            <w:r w:rsidRPr="00A96D00">
              <w:rPr>
                <w:noProof/>
              </w:rPr>
              <w:br/>
            </w:r>
            <w:r w:rsidRPr="00A96D00">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825A910" w14:textId="77777777" w:rsidR="006918A0" w:rsidRPr="00A96D00" w:rsidRDefault="006918A0" w:rsidP="006918A0">
            <w:pPr>
              <w:spacing w:line="276" w:lineRule="auto"/>
              <w:jc w:val="center"/>
              <w:rPr>
                <w:b/>
                <w:noProof/>
                <w:sz w:val="18"/>
              </w:rPr>
            </w:pPr>
            <w:r w:rsidRPr="00A96D00">
              <w:rPr>
                <w:noProof/>
                <w:sz w:val="18"/>
              </w:rPr>
              <w:t>Unijeti onoliko godina koliko je potrebno za prikaz trajanja učinka (vidjeti točku 1.6.)</w:t>
            </w:r>
          </w:p>
        </w:tc>
      </w:tr>
      <w:tr w:rsidR="006918A0" w:rsidRPr="00A96D00" w14:paraId="4163CE3F" w14:textId="77777777" w:rsidTr="000430BD">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14:paraId="1B63A33C" w14:textId="77777777" w:rsidR="006918A0" w:rsidRPr="00A96D00" w:rsidRDefault="006918A0" w:rsidP="006918A0">
            <w:pPr>
              <w:spacing w:before="40" w:after="40" w:line="276" w:lineRule="auto"/>
              <w:rPr>
                <w:noProof/>
                <w:sz w:val="18"/>
              </w:rPr>
            </w:pPr>
            <w:r w:rsidRPr="00A96D00">
              <w:rPr>
                <w:noProof/>
                <w:sz w:val="18"/>
              </w:rPr>
              <w:t>Članak ………….</w:t>
            </w:r>
          </w:p>
        </w:tc>
        <w:tc>
          <w:tcPr>
            <w:tcW w:w="1325" w:type="dxa"/>
            <w:tcBorders>
              <w:top w:val="single" w:sz="4" w:space="0" w:color="auto"/>
              <w:left w:val="single" w:sz="4" w:space="0" w:color="auto"/>
              <w:bottom w:val="single" w:sz="4" w:space="0" w:color="auto"/>
              <w:right w:val="single" w:sz="4" w:space="0" w:color="auto"/>
            </w:tcBorders>
          </w:tcPr>
          <w:p w14:paraId="5879E859" w14:textId="77777777" w:rsidR="006918A0" w:rsidRPr="00A96D00" w:rsidRDefault="006918A0" w:rsidP="006918A0">
            <w:pPr>
              <w:spacing w:beforeLines="40" w:before="96" w:afterLines="40" w:after="96" w:line="276" w:lineRule="auto"/>
              <w:jc w:val="center"/>
              <w:rPr>
                <w:i/>
                <w:noProof/>
                <w:sz w:val="18"/>
              </w:rPr>
            </w:pPr>
          </w:p>
        </w:tc>
        <w:tc>
          <w:tcPr>
            <w:tcW w:w="1031" w:type="dxa"/>
            <w:tcBorders>
              <w:top w:val="single" w:sz="4" w:space="0" w:color="auto"/>
              <w:left w:val="single" w:sz="4" w:space="0" w:color="auto"/>
              <w:bottom w:val="single" w:sz="4" w:space="0" w:color="auto"/>
              <w:right w:val="single" w:sz="4" w:space="0" w:color="auto"/>
            </w:tcBorders>
          </w:tcPr>
          <w:p w14:paraId="57D376F9" w14:textId="77777777" w:rsidR="006918A0" w:rsidRPr="00A96D00" w:rsidRDefault="006918A0" w:rsidP="006918A0">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668803B9" w14:textId="77777777" w:rsidR="006918A0" w:rsidRPr="00A96D00" w:rsidRDefault="006918A0" w:rsidP="006918A0">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0B03C52C" w14:textId="77777777" w:rsidR="006918A0" w:rsidRPr="00A96D00"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2AAFF138" w14:textId="77777777" w:rsidR="006918A0" w:rsidRPr="00A96D00"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3AC5A8B7" w14:textId="77777777" w:rsidR="006918A0" w:rsidRPr="00A96D00"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BE6573C" w14:textId="77777777" w:rsidR="006918A0" w:rsidRPr="00A96D00"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5EAD8212" w14:textId="77777777" w:rsidR="006918A0" w:rsidRPr="00A96D00" w:rsidRDefault="006918A0" w:rsidP="006918A0">
            <w:pPr>
              <w:spacing w:beforeLines="40" w:before="96" w:afterLines="40" w:after="96" w:line="276" w:lineRule="auto"/>
              <w:jc w:val="center"/>
              <w:rPr>
                <w:noProof/>
                <w:sz w:val="18"/>
              </w:rPr>
            </w:pPr>
          </w:p>
        </w:tc>
      </w:tr>
    </w:tbl>
    <w:p w14:paraId="2CEC1B55" w14:textId="77777777" w:rsidR="006918A0" w:rsidRPr="00A96D00" w:rsidRDefault="006918A0" w:rsidP="006918A0">
      <w:pPr>
        <w:ind w:left="850"/>
        <w:rPr>
          <w:noProof/>
          <w:sz w:val="20"/>
        </w:rPr>
      </w:pPr>
      <w:r w:rsidRPr="00A96D00">
        <w:rPr>
          <w:noProof/>
          <w:sz w:val="20"/>
        </w:rPr>
        <w:t>Za namjenske prihode navesti odgovarajuće proračunske linije rashoda.</w:t>
      </w:r>
    </w:p>
    <w:p w14:paraId="78E15A8D" w14:textId="77777777" w:rsidR="006918A0" w:rsidRPr="00A96D00" w:rsidRDefault="006918A0" w:rsidP="006918A0">
      <w:pPr>
        <w:pBdr>
          <w:top w:val="single" w:sz="4" w:space="1" w:color="auto"/>
          <w:left w:val="single" w:sz="4" w:space="4" w:color="auto"/>
          <w:bottom w:val="single" w:sz="4" w:space="1" w:color="auto"/>
          <w:right w:val="single" w:sz="4" w:space="4" w:color="auto"/>
        </w:pBdr>
        <w:ind w:left="850"/>
        <w:rPr>
          <w:noProof/>
        </w:rPr>
      </w:pPr>
    </w:p>
    <w:p w14:paraId="785BC8C8" w14:textId="77777777" w:rsidR="006918A0" w:rsidRPr="00A96D00" w:rsidRDefault="006918A0" w:rsidP="006918A0">
      <w:pPr>
        <w:ind w:left="850"/>
        <w:rPr>
          <w:noProof/>
          <w:sz w:val="20"/>
        </w:rPr>
      </w:pPr>
      <w:r w:rsidRPr="00A96D00">
        <w:rPr>
          <w:noProof/>
          <w:sz w:val="20"/>
        </w:rPr>
        <w:t>Ostale napomene (npr. metoda/formula za izračun učinka na prihode ili druge informacije)</w:t>
      </w:r>
    </w:p>
    <w:p w14:paraId="7432A0B5" w14:textId="77777777" w:rsidR="006918A0" w:rsidRPr="00A96D00" w:rsidRDefault="006918A0" w:rsidP="006918A0">
      <w:pPr>
        <w:pBdr>
          <w:top w:val="single" w:sz="4" w:space="1" w:color="auto"/>
          <w:left w:val="single" w:sz="4" w:space="4" w:color="auto"/>
          <w:bottom w:val="single" w:sz="4" w:space="1" w:color="auto"/>
          <w:right w:val="single" w:sz="4" w:space="4" w:color="auto"/>
        </w:pBdr>
        <w:ind w:left="850"/>
        <w:rPr>
          <w:noProof/>
        </w:rPr>
      </w:pPr>
    </w:p>
    <w:p w14:paraId="554C29ED" w14:textId="77777777" w:rsidR="006918A0" w:rsidRPr="00A96D00" w:rsidRDefault="006918A0" w:rsidP="006918A0">
      <w:pPr>
        <w:spacing w:before="0" w:after="200" w:line="276" w:lineRule="auto"/>
        <w:jc w:val="left"/>
        <w:rPr>
          <w:noProof/>
        </w:rPr>
      </w:pPr>
    </w:p>
    <w:p w14:paraId="65F151C5" w14:textId="77777777" w:rsidR="006918A0" w:rsidRPr="00A96D00" w:rsidRDefault="006918A0" w:rsidP="006918A0">
      <w:pPr>
        <w:spacing w:before="0" w:after="200" w:line="276" w:lineRule="auto"/>
        <w:jc w:val="left"/>
        <w:rPr>
          <w:noProof/>
        </w:rPr>
      </w:pPr>
    </w:p>
    <w:p w14:paraId="75DAE940" w14:textId="77777777" w:rsidR="001956AF" w:rsidRPr="00A96D00" w:rsidRDefault="001956AF" w:rsidP="006E6DDA">
      <w:pPr>
        <w:rPr>
          <w:noProof/>
        </w:rPr>
      </w:pPr>
    </w:p>
    <w:sectPr w:rsidR="001956AF" w:rsidRPr="00A96D00" w:rsidSect="00BE4874">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CF07" w14:textId="77777777" w:rsidR="006828FA" w:rsidRDefault="006828FA" w:rsidP="00977CF6">
      <w:pPr>
        <w:spacing w:before="0" w:after="0"/>
      </w:pPr>
      <w:r>
        <w:separator/>
      </w:r>
    </w:p>
  </w:endnote>
  <w:endnote w:type="continuationSeparator" w:id="0">
    <w:p w14:paraId="51A5C80C" w14:textId="77777777" w:rsidR="006828FA" w:rsidRDefault="006828FA" w:rsidP="00977CF6">
      <w:pPr>
        <w:spacing w:before="0" w:after="0"/>
      </w:pPr>
      <w:r>
        <w:continuationSeparator/>
      </w:r>
    </w:p>
  </w:endnote>
  <w:endnote w:type="continuationNotice" w:id="1">
    <w:p w14:paraId="54D9C0D1" w14:textId="77777777" w:rsidR="006828FA" w:rsidRDefault="006828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Calibri"/>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2B01" w14:textId="7E64386E" w:rsidR="00977CF6" w:rsidRPr="00BE4874" w:rsidRDefault="00BE4874" w:rsidP="00BE4874">
    <w:pPr>
      <w:pStyle w:val="Footer"/>
      <w:rPr>
        <w:rFonts w:ascii="Arial" w:hAnsi="Arial" w:cs="Arial"/>
        <w:b/>
        <w:sz w:val="48"/>
      </w:rPr>
    </w:pPr>
    <w:r w:rsidRPr="00BE4874">
      <w:rPr>
        <w:rFonts w:ascii="Arial" w:hAnsi="Arial" w:cs="Arial"/>
        <w:b/>
        <w:sz w:val="48"/>
      </w:rPr>
      <w:t>HR</w:t>
    </w:r>
    <w:r w:rsidRPr="00BE4874">
      <w:rPr>
        <w:rFonts w:ascii="Arial" w:hAnsi="Arial" w:cs="Arial"/>
        <w:b/>
        <w:sz w:val="48"/>
      </w:rPr>
      <w:tab/>
    </w:r>
    <w:r w:rsidRPr="00BE4874">
      <w:rPr>
        <w:rFonts w:ascii="Arial" w:hAnsi="Arial" w:cs="Arial"/>
        <w:b/>
        <w:sz w:val="48"/>
      </w:rPr>
      <w:tab/>
    </w:r>
    <w:r w:rsidRPr="00BE4874">
      <w:tab/>
    </w:r>
    <w:r w:rsidRPr="00BE4874">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A4963" w14:textId="0E9034C4" w:rsidR="00BE4874" w:rsidRPr="00BE4874" w:rsidRDefault="00BE4874" w:rsidP="00BE4874">
    <w:pPr>
      <w:pStyle w:val="Footer"/>
      <w:rPr>
        <w:rFonts w:ascii="Arial" w:hAnsi="Arial" w:cs="Arial"/>
        <w:b/>
        <w:sz w:val="48"/>
      </w:rPr>
    </w:pPr>
    <w:r w:rsidRPr="00BE4874">
      <w:rPr>
        <w:rFonts w:ascii="Arial" w:hAnsi="Arial" w:cs="Arial"/>
        <w:b/>
        <w:sz w:val="48"/>
      </w:rPr>
      <w:t>HR</w:t>
    </w:r>
    <w:r w:rsidRPr="00BE4874">
      <w:rPr>
        <w:rFonts w:ascii="Arial" w:hAnsi="Arial" w:cs="Arial"/>
        <w:b/>
        <w:sz w:val="48"/>
      </w:rPr>
      <w:tab/>
    </w:r>
    <w:r>
      <w:fldChar w:fldCharType="begin"/>
    </w:r>
    <w:r>
      <w:instrText xml:space="preserve"> PAGE  \* MERGEFORMAT </w:instrText>
    </w:r>
    <w:r>
      <w:fldChar w:fldCharType="separate"/>
    </w:r>
    <w:r w:rsidR="001848DC">
      <w:rPr>
        <w:noProof/>
      </w:rPr>
      <w:t>34</w:t>
    </w:r>
    <w:r>
      <w:fldChar w:fldCharType="end"/>
    </w:r>
    <w:r>
      <w:tab/>
    </w:r>
    <w:r w:rsidRPr="00BE4874">
      <w:tab/>
    </w:r>
    <w:r w:rsidRPr="00BE4874">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4988" w14:textId="77777777" w:rsidR="00BE4874" w:rsidRPr="00BE4874" w:rsidRDefault="00BE4874" w:rsidP="00BE48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4F2E" w14:textId="733525F8" w:rsidR="00BE4874" w:rsidRPr="00BE4874" w:rsidRDefault="00BE4874" w:rsidP="00BE4874">
    <w:pPr>
      <w:pStyle w:val="FooterLandscape"/>
      <w:rPr>
        <w:rFonts w:ascii="Arial" w:hAnsi="Arial" w:cs="Arial"/>
        <w:b/>
        <w:sz w:val="48"/>
      </w:rPr>
    </w:pPr>
    <w:r w:rsidRPr="00BE4874">
      <w:rPr>
        <w:rFonts w:ascii="Arial" w:hAnsi="Arial" w:cs="Arial"/>
        <w:b/>
        <w:sz w:val="48"/>
      </w:rPr>
      <w:t>HR</w:t>
    </w:r>
    <w:r w:rsidRPr="00BE487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E4874">
      <w:tab/>
    </w:r>
    <w:r w:rsidRPr="00BE4874">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45BC" w14:textId="77777777" w:rsidR="00BE4874" w:rsidRPr="00BE4874" w:rsidRDefault="00BE4874" w:rsidP="00BE4874">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DA0F" w14:textId="7A257127" w:rsidR="003D2F87" w:rsidRPr="00BE4874" w:rsidRDefault="00BE4874" w:rsidP="00BE4874">
    <w:pPr>
      <w:pStyle w:val="Footer"/>
      <w:rPr>
        <w:rFonts w:ascii="Arial" w:hAnsi="Arial" w:cs="Arial"/>
        <w:b/>
        <w:sz w:val="48"/>
      </w:rPr>
    </w:pPr>
    <w:r w:rsidRPr="00BE4874">
      <w:rPr>
        <w:rFonts w:ascii="Arial" w:hAnsi="Arial" w:cs="Arial"/>
        <w:b/>
        <w:sz w:val="48"/>
      </w:rPr>
      <w:t>HR</w:t>
    </w:r>
    <w:r w:rsidRPr="00BE487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E4874">
      <w:tab/>
    </w:r>
    <w:r w:rsidRPr="00BE4874">
      <w:rPr>
        <w:rFonts w:ascii="Arial" w:hAnsi="Arial" w:cs="Arial"/>
        <w:b/>
        <w:sz w:val="48"/>
      </w:rPr>
      <w:t>HR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76C8" w14:textId="77777777" w:rsidR="00BE4874" w:rsidRPr="00BE4874" w:rsidRDefault="00BE4874" w:rsidP="00BE4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96B9" w14:textId="77777777" w:rsidR="006828FA" w:rsidRDefault="006828FA" w:rsidP="00977CF6">
      <w:pPr>
        <w:spacing w:before="0" w:after="0"/>
      </w:pPr>
      <w:r>
        <w:separator/>
      </w:r>
    </w:p>
  </w:footnote>
  <w:footnote w:type="continuationSeparator" w:id="0">
    <w:p w14:paraId="24404DAD" w14:textId="77777777" w:rsidR="006828FA" w:rsidRDefault="006828FA" w:rsidP="00977CF6">
      <w:pPr>
        <w:spacing w:before="0" w:after="0"/>
      </w:pPr>
      <w:r>
        <w:continuationSeparator/>
      </w:r>
    </w:p>
  </w:footnote>
  <w:footnote w:type="continuationNotice" w:id="1">
    <w:p w14:paraId="19AF1A5E" w14:textId="77777777" w:rsidR="006828FA" w:rsidRDefault="006828FA">
      <w:pPr>
        <w:spacing w:before="0" w:after="0"/>
      </w:pPr>
    </w:p>
  </w:footnote>
  <w:footnote w:id="2">
    <w:p w14:paraId="5FFED592" w14:textId="1DDC11C3" w:rsidR="7BA2523B" w:rsidRDefault="7BA2523B" w:rsidP="00166F1C">
      <w:pPr>
        <w:pStyle w:val="FootnoteText"/>
        <w:rPr>
          <w:rFonts w:eastAsia="Times New Roman"/>
          <w:sz w:val="16"/>
          <w:szCs w:val="16"/>
        </w:rPr>
      </w:pPr>
      <w:r>
        <w:rPr>
          <w:rStyle w:val="FootnoteReference"/>
        </w:rPr>
        <w:footnoteRef/>
      </w:r>
      <w:r>
        <w:tab/>
        <w:t>Porez po odbitku na dividende, anketa za ulagače u Europskoj uniji (</w:t>
      </w:r>
      <w:r>
        <w:rPr>
          <w:i/>
          <w:iCs/>
        </w:rPr>
        <w:t>Withholding tax on dividends, survey for investors in the European Union</w:t>
      </w:r>
      <w:r>
        <w:t>), Better Finance, ožujak 2023.</w:t>
      </w:r>
    </w:p>
  </w:footnote>
  <w:footnote w:id="3">
    <w:p w14:paraId="360D29DC" w14:textId="02A47073" w:rsidR="00616FDE" w:rsidRPr="00616FDE" w:rsidRDefault="00616FDE">
      <w:pPr>
        <w:pStyle w:val="FootnoteText"/>
      </w:pPr>
      <w:r>
        <w:rPr>
          <w:rStyle w:val="FootnoteReference"/>
        </w:rPr>
        <w:footnoteRef/>
      </w:r>
      <w:r>
        <w:tab/>
      </w:r>
      <w:hyperlink r:id="rId1" w:history="1">
        <w:r>
          <w:rPr>
            <w:rStyle w:val="Hyperlink"/>
          </w:rPr>
          <w:t>https://finance.ec.europa.eu/publications/retail-investment-package_en</w:t>
        </w:r>
      </w:hyperlink>
    </w:p>
  </w:footnote>
  <w:footnote w:id="4">
    <w:p w14:paraId="4E541DC0" w14:textId="5C4570C3" w:rsidR="00FE4542" w:rsidRPr="00166F1C" w:rsidRDefault="00FE4542" w:rsidP="00654EF0">
      <w:pPr>
        <w:pStyle w:val="FootnoteText"/>
      </w:pPr>
      <w:r>
        <w:rPr>
          <w:rStyle w:val="FootnoteReference"/>
        </w:rPr>
        <w:footnoteRef/>
      </w:r>
      <w:r>
        <w:tab/>
        <w:t>Preporuka Komisije od 19. listopada 2009. o postupcima za oslobađanje od poreza po odbitku (SL L 279, 24.10.2009., str. 8.–11.).</w:t>
      </w:r>
    </w:p>
  </w:footnote>
  <w:footnote w:id="5">
    <w:p w14:paraId="0C06352E" w14:textId="0783EB1B" w:rsidR="00FE4542" w:rsidRPr="00166F1C" w:rsidRDefault="00FE4542">
      <w:pPr>
        <w:pStyle w:val="FootnoteText"/>
      </w:pPr>
      <w:r>
        <w:rPr>
          <w:rStyle w:val="FootnoteReference"/>
        </w:rPr>
        <w:footnoteRef/>
      </w:r>
      <w:r>
        <w:tab/>
        <w:t xml:space="preserve">Europska komisija (2017.), Kodeks postupanja u vezi s porezom po odbitku, Glavna uprava za oporezivanje i carinsku uniju, </w:t>
      </w:r>
      <w:hyperlink r:id="rId2" w:history="1">
        <w:r>
          <w:rPr>
            <w:rStyle w:val="Hyperlink"/>
          </w:rPr>
          <w:t>https://taxation-customs.ec.europa.eu/system/files/2017-12/code_of_conduct_on_witholding_tax.pdf</w:t>
        </w:r>
      </w:hyperlink>
      <w:r>
        <w:t>) .</w:t>
      </w:r>
    </w:p>
  </w:footnote>
  <w:footnote w:id="6">
    <w:p w14:paraId="6532E4CC" w14:textId="1138BC73" w:rsidR="00FE4542" w:rsidRPr="00FE4542" w:rsidRDefault="00FE4542">
      <w:pPr>
        <w:pStyle w:val="FootnoteText"/>
      </w:pPr>
      <w:r>
        <w:rPr>
          <w:rStyle w:val="FootnoteReference"/>
        </w:rPr>
        <w:footnoteRef/>
      </w:r>
      <w:r>
        <w:tab/>
        <w:t>OECD (2013.), TRACE provedbeni paket za donošenje sustava ovlaštenog posrednika: standardizirani sustav za djelotvorne postupke oslobođenja od poreza po odbitku za prekogranični prihod portfelja (</w:t>
      </w:r>
      <w:hyperlink r:id="rId3" w:history="1">
        <w:r>
          <w:rPr>
            <w:rStyle w:val="Hyperlink"/>
          </w:rPr>
          <w:t>https://www.oecd.org/ctp/exchange-of-tax-information/treatyreliefandcomplianceenhancementtrace.htm</w:t>
        </w:r>
      </w:hyperlink>
      <w:r>
        <w:t>).</w:t>
      </w:r>
    </w:p>
  </w:footnote>
  <w:footnote w:id="7">
    <w:p w14:paraId="6C806410" w14:textId="1AE16CEA" w:rsidR="00095B62" w:rsidRPr="00095B62" w:rsidRDefault="00095B62">
      <w:pPr>
        <w:pStyle w:val="FootnoteText"/>
      </w:pPr>
      <w:r>
        <w:rPr>
          <w:rStyle w:val="FootnoteReference"/>
        </w:rPr>
        <w:footnoteRef/>
      </w:r>
      <w:r>
        <w:tab/>
        <w:t>Vidjeti izvješće o procjeni učinka uz ovaj prijedlog.</w:t>
      </w:r>
    </w:p>
  </w:footnote>
  <w:footnote w:id="8">
    <w:p w14:paraId="148BA09E" w14:textId="46F3ED81" w:rsidR="007D17F2" w:rsidRPr="00166F1C" w:rsidRDefault="007D17F2" w:rsidP="00447FBE">
      <w:pPr>
        <w:pStyle w:val="FootnoteText"/>
      </w:pPr>
      <w:r>
        <w:rPr>
          <w:rStyle w:val="FootnoteReference"/>
        </w:rPr>
        <w:footnoteRef/>
      </w:r>
      <w:r>
        <w:tab/>
        <w:t xml:space="preserve">Komunikacija Komisije Europskom parlamentu i Vijeću – Akcijski plan za pravedno i jednostavno oporezivanje kojim se podupire strategija oporavka (COM(2020) 312 final). </w:t>
      </w:r>
    </w:p>
  </w:footnote>
  <w:footnote w:id="9">
    <w:p w14:paraId="4B9D88F7" w14:textId="1D12F2BC" w:rsidR="007D17F2" w:rsidRPr="00166F1C" w:rsidRDefault="007D17F2" w:rsidP="00447FBE">
      <w:pPr>
        <w:pStyle w:val="FootnoteText"/>
      </w:pPr>
      <w:r>
        <w:rPr>
          <w:rStyle w:val="FootnoteReference"/>
        </w:rPr>
        <w:footnoteRef/>
      </w:r>
      <w:r>
        <w:tab/>
        <w:t>Komunikacija Komisije Europskom parlamentu, Vijeću, Europskom gospodarskom i socijalnom odboru i Odboru regija – Unija tržišta kapitala za građane i poduzeća – novi akcijski plan (COM(2020) 590 final)</w:t>
      </w:r>
    </w:p>
  </w:footnote>
  <w:footnote w:id="10">
    <w:p w14:paraId="759C5514" w14:textId="3484AF8F" w:rsidR="000023B2" w:rsidRPr="00166F1C" w:rsidRDefault="002606C0" w:rsidP="00447FBE">
      <w:pPr>
        <w:pStyle w:val="FootnoteText"/>
      </w:pPr>
      <w:r>
        <w:rPr>
          <w:rStyle w:val="FootnoteReference"/>
        </w:rPr>
        <w:footnoteRef/>
      </w:r>
      <w:r>
        <w:tab/>
        <w:t>Rezolucija Europskog parlamenta od 10. ožujka 2022. s preporukama Komisiji o pravednom i jednostavnijem oporezivanju kojim se podupire strategija oporavka (EP-ovo praćenje akcijskog plana Komisije iz srpnja i njegovih 25 inicijativa u području PDV-a, oporezivanja poslovanja i pojedinačnog oporezivanja) (2020/2254(INL)) (SL C 347, 9.9.2022., str. 211.–222.)</w:t>
      </w:r>
    </w:p>
  </w:footnote>
  <w:footnote w:id="11">
    <w:p w14:paraId="0978C8F2" w14:textId="42277E2B" w:rsidR="00DA383D" w:rsidRPr="00DA383D" w:rsidRDefault="00DA383D">
      <w:pPr>
        <w:pStyle w:val="FootnoteText"/>
      </w:pPr>
      <w:r>
        <w:rPr>
          <w:rStyle w:val="FootnoteReference"/>
        </w:rPr>
        <w:footnoteRef/>
      </w:r>
      <w:r>
        <w:tab/>
        <w:t>Rezolucija Europskog parlamenta od 10. ožujka 2022. o europskom okviru za porez po odbitku (2021/2097(INI))</w:t>
      </w:r>
    </w:p>
  </w:footnote>
  <w:footnote w:id="12">
    <w:p w14:paraId="31B3BB7D" w14:textId="24CD1032" w:rsidR="0097109C" w:rsidRPr="0097109C" w:rsidRDefault="0097109C">
      <w:pPr>
        <w:pStyle w:val="FootnoteText"/>
      </w:pPr>
      <w:r>
        <w:rPr>
          <w:rStyle w:val="FootnoteReference"/>
        </w:rPr>
        <w:footnoteRef/>
      </w:r>
      <w:r>
        <w:tab/>
        <w:t>Rezolucija Europskog parlamenta od 8. listopada 2020. o daljnjem razvoju unije tržišta kapitala (CMU): poboljšanje pristupa financiranju na tržištima kapitala, posebno za MSP-ove, te daljnje jačanje sudjelovanja malih ulagatelja (2020/2036(INI))</w:t>
      </w:r>
    </w:p>
  </w:footnote>
  <w:footnote w:id="13">
    <w:p w14:paraId="79C195F2" w14:textId="514FB15F" w:rsidR="00095B62" w:rsidRPr="00095B62" w:rsidRDefault="00095B62">
      <w:pPr>
        <w:pStyle w:val="FootnoteText"/>
      </w:pPr>
      <w:r>
        <w:rPr>
          <w:rStyle w:val="FootnoteReference"/>
        </w:rPr>
        <w:footnoteRef/>
      </w:r>
      <w:r>
        <w:tab/>
        <w:t>Vidjeti izvješće o procjeni učinka uz ovaj prijedlog.</w:t>
      </w:r>
    </w:p>
  </w:footnote>
  <w:footnote w:id="14">
    <w:p w14:paraId="12A2614C" w14:textId="4B017566" w:rsidR="009E0D0A" w:rsidRPr="002F7B50" w:rsidRDefault="009E0D0A" w:rsidP="00AC7C41">
      <w:pPr>
        <w:pStyle w:val="FootnoteText"/>
        <w:rPr>
          <w:highlight w:val="yellow"/>
        </w:rPr>
      </w:pPr>
      <w:r>
        <w:rPr>
          <w:rStyle w:val="FootnoteReference"/>
        </w:rPr>
        <w:footnoteRef/>
      </w:r>
      <w:r>
        <w:tab/>
        <w:t>Direktiva Vijeća (EU) 2016/1164 od 12. srpnja 2016. o utvrđivanju pravila protiv praksi izbjegavanja poreza kojima se izravno utječe na funkcioniranje unutarnjeg tržišta (SL L 193, 19.7.2016., str. 1.)</w:t>
      </w:r>
    </w:p>
  </w:footnote>
  <w:footnote w:id="15">
    <w:p w14:paraId="7A7B682A" w14:textId="3AE95E2C" w:rsidR="009E0D0A" w:rsidRPr="00A205C2" w:rsidRDefault="009E0D0A" w:rsidP="009E0D0A">
      <w:pPr>
        <w:pStyle w:val="FootnoteText"/>
      </w:pPr>
      <w:r>
        <w:rPr>
          <w:rStyle w:val="FootnoteReference"/>
        </w:rPr>
        <w:footnoteRef/>
      </w:r>
      <w:r>
        <w:tab/>
        <w:t>Direktiva Vijeća 2011/16/EU od 15. veljače 2011. o administrativnoj suradnji u području oporezivanja i stavljanju izvan snage Direktive 77/799/EEZ (SL L 64, 11.3.2011., str. 1.)</w:t>
      </w:r>
    </w:p>
  </w:footnote>
  <w:footnote w:id="16">
    <w:p w14:paraId="6B57FF01" w14:textId="4A68D1D3" w:rsidR="009E0D0A" w:rsidRPr="00A205C2" w:rsidRDefault="009E0D0A" w:rsidP="009E0D0A">
      <w:pPr>
        <w:pStyle w:val="FootnoteText"/>
      </w:pPr>
      <w:r>
        <w:rPr>
          <w:rStyle w:val="FootnoteReference"/>
        </w:rPr>
        <w:footnoteRef/>
      </w:r>
      <w:r>
        <w:tab/>
        <w:t>Direktiva Vijeća 2014/107/EU od 9. prosinca 2014. o izmjeni Direktive 2011/16/EU u pogledu obvezne automatske razmjene informacija u području oporezivanja (SL L 359, 16.12.2014., str. 1.–29.)</w:t>
      </w:r>
    </w:p>
  </w:footnote>
  <w:footnote w:id="17">
    <w:p w14:paraId="29DEAAFF" w14:textId="4261E316" w:rsidR="009E0D0A" w:rsidRPr="00166F1C" w:rsidRDefault="009E0D0A" w:rsidP="009E0D0A">
      <w:pPr>
        <w:pStyle w:val="FootnoteText"/>
      </w:pPr>
      <w:r>
        <w:rPr>
          <w:rStyle w:val="FootnoteReference"/>
        </w:rPr>
        <w:footnoteRef/>
      </w:r>
      <w:r>
        <w:tab/>
        <w:t>Direktiva Vijeća (EU) 2018/822 od 25. svibnja 2018. o izmjeni Direktive 2011/16/EU u pogledu obvezne automatske razmjene informacija u području oporezivanja u odnosu na prekogranične aranžmane o kojima se izvješćuje (SL L 139, 5.6.2018., str. 1.–13)</w:t>
      </w:r>
    </w:p>
  </w:footnote>
  <w:footnote w:id="18">
    <w:p w14:paraId="5E52C630" w14:textId="4E60C356" w:rsidR="00E104B3" w:rsidRPr="00E104B3" w:rsidRDefault="00E104B3">
      <w:pPr>
        <w:pStyle w:val="FootnoteText"/>
      </w:pPr>
      <w:r>
        <w:rPr>
          <w:rStyle w:val="FootnoteReference"/>
        </w:rPr>
        <w:footnoteRef/>
      </w:r>
      <w:r>
        <w:tab/>
        <w:t xml:space="preserve">Prijedlog Direktive Vijeća od 22. prosinca 2021. o utvrđivanju pravila za sprečavanje zlouporabe fiktivnih subjekata u porezne svrhe i izmjeni Direktive 2011/16/EU (COM(2021) 565). </w:t>
      </w:r>
    </w:p>
  </w:footnote>
  <w:footnote w:id="19">
    <w:p w14:paraId="2889F934" w14:textId="3DF5DAA9" w:rsidR="009002EC" w:rsidRPr="00537D3C" w:rsidRDefault="009002EC" w:rsidP="00B837EB">
      <w:pPr>
        <w:pStyle w:val="FootnoteText"/>
      </w:pPr>
      <w:r>
        <w:rPr>
          <w:rStyle w:val="FootnoteReference"/>
        </w:rPr>
        <w:footnoteRef/>
      </w:r>
      <w:r>
        <w:tab/>
        <w:t>Direktiva Vijeća 2011/96/EU od 30. studenoga 2011. o zajedničkom sustavu oporezivanja koji se primjenjuje na matična društva i društva kćeri iz različitih država članica (preinaka) (SL L 345, 29.12.2011., str. 8.–16.)</w:t>
      </w:r>
    </w:p>
  </w:footnote>
  <w:footnote w:id="20">
    <w:p w14:paraId="502A0A98" w14:textId="1F085C2A" w:rsidR="009002EC" w:rsidRPr="00537D3C" w:rsidRDefault="009002EC" w:rsidP="00B837EB">
      <w:pPr>
        <w:pStyle w:val="FootnoteText"/>
      </w:pPr>
      <w:r>
        <w:rPr>
          <w:rStyle w:val="FootnoteReference"/>
        </w:rPr>
        <w:footnoteRef/>
      </w:r>
      <w:r>
        <w:tab/>
        <w:t>Direktiva Vijeća 2003/49/EZ od 3. lipnja 2003. o zajedničkom sustavu oporezivanja isplate kamata i licencije između povezanih trgovačkih društava različitih država članica (SL L 157, 26.6.2003., str. 49.–54.)</w:t>
      </w:r>
    </w:p>
  </w:footnote>
  <w:footnote w:id="21">
    <w:p w14:paraId="77E546BA" w14:textId="163A74C9" w:rsidR="003962D4" w:rsidRDefault="003962D4" w:rsidP="00BE5252">
      <w:pPr>
        <w:pStyle w:val="FootnoteText"/>
      </w:pPr>
      <w:r>
        <w:rPr>
          <w:rStyle w:val="FootnoteReference"/>
        </w:rPr>
        <w:footnoteRef/>
      </w:r>
      <w:r>
        <w:tab/>
        <w:t>Prijedlog Direktive Europskog parlamenta i Vijeća o izmjeni direktiva (EU) 2009/65/EZ, 2009/138/EZ, 2011/61/EU, 2014/65/EU i (EU) 2016/97 u pogledu pravila Unije o zaštiti malih ulagača (COM(2023) 279 final)</w:t>
      </w:r>
    </w:p>
  </w:footnote>
  <w:footnote w:id="22">
    <w:p w14:paraId="31D741C9" w14:textId="29B4CA65" w:rsidR="00297E62" w:rsidRPr="0021552A" w:rsidRDefault="00297E62">
      <w:pPr>
        <w:pStyle w:val="FootnoteText"/>
      </w:pPr>
      <w:r>
        <w:rPr>
          <w:rStyle w:val="FootnoteReference"/>
        </w:rPr>
        <w:footnoteRef/>
      </w:r>
      <w:r>
        <w:tab/>
        <w:t>Direktiva (EU) 2017/828 Europskog parlamenta i Vijeća od 17. svibnja 2017. o izmjeni Direktive 2007/36/EZ u pogledu poticanja dugoročnog sudjelovanja dioničara.</w:t>
      </w:r>
    </w:p>
  </w:footnote>
  <w:footnote w:id="23">
    <w:p w14:paraId="2A038B5F" w14:textId="31B5F4B4" w:rsidR="0055469A" w:rsidRPr="0055469A" w:rsidRDefault="0055469A">
      <w:pPr>
        <w:pStyle w:val="FootnoteText"/>
      </w:pPr>
      <w:r>
        <w:rPr>
          <w:rStyle w:val="FootnoteReference"/>
        </w:rPr>
        <w:footnoteRef/>
      </w:r>
      <w:r>
        <w:tab/>
        <w:t>Početna procjena učinka – Ares(2021) 5900310 (</w:t>
      </w:r>
      <w:hyperlink r:id="rId4" w:history="1">
        <w:r>
          <w:rPr>
            <w:rStyle w:val="Hyperlink"/>
          </w:rPr>
          <w:t>https://ec.europa.eu/info/law/better-regulation/have-your-say/initiatives/13031-Withholding-taxes-new-EU-system-to-avoid-double-taxation_hr</w:t>
        </w:r>
      </w:hyperlink>
      <w:r>
        <w:t>)</w:t>
      </w:r>
    </w:p>
  </w:footnote>
  <w:footnote w:id="24">
    <w:p w14:paraId="65067CB3" w14:textId="4BD31983" w:rsidR="00FC34D1" w:rsidRPr="0091758E" w:rsidRDefault="00FC34D1" w:rsidP="000F16D6">
      <w:pPr>
        <w:pStyle w:val="FootnoteText"/>
      </w:pPr>
      <w:r>
        <w:rPr>
          <w:rStyle w:val="FootnoteReference"/>
        </w:rPr>
        <w:footnoteRef/>
      </w:r>
      <w:r>
        <w:tab/>
        <w:t>Uredba (EU) br. 910/2014 Europskog parlamenta i Vijeća od 23. srpnja 2014. o elektroničkoj identifikaciji i uslugama povjerenja za elektroničke transakcije na unutarnjem tržištu i stavljanju izvan snage Direktive 1999/93/EZ (SL L 257, 28.8.2014., str. 73.–114.)</w:t>
      </w:r>
    </w:p>
  </w:footnote>
  <w:footnote w:id="25">
    <w:p w14:paraId="44EAB9EA" w14:textId="1271A563" w:rsidR="00FC34D1" w:rsidRPr="0091758E" w:rsidRDefault="00FC34D1" w:rsidP="000F16D6">
      <w:pPr>
        <w:pStyle w:val="FootnoteText"/>
      </w:pPr>
      <w:r>
        <w:rPr>
          <w:rStyle w:val="FootnoteReference"/>
        </w:rPr>
        <w:footnoteRef/>
      </w:r>
      <w:r>
        <w:tab/>
        <w:t xml:space="preserve">Uredba (EU) br. 575/2013 Europskog parlamenta i Vijeća od 26. lipnja 2013. o bonitetnim zahtjevima za kreditne institucije i o izmjeni Uredbe (EU) br. 648/2012 (SL L 176, 27.6.2013., str. 1.–337.) </w:t>
      </w:r>
    </w:p>
  </w:footnote>
  <w:footnote w:id="26">
    <w:p w14:paraId="7BEB2C82" w14:textId="239C3BA1" w:rsidR="00FC34D1" w:rsidRPr="0091758E" w:rsidRDefault="00FC34D1" w:rsidP="000F16D6">
      <w:pPr>
        <w:pStyle w:val="FootnoteText"/>
      </w:pPr>
      <w:r>
        <w:rPr>
          <w:rStyle w:val="FootnoteReference"/>
        </w:rPr>
        <w:footnoteRef/>
      </w:r>
      <w:r>
        <w:tab/>
        <w:t xml:space="preserve">Uredba (EU) br. 909/2014 Europskog parlamenta i Vijeća od 23. srpnja 2014. o poboljšanju namire vrijednosnih papira u Europskoj uniji i o središnjim depozitorijima vrijednosnih papira te izmjeni direktiva 98/26/EZ i 2014/65/EU te Uredbe (EU) br. 236/2012 (SL L 257, 28.8.2014., str. 1.–72.) </w:t>
      </w:r>
    </w:p>
  </w:footnote>
  <w:footnote w:id="27">
    <w:p w14:paraId="081763A7" w14:textId="77777777" w:rsidR="00977CF6" w:rsidRPr="00C33759" w:rsidRDefault="00977CF6" w:rsidP="00977CF6">
      <w:pPr>
        <w:pStyle w:val="FootnoteText"/>
      </w:pPr>
      <w:r>
        <w:rPr>
          <w:rStyle w:val="FootnoteReference"/>
        </w:rPr>
        <w:footnoteRef/>
      </w:r>
      <w:r>
        <w:tab/>
        <w:t>SL C , , str. .</w:t>
      </w:r>
    </w:p>
  </w:footnote>
  <w:footnote w:id="28">
    <w:p w14:paraId="0456AADB" w14:textId="77777777" w:rsidR="00977CF6" w:rsidRPr="00C33759" w:rsidRDefault="00977CF6" w:rsidP="00977CF6">
      <w:pPr>
        <w:pStyle w:val="FootnoteText"/>
      </w:pPr>
      <w:r>
        <w:rPr>
          <w:rStyle w:val="FootnoteReference"/>
        </w:rPr>
        <w:footnoteRef/>
      </w:r>
      <w:r>
        <w:tab/>
        <w:t>SL C , , str. .</w:t>
      </w:r>
    </w:p>
  </w:footnote>
  <w:footnote w:id="29">
    <w:p w14:paraId="0BE534FB" w14:textId="224A6104" w:rsidR="00505496" w:rsidRPr="0091758E" w:rsidRDefault="00505496" w:rsidP="00505496">
      <w:pPr>
        <w:pStyle w:val="FootnoteText"/>
      </w:pPr>
      <w:r>
        <w:rPr>
          <w:rStyle w:val="FootnoteReference"/>
        </w:rPr>
        <w:footnoteRef/>
      </w:r>
      <w:r>
        <w:tab/>
        <w:t>Preporuku Komisije od 19. listopada 2009. o postupcima za oslobađanje od poreza po odbitku (Tekst značajan za EGP) (SL L 279, 24.10.2009., str. 8.–11.).</w:t>
      </w:r>
    </w:p>
  </w:footnote>
  <w:footnote w:id="30">
    <w:p w14:paraId="732E351B" w14:textId="3E14FBA1" w:rsidR="00505496" w:rsidRPr="0091758E" w:rsidRDefault="00505496" w:rsidP="00505496">
      <w:pPr>
        <w:pStyle w:val="FootnoteText"/>
      </w:pPr>
      <w:r>
        <w:rPr>
          <w:rStyle w:val="FootnoteReference"/>
        </w:rPr>
        <w:footnoteRef/>
      </w:r>
      <w:r>
        <w:tab/>
        <w:t>Uredba (EU) br. 575/2013 Europskog parlamenta i Vijeća od 26. lipnja 2013. o bonitetnim zahtjevima za kreditne institucije i o izmjeni Uredbe (EU) br. 648/2012 (Tekst značajan za EGP) (SL L 176, 27.6.2013., str. 1.–337.)</w:t>
      </w:r>
    </w:p>
  </w:footnote>
  <w:footnote w:id="31">
    <w:p w14:paraId="4EB8484A" w14:textId="77777777" w:rsidR="00771E52" w:rsidRDefault="00771E52" w:rsidP="00771E52">
      <w:pPr>
        <w:pStyle w:val="footnotedescription"/>
        <w:spacing w:line="272" w:lineRule="auto"/>
        <w:ind w:right="13"/>
      </w:pPr>
      <w:r>
        <w:rPr>
          <w:rStyle w:val="FootnoteReference"/>
        </w:rPr>
        <w:footnoteRef/>
      </w:r>
      <w:r>
        <w:tab/>
        <w:t xml:space="preserve">Uredba (EU) br. 182/2011 Europskog parlamenta i Vijeća od 16. veljače 2011. o utvrđivanju pravila i općih načela u vezi s mehanizmima nadzora država članica nad izvršavanjem provedbenih ovlasti Komisije (SL L 55, 28.2.2011., str. 13.). </w:t>
      </w:r>
    </w:p>
  </w:footnote>
  <w:footnote w:id="32">
    <w:p w14:paraId="0EBA25EA" w14:textId="77777777" w:rsidR="00771E52" w:rsidRDefault="00771E52" w:rsidP="00771E52">
      <w:pPr>
        <w:pStyle w:val="footnotedescription"/>
        <w:spacing w:line="247" w:lineRule="auto"/>
        <w:ind w:right="12"/>
      </w:pPr>
      <w:r>
        <w:rPr>
          <w:rStyle w:val="FootnoteReference"/>
        </w:rPr>
        <w:footnoteRef/>
      </w:r>
      <w:r>
        <w:tab/>
        <w:t>Uredba (EU) 2016/679 Europskog parlamenta i Vijeća od 27. travnja 2016. o zaštiti pojedinaca u vezi s obradom osobnih podataka i o slobodnom kretanju takvih podataka te o stavljanju izvan snage Direktive 95/46/EZ (Opća uredba o zaštiti podataka) (SL L 119, 4.5.2016., str. 1.).</w:t>
      </w:r>
    </w:p>
  </w:footnote>
  <w:footnote w:id="33">
    <w:p w14:paraId="164D2C1F" w14:textId="77777777" w:rsidR="00552C80" w:rsidRDefault="00552C80" w:rsidP="00552C80">
      <w:pPr>
        <w:pStyle w:val="footnotedescription"/>
        <w:spacing w:line="247" w:lineRule="auto"/>
        <w:ind w:right="16"/>
      </w:pPr>
      <w:r>
        <w:rPr>
          <w:rStyle w:val="FootnoteReference"/>
        </w:rPr>
        <w:footnoteRef/>
      </w:r>
      <w:r>
        <w:tab/>
        <w:t xml:space="preserve">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(SL L 295, 21.11.2018., str. 39.). </w:t>
      </w:r>
    </w:p>
  </w:footnote>
  <w:footnote w:id="34">
    <w:p w14:paraId="29A257E3" w14:textId="77777777" w:rsidR="002B5330" w:rsidRPr="00600937" w:rsidRDefault="002B5330" w:rsidP="002B5330">
      <w:pPr>
        <w:pStyle w:val="FootnoteText"/>
        <w:ind w:left="0" w:firstLine="0"/>
      </w:pPr>
      <w:r>
        <w:rPr>
          <w:rStyle w:val="FootnoteReference"/>
        </w:rPr>
        <w:footnoteRef/>
      </w:r>
      <w:r>
        <w:tab/>
        <w:t>Direktiva 2014/65/EU Europskog parlamenta i Vijeća od 15. svibnja 2014. o tržištu financijskih instrumenata i izmjeni Direktive 2002/92/EZ i Direktive 2011/61/EU (preinačena) (SL L 173, 12.6.2014., str. 349.)</w:t>
      </w:r>
    </w:p>
  </w:footnote>
  <w:footnote w:id="35">
    <w:p w14:paraId="42E95264" w14:textId="0077F9C8" w:rsidR="00A70F42" w:rsidRPr="00A70F42" w:rsidRDefault="00A70F42">
      <w:pPr>
        <w:pStyle w:val="FootnoteText"/>
      </w:pPr>
      <w:r>
        <w:rPr>
          <w:rStyle w:val="FootnoteReference"/>
        </w:rPr>
        <w:footnoteRef/>
      </w:r>
      <w:r>
        <w:tab/>
        <w:t>Uredba (EU) br. 909/2014 Europskog parlamenta i Vijeća od 23. srpnja 2014. o poboljšanju namire vrijednosnih papira u Europskoj uniji i o središnjim depozitorijima vrijednosnih papira te izmjeni direktiva 98/26/EZ i 2014/65/EU te Uredbe (EU) br. 236/2012 (SL L 257, 28.8.2014., str. 1.–72.)</w:t>
      </w:r>
    </w:p>
  </w:footnote>
  <w:footnote w:id="36">
    <w:p w14:paraId="541262E6" w14:textId="53CD6D03" w:rsidR="002C02BA" w:rsidRPr="00B9581D" w:rsidRDefault="002C02BA" w:rsidP="002C02BA">
      <w:pPr>
        <w:pStyle w:val="FootnoteText"/>
      </w:pPr>
      <w:r>
        <w:rPr>
          <w:rStyle w:val="FootnoteReference"/>
        </w:rPr>
        <w:footnoteRef/>
      </w:r>
      <w:r>
        <w:tab/>
        <w:t>Uredba (EU) br. 575/2013 Europskog parlamenta i Vijeća od 26. lipnja 2013. o bonitetnim zahtjevima za kreditne institucije i o izmjeni Uredbe (EU) br. 648/2012 (Tekst značajan za EGP) (SL L 176, 27.6.2013., str. 1.–337.)</w:t>
      </w:r>
    </w:p>
  </w:footnote>
  <w:footnote w:id="37">
    <w:p w14:paraId="6068FDAD" w14:textId="77777777" w:rsidR="002B5330" w:rsidRDefault="002B5330" w:rsidP="00B9581D">
      <w:pPr>
        <w:pStyle w:val="FootnoteText"/>
      </w:pPr>
      <w:r>
        <w:rPr>
          <w:rStyle w:val="FootnoteReference"/>
        </w:rPr>
        <w:footnoteRef/>
      </w:r>
      <w:r>
        <w:tab/>
        <w:t>Direktiva (EU) 2017/1132 Europskog parlamenta i Vijeća od 14. lipnja 2017. o određenim aspektima prava društava (kodificirani tekst) (SL L 169, 30.6.2017., str. 46.–127.)</w:t>
      </w:r>
    </w:p>
  </w:footnote>
  <w:footnote w:id="38">
    <w:p w14:paraId="36D8B3CF" w14:textId="77777777" w:rsidR="00930848" w:rsidRPr="00B1654A" w:rsidRDefault="00930848" w:rsidP="00930848">
      <w:pPr>
        <w:pStyle w:val="FootnoteText"/>
        <w:ind w:left="0" w:firstLine="0"/>
      </w:pPr>
      <w:r>
        <w:rPr>
          <w:rStyle w:val="FootnoteReference"/>
        </w:rPr>
        <w:footnoteRef/>
      </w:r>
      <w:r>
        <w:tab/>
        <w:t>Provedbena uredba Komisije (EU) 2018/1212 оd 3. rujna 2018. o utvrđivanju minimalnih zahtjeva za provedbu odredbi Direktive 2007/36/EZ Europskog parlamenta i Vijeća u pogledu utvrđivanja identiteta dioničara, prijenosa informacija i olakšavanja izvršavanja prava dioničara (SL L 223, 4.9.2018., str. 1.).</w:t>
      </w:r>
    </w:p>
  </w:footnote>
  <w:footnote w:id="39">
    <w:p w14:paraId="151C2E0D" w14:textId="510D1C34" w:rsidR="009B5531" w:rsidRPr="00B9581D" w:rsidRDefault="009B5531" w:rsidP="009B5531">
      <w:pPr>
        <w:pStyle w:val="FootnoteText"/>
      </w:pPr>
      <w:r>
        <w:rPr>
          <w:rStyle w:val="FootnoteReference"/>
        </w:rPr>
        <w:footnoteRef/>
      </w:r>
      <w:r>
        <w:tab/>
        <w:t>Smjernica (EU) 2019/1265 Europske središnje banke od 10. srpnja 2019. o eurskoj kratkoročnoj kamatnoj stopi (€STR) (ESB/2019/19) (SL L 199, 26.7.2019., str. 8.–17.)</w:t>
      </w:r>
    </w:p>
  </w:footnote>
  <w:footnote w:id="40">
    <w:p w14:paraId="751F6530" w14:textId="4743C3BA" w:rsidR="00D25AFF" w:rsidRPr="00D25AFF" w:rsidRDefault="00D25AFF">
      <w:pPr>
        <w:pStyle w:val="FootnoteText"/>
      </w:pPr>
      <w:r>
        <w:rPr>
          <w:rStyle w:val="FootnoteReference"/>
        </w:rPr>
        <w:footnoteRef/>
      </w:r>
      <w:r>
        <w:tab/>
        <w:t>Vijeće Europske unije, Vijeće za ekonomske i financijske poslove, 14094/16, Bruxelles 8. studenoga 2016.</w:t>
      </w:r>
    </w:p>
  </w:footnote>
  <w:footnote w:id="41">
    <w:p w14:paraId="5079D2AE" w14:textId="26142EC4" w:rsidR="005B777E" w:rsidRPr="00B9581D" w:rsidRDefault="005B777E" w:rsidP="005B777E">
      <w:pPr>
        <w:pStyle w:val="FootnoteText"/>
      </w:pPr>
      <w:r>
        <w:rPr>
          <w:rStyle w:val="FootnoteReference"/>
        </w:rPr>
        <w:footnoteRef/>
      </w:r>
      <w:r>
        <w:tab/>
        <w:t>Delegirana uredba Komisije (EU) 2016/1675 оd 14. srpnja 2016. o dopuni Direktive (EU) 2015/849 Europskog parlamenta i Vijeća utvrđivanjem visokorizičnih trećih zemalja sa strateškim nedostacima (SL L 254, 20.9.2016., str. 1.–4.)</w:t>
      </w:r>
    </w:p>
  </w:footnote>
  <w:footnote w:id="42">
    <w:p w14:paraId="6C943AF2" w14:textId="39506A65" w:rsidR="006B3A6D" w:rsidRPr="00B9581D" w:rsidRDefault="006B3A6D" w:rsidP="006B3A6D">
      <w:pPr>
        <w:pStyle w:val="FootnoteText"/>
      </w:pPr>
      <w:r>
        <w:rPr>
          <w:rStyle w:val="FootnoteReference"/>
        </w:rPr>
        <w:footnoteRef/>
      </w:r>
      <w:r>
        <w:tab/>
        <w:t>Direktiva Vijeća 2014/107/EU od 9. prosinca 2014. o izmjeni Direktive 2011/16/EU u pogledu obvezne automatske razmjene informacija u području oporezivanja (SL L 359, 16.12.2014., str. 1.–29.)</w:t>
      </w:r>
    </w:p>
  </w:footnote>
  <w:footnote w:id="43">
    <w:p w14:paraId="0DA638AC" w14:textId="05D98ED2" w:rsidR="006B3A6D" w:rsidRPr="00B9581D" w:rsidRDefault="006B3A6D" w:rsidP="006B3A6D">
      <w:pPr>
        <w:pStyle w:val="FootnoteText"/>
      </w:pPr>
      <w:r>
        <w:rPr>
          <w:rStyle w:val="FootnoteReference"/>
        </w:rPr>
        <w:footnoteRef/>
      </w:r>
      <w:r>
        <w:tab/>
        <w:t>Direktiva (EU) 2018/843 Europskog parlamenta i Vijeća od 30. svibnja 2018. o izmjeni Direktive (EU) 2015/849 o sprečavanju korištenja financijskog sustava u svrhu pranja novca ili financiranja terorizma i o izmjeni direktiva 2009/138/EZ i 2013/36/EU (SL L 156, 19.6.2018., str. 43.–74.)</w:t>
      </w:r>
    </w:p>
  </w:footnote>
  <w:footnote w:id="44">
    <w:p w14:paraId="3CD8E18C" w14:textId="4D93E46F" w:rsidR="003874C1" w:rsidRPr="00B9581D" w:rsidRDefault="003874C1" w:rsidP="003874C1">
      <w:pPr>
        <w:pStyle w:val="FootnoteText"/>
      </w:pPr>
      <w:r>
        <w:rPr>
          <w:rStyle w:val="FootnoteReference"/>
        </w:rPr>
        <w:footnoteRef/>
      </w:r>
      <w:r>
        <w:tab/>
        <w:t>Direktiva (EU) 2015/849 Europskog parlamenta i Vijeća od 20. svibnja 2015. o sprečavanju korištenja financijskog sustava u svrhu pranja novca ili financiranja terorizma, o izmjeni Uredbe (EU) br. 648/2012 Europskog parlamenta i Vijeća te o stavljanju izvan snage Direktive 2005/60/EZ Europskog parlamenta i Vijeća i Direktive Komisije 2006/70/EZ (SL L 141, 5.6.2015., str. 73.–117.).</w:t>
      </w:r>
    </w:p>
  </w:footnote>
  <w:footnote w:id="45">
    <w:p w14:paraId="67518123" w14:textId="77777777" w:rsidR="00B63DF9" w:rsidRPr="00354AA4" w:rsidRDefault="00B63DF9" w:rsidP="00B63DF9">
      <w:pPr>
        <w:pStyle w:val="FootnoteText"/>
      </w:pPr>
      <w:r>
        <w:rPr>
          <w:rStyle w:val="FootnoteReference"/>
        </w:rPr>
        <w:footnoteRef/>
      </w:r>
      <w:r>
        <w:tab/>
      </w:r>
      <w:bookmarkStart w:id="8" w:name="_Hlk136436426"/>
      <w:r>
        <w:t>Uredba (EU) br. 182/2011 Europskog parlamenta i Vijeća od 16. veljače 2011. o utvrđivanju pravila i općih načela u vezi s mehanizmima nadzora država članica nad izvršavanjem provedbenih ovlasti Komisije (SL L 55, 28.2.2011., str. 13.–18.)</w:t>
      </w:r>
      <w:bookmarkEnd w:id="8"/>
    </w:p>
  </w:footnote>
  <w:footnote w:id="46">
    <w:p w14:paraId="3CD40E48" w14:textId="7615D97F" w:rsidR="0079028E" w:rsidRPr="00525833" w:rsidRDefault="0079028E" w:rsidP="0079028E">
      <w:pPr>
        <w:pStyle w:val="FootnoteText"/>
      </w:pPr>
      <w:r>
        <w:rPr>
          <w:rStyle w:val="FootnoteReference"/>
        </w:rPr>
        <w:footnoteRef/>
      </w:r>
      <w:r>
        <w:tab/>
        <w:t>Uredba (EU) 2016/679 Europskog parlamenta i Vijeća od 27. travnja 2016. o zaštiti pojedinaca u vezi s obradom osobnih podataka i o slobodnom kretanju takvih podataka te o stavljanju izvan snage Direktive 95/46/EZ (SL L 119, 4.5.2016., str. 1.).</w:t>
      </w:r>
    </w:p>
  </w:footnote>
  <w:footnote w:id="47">
    <w:p w14:paraId="2E34AF95" w14:textId="77777777" w:rsidR="006918A0" w:rsidRDefault="006918A0" w:rsidP="006918A0">
      <w:pPr>
        <w:pStyle w:val="FootnoteText"/>
        <w:rPr>
          <w:szCs w:val="24"/>
        </w:rPr>
      </w:pPr>
      <w:r>
        <w:rPr>
          <w:rStyle w:val="FootnoteReference"/>
        </w:rPr>
        <w:footnoteRef/>
      </w:r>
      <w:r>
        <w:tab/>
        <w:t>Dif. = diferencirana odobrena sredstva; nedif. = nediferencirana odobrena sredstva.</w:t>
      </w:r>
    </w:p>
  </w:footnote>
  <w:footnote w:id="48">
    <w:p w14:paraId="3640AF49" w14:textId="77777777" w:rsidR="006918A0" w:rsidRDefault="006918A0" w:rsidP="006918A0">
      <w:pPr>
        <w:pStyle w:val="FootnoteText"/>
        <w:rPr>
          <w:szCs w:val="24"/>
        </w:rPr>
      </w:pPr>
      <w:r>
        <w:rPr>
          <w:rStyle w:val="FootnoteReference"/>
        </w:rPr>
        <w:footnoteRef/>
      </w:r>
      <w:r>
        <w:tab/>
        <w:t xml:space="preserve">EFTA: Europsko udruženje slobodne trgovine. </w:t>
      </w:r>
    </w:p>
  </w:footnote>
  <w:footnote w:id="49">
    <w:p w14:paraId="6A915A49" w14:textId="77777777" w:rsidR="006918A0" w:rsidRDefault="006918A0" w:rsidP="006918A0">
      <w:pPr>
        <w:pStyle w:val="FootnoteText"/>
        <w:rPr>
          <w:szCs w:val="24"/>
        </w:rPr>
      </w:pPr>
      <w:r>
        <w:rPr>
          <w:rStyle w:val="FootnoteReference"/>
        </w:rPr>
        <w:footnoteRef/>
      </w:r>
      <w:r>
        <w:tab/>
        <w:t>Zemlje kandidatkinje i, ako je primjenjivo, potencijalni kandidati sa zapadnog Balkana.</w:t>
      </w:r>
    </w:p>
  </w:footnote>
  <w:footnote w:id="50">
    <w:p w14:paraId="65418965" w14:textId="77777777" w:rsidR="006918A0" w:rsidRDefault="006918A0" w:rsidP="006918A0">
      <w:pPr>
        <w:pStyle w:val="FootnoteText"/>
        <w:rPr>
          <w:sz w:val="18"/>
          <w:szCs w:val="18"/>
        </w:rPr>
      </w:pPr>
      <w:r>
        <w:rPr>
          <w:rStyle w:val="FootnoteReference"/>
        </w:rPr>
        <w:footnoteRef/>
      </w:r>
      <w:r>
        <w:tab/>
        <w:t>Prema službenoj proračunskoj nomenklaturi.</w:t>
      </w:r>
    </w:p>
  </w:footnote>
  <w:footnote w:id="51">
    <w:p w14:paraId="1E40D098" w14:textId="77777777" w:rsidR="006918A0" w:rsidRDefault="006918A0" w:rsidP="006918A0">
      <w:pPr>
        <w:pStyle w:val="FootnoteText"/>
        <w:rPr>
          <w:szCs w:val="24"/>
        </w:rPr>
      </w:pPr>
      <w:r>
        <w:rPr>
          <w:rStyle w:val="FootnoteReference"/>
        </w:rPr>
        <w:footnoteRef/>
      </w:r>
      <w:r>
        <w:tab/>
        <w:t>Tehnička i/ili administrativna pomoć i rashodi za potporu provedbi programa i/ili djelovanja EU-a (prijašnje linije „BA”), neizravno istraživanje, izravno istraživanje.</w:t>
      </w:r>
    </w:p>
  </w:footnote>
  <w:footnote w:id="52">
    <w:p w14:paraId="378F1616" w14:textId="77777777" w:rsidR="006918A0" w:rsidRDefault="006918A0" w:rsidP="006918A0">
      <w:pPr>
        <w:pStyle w:val="FootnoteText"/>
        <w:rPr>
          <w:szCs w:val="24"/>
        </w:rPr>
      </w:pPr>
      <w:r>
        <w:rPr>
          <w:rStyle w:val="FootnoteReference"/>
        </w:rPr>
        <w:footnoteRef/>
      </w:r>
      <w:r>
        <w:tab/>
        <w:t>Rezultati se odnose na proizvode i usluge koji se isporučuju (npr.: broj financiranih studentskih razmjena, kilometri izgrađenih prometnica itd.).</w:t>
      </w:r>
    </w:p>
  </w:footnote>
  <w:footnote w:id="53">
    <w:p w14:paraId="074F0CAF" w14:textId="77777777" w:rsidR="006918A0" w:rsidRDefault="006918A0" w:rsidP="006918A0">
      <w:pPr>
        <w:pStyle w:val="FootnoteText"/>
        <w:rPr>
          <w:szCs w:val="24"/>
        </w:rPr>
      </w:pPr>
      <w:r>
        <w:rPr>
          <w:rStyle w:val="FootnoteReference"/>
        </w:rPr>
        <w:footnoteRef/>
      </w:r>
      <w:r>
        <w:tab/>
        <w:t xml:space="preserve">Kako je opisan u točki 1.4.2. „Specifični ciljevi…”. </w:t>
      </w:r>
    </w:p>
  </w:footnote>
  <w:footnote w:id="54">
    <w:p w14:paraId="7EA63C02" w14:textId="77777777" w:rsidR="006918A0" w:rsidRDefault="006918A0" w:rsidP="006918A0">
      <w:pPr>
        <w:pStyle w:val="FootnoteText"/>
        <w:rPr>
          <w:szCs w:val="24"/>
        </w:rPr>
      </w:pPr>
      <w:r>
        <w:rPr>
          <w:rStyle w:val="FootnoteReference"/>
        </w:rPr>
        <w:footnoteRef/>
      </w:r>
      <w:r>
        <w:tab/>
        <w:t>Tehnička i/ili administrativna pomoć i rashodi za potporu provedbi programa i/ili djelovanja EU-a (prijašnje linije „BA”), neizravno istraživanje, izravno istraživanje.</w:t>
      </w:r>
    </w:p>
  </w:footnote>
  <w:footnote w:id="55">
    <w:p w14:paraId="4A591FE6" w14:textId="77777777" w:rsidR="006918A0" w:rsidRDefault="006918A0" w:rsidP="006918A0">
      <w:pPr>
        <w:pStyle w:val="FootnoteText"/>
        <w:rPr>
          <w:szCs w:val="24"/>
        </w:rPr>
      </w:pPr>
      <w:r>
        <w:rPr>
          <w:rStyle w:val="FootnoteReference"/>
        </w:rPr>
        <w:footnoteRef/>
      </w:r>
      <w:r>
        <w:tab/>
        <w:t xml:space="preserve">UO = ugovorno osoblje; LO = lokalno osoblje; UNS = upućeni nacionalni stručnjaci; UsO = ustupljeno osoblje; MSD = mladi stručnjaci u delegacijama. </w:t>
      </w:r>
    </w:p>
  </w:footnote>
  <w:footnote w:id="56">
    <w:p w14:paraId="5829881B" w14:textId="77777777" w:rsidR="006918A0" w:rsidRDefault="006918A0" w:rsidP="006918A0">
      <w:pPr>
        <w:pStyle w:val="FootnoteText"/>
        <w:rPr>
          <w:szCs w:val="24"/>
        </w:rPr>
      </w:pPr>
      <w:r>
        <w:rPr>
          <w:rStyle w:val="FootnoteReference"/>
        </w:rPr>
        <w:footnoteRef/>
      </w:r>
      <w:r>
        <w:tab/>
        <w:t>U okviru gornje granice za vanjsko osoblje iz odobrenih sredstava za poslovanje (prijašnje linije „BA”).</w:t>
      </w:r>
    </w:p>
  </w:footnote>
  <w:footnote w:id="57">
    <w:p w14:paraId="4C574D92" w14:textId="77777777" w:rsidR="006918A0" w:rsidRDefault="006918A0" w:rsidP="006918A0">
      <w:pPr>
        <w:pStyle w:val="FootnoteText"/>
      </w:pPr>
      <w:r>
        <w:rPr>
          <w:rStyle w:val="FootnoteReference"/>
        </w:rPr>
        <w:footnoteRef/>
      </w:r>
      <w:r>
        <w:tab/>
        <w:t>Godina N je godina početka provedbe prijedloga/inicijative. Umjesto „N” upisati predviđenu prvu godinu provedbe (na primjer: 2021.). Isto vrijedi i za ostale godine.</w:t>
      </w:r>
    </w:p>
  </w:footnote>
  <w:footnote w:id="58">
    <w:p w14:paraId="4C47CB1B" w14:textId="77777777" w:rsidR="006918A0" w:rsidRDefault="006918A0" w:rsidP="006918A0">
      <w:pPr>
        <w:pStyle w:val="FootnoteText"/>
        <w:rPr>
          <w:szCs w:val="24"/>
        </w:rPr>
      </w:pPr>
      <w:r>
        <w:rPr>
          <w:rStyle w:val="FootnoteReference"/>
        </w:rPr>
        <w:footnoteRef/>
      </w:r>
      <w:r>
        <w:tab/>
        <w:t>Kad je riječ o tradicionalnim vlastitim sredstvima (carine, pristojbe na šećer), navedeni iznosi moraju biti neto iznosi, to jest bruto iznosi nakon odbitka od 20 % na ime troškova naplate.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5988" w14:textId="77777777" w:rsidR="00BE4874" w:rsidRPr="00BE4874" w:rsidRDefault="00BE4874" w:rsidP="00BE487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1131" w14:textId="77777777" w:rsidR="00BE4874" w:rsidRPr="00BE4874" w:rsidRDefault="00BE4874" w:rsidP="00BE4874">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15E0" w14:textId="77777777" w:rsidR="003D2F87" w:rsidRPr="003D2F87" w:rsidRDefault="003D2F87" w:rsidP="00BE48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ED73" w14:textId="77777777" w:rsidR="00BE4874" w:rsidRPr="00BE4874" w:rsidRDefault="00BE4874" w:rsidP="00BE4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EBA176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1679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D6A26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D8181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3"/>
  </w:num>
  <w:num w:numId="3">
    <w:abstractNumId w:val="2"/>
  </w:num>
  <w:num w:numId="4">
    <w:abstractNumId w:val="1"/>
  </w:num>
  <w:num w:numId="5">
    <w:abstractNumId w:val="0"/>
  </w:num>
  <w:num w:numId="6">
    <w:abstractNumId w:val="9"/>
    <w:lvlOverride w:ilvl="0">
      <w:startOverride w:val="1"/>
    </w:lvlOverride>
  </w:num>
  <w:num w:numId="7">
    <w:abstractNumId w:val="13"/>
  </w:num>
  <w:num w:numId="8">
    <w:abstractNumId w:val="14"/>
  </w:num>
  <w:num w:numId="9">
    <w:abstractNumId w:val="18"/>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num>
  <w:num w:numId="22">
    <w:abstractNumId w:val="18"/>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9"/>
  </w:num>
  <w:num w:numId="40">
    <w:abstractNumId w:val="20"/>
  </w:num>
  <w:num w:numId="41">
    <w:abstractNumId w:val="7"/>
  </w:num>
  <w:num w:numId="42">
    <w:abstractNumId w:val="10"/>
  </w:num>
  <w:num w:numId="43">
    <w:abstractNumId w:val="11"/>
  </w:num>
  <w:num w:numId="44">
    <w:abstractNumId w:val="5"/>
  </w:num>
  <w:num w:numId="45">
    <w:abstractNumId w:val="19"/>
  </w:num>
  <w:num w:numId="46">
    <w:abstractNumId w:val="4"/>
  </w:num>
  <w:num w:numId="47">
    <w:abstractNumId w:val="12"/>
  </w:num>
  <w:num w:numId="48">
    <w:abstractNumId w:val="16"/>
  </w:num>
  <w:num w:numId="49">
    <w:abstractNumId w:val="17"/>
  </w:num>
  <w:num w:numId="50">
    <w:abstractNumId w:val="6"/>
  </w:num>
  <w:num w:numId="51">
    <w:abstractNumId w:val="1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07-24 17:00:0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FC8F64E-FEBB-4295-82A1-2B8C1D1E6173"/>
    <w:docVar w:name="LW_COVERPAGE_TYPE" w:val="1"/>
    <w:docVar w:name="LW_CROSSREFERENCE" w:val="{SEC(2023) 243 final} - {SWD(2023) 215 final} - {SWD(2023) 216 final} - {SWD(2023) 217 final}"/>
    <w:docVar w:name="LW_DocType" w:val="COM"/>
    <w:docVar w:name="LW_EMISSION" w:val="19.6.2023."/>
    <w:docVar w:name="LW_EMISSION_ISODATE" w:val="2023-06-19"/>
    <w:docVar w:name="LW_EMISSION_LOCATION" w:val="BRX"/>
    <w:docVar w:name="LW_EMISSION_PREFIX" w:val="Bruxelles, "/>
    <w:docVar w:name="LW_EMISSION_SUFFIX" w:val="&lt;EMPTY&gt;"/>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NS"/>
    <w:docVar w:name="LW_REF.II.NEW.CP_NUMBER" w:val="0187"/>
    <w:docVar w:name="LW_REF.II.NEW.CP_YEAR" w:val="2023"/>
    <w:docVar w:name="LW_REF.INST.NEW" w:val="COM"/>
    <w:docVar w:name="LW_REF.INST.NEW_ADOPTED" w:val="final"/>
    <w:docVar w:name="LW_REF.INST.NEW_TEXT" w:val="(2023) 32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bržem i sigurnijem oslobođenju za preplaćeni porez po odbitku"/>
    <w:docVar w:name="LW_TYPE.DOC.CP" w:val="DIREKTIVE VIJEĆA"/>
    <w:docVar w:name="LwApiVersions" w:val="LW4CoDe 1.23.2.0; LW 8.0, Build 20211117"/>
  </w:docVars>
  <w:rsids>
    <w:rsidRoot w:val="00977CF6"/>
    <w:rsid w:val="00000172"/>
    <w:rsid w:val="0000174F"/>
    <w:rsid w:val="000017D1"/>
    <w:rsid w:val="0000233B"/>
    <w:rsid w:val="0000236E"/>
    <w:rsid w:val="000023B2"/>
    <w:rsid w:val="000023D5"/>
    <w:rsid w:val="000027CD"/>
    <w:rsid w:val="000027CE"/>
    <w:rsid w:val="00003FD1"/>
    <w:rsid w:val="0000575D"/>
    <w:rsid w:val="00005779"/>
    <w:rsid w:val="00005BAE"/>
    <w:rsid w:val="00006B66"/>
    <w:rsid w:val="000072B7"/>
    <w:rsid w:val="00007C40"/>
    <w:rsid w:val="00007F35"/>
    <w:rsid w:val="000103A8"/>
    <w:rsid w:val="000103C5"/>
    <w:rsid w:val="00010692"/>
    <w:rsid w:val="0001171C"/>
    <w:rsid w:val="0001223C"/>
    <w:rsid w:val="0001286A"/>
    <w:rsid w:val="000128F3"/>
    <w:rsid w:val="000129DF"/>
    <w:rsid w:val="00012E11"/>
    <w:rsid w:val="000131CD"/>
    <w:rsid w:val="0001412F"/>
    <w:rsid w:val="00014317"/>
    <w:rsid w:val="000143CC"/>
    <w:rsid w:val="00014525"/>
    <w:rsid w:val="0001576F"/>
    <w:rsid w:val="00015911"/>
    <w:rsid w:val="00015B25"/>
    <w:rsid w:val="00016001"/>
    <w:rsid w:val="000173F6"/>
    <w:rsid w:val="0002054C"/>
    <w:rsid w:val="00020C6F"/>
    <w:rsid w:val="000210C4"/>
    <w:rsid w:val="0002114E"/>
    <w:rsid w:val="000218D4"/>
    <w:rsid w:val="0002193B"/>
    <w:rsid w:val="00021F38"/>
    <w:rsid w:val="00022846"/>
    <w:rsid w:val="00023BB4"/>
    <w:rsid w:val="00024093"/>
    <w:rsid w:val="00024742"/>
    <w:rsid w:val="00024B0A"/>
    <w:rsid w:val="00024DAF"/>
    <w:rsid w:val="0002534E"/>
    <w:rsid w:val="000255BD"/>
    <w:rsid w:val="00026AAA"/>
    <w:rsid w:val="00026BB8"/>
    <w:rsid w:val="00027133"/>
    <w:rsid w:val="0002734E"/>
    <w:rsid w:val="0002743E"/>
    <w:rsid w:val="000305AA"/>
    <w:rsid w:val="000310D7"/>
    <w:rsid w:val="000314B8"/>
    <w:rsid w:val="000318D9"/>
    <w:rsid w:val="00031C74"/>
    <w:rsid w:val="00032A44"/>
    <w:rsid w:val="00033488"/>
    <w:rsid w:val="00034243"/>
    <w:rsid w:val="000361B5"/>
    <w:rsid w:val="00036764"/>
    <w:rsid w:val="0003745E"/>
    <w:rsid w:val="000379AC"/>
    <w:rsid w:val="0003DFE0"/>
    <w:rsid w:val="000411F5"/>
    <w:rsid w:val="000415CB"/>
    <w:rsid w:val="00041772"/>
    <w:rsid w:val="00041FF1"/>
    <w:rsid w:val="0004240A"/>
    <w:rsid w:val="000430BD"/>
    <w:rsid w:val="0004365E"/>
    <w:rsid w:val="0004376F"/>
    <w:rsid w:val="0004389E"/>
    <w:rsid w:val="000447CC"/>
    <w:rsid w:val="00047014"/>
    <w:rsid w:val="000470E7"/>
    <w:rsid w:val="00047467"/>
    <w:rsid w:val="00047A1C"/>
    <w:rsid w:val="00047EEF"/>
    <w:rsid w:val="000513BD"/>
    <w:rsid w:val="00051ADF"/>
    <w:rsid w:val="00051BC3"/>
    <w:rsid w:val="00052297"/>
    <w:rsid w:val="000523FA"/>
    <w:rsid w:val="000534DB"/>
    <w:rsid w:val="00053D3C"/>
    <w:rsid w:val="00053FC2"/>
    <w:rsid w:val="000544F9"/>
    <w:rsid w:val="00054535"/>
    <w:rsid w:val="00054BEB"/>
    <w:rsid w:val="00055480"/>
    <w:rsid w:val="000556D6"/>
    <w:rsid w:val="0005578E"/>
    <w:rsid w:val="00056C0A"/>
    <w:rsid w:val="0005768A"/>
    <w:rsid w:val="00057710"/>
    <w:rsid w:val="00060248"/>
    <w:rsid w:val="00060712"/>
    <w:rsid w:val="00060B87"/>
    <w:rsid w:val="00060D57"/>
    <w:rsid w:val="00061B4D"/>
    <w:rsid w:val="00062E6A"/>
    <w:rsid w:val="00064CB0"/>
    <w:rsid w:val="000652D6"/>
    <w:rsid w:val="000658A9"/>
    <w:rsid w:val="000659D6"/>
    <w:rsid w:val="00066B7D"/>
    <w:rsid w:val="0006757E"/>
    <w:rsid w:val="00067DF6"/>
    <w:rsid w:val="0007068B"/>
    <w:rsid w:val="00070DEA"/>
    <w:rsid w:val="00070E9A"/>
    <w:rsid w:val="000713DB"/>
    <w:rsid w:val="00071474"/>
    <w:rsid w:val="00072982"/>
    <w:rsid w:val="0007390D"/>
    <w:rsid w:val="000744D4"/>
    <w:rsid w:val="00074786"/>
    <w:rsid w:val="00074854"/>
    <w:rsid w:val="000754F6"/>
    <w:rsid w:val="00075882"/>
    <w:rsid w:val="00076F2B"/>
    <w:rsid w:val="00077614"/>
    <w:rsid w:val="000778BF"/>
    <w:rsid w:val="00077C19"/>
    <w:rsid w:val="0008017F"/>
    <w:rsid w:val="0008192C"/>
    <w:rsid w:val="00081F59"/>
    <w:rsid w:val="00083453"/>
    <w:rsid w:val="00083AC7"/>
    <w:rsid w:val="000840BC"/>
    <w:rsid w:val="000841A8"/>
    <w:rsid w:val="00084A25"/>
    <w:rsid w:val="00084E92"/>
    <w:rsid w:val="00085533"/>
    <w:rsid w:val="00086448"/>
    <w:rsid w:val="00086A70"/>
    <w:rsid w:val="00087424"/>
    <w:rsid w:val="00087A84"/>
    <w:rsid w:val="00090384"/>
    <w:rsid w:val="000905C0"/>
    <w:rsid w:val="00090634"/>
    <w:rsid w:val="00091220"/>
    <w:rsid w:val="0009126A"/>
    <w:rsid w:val="0009149E"/>
    <w:rsid w:val="0009193B"/>
    <w:rsid w:val="00092550"/>
    <w:rsid w:val="000930A8"/>
    <w:rsid w:val="000933CA"/>
    <w:rsid w:val="00093425"/>
    <w:rsid w:val="00093CA2"/>
    <w:rsid w:val="00093EFC"/>
    <w:rsid w:val="00094223"/>
    <w:rsid w:val="00095B62"/>
    <w:rsid w:val="000962B2"/>
    <w:rsid w:val="00096508"/>
    <w:rsid w:val="00097113"/>
    <w:rsid w:val="0009796F"/>
    <w:rsid w:val="00097ADD"/>
    <w:rsid w:val="00097B4C"/>
    <w:rsid w:val="000A0493"/>
    <w:rsid w:val="000A065B"/>
    <w:rsid w:val="000A07B7"/>
    <w:rsid w:val="000A07EE"/>
    <w:rsid w:val="000A195E"/>
    <w:rsid w:val="000A24B4"/>
    <w:rsid w:val="000A293C"/>
    <w:rsid w:val="000A2FE9"/>
    <w:rsid w:val="000A492C"/>
    <w:rsid w:val="000A5012"/>
    <w:rsid w:val="000A5224"/>
    <w:rsid w:val="000A591C"/>
    <w:rsid w:val="000A6660"/>
    <w:rsid w:val="000A6813"/>
    <w:rsid w:val="000A701D"/>
    <w:rsid w:val="000A7394"/>
    <w:rsid w:val="000A7CB6"/>
    <w:rsid w:val="000A7E2C"/>
    <w:rsid w:val="000B120C"/>
    <w:rsid w:val="000B214D"/>
    <w:rsid w:val="000B2427"/>
    <w:rsid w:val="000B25F2"/>
    <w:rsid w:val="000B2883"/>
    <w:rsid w:val="000B34A4"/>
    <w:rsid w:val="000B41D5"/>
    <w:rsid w:val="000B44EC"/>
    <w:rsid w:val="000B4905"/>
    <w:rsid w:val="000B4C83"/>
    <w:rsid w:val="000B4D27"/>
    <w:rsid w:val="000B68F0"/>
    <w:rsid w:val="000B6C04"/>
    <w:rsid w:val="000B6C9B"/>
    <w:rsid w:val="000B6DA5"/>
    <w:rsid w:val="000B6FA6"/>
    <w:rsid w:val="000C0442"/>
    <w:rsid w:val="000C048B"/>
    <w:rsid w:val="000C056D"/>
    <w:rsid w:val="000C19EF"/>
    <w:rsid w:val="000C1ACD"/>
    <w:rsid w:val="000C1E2B"/>
    <w:rsid w:val="000C2067"/>
    <w:rsid w:val="000C2150"/>
    <w:rsid w:val="000C240F"/>
    <w:rsid w:val="000C25C8"/>
    <w:rsid w:val="000C38F1"/>
    <w:rsid w:val="000C3916"/>
    <w:rsid w:val="000C3D0E"/>
    <w:rsid w:val="000C3F42"/>
    <w:rsid w:val="000C4033"/>
    <w:rsid w:val="000C5292"/>
    <w:rsid w:val="000C5822"/>
    <w:rsid w:val="000C5A98"/>
    <w:rsid w:val="000C5F3F"/>
    <w:rsid w:val="000C60C6"/>
    <w:rsid w:val="000C62EF"/>
    <w:rsid w:val="000C6323"/>
    <w:rsid w:val="000C69ED"/>
    <w:rsid w:val="000C73EB"/>
    <w:rsid w:val="000C742A"/>
    <w:rsid w:val="000C74BC"/>
    <w:rsid w:val="000C76E3"/>
    <w:rsid w:val="000C7A98"/>
    <w:rsid w:val="000D0478"/>
    <w:rsid w:val="000D0BC4"/>
    <w:rsid w:val="000D0E29"/>
    <w:rsid w:val="000D10A5"/>
    <w:rsid w:val="000D1985"/>
    <w:rsid w:val="000D1F37"/>
    <w:rsid w:val="000D2E9B"/>
    <w:rsid w:val="000D32C5"/>
    <w:rsid w:val="000D3853"/>
    <w:rsid w:val="000D3C01"/>
    <w:rsid w:val="000D401C"/>
    <w:rsid w:val="000D5C47"/>
    <w:rsid w:val="000D5F37"/>
    <w:rsid w:val="000D712C"/>
    <w:rsid w:val="000E06ED"/>
    <w:rsid w:val="000E18E4"/>
    <w:rsid w:val="000E1BA4"/>
    <w:rsid w:val="000E1E17"/>
    <w:rsid w:val="000E31E4"/>
    <w:rsid w:val="000E3464"/>
    <w:rsid w:val="000E3507"/>
    <w:rsid w:val="000E3581"/>
    <w:rsid w:val="000E36BC"/>
    <w:rsid w:val="000E3755"/>
    <w:rsid w:val="000E37A2"/>
    <w:rsid w:val="000E462D"/>
    <w:rsid w:val="000E5554"/>
    <w:rsid w:val="000E5D6F"/>
    <w:rsid w:val="000E64B0"/>
    <w:rsid w:val="000E6600"/>
    <w:rsid w:val="000E70BA"/>
    <w:rsid w:val="000E7687"/>
    <w:rsid w:val="000E768E"/>
    <w:rsid w:val="000E773A"/>
    <w:rsid w:val="000E7CF4"/>
    <w:rsid w:val="000E7E78"/>
    <w:rsid w:val="000F0EC7"/>
    <w:rsid w:val="000F16D6"/>
    <w:rsid w:val="000F2925"/>
    <w:rsid w:val="000F3FBC"/>
    <w:rsid w:val="000F413A"/>
    <w:rsid w:val="000F47C1"/>
    <w:rsid w:val="000F5098"/>
    <w:rsid w:val="000F5661"/>
    <w:rsid w:val="000F5D50"/>
    <w:rsid w:val="000F5F23"/>
    <w:rsid w:val="000F68A3"/>
    <w:rsid w:val="000F6F12"/>
    <w:rsid w:val="000F739C"/>
    <w:rsid w:val="00101092"/>
    <w:rsid w:val="001015F4"/>
    <w:rsid w:val="00101B07"/>
    <w:rsid w:val="00102925"/>
    <w:rsid w:val="00102DA2"/>
    <w:rsid w:val="0010322F"/>
    <w:rsid w:val="00104D2E"/>
    <w:rsid w:val="001053BC"/>
    <w:rsid w:val="0010544D"/>
    <w:rsid w:val="00105D11"/>
    <w:rsid w:val="00105E8D"/>
    <w:rsid w:val="001060BC"/>
    <w:rsid w:val="001061E5"/>
    <w:rsid w:val="001062C0"/>
    <w:rsid w:val="001064D6"/>
    <w:rsid w:val="001065F5"/>
    <w:rsid w:val="001066F3"/>
    <w:rsid w:val="0010685F"/>
    <w:rsid w:val="00106BE4"/>
    <w:rsid w:val="001074D9"/>
    <w:rsid w:val="00107760"/>
    <w:rsid w:val="00110746"/>
    <w:rsid w:val="00111983"/>
    <w:rsid w:val="001120FB"/>
    <w:rsid w:val="0011222C"/>
    <w:rsid w:val="00113097"/>
    <w:rsid w:val="001133DA"/>
    <w:rsid w:val="00114212"/>
    <w:rsid w:val="00114DAA"/>
    <w:rsid w:val="00115ED7"/>
    <w:rsid w:val="00116B4B"/>
    <w:rsid w:val="00116C13"/>
    <w:rsid w:val="00117324"/>
    <w:rsid w:val="00117443"/>
    <w:rsid w:val="001177E9"/>
    <w:rsid w:val="001206EA"/>
    <w:rsid w:val="00120EB0"/>
    <w:rsid w:val="00121933"/>
    <w:rsid w:val="001219E1"/>
    <w:rsid w:val="001220FF"/>
    <w:rsid w:val="001224ED"/>
    <w:rsid w:val="0012262D"/>
    <w:rsid w:val="00122A37"/>
    <w:rsid w:val="00122AED"/>
    <w:rsid w:val="00122C48"/>
    <w:rsid w:val="00123486"/>
    <w:rsid w:val="001235C9"/>
    <w:rsid w:val="001236DC"/>
    <w:rsid w:val="00123719"/>
    <w:rsid w:val="0012386A"/>
    <w:rsid w:val="001238EF"/>
    <w:rsid w:val="00123E91"/>
    <w:rsid w:val="001240F3"/>
    <w:rsid w:val="001245CA"/>
    <w:rsid w:val="0012478B"/>
    <w:rsid w:val="00124EC8"/>
    <w:rsid w:val="00125AB2"/>
    <w:rsid w:val="00126675"/>
    <w:rsid w:val="001276B0"/>
    <w:rsid w:val="001278CF"/>
    <w:rsid w:val="00127AC0"/>
    <w:rsid w:val="00130EE2"/>
    <w:rsid w:val="00130F6F"/>
    <w:rsid w:val="00131665"/>
    <w:rsid w:val="0013170A"/>
    <w:rsid w:val="00131D58"/>
    <w:rsid w:val="0013201C"/>
    <w:rsid w:val="001328A1"/>
    <w:rsid w:val="001329CB"/>
    <w:rsid w:val="00132CDB"/>
    <w:rsid w:val="00133061"/>
    <w:rsid w:val="00133092"/>
    <w:rsid w:val="001331DE"/>
    <w:rsid w:val="00133FAB"/>
    <w:rsid w:val="0013469B"/>
    <w:rsid w:val="00134F09"/>
    <w:rsid w:val="0013507F"/>
    <w:rsid w:val="00135453"/>
    <w:rsid w:val="00135903"/>
    <w:rsid w:val="00135B02"/>
    <w:rsid w:val="00135B34"/>
    <w:rsid w:val="00136378"/>
    <w:rsid w:val="0013691E"/>
    <w:rsid w:val="00136CC4"/>
    <w:rsid w:val="00137FFB"/>
    <w:rsid w:val="0014078A"/>
    <w:rsid w:val="00140AA4"/>
    <w:rsid w:val="00141A2B"/>
    <w:rsid w:val="00141CFD"/>
    <w:rsid w:val="00142DAC"/>
    <w:rsid w:val="00143595"/>
    <w:rsid w:val="0014365F"/>
    <w:rsid w:val="001439D5"/>
    <w:rsid w:val="001439E8"/>
    <w:rsid w:val="00143E8A"/>
    <w:rsid w:val="001441A2"/>
    <w:rsid w:val="001458E9"/>
    <w:rsid w:val="00146471"/>
    <w:rsid w:val="00146A52"/>
    <w:rsid w:val="00146CC8"/>
    <w:rsid w:val="0015024A"/>
    <w:rsid w:val="0015039C"/>
    <w:rsid w:val="00150DD6"/>
    <w:rsid w:val="00151B55"/>
    <w:rsid w:val="00151FD1"/>
    <w:rsid w:val="00152C3F"/>
    <w:rsid w:val="00152DB4"/>
    <w:rsid w:val="0015314F"/>
    <w:rsid w:val="00154BE4"/>
    <w:rsid w:val="00156680"/>
    <w:rsid w:val="001571C3"/>
    <w:rsid w:val="00160401"/>
    <w:rsid w:val="001621B7"/>
    <w:rsid w:val="001626E0"/>
    <w:rsid w:val="00162C47"/>
    <w:rsid w:val="00162D9C"/>
    <w:rsid w:val="0016343E"/>
    <w:rsid w:val="00163AC6"/>
    <w:rsid w:val="00163DAD"/>
    <w:rsid w:val="00164C69"/>
    <w:rsid w:val="00165C4E"/>
    <w:rsid w:val="00166F1C"/>
    <w:rsid w:val="001677F4"/>
    <w:rsid w:val="001700A8"/>
    <w:rsid w:val="0017107C"/>
    <w:rsid w:val="001712A4"/>
    <w:rsid w:val="001714E3"/>
    <w:rsid w:val="00171B79"/>
    <w:rsid w:val="00171EB9"/>
    <w:rsid w:val="00172709"/>
    <w:rsid w:val="00172914"/>
    <w:rsid w:val="00172D6C"/>
    <w:rsid w:val="00172FE6"/>
    <w:rsid w:val="0017358A"/>
    <w:rsid w:val="00173769"/>
    <w:rsid w:val="00173A86"/>
    <w:rsid w:val="00174158"/>
    <w:rsid w:val="00174B5D"/>
    <w:rsid w:val="00175868"/>
    <w:rsid w:val="00175ABB"/>
    <w:rsid w:val="00177E59"/>
    <w:rsid w:val="0018073D"/>
    <w:rsid w:val="00181128"/>
    <w:rsid w:val="00181459"/>
    <w:rsid w:val="00181D77"/>
    <w:rsid w:val="00182A43"/>
    <w:rsid w:val="001831DD"/>
    <w:rsid w:val="001837F9"/>
    <w:rsid w:val="0018386B"/>
    <w:rsid w:val="001839BB"/>
    <w:rsid w:val="00183B50"/>
    <w:rsid w:val="00184609"/>
    <w:rsid w:val="001848DC"/>
    <w:rsid w:val="0018547B"/>
    <w:rsid w:val="00185844"/>
    <w:rsid w:val="001858F3"/>
    <w:rsid w:val="00185AAF"/>
    <w:rsid w:val="00185CCB"/>
    <w:rsid w:val="00185F49"/>
    <w:rsid w:val="00186730"/>
    <w:rsid w:val="00190A68"/>
    <w:rsid w:val="00190CBD"/>
    <w:rsid w:val="0019224C"/>
    <w:rsid w:val="0019306C"/>
    <w:rsid w:val="001933EE"/>
    <w:rsid w:val="00193684"/>
    <w:rsid w:val="001947FB"/>
    <w:rsid w:val="00194ABD"/>
    <w:rsid w:val="00194AE4"/>
    <w:rsid w:val="001951F2"/>
    <w:rsid w:val="001956AF"/>
    <w:rsid w:val="00195ED6"/>
    <w:rsid w:val="001960CE"/>
    <w:rsid w:val="00196A4E"/>
    <w:rsid w:val="00197047"/>
    <w:rsid w:val="00197613"/>
    <w:rsid w:val="001976FE"/>
    <w:rsid w:val="00197706"/>
    <w:rsid w:val="00197B06"/>
    <w:rsid w:val="001A08DE"/>
    <w:rsid w:val="001A10C5"/>
    <w:rsid w:val="001A1A1B"/>
    <w:rsid w:val="001A2F54"/>
    <w:rsid w:val="001A3354"/>
    <w:rsid w:val="001A386F"/>
    <w:rsid w:val="001A611A"/>
    <w:rsid w:val="001A638E"/>
    <w:rsid w:val="001A6C8C"/>
    <w:rsid w:val="001A7089"/>
    <w:rsid w:val="001B0588"/>
    <w:rsid w:val="001B0E05"/>
    <w:rsid w:val="001B161F"/>
    <w:rsid w:val="001B19D7"/>
    <w:rsid w:val="001B1D1C"/>
    <w:rsid w:val="001B3F8F"/>
    <w:rsid w:val="001B471C"/>
    <w:rsid w:val="001B59BA"/>
    <w:rsid w:val="001B5A28"/>
    <w:rsid w:val="001B5BEC"/>
    <w:rsid w:val="001B5D04"/>
    <w:rsid w:val="001B6128"/>
    <w:rsid w:val="001B7906"/>
    <w:rsid w:val="001B8DBF"/>
    <w:rsid w:val="001C0835"/>
    <w:rsid w:val="001C169F"/>
    <w:rsid w:val="001C37CD"/>
    <w:rsid w:val="001C3A92"/>
    <w:rsid w:val="001C3CB4"/>
    <w:rsid w:val="001C448F"/>
    <w:rsid w:val="001C475E"/>
    <w:rsid w:val="001C49DF"/>
    <w:rsid w:val="001C55BF"/>
    <w:rsid w:val="001C5DA1"/>
    <w:rsid w:val="001C60B9"/>
    <w:rsid w:val="001C656C"/>
    <w:rsid w:val="001C69FE"/>
    <w:rsid w:val="001C7FE6"/>
    <w:rsid w:val="001D1273"/>
    <w:rsid w:val="001D2087"/>
    <w:rsid w:val="001D2FB1"/>
    <w:rsid w:val="001D3463"/>
    <w:rsid w:val="001D37E7"/>
    <w:rsid w:val="001D384A"/>
    <w:rsid w:val="001D4651"/>
    <w:rsid w:val="001D5903"/>
    <w:rsid w:val="001D5D82"/>
    <w:rsid w:val="001D636C"/>
    <w:rsid w:val="001D6384"/>
    <w:rsid w:val="001D6C1B"/>
    <w:rsid w:val="001D729D"/>
    <w:rsid w:val="001D79A1"/>
    <w:rsid w:val="001E16D3"/>
    <w:rsid w:val="001E1A33"/>
    <w:rsid w:val="001E1FD0"/>
    <w:rsid w:val="001E259C"/>
    <w:rsid w:val="001E275B"/>
    <w:rsid w:val="001E2BBB"/>
    <w:rsid w:val="001E2F50"/>
    <w:rsid w:val="001E39F7"/>
    <w:rsid w:val="001E517C"/>
    <w:rsid w:val="001E7180"/>
    <w:rsid w:val="001E7868"/>
    <w:rsid w:val="001E7B02"/>
    <w:rsid w:val="001F073F"/>
    <w:rsid w:val="001F0DF7"/>
    <w:rsid w:val="001F10AA"/>
    <w:rsid w:val="001F13C5"/>
    <w:rsid w:val="001F1635"/>
    <w:rsid w:val="001F17D2"/>
    <w:rsid w:val="001F2242"/>
    <w:rsid w:val="001F24D0"/>
    <w:rsid w:val="001F3337"/>
    <w:rsid w:val="001F3578"/>
    <w:rsid w:val="001F36D2"/>
    <w:rsid w:val="001F3C79"/>
    <w:rsid w:val="001F42DD"/>
    <w:rsid w:val="001F464E"/>
    <w:rsid w:val="001F5117"/>
    <w:rsid w:val="001F5D74"/>
    <w:rsid w:val="001F67C3"/>
    <w:rsid w:val="001F69BA"/>
    <w:rsid w:val="001F792F"/>
    <w:rsid w:val="001F7B59"/>
    <w:rsid w:val="00200432"/>
    <w:rsid w:val="00200854"/>
    <w:rsid w:val="00201974"/>
    <w:rsid w:val="00202066"/>
    <w:rsid w:val="00202D2D"/>
    <w:rsid w:val="002033BA"/>
    <w:rsid w:val="002033C6"/>
    <w:rsid w:val="00203409"/>
    <w:rsid w:val="002039A5"/>
    <w:rsid w:val="00203D22"/>
    <w:rsid w:val="0020489F"/>
    <w:rsid w:val="0020579F"/>
    <w:rsid w:val="00205EF2"/>
    <w:rsid w:val="0020661B"/>
    <w:rsid w:val="00206A73"/>
    <w:rsid w:val="00206ADF"/>
    <w:rsid w:val="00206B8B"/>
    <w:rsid w:val="00206CBE"/>
    <w:rsid w:val="00206CEA"/>
    <w:rsid w:val="002077D4"/>
    <w:rsid w:val="002111D2"/>
    <w:rsid w:val="002124E2"/>
    <w:rsid w:val="00213246"/>
    <w:rsid w:val="0021552A"/>
    <w:rsid w:val="00215873"/>
    <w:rsid w:val="00215A44"/>
    <w:rsid w:val="00216CAC"/>
    <w:rsid w:val="00216E3B"/>
    <w:rsid w:val="00217962"/>
    <w:rsid w:val="0021799D"/>
    <w:rsid w:val="0022027B"/>
    <w:rsid w:val="0022254A"/>
    <w:rsid w:val="00222D8E"/>
    <w:rsid w:val="00222E0D"/>
    <w:rsid w:val="00223739"/>
    <w:rsid w:val="00224C29"/>
    <w:rsid w:val="00225763"/>
    <w:rsid w:val="0022623E"/>
    <w:rsid w:val="00226277"/>
    <w:rsid w:val="00226C14"/>
    <w:rsid w:val="00227B9F"/>
    <w:rsid w:val="00230543"/>
    <w:rsid w:val="00230FAE"/>
    <w:rsid w:val="002322C6"/>
    <w:rsid w:val="00232469"/>
    <w:rsid w:val="002333C8"/>
    <w:rsid w:val="0023364B"/>
    <w:rsid w:val="00233DC7"/>
    <w:rsid w:val="00234D7A"/>
    <w:rsid w:val="00234F2A"/>
    <w:rsid w:val="00235DB2"/>
    <w:rsid w:val="00235F41"/>
    <w:rsid w:val="00236224"/>
    <w:rsid w:val="002371D1"/>
    <w:rsid w:val="002373A4"/>
    <w:rsid w:val="0024042B"/>
    <w:rsid w:val="00241A01"/>
    <w:rsid w:val="00242001"/>
    <w:rsid w:val="00242895"/>
    <w:rsid w:val="00242DF7"/>
    <w:rsid w:val="002439EF"/>
    <w:rsid w:val="0024461F"/>
    <w:rsid w:val="0024467E"/>
    <w:rsid w:val="00247779"/>
    <w:rsid w:val="00247951"/>
    <w:rsid w:val="00247DD1"/>
    <w:rsid w:val="00250A66"/>
    <w:rsid w:val="002510A4"/>
    <w:rsid w:val="00251560"/>
    <w:rsid w:val="0025181C"/>
    <w:rsid w:val="00251873"/>
    <w:rsid w:val="00251B54"/>
    <w:rsid w:val="00251F1E"/>
    <w:rsid w:val="00252006"/>
    <w:rsid w:val="002523B7"/>
    <w:rsid w:val="00253310"/>
    <w:rsid w:val="0025443C"/>
    <w:rsid w:val="0025558B"/>
    <w:rsid w:val="00256783"/>
    <w:rsid w:val="00256BD8"/>
    <w:rsid w:val="002606C0"/>
    <w:rsid w:val="00263B08"/>
    <w:rsid w:val="00263B4A"/>
    <w:rsid w:val="00264FBD"/>
    <w:rsid w:val="002655E4"/>
    <w:rsid w:val="0026580F"/>
    <w:rsid w:val="00266695"/>
    <w:rsid w:val="00266C43"/>
    <w:rsid w:val="00266C6B"/>
    <w:rsid w:val="002671BE"/>
    <w:rsid w:val="0026752A"/>
    <w:rsid w:val="00267A33"/>
    <w:rsid w:val="00267E60"/>
    <w:rsid w:val="00270594"/>
    <w:rsid w:val="002712B9"/>
    <w:rsid w:val="00271600"/>
    <w:rsid w:val="00271C5B"/>
    <w:rsid w:val="00271DF7"/>
    <w:rsid w:val="00271E9E"/>
    <w:rsid w:val="0027227D"/>
    <w:rsid w:val="00272763"/>
    <w:rsid w:val="00272C23"/>
    <w:rsid w:val="0027365B"/>
    <w:rsid w:val="0027383B"/>
    <w:rsid w:val="002738EE"/>
    <w:rsid w:val="00274321"/>
    <w:rsid w:val="0027452D"/>
    <w:rsid w:val="002746D8"/>
    <w:rsid w:val="00275591"/>
    <w:rsid w:val="002759D2"/>
    <w:rsid w:val="00275FD0"/>
    <w:rsid w:val="00276640"/>
    <w:rsid w:val="00280026"/>
    <w:rsid w:val="00280C83"/>
    <w:rsid w:val="00280D62"/>
    <w:rsid w:val="00280FDE"/>
    <w:rsid w:val="002813FA"/>
    <w:rsid w:val="002817B1"/>
    <w:rsid w:val="002821CF"/>
    <w:rsid w:val="002822F2"/>
    <w:rsid w:val="00282365"/>
    <w:rsid w:val="00282923"/>
    <w:rsid w:val="00282C9D"/>
    <w:rsid w:val="0028315B"/>
    <w:rsid w:val="00283452"/>
    <w:rsid w:val="00283523"/>
    <w:rsid w:val="00284019"/>
    <w:rsid w:val="0028438F"/>
    <w:rsid w:val="002847BE"/>
    <w:rsid w:val="00285BEE"/>
    <w:rsid w:val="002863AE"/>
    <w:rsid w:val="0028652B"/>
    <w:rsid w:val="00286A83"/>
    <w:rsid w:val="00286F1F"/>
    <w:rsid w:val="00287904"/>
    <w:rsid w:val="00287AEA"/>
    <w:rsid w:val="00287B3F"/>
    <w:rsid w:val="00288710"/>
    <w:rsid w:val="00290553"/>
    <w:rsid w:val="002909AB"/>
    <w:rsid w:val="00290D1C"/>
    <w:rsid w:val="00290E8F"/>
    <w:rsid w:val="00291F8D"/>
    <w:rsid w:val="00292683"/>
    <w:rsid w:val="00292952"/>
    <w:rsid w:val="002941C6"/>
    <w:rsid w:val="002946B5"/>
    <w:rsid w:val="0029533F"/>
    <w:rsid w:val="002955A0"/>
    <w:rsid w:val="00295657"/>
    <w:rsid w:val="00295797"/>
    <w:rsid w:val="00295F4E"/>
    <w:rsid w:val="0029661B"/>
    <w:rsid w:val="00296E7C"/>
    <w:rsid w:val="00296F77"/>
    <w:rsid w:val="00297E62"/>
    <w:rsid w:val="002A0CAE"/>
    <w:rsid w:val="002A15E3"/>
    <w:rsid w:val="002A1852"/>
    <w:rsid w:val="002A1BF4"/>
    <w:rsid w:val="002A216C"/>
    <w:rsid w:val="002A21E9"/>
    <w:rsid w:val="002A23C5"/>
    <w:rsid w:val="002A2DCA"/>
    <w:rsid w:val="002A381F"/>
    <w:rsid w:val="002A3CB5"/>
    <w:rsid w:val="002A3FB0"/>
    <w:rsid w:val="002A422D"/>
    <w:rsid w:val="002A50CD"/>
    <w:rsid w:val="002A6A08"/>
    <w:rsid w:val="002A758F"/>
    <w:rsid w:val="002B0A09"/>
    <w:rsid w:val="002B0A71"/>
    <w:rsid w:val="002B1027"/>
    <w:rsid w:val="002B1E99"/>
    <w:rsid w:val="002B29B1"/>
    <w:rsid w:val="002B30AF"/>
    <w:rsid w:val="002B4A43"/>
    <w:rsid w:val="002B4DE0"/>
    <w:rsid w:val="002B5196"/>
    <w:rsid w:val="002B5330"/>
    <w:rsid w:val="002B555D"/>
    <w:rsid w:val="002B69EE"/>
    <w:rsid w:val="002B75A3"/>
    <w:rsid w:val="002B7FFD"/>
    <w:rsid w:val="002C01E4"/>
    <w:rsid w:val="002C02BA"/>
    <w:rsid w:val="002C0520"/>
    <w:rsid w:val="002C180C"/>
    <w:rsid w:val="002C1FEB"/>
    <w:rsid w:val="002C2440"/>
    <w:rsid w:val="002C4E11"/>
    <w:rsid w:val="002C5710"/>
    <w:rsid w:val="002C5799"/>
    <w:rsid w:val="002C59D8"/>
    <w:rsid w:val="002C5F1D"/>
    <w:rsid w:val="002C6046"/>
    <w:rsid w:val="002C62A8"/>
    <w:rsid w:val="002C64F7"/>
    <w:rsid w:val="002C7C32"/>
    <w:rsid w:val="002D03B3"/>
    <w:rsid w:val="002D1456"/>
    <w:rsid w:val="002D2A5C"/>
    <w:rsid w:val="002D30C7"/>
    <w:rsid w:val="002D38EE"/>
    <w:rsid w:val="002D3B70"/>
    <w:rsid w:val="002D3F16"/>
    <w:rsid w:val="002D3FC0"/>
    <w:rsid w:val="002D4137"/>
    <w:rsid w:val="002D4750"/>
    <w:rsid w:val="002D48F2"/>
    <w:rsid w:val="002D5424"/>
    <w:rsid w:val="002D552C"/>
    <w:rsid w:val="002D5C16"/>
    <w:rsid w:val="002D65D2"/>
    <w:rsid w:val="002D6D8F"/>
    <w:rsid w:val="002D6DF4"/>
    <w:rsid w:val="002D785B"/>
    <w:rsid w:val="002D7C83"/>
    <w:rsid w:val="002E0FBD"/>
    <w:rsid w:val="002E1D0C"/>
    <w:rsid w:val="002E1F20"/>
    <w:rsid w:val="002E2C87"/>
    <w:rsid w:val="002E3132"/>
    <w:rsid w:val="002E3599"/>
    <w:rsid w:val="002E45F0"/>
    <w:rsid w:val="002E5771"/>
    <w:rsid w:val="002E59FA"/>
    <w:rsid w:val="002E65A3"/>
    <w:rsid w:val="002E66CF"/>
    <w:rsid w:val="002E6D2A"/>
    <w:rsid w:val="002E6DD3"/>
    <w:rsid w:val="002E6E9C"/>
    <w:rsid w:val="002E6EE2"/>
    <w:rsid w:val="002E72F5"/>
    <w:rsid w:val="002F051A"/>
    <w:rsid w:val="002F1167"/>
    <w:rsid w:val="002F354F"/>
    <w:rsid w:val="002F357A"/>
    <w:rsid w:val="002F4419"/>
    <w:rsid w:val="002F4512"/>
    <w:rsid w:val="002F4C67"/>
    <w:rsid w:val="002F4CFF"/>
    <w:rsid w:val="002F655D"/>
    <w:rsid w:val="002F6999"/>
    <w:rsid w:val="002F6E07"/>
    <w:rsid w:val="002F6F12"/>
    <w:rsid w:val="002F71FD"/>
    <w:rsid w:val="002F7B50"/>
    <w:rsid w:val="002F7D2C"/>
    <w:rsid w:val="00300772"/>
    <w:rsid w:val="0030141C"/>
    <w:rsid w:val="0030159C"/>
    <w:rsid w:val="00301E1E"/>
    <w:rsid w:val="00301E9B"/>
    <w:rsid w:val="00302108"/>
    <w:rsid w:val="0030269F"/>
    <w:rsid w:val="003027CC"/>
    <w:rsid w:val="00303C8F"/>
    <w:rsid w:val="00304EBA"/>
    <w:rsid w:val="0030528E"/>
    <w:rsid w:val="003067DB"/>
    <w:rsid w:val="0030687B"/>
    <w:rsid w:val="003100D8"/>
    <w:rsid w:val="00310129"/>
    <w:rsid w:val="003106BB"/>
    <w:rsid w:val="00310810"/>
    <w:rsid w:val="00310BB6"/>
    <w:rsid w:val="00310D30"/>
    <w:rsid w:val="003111B4"/>
    <w:rsid w:val="0031220E"/>
    <w:rsid w:val="00312601"/>
    <w:rsid w:val="00312E88"/>
    <w:rsid w:val="00313918"/>
    <w:rsid w:val="0031464B"/>
    <w:rsid w:val="0031503A"/>
    <w:rsid w:val="0031587C"/>
    <w:rsid w:val="0031599B"/>
    <w:rsid w:val="00315B63"/>
    <w:rsid w:val="003160AD"/>
    <w:rsid w:val="003168D5"/>
    <w:rsid w:val="00316A99"/>
    <w:rsid w:val="0031723A"/>
    <w:rsid w:val="003176D9"/>
    <w:rsid w:val="003179D2"/>
    <w:rsid w:val="00320255"/>
    <w:rsid w:val="00320346"/>
    <w:rsid w:val="003206F3"/>
    <w:rsid w:val="003208EC"/>
    <w:rsid w:val="003208F5"/>
    <w:rsid w:val="003226CD"/>
    <w:rsid w:val="003227C2"/>
    <w:rsid w:val="0032335F"/>
    <w:rsid w:val="00324343"/>
    <w:rsid w:val="00324347"/>
    <w:rsid w:val="00324455"/>
    <w:rsid w:val="00324C30"/>
    <w:rsid w:val="00324E89"/>
    <w:rsid w:val="00325C2B"/>
    <w:rsid w:val="00325EAF"/>
    <w:rsid w:val="00326308"/>
    <w:rsid w:val="00326812"/>
    <w:rsid w:val="00326954"/>
    <w:rsid w:val="00327053"/>
    <w:rsid w:val="00327A04"/>
    <w:rsid w:val="00330FFC"/>
    <w:rsid w:val="0033100D"/>
    <w:rsid w:val="00331287"/>
    <w:rsid w:val="00332137"/>
    <w:rsid w:val="003328A5"/>
    <w:rsid w:val="00332FE6"/>
    <w:rsid w:val="0033344A"/>
    <w:rsid w:val="0033452E"/>
    <w:rsid w:val="00334944"/>
    <w:rsid w:val="00334A00"/>
    <w:rsid w:val="00334A46"/>
    <w:rsid w:val="00334ABA"/>
    <w:rsid w:val="003351CB"/>
    <w:rsid w:val="00335544"/>
    <w:rsid w:val="003368E5"/>
    <w:rsid w:val="00340191"/>
    <w:rsid w:val="003402FE"/>
    <w:rsid w:val="00340BE3"/>
    <w:rsid w:val="003410DD"/>
    <w:rsid w:val="0034196C"/>
    <w:rsid w:val="003423FD"/>
    <w:rsid w:val="0034347E"/>
    <w:rsid w:val="00345587"/>
    <w:rsid w:val="00345A13"/>
    <w:rsid w:val="003466B2"/>
    <w:rsid w:val="00346909"/>
    <w:rsid w:val="00347DCE"/>
    <w:rsid w:val="00347F71"/>
    <w:rsid w:val="00350D94"/>
    <w:rsid w:val="00350FA6"/>
    <w:rsid w:val="0035140B"/>
    <w:rsid w:val="003514DD"/>
    <w:rsid w:val="00352713"/>
    <w:rsid w:val="00353771"/>
    <w:rsid w:val="003539B3"/>
    <w:rsid w:val="003544DE"/>
    <w:rsid w:val="00354521"/>
    <w:rsid w:val="00354AA4"/>
    <w:rsid w:val="00354DA8"/>
    <w:rsid w:val="003553E2"/>
    <w:rsid w:val="003562D7"/>
    <w:rsid w:val="00356E64"/>
    <w:rsid w:val="00356ED6"/>
    <w:rsid w:val="003578B4"/>
    <w:rsid w:val="00357D7D"/>
    <w:rsid w:val="00360C50"/>
    <w:rsid w:val="003610C3"/>
    <w:rsid w:val="003615E0"/>
    <w:rsid w:val="00362109"/>
    <w:rsid w:val="0036228E"/>
    <w:rsid w:val="0036268C"/>
    <w:rsid w:val="00363273"/>
    <w:rsid w:val="0036351A"/>
    <w:rsid w:val="0036366B"/>
    <w:rsid w:val="00363700"/>
    <w:rsid w:val="00363F28"/>
    <w:rsid w:val="00364DC7"/>
    <w:rsid w:val="00365791"/>
    <w:rsid w:val="00365D25"/>
    <w:rsid w:val="00366563"/>
    <w:rsid w:val="00366B47"/>
    <w:rsid w:val="003676DF"/>
    <w:rsid w:val="00370613"/>
    <w:rsid w:val="00370876"/>
    <w:rsid w:val="00371AA6"/>
    <w:rsid w:val="00371CB4"/>
    <w:rsid w:val="0037415E"/>
    <w:rsid w:val="00374903"/>
    <w:rsid w:val="00374E81"/>
    <w:rsid w:val="003750D4"/>
    <w:rsid w:val="00375A8F"/>
    <w:rsid w:val="00376470"/>
    <w:rsid w:val="00376EBF"/>
    <w:rsid w:val="0037712F"/>
    <w:rsid w:val="00377A7D"/>
    <w:rsid w:val="003803FC"/>
    <w:rsid w:val="00380580"/>
    <w:rsid w:val="00381885"/>
    <w:rsid w:val="00382AB3"/>
    <w:rsid w:val="00382CDC"/>
    <w:rsid w:val="00384675"/>
    <w:rsid w:val="00384767"/>
    <w:rsid w:val="00384E88"/>
    <w:rsid w:val="00385168"/>
    <w:rsid w:val="003855E0"/>
    <w:rsid w:val="00385701"/>
    <w:rsid w:val="003857B2"/>
    <w:rsid w:val="00386587"/>
    <w:rsid w:val="00386C14"/>
    <w:rsid w:val="0038705D"/>
    <w:rsid w:val="003874C1"/>
    <w:rsid w:val="00387E5F"/>
    <w:rsid w:val="003902D1"/>
    <w:rsid w:val="00390339"/>
    <w:rsid w:val="0039051A"/>
    <w:rsid w:val="0039334C"/>
    <w:rsid w:val="003935BD"/>
    <w:rsid w:val="00393E46"/>
    <w:rsid w:val="00394436"/>
    <w:rsid w:val="00394850"/>
    <w:rsid w:val="00394C2B"/>
    <w:rsid w:val="003952FC"/>
    <w:rsid w:val="00395A7C"/>
    <w:rsid w:val="003962D4"/>
    <w:rsid w:val="00396535"/>
    <w:rsid w:val="003966D4"/>
    <w:rsid w:val="00396C3E"/>
    <w:rsid w:val="00396F88"/>
    <w:rsid w:val="00397676"/>
    <w:rsid w:val="003A31A6"/>
    <w:rsid w:val="003A32E5"/>
    <w:rsid w:val="003A36F8"/>
    <w:rsid w:val="003A3AB2"/>
    <w:rsid w:val="003A4595"/>
    <w:rsid w:val="003A4944"/>
    <w:rsid w:val="003A4DC3"/>
    <w:rsid w:val="003A54A5"/>
    <w:rsid w:val="003A5526"/>
    <w:rsid w:val="003A5B69"/>
    <w:rsid w:val="003A6D3F"/>
    <w:rsid w:val="003B04E3"/>
    <w:rsid w:val="003B0E33"/>
    <w:rsid w:val="003B10F5"/>
    <w:rsid w:val="003B1351"/>
    <w:rsid w:val="003B1B22"/>
    <w:rsid w:val="003B1D6E"/>
    <w:rsid w:val="003B1F1E"/>
    <w:rsid w:val="003B27E4"/>
    <w:rsid w:val="003B2EB5"/>
    <w:rsid w:val="003B3D64"/>
    <w:rsid w:val="003B3EED"/>
    <w:rsid w:val="003B4475"/>
    <w:rsid w:val="003B4553"/>
    <w:rsid w:val="003B46C2"/>
    <w:rsid w:val="003B662D"/>
    <w:rsid w:val="003B6957"/>
    <w:rsid w:val="003B6D5B"/>
    <w:rsid w:val="003B7585"/>
    <w:rsid w:val="003B7A50"/>
    <w:rsid w:val="003B8374"/>
    <w:rsid w:val="003C02A1"/>
    <w:rsid w:val="003C0376"/>
    <w:rsid w:val="003C104E"/>
    <w:rsid w:val="003C2274"/>
    <w:rsid w:val="003C2813"/>
    <w:rsid w:val="003C3B08"/>
    <w:rsid w:val="003C452D"/>
    <w:rsid w:val="003C59E5"/>
    <w:rsid w:val="003C67E6"/>
    <w:rsid w:val="003D0052"/>
    <w:rsid w:val="003D071B"/>
    <w:rsid w:val="003D09FB"/>
    <w:rsid w:val="003D0A14"/>
    <w:rsid w:val="003D11DE"/>
    <w:rsid w:val="003D264D"/>
    <w:rsid w:val="003D2EF0"/>
    <w:rsid w:val="003D2F87"/>
    <w:rsid w:val="003D361B"/>
    <w:rsid w:val="003D3868"/>
    <w:rsid w:val="003D3DF2"/>
    <w:rsid w:val="003D3FEF"/>
    <w:rsid w:val="003D4F20"/>
    <w:rsid w:val="003D5866"/>
    <w:rsid w:val="003D5C21"/>
    <w:rsid w:val="003D5C54"/>
    <w:rsid w:val="003D5FB2"/>
    <w:rsid w:val="003D6C21"/>
    <w:rsid w:val="003D6F47"/>
    <w:rsid w:val="003D7B97"/>
    <w:rsid w:val="003E05FD"/>
    <w:rsid w:val="003E204F"/>
    <w:rsid w:val="003E245D"/>
    <w:rsid w:val="003E286A"/>
    <w:rsid w:val="003E2A9A"/>
    <w:rsid w:val="003E34C2"/>
    <w:rsid w:val="003E3935"/>
    <w:rsid w:val="003E4194"/>
    <w:rsid w:val="003E4798"/>
    <w:rsid w:val="003E482A"/>
    <w:rsid w:val="003E5E60"/>
    <w:rsid w:val="003E6058"/>
    <w:rsid w:val="003E6F6D"/>
    <w:rsid w:val="003E7F0F"/>
    <w:rsid w:val="003F0FD8"/>
    <w:rsid w:val="003F15F0"/>
    <w:rsid w:val="003F167B"/>
    <w:rsid w:val="003F1E8E"/>
    <w:rsid w:val="003F23F9"/>
    <w:rsid w:val="003F27CF"/>
    <w:rsid w:val="003F2CA4"/>
    <w:rsid w:val="003F3DD5"/>
    <w:rsid w:val="003F4B12"/>
    <w:rsid w:val="003F5F62"/>
    <w:rsid w:val="003F6B92"/>
    <w:rsid w:val="00400AAF"/>
    <w:rsid w:val="00401755"/>
    <w:rsid w:val="00401AA7"/>
    <w:rsid w:val="00404190"/>
    <w:rsid w:val="00405244"/>
    <w:rsid w:val="00405676"/>
    <w:rsid w:val="004065CF"/>
    <w:rsid w:val="004068EE"/>
    <w:rsid w:val="00407AC1"/>
    <w:rsid w:val="00410136"/>
    <w:rsid w:val="004116F2"/>
    <w:rsid w:val="004118CE"/>
    <w:rsid w:val="0041198A"/>
    <w:rsid w:val="00411D74"/>
    <w:rsid w:val="00411EC1"/>
    <w:rsid w:val="004131CF"/>
    <w:rsid w:val="0041332F"/>
    <w:rsid w:val="00413472"/>
    <w:rsid w:val="00414057"/>
    <w:rsid w:val="00414641"/>
    <w:rsid w:val="00415830"/>
    <w:rsid w:val="00415894"/>
    <w:rsid w:val="00415B09"/>
    <w:rsid w:val="00415B8B"/>
    <w:rsid w:val="004160D4"/>
    <w:rsid w:val="00416A7F"/>
    <w:rsid w:val="00416BF7"/>
    <w:rsid w:val="00416C90"/>
    <w:rsid w:val="00417CB2"/>
    <w:rsid w:val="004202B9"/>
    <w:rsid w:val="004202F1"/>
    <w:rsid w:val="004204BE"/>
    <w:rsid w:val="0042128A"/>
    <w:rsid w:val="004220A8"/>
    <w:rsid w:val="00422280"/>
    <w:rsid w:val="00422A43"/>
    <w:rsid w:val="00422B98"/>
    <w:rsid w:val="00422DD1"/>
    <w:rsid w:val="00422E2A"/>
    <w:rsid w:val="00423EE4"/>
    <w:rsid w:val="0042470B"/>
    <w:rsid w:val="004248C3"/>
    <w:rsid w:val="00425E31"/>
    <w:rsid w:val="0042648E"/>
    <w:rsid w:val="004270C4"/>
    <w:rsid w:val="00427B04"/>
    <w:rsid w:val="00430133"/>
    <w:rsid w:val="00430145"/>
    <w:rsid w:val="00430518"/>
    <w:rsid w:val="00430768"/>
    <w:rsid w:val="00431599"/>
    <w:rsid w:val="00431777"/>
    <w:rsid w:val="00433682"/>
    <w:rsid w:val="004345FB"/>
    <w:rsid w:val="00434BC9"/>
    <w:rsid w:val="00435CFF"/>
    <w:rsid w:val="00435F6A"/>
    <w:rsid w:val="004360A9"/>
    <w:rsid w:val="004362CF"/>
    <w:rsid w:val="00436FCC"/>
    <w:rsid w:val="00440AEA"/>
    <w:rsid w:val="0044117D"/>
    <w:rsid w:val="00441575"/>
    <w:rsid w:val="0044176C"/>
    <w:rsid w:val="00442954"/>
    <w:rsid w:val="00442A61"/>
    <w:rsid w:val="00443640"/>
    <w:rsid w:val="004437A9"/>
    <w:rsid w:val="004437DE"/>
    <w:rsid w:val="00445039"/>
    <w:rsid w:val="004458A0"/>
    <w:rsid w:val="00446618"/>
    <w:rsid w:val="00446C04"/>
    <w:rsid w:val="00446C36"/>
    <w:rsid w:val="00446EE4"/>
    <w:rsid w:val="0044774D"/>
    <w:rsid w:val="00447E8C"/>
    <w:rsid w:val="00447EED"/>
    <w:rsid w:val="00447FBE"/>
    <w:rsid w:val="0045005B"/>
    <w:rsid w:val="00451F86"/>
    <w:rsid w:val="00452301"/>
    <w:rsid w:val="004527B3"/>
    <w:rsid w:val="0045313D"/>
    <w:rsid w:val="00454359"/>
    <w:rsid w:val="0045490D"/>
    <w:rsid w:val="00454E8C"/>
    <w:rsid w:val="00454FF9"/>
    <w:rsid w:val="00455F52"/>
    <w:rsid w:val="00456FCB"/>
    <w:rsid w:val="004573F8"/>
    <w:rsid w:val="00457566"/>
    <w:rsid w:val="004576B7"/>
    <w:rsid w:val="004578B2"/>
    <w:rsid w:val="004601C1"/>
    <w:rsid w:val="00460CA9"/>
    <w:rsid w:val="00461407"/>
    <w:rsid w:val="00461464"/>
    <w:rsid w:val="00461D40"/>
    <w:rsid w:val="004622B1"/>
    <w:rsid w:val="0046266D"/>
    <w:rsid w:val="00463346"/>
    <w:rsid w:val="00463799"/>
    <w:rsid w:val="00463B96"/>
    <w:rsid w:val="00464069"/>
    <w:rsid w:val="00464823"/>
    <w:rsid w:val="00464C8E"/>
    <w:rsid w:val="00466A5D"/>
    <w:rsid w:val="00466CEE"/>
    <w:rsid w:val="004678FD"/>
    <w:rsid w:val="004714DF"/>
    <w:rsid w:val="00471986"/>
    <w:rsid w:val="00471D4E"/>
    <w:rsid w:val="0047231C"/>
    <w:rsid w:val="004725FB"/>
    <w:rsid w:val="00472617"/>
    <w:rsid w:val="004732E0"/>
    <w:rsid w:val="00474334"/>
    <w:rsid w:val="00474593"/>
    <w:rsid w:val="004756C2"/>
    <w:rsid w:val="004762B9"/>
    <w:rsid w:val="004770F2"/>
    <w:rsid w:val="00477265"/>
    <w:rsid w:val="00477269"/>
    <w:rsid w:val="004775E0"/>
    <w:rsid w:val="004777CE"/>
    <w:rsid w:val="00477DFB"/>
    <w:rsid w:val="0047F384"/>
    <w:rsid w:val="00480B3F"/>
    <w:rsid w:val="00480DEA"/>
    <w:rsid w:val="00481C1A"/>
    <w:rsid w:val="00481DAE"/>
    <w:rsid w:val="00482D5A"/>
    <w:rsid w:val="0048446A"/>
    <w:rsid w:val="00484901"/>
    <w:rsid w:val="00484ED8"/>
    <w:rsid w:val="00485387"/>
    <w:rsid w:val="00485509"/>
    <w:rsid w:val="00485BAF"/>
    <w:rsid w:val="00485C3E"/>
    <w:rsid w:val="00485EC0"/>
    <w:rsid w:val="00486526"/>
    <w:rsid w:val="00486E77"/>
    <w:rsid w:val="00487350"/>
    <w:rsid w:val="004878C2"/>
    <w:rsid w:val="00491647"/>
    <w:rsid w:val="004916C2"/>
    <w:rsid w:val="00491F84"/>
    <w:rsid w:val="00492904"/>
    <w:rsid w:val="004936D2"/>
    <w:rsid w:val="00493734"/>
    <w:rsid w:val="00493B32"/>
    <w:rsid w:val="00493EB9"/>
    <w:rsid w:val="00493FEE"/>
    <w:rsid w:val="00494042"/>
    <w:rsid w:val="00495220"/>
    <w:rsid w:val="00495896"/>
    <w:rsid w:val="00495EFD"/>
    <w:rsid w:val="0049602C"/>
    <w:rsid w:val="004966FD"/>
    <w:rsid w:val="004969CF"/>
    <w:rsid w:val="00496D4B"/>
    <w:rsid w:val="00497364"/>
    <w:rsid w:val="00497A63"/>
    <w:rsid w:val="00497BEA"/>
    <w:rsid w:val="004A02A2"/>
    <w:rsid w:val="004A03E5"/>
    <w:rsid w:val="004A0A00"/>
    <w:rsid w:val="004A0A78"/>
    <w:rsid w:val="004A1B60"/>
    <w:rsid w:val="004A219E"/>
    <w:rsid w:val="004A31F2"/>
    <w:rsid w:val="004A3C48"/>
    <w:rsid w:val="004A3F7D"/>
    <w:rsid w:val="004A49CD"/>
    <w:rsid w:val="004A4AF2"/>
    <w:rsid w:val="004A697D"/>
    <w:rsid w:val="004A7AAE"/>
    <w:rsid w:val="004A7D9F"/>
    <w:rsid w:val="004B1DE3"/>
    <w:rsid w:val="004B1E5B"/>
    <w:rsid w:val="004B2A2A"/>
    <w:rsid w:val="004B2CF4"/>
    <w:rsid w:val="004B5602"/>
    <w:rsid w:val="004B5980"/>
    <w:rsid w:val="004B5AD6"/>
    <w:rsid w:val="004B63F6"/>
    <w:rsid w:val="004B6594"/>
    <w:rsid w:val="004B7725"/>
    <w:rsid w:val="004B773E"/>
    <w:rsid w:val="004C05BA"/>
    <w:rsid w:val="004C0745"/>
    <w:rsid w:val="004C0884"/>
    <w:rsid w:val="004C0C35"/>
    <w:rsid w:val="004C1352"/>
    <w:rsid w:val="004C3697"/>
    <w:rsid w:val="004C3E71"/>
    <w:rsid w:val="004C4B2A"/>
    <w:rsid w:val="004C5153"/>
    <w:rsid w:val="004C5763"/>
    <w:rsid w:val="004C5B58"/>
    <w:rsid w:val="004C5F31"/>
    <w:rsid w:val="004C66FA"/>
    <w:rsid w:val="004C6A58"/>
    <w:rsid w:val="004C7FDC"/>
    <w:rsid w:val="004D0229"/>
    <w:rsid w:val="004D0402"/>
    <w:rsid w:val="004D07BD"/>
    <w:rsid w:val="004D07F3"/>
    <w:rsid w:val="004D12F8"/>
    <w:rsid w:val="004D141F"/>
    <w:rsid w:val="004D1785"/>
    <w:rsid w:val="004D1EF4"/>
    <w:rsid w:val="004D33E4"/>
    <w:rsid w:val="004D3F94"/>
    <w:rsid w:val="004D5050"/>
    <w:rsid w:val="004D510A"/>
    <w:rsid w:val="004D5178"/>
    <w:rsid w:val="004D55CA"/>
    <w:rsid w:val="004D593E"/>
    <w:rsid w:val="004D5CAA"/>
    <w:rsid w:val="004D634E"/>
    <w:rsid w:val="004D6511"/>
    <w:rsid w:val="004D6AB1"/>
    <w:rsid w:val="004D7764"/>
    <w:rsid w:val="004D77A6"/>
    <w:rsid w:val="004D77CC"/>
    <w:rsid w:val="004D7A2D"/>
    <w:rsid w:val="004D7B88"/>
    <w:rsid w:val="004E00D6"/>
    <w:rsid w:val="004E05DF"/>
    <w:rsid w:val="004E2F2F"/>
    <w:rsid w:val="004E2FBD"/>
    <w:rsid w:val="004E3E2A"/>
    <w:rsid w:val="004E4934"/>
    <w:rsid w:val="004E4B32"/>
    <w:rsid w:val="004E4DE9"/>
    <w:rsid w:val="004E51A3"/>
    <w:rsid w:val="004E5214"/>
    <w:rsid w:val="004E64AD"/>
    <w:rsid w:val="004E659C"/>
    <w:rsid w:val="004E6F2C"/>
    <w:rsid w:val="004E7835"/>
    <w:rsid w:val="004E7CEC"/>
    <w:rsid w:val="004F125A"/>
    <w:rsid w:val="004F139E"/>
    <w:rsid w:val="004F182B"/>
    <w:rsid w:val="004F1905"/>
    <w:rsid w:val="004F216F"/>
    <w:rsid w:val="004F39DD"/>
    <w:rsid w:val="004F462F"/>
    <w:rsid w:val="004F48F8"/>
    <w:rsid w:val="004F4944"/>
    <w:rsid w:val="004F4C13"/>
    <w:rsid w:val="004F68A0"/>
    <w:rsid w:val="004F7309"/>
    <w:rsid w:val="004F7DED"/>
    <w:rsid w:val="005000AE"/>
    <w:rsid w:val="00500887"/>
    <w:rsid w:val="00501329"/>
    <w:rsid w:val="00501BA7"/>
    <w:rsid w:val="00501F00"/>
    <w:rsid w:val="005028DC"/>
    <w:rsid w:val="005029F3"/>
    <w:rsid w:val="00502B71"/>
    <w:rsid w:val="00502F33"/>
    <w:rsid w:val="00505496"/>
    <w:rsid w:val="005068A2"/>
    <w:rsid w:val="0050B9D2"/>
    <w:rsid w:val="00510042"/>
    <w:rsid w:val="005102A5"/>
    <w:rsid w:val="005107A4"/>
    <w:rsid w:val="00510B43"/>
    <w:rsid w:val="00510DEA"/>
    <w:rsid w:val="00512125"/>
    <w:rsid w:val="00513803"/>
    <w:rsid w:val="00515250"/>
    <w:rsid w:val="00515CB2"/>
    <w:rsid w:val="00515E53"/>
    <w:rsid w:val="005160CB"/>
    <w:rsid w:val="0051665D"/>
    <w:rsid w:val="0051740D"/>
    <w:rsid w:val="005178A1"/>
    <w:rsid w:val="005179C1"/>
    <w:rsid w:val="0052144D"/>
    <w:rsid w:val="005226AB"/>
    <w:rsid w:val="00522AF7"/>
    <w:rsid w:val="00522DB5"/>
    <w:rsid w:val="00523318"/>
    <w:rsid w:val="00523E6A"/>
    <w:rsid w:val="00524086"/>
    <w:rsid w:val="00524BF3"/>
    <w:rsid w:val="00524F55"/>
    <w:rsid w:val="00526624"/>
    <w:rsid w:val="005268B7"/>
    <w:rsid w:val="00526D0A"/>
    <w:rsid w:val="00526F1E"/>
    <w:rsid w:val="00527029"/>
    <w:rsid w:val="00527E8F"/>
    <w:rsid w:val="005304D6"/>
    <w:rsid w:val="005306F1"/>
    <w:rsid w:val="00530BAD"/>
    <w:rsid w:val="005319AB"/>
    <w:rsid w:val="0053205C"/>
    <w:rsid w:val="00532550"/>
    <w:rsid w:val="005328A7"/>
    <w:rsid w:val="00533507"/>
    <w:rsid w:val="00533938"/>
    <w:rsid w:val="00534154"/>
    <w:rsid w:val="00534E3E"/>
    <w:rsid w:val="00534FE9"/>
    <w:rsid w:val="005360DF"/>
    <w:rsid w:val="00536621"/>
    <w:rsid w:val="00536940"/>
    <w:rsid w:val="00537D3C"/>
    <w:rsid w:val="005403E1"/>
    <w:rsid w:val="00540634"/>
    <w:rsid w:val="005407C2"/>
    <w:rsid w:val="00540914"/>
    <w:rsid w:val="0054149A"/>
    <w:rsid w:val="005415F2"/>
    <w:rsid w:val="0054222A"/>
    <w:rsid w:val="005428D6"/>
    <w:rsid w:val="00542E9E"/>
    <w:rsid w:val="00542F8D"/>
    <w:rsid w:val="0054391B"/>
    <w:rsid w:val="00543DA3"/>
    <w:rsid w:val="0054418E"/>
    <w:rsid w:val="0054435B"/>
    <w:rsid w:val="005443A7"/>
    <w:rsid w:val="00544776"/>
    <w:rsid w:val="00544FF5"/>
    <w:rsid w:val="0054500E"/>
    <w:rsid w:val="00545243"/>
    <w:rsid w:val="00545660"/>
    <w:rsid w:val="005466CA"/>
    <w:rsid w:val="00546CB0"/>
    <w:rsid w:val="00546D05"/>
    <w:rsid w:val="00547263"/>
    <w:rsid w:val="0054729B"/>
    <w:rsid w:val="00547647"/>
    <w:rsid w:val="00549763"/>
    <w:rsid w:val="00550545"/>
    <w:rsid w:val="00550961"/>
    <w:rsid w:val="00550BB2"/>
    <w:rsid w:val="00552105"/>
    <w:rsid w:val="00552B92"/>
    <w:rsid w:val="00552C80"/>
    <w:rsid w:val="0055350D"/>
    <w:rsid w:val="00554506"/>
    <w:rsid w:val="0055469A"/>
    <w:rsid w:val="00554778"/>
    <w:rsid w:val="00554887"/>
    <w:rsid w:val="0055500F"/>
    <w:rsid w:val="00555A10"/>
    <w:rsid w:val="00555B21"/>
    <w:rsid w:val="00555CA4"/>
    <w:rsid w:val="00561699"/>
    <w:rsid w:val="005617BA"/>
    <w:rsid w:val="00562399"/>
    <w:rsid w:val="00562913"/>
    <w:rsid w:val="00562B6F"/>
    <w:rsid w:val="005639F0"/>
    <w:rsid w:val="00563A9F"/>
    <w:rsid w:val="00564192"/>
    <w:rsid w:val="00564585"/>
    <w:rsid w:val="005649F1"/>
    <w:rsid w:val="0056528E"/>
    <w:rsid w:val="00567641"/>
    <w:rsid w:val="00567990"/>
    <w:rsid w:val="00567BE3"/>
    <w:rsid w:val="00567EA6"/>
    <w:rsid w:val="00570056"/>
    <w:rsid w:val="0057077D"/>
    <w:rsid w:val="005709B2"/>
    <w:rsid w:val="00570CB3"/>
    <w:rsid w:val="005720A9"/>
    <w:rsid w:val="005731A6"/>
    <w:rsid w:val="00573281"/>
    <w:rsid w:val="00573764"/>
    <w:rsid w:val="00573E98"/>
    <w:rsid w:val="0057457A"/>
    <w:rsid w:val="00574D4B"/>
    <w:rsid w:val="00574D81"/>
    <w:rsid w:val="00574F24"/>
    <w:rsid w:val="00575158"/>
    <w:rsid w:val="00575183"/>
    <w:rsid w:val="005757A8"/>
    <w:rsid w:val="00576F4D"/>
    <w:rsid w:val="00577409"/>
    <w:rsid w:val="00577C1D"/>
    <w:rsid w:val="00577D74"/>
    <w:rsid w:val="00577DD1"/>
    <w:rsid w:val="0057B4C9"/>
    <w:rsid w:val="0058142F"/>
    <w:rsid w:val="00583722"/>
    <w:rsid w:val="005837D8"/>
    <w:rsid w:val="00583BEE"/>
    <w:rsid w:val="00584006"/>
    <w:rsid w:val="005848A8"/>
    <w:rsid w:val="00586009"/>
    <w:rsid w:val="005860DE"/>
    <w:rsid w:val="00587159"/>
    <w:rsid w:val="00590CAD"/>
    <w:rsid w:val="0059141E"/>
    <w:rsid w:val="005919B4"/>
    <w:rsid w:val="00592BB3"/>
    <w:rsid w:val="005932BC"/>
    <w:rsid w:val="005935C7"/>
    <w:rsid w:val="00593E76"/>
    <w:rsid w:val="00594557"/>
    <w:rsid w:val="005945B7"/>
    <w:rsid w:val="005945C2"/>
    <w:rsid w:val="005946E1"/>
    <w:rsid w:val="005954C2"/>
    <w:rsid w:val="005964BE"/>
    <w:rsid w:val="005974B5"/>
    <w:rsid w:val="005A145C"/>
    <w:rsid w:val="005A1EBE"/>
    <w:rsid w:val="005A2BA7"/>
    <w:rsid w:val="005A3C24"/>
    <w:rsid w:val="005A4293"/>
    <w:rsid w:val="005A435A"/>
    <w:rsid w:val="005A5254"/>
    <w:rsid w:val="005A5BF6"/>
    <w:rsid w:val="005A5EC1"/>
    <w:rsid w:val="005A65FD"/>
    <w:rsid w:val="005A66ED"/>
    <w:rsid w:val="005A7C83"/>
    <w:rsid w:val="005A7F52"/>
    <w:rsid w:val="005B044E"/>
    <w:rsid w:val="005B0478"/>
    <w:rsid w:val="005B04C4"/>
    <w:rsid w:val="005B04E4"/>
    <w:rsid w:val="005B0C80"/>
    <w:rsid w:val="005B1CE5"/>
    <w:rsid w:val="005B1D1D"/>
    <w:rsid w:val="005B1EB6"/>
    <w:rsid w:val="005B22E0"/>
    <w:rsid w:val="005B254C"/>
    <w:rsid w:val="005B2A5A"/>
    <w:rsid w:val="005B2DC2"/>
    <w:rsid w:val="005B3EB2"/>
    <w:rsid w:val="005B4119"/>
    <w:rsid w:val="005B49F5"/>
    <w:rsid w:val="005B5F2B"/>
    <w:rsid w:val="005B69D4"/>
    <w:rsid w:val="005B6B50"/>
    <w:rsid w:val="005B74A2"/>
    <w:rsid w:val="005B7512"/>
    <w:rsid w:val="005B777E"/>
    <w:rsid w:val="005B799D"/>
    <w:rsid w:val="005B7B5C"/>
    <w:rsid w:val="005B7BF5"/>
    <w:rsid w:val="005B7D5F"/>
    <w:rsid w:val="005C0283"/>
    <w:rsid w:val="005C10EE"/>
    <w:rsid w:val="005C112D"/>
    <w:rsid w:val="005C1B8E"/>
    <w:rsid w:val="005C231E"/>
    <w:rsid w:val="005C39B6"/>
    <w:rsid w:val="005C3AAA"/>
    <w:rsid w:val="005C4E9A"/>
    <w:rsid w:val="005C56EA"/>
    <w:rsid w:val="005C5A12"/>
    <w:rsid w:val="005C6A5D"/>
    <w:rsid w:val="005C75AA"/>
    <w:rsid w:val="005C7A32"/>
    <w:rsid w:val="005C7BEE"/>
    <w:rsid w:val="005C7F94"/>
    <w:rsid w:val="005D10BC"/>
    <w:rsid w:val="005D16DD"/>
    <w:rsid w:val="005D1EF2"/>
    <w:rsid w:val="005D2803"/>
    <w:rsid w:val="005D3CFB"/>
    <w:rsid w:val="005D3FF1"/>
    <w:rsid w:val="005D4301"/>
    <w:rsid w:val="005D4D22"/>
    <w:rsid w:val="005D4E83"/>
    <w:rsid w:val="005D645B"/>
    <w:rsid w:val="005D7F96"/>
    <w:rsid w:val="005E0A9E"/>
    <w:rsid w:val="005E0ADA"/>
    <w:rsid w:val="005E1972"/>
    <w:rsid w:val="005E1FEF"/>
    <w:rsid w:val="005E26EB"/>
    <w:rsid w:val="005E2926"/>
    <w:rsid w:val="005E39B9"/>
    <w:rsid w:val="005E3AA5"/>
    <w:rsid w:val="005E417B"/>
    <w:rsid w:val="005E473E"/>
    <w:rsid w:val="005E47D1"/>
    <w:rsid w:val="005E4C10"/>
    <w:rsid w:val="005E569E"/>
    <w:rsid w:val="005E5889"/>
    <w:rsid w:val="005E5BD8"/>
    <w:rsid w:val="005E6C61"/>
    <w:rsid w:val="005E70AA"/>
    <w:rsid w:val="005E7640"/>
    <w:rsid w:val="005E7AA6"/>
    <w:rsid w:val="005E7C17"/>
    <w:rsid w:val="005E7EF6"/>
    <w:rsid w:val="005F0183"/>
    <w:rsid w:val="005F093B"/>
    <w:rsid w:val="005F09D0"/>
    <w:rsid w:val="005F0F5A"/>
    <w:rsid w:val="005F15A7"/>
    <w:rsid w:val="005F162F"/>
    <w:rsid w:val="005F1EE8"/>
    <w:rsid w:val="005F2708"/>
    <w:rsid w:val="005F2D44"/>
    <w:rsid w:val="005F3CC2"/>
    <w:rsid w:val="005F3DD3"/>
    <w:rsid w:val="005F4910"/>
    <w:rsid w:val="005F53F6"/>
    <w:rsid w:val="005F58B4"/>
    <w:rsid w:val="005F662B"/>
    <w:rsid w:val="005F66DE"/>
    <w:rsid w:val="005F670E"/>
    <w:rsid w:val="005F6748"/>
    <w:rsid w:val="005F7AA9"/>
    <w:rsid w:val="005F7F0E"/>
    <w:rsid w:val="006006E2"/>
    <w:rsid w:val="006010AF"/>
    <w:rsid w:val="006032E9"/>
    <w:rsid w:val="006034D6"/>
    <w:rsid w:val="0060395D"/>
    <w:rsid w:val="00603C4A"/>
    <w:rsid w:val="00604C91"/>
    <w:rsid w:val="00604E86"/>
    <w:rsid w:val="00605189"/>
    <w:rsid w:val="00605D5D"/>
    <w:rsid w:val="00605F06"/>
    <w:rsid w:val="006064A9"/>
    <w:rsid w:val="0060688B"/>
    <w:rsid w:val="006069DE"/>
    <w:rsid w:val="00606D65"/>
    <w:rsid w:val="00607739"/>
    <w:rsid w:val="00607DE0"/>
    <w:rsid w:val="00610063"/>
    <w:rsid w:val="0061178F"/>
    <w:rsid w:val="006120ED"/>
    <w:rsid w:val="006126D6"/>
    <w:rsid w:val="006132C2"/>
    <w:rsid w:val="0061355A"/>
    <w:rsid w:val="0061507A"/>
    <w:rsid w:val="00615380"/>
    <w:rsid w:val="006159CF"/>
    <w:rsid w:val="00616B92"/>
    <w:rsid w:val="00616D1E"/>
    <w:rsid w:val="00616F08"/>
    <w:rsid w:val="00616FDE"/>
    <w:rsid w:val="00617625"/>
    <w:rsid w:val="006177A2"/>
    <w:rsid w:val="0062087F"/>
    <w:rsid w:val="00620A9E"/>
    <w:rsid w:val="00622173"/>
    <w:rsid w:val="006225D6"/>
    <w:rsid w:val="006232EF"/>
    <w:rsid w:val="006236E7"/>
    <w:rsid w:val="0062399F"/>
    <w:rsid w:val="00623E17"/>
    <w:rsid w:val="00625110"/>
    <w:rsid w:val="00625324"/>
    <w:rsid w:val="006259CC"/>
    <w:rsid w:val="00625C73"/>
    <w:rsid w:val="00626934"/>
    <w:rsid w:val="0062794C"/>
    <w:rsid w:val="00627D14"/>
    <w:rsid w:val="006308CB"/>
    <w:rsid w:val="006311C6"/>
    <w:rsid w:val="00631649"/>
    <w:rsid w:val="0063185F"/>
    <w:rsid w:val="006323C6"/>
    <w:rsid w:val="0063252B"/>
    <w:rsid w:val="00632A3C"/>
    <w:rsid w:val="00634633"/>
    <w:rsid w:val="00634955"/>
    <w:rsid w:val="00634A21"/>
    <w:rsid w:val="006358E4"/>
    <w:rsid w:val="00636DEC"/>
    <w:rsid w:val="00636F44"/>
    <w:rsid w:val="00637499"/>
    <w:rsid w:val="00637EDC"/>
    <w:rsid w:val="006412B4"/>
    <w:rsid w:val="006424A3"/>
    <w:rsid w:val="00642525"/>
    <w:rsid w:val="00643277"/>
    <w:rsid w:val="00643454"/>
    <w:rsid w:val="00643FAE"/>
    <w:rsid w:val="00644456"/>
    <w:rsid w:val="00644520"/>
    <w:rsid w:val="00644540"/>
    <w:rsid w:val="00644BD1"/>
    <w:rsid w:val="006459ED"/>
    <w:rsid w:val="00645E96"/>
    <w:rsid w:val="00646236"/>
    <w:rsid w:val="006462D9"/>
    <w:rsid w:val="00646577"/>
    <w:rsid w:val="006465AF"/>
    <w:rsid w:val="006479BA"/>
    <w:rsid w:val="00650809"/>
    <w:rsid w:val="0065080A"/>
    <w:rsid w:val="006518EE"/>
    <w:rsid w:val="00651A4D"/>
    <w:rsid w:val="006520CE"/>
    <w:rsid w:val="006522B9"/>
    <w:rsid w:val="006525BD"/>
    <w:rsid w:val="006528F0"/>
    <w:rsid w:val="00652BFE"/>
    <w:rsid w:val="00652FBA"/>
    <w:rsid w:val="00654085"/>
    <w:rsid w:val="006547BB"/>
    <w:rsid w:val="00654EF0"/>
    <w:rsid w:val="006554E7"/>
    <w:rsid w:val="00655C22"/>
    <w:rsid w:val="00655F74"/>
    <w:rsid w:val="006568AE"/>
    <w:rsid w:val="00657167"/>
    <w:rsid w:val="0065724F"/>
    <w:rsid w:val="006574CB"/>
    <w:rsid w:val="00660131"/>
    <w:rsid w:val="00660A0B"/>
    <w:rsid w:val="00660B25"/>
    <w:rsid w:val="0066181B"/>
    <w:rsid w:val="00662242"/>
    <w:rsid w:val="00662B9A"/>
    <w:rsid w:val="00663361"/>
    <w:rsid w:val="00663918"/>
    <w:rsid w:val="00665013"/>
    <w:rsid w:val="006652B8"/>
    <w:rsid w:val="00665DE2"/>
    <w:rsid w:val="00666CB2"/>
    <w:rsid w:val="00666ED5"/>
    <w:rsid w:val="0066737E"/>
    <w:rsid w:val="00667454"/>
    <w:rsid w:val="00667524"/>
    <w:rsid w:val="00667653"/>
    <w:rsid w:val="00667CAB"/>
    <w:rsid w:val="00668687"/>
    <w:rsid w:val="006703BB"/>
    <w:rsid w:val="00670559"/>
    <w:rsid w:val="0067177E"/>
    <w:rsid w:val="00671ABB"/>
    <w:rsid w:val="00671AEF"/>
    <w:rsid w:val="006727E7"/>
    <w:rsid w:val="00672845"/>
    <w:rsid w:val="0067303C"/>
    <w:rsid w:val="00673608"/>
    <w:rsid w:val="00673878"/>
    <w:rsid w:val="00673DBF"/>
    <w:rsid w:val="0067622A"/>
    <w:rsid w:val="00676E4A"/>
    <w:rsid w:val="0067714D"/>
    <w:rsid w:val="006776F9"/>
    <w:rsid w:val="00680737"/>
    <w:rsid w:val="00681FBC"/>
    <w:rsid w:val="006828FA"/>
    <w:rsid w:val="00683BD5"/>
    <w:rsid w:val="00683DC6"/>
    <w:rsid w:val="006849EF"/>
    <w:rsid w:val="00684B68"/>
    <w:rsid w:val="00685CB1"/>
    <w:rsid w:val="00687276"/>
    <w:rsid w:val="00690244"/>
    <w:rsid w:val="006909EB"/>
    <w:rsid w:val="00690A30"/>
    <w:rsid w:val="00690A71"/>
    <w:rsid w:val="00691298"/>
    <w:rsid w:val="006913C5"/>
    <w:rsid w:val="006918A0"/>
    <w:rsid w:val="00692206"/>
    <w:rsid w:val="00692563"/>
    <w:rsid w:val="00693F60"/>
    <w:rsid w:val="00693FA9"/>
    <w:rsid w:val="00694167"/>
    <w:rsid w:val="0069492B"/>
    <w:rsid w:val="00694B9C"/>
    <w:rsid w:val="00695080"/>
    <w:rsid w:val="006951A7"/>
    <w:rsid w:val="006977DE"/>
    <w:rsid w:val="00697BD1"/>
    <w:rsid w:val="00697CE1"/>
    <w:rsid w:val="006A0DC3"/>
    <w:rsid w:val="006A0F06"/>
    <w:rsid w:val="006A10B8"/>
    <w:rsid w:val="006A1A86"/>
    <w:rsid w:val="006A1E0A"/>
    <w:rsid w:val="006A232C"/>
    <w:rsid w:val="006A347F"/>
    <w:rsid w:val="006A3AF1"/>
    <w:rsid w:val="006A3D0B"/>
    <w:rsid w:val="006A3F8F"/>
    <w:rsid w:val="006A4318"/>
    <w:rsid w:val="006A4BF8"/>
    <w:rsid w:val="006A4CF5"/>
    <w:rsid w:val="006A55E3"/>
    <w:rsid w:val="006A5839"/>
    <w:rsid w:val="006A58CB"/>
    <w:rsid w:val="006A5E0D"/>
    <w:rsid w:val="006A66A8"/>
    <w:rsid w:val="006A66C6"/>
    <w:rsid w:val="006A6C2F"/>
    <w:rsid w:val="006A6CFF"/>
    <w:rsid w:val="006A7116"/>
    <w:rsid w:val="006A7852"/>
    <w:rsid w:val="006A796F"/>
    <w:rsid w:val="006A797F"/>
    <w:rsid w:val="006B042C"/>
    <w:rsid w:val="006B0CC7"/>
    <w:rsid w:val="006B182B"/>
    <w:rsid w:val="006B2588"/>
    <w:rsid w:val="006B2FD9"/>
    <w:rsid w:val="006B31EC"/>
    <w:rsid w:val="006B3776"/>
    <w:rsid w:val="006B3A6D"/>
    <w:rsid w:val="006B45FE"/>
    <w:rsid w:val="006B4AD4"/>
    <w:rsid w:val="006B54D3"/>
    <w:rsid w:val="006B5890"/>
    <w:rsid w:val="006B5A0A"/>
    <w:rsid w:val="006B67FA"/>
    <w:rsid w:val="006B68D2"/>
    <w:rsid w:val="006B7BBE"/>
    <w:rsid w:val="006C0536"/>
    <w:rsid w:val="006C0654"/>
    <w:rsid w:val="006C154F"/>
    <w:rsid w:val="006C29B8"/>
    <w:rsid w:val="006C2F5F"/>
    <w:rsid w:val="006C30A1"/>
    <w:rsid w:val="006C408C"/>
    <w:rsid w:val="006C44AB"/>
    <w:rsid w:val="006C4E08"/>
    <w:rsid w:val="006C55BE"/>
    <w:rsid w:val="006C6408"/>
    <w:rsid w:val="006C6DC3"/>
    <w:rsid w:val="006C6FCE"/>
    <w:rsid w:val="006C732D"/>
    <w:rsid w:val="006D1052"/>
    <w:rsid w:val="006D106C"/>
    <w:rsid w:val="006D155A"/>
    <w:rsid w:val="006D1607"/>
    <w:rsid w:val="006D16B1"/>
    <w:rsid w:val="006D1C2A"/>
    <w:rsid w:val="006D29EF"/>
    <w:rsid w:val="006D315D"/>
    <w:rsid w:val="006D5DE8"/>
    <w:rsid w:val="006D73F9"/>
    <w:rsid w:val="006D750A"/>
    <w:rsid w:val="006D7E59"/>
    <w:rsid w:val="006E062B"/>
    <w:rsid w:val="006E0AAB"/>
    <w:rsid w:val="006E0D50"/>
    <w:rsid w:val="006E1E8E"/>
    <w:rsid w:val="006E3E2B"/>
    <w:rsid w:val="006E5243"/>
    <w:rsid w:val="006E553B"/>
    <w:rsid w:val="006E5937"/>
    <w:rsid w:val="006E59C7"/>
    <w:rsid w:val="006E62D6"/>
    <w:rsid w:val="006E6529"/>
    <w:rsid w:val="006E6DDA"/>
    <w:rsid w:val="006E7CBA"/>
    <w:rsid w:val="006F00A3"/>
    <w:rsid w:val="006F0B00"/>
    <w:rsid w:val="006F0C69"/>
    <w:rsid w:val="006F0D0D"/>
    <w:rsid w:val="006F157E"/>
    <w:rsid w:val="006F19DF"/>
    <w:rsid w:val="006F20F7"/>
    <w:rsid w:val="006F215C"/>
    <w:rsid w:val="006F2D46"/>
    <w:rsid w:val="006F2F03"/>
    <w:rsid w:val="006F35A1"/>
    <w:rsid w:val="006F42E6"/>
    <w:rsid w:val="006F4DAA"/>
    <w:rsid w:val="006F5450"/>
    <w:rsid w:val="006F58DC"/>
    <w:rsid w:val="006F5C2E"/>
    <w:rsid w:val="006F5C97"/>
    <w:rsid w:val="007004D1"/>
    <w:rsid w:val="00700BE7"/>
    <w:rsid w:val="00701231"/>
    <w:rsid w:val="00702145"/>
    <w:rsid w:val="0070244F"/>
    <w:rsid w:val="007028D5"/>
    <w:rsid w:val="00704436"/>
    <w:rsid w:val="007046D7"/>
    <w:rsid w:val="00704858"/>
    <w:rsid w:val="0070587E"/>
    <w:rsid w:val="00706A46"/>
    <w:rsid w:val="0070703D"/>
    <w:rsid w:val="00707631"/>
    <w:rsid w:val="00707640"/>
    <w:rsid w:val="00707DE4"/>
    <w:rsid w:val="007102BB"/>
    <w:rsid w:val="00710BAA"/>
    <w:rsid w:val="00710E9B"/>
    <w:rsid w:val="00712183"/>
    <w:rsid w:val="0071260E"/>
    <w:rsid w:val="00712635"/>
    <w:rsid w:val="0071285F"/>
    <w:rsid w:val="0071291A"/>
    <w:rsid w:val="00712A05"/>
    <w:rsid w:val="00712F67"/>
    <w:rsid w:val="00713974"/>
    <w:rsid w:val="00714CF8"/>
    <w:rsid w:val="00715B43"/>
    <w:rsid w:val="00715EEC"/>
    <w:rsid w:val="00716279"/>
    <w:rsid w:val="007162E9"/>
    <w:rsid w:val="00716F10"/>
    <w:rsid w:val="0071741D"/>
    <w:rsid w:val="007177C7"/>
    <w:rsid w:val="00720111"/>
    <w:rsid w:val="007209E4"/>
    <w:rsid w:val="00720A93"/>
    <w:rsid w:val="007211F2"/>
    <w:rsid w:val="00721DFD"/>
    <w:rsid w:val="00721E97"/>
    <w:rsid w:val="0072213C"/>
    <w:rsid w:val="00722440"/>
    <w:rsid w:val="00723390"/>
    <w:rsid w:val="0072404F"/>
    <w:rsid w:val="007244B8"/>
    <w:rsid w:val="00724C09"/>
    <w:rsid w:val="00724EC7"/>
    <w:rsid w:val="007254C1"/>
    <w:rsid w:val="00727E85"/>
    <w:rsid w:val="00730A75"/>
    <w:rsid w:val="00731C7E"/>
    <w:rsid w:val="00731F69"/>
    <w:rsid w:val="00731FB2"/>
    <w:rsid w:val="007325AB"/>
    <w:rsid w:val="00733123"/>
    <w:rsid w:val="00733DC8"/>
    <w:rsid w:val="00734749"/>
    <w:rsid w:val="007347BB"/>
    <w:rsid w:val="00734B7E"/>
    <w:rsid w:val="00734E08"/>
    <w:rsid w:val="00734FED"/>
    <w:rsid w:val="00735566"/>
    <w:rsid w:val="00735A70"/>
    <w:rsid w:val="00735E31"/>
    <w:rsid w:val="00736035"/>
    <w:rsid w:val="00736976"/>
    <w:rsid w:val="00736BA7"/>
    <w:rsid w:val="00740BAE"/>
    <w:rsid w:val="00740C8A"/>
    <w:rsid w:val="00740D77"/>
    <w:rsid w:val="00740D82"/>
    <w:rsid w:val="00742064"/>
    <w:rsid w:val="0074207A"/>
    <w:rsid w:val="00742189"/>
    <w:rsid w:val="0074246F"/>
    <w:rsid w:val="0074480B"/>
    <w:rsid w:val="0074498F"/>
    <w:rsid w:val="0074531B"/>
    <w:rsid w:val="00745CAF"/>
    <w:rsid w:val="00745E00"/>
    <w:rsid w:val="00745F8C"/>
    <w:rsid w:val="00746F5E"/>
    <w:rsid w:val="00746FCD"/>
    <w:rsid w:val="00750A59"/>
    <w:rsid w:val="00750B08"/>
    <w:rsid w:val="00750F4B"/>
    <w:rsid w:val="00751299"/>
    <w:rsid w:val="00751EFA"/>
    <w:rsid w:val="00752AC7"/>
    <w:rsid w:val="00752B1D"/>
    <w:rsid w:val="00752F33"/>
    <w:rsid w:val="007532D3"/>
    <w:rsid w:val="007544A6"/>
    <w:rsid w:val="007546A6"/>
    <w:rsid w:val="00754A85"/>
    <w:rsid w:val="00757249"/>
    <w:rsid w:val="00757A52"/>
    <w:rsid w:val="007603CA"/>
    <w:rsid w:val="00760FF6"/>
    <w:rsid w:val="00761286"/>
    <w:rsid w:val="007612CD"/>
    <w:rsid w:val="007618A8"/>
    <w:rsid w:val="00762884"/>
    <w:rsid w:val="00762D7B"/>
    <w:rsid w:val="00763261"/>
    <w:rsid w:val="007633F9"/>
    <w:rsid w:val="00763546"/>
    <w:rsid w:val="00763CB8"/>
    <w:rsid w:val="0076408D"/>
    <w:rsid w:val="00765847"/>
    <w:rsid w:val="00765DBA"/>
    <w:rsid w:val="00765F01"/>
    <w:rsid w:val="00766D7B"/>
    <w:rsid w:val="00766F12"/>
    <w:rsid w:val="00767C39"/>
    <w:rsid w:val="00771167"/>
    <w:rsid w:val="007711FD"/>
    <w:rsid w:val="00771C9C"/>
    <w:rsid w:val="00771E52"/>
    <w:rsid w:val="0077257D"/>
    <w:rsid w:val="00772D0F"/>
    <w:rsid w:val="00773331"/>
    <w:rsid w:val="0077368F"/>
    <w:rsid w:val="00773C71"/>
    <w:rsid w:val="00774614"/>
    <w:rsid w:val="00774E49"/>
    <w:rsid w:val="00774EB2"/>
    <w:rsid w:val="007753DE"/>
    <w:rsid w:val="00780CCD"/>
    <w:rsid w:val="00781285"/>
    <w:rsid w:val="00781B5E"/>
    <w:rsid w:val="00781EA0"/>
    <w:rsid w:val="00782651"/>
    <w:rsid w:val="00782B01"/>
    <w:rsid w:val="00782B8F"/>
    <w:rsid w:val="007833AA"/>
    <w:rsid w:val="00783CAA"/>
    <w:rsid w:val="00783F86"/>
    <w:rsid w:val="007866DC"/>
    <w:rsid w:val="007866E0"/>
    <w:rsid w:val="007867AE"/>
    <w:rsid w:val="007876EE"/>
    <w:rsid w:val="007877C7"/>
    <w:rsid w:val="007878C5"/>
    <w:rsid w:val="0079028E"/>
    <w:rsid w:val="00790D92"/>
    <w:rsid w:val="00790E8A"/>
    <w:rsid w:val="007916C7"/>
    <w:rsid w:val="00791723"/>
    <w:rsid w:val="00792D5D"/>
    <w:rsid w:val="00793180"/>
    <w:rsid w:val="007932EF"/>
    <w:rsid w:val="0079403F"/>
    <w:rsid w:val="0079473C"/>
    <w:rsid w:val="00794BA0"/>
    <w:rsid w:val="00795A36"/>
    <w:rsid w:val="00795E50"/>
    <w:rsid w:val="00797181"/>
    <w:rsid w:val="00797DC2"/>
    <w:rsid w:val="007A0234"/>
    <w:rsid w:val="007A0F3A"/>
    <w:rsid w:val="007A10B9"/>
    <w:rsid w:val="007A28F2"/>
    <w:rsid w:val="007A2ADF"/>
    <w:rsid w:val="007A2CCF"/>
    <w:rsid w:val="007A2E57"/>
    <w:rsid w:val="007A3108"/>
    <w:rsid w:val="007A3752"/>
    <w:rsid w:val="007A3D3A"/>
    <w:rsid w:val="007A55DA"/>
    <w:rsid w:val="007A5886"/>
    <w:rsid w:val="007A5DAC"/>
    <w:rsid w:val="007A5FA5"/>
    <w:rsid w:val="007B0A93"/>
    <w:rsid w:val="007B202E"/>
    <w:rsid w:val="007B2FB9"/>
    <w:rsid w:val="007B41E1"/>
    <w:rsid w:val="007B4421"/>
    <w:rsid w:val="007B4B02"/>
    <w:rsid w:val="007B57E3"/>
    <w:rsid w:val="007B5E95"/>
    <w:rsid w:val="007B72FE"/>
    <w:rsid w:val="007C0430"/>
    <w:rsid w:val="007C085B"/>
    <w:rsid w:val="007C09CD"/>
    <w:rsid w:val="007C214A"/>
    <w:rsid w:val="007C306A"/>
    <w:rsid w:val="007C3096"/>
    <w:rsid w:val="007C4EB9"/>
    <w:rsid w:val="007C6498"/>
    <w:rsid w:val="007C776B"/>
    <w:rsid w:val="007D071B"/>
    <w:rsid w:val="007D0A0D"/>
    <w:rsid w:val="007D0E00"/>
    <w:rsid w:val="007D13BD"/>
    <w:rsid w:val="007D17F2"/>
    <w:rsid w:val="007D279F"/>
    <w:rsid w:val="007D303A"/>
    <w:rsid w:val="007D36B1"/>
    <w:rsid w:val="007D3918"/>
    <w:rsid w:val="007D3EBD"/>
    <w:rsid w:val="007D4864"/>
    <w:rsid w:val="007D4910"/>
    <w:rsid w:val="007D5355"/>
    <w:rsid w:val="007D5668"/>
    <w:rsid w:val="007D5776"/>
    <w:rsid w:val="007D59A0"/>
    <w:rsid w:val="007D61E3"/>
    <w:rsid w:val="007D658E"/>
    <w:rsid w:val="007D6F5B"/>
    <w:rsid w:val="007D78E1"/>
    <w:rsid w:val="007D794C"/>
    <w:rsid w:val="007D7D7C"/>
    <w:rsid w:val="007D7FBD"/>
    <w:rsid w:val="007E05B0"/>
    <w:rsid w:val="007E065C"/>
    <w:rsid w:val="007E0765"/>
    <w:rsid w:val="007E1BB2"/>
    <w:rsid w:val="007E1BD2"/>
    <w:rsid w:val="007E29D7"/>
    <w:rsid w:val="007E2FD5"/>
    <w:rsid w:val="007E325E"/>
    <w:rsid w:val="007E57F8"/>
    <w:rsid w:val="007E5AEF"/>
    <w:rsid w:val="007E66B7"/>
    <w:rsid w:val="007E6897"/>
    <w:rsid w:val="007E6F34"/>
    <w:rsid w:val="007E7A11"/>
    <w:rsid w:val="007E7C84"/>
    <w:rsid w:val="007E7CE4"/>
    <w:rsid w:val="007F059A"/>
    <w:rsid w:val="007F121F"/>
    <w:rsid w:val="007F17A9"/>
    <w:rsid w:val="007F2169"/>
    <w:rsid w:val="007F4374"/>
    <w:rsid w:val="007F44B4"/>
    <w:rsid w:val="007F481C"/>
    <w:rsid w:val="007F4871"/>
    <w:rsid w:val="007F51E3"/>
    <w:rsid w:val="007F5A34"/>
    <w:rsid w:val="007F5F90"/>
    <w:rsid w:val="007F77C1"/>
    <w:rsid w:val="007F7D8D"/>
    <w:rsid w:val="00800DF7"/>
    <w:rsid w:val="008010FF"/>
    <w:rsid w:val="00802195"/>
    <w:rsid w:val="00802B03"/>
    <w:rsid w:val="008048D4"/>
    <w:rsid w:val="00804CA3"/>
    <w:rsid w:val="00805F9E"/>
    <w:rsid w:val="0080647F"/>
    <w:rsid w:val="0080771B"/>
    <w:rsid w:val="00807B14"/>
    <w:rsid w:val="00807FEF"/>
    <w:rsid w:val="00811980"/>
    <w:rsid w:val="0081230D"/>
    <w:rsid w:val="008124DB"/>
    <w:rsid w:val="008124FE"/>
    <w:rsid w:val="00812ED5"/>
    <w:rsid w:val="0081325A"/>
    <w:rsid w:val="0081344C"/>
    <w:rsid w:val="00813AC8"/>
    <w:rsid w:val="0081430C"/>
    <w:rsid w:val="0081445F"/>
    <w:rsid w:val="008150D9"/>
    <w:rsid w:val="008151AD"/>
    <w:rsid w:val="0081527E"/>
    <w:rsid w:val="0081536F"/>
    <w:rsid w:val="00815B26"/>
    <w:rsid w:val="00815C6D"/>
    <w:rsid w:val="0081686D"/>
    <w:rsid w:val="00817548"/>
    <w:rsid w:val="008177D5"/>
    <w:rsid w:val="00817B0C"/>
    <w:rsid w:val="008204AD"/>
    <w:rsid w:val="0082050C"/>
    <w:rsid w:val="008226D1"/>
    <w:rsid w:val="00822F8F"/>
    <w:rsid w:val="00823484"/>
    <w:rsid w:val="00823896"/>
    <w:rsid w:val="00823A2B"/>
    <w:rsid w:val="00824032"/>
    <w:rsid w:val="0082466B"/>
    <w:rsid w:val="008249A9"/>
    <w:rsid w:val="00824D50"/>
    <w:rsid w:val="00824F1C"/>
    <w:rsid w:val="008252C2"/>
    <w:rsid w:val="00825A1B"/>
    <w:rsid w:val="00826C33"/>
    <w:rsid w:val="00826CE9"/>
    <w:rsid w:val="00826E67"/>
    <w:rsid w:val="00826F77"/>
    <w:rsid w:val="00830332"/>
    <w:rsid w:val="00830784"/>
    <w:rsid w:val="00830C78"/>
    <w:rsid w:val="008319F9"/>
    <w:rsid w:val="00832920"/>
    <w:rsid w:val="00833D80"/>
    <w:rsid w:val="00834874"/>
    <w:rsid w:val="0083526B"/>
    <w:rsid w:val="00835296"/>
    <w:rsid w:val="00835BC0"/>
    <w:rsid w:val="00835F82"/>
    <w:rsid w:val="00835FD6"/>
    <w:rsid w:val="0083679C"/>
    <w:rsid w:val="0083706C"/>
    <w:rsid w:val="00840ACB"/>
    <w:rsid w:val="008413F4"/>
    <w:rsid w:val="0084173F"/>
    <w:rsid w:val="008420E5"/>
    <w:rsid w:val="00844B60"/>
    <w:rsid w:val="00845186"/>
    <w:rsid w:val="00845666"/>
    <w:rsid w:val="00846095"/>
    <w:rsid w:val="0084610B"/>
    <w:rsid w:val="00846170"/>
    <w:rsid w:val="008462E9"/>
    <w:rsid w:val="00846783"/>
    <w:rsid w:val="008469C6"/>
    <w:rsid w:val="00847235"/>
    <w:rsid w:val="008474AA"/>
    <w:rsid w:val="008477BA"/>
    <w:rsid w:val="008501DC"/>
    <w:rsid w:val="00850276"/>
    <w:rsid w:val="00851227"/>
    <w:rsid w:val="00851388"/>
    <w:rsid w:val="00851819"/>
    <w:rsid w:val="00854142"/>
    <w:rsid w:val="00854600"/>
    <w:rsid w:val="00854BD1"/>
    <w:rsid w:val="00854D3D"/>
    <w:rsid w:val="0085557F"/>
    <w:rsid w:val="00856026"/>
    <w:rsid w:val="0085627F"/>
    <w:rsid w:val="00856A30"/>
    <w:rsid w:val="0085725E"/>
    <w:rsid w:val="008575A5"/>
    <w:rsid w:val="008577B1"/>
    <w:rsid w:val="008578ED"/>
    <w:rsid w:val="008579EC"/>
    <w:rsid w:val="008607C9"/>
    <w:rsid w:val="00860D00"/>
    <w:rsid w:val="00860E42"/>
    <w:rsid w:val="00861373"/>
    <w:rsid w:val="00861CB5"/>
    <w:rsid w:val="0086214D"/>
    <w:rsid w:val="00862207"/>
    <w:rsid w:val="00862494"/>
    <w:rsid w:val="00862D55"/>
    <w:rsid w:val="00863711"/>
    <w:rsid w:val="0086395A"/>
    <w:rsid w:val="00863A70"/>
    <w:rsid w:val="00864BDA"/>
    <w:rsid w:val="00865581"/>
    <w:rsid w:val="00865CDB"/>
    <w:rsid w:val="00865CE8"/>
    <w:rsid w:val="00867113"/>
    <w:rsid w:val="008672BB"/>
    <w:rsid w:val="00867312"/>
    <w:rsid w:val="00867909"/>
    <w:rsid w:val="00867E33"/>
    <w:rsid w:val="00870752"/>
    <w:rsid w:val="008710F7"/>
    <w:rsid w:val="00871300"/>
    <w:rsid w:val="00871AA8"/>
    <w:rsid w:val="00871B38"/>
    <w:rsid w:val="00872A70"/>
    <w:rsid w:val="0087337F"/>
    <w:rsid w:val="0087359B"/>
    <w:rsid w:val="008740AA"/>
    <w:rsid w:val="0087445A"/>
    <w:rsid w:val="0087470E"/>
    <w:rsid w:val="00874D22"/>
    <w:rsid w:val="00874EF6"/>
    <w:rsid w:val="0087524B"/>
    <w:rsid w:val="008754C4"/>
    <w:rsid w:val="00875920"/>
    <w:rsid w:val="00875BDE"/>
    <w:rsid w:val="00875C45"/>
    <w:rsid w:val="00875F7C"/>
    <w:rsid w:val="008766AA"/>
    <w:rsid w:val="0087757C"/>
    <w:rsid w:val="00881200"/>
    <w:rsid w:val="00881793"/>
    <w:rsid w:val="00882136"/>
    <w:rsid w:val="00882A4A"/>
    <w:rsid w:val="00882D35"/>
    <w:rsid w:val="00883002"/>
    <w:rsid w:val="00884FB8"/>
    <w:rsid w:val="00885907"/>
    <w:rsid w:val="00885C3B"/>
    <w:rsid w:val="00885E48"/>
    <w:rsid w:val="008861D4"/>
    <w:rsid w:val="008862FE"/>
    <w:rsid w:val="00886472"/>
    <w:rsid w:val="008864CE"/>
    <w:rsid w:val="00886814"/>
    <w:rsid w:val="00886F76"/>
    <w:rsid w:val="0088734D"/>
    <w:rsid w:val="0089020B"/>
    <w:rsid w:val="00891819"/>
    <w:rsid w:val="00891F77"/>
    <w:rsid w:val="0089205B"/>
    <w:rsid w:val="0089322E"/>
    <w:rsid w:val="0089343B"/>
    <w:rsid w:val="00893B1E"/>
    <w:rsid w:val="00893BEB"/>
    <w:rsid w:val="00894B7A"/>
    <w:rsid w:val="008950B7"/>
    <w:rsid w:val="00895AAC"/>
    <w:rsid w:val="00896453"/>
    <w:rsid w:val="0089691F"/>
    <w:rsid w:val="00896A52"/>
    <w:rsid w:val="00896B16"/>
    <w:rsid w:val="00897A55"/>
    <w:rsid w:val="00897C2B"/>
    <w:rsid w:val="008A100D"/>
    <w:rsid w:val="008A1C70"/>
    <w:rsid w:val="008A2914"/>
    <w:rsid w:val="008A2B12"/>
    <w:rsid w:val="008A3D47"/>
    <w:rsid w:val="008A4FAA"/>
    <w:rsid w:val="008A5091"/>
    <w:rsid w:val="008A5257"/>
    <w:rsid w:val="008A52F5"/>
    <w:rsid w:val="008A631E"/>
    <w:rsid w:val="008A685D"/>
    <w:rsid w:val="008A6E61"/>
    <w:rsid w:val="008A7800"/>
    <w:rsid w:val="008B01BD"/>
    <w:rsid w:val="008B0CDA"/>
    <w:rsid w:val="008B174E"/>
    <w:rsid w:val="008B1E42"/>
    <w:rsid w:val="008B25E1"/>
    <w:rsid w:val="008B2B25"/>
    <w:rsid w:val="008B30F9"/>
    <w:rsid w:val="008B383B"/>
    <w:rsid w:val="008B431F"/>
    <w:rsid w:val="008B508B"/>
    <w:rsid w:val="008B53DC"/>
    <w:rsid w:val="008B5F58"/>
    <w:rsid w:val="008B70E0"/>
    <w:rsid w:val="008B725D"/>
    <w:rsid w:val="008B765A"/>
    <w:rsid w:val="008B7840"/>
    <w:rsid w:val="008B7C32"/>
    <w:rsid w:val="008C03F5"/>
    <w:rsid w:val="008C0B18"/>
    <w:rsid w:val="008C1898"/>
    <w:rsid w:val="008C1F69"/>
    <w:rsid w:val="008C235A"/>
    <w:rsid w:val="008C2438"/>
    <w:rsid w:val="008C246A"/>
    <w:rsid w:val="008C28D1"/>
    <w:rsid w:val="008C3269"/>
    <w:rsid w:val="008C4B6B"/>
    <w:rsid w:val="008C4E45"/>
    <w:rsid w:val="008C4F04"/>
    <w:rsid w:val="008C5010"/>
    <w:rsid w:val="008C539A"/>
    <w:rsid w:val="008C5928"/>
    <w:rsid w:val="008C5B7F"/>
    <w:rsid w:val="008C65C5"/>
    <w:rsid w:val="008C690B"/>
    <w:rsid w:val="008C7D30"/>
    <w:rsid w:val="008C7D82"/>
    <w:rsid w:val="008D0073"/>
    <w:rsid w:val="008D02B3"/>
    <w:rsid w:val="008D0B08"/>
    <w:rsid w:val="008D10E7"/>
    <w:rsid w:val="008D14AE"/>
    <w:rsid w:val="008D1714"/>
    <w:rsid w:val="008D306A"/>
    <w:rsid w:val="008D4312"/>
    <w:rsid w:val="008D5F51"/>
    <w:rsid w:val="008D643D"/>
    <w:rsid w:val="008D6B5E"/>
    <w:rsid w:val="008D6F99"/>
    <w:rsid w:val="008D711D"/>
    <w:rsid w:val="008D784C"/>
    <w:rsid w:val="008E04C2"/>
    <w:rsid w:val="008E0AD1"/>
    <w:rsid w:val="008E1BC0"/>
    <w:rsid w:val="008E1F4D"/>
    <w:rsid w:val="008E28A2"/>
    <w:rsid w:val="008E3027"/>
    <w:rsid w:val="008E38A0"/>
    <w:rsid w:val="008E39E2"/>
    <w:rsid w:val="008E407C"/>
    <w:rsid w:val="008E4155"/>
    <w:rsid w:val="008E49A6"/>
    <w:rsid w:val="008E4D8E"/>
    <w:rsid w:val="008E4E69"/>
    <w:rsid w:val="008E56AC"/>
    <w:rsid w:val="008E56F2"/>
    <w:rsid w:val="008E6C54"/>
    <w:rsid w:val="008E72A4"/>
    <w:rsid w:val="008E734B"/>
    <w:rsid w:val="008E7A6B"/>
    <w:rsid w:val="008E7C11"/>
    <w:rsid w:val="008F0B07"/>
    <w:rsid w:val="008F0D09"/>
    <w:rsid w:val="008F11DA"/>
    <w:rsid w:val="008F11EF"/>
    <w:rsid w:val="008F16A2"/>
    <w:rsid w:val="008F1FF6"/>
    <w:rsid w:val="008F2375"/>
    <w:rsid w:val="008F2C21"/>
    <w:rsid w:val="008F2CFC"/>
    <w:rsid w:val="008F3348"/>
    <w:rsid w:val="008F355B"/>
    <w:rsid w:val="008F48AE"/>
    <w:rsid w:val="008F558C"/>
    <w:rsid w:val="008F568D"/>
    <w:rsid w:val="008F5C14"/>
    <w:rsid w:val="008F6902"/>
    <w:rsid w:val="008F6932"/>
    <w:rsid w:val="008F69EC"/>
    <w:rsid w:val="008F6B93"/>
    <w:rsid w:val="008F75ED"/>
    <w:rsid w:val="008F7600"/>
    <w:rsid w:val="009002EC"/>
    <w:rsid w:val="009005C0"/>
    <w:rsid w:val="00900D0A"/>
    <w:rsid w:val="00900E81"/>
    <w:rsid w:val="00901F05"/>
    <w:rsid w:val="00903887"/>
    <w:rsid w:val="00903CE3"/>
    <w:rsid w:val="009043AC"/>
    <w:rsid w:val="00904426"/>
    <w:rsid w:val="009054A0"/>
    <w:rsid w:val="009067E5"/>
    <w:rsid w:val="009070A5"/>
    <w:rsid w:val="0090736E"/>
    <w:rsid w:val="009075FB"/>
    <w:rsid w:val="00907829"/>
    <w:rsid w:val="009105DF"/>
    <w:rsid w:val="009115B4"/>
    <w:rsid w:val="0091190E"/>
    <w:rsid w:val="00912C46"/>
    <w:rsid w:val="0091329F"/>
    <w:rsid w:val="009135A5"/>
    <w:rsid w:val="009136DD"/>
    <w:rsid w:val="009136F0"/>
    <w:rsid w:val="00913BDB"/>
    <w:rsid w:val="00914482"/>
    <w:rsid w:val="0091455B"/>
    <w:rsid w:val="00914B7B"/>
    <w:rsid w:val="009163F2"/>
    <w:rsid w:val="00916881"/>
    <w:rsid w:val="00916950"/>
    <w:rsid w:val="00916AFB"/>
    <w:rsid w:val="00916DB0"/>
    <w:rsid w:val="0091758E"/>
    <w:rsid w:val="0092036A"/>
    <w:rsid w:val="00920554"/>
    <w:rsid w:val="0092102B"/>
    <w:rsid w:val="00921412"/>
    <w:rsid w:val="009214A9"/>
    <w:rsid w:val="0092177A"/>
    <w:rsid w:val="00922D5B"/>
    <w:rsid w:val="00923A42"/>
    <w:rsid w:val="00923AF0"/>
    <w:rsid w:val="00923D02"/>
    <w:rsid w:val="00923FC7"/>
    <w:rsid w:val="00924ED9"/>
    <w:rsid w:val="0092529C"/>
    <w:rsid w:val="00925E92"/>
    <w:rsid w:val="009265E2"/>
    <w:rsid w:val="00927223"/>
    <w:rsid w:val="00927A8D"/>
    <w:rsid w:val="00927DC6"/>
    <w:rsid w:val="00930497"/>
    <w:rsid w:val="00930723"/>
    <w:rsid w:val="00930848"/>
    <w:rsid w:val="00931582"/>
    <w:rsid w:val="00931BE3"/>
    <w:rsid w:val="00932813"/>
    <w:rsid w:val="00932A1F"/>
    <w:rsid w:val="00933432"/>
    <w:rsid w:val="00933519"/>
    <w:rsid w:val="00933F08"/>
    <w:rsid w:val="00934001"/>
    <w:rsid w:val="00934B44"/>
    <w:rsid w:val="00934E15"/>
    <w:rsid w:val="00936726"/>
    <w:rsid w:val="00937F32"/>
    <w:rsid w:val="0093F51E"/>
    <w:rsid w:val="00940064"/>
    <w:rsid w:val="009400A6"/>
    <w:rsid w:val="009402D1"/>
    <w:rsid w:val="009407EC"/>
    <w:rsid w:val="0094193A"/>
    <w:rsid w:val="009419B8"/>
    <w:rsid w:val="00942ACA"/>
    <w:rsid w:val="00943113"/>
    <w:rsid w:val="009433DF"/>
    <w:rsid w:val="00943513"/>
    <w:rsid w:val="00943975"/>
    <w:rsid w:val="00943E1D"/>
    <w:rsid w:val="00943F03"/>
    <w:rsid w:val="0094458B"/>
    <w:rsid w:val="009448A4"/>
    <w:rsid w:val="00945A42"/>
    <w:rsid w:val="00945E24"/>
    <w:rsid w:val="009469E8"/>
    <w:rsid w:val="009469FB"/>
    <w:rsid w:val="00946AF2"/>
    <w:rsid w:val="00946E27"/>
    <w:rsid w:val="0095025D"/>
    <w:rsid w:val="00950DF3"/>
    <w:rsid w:val="00953378"/>
    <w:rsid w:val="00953713"/>
    <w:rsid w:val="0095464C"/>
    <w:rsid w:val="00954ADA"/>
    <w:rsid w:val="00955776"/>
    <w:rsid w:val="00955EC2"/>
    <w:rsid w:val="00956EEE"/>
    <w:rsid w:val="00957A9F"/>
    <w:rsid w:val="00960939"/>
    <w:rsid w:val="00960D50"/>
    <w:rsid w:val="0096161C"/>
    <w:rsid w:val="00961FCC"/>
    <w:rsid w:val="00962C8C"/>
    <w:rsid w:val="00962DA3"/>
    <w:rsid w:val="00962FA6"/>
    <w:rsid w:val="00963370"/>
    <w:rsid w:val="00963583"/>
    <w:rsid w:val="00963BDD"/>
    <w:rsid w:val="00964640"/>
    <w:rsid w:val="009648A9"/>
    <w:rsid w:val="00967019"/>
    <w:rsid w:val="00967CD2"/>
    <w:rsid w:val="00970927"/>
    <w:rsid w:val="0097109C"/>
    <w:rsid w:val="00971266"/>
    <w:rsid w:val="009715BD"/>
    <w:rsid w:val="00972424"/>
    <w:rsid w:val="00972554"/>
    <w:rsid w:val="009731DC"/>
    <w:rsid w:val="0097354D"/>
    <w:rsid w:val="00973580"/>
    <w:rsid w:val="00973DA7"/>
    <w:rsid w:val="009743C7"/>
    <w:rsid w:val="0097445D"/>
    <w:rsid w:val="0097476B"/>
    <w:rsid w:val="00974BE9"/>
    <w:rsid w:val="00975178"/>
    <w:rsid w:val="0097540F"/>
    <w:rsid w:val="00975814"/>
    <w:rsid w:val="00975CB0"/>
    <w:rsid w:val="009769CA"/>
    <w:rsid w:val="00976A52"/>
    <w:rsid w:val="00976CEF"/>
    <w:rsid w:val="00977094"/>
    <w:rsid w:val="0097720F"/>
    <w:rsid w:val="00977767"/>
    <w:rsid w:val="00977CF6"/>
    <w:rsid w:val="00981818"/>
    <w:rsid w:val="009821BB"/>
    <w:rsid w:val="00982764"/>
    <w:rsid w:val="00982825"/>
    <w:rsid w:val="00983467"/>
    <w:rsid w:val="00983EAD"/>
    <w:rsid w:val="009843EA"/>
    <w:rsid w:val="00984B28"/>
    <w:rsid w:val="009852A2"/>
    <w:rsid w:val="0098551C"/>
    <w:rsid w:val="009861EC"/>
    <w:rsid w:val="0098655E"/>
    <w:rsid w:val="00987321"/>
    <w:rsid w:val="0098755D"/>
    <w:rsid w:val="00987AFA"/>
    <w:rsid w:val="009901A2"/>
    <w:rsid w:val="00990E21"/>
    <w:rsid w:val="00990F6D"/>
    <w:rsid w:val="00990FE8"/>
    <w:rsid w:val="00991E29"/>
    <w:rsid w:val="00992A5E"/>
    <w:rsid w:val="0099305B"/>
    <w:rsid w:val="00993173"/>
    <w:rsid w:val="009931F7"/>
    <w:rsid w:val="00994676"/>
    <w:rsid w:val="00994A3A"/>
    <w:rsid w:val="00995DA7"/>
    <w:rsid w:val="00995F19"/>
    <w:rsid w:val="00997475"/>
    <w:rsid w:val="00997AB3"/>
    <w:rsid w:val="009A0126"/>
    <w:rsid w:val="009A0D24"/>
    <w:rsid w:val="009A13BC"/>
    <w:rsid w:val="009A1541"/>
    <w:rsid w:val="009A187D"/>
    <w:rsid w:val="009A18C9"/>
    <w:rsid w:val="009A1CA0"/>
    <w:rsid w:val="009A2E4B"/>
    <w:rsid w:val="009A3090"/>
    <w:rsid w:val="009A49A6"/>
    <w:rsid w:val="009A4C6A"/>
    <w:rsid w:val="009A5AF1"/>
    <w:rsid w:val="009A660F"/>
    <w:rsid w:val="009A6AF3"/>
    <w:rsid w:val="009A6C51"/>
    <w:rsid w:val="009A7789"/>
    <w:rsid w:val="009B072B"/>
    <w:rsid w:val="009B163A"/>
    <w:rsid w:val="009B1A3F"/>
    <w:rsid w:val="009B1E9B"/>
    <w:rsid w:val="009B221E"/>
    <w:rsid w:val="009B24A0"/>
    <w:rsid w:val="009B2613"/>
    <w:rsid w:val="009B2CAF"/>
    <w:rsid w:val="009B2CE7"/>
    <w:rsid w:val="009B3192"/>
    <w:rsid w:val="009B36B5"/>
    <w:rsid w:val="009B3BB2"/>
    <w:rsid w:val="009B3C6B"/>
    <w:rsid w:val="009B3CD3"/>
    <w:rsid w:val="009B51AA"/>
    <w:rsid w:val="009B5399"/>
    <w:rsid w:val="009B5531"/>
    <w:rsid w:val="009B558E"/>
    <w:rsid w:val="009B5CDB"/>
    <w:rsid w:val="009B6E22"/>
    <w:rsid w:val="009B6F92"/>
    <w:rsid w:val="009B76CF"/>
    <w:rsid w:val="009B7A77"/>
    <w:rsid w:val="009C001D"/>
    <w:rsid w:val="009C02A4"/>
    <w:rsid w:val="009C06C0"/>
    <w:rsid w:val="009C1497"/>
    <w:rsid w:val="009C1A02"/>
    <w:rsid w:val="009C207E"/>
    <w:rsid w:val="009C22B0"/>
    <w:rsid w:val="009C234D"/>
    <w:rsid w:val="009C2F4C"/>
    <w:rsid w:val="009C2FDC"/>
    <w:rsid w:val="009C4364"/>
    <w:rsid w:val="009C5318"/>
    <w:rsid w:val="009C5C5A"/>
    <w:rsid w:val="009C6C29"/>
    <w:rsid w:val="009C79A3"/>
    <w:rsid w:val="009D2078"/>
    <w:rsid w:val="009D24CB"/>
    <w:rsid w:val="009D2735"/>
    <w:rsid w:val="009D2901"/>
    <w:rsid w:val="009D4ADE"/>
    <w:rsid w:val="009D4C29"/>
    <w:rsid w:val="009D4C4D"/>
    <w:rsid w:val="009D5B08"/>
    <w:rsid w:val="009D741F"/>
    <w:rsid w:val="009E01D3"/>
    <w:rsid w:val="009E06D7"/>
    <w:rsid w:val="009E0D0A"/>
    <w:rsid w:val="009E213B"/>
    <w:rsid w:val="009E298B"/>
    <w:rsid w:val="009E337A"/>
    <w:rsid w:val="009E36EE"/>
    <w:rsid w:val="009E389B"/>
    <w:rsid w:val="009E3CBB"/>
    <w:rsid w:val="009E4B10"/>
    <w:rsid w:val="009E508B"/>
    <w:rsid w:val="009E5D17"/>
    <w:rsid w:val="009E7A1F"/>
    <w:rsid w:val="009F0154"/>
    <w:rsid w:val="009F0BF1"/>
    <w:rsid w:val="009F13DE"/>
    <w:rsid w:val="009F1C6A"/>
    <w:rsid w:val="009F216C"/>
    <w:rsid w:val="009F2868"/>
    <w:rsid w:val="009F2927"/>
    <w:rsid w:val="009F2928"/>
    <w:rsid w:val="009F2DDB"/>
    <w:rsid w:val="009F3042"/>
    <w:rsid w:val="009F3059"/>
    <w:rsid w:val="009F30AE"/>
    <w:rsid w:val="009F3519"/>
    <w:rsid w:val="009F4E5F"/>
    <w:rsid w:val="009F5C7D"/>
    <w:rsid w:val="009F664F"/>
    <w:rsid w:val="009F672C"/>
    <w:rsid w:val="009F67AD"/>
    <w:rsid w:val="009F70B8"/>
    <w:rsid w:val="009F7430"/>
    <w:rsid w:val="009F76D6"/>
    <w:rsid w:val="00A00478"/>
    <w:rsid w:val="00A00AE6"/>
    <w:rsid w:val="00A00F44"/>
    <w:rsid w:val="00A00F86"/>
    <w:rsid w:val="00A0136F"/>
    <w:rsid w:val="00A01504"/>
    <w:rsid w:val="00A0254F"/>
    <w:rsid w:val="00A02BEF"/>
    <w:rsid w:val="00A03E56"/>
    <w:rsid w:val="00A04C9E"/>
    <w:rsid w:val="00A0542C"/>
    <w:rsid w:val="00A055F1"/>
    <w:rsid w:val="00A05A6A"/>
    <w:rsid w:val="00A0651D"/>
    <w:rsid w:val="00A068BB"/>
    <w:rsid w:val="00A07BFE"/>
    <w:rsid w:val="00A1031E"/>
    <w:rsid w:val="00A103A0"/>
    <w:rsid w:val="00A10F29"/>
    <w:rsid w:val="00A12547"/>
    <w:rsid w:val="00A12C92"/>
    <w:rsid w:val="00A12DA7"/>
    <w:rsid w:val="00A1371E"/>
    <w:rsid w:val="00A13731"/>
    <w:rsid w:val="00A142D6"/>
    <w:rsid w:val="00A14D06"/>
    <w:rsid w:val="00A1516F"/>
    <w:rsid w:val="00A156EF"/>
    <w:rsid w:val="00A164B9"/>
    <w:rsid w:val="00A16EE8"/>
    <w:rsid w:val="00A17D60"/>
    <w:rsid w:val="00A2057A"/>
    <w:rsid w:val="00A205C2"/>
    <w:rsid w:val="00A20FB7"/>
    <w:rsid w:val="00A2172E"/>
    <w:rsid w:val="00A21758"/>
    <w:rsid w:val="00A21FE9"/>
    <w:rsid w:val="00A22B4F"/>
    <w:rsid w:val="00A22E16"/>
    <w:rsid w:val="00A230E0"/>
    <w:rsid w:val="00A23203"/>
    <w:rsid w:val="00A234A7"/>
    <w:rsid w:val="00A235BD"/>
    <w:rsid w:val="00A2380B"/>
    <w:rsid w:val="00A24B6C"/>
    <w:rsid w:val="00A25C1E"/>
    <w:rsid w:val="00A26F92"/>
    <w:rsid w:val="00A27C28"/>
    <w:rsid w:val="00A302AD"/>
    <w:rsid w:val="00A30556"/>
    <w:rsid w:val="00A3059D"/>
    <w:rsid w:val="00A30C81"/>
    <w:rsid w:val="00A30E65"/>
    <w:rsid w:val="00A31278"/>
    <w:rsid w:val="00A31AA4"/>
    <w:rsid w:val="00A31C64"/>
    <w:rsid w:val="00A32653"/>
    <w:rsid w:val="00A32A42"/>
    <w:rsid w:val="00A32EA1"/>
    <w:rsid w:val="00A3343B"/>
    <w:rsid w:val="00A3635E"/>
    <w:rsid w:val="00A36370"/>
    <w:rsid w:val="00A3687C"/>
    <w:rsid w:val="00A36DA6"/>
    <w:rsid w:val="00A36F8A"/>
    <w:rsid w:val="00A37888"/>
    <w:rsid w:val="00A37E10"/>
    <w:rsid w:val="00A41956"/>
    <w:rsid w:val="00A42256"/>
    <w:rsid w:val="00A424DE"/>
    <w:rsid w:val="00A425F3"/>
    <w:rsid w:val="00A429F0"/>
    <w:rsid w:val="00A431C7"/>
    <w:rsid w:val="00A4327A"/>
    <w:rsid w:val="00A43ACE"/>
    <w:rsid w:val="00A441F5"/>
    <w:rsid w:val="00A44303"/>
    <w:rsid w:val="00A445D9"/>
    <w:rsid w:val="00A4475A"/>
    <w:rsid w:val="00A44AC5"/>
    <w:rsid w:val="00A456A1"/>
    <w:rsid w:val="00A466D1"/>
    <w:rsid w:val="00A468B3"/>
    <w:rsid w:val="00A47B19"/>
    <w:rsid w:val="00A47B6C"/>
    <w:rsid w:val="00A47EBA"/>
    <w:rsid w:val="00A50113"/>
    <w:rsid w:val="00A50E7B"/>
    <w:rsid w:val="00A51023"/>
    <w:rsid w:val="00A5162E"/>
    <w:rsid w:val="00A5262D"/>
    <w:rsid w:val="00A531D2"/>
    <w:rsid w:val="00A54F87"/>
    <w:rsid w:val="00A55095"/>
    <w:rsid w:val="00A562CF"/>
    <w:rsid w:val="00A568AC"/>
    <w:rsid w:val="00A56CE4"/>
    <w:rsid w:val="00A56F07"/>
    <w:rsid w:val="00A56F49"/>
    <w:rsid w:val="00A571A8"/>
    <w:rsid w:val="00A57E3E"/>
    <w:rsid w:val="00A603CD"/>
    <w:rsid w:val="00A608FB"/>
    <w:rsid w:val="00A62225"/>
    <w:rsid w:val="00A6234E"/>
    <w:rsid w:val="00A63140"/>
    <w:rsid w:val="00A632DD"/>
    <w:rsid w:val="00A637A4"/>
    <w:rsid w:val="00A642B1"/>
    <w:rsid w:val="00A64ADE"/>
    <w:rsid w:val="00A65910"/>
    <w:rsid w:val="00A6612D"/>
    <w:rsid w:val="00A665E8"/>
    <w:rsid w:val="00A66902"/>
    <w:rsid w:val="00A67402"/>
    <w:rsid w:val="00A67FD2"/>
    <w:rsid w:val="00A70334"/>
    <w:rsid w:val="00A70A0A"/>
    <w:rsid w:val="00A70E4B"/>
    <w:rsid w:val="00A70F42"/>
    <w:rsid w:val="00A714F9"/>
    <w:rsid w:val="00A719DF"/>
    <w:rsid w:val="00A72B9C"/>
    <w:rsid w:val="00A73E51"/>
    <w:rsid w:val="00A744AC"/>
    <w:rsid w:val="00A74D30"/>
    <w:rsid w:val="00A76173"/>
    <w:rsid w:val="00A76576"/>
    <w:rsid w:val="00A76F16"/>
    <w:rsid w:val="00A77358"/>
    <w:rsid w:val="00A77BBD"/>
    <w:rsid w:val="00A77DC8"/>
    <w:rsid w:val="00A80A59"/>
    <w:rsid w:val="00A80CCA"/>
    <w:rsid w:val="00A810CE"/>
    <w:rsid w:val="00A83283"/>
    <w:rsid w:val="00A836A0"/>
    <w:rsid w:val="00A83AFC"/>
    <w:rsid w:val="00A83C71"/>
    <w:rsid w:val="00A83E47"/>
    <w:rsid w:val="00A8525C"/>
    <w:rsid w:val="00A86C83"/>
    <w:rsid w:val="00A90377"/>
    <w:rsid w:val="00A9081A"/>
    <w:rsid w:val="00A90F0B"/>
    <w:rsid w:val="00A926DE"/>
    <w:rsid w:val="00A92C66"/>
    <w:rsid w:val="00A930B8"/>
    <w:rsid w:val="00A93AE0"/>
    <w:rsid w:val="00A93E27"/>
    <w:rsid w:val="00A9400E"/>
    <w:rsid w:val="00A9484A"/>
    <w:rsid w:val="00A9533A"/>
    <w:rsid w:val="00A96417"/>
    <w:rsid w:val="00A96D00"/>
    <w:rsid w:val="00A97BAF"/>
    <w:rsid w:val="00A9EE14"/>
    <w:rsid w:val="00AA000C"/>
    <w:rsid w:val="00AA0DB0"/>
    <w:rsid w:val="00AA19D1"/>
    <w:rsid w:val="00AA249C"/>
    <w:rsid w:val="00AA2D94"/>
    <w:rsid w:val="00AA343B"/>
    <w:rsid w:val="00AA3461"/>
    <w:rsid w:val="00AA37BC"/>
    <w:rsid w:val="00AA3FCE"/>
    <w:rsid w:val="00AA41D2"/>
    <w:rsid w:val="00AA4826"/>
    <w:rsid w:val="00AA48B3"/>
    <w:rsid w:val="00AA5B69"/>
    <w:rsid w:val="00AA5D65"/>
    <w:rsid w:val="00AA612F"/>
    <w:rsid w:val="00AA657A"/>
    <w:rsid w:val="00AA685C"/>
    <w:rsid w:val="00AA72F2"/>
    <w:rsid w:val="00AAE68B"/>
    <w:rsid w:val="00AB045B"/>
    <w:rsid w:val="00AB0944"/>
    <w:rsid w:val="00AB0CBB"/>
    <w:rsid w:val="00AB1CBA"/>
    <w:rsid w:val="00AB1E85"/>
    <w:rsid w:val="00AB226B"/>
    <w:rsid w:val="00AB22BE"/>
    <w:rsid w:val="00AB2A4F"/>
    <w:rsid w:val="00AB2BF4"/>
    <w:rsid w:val="00AB3531"/>
    <w:rsid w:val="00AB36C1"/>
    <w:rsid w:val="00AB36F3"/>
    <w:rsid w:val="00AB4098"/>
    <w:rsid w:val="00AB4780"/>
    <w:rsid w:val="00AB4AF2"/>
    <w:rsid w:val="00AB51F2"/>
    <w:rsid w:val="00AB54CF"/>
    <w:rsid w:val="00AB5F27"/>
    <w:rsid w:val="00AB672D"/>
    <w:rsid w:val="00AB7185"/>
    <w:rsid w:val="00AB75D9"/>
    <w:rsid w:val="00AB7BDB"/>
    <w:rsid w:val="00AC02BF"/>
    <w:rsid w:val="00AC0A9A"/>
    <w:rsid w:val="00AC0E13"/>
    <w:rsid w:val="00AC0EB7"/>
    <w:rsid w:val="00AC0EDA"/>
    <w:rsid w:val="00AC17AD"/>
    <w:rsid w:val="00AC1E3D"/>
    <w:rsid w:val="00AC1F4F"/>
    <w:rsid w:val="00AC23A2"/>
    <w:rsid w:val="00AC3347"/>
    <w:rsid w:val="00AC35AE"/>
    <w:rsid w:val="00AC38DC"/>
    <w:rsid w:val="00AC6573"/>
    <w:rsid w:val="00AC679F"/>
    <w:rsid w:val="00AC6AA9"/>
    <w:rsid w:val="00AC6CFA"/>
    <w:rsid w:val="00AC75EF"/>
    <w:rsid w:val="00AC78DE"/>
    <w:rsid w:val="00AC7C41"/>
    <w:rsid w:val="00AD02AF"/>
    <w:rsid w:val="00AD075C"/>
    <w:rsid w:val="00AD0F52"/>
    <w:rsid w:val="00AD0FFE"/>
    <w:rsid w:val="00AD176B"/>
    <w:rsid w:val="00AD189D"/>
    <w:rsid w:val="00AD18DC"/>
    <w:rsid w:val="00AD2392"/>
    <w:rsid w:val="00AD2D4C"/>
    <w:rsid w:val="00AD38AF"/>
    <w:rsid w:val="00AD4597"/>
    <w:rsid w:val="00AD4B1A"/>
    <w:rsid w:val="00AD4ECE"/>
    <w:rsid w:val="00AD6807"/>
    <w:rsid w:val="00AD6C29"/>
    <w:rsid w:val="00AD6ED5"/>
    <w:rsid w:val="00AD6F6E"/>
    <w:rsid w:val="00AD7572"/>
    <w:rsid w:val="00AD7E0F"/>
    <w:rsid w:val="00AE09C6"/>
    <w:rsid w:val="00AE0D03"/>
    <w:rsid w:val="00AE0FCF"/>
    <w:rsid w:val="00AE1749"/>
    <w:rsid w:val="00AE19BE"/>
    <w:rsid w:val="00AE1C46"/>
    <w:rsid w:val="00AE21DD"/>
    <w:rsid w:val="00AE2357"/>
    <w:rsid w:val="00AE2744"/>
    <w:rsid w:val="00AE30DF"/>
    <w:rsid w:val="00AE327F"/>
    <w:rsid w:val="00AE424B"/>
    <w:rsid w:val="00AE45C7"/>
    <w:rsid w:val="00AE4B46"/>
    <w:rsid w:val="00AE4E7F"/>
    <w:rsid w:val="00AE526B"/>
    <w:rsid w:val="00AE5E61"/>
    <w:rsid w:val="00AE624D"/>
    <w:rsid w:val="00AE6A8D"/>
    <w:rsid w:val="00AE70B9"/>
    <w:rsid w:val="00AE7BE0"/>
    <w:rsid w:val="00AF01DE"/>
    <w:rsid w:val="00AF037C"/>
    <w:rsid w:val="00AF1FAB"/>
    <w:rsid w:val="00AF29AA"/>
    <w:rsid w:val="00AF431A"/>
    <w:rsid w:val="00AF46FA"/>
    <w:rsid w:val="00AF47B6"/>
    <w:rsid w:val="00AF490D"/>
    <w:rsid w:val="00AF598D"/>
    <w:rsid w:val="00AF5CD3"/>
    <w:rsid w:val="00AF69CB"/>
    <w:rsid w:val="00AF6A5D"/>
    <w:rsid w:val="00AF7204"/>
    <w:rsid w:val="00AF721E"/>
    <w:rsid w:val="00AF7D7A"/>
    <w:rsid w:val="00AF7E5E"/>
    <w:rsid w:val="00B00054"/>
    <w:rsid w:val="00B008F4"/>
    <w:rsid w:val="00B00E20"/>
    <w:rsid w:val="00B00ED6"/>
    <w:rsid w:val="00B01602"/>
    <w:rsid w:val="00B01928"/>
    <w:rsid w:val="00B01A4E"/>
    <w:rsid w:val="00B0284F"/>
    <w:rsid w:val="00B039A0"/>
    <w:rsid w:val="00B03B16"/>
    <w:rsid w:val="00B03F2D"/>
    <w:rsid w:val="00B04B40"/>
    <w:rsid w:val="00B04CF1"/>
    <w:rsid w:val="00B05BE9"/>
    <w:rsid w:val="00B05BEB"/>
    <w:rsid w:val="00B06008"/>
    <w:rsid w:val="00B06C04"/>
    <w:rsid w:val="00B071EE"/>
    <w:rsid w:val="00B0739F"/>
    <w:rsid w:val="00B07ACF"/>
    <w:rsid w:val="00B07CFC"/>
    <w:rsid w:val="00B10407"/>
    <w:rsid w:val="00B107A3"/>
    <w:rsid w:val="00B10DDD"/>
    <w:rsid w:val="00B10F56"/>
    <w:rsid w:val="00B110E3"/>
    <w:rsid w:val="00B11181"/>
    <w:rsid w:val="00B111A2"/>
    <w:rsid w:val="00B125AD"/>
    <w:rsid w:val="00B12CAA"/>
    <w:rsid w:val="00B143B9"/>
    <w:rsid w:val="00B14CC5"/>
    <w:rsid w:val="00B1713D"/>
    <w:rsid w:val="00B17A8C"/>
    <w:rsid w:val="00B17E6C"/>
    <w:rsid w:val="00B2056A"/>
    <w:rsid w:val="00B208B9"/>
    <w:rsid w:val="00B21FF4"/>
    <w:rsid w:val="00B226F9"/>
    <w:rsid w:val="00B22C65"/>
    <w:rsid w:val="00B23C8B"/>
    <w:rsid w:val="00B2419F"/>
    <w:rsid w:val="00B2430B"/>
    <w:rsid w:val="00B267E3"/>
    <w:rsid w:val="00B26AB7"/>
    <w:rsid w:val="00B27DFB"/>
    <w:rsid w:val="00B300E5"/>
    <w:rsid w:val="00B30924"/>
    <w:rsid w:val="00B30D34"/>
    <w:rsid w:val="00B3133A"/>
    <w:rsid w:val="00B316EA"/>
    <w:rsid w:val="00B31E8E"/>
    <w:rsid w:val="00B32AD5"/>
    <w:rsid w:val="00B32BA2"/>
    <w:rsid w:val="00B33104"/>
    <w:rsid w:val="00B339A4"/>
    <w:rsid w:val="00B33B0E"/>
    <w:rsid w:val="00B33DC0"/>
    <w:rsid w:val="00B34A53"/>
    <w:rsid w:val="00B34B70"/>
    <w:rsid w:val="00B35632"/>
    <w:rsid w:val="00B36ECF"/>
    <w:rsid w:val="00B3745D"/>
    <w:rsid w:val="00B378F8"/>
    <w:rsid w:val="00B420A2"/>
    <w:rsid w:val="00B43D27"/>
    <w:rsid w:val="00B43E3E"/>
    <w:rsid w:val="00B441A8"/>
    <w:rsid w:val="00B44CBC"/>
    <w:rsid w:val="00B460E1"/>
    <w:rsid w:val="00B46609"/>
    <w:rsid w:val="00B467D6"/>
    <w:rsid w:val="00B50E14"/>
    <w:rsid w:val="00B51545"/>
    <w:rsid w:val="00B520CD"/>
    <w:rsid w:val="00B54B6C"/>
    <w:rsid w:val="00B5562A"/>
    <w:rsid w:val="00B55BD4"/>
    <w:rsid w:val="00B55DAB"/>
    <w:rsid w:val="00B5628C"/>
    <w:rsid w:val="00B5754F"/>
    <w:rsid w:val="00B57B93"/>
    <w:rsid w:val="00B60900"/>
    <w:rsid w:val="00B6124A"/>
    <w:rsid w:val="00B6233B"/>
    <w:rsid w:val="00B625A2"/>
    <w:rsid w:val="00B62AFA"/>
    <w:rsid w:val="00B62D0B"/>
    <w:rsid w:val="00B63DF9"/>
    <w:rsid w:val="00B647E8"/>
    <w:rsid w:val="00B64B75"/>
    <w:rsid w:val="00B64C3B"/>
    <w:rsid w:val="00B65B11"/>
    <w:rsid w:val="00B669A5"/>
    <w:rsid w:val="00B67153"/>
    <w:rsid w:val="00B67A54"/>
    <w:rsid w:val="00B67ECD"/>
    <w:rsid w:val="00B70859"/>
    <w:rsid w:val="00B70B75"/>
    <w:rsid w:val="00B70D89"/>
    <w:rsid w:val="00B715D2"/>
    <w:rsid w:val="00B727B2"/>
    <w:rsid w:val="00B73677"/>
    <w:rsid w:val="00B74B49"/>
    <w:rsid w:val="00B762A8"/>
    <w:rsid w:val="00B76455"/>
    <w:rsid w:val="00B77DCF"/>
    <w:rsid w:val="00B77E5E"/>
    <w:rsid w:val="00B8012D"/>
    <w:rsid w:val="00B8120E"/>
    <w:rsid w:val="00B816AB"/>
    <w:rsid w:val="00B81CBB"/>
    <w:rsid w:val="00B82099"/>
    <w:rsid w:val="00B8243B"/>
    <w:rsid w:val="00B8284A"/>
    <w:rsid w:val="00B82DAD"/>
    <w:rsid w:val="00B83267"/>
    <w:rsid w:val="00B83288"/>
    <w:rsid w:val="00B835F8"/>
    <w:rsid w:val="00B837EB"/>
    <w:rsid w:val="00B83ABC"/>
    <w:rsid w:val="00B84824"/>
    <w:rsid w:val="00B84AEA"/>
    <w:rsid w:val="00B8569B"/>
    <w:rsid w:val="00B90296"/>
    <w:rsid w:val="00B90491"/>
    <w:rsid w:val="00B90597"/>
    <w:rsid w:val="00B910AC"/>
    <w:rsid w:val="00B91766"/>
    <w:rsid w:val="00B91971"/>
    <w:rsid w:val="00B925FA"/>
    <w:rsid w:val="00B92EF7"/>
    <w:rsid w:val="00B92F95"/>
    <w:rsid w:val="00B93FFB"/>
    <w:rsid w:val="00B943FE"/>
    <w:rsid w:val="00B94507"/>
    <w:rsid w:val="00B94718"/>
    <w:rsid w:val="00B95054"/>
    <w:rsid w:val="00B9581D"/>
    <w:rsid w:val="00B95A20"/>
    <w:rsid w:val="00B970DA"/>
    <w:rsid w:val="00B9759E"/>
    <w:rsid w:val="00BA0104"/>
    <w:rsid w:val="00BA125F"/>
    <w:rsid w:val="00BA137E"/>
    <w:rsid w:val="00BA2945"/>
    <w:rsid w:val="00BA2A4F"/>
    <w:rsid w:val="00BA3072"/>
    <w:rsid w:val="00BA30D1"/>
    <w:rsid w:val="00BA3974"/>
    <w:rsid w:val="00BA4646"/>
    <w:rsid w:val="00BA4ABA"/>
    <w:rsid w:val="00BA5510"/>
    <w:rsid w:val="00BA5B05"/>
    <w:rsid w:val="00BA5D5A"/>
    <w:rsid w:val="00BA5EEE"/>
    <w:rsid w:val="00BA65AC"/>
    <w:rsid w:val="00BA6D23"/>
    <w:rsid w:val="00BA6E14"/>
    <w:rsid w:val="00BA7238"/>
    <w:rsid w:val="00BA75D9"/>
    <w:rsid w:val="00BA786A"/>
    <w:rsid w:val="00BA7F06"/>
    <w:rsid w:val="00BA7F9D"/>
    <w:rsid w:val="00BB11BA"/>
    <w:rsid w:val="00BB11C6"/>
    <w:rsid w:val="00BB1F33"/>
    <w:rsid w:val="00BB320D"/>
    <w:rsid w:val="00BB5343"/>
    <w:rsid w:val="00BB5F6C"/>
    <w:rsid w:val="00BB695F"/>
    <w:rsid w:val="00BB78C7"/>
    <w:rsid w:val="00BC0F4E"/>
    <w:rsid w:val="00BC1C6F"/>
    <w:rsid w:val="00BC1CEE"/>
    <w:rsid w:val="00BC2C3C"/>
    <w:rsid w:val="00BC38C7"/>
    <w:rsid w:val="00BC395D"/>
    <w:rsid w:val="00BC4444"/>
    <w:rsid w:val="00BC49BD"/>
    <w:rsid w:val="00BC49F2"/>
    <w:rsid w:val="00BC6AE0"/>
    <w:rsid w:val="00BC6C2B"/>
    <w:rsid w:val="00BC7181"/>
    <w:rsid w:val="00BC743D"/>
    <w:rsid w:val="00BD0ADD"/>
    <w:rsid w:val="00BD0D9B"/>
    <w:rsid w:val="00BD2570"/>
    <w:rsid w:val="00BD2CC9"/>
    <w:rsid w:val="00BD3DF1"/>
    <w:rsid w:val="00BD4A56"/>
    <w:rsid w:val="00BD5307"/>
    <w:rsid w:val="00BD58C4"/>
    <w:rsid w:val="00BD59F3"/>
    <w:rsid w:val="00BD6783"/>
    <w:rsid w:val="00BD6E41"/>
    <w:rsid w:val="00BD75D3"/>
    <w:rsid w:val="00BD790B"/>
    <w:rsid w:val="00BD7BC2"/>
    <w:rsid w:val="00BD7C37"/>
    <w:rsid w:val="00BE1018"/>
    <w:rsid w:val="00BE10A3"/>
    <w:rsid w:val="00BE18D6"/>
    <w:rsid w:val="00BE1B0B"/>
    <w:rsid w:val="00BE2396"/>
    <w:rsid w:val="00BE2A57"/>
    <w:rsid w:val="00BE3D99"/>
    <w:rsid w:val="00BE3FA4"/>
    <w:rsid w:val="00BE438D"/>
    <w:rsid w:val="00BE43C9"/>
    <w:rsid w:val="00BE470C"/>
    <w:rsid w:val="00BE4874"/>
    <w:rsid w:val="00BE5252"/>
    <w:rsid w:val="00BE632F"/>
    <w:rsid w:val="00BE6630"/>
    <w:rsid w:val="00BE6951"/>
    <w:rsid w:val="00BE6C87"/>
    <w:rsid w:val="00BE7033"/>
    <w:rsid w:val="00BE7E55"/>
    <w:rsid w:val="00BF10E5"/>
    <w:rsid w:val="00BF1AED"/>
    <w:rsid w:val="00BF2FDE"/>
    <w:rsid w:val="00BF3B12"/>
    <w:rsid w:val="00BF3CD4"/>
    <w:rsid w:val="00BF40A9"/>
    <w:rsid w:val="00BF6113"/>
    <w:rsid w:val="00BF71D1"/>
    <w:rsid w:val="00BF76FA"/>
    <w:rsid w:val="00BF7D24"/>
    <w:rsid w:val="00BF7E1F"/>
    <w:rsid w:val="00C004EA"/>
    <w:rsid w:val="00C00D59"/>
    <w:rsid w:val="00C012D1"/>
    <w:rsid w:val="00C013A9"/>
    <w:rsid w:val="00C02164"/>
    <w:rsid w:val="00C023B6"/>
    <w:rsid w:val="00C0291A"/>
    <w:rsid w:val="00C02D90"/>
    <w:rsid w:val="00C038AA"/>
    <w:rsid w:val="00C03D5A"/>
    <w:rsid w:val="00C0510E"/>
    <w:rsid w:val="00C05120"/>
    <w:rsid w:val="00C05948"/>
    <w:rsid w:val="00C0625E"/>
    <w:rsid w:val="00C06C1A"/>
    <w:rsid w:val="00C07628"/>
    <w:rsid w:val="00C10FEE"/>
    <w:rsid w:val="00C1123C"/>
    <w:rsid w:val="00C12301"/>
    <w:rsid w:val="00C12B5F"/>
    <w:rsid w:val="00C12B76"/>
    <w:rsid w:val="00C12B9C"/>
    <w:rsid w:val="00C12D5B"/>
    <w:rsid w:val="00C13792"/>
    <w:rsid w:val="00C142F8"/>
    <w:rsid w:val="00C14B9A"/>
    <w:rsid w:val="00C1511F"/>
    <w:rsid w:val="00C15A50"/>
    <w:rsid w:val="00C15B88"/>
    <w:rsid w:val="00C16598"/>
    <w:rsid w:val="00C16D13"/>
    <w:rsid w:val="00C178F2"/>
    <w:rsid w:val="00C17987"/>
    <w:rsid w:val="00C2064A"/>
    <w:rsid w:val="00C21DA4"/>
    <w:rsid w:val="00C224FE"/>
    <w:rsid w:val="00C22AAA"/>
    <w:rsid w:val="00C236B0"/>
    <w:rsid w:val="00C244B4"/>
    <w:rsid w:val="00C253B0"/>
    <w:rsid w:val="00C25A75"/>
    <w:rsid w:val="00C25E35"/>
    <w:rsid w:val="00C260FB"/>
    <w:rsid w:val="00C2618A"/>
    <w:rsid w:val="00C26750"/>
    <w:rsid w:val="00C27798"/>
    <w:rsid w:val="00C27AEA"/>
    <w:rsid w:val="00C301CD"/>
    <w:rsid w:val="00C306B3"/>
    <w:rsid w:val="00C3144C"/>
    <w:rsid w:val="00C31546"/>
    <w:rsid w:val="00C319A3"/>
    <w:rsid w:val="00C31ADF"/>
    <w:rsid w:val="00C31FFA"/>
    <w:rsid w:val="00C323E4"/>
    <w:rsid w:val="00C336E4"/>
    <w:rsid w:val="00C33BC1"/>
    <w:rsid w:val="00C341A2"/>
    <w:rsid w:val="00C3500F"/>
    <w:rsid w:val="00C35221"/>
    <w:rsid w:val="00C3691F"/>
    <w:rsid w:val="00C36AB2"/>
    <w:rsid w:val="00C373DB"/>
    <w:rsid w:val="00C40406"/>
    <w:rsid w:val="00C40C49"/>
    <w:rsid w:val="00C40F56"/>
    <w:rsid w:val="00C4130F"/>
    <w:rsid w:val="00C4136F"/>
    <w:rsid w:val="00C42447"/>
    <w:rsid w:val="00C43668"/>
    <w:rsid w:val="00C45376"/>
    <w:rsid w:val="00C456EF"/>
    <w:rsid w:val="00C4753C"/>
    <w:rsid w:val="00C50079"/>
    <w:rsid w:val="00C50974"/>
    <w:rsid w:val="00C51990"/>
    <w:rsid w:val="00C51B7D"/>
    <w:rsid w:val="00C51E94"/>
    <w:rsid w:val="00C51F50"/>
    <w:rsid w:val="00C532ED"/>
    <w:rsid w:val="00C53474"/>
    <w:rsid w:val="00C53485"/>
    <w:rsid w:val="00C53616"/>
    <w:rsid w:val="00C53768"/>
    <w:rsid w:val="00C537F1"/>
    <w:rsid w:val="00C53EB4"/>
    <w:rsid w:val="00C54FE3"/>
    <w:rsid w:val="00C55319"/>
    <w:rsid w:val="00C556B6"/>
    <w:rsid w:val="00C55865"/>
    <w:rsid w:val="00C55984"/>
    <w:rsid w:val="00C5676E"/>
    <w:rsid w:val="00C56ACB"/>
    <w:rsid w:val="00C56C05"/>
    <w:rsid w:val="00C56E64"/>
    <w:rsid w:val="00C57660"/>
    <w:rsid w:val="00C57845"/>
    <w:rsid w:val="00C5793E"/>
    <w:rsid w:val="00C57A07"/>
    <w:rsid w:val="00C57C32"/>
    <w:rsid w:val="00C609DC"/>
    <w:rsid w:val="00C60B61"/>
    <w:rsid w:val="00C60B6F"/>
    <w:rsid w:val="00C62312"/>
    <w:rsid w:val="00C64663"/>
    <w:rsid w:val="00C6531A"/>
    <w:rsid w:val="00C65941"/>
    <w:rsid w:val="00C65993"/>
    <w:rsid w:val="00C66A25"/>
    <w:rsid w:val="00C66A8A"/>
    <w:rsid w:val="00C700B2"/>
    <w:rsid w:val="00C700D7"/>
    <w:rsid w:val="00C7046D"/>
    <w:rsid w:val="00C7069B"/>
    <w:rsid w:val="00C70A1A"/>
    <w:rsid w:val="00C70C1D"/>
    <w:rsid w:val="00C70CF7"/>
    <w:rsid w:val="00C70D47"/>
    <w:rsid w:val="00C71358"/>
    <w:rsid w:val="00C715CE"/>
    <w:rsid w:val="00C72B2D"/>
    <w:rsid w:val="00C73408"/>
    <w:rsid w:val="00C73BBA"/>
    <w:rsid w:val="00C73BCE"/>
    <w:rsid w:val="00C73FD8"/>
    <w:rsid w:val="00C7407E"/>
    <w:rsid w:val="00C7424A"/>
    <w:rsid w:val="00C74C14"/>
    <w:rsid w:val="00C74F68"/>
    <w:rsid w:val="00C7535E"/>
    <w:rsid w:val="00C75979"/>
    <w:rsid w:val="00C75F8B"/>
    <w:rsid w:val="00C76081"/>
    <w:rsid w:val="00C76168"/>
    <w:rsid w:val="00C776A2"/>
    <w:rsid w:val="00C80A04"/>
    <w:rsid w:val="00C80B54"/>
    <w:rsid w:val="00C80C89"/>
    <w:rsid w:val="00C80E29"/>
    <w:rsid w:val="00C81EFD"/>
    <w:rsid w:val="00C82523"/>
    <w:rsid w:val="00C82589"/>
    <w:rsid w:val="00C827A4"/>
    <w:rsid w:val="00C82C2D"/>
    <w:rsid w:val="00C82D57"/>
    <w:rsid w:val="00C82E17"/>
    <w:rsid w:val="00C83FCC"/>
    <w:rsid w:val="00C84977"/>
    <w:rsid w:val="00C84B92"/>
    <w:rsid w:val="00C84F2C"/>
    <w:rsid w:val="00C86195"/>
    <w:rsid w:val="00C86220"/>
    <w:rsid w:val="00C86EA0"/>
    <w:rsid w:val="00C87090"/>
    <w:rsid w:val="00C871F2"/>
    <w:rsid w:val="00C8741D"/>
    <w:rsid w:val="00C87DC9"/>
    <w:rsid w:val="00C90245"/>
    <w:rsid w:val="00C913B3"/>
    <w:rsid w:val="00C91F78"/>
    <w:rsid w:val="00C92455"/>
    <w:rsid w:val="00C92E46"/>
    <w:rsid w:val="00C92FFD"/>
    <w:rsid w:val="00C9376D"/>
    <w:rsid w:val="00C937E8"/>
    <w:rsid w:val="00C94244"/>
    <w:rsid w:val="00C94968"/>
    <w:rsid w:val="00C94DFC"/>
    <w:rsid w:val="00C97A32"/>
    <w:rsid w:val="00C97EED"/>
    <w:rsid w:val="00CA05AF"/>
    <w:rsid w:val="00CA0B3F"/>
    <w:rsid w:val="00CA0F25"/>
    <w:rsid w:val="00CA19BD"/>
    <w:rsid w:val="00CA1F6F"/>
    <w:rsid w:val="00CA2A93"/>
    <w:rsid w:val="00CA3A51"/>
    <w:rsid w:val="00CA3E5A"/>
    <w:rsid w:val="00CA4512"/>
    <w:rsid w:val="00CA4A24"/>
    <w:rsid w:val="00CA5656"/>
    <w:rsid w:val="00CA56BA"/>
    <w:rsid w:val="00CA717A"/>
    <w:rsid w:val="00CA75F7"/>
    <w:rsid w:val="00CB0676"/>
    <w:rsid w:val="00CB07A6"/>
    <w:rsid w:val="00CB0DD3"/>
    <w:rsid w:val="00CB199C"/>
    <w:rsid w:val="00CB22D1"/>
    <w:rsid w:val="00CB23EA"/>
    <w:rsid w:val="00CB3355"/>
    <w:rsid w:val="00CB3C66"/>
    <w:rsid w:val="00CB408D"/>
    <w:rsid w:val="00CB41BA"/>
    <w:rsid w:val="00CB5675"/>
    <w:rsid w:val="00CB59B9"/>
    <w:rsid w:val="00CC06B4"/>
    <w:rsid w:val="00CC1348"/>
    <w:rsid w:val="00CC16E7"/>
    <w:rsid w:val="00CC1741"/>
    <w:rsid w:val="00CC18F3"/>
    <w:rsid w:val="00CC2025"/>
    <w:rsid w:val="00CC255F"/>
    <w:rsid w:val="00CC25FC"/>
    <w:rsid w:val="00CC41DD"/>
    <w:rsid w:val="00CC4AB0"/>
    <w:rsid w:val="00CC5F96"/>
    <w:rsid w:val="00CC6BF8"/>
    <w:rsid w:val="00CC702A"/>
    <w:rsid w:val="00CC7B24"/>
    <w:rsid w:val="00CD0093"/>
    <w:rsid w:val="00CD0E33"/>
    <w:rsid w:val="00CD0EE5"/>
    <w:rsid w:val="00CD12F4"/>
    <w:rsid w:val="00CD19BA"/>
    <w:rsid w:val="00CD211E"/>
    <w:rsid w:val="00CD2905"/>
    <w:rsid w:val="00CD33B2"/>
    <w:rsid w:val="00CD43F1"/>
    <w:rsid w:val="00CD4664"/>
    <w:rsid w:val="00CD4D59"/>
    <w:rsid w:val="00CD598D"/>
    <w:rsid w:val="00CD5AC5"/>
    <w:rsid w:val="00CD5E7E"/>
    <w:rsid w:val="00CD66E1"/>
    <w:rsid w:val="00CD6D9E"/>
    <w:rsid w:val="00CD7E1D"/>
    <w:rsid w:val="00CE0793"/>
    <w:rsid w:val="00CE1DEA"/>
    <w:rsid w:val="00CE1EF3"/>
    <w:rsid w:val="00CE21B8"/>
    <w:rsid w:val="00CE222F"/>
    <w:rsid w:val="00CE2E96"/>
    <w:rsid w:val="00CE3459"/>
    <w:rsid w:val="00CE34C4"/>
    <w:rsid w:val="00CE34F5"/>
    <w:rsid w:val="00CE3544"/>
    <w:rsid w:val="00CE3883"/>
    <w:rsid w:val="00CE446E"/>
    <w:rsid w:val="00CE4B6F"/>
    <w:rsid w:val="00CE530E"/>
    <w:rsid w:val="00CE5400"/>
    <w:rsid w:val="00CE5989"/>
    <w:rsid w:val="00CE63CF"/>
    <w:rsid w:val="00CE7183"/>
    <w:rsid w:val="00CE723C"/>
    <w:rsid w:val="00CE72BB"/>
    <w:rsid w:val="00CF06B7"/>
    <w:rsid w:val="00CF0C12"/>
    <w:rsid w:val="00CF0F2F"/>
    <w:rsid w:val="00CF161C"/>
    <w:rsid w:val="00CF1B8A"/>
    <w:rsid w:val="00CF1BA3"/>
    <w:rsid w:val="00CF23BB"/>
    <w:rsid w:val="00CF24C6"/>
    <w:rsid w:val="00CF270B"/>
    <w:rsid w:val="00CF2D5A"/>
    <w:rsid w:val="00CF3327"/>
    <w:rsid w:val="00CF34D5"/>
    <w:rsid w:val="00CF3EFD"/>
    <w:rsid w:val="00CF419B"/>
    <w:rsid w:val="00CF450B"/>
    <w:rsid w:val="00CF457F"/>
    <w:rsid w:val="00CF4A5A"/>
    <w:rsid w:val="00CF571B"/>
    <w:rsid w:val="00CF60EB"/>
    <w:rsid w:val="00CF6C73"/>
    <w:rsid w:val="00CF71A4"/>
    <w:rsid w:val="00CF7881"/>
    <w:rsid w:val="00CF7CC4"/>
    <w:rsid w:val="00CF7DD0"/>
    <w:rsid w:val="00D0023E"/>
    <w:rsid w:val="00D00693"/>
    <w:rsid w:val="00D01488"/>
    <w:rsid w:val="00D01711"/>
    <w:rsid w:val="00D0444B"/>
    <w:rsid w:val="00D0575F"/>
    <w:rsid w:val="00D057B0"/>
    <w:rsid w:val="00D065C7"/>
    <w:rsid w:val="00D0710A"/>
    <w:rsid w:val="00D073F8"/>
    <w:rsid w:val="00D0792E"/>
    <w:rsid w:val="00D07CE4"/>
    <w:rsid w:val="00D1025B"/>
    <w:rsid w:val="00D10936"/>
    <w:rsid w:val="00D10A87"/>
    <w:rsid w:val="00D113DC"/>
    <w:rsid w:val="00D12094"/>
    <w:rsid w:val="00D12896"/>
    <w:rsid w:val="00D1291C"/>
    <w:rsid w:val="00D13293"/>
    <w:rsid w:val="00D14506"/>
    <w:rsid w:val="00D14636"/>
    <w:rsid w:val="00D156D7"/>
    <w:rsid w:val="00D15A06"/>
    <w:rsid w:val="00D16258"/>
    <w:rsid w:val="00D16285"/>
    <w:rsid w:val="00D162EE"/>
    <w:rsid w:val="00D16903"/>
    <w:rsid w:val="00D16C26"/>
    <w:rsid w:val="00D17630"/>
    <w:rsid w:val="00D17CFB"/>
    <w:rsid w:val="00D201B6"/>
    <w:rsid w:val="00D20381"/>
    <w:rsid w:val="00D21D96"/>
    <w:rsid w:val="00D225A4"/>
    <w:rsid w:val="00D22F84"/>
    <w:rsid w:val="00D24098"/>
    <w:rsid w:val="00D24C1F"/>
    <w:rsid w:val="00D250DC"/>
    <w:rsid w:val="00D25AFF"/>
    <w:rsid w:val="00D2699C"/>
    <w:rsid w:val="00D271E8"/>
    <w:rsid w:val="00D30791"/>
    <w:rsid w:val="00D319F3"/>
    <w:rsid w:val="00D3204B"/>
    <w:rsid w:val="00D3391C"/>
    <w:rsid w:val="00D33B49"/>
    <w:rsid w:val="00D34F46"/>
    <w:rsid w:val="00D361EC"/>
    <w:rsid w:val="00D36259"/>
    <w:rsid w:val="00D3656E"/>
    <w:rsid w:val="00D36FE4"/>
    <w:rsid w:val="00D37014"/>
    <w:rsid w:val="00D37787"/>
    <w:rsid w:val="00D377FD"/>
    <w:rsid w:val="00D40354"/>
    <w:rsid w:val="00D40B04"/>
    <w:rsid w:val="00D43649"/>
    <w:rsid w:val="00D43806"/>
    <w:rsid w:val="00D44553"/>
    <w:rsid w:val="00D45BDD"/>
    <w:rsid w:val="00D469DF"/>
    <w:rsid w:val="00D4737D"/>
    <w:rsid w:val="00D47908"/>
    <w:rsid w:val="00D50B11"/>
    <w:rsid w:val="00D511F8"/>
    <w:rsid w:val="00D51384"/>
    <w:rsid w:val="00D524A0"/>
    <w:rsid w:val="00D528C8"/>
    <w:rsid w:val="00D53266"/>
    <w:rsid w:val="00D53B43"/>
    <w:rsid w:val="00D53ECF"/>
    <w:rsid w:val="00D54C69"/>
    <w:rsid w:val="00D5500A"/>
    <w:rsid w:val="00D5618A"/>
    <w:rsid w:val="00D56F8E"/>
    <w:rsid w:val="00D57C9D"/>
    <w:rsid w:val="00D60E90"/>
    <w:rsid w:val="00D61A88"/>
    <w:rsid w:val="00D62BB2"/>
    <w:rsid w:val="00D63432"/>
    <w:rsid w:val="00D64361"/>
    <w:rsid w:val="00D65688"/>
    <w:rsid w:val="00D657DB"/>
    <w:rsid w:val="00D65E82"/>
    <w:rsid w:val="00D6610F"/>
    <w:rsid w:val="00D66CD0"/>
    <w:rsid w:val="00D6723D"/>
    <w:rsid w:val="00D67B0D"/>
    <w:rsid w:val="00D67C70"/>
    <w:rsid w:val="00D70319"/>
    <w:rsid w:val="00D70C47"/>
    <w:rsid w:val="00D711A8"/>
    <w:rsid w:val="00D729F8"/>
    <w:rsid w:val="00D73542"/>
    <w:rsid w:val="00D735FE"/>
    <w:rsid w:val="00D742E5"/>
    <w:rsid w:val="00D748D9"/>
    <w:rsid w:val="00D74FFB"/>
    <w:rsid w:val="00D760A1"/>
    <w:rsid w:val="00D7663A"/>
    <w:rsid w:val="00D76B23"/>
    <w:rsid w:val="00D80031"/>
    <w:rsid w:val="00D803D1"/>
    <w:rsid w:val="00D81050"/>
    <w:rsid w:val="00D82CD4"/>
    <w:rsid w:val="00D8383D"/>
    <w:rsid w:val="00D847B8"/>
    <w:rsid w:val="00D85490"/>
    <w:rsid w:val="00D85829"/>
    <w:rsid w:val="00D85937"/>
    <w:rsid w:val="00D85E7D"/>
    <w:rsid w:val="00D8600E"/>
    <w:rsid w:val="00D86E1A"/>
    <w:rsid w:val="00D87B60"/>
    <w:rsid w:val="00D87BA9"/>
    <w:rsid w:val="00D87C35"/>
    <w:rsid w:val="00D87F0B"/>
    <w:rsid w:val="00D9068E"/>
    <w:rsid w:val="00D90AB2"/>
    <w:rsid w:val="00D9206F"/>
    <w:rsid w:val="00D921AB"/>
    <w:rsid w:val="00D925B4"/>
    <w:rsid w:val="00D938E5"/>
    <w:rsid w:val="00D94B49"/>
    <w:rsid w:val="00D952C5"/>
    <w:rsid w:val="00D953D1"/>
    <w:rsid w:val="00D95A9E"/>
    <w:rsid w:val="00D95DE4"/>
    <w:rsid w:val="00D9688F"/>
    <w:rsid w:val="00D96CA2"/>
    <w:rsid w:val="00D97696"/>
    <w:rsid w:val="00DA03EF"/>
    <w:rsid w:val="00DA0ECA"/>
    <w:rsid w:val="00DA1D11"/>
    <w:rsid w:val="00DA23B0"/>
    <w:rsid w:val="00DA28F4"/>
    <w:rsid w:val="00DA32C0"/>
    <w:rsid w:val="00DA383D"/>
    <w:rsid w:val="00DA3C4A"/>
    <w:rsid w:val="00DA4A8E"/>
    <w:rsid w:val="00DA4E5F"/>
    <w:rsid w:val="00DA54CC"/>
    <w:rsid w:val="00DA693D"/>
    <w:rsid w:val="00DA6FF0"/>
    <w:rsid w:val="00DA7AFB"/>
    <w:rsid w:val="00DA7ECB"/>
    <w:rsid w:val="00DB02E6"/>
    <w:rsid w:val="00DB0AB7"/>
    <w:rsid w:val="00DB0B69"/>
    <w:rsid w:val="00DB128A"/>
    <w:rsid w:val="00DB1610"/>
    <w:rsid w:val="00DB17C9"/>
    <w:rsid w:val="00DB195F"/>
    <w:rsid w:val="00DB1A22"/>
    <w:rsid w:val="00DB1D39"/>
    <w:rsid w:val="00DB2483"/>
    <w:rsid w:val="00DB2A4C"/>
    <w:rsid w:val="00DB2FD4"/>
    <w:rsid w:val="00DB306A"/>
    <w:rsid w:val="00DB375E"/>
    <w:rsid w:val="00DB63CE"/>
    <w:rsid w:val="00DB7AF6"/>
    <w:rsid w:val="00DB7CA3"/>
    <w:rsid w:val="00DC009A"/>
    <w:rsid w:val="00DC07F9"/>
    <w:rsid w:val="00DC0DFA"/>
    <w:rsid w:val="00DC0F47"/>
    <w:rsid w:val="00DC1935"/>
    <w:rsid w:val="00DC30B2"/>
    <w:rsid w:val="00DC3FD6"/>
    <w:rsid w:val="00DC454E"/>
    <w:rsid w:val="00DC57C9"/>
    <w:rsid w:val="00DC73B0"/>
    <w:rsid w:val="00DC7422"/>
    <w:rsid w:val="00DC75CB"/>
    <w:rsid w:val="00DD15A2"/>
    <w:rsid w:val="00DD1BA6"/>
    <w:rsid w:val="00DD341E"/>
    <w:rsid w:val="00DD3567"/>
    <w:rsid w:val="00DD3636"/>
    <w:rsid w:val="00DD394A"/>
    <w:rsid w:val="00DD3DD8"/>
    <w:rsid w:val="00DD40D1"/>
    <w:rsid w:val="00DD49D7"/>
    <w:rsid w:val="00DD5128"/>
    <w:rsid w:val="00DD63A1"/>
    <w:rsid w:val="00DD6AF5"/>
    <w:rsid w:val="00DE04D9"/>
    <w:rsid w:val="00DE0A35"/>
    <w:rsid w:val="00DE1994"/>
    <w:rsid w:val="00DE222C"/>
    <w:rsid w:val="00DE3144"/>
    <w:rsid w:val="00DE36C8"/>
    <w:rsid w:val="00DE3FE0"/>
    <w:rsid w:val="00DE446B"/>
    <w:rsid w:val="00DE5FD8"/>
    <w:rsid w:val="00DE6AF8"/>
    <w:rsid w:val="00DF0B42"/>
    <w:rsid w:val="00DF0C17"/>
    <w:rsid w:val="00DF0F0A"/>
    <w:rsid w:val="00DF1019"/>
    <w:rsid w:val="00DF1D36"/>
    <w:rsid w:val="00DF2DFC"/>
    <w:rsid w:val="00DF2EC2"/>
    <w:rsid w:val="00DF309F"/>
    <w:rsid w:val="00DF3808"/>
    <w:rsid w:val="00DF3A56"/>
    <w:rsid w:val="00DF3A71"/>
    <w:rsid w:val="00DF403F"/>
    <w:rsid w:val="00DF41F7"/>
    <w:rsid w:val="00DF45FF"/>
    <w:rsid w:val="00DF4CC7"/>
    <w:rsid w:val="00DF4D59"/>
    <w:rsid w:val="00DF4DD6"/>
    <w:rsid w:val="00DF5147"/>
    <w:rsid w:val="00DF53D9"/>
    <w:rsid w:val="00DF63CE"/>
    <w:rsid w:val="00DF67FE"/>
    <w:rsid w:val="00DF7DA5"/>
    <w:rsid w:val="00E00A2B"/>
    <w:rsid w:val="00E01329"/>
    <w:rsid w:val="00E03E3D"/>
    <w:rsid w:val="00E04B55"/>
    <w:rsid w:val="00E05613"/>
    <w:rsid w:val="00E06183"/>
    <w:rsid w:val="00E06F4C"/>
    <w:rsid w:val="00E07008"/>
    <w:rsid w:val="00E071C0"/>
    <w:rsid w:val="00E07380"/>
    <w:rsid w:val="00E0780B"/>
    <w:rsid w:val="00E0791F"/>
    <w:rsid w:val="00E104B3"/>
    <w:rsid w:val="00E10AC3"/>
    <w:rsid w:val="00E10B71"/>
    <w:rsid w:val="00E12193"/>
    <w:rsid w:val="00E127D2"/>
    <w:rsid w:val="00E12B50"/>
    <w:rsid w:val="00E12B81"/>
    <w:rsid w:val="00E12C20"/>
    <w:rsid w:val="00E130CC"/>
    <w:rsid w:val="00E13BD6"/>
    <w:rsid w:val="00E15B69"/>
    <w:rsid w:val="00E16004"/>
    <w:rsid w:val="00E16BE8"/>
    <w:rsid w:val="00E1707A"/>
    <w:rsid w:val="00E17B12"/>
    <w:rsid w:val="00E17DB4"/>
    <w:rsid w:val="00E202C3"/>
    <w:rsid w:val="00E205F3"/>
    <w:rsid w:val="00E206C4"/>
    <w:rsid w:val="00E20BBD"/>
    <w:rsid w:val="00E20E83"/>
    <w:rsid w:val="00E20F4A"/>
    <w:rsid w:val="00E212B9"/>
    <w:rsid w:val="00E212C7"/>
    <w:rsid w:val="00E213C2"/>
    <w:rsid w:val="00E21C7A"/>
    <w:rsid w:val="00E2233C"/>
    <w:rsid w:val="00E223CD"/>
    <w:rsid w:val="00E2292F"/>
    <w:rsid w:val="00E22992"/>
    <w:rsid w:val="00E22B37"/>
    <w:rsid w:val="00E22E0A"/>
    <w:rsid w:val="00E233AA"/>
    <w:rsid w:val="00E237F5"/>
    <w:rsid w:val="00E23BF1"/>
    <w:rsid w:val="00E24D0D"/>
    <w:rsid w:val="00E2536E"/>
    <w:rsid w:val="00E25E90"/>
    <w:rsid w:val="00E2606C"/>
    <w:rsid w:val="00E26957"/>
    <w:rsid w:val="00E26A3C"/>
    <w:rsid w:val="00E26FEF"/>
    <w:rsid w:val="00E27928"/>
    <w:rsid w:val="00E3042E"/>
    <w:rsid w:val="00E30465"/>
    <w:rsid w:val="00E30925"/>
    <w:rsid w:val="00E313A8"/>
    <w:rsid w:val="00E314A6"/>
    <w:rsid w:val="00E32087"/>
    <w:rsid w:val="00E32925"/>
    <w:rsid w:val="00E32DEC"/>
    <w:rsid w:val="00E347BB"/>
    <w:rsid w:val="00E34F9F"/>
    <w:rsid w:val="00E350FB"/>
    <w:rsid w:val="00E3520F"/>
    <w:rsid w:val="00E35A44"/>
    <w:rsid w:val="00E35CF6"/>
    <w:rsid w:val="00E360AF"/>
    <w:rsid w:val="00E36B51"/>
    <w:rsid w:val="00E375E0"/>
    <w:rsid w:val="00E378E1"/>
    <w:rsid w:val="00E37B2F"/>
    <w:rsid w:val="00E40747"/>
    <w:rsid w:val="00E40BFE"/>
    <w:rsid w:val="00E4140D"/>
    <w:rsid w:val="00E41443"/>
    <w:rsid w:val="00E41668"/>
    <w:rsid w:val="00E41A9B"/>
    <w:rsid w:val="00E42B96"/>
    <w:rsid w:val="00E42FAF"/>
    <w:rsid w:val="00E43089"/>
    <w:rsid w:val="00E43157"/>
    <w:rsid w:val="00E43E67"/>
    <w:rsid w:val="00E44213"/>
    <w:rsid w:val="00E44296"/>
    <w:rsid w:val="00E4532E"/>
    <w:rsid w:val="00E4536B"/>
    <w:rsid w:val="00E463DB"/>
    <w:rsid w:val="00E467F0"/>
    <w:rsid w:val="00E46898"/>
    <w:rsid w:val="00E46EFE"/>
    <w:rsid w:val="00E46FDB"/>
    <w:rsid w:val="00E51008"/>
    <w:rsid w:val="00E51273"/>
    <w:rsid w:val="00E513A5"/>
    <w:rsid w:val="00E513DB"/>
    <w:rsid w:val="00E513EF"/>
    <w:rsid w:val="00E51F06"/>
    <w:rsid w:val="00E52276"/>
    <w:rsid w:val="00E525F2"/>
    <w:rsid w:val="00E53037"/>
    <w:rsid w:val="00E5430E"/>
    <w:rsid w:val="00E54794"/>
    <w:rsid w:val="00E5B3FC"/>
    <w:rsid w:val="00E604D9"/>
    <w:rsid w:val="00E606F8"/>
    <w:rsid w:val="00E60867"/>
    <w:rsid w:val="00E6113C"/>
    <w:rsid w:val="00E61909"/>
    <w:rsid w:val="00E61916"/>
    <w:rsid w:val="00E62B64"/>
    <w:rsid w:val="00E65656"/>
    <w:rsid w:val="00E656FE"/>
    <w:rsid w:val="00E65D56"/>
    <w:rsid w:val="00E66B1A"/>
    <w:rsid w:val="00E6774A"/>
    <w:rsid w:val="00E67C0C"/>
    <w:rsid w:val="00E7094C"/>
    <w:rsid w:val="00E71419"/>
    <w:rsid w:val="00E71FD3"/>
    <w:rsid w:val="00E720D1"/>
    <w:rsid w:val="00E72733"/>
    <w:rsid w:val="00E72CB3"/>
    <w:rsid w:val="00E73916"/>
    <w:rsid w:val="00E73BDF"/>
    <w:rsid w:val="00E73C80"/>
    <w:rsid w:val="00E74372"/>
    <w:rsid w:val="00E75766"/>
    <w:rsid w:val="00E75918"/>
    <w:rsid w:val="00E75BA5"/>
    <w:rsid w:val="00E75BC5"/>
    <w:rsid w:val="00E76EB3"/>
    <w:rsid w:val="00E814D6"/>
    <w:rsid w:val="00E82280"/>
    <w:rsid w:val="00E82B6F"/>
    <w:rsid w:val="00E8301B"/>
    <w:rsid w:val="00E84E88"/>
    <w:rsid w:val="00E85A28"/>
    <w:rsid w:val="00E860C3"/>
    <w:rsid w:val="00E8662C"/>
    <w:rsid w:val="00E86B87"/>
    <w:rsid w:val="00E877E0"/>
    <w:rsid w:val="00E90E7C"/>
    <w:rsid w:val="00E90FAC"/>
    <w:rsid w:val="00E92B2D"/>
    <w:rsid w:val="00E932AA"/>
    <w:rsid w:val="00E93C14"/>
    <w:rsid w:val="00E93C45"/>
    <w:rsid w:val="00E94637"/>
    <w:rsid w:val="00E94E8E"/>
    <w:rsid w:val="00E9514F"/>
    <w:rsid w:val="00E95732"/>
    <w:rsid w:val="00E95BE0"/>
    <w:rsid w:val="00E95E3D"/>
    <w:rsid w:val="00E96277"/>
    <w:rsid w:val="00E977D9"/>
    <w:rsid w:val="00E97922"/>
    <w:rsid w:val="00EA034B"/>
    <w:rsid w:val="00EA0D92"/>
    <w:rsid w:val="00EA0E72"/>
    <w:rsid w:val="00EA32C7"/>
    <w:rsid w:val="00EA3730"/>
    <w:rsid w:val="00EA37C0"/>
    <w:rsid w:val="00EA48AD"/>
    <w:rsid w:val="00EA4934"/>
    <w:rsid w:val="00EA4962"/>
    <w:rsid w:val="00EA4A7F"/>
    <w:rsid w:val="00EA560E"/>
    <w:rsid w:val="00EA583C"/>
    <w:rsid w:val="00EA6309"/>
    <w:rsid w:val="00EA66CE"/>
    <w:rsid w:val="00EA778A"/>
    <w:rsid w:val="00EB02A5"/>
    <w:rsid w:val="00EB059D"/>
    <w:rsid w:val="00EB184F"/>
    <w:rsid w:val="00EB19CD"/>
    <w:rsid w:val="00EB1C39"/>
    <w:rsid w:val="00EB1D05"/>
    <w:rsid w:val="00EB1E75"/>
    <w:rsid w:val="00EB2241"/>
    <w:rsid w:val="00EB23E0"/>
    <w:rsid w:val="00EB3191"/>
    <w:rsid w:val="00EB3A4F"/>
    <w:rsid w:val="00EB3B3D"/>
    <w:rsid w:val="00EB3C21"/>
    <w:rsid w:val="00EB4F98"/>
    <w:rsid w:val="00EB64A6"/>
    <w:rsid w:val="00EB6C19"/>
    <w:rsid w:val="00EB7039"/>
    <w:rsid w:val="00EB7451"/>
    <w:rsid w:val="00EB7853"/>
    <w:rsid w:val="00EB7A3E"/>
    <w:rsid w:val="00EC12EA"/>
    <w:rsid w:val="00EC152E"/>
    <w:rsid w:val="00EC289A"/>
    <w:rsid w:val="00EC2BCD"/>
    <w:rsid w:val="00EC397F"/>
    <w:rsid w:val="00EC5225"/>
    <w:rsid w:val="00EC5DBE"/>
    <w:rsid w:val="00EC5E00"/>
    <w:rsid w:val="00EC6D0C"/>
    <w:rsid w:val="00ED0A38"/>
    <w:rsid w:val="00ED23DB"/>
    <w:rsid w:val="00ED33B7"/>
    <w:rsid w:val="00ED3705"/>
    <w:rsid w:val="00ED3E94"/>
    <w:rsid w:val="00ED4082"/>
    <w:rsid w:val="00ED447F"/>
    <w:rsid w:val="00ED65F0"/>
    <w:rsid w:val="00ED6673"/>
    <w:rsid w:val="00ED6A13"/>
    <w:rsid w:val="00ED6E28"/>
    <w:rsid w:val="00ED6E89"/>
    <w:rsid w:val="00ED7659"/>
    <w:rsid w:val="00ED7759"/>
    <w:rsid w:val="00ED7868"/>
    <w:rsid w:val="00EE06AE"/>
    <w:rsid w:val="00EE0736"/>
    <w:rsid w:val="00EE0D15"/>
    <w:rsid w:val="00EE1727"/>
    <w:rsid w:val="00EE270D"/>
    <w:rsid w:val="00EE2A57"/>
    <w:rsid w:val="00EE374F"/>
    <w:rsid w:val="00EE3FC0"/>
    <w:rsid w:val="00EE438B"/>
    <w:rsid w:val="00EE6233"/>
    <w:rsid w:val="00EE72EC"/>
    <w:rsid w:val="00EF0B32"/>
    <w:rsid w:val="00EF1273"/>
    <w:rsid w:val="00EF20A2"/>
    <w:rsid w:val="00EF233A"/>
    <w:rsid w:val="00EF37B2"/>
    <w:rsid w:val="00EF3F07"/>
    <w:rsid w:val="00EF41B4"/>
    <w:rsid w:val="00EF481E"/>
    <w:rsid w:val="00EF5BD3"/>
    <w:rsid w:val="00EF5F2C"/>
    <w:rsid w:val="00EF601F"/>
    <w:rsid w:val="00EF603E"/>
    <w:rsid w:val="00EF60CF"/>
    <w:rsid w:val="00EF65DB"/>
    <w:rsid w:val="00EF688C"/>
    <w:rsid w:val="00F00178"/>
    <w:rsid w:val="00F023DB"/>
    <w:rsid w:val="00F024AD"/>
    <w:rsid w:val="00F03031"/>
    <w:rsid w:val="00F03095"/>
    <w:rsid w:val="00F03586"/>
    <w:rsid w:val="00F03F98"/>
    <w:rsid w:val="00F055C4"/>
    <w:rsid w:val="00F0607D"/>
    <w:rsid w:val="00F06DD0"/>
    <w:rsid w:val="00F06F87"/>
    <w:rsid w:val="00F0716A"/>
    <w:rsid w:val="00F0FED7"/>
    <w:rsid w:val="00F10F9F"/>
    <w:rsid w:val="00F11077"/>
    <w:rsid w:val="00F118FD"/>
    <w:rsid w:val="00F120C0"/>
    <w:rsid w:val="00F12E97"/>
    <w:rsid w:val="00F13FEE"/>
    <w:rsid w:val="00F14302"/>
    <w:rsid w:val="00F14D19"/>
    <w:rsid w:val="00F1511F"/>
    <w:rsid w:val="00F1546D"/>
    <w:rsid w:val="00F155BA"/>
    <w:rsid w:val="00F15673"/>
    <w:rsid w:val="00F15B92"/>
    <w:rsid w:val="00F16090"/>
    <w:rsid w:val="00F16BBF"/>
    <w:rsid w:val="00F17877"/>
    <w:rsid w:val="00F208D1"/>
    <w:rsid w:val="00F20CC7"/>
    <w:rsid w:val="00F22486"/>
    <w:rsid w:val="00F22EEA"/>
    <w:rsid w:val="00F22FC3"/>
    <w:rsid w:val="00F2384A"/>
    <w:rsid w:val="00F238A9"/>
    <w:rsid w:val="00F23DD9"/>
    <w:rsid w:val="00F23EBF"/>
    <w:rsid w:val="00F2522F"/>
    <w:rsid w:val="00F259B1"/>
    <w:rsid w:val="00F25F93"/>
    <w:rsid w:val="00F26004"/>
    <w:rsid w:val="00F26714"/>
    <w:rsid w:val="00F272E3"/>
    <w:rsid w:val="00F31901"/>
    <w:rsid w:val="00F319EE"/>
    <w:rsid w:val="00F331DE"/>
    <w:rsid w:val="00F339F4"/>
    <w:rsid w:val="00F35C64"/>
    <w:rsid w:val="00F366C2"/>
    <w:rsid w:val="00F36BA8"/>
    <w:rsid w:val="00F370D3"/>
    <w:rsid w:val="00F375A7"/>
    <w:rsid w:val="00F37AA0"/>
    <w:rsid w:val="00F40153"/>
    <w:rsid w:val="00F40664"/>
    <w:rsid w:val="00F41415"/>
    <w:rsid w:val="00F4213C"/>
    <w:rsid w:val="00F425C0"/>
    <w:rsid w:val="00F42A4B"/>
    <w:rsid w:val="00F42B13"/>
    <w:rsid w:val="00F42C02"/>
    <w:rsid w:val="00F434F7"/>
    <w:rsid w:val="00F4358C"/>
    <w:rsid w:val="00F436C6"/>
    <w:rsid w:val="00F43BC9"/>
    <w:rsid w:val="00F43F60"/>
    <w:rsid w:val="00F449EF"/>
    <w:rsid w:val="00F44CA9"/>
    <w:rsid w:val="00F45352"/>
    <w:rsid w:val="00F45B0A"/>
    <w:rsid w:val="00F46294"/>
    <w:rsid w:val="00F4629C"/>
    <w:rsid w:val="00F46ECA"/>
    <w:rsid w:val="00F47082"/>
    <w:rsid w:val="00F47427"/>
    <w:rsid w:val="00F4749C"/>
    <w:rsid w:val="00F47697"/>
    <w:rsid w:val="00F4795E"/>
    <w:rsid w:val="00F479D3"/>
    <w:rsid w:val="00F50125"/>
    <w:rsid w:val="00F51527"/>
    <w:rsid w:val="00F51D89"/>
    <w:rsid w:val="00F5213A"/>
    <w:rsid w:val="00F52842"/>
    <w:rsid w:val="00F533DE"/>
    <w:rsid w:val="00F55744"/>
    <w:rsid w:val="00F562B0"/>
    <w:rsid w:val="00F5693D"/>
    <w:rsid w:val="00F56E26"/>
    <w:rsid w:val="00F60C4D"/>
    <w:rsid w:val="00F6124B"/>
    <w:rsid w:val="00F63276"/>
    <w:rsid w:val="00F638A3"/>
    <w:rsid w:val="00F646A3"/>
    <w:rsid w:val="00F64917"/>
    <w:rsid w:val="00F65769"/>
    <w:rsid w:val="00F65BC8"/>
    <w:rsid w:val="00F66716"/>
    <w:rsid w:val="00F6732D"/>
    <w:rsid w:val="00F678B6"/>
    <w:rsid w:val="00F67A0F"/>
    <w:rsid w:val="00F67D43"/>
    <w:rsid w:val="00F70C95"/>
    <w:rsid w:val="00F71E9D"/>
    <w:rsid w:val="00F737CA"/>
    <w:rsid w:val="00F73C5B"/>
    <w:rsid w:val="00F73E72"/>
    <w:rsid w:val="00F7435E"/>
    <w:rsid w:val="00F7452C"/>
    <w:rsid w:val="00F7481F"/>
    <w:rsid w:val="00F74AEC"/>
    <w:rsid w:val="00F75225"/>
    <w:rsid w:val="00F76DF3"/>
    <w:rsid w:val="00F76E1A"/>
    <w:rsid w:val="00F770A4"/>
    <w:rsid w:val="00F772B8"/>
    <w:rsid w:val="00F772D8"/>
    <w:rsid w:val="00F77955"/>
    <w:rsid w:val="00F80C04"/>
    <w:rsid w:val="00F81160"/>
    <w:rsid w:val="00F816D6"/>
    <w:rsid w:val="00F81CE6"/>
    <w:rsid w:val="00F81FDF"/>
    <w:rsid w:val="00F82290"/>
    <w:rsid w:val="00F82378"/>
    <w:rsid w:val="00F823D2"/>
    <w:rsid w:val="00F823FD"/>
    <w:rsid w:val="00F825AF"/>
    <w:rsid w:val="00F82811"/>
    <w:rsid w:val="00F82941"/>
    <w:rsid w:val="00F82A9C"/>
    <w:rsid w:val="00F82ACB"/>
    <w:rsid w:val="00F82D67"/>
    <w:rsid w:val="00F834DF"/>
    <w:rsid w:val="00F83529"/>
    <w:rsid w:val="00F83A26"/>
    <w:rsid w:val="00F83B38"/>
    <w:rsid w:val="00F85114"/>
    <w:rsid w:val="00F855B5"/>
    <w:rsid w:val="00F857AF"/>
    <w:rsid w:val="00F85967"/>
    <w:rsid w:val="00F85FF9"/>
    <w:rsid w:val="00F874B9"/>
    <w:rsid w:val="00F87ACF"/>
    <w:rsid w:val="00F87E14"/>
    <w:rsid w:val="00F901E6"/>
    <w:rsid w:val="00F9025C"/>
    <w:rsid w:val="00F906F2"/>
    <w:rsid w:val="00F914B9"/>
    <w:rsid w:val="00F92D76"/>
    <w:rsid w:val="00F93435"/>
    <w:rsid w:val="00F93AAC"/>
    <w:rsid w:val="00F93EA8"/>
    <w:rsid w:val="00F93F49"/>
    <w:rsid w:val="00F94125"/>
    <w:rsid w:val="00F952B4"/>
    <w:rsid w:val="00F952BA"/>
    <w:rsid w:val="00F958AD"/>
    <w:rsid w:val="00F959DA"/>
    <w:rsid w:val="00F95B4F"/>
    <w:rsid w:val="00F96620"/>
    <w:rsid w:val="00F97632"/>
    <w:rsid w:val="00F979BA"/>
    <w:rsid w:val="00F97BBB"/>
    <w:rsid w:val="00F97EB3"/>
    <w:rsid w:val="00FA07EF"/>
    <w:rsid w:val="00FA1450"/>
    <w:rsid w:val="00FA1EA6"/>
    <w:rsid w:val="00FA22BE"/>
    <w:rsid w:val="00FA2ABB"/>
    <w:rsid w:val="00FA35BD"/>
    <w:rsid w:val="00FA3678"/>
    <w:rsid w:val="00FA48A8"/>
    <w:rsid w:val="00FA52CC"/>
    <w:rsid w:val="00FA5AA5"/>
    <w:rsid w:val="00FA66F0"/>
    <w:rsid w:val="00FA720C"/>
    <w:rsid w:val="00FA7D31"/>
    <w:rsid w:val="00FB0243"/>
    <w:rsid w:val="00FB035C"/>
    <w:rsid w:val="00FB063B"/>
    <w:rsid w:val="00FB0A06"/>
    <w:rsid w:val="00FB1A10"/>
    <w:rsid w:val="00FB215E"/>
    <w:rsid w:val="00FB2309"/>
    <w:rsid w:val="00FB3D7E"/>
    <w:rsid w:val="00FB3DB1"/>
    <w:rsid w:val="00FB3F12"/>
    <w:rsid w:val="00FB511E"/>
    <w:rsid w:val="00FB5DA3"/>
    <w:rsid w:val="00FB746E"/>
    <w:rsid w:val="00FC0077"/>
    <w:rsid w:val="00FC0913"/>
    <w:rsid w:val="00FC0D92"/>
    <w:rsid w:val="00FC1850"/>
    <w:rsid w:val="00FC1867"/>
    <w:rsid w:val="00FC227D"/>
    <w:rsid w:val="00FC2A39"/>
    <w:rsid w:val="00FC2AC7"/>
    <w:rsid w:val="00FC34D1"/>
    <w:rsid w:val="00FC3567"/>
    <w:rsid w:val="00FC38F8"/>
    <w:rsid w:val="00FC39FC"/>
    <w:rsid w:val="00FC3E8A"/>
    <w:rsid w:val="00FC4004"/>
    <w:rsid w:val="00FC400D"/>
    <w:rsid w:val="00FC4021"/>
    <w:rsid w:val="00FC40AE"/>
    <w:rsid w:val="00FC410B"/>
    <w:rsid w:val="00FC49B7"/>
    <w:rsid w:val="00FC4A47"/>
    <w:rsid w:val="00FC60C1"/>
    <w:rsid w:val="00FC61C7"/>
    <w:rsid w:val="00FC667D"/>
    <w:rsid w:val="00FC7102"/>
    <w:rsid w:val="00FC718D"/>
    <w:rsid w:val="00FC728E"/>
    <w:rsid w:val="00FC7936"/>
    <w:rsid w:val="00FC7958"/>
    <w:rsid w:val="00FC79A4"/>
    <w:rsid w:val="00FC7BE1"/>
    <w:rsid w:val="00FC7D4E"/>
    <w:rsid w:val="00FD02D9"/>
    <w:rsid w:val="00FD043A"/>
    <w:rsid w:val="00FD0AB4"/>
    <w:rsid w:val="00FD0D81"/>
    <w:rsid w:val="00FD5C61"/>
    <w:rsid w:val="00FD6212"/>
    <w:rsid w:val="00FD7899"/>
    <w:rsid w:val="00FD7A58"/>
    <w:rsid w:val="00FD7DEA"/>
    <w:rsid w:val="00FE0B9F"/>
    <w:rsid w:val="00FE1278"/>
    <w:rsid w:val="00FE18DD"/>
    <w:rsid w:val="00FE229E"/>
    <w:rsid w:val="00FE2780"/>
    <w:rsid w:val="00FE37CF"/>
    <w:rsid w:val="00FE40E7"/>
    <w:rsid w:val="00FE4542"/>
    <w:rsid w:val="00FE4B52"/>
    <w:rsid w:val="00FE4F91"/>
    <w:rsid w:val="00FE581F"/>
    <w:rsid w:val="00FE6141"/>
    <w:rsid w:val="00FE6265"/>
    <w:rsid w:val="00FE6284"/>
    <w:rsid w:val="00FE631E"/>
    <w:rsid w:val="00FE64AD"/>
    <w:rsid w:val="00FE6E8F"/>
    <w:rsid w:val="00FF01D2"/>
    <w:rsid w:val="00FF08F5"/>
    <w:rsid w:val="00FF0AFA"/>
    <w:rsid w:val="00FF1502"/>
    <w:rsid w:val="00FF1678"/>
    <w:rsid w:val="00FF2232"/>
    <w:rsid w:val="00FF23B4"/>
    <w:rsid w:val="00FF25CF"/>
    <w:rsid w:val="00FF326B"/>
    <w:rsid w:val="00FF3C02"/>
    <w:rsid w:val="00FF4FA4"/>
    <w:rsid w:val="00FF59BA"/>
    <w:rsid w:val="00FF6255"/>
    <w:rsid w:val="00FF71F7"/>
    <w:rsid w:val="00FF738A"/>
    <w:rsid w:val="00FF753D"/>
    <w:rsid w:val="00FF771C"/>
    <w:rsid w:val="0104109A"/>
    <w:rsid w:val="0106773A"/>
    <w:rsid w:val="0106995E"/>
    <w:rsid w:val="010B6E47"/>
    <w:rsid w:val="01150480"/>
    <w:rsid w:val="01158627"/>
    <w:rsid w:val="01175B38"/>
    <w:rsid w:val="011E7CDB"/>
    <w:rsid w:val="0122C0A8"/>
    <w:rsid w:val="012AE4A3"/>
    <w:rsid w:val="0133213A"/>
    <w:rsid w:val="014A9652"/>
    <w:rsid w:val="014E77F7"/>
    <w:rsid w:val="0155884C"/>
    <w:rsid w:val="01589159"/>
    <w:rsid w:val="015AFFC1"/>
    <w:rsid w:val="01642171"/>
    <w:rsid w:val="01693E08"/>
    <w:rsid w:val="017A2B64"/>
    <w:rsid w:val="0187A1E0"/>
    <w:rsid w:val="01992C13"/>
    <w:rsid w:val="01A47287"/>
    <w:rsid w:val="01A6A463"/>
    <w:rsid w:val="01BC26E2"/>
    <w:rsid w:val="01CF8667"/>
    <w:rsid w:val="01D02350"/>
    <w:rsid w:val="01DD3D70"/>
    <w:rsid w:val="01E357E1"/>
    <w:rsid w:val="01E6374A"/>
    <w:rsid w:val="01EB75E2"/>
    <w:rsid w:val="01F22EA9"/>
    <w:rsid w:val="01F63722"/>
    <w:rsid w:val="0216F283"/>
    <w:rsid w:val="02272AAF"/>
    <w:rsid w:val="022E3DB8"/>
    <w:rsid w:val="0234B093"/>
    <w:rsid w:val="02362B39"/>
    <w:rsid w:val="0237699F"/>
    <w:rsid w:val="023C8672"/>
    <w:rsid w:val="023D0CBE"/>
    <w:rsid w:val="0246E101"/>
    <w:rsid w:val="02513AFA"/>
    <w:rsid w:val="0256F110"/>
    <w:rsid w:val="025A6610"/>
    <w:rsid w:val="025C704F"/>
    <w:rsid w:val="025E0ADA"/>
    <w:rsid w:val="026038DA"/>
    <w:rsid w:val="02691963"/>
    <w:rsid w:val="026E065C"/>
    <w:rsid w:val="02762ED8"/>
    <w:rsid w:val="02775BD0"/>
    <w:rsid w:val="0279774F"/>
    <w:rsid w:val="0285FD9F"/>
    <w:rsid w:val="02900224"/>
    <w:rsid w:val="029CADA4"/>
    <w:rsid w:val="029F595B"/>
    <w:rsid w:val="029FB1E0"/>
    <w:rsid w:val="029FE254"/>
    <w:rsid w:val="02A7581E"/>
    <w:rsid w:val="02B08471"/>
    <w:rsid w:val="02B69A23"/>
    <w:rsid w:val="02C451C0"/>
    <w:rsid w:val="02CAC906"/>
    <w:rsid w:val="02D1205E"/>
    <w:rsid w:val="02D188F9"/>
    <w:rsid w:val="02DDA3A2"/>
    <w:rsid w:val="02DDD155"/>
    <w:rsid w:val="02E282EA"/>
    <w:rsid w:val="02EEAE25"/>
    <w:rsid w:val="02FA8C44"/>
    <w:rsid w:val="02FD02AB"/>
    <w:rsid w:val="02FF6468"/>
    <w:rsid w:val="0301895E"/>
    <w:rsid w:val="0321FD48"/>
    <w:rsid w:val="03289558"/>
    <w:rsid w:val="03290D01"/>
    <w:rsid w:val="0329AD21"/>
    <w:rsid w:val="032D3B53"/>
    <w:rsid w:val="032E8ECF"/>
    <w:rsid w:val="0334CB93"/>
    <w:rsid w:val="0334E49F"/>
    <w:rsid w:val="033B8AD3"/>
    <w:rsid w:val="036192B6"/>
    <w:rsid w:val="0362F1C9"/>
    <w:rsid w:val="03662C27"/>
    <w:rsid w:val="0377AE1C"/>
    <w:rsid w:val="037DFBC5"/>
    <w:rsid w:val="038416D0"/>
    <w:rsid w:val="0385C2A7"/>
    <w:rsid w:val="0385D20A"/>
    <w:rsid w:val="03870993"/>
    <w:rsid w:val="0396DC7F"/>
    <w:rsid w:val="03AC079E"/>
    <w:rsid w:val="03C1E177"/>
    <w:rsid w:val="03C2123F"/>
    <w:rsid w:val="03C40CDF"/>
    <w:rsid w:val="03C46A59"/>
    <w:rsid w:val="03D05B99"/>
    <w:rsid w:val="03D49993"/>
    <w:rsid w:val="03ED2781"/>
    <w:rsid w:val="03F0384B"/>
    <w:rsid w:val="03F2D840"/>
    <w:rsid w:val="03F977CF"/>
    <w:rsid w:val="03F9C360"/>
    <w:rsid w:val="0403D0B6"/>
    <w:rsid w:val="040516FE"/>
    <w:rsid w:val="0412DADE"/>
    <w:rsid w:val="0426B8C0"/>
    <w:rsid w:val="0427221D"/>
    <w:rsid w:val="042E84B7"/>
    <w:rsid w:val="0442C922"/>
    <w:rsid w:val="044C4E34"/>
    <w:rsid w:val="04582AF8"/>
    <w:rsid w:val="045B3D86"/>
    <w:rsid w:val="045BD22E"/>
    <w:rsid w:val="045F2013"/>
    <w:rsid w:val="0466821F"/>
    <w:rsid w:val="0471CFCC"/>
    <w:rsid w:val="04782C40"/>
    <w:rsid w:val="04793EB4"/>
    <w:rsid w:val="04C03660"/>
    <w:rsid w:val="04C1B1D1"/>
    <w:rsid w:val="04CA873E"/>
    <w:rsid w:val="04DDD299"/>
    <w:rsid w:val="04E4AB59"/>
    <w:rsid w:val="04E5311D"/>
    <w:rsid w:val="04E72E01"/>
    <w:rsid w:val="04F4DE63"/>
    <w:rsid w:val="04FB91C2"/>
    <w:rsid w:val="050260FB"/>
    <w:rsid w:val="05028304"/>
    <w:rsid w:val="05084FCA"/>
    <w:rsid w:val="050BB9CE"/>
    <w:rsid w:val="0540C9E2"/>
    <w:rsid w:val="05426073"/>
    <w:rsid w:val="0545636D"/>
    <w:rsid w:val="054B5E58"/>
    <w:rsid w:val="05525A28"/>
    <w:rsid w:val="05548E51"/>
    <w:rsid w:val="056D9F76"/>
    <w:rsid w:val="0574AE7B"/>
    <w:rsid w:val="0576BDBC"/>
    <w:rsid w:val="057A0933"/>
    <w:rsid w:val="0584DFAD"/>
    <w:rsid w:val="0585327E"/>
    <w:rsid w:val="05956DAF"/>
    <w:rsid w:val="059B377E"/>
    <w:rsid w:val="05A08C28"/>
    <w:rsid w:val="05A631FE"/>
    <w:rsid w:val="05C1E31B"/>
    <w:rsid w:val="05C50080"/>
    <w:rsid w:val="05DC85E8"/>
    <w:rsid w:val="05EA1DD0"/>
    <w:rsid w:val="05F428BC"/>
    <w:rsid w:val="05F63E51"/>
    <w:rsid w:val="05FA5A73"/>
    <w:rsid w:val="05FB41A9"/>
    <w:rsid w:val="05FC9B44"/>
    <w:rsid w:val="05FE7838"/>
    <w:rsid w:val="05FE9C60"/>
    <w:rsid w:val="0606B896"/>
    <w:rsid w:val="060736EB"/>
    <w:rsid w:val="06184648"/>
    <w:rsid w:val="061BAA43"/>
    <w:rsid w:val="063AA8E1"/>
    <w:rsid w:val="0644C4BB"/>
    <w:rsid w:val="06460B09"/>
    <w:rsid w:val="064D241C"/>
    <w:rsid w:val="064F67A3"/>
    <w:rsid w:val="064F69EC"/>
    <w:rsid w:val="0655DDAA"/>
    <w:rsid w:val="06581E1B"/>
    <w:rsid w:val="0663B391"/>
    <w:rsid w:val="066689CC"/>
    <w:rsid w:val="0676FD2A"/>
    <w:rsid w:val="06774108"/>
    <w:rsid w:val="067C075D"/>
    <w:rsid w:val="067CB334"/>
    <w:rsid w:val="0691E935"/>
    <w:rsid w:val="069F31C5"/>
    <w:rsid w:val="06A78A73"/>
    <w:rsid w:val="06AB90D1"/>
    <w:rsid w:val="06ABB640"/>
    <w:rsid w:val="06B17CC1"/>
    <w:rsid w:val="06B2B688"/>
    <w:rsid w:val="06C283F4"/>
    <w:rsid w:val="06C369A9"/>
    <w:rsid w:val="06CB1C41"/>
    <w:rsid w:val="06D627B8"/>
    <w:rsid w:val="06E26EBF"/>
    <w:rsid w:val="06ECCEAB"/>
    <w:rsid w:val="06EE6CDF"/>
    <w:rsid w:val="0708BF0D"/>
    <w:rsid w:val="070AE122"/>
    <w:rsid w:val="070BD462"/>
    <w:rsid w:val="07221464"/>
    <w:rsid w:val="0722A5E3"/>
    <w:rsid w:val="0731BA1E"/>
    <w:rsid w:val="073C0FBA"/>
    <w:rsid w:val="073D2575"/>
    <w:rsid w:val="075127C4"/>
    <w:rsid w:val="0759F34E"/>
    <w:rsid w:val="0764C705"/>
    <w:rsid w:val="0779D5C1"/>
    <w:rsid w:val="077A146D"/>
    <w:rsid w:val="07920EB2"/>
    <w:rsid w:val="0798531F"/>
    <w:rsid w:val="07AACA11"/>
    <w:rsid w:val="07B0058D"/>
    <w:rsid w:val="07BEF718"/>
    <w:rsid w:val="07CB6333"/>
    <w:rsid w:val="07D3828F"/>
    <w:rsid w:val="07DFC15E"/>
    <w:rsid w:val="07E1EB35"/>
    <w:rsid w:val="07E4AA1F"/>
    <w:rsid w:val="07F3D697"/>
    <w:rsid w:val="07F6E69C"/>
    <w:rsid w:val="07FC3B18"/>
    <w:rsid w:val="0806DFB8"/>
    <w:rsid w:val="08073A82"/>
    <w:rsid w:val="0820C54D"/>
    <w:rsid w:val="0824F19E"/>
    <w:rsid w:val="0826B50E"/>
    <w:rsid w:val="0833C636"/>
    <w:rsid w:val="0844A31B"/>
    <w:rsid w:val="08486163"/>
    <w:rsid w:val="085032CF"/>
    <w:rsid w:val="087C9BDC"/>
    <w:rsid w:val="087D91A6"/>
    <w:rsid w:val="088C463E"/>
    <w:rsid w:val="088E679D"/>
    <w:rsid w:val="088EC42D"/>
    <w:rsid w:val="08902BDE"/>
    <w:rsid w:val="08927206"/>
    <w:rsid w:val="089BF854"/>
    <w:rsid w:val="08A0430B"/>
    <w:rsid w:val="08C72CDB"/>
    <w:rsid w:val="08D21CF8"/>
    <w:rsid w:val="08E5C258"/>
    <w:rsid w:val="08E641AB"/>
    <w:rsid w:val="08E6A1C1"/>
    <w:rsid w:val="08FD8EF5"/>
    <w:rsid w:val="0914537D"/>
    <w:rsid w:val="091F54AA"/>
    <w:rsid w:val="0929F7CC"/>
    <w:rsid w:val="092C5A87"/>
    <w:rsid w:val="0936496A"/>
    <w:rsid w:val="0940975D"/>
    <w:rsid w:val="0944813A"/>
    <w:rsid w:val="09449325"/>
    <w:rsid w:val="0953A054"/>
    <w:rsid w:val="095689A1"/>
    <w:rsid w:val="09603292"/>
    <w:rsid w:val="0967DDFB"/>
    <w:rsid w:val="0967E08D"/>
    <w:rsid w:val="096C6D8E"/>
    <w:rsid w:val="098F88CE"/>
    <w:rsid w:val="09957374"/>
    <w:rsid w:val="09965FDF"/>
    <w:rsid w:val="09A1945B"/>
    <w:rsid w:val="09A33B2B"/>
    <w:rsid w:val="09A83696"/>
    <w:rsid w:val="09A8A103"/>
    <w:rsid w:val="09B3C7A4"/>
    <w:rsid w:val="09B83B80"/>
    <w:rsid w:val="09C28752"/>
    <w:rsid w:val="09CABB20"/>
    <w:rsid w:val="09CFBD20"/>
    <w:rsid w:val="09D2469D"/>
    <w:rsid w:val="09E26696"/>
    <w:rsid w:val="09E83170"/>
    <w:rsid w:val="09FA0D97"/>
    <w:rsid w:val="0A012183"/>
    <w:rsid w:val="0A153208"/>
    <w:rsid w:val="0A37C3FA"/>
    <w:rsid w:val="0A39B7EA"/>
    <w:rsid w:val="0A4ACAED"/>
    <w:rsid w:val="0A5BD4C7"/>
    <w:rsid w:val="0A67C813"/>
    <w:rsid w:val="0A7006C9"/>
    <w:rsid w:val="0A78752E"/>
    <w:rsid w:val="0A82861A"/>
    <w:rsid w:val="0A89976B"/>
    <w:rsid w:val="0A9A4183"/>
    <w:rsid w:val="0A9FB9A8"/>
    <w:rsid w:val="0AAA2041"/>
    <w:rsid w:val="0AB9FCF6"/>
    <w:rsid w:val="0ABAFDE5"/>
    <w:rsid w:val="0ABBE3CC"/>
    <w:rsid w:val="0ABE549A"/>
    <w:rsid w:val="0ABEF36F"/>
    <w:rsid w:val="0AC91A55"/>
    <w:rsid w:val="0ACE74D1"/>
    <w:rsid w:val="0AD448C2"/>
    <w:rsid w:val="0AE0B965"/>
    <w:rsid w:val="0AE3E195"/>
    <w:rsid w:val="0AEA27AD"/>
    <w:rsid w:val="0AF31D16"/>
    <w:rsid w:val="0AF9909B"/>
    <w:rsid w:val="0AFBC2D8"/>
    <w:rsid w:val="0B00612A"/>
    <w:rsid w:val="0B063E9A"/>
    <w:rsid w:val="0B0AD535"/>
    <w:rsid w:val="0B173E28"/>
    <w:rsid w:val="0B21B1C8"/>
    <w:rsid w:val="0B3DA60B"/>
    <w:rsid w:val="0B497387"/>
    <w:rsid w:val="0B4B71A9"/>
    <w:rsid w:val="0B5C96C9"/>
    <w:rsid w:val="0B5FBF20"/>
    <w:rsid w:val="0B7590A7"/>
    <w:rsid w:val="0B7E94E8"/>
    <w:rsid w:val="0B81D057"/>
    <w:rsid w:val="0B951C2A"/>
    <w:rsid w:val="0B962503"/>
    <w:rsid w:val="0BAAB2F6"/>
    <w:rsid w:val="0BAB6D47"/>
    <w:rsid w:val="0BB179C8"/>
    <w:rsid w:val="0BBE0624"/>
    <w:rsid w:val="0BC05143"/>
    <w:rsid w:val="0BEC36FD"/>
    <w:rsid w:val="0BFF580B"/>
    <w:rsid w:val="0C100042"/>
    <w:rsid w:val="0C1039CE"/>
    <w:rsid w:val="0C13C12C"/>
    <w:rsid w:val="0C19E936"/>
    <w:rsid w:val="0C38414D"/>
    <w:rsid w:val="0C3FC51C"/>
    <w:rsid w:val="0C42894D"/>
    <w:rsid w:val="0C491D78"/>
    <w:rsid w:val="0C4DBC95"/>
    <w:rsid w:val="0C55CFE3"/>
    <w:rsid w:val="0C644FF7"/>
    <w:rsid w:val="0C6F8094"/>
    <w:rsid w:val="0C713D89"/>
    <w:rsid w:val="0C989C33"/>
    <w:rsid w:val="0CA9D8DE"/>
    <w:rsid w:val="0CB0E2D5"/>
    <w:rsid w:val="0CB85022"/>
    <w:rsid w:val="0CC849D7"/>
    <w:rsid w:val="0CD78D1B"/>
    <w:rsid w:val="0CDF0C5D"/>
    <w:rsid w:val="0CE18224"/>
    <w:rsid w:val="0CE3FBF6"/>
    <w:rsid w:val="0CF5227C"/>
    <w:rsid w:val="0D0C549D"/>
    <w:rsid w:val="0D16DBD9"/>
    <w:rsid w:val="0D21B99C"/>
    <w:rsid w:val="0D2B923F"/>
    <w:rsid w:val="0D2C51A5"/>
    <w:rsid w:val="0D3C4907"/>
    <w:rsid w:val="0D418461"/>
    <w:rsid w:val="0D4B417D"/>
    <w:rsid w:val="0D562291"/>
    <w:rsid w:val="0D8AF1AE"/>
    <w:rsid w:val="0D9A7A54"/>
    <w:rsid w:val="0D9AB6A5"/>
    <w:rsid w:val="0D9F07A0"/>
    <w:rsid w:val="0DAA8C9E"/>
    <w:rsid w:val="0DB7557D"/>
    <w:rsid w:val="0DC44D03"/>
    <w:rsid w:val="0DD431FF"/>
    <w:rsid w:val="0DD4FB3D"/>
    <w:rsid w:val="0DE7AC2E"/>
    <w:rsid w:val="0DED432C"/>
    <w:rsid w:val="0DFD9050"/>
    <w:rsid w:val="0E0724A2"/>
    <w:rsid w:val="0E1193B4"/>
    <w:rsid w:val="0E16E582"/>
    <w:rsid w:val="0E351B11"/>
    <w:rsid w:val="0E3A666B"/>
    <w:rsid w:val="0E52EC5A"/>
    <w:rsid w:val="0E6248FB"/>
    <w:rsid w:val="0E7A884E"/>
    <w:rsid w:val="0E818F5E"/>
    <w:rsid w:val="0E886B70"/>
    <w:rsid w:val="0E978EC2"/>
    <w:rsid w:val="0E9CB06F"/>
    <w:rsid w:val="0EA77C3C"/>
    <w:rsid w:val="0EA8B7A6"/>
    <w:rsid w:val="0EB83867"/>
    <w:rsid w:val="0EC2543F"/>
    <w:rsid w:val="0EC9A31F"/>
    <w:rsid w:val="0EECFD68"/>
    <w:rsid w:val="0F0112DA"/>
    <w:rsid w:val="0F025DC3"/>
    <w:rsid w:val="0F09433F"/>
    <w:rsid w:val="0F1F2ABB"/>
    <w:rsid w:val="0F2486B5"/>
    <w:rsid w:val="0F38BE82"/>
    <w:rsid w:val="0F64B9EE"/>
    <w:rsid w:val="0F804821"/>
    <w:rsid w:val="0F856A48"/>
    <w:rsid w:val="0F86D521"/>
    <w:rsid w:val="0F87D64B"/>
    <w:rsid w:val="0F8D4549"/>
    <w:rsid w:val="0F9A373D"/>
    <w:rsid w:val="0F9B510F"/>
    <w:rsid w:val="0F9F1042"/>
    <w:rsid w:val="0FAE905D"/>
    <w:rsid w:val="0FAEEF2C"/>
    <w:rsid w:val="0FBD3896"/>
    <w:rsid w:val="0FC021AC"/>
    <w:rsid w:val="0FCB362F"/>
    <w:rsid w:val="0FE59DD6"/>
    <w:rsid w:val="10062B7A"/>
    <w:rsid w:val="10114157"/>
    <w:rsid w:val="101825D2"/>
    <w:rsid w:val="101AF419"/>
    <w:rsid w:val="1022E97D"/>
    <w:rsid w:val="10297BBD"/>
    <w:rsid w:val="1044976F"/>
    <w:rsid w:val="10522F70"/>
    <w:rsid w:val="105E8A3E"/>
    <w:rsid w:val="1064CCD9"/>
    <w:rsid w:val="109225D5"/>
    <w:rsid w:val="10AF5341"/>
    <w:rsid w:val="10AFAEEF"/>
    <w:rsid w:val="10B2FAEC"/>
    <w:rsid w:val="10BC12AC"/>
    <w:rsid w:val="10BF585A"/>
    <w:rsid w:val="10C2910A"/>
    <w:rsid w:val="10D67436"/>
    <w:rsid w:val="10D6E471"/>
    <w:rsid w:val="10EAE781"/>
    <w:rsid w:val="10F3C62B"/>
    <w:rsid w:val="10FECFA9"/>
    <w:rsid w:val="11123DC6"/>
    <w:rsid w:val="111A6696"/>
    <w:rsid w:val="1131F726"/>
    <w:rsid w:val="1135B093"/>
    <w:rsid w:val="114D1529"/>
    <w:rsid w:val="1158B875"/>
    <w:rsid w:val="115F4B6A"/>
    <w:rsid w:val="11648E57"/>
    <w:rsid w:val="11687D08"/>
    <w:rsid w:val="116BA3E5"/>
    <w:rsid w:val="1174EE69"/>
    <w:rsid w:val="117F3F2D"/>
    <w:rsid w:val="1180E3D3"/>
    <w:rsid w:val="11849725"/>
    <w:rsid w:val="11A314B9"/>
    <w:rsid w:val="11B18F6C"/>
    <w:rsid w:val="11B5BAA0"/>
    <w:rsid w:val="11BEAE67"/>
    <w:rsid w:val="11C3D8CC"/>
    <w:rsid w:val="11C8EBAC"/>
    <w:rsid w:val="11C92440"/>
    <w:rsid w:val="11C9AC58"/>
    <w:rsid w:val="11D40EFC"/>
    <w:rsid w:val="11D429EC"/>
    <w:rsid w:val="11D8059F"/>
    <w:rsid w:val="11DD5473"/>
    <w:rsid w:val="11DE48BE"/>
    <w:rsid w:val="11E05514"/>
    <w:rsid w:val="11E638A2"/>
    <w:rsid w:val="11F00542"/>
    <w:rsid w:val="11F4971D"/>
    <w:rsid w:val="11FC13EA"/>
    <w:rsid w:val="11FE846B"/>
    <w:rsid w:val="121199C7"/>
    <w:rsid w:val="12130889"/>
    <w:rsid w:val="12149274"/>
    <w:rsid w:val="121AAECB"/>
    <w:rsid w:val="122FAFE1"/>
    <w:rsid w:val="12366292"/>
    <w:rsid w:val="12382445"/>
    <w:rsid w:val="1267E54D"/>
    <w:rsid w:val="12779B90"/>
    <w:rsid w:val="127CB4DB"/>
    <w:rsid w:val="128C9D74"/>
    <w:rsid w:val="1297E03D"/>
    <w:rsid w:val="129BA86C"/>
    <w:rsid w:val="12BD50EF"/>
    <w:rsid w:val="12CE19F3"/>
    <w:rsid w:val="12D41C10"/>
    <w:rsid w:val="12D5B53B"/>
    <w:rsid w:val="12F9EFC2"/>
    <w:rsid w:val="12FB2507"/>
    <w:rsid w:val="13013E54"/>
    <w:rsid w:val="130A47C9"/>
    <w:rsid w:val="130B1A72"/>
    <w:rsid w:val="1310C1F0"/>
    <w:rsid w:val="13264EF8"/>
    <w:rsid w:val="132BFC00"/>
    <w:rsid w:val="1338B2AF"/>
    <w:rsid w:val="13496B9E"/>
    <w:rsid w:val="1349EBDE"/>
    <w:rsid w:val="13555364"/>
    <w:rsid w:val="1356E763"/>
    <w:rsid w:val="1361EB63"/>
    <w:rsid w:val="13629DD1"/>
    <w:rsid w:val="13681E97"/>
    <w:rsid w:val="1376F0A5"/>
    <w:rsid w:val="137897F0"/>
    <w:rsid w:val="137F4B09"/>
    <w:rsid w:val="13847686"/>
    <w:rsid w:val="13860B68"/>
    <w:rsid w:val="13BDC1F4"/>
    <w:rsid w:val="13C9A891"/>
    <w:rsid w:val="13D0EEA3"/>
    <w:rsid w:val="13D36E5A"/>
    <w:rsid w:val="13D57498"/>
    <w:rsid w:val="13D76093"/>
    <w:rsid w:val="13E5AAAB"/>
    <w:rsid w:val="13ECFAFD"/>
    <w:rsid w:val="13F09381"/>
    <w:rsid w:val="140D2DBF"/>
    <w:rsid w:val="14272DD2"/>
    <w:rsid w:val="142FC770"/>
    <w:rsid w:val="14381E18"/>
    <w:rsid w:val="145997AD"/>
    <w:rsid w:val="145B6654"/>
    <w:rsid w:val="145E8B7E"/>
    <w:rsid w:val="14648251"/>
    <w:rsid w:val="146FF149"/>
    <w:rsid w:val="1471DF56"/>
    <w:rsid w:val="1473D873"/>
    <w:rsid w:val="1474CD27"/>
    <w:rsid w:val="1479EBAD"/>
    <w:rsid w:val="149592C6"/>
    <w:rsid w:val="1496FF2A"/>
    <w:rsid w:val="14995DDB"/>
    <w:rsid w:val="14995F20"/>
    <w:rsid w:val="149E6EEB"/>
    <w:rsid w:val="14B72941"/>
    <w:rsid w:val="14BC7AEC"/>
    <w:rsid w:val="14CA377F"/>
    <w:rsid w:val="14CE38A6"/>
    <w:rsid w:val="14CFDF08"/>
    <w:rsid w:val="14D82112"/>
    <w:rsid w:val="14DE39CB"/>
    <w:rsid w:val="14DEF465"/>
    <w:rsid w:val="14E242AC"/>
    <w:rsid w:val="14E749C2"/>
    <w:rsid w:val="14EA6900"/>
    <w:rsid w:val="14F2A32A"/>
    <w:rsid w:val="14F77C23"/>
    <w:rsid w:val="14F9E820"/>
    <w:rsid w:val="1512E913"/>
    <w:rsid w:val="15176682"/>
    <w:rsid w:val="15357D65"/>
    <w:rsid w:val="153F5B1E"/>
    <w:rsid w:val="1546F5D2"/>
    <w:rsid w:val="1548877E"/>
    <w:rsid w:val="1549DCFE"/>
    <w:rsid w:val="155175F3"/>
    <w:rsid w:val="15545B5C"/>
    <w:rsid w:val="15667BC7"/>
    <w:rsid w:val="15691FD5"/>
    <w:rsid w:val="156A83B0"/>
    <w:rsid w:val="15764F1C"/>
    <w:rsid w:val="1577F5C3"/>
    <w:rsid w:val="1579193E"/>
    <w:rsid w:val="1592439D"/>
    <w:rsid w:val="15958D6E"/>
    <w:rsid w:val="15960FC4"/>
    <w:rsid w:val="15A12404"/>
    <w:rsid w:val="15A519F5"/>
    <w:rsid w:val="15AAC62D"/>
    <w:rsid w:val="15B50F48"/>
    <w:rsid w:val="15BF0670"/>
    <w:rsid w:val="15C1A336"/>
    <w:rsid w:val="15C2A844"/>
    <w:rsid w:val="15C646A2"/>
    <w:rsid w:val="15EFE1C9"/>
    <w:rsid w:val="15F665DE"/>
    <w:rsid w:val="15FA0212"/>
    <w:rsid w:val="15FAD7C2"/>
    <w:rsid w:val="15FC5743"/>
    <w:rsid w:val="15FDE1A5"/>
    <w:rsid w:val="161C1473"/>
    <w:rsid w:val="163448F4"/>
    <w:rsid w:val="16389D9E"/>
    <w:rsid w:val="163918C8"/>
    <w:rsid w:val="16474373"/>
    <w:rsid w:val="164CCF34"/>
    <w:rsid w:val="164D03B8"/>
    <w:rsid w:val="164EB18A"/>
    <w:rsid w:val="164F323B"/>
    <w:rsid w:val="1654110D"/>
    <w:rsid w:val="16566E61"/>
    <w:rsid w:val="165AF194"/>
    <w:rsid w:val="165E35FE"/>
    <w:rsid w:val="166082A0"/>
    <w:rsid w:val="166CD2FB"/>
    <w:rsid w:val="1674D096"/>
    <w:rsid w:val="16763B48"/>
    <w:rsid w:val="16846FE4"/>
    <w:rsid w:val="1693AB35"/>
    <w:rsid w:val="1695B881"/>
    <w:rsid w:val="1698E7E1"/>
    <w:rsid w:val="169A29D4"/>
    <w:rsid w:val="169F888A"/>
    <w:rsid w:val="16C1CF4E"/>
    <w:rsid w:val="16C3E038"/>
    <w:rsid w:val="16CACE97"/>
    <w:rsid w:val="16CD5C0B"/>
    <w:rsid w:val="16CFF712"/>
    <w:rsid w:val="16DEED75"/>
    <w:rsid w:val="16DF3280"/>
    <w:rsid w:val="16DFF8BB"/>
    <w:rsid w:val="16E404AB"/>
    <w:rsid w:val="16F93669"/>
    <w:rsid w:val="170589FE"/>
    <w:rsid w:val="170AF8B0"/>
    <w:rsid w:val="170EF30E"/>
    <w:rsid w:val="1711D5A0"/>
    <w:rsid w:val="17288FEB"/>
    <w:rsid w:val="1728C851"/>
    <w:rsid w:val="1745A15C"/>
    <w:rsid w:val="1747D3BD"/>
    <w:rsid w:val="17505BF4"/>
    <w:rsid w:val="175D6687"/>
    <w:rsid w:val="175F9C2E"/>
    <w:rsid w:val="1765726D"/>
    <w:rsid w:val="176B7B73"/>
    <w:rsid w:val="176CBDA3"/>
    <w:rsid w:val="176D1732"/>
    <w:rsid w:val="176DD10F"/>
    <w:rsid w:val="176E6DB1"/>
    <w:rsid w:val="17705198"/>
    <w:rsid w:val="17709D82"/>
    <w:rsid w:val="17768F01"/>
    <w:rsid w:val="1778E336"/>
    <w:rsid w:val="177DBEFE"/>
    <w:rsid w:val="17802748"/>
    <w:rsid w:val="1780B799"/>
    <w:rsid w:val="179A2AC9"/>
    <w:rsid w:val="17A7F63E"/>
    <w:rsid w:val="17A85A80"/>
    <w:rsid w:val="17B47596"/>
    <w:rsid w:val="17C10F5B"/>
    <w:rsid w:val="17CFFA21"/>
    <w:rsid w:val="17D5D875"/>
    <w:rsid w:val="17D6EDCD"/>
    <w:rsid w:val="17DD031B"/>
    <w:rsid w:val="17E1E7ED"/>
    <w:rsid w:val="17F66088"/>
    <w:rsid w:val="17F79148"/>
    <w:rsid w:val="17F90A45"/>
    <w:rsid w:val="1801993C"/>
    <w:rsid w:val="1812B8EF"/>
    <w:rsid w:val="181B696E"/>
    <w:rsid w:val="182665A8"/>
    <w:rsid w:val="1840887C"/>
    <w:rsid w:val="185546E4"/>
    <w:rsid w:val="1857746D"/>
    <w:rsid w:val="1859F1AD"/>
    <w:rsid w:val="186EE122"/>
    <w:rsid w:val="1883C127"/>
    <w:rsid w:val="188F65AC"/>
    <w:rsid w:val="18A00DF5"/>
    <w:rsid w:val="18B852DF"/>
    <w:rsid w:val="18BED899"/>
    <w:rsid w:val="18C60757"/>
    <w:rsid w:val="18D19078"/>
    <w:rsid w:val="18D38C55"/>
    <w:rsid w:val="18D72CCB"/>
    <w:rsid w:val="19055791"/>
    <w:rsid w:val="190E851A"/>
    <w:rsid w:val="1935F029"/>
    <w:rsid w:val="193E4BE9"/>
    <w:rsid w:val="19568DB1"/>
    <w:rsid w:val="19647EB7"/>
    <w:rsid w:val="196BE499"/>
    <w:rsid w:val="196FE036"/>
    <w:rsid w:val="19754CC1"/>
    <w:rsid w:val="197D7816"/>
    <w:rsid w:val="198520F8"/>
    <w:rsid w:val="198ED9F0"/>
    <w:rsid w:val="19911F9E"/>
    <w:rsid w:val="199AD93A"/>
    <w:rsid w:val="19A1A9C9"/>
    <w:rsid w:val="19A41A2C"/>
    <w:rsid w:val="19AA194C"/>
    <w:rsid w:val="19AC4B30"/>
    <w:rsid w:val="19B3D98E"/>
    <w:rsid w:val="19B47A3B"/>
    <w:rsid w:val="19D2A4F2"/>
    <w:rsid w:val="19DFCD44"/>
    <w:rsid w:val="19E6CC60"/>
    <w:rsid w:val="19EAC405"/>
    <w:rsid w:val="19ECC23E"/>
    <w:rsid w:val="1A3066BD"/>
    <w:rsid w:val="1A3464E2"/>
    <w:rsid w:val="1A3C0E87"/>
    <w:rsid w:val="1A499B85"/>
    <w:rsid w:val="1A4A45D6"/>
    <w:rsid w:val="1A50A640"/>
    <w:rsid w:val="1A52169D"/>
    <w:rsid w:val="1A61A9BE"/>
    <w:rsid w:val="1A66A010"/>
    <w:rsid w:val="1A6B67A0"/>
    <w:rsid w:val="1A7BC06A"/>
    <w:rsid w:val="1A81AA3C"/>
    <w:rsid w:val="1A856B93"/>
    <w:rsid w:val="1A940870"/>
    <w:rsid w:val="1A94218E"/>
    <w:rsid w:val="1A96529C"/>
    <w:rsid w:val="1A9C5052"/>
    <w:rsid w:val="1ACCFE5D"/>
    <w:rsid w:val="1AD58AA9"/>
    <w:rsid w:val="1ADA428B"/>
    <w:rsid w:val="1ADA4A13"/>
    <w:rsid w:val="1ADE63F0"/>
    <w:rsid w:val="1ADF6279"/>
    <w:rsid w:val="1AE32E9D"/>
    <w:rsid w:val="1AE67C7D"/>
    <w:rsid w:val="1AE92D31"/>
    <w:rsid w:val="1AF06706"/>
    <w:rsid w:val="1AFCF1E2"/>
    <w:rsid w:val="1B00D9EF"/>
    <w:rsid w:val="1B01F207"/>
    <w:rsid w:val="1B02E826"/>
    <w:rsid w:val="1B088643"/>
    <w:rsid w:val="1B10A227"/>
    <w:rsid w:val="1B1A9726"/>
    <w:rsid w:val="1B1DA045"/>
    <w:rsid w:val="1B31CEF9"/>
    <w:rsid w:val="1B3A2955"/>
    <w:rsid w:val="1B3A6C1B"/>
    <w:rsid w:val="1B4BD5EA"/>
    <w:rsid w:val="1B57CB5E"/>
    <w:rsid w:val="1B6806C8"/>
    <w:rsid w:val="1B75E6D6"/>
    <w:rsid w:val="1B81EC21"/>
    <w:rsid w:val="1B8F42EC"/>
    <w:rsid w:val="1BA5423E"/>
    <w:rsid w:val="1BA96423"/>
    <w:rsid w:val="1BABA7DD"/>
    <w:rsid w:val="1BAE9DD2"/>
    <w:rsid w:val="1BB5118D"/>
    <w:rsid w:val="1BBFCDD3"/>
    <w:rsid w:val="1BC0D57C"/>
    <w:rsid w:val="1BC3610B"/>
    <w:rsid w:val="1BCCFB45"/>
    <w:rsid w:val="1BD8959C"/>
    <w:rsid w:val="1BDA313D"/>
    <w:rsid w:val="1BE1CC38"/>
    <w:rsid w:val="1BEFBCD3"/>
    <w:rsid w:val="1BF3685A"/>
    <w:rsid w:val="1BF591D3"/>
    <w:rsid w:val="1BF76BA0"/>
    <w:rsid w:val="1BF80F12"/>
    <w:rsid w:val="1BF970D0"/>
    <w:rsid w:val="1BFA51C9"/>
    <w:rsid w:val="1C020648"/>
    <w:rsid w:val="1C03E1CA"/>
    <w:rsid w:val="1C0562CE"/>
    <w:rsid w:val="1C08B8B7"/>
    <w:rsid w:val="1C0B709E"/>
    <w:rsid w:val="1C17B8E8"/>
    <w:rsid w:val="1C1DCDFB"/>
    <w:rsid w:val="1C23B7F1"/>
    <w:rsid w:val="1C2504C0"/>
    <w:rsid w:val="1C2CE076"/>
    <w:rsid w:val="1C30C721"/>
    <w:rsid w:val="1C530D15"/>
    <w:rsid w:val="1C53215E"/>
    <w:rsid w:val="1C66FFD3"/>
    <w:rsid w:val="1C75D4E4"/>
    <w:rsid w:val="1C75E3B9"/>
    <w:rsid w:val="1C7FE0B4"/>
    <w:rsid w:val="1C934394"/>
    <w:rsid w:val="1C98C243"/>
    <w:rsid w:val="1CA53705"/>
    <w:rsid w:val="1CAA1578"/>
    <w:rsid w:val="1CBD9883"/>
    <w:rsid w:val="1CC20E1A"/>
    <w:rsid w:val="1CD7009E"/>
    <w:rsid w:val="1CD8A95D"/>
    <w:rsid w:val="1CDE98E3"/>
    <w:rsid w:val="1CE072F5"/>
    <w:rsid w:val="1CEF347D"/>
    <w:rsid w:val="1CF41C8C"/>
    <w:rsid w:val="1D04030C"/>
    <w:rsid w:val="1D096D71"/>
    <w:rsid w:val="1D0DC037"/>
    <w:rsid w:val="1D0FF34E"/>
    <w:rsid w:val="1D1C91C0"/>
    <w:rsid w:val="1D1CC3F7"/>
    <w:rsid w:val="1D33F78D"/>
    <w:rsid w:val="1D3791CF"/>
    <w:rsid w:val="1D4A37A7"/>
    <w:rsid w:val="1D5B71D7"/>
    <w:rsid w:val="1D5DB59C"/>
    <w:rsid w:val="1D623292"/>
    <w:rsid w:val="1D910B5E"/>
    <w:rsid w:val="1D93C0CC"/>
    <w:rsid w:val="1DA3483D"/>
    <w:rsid w:val="1DA41A6E"/>
    <w:rsid w:val="1DB9C67A"/>
    <w:rsid w:val="1DC35D70"/>
    <w:rsid w:val="1DCF5533"/>
    <w:rsid w:val="1DE1832C"/>
    <w:rsid w:val="1DF2B50D"/>
    <w:rsid w:val="1DFAC98C"/>
    <w:rsid w:val="1DFE92E4"/>
    <w:rsid w:val="1E119DAE"/>
    <w:rsid w:val="1E12B7C2"/>
    <w:rsid w:val="1E24F78E"/>
    <w:rsid w:val="1E2DA506"/>
    <w:rsid w:val="1E2DEFC2"/>
    <w:rsid w:val="1E31ACCB"/>
    <w:rsid w:val="1E39063C"/>
    <w:rsid w:val="1E3CC730"/>
    <w:rsid w:val="1E44EF4E"/>
    <w:rsid w:val="1E47204B"/>
    <w:rsid w:val="1E4C49EC"/>
    <w:rsid w:val="1E521E36"/>
    <w:rsid w:val="1E67AFF9"/>
    <w:rsid w:val="1E6ECC9A"/>
    <w:rsid w:val="1E75BF9D"/>
    <w:rsid w:val="1E8D6CD7"/>
    <w:rsid w:val="1E8F65C3"/>
    <w:rsid w:val="1E90ACC4"/>
    <w:rsid w:val="1E922D73"/>
    <w:rsid w:val="1EAAE0F4"/>
    <w:rsid w:val="1EB83A29"/>
    <w:rsid w:val="1EBF9A93"/>
    <w:rsid w:val="1ECB845D"/>
    <w:rsid w:val="1ED46AD2"/>
    <w:rsid w:val="1ED66CDA"/>
    <w:rsid w:val="1EDD5393"/>
    <w:rsid w:val="1EDE94C8"/>
    <w:rsid w:val="1EE229AB"/>
    <w:rsid w:val="1EE52E1E"/>
    <w:rsid w:val="1EECECFC"/>
    <w:rsid w:val="1EF8B66A"/>
    <w:rsid w:val="1EFB0998"/>
    <w:rsid w:val="1F0E48F7"/>
    <w:rsid w:val="1F0E7BCB"/>
    <w:rsid w:val="1F1F08C3"/>
    <w:rsid w:val="1F240261"/>
    <w:rsid w:val="1F4F56C8"/>
    <w:rsid w:val="1F55BD9C"/>
    <w:rsid w:val="1F663EE6"/>
    <w:rsid w:val="1F691634"/>
    <w:rsid w:val="1F7EE030"/>
    <w:rsid w:val="1F7EE589"/>
    <w:rsid w:val="1F8AAAAD"/>
    <w:rsid w:val="1F977705"/>
    <w:rsid w:val="1F98C112"/>
    <w:rsid w:val="1FA3D6FC"/>
    <w:rsid w:val="1FA95E0A"/>
    <w:rsid w:val="1FAFB440"/>
    <w:rsid w:val="1FB4F383"/>
    <w:rsid w:val="1FBF8D90"/>
    <w:rsid w:val="1FD40541"/>
    <w:rsid w:val="1FD4A18A"/>
    <w:rsid w:val="1FEC17BF"/>
    <w:rsid w:val="1FFC16C7"/>
    <w:rsid w:val="200A35BF"/>
    <w:rsid w:val="201762A4"/>
    <w:rsid w:val="20224400"/>
    <w:rsid w:val="20252416"/>
    <w:rsid w:val="20479213"/>
    <w:rsid w:val="204A0BE1"/>
    <w:rsid w:val="204B652F"/>
    <w:rsid w:val="2052AD97"/>
    <w:rsid w:val="205BA3E7"/>
    <w:rsid w:val="205D35BD"/>
    <w:rsid w:val="205FF43D"/>
    <w:rsid w:val="2062121E"/>
    <w:rsid w:val="2070AED3"/>
    <w:rsid w:val="2077D54B"/>
    <w:rsid w:val="208909EA"/>
    <w:rsid w:val="208A0D20"/>
    <w:rsid w:val="20929657"/>
    <w:rsid w:val="2098548B"/>
    <w:rsid w:val="209B469F"/>
    <w:rsid w:val="20BC3EC1"/>
    <w:rsid w:val="20C6AE38"/>
    <w:rsid w:val="20CC6A0C"/>
    <w:rsid w:val="20D5F92C"/>
    <w:rsid w:val="20EBCB9C"/>
    <w:rsid w:val="21024BD3"/>
    <w:rsid w:val="210349F4"/>
    <w:rsid w:val="21139EF0"/>
    <w:rsid w:val="21181C60"/>
    <w:rsid w:val="212120CA"/>
    <w:rsid w:val="21282669"/>
    <w:rsid w:val="21303487"/>
    <w:rsid w:val="2134C69C"/>
    <w:rsid w:val="215771C7"/>
    <w:rsid w:val="215B4857"/>
    <w:rsid w:val="215E0483"/>
    <w:rsid w:val="215E7AA8"/>
    <w:rsid w:val="216222E4"/>
    <w:rsid w:val="2163A77D"/>
    <w:rsid w:val="216F4472"/>
    <w:rsid w:val="21868AB0"/>
    <w:rsid w:val="2186F642"/>
    <w:rsid w:val="21AC3C75"/>
    <w:rsid w:val="21AC78D2"/>
    <w:rsid w:val="21B92524"/>
    <w:rsid w:val="21C62F1B"/>
    <w:rsid w:val="21DDDB6E"/>
    <w:rsid w:val="21E107CF"/>
    <w:rsid w:val="21ED55B0"/>
    <w:rsid w:val="21FEEEDA"/>
    <w:rsid w:val="21FFED5A"/>
    <w:rsid w:val="2204C912"/>
    <w:rsid w:val="220B0CD0"/>
    <w:rsid w:val="2219DB26"/>
    <w:rsid w:val="221D48B9"/>
    <w:rsid w:val="22272070"/>
    <w:rsid w:val="223D5A82"/>
    <w:rsid w:val="225C136D"/>
    <w:rsid w:val="2260B596"/>
    <w:rsid w:val="2261B08F"/>
    <w:rsid w:val="22637A8F"/>
    <w:rsid w:val="2288FB63"/>
    <w:rsid w:val="22894EB1"/>
    <w:rsid w:val="228F97B7"/>
    <w:rsid w:val="2295EE54"/>
    <w:rsid w:val="22C3E7F8"/>
    <w:rsid w:val="22C54302"/>
    <w:rsid w:val="22C58981"/>
    <w:rsid w:val="22D559F9"/>
    <w:rsid w:val="22DDF9D6"/>
    <w:rsid w:val="22DEF1A4"/>
    <w:rsid w:val="2304166C"/>
    <w:rsid w:val="230ED379"/>
    <w:rsid w:val="230EE517"/>
    <w:rsid w:val="232F4D84"/>
    <w:rsid w:val="2346898A"/>
    <w:rsid w:val="23667994"/>
    <w:rsid w:val="236E5FD4"/>
    <w:rsid w:val="2376AA15"/>
    <w:rsid w:val="23788AA2"/>
    <w:rsid w:val="237F8428"/>
    <w:rsid w:val="2382A2F7"/>
    <w:rsid w:val="238676DB"/>
    <w:rsid w:val="239344A9"/>
    <w:rsid w:val="239F86B4"/>
    <w:rsid w:val="23A15ADD"/>
    <w:rsid w:val="23ACF0D7"/>
    <w:rsid w:val="23B09973"/>
    <w:rsid w:val="23B0A40D"/>
    <w:rsid w:val="23B98088"/>
    <w:rsid w:val="23CA8A25"/>
    <w:rsid w:val="23CBEFA9"/>
    <w:rsid w:val="23D204CA"/>
    <w:rsid w:val="23D4EC99"/>
    <w:rsid w:val="23DAF6ED"/>
    <w:rsid w:val="23DFD8B5"/>
    <w:rsid w:val="23E96EA6"/>
    <w:rsid w:val="23EFE7B8"/>
    <w:rsid w:val="23FE0CE5"/>
    <w:rsid w:val="23FE5487"/>
    <w:rsid w:val="23FFCF7C"/>
    <w:rsid w:val="24041657"/>
    <w:rsid w:val="2410ECE6"/>
    <w:rsid w:val="24170078"/>
    <w:rsid w:val="24177757"/>
    <w:rsid w:val="241C01C3"/>
    <w:rsid w:val="24227700"/>
    <w:rsid w:val="2423C712"/>
    <w:rsid w:val="243C4F02"/>
    <w:rsid w:val="244B85DE"/>
    <w:rsid w:val="2451354F"/>
    <w:rsid w:val="246BB29E"/>
    <w:rsid w:val="246C5B7F"/>
    <w:rsid w:val="24737C98"/>
    <w:rsid w:val="2476270A"/>
    <w:rsid w:val="247F8604"/>
    <w:rsid w:val="2484DAFB"/>
    <w:rsid w:val="249555F1"/>
    <w:rsid w:val="249BEEC8"/>
    <w:rsid w:val="249BF1C7"/>
    <w:rsid w:val="24C17C93"/>
    <w:rsid w:val="24CC6078"/>
    <w:rsid w:val="24D4091F"/>
    <w:rsid w:val="24D8E64B"/>
    <w:rsid w:val="24E0BC1B"/>
    <w:rsid w:val="24E7319C"/>
    <w:rsid w:val="24F05B21"/>
    <w:rsid w:val="24F5AD6A"/>
    <w:rsid w:val="24F97211"/>
    <w:rsid w:val="2513403D"/>
    <w:rsid w:val="25161662"/>
    <w:rsid w:val="251624FF"/>
    <w:rsid w:val="2518BCD3"/>
    <w:rsid w:val="251919B5"/>
    <w:rsid w:val="2532E903"/>
    <w:rsid w:val="2535861B"/>
    <w:rsid w:val="2535CC31"/>
    <w:rsid w:val="253E741A"/>
    <w:rsid w:val="254639D5"/>
    <w:rsid w:val="25483B93"/>
    <w:rsid w:val="254C3CF8"/>
    <w:rsid w:val="255DD664"/>
    <w:rsid w:val="2566CFA3"/>
    <w:rsid w:val="2571B4F0"/>
    <w:rsid w:val="25743AF9"/>
    <w:rsid w:val="2576D9C5"/>
    <w:rsid w:val="257851D7"/>
    <w:rsid w:val="258A93F7"/>
    <w:rsid w:val="258B76B1"/>
    <w:rsid w:val="258C140E"/>
    <w:rsid w:val="25975179"/>
    <w:rsid w:val="2598C065"/>
    <w:rsid w:val="259D3114"/>
    <w:rsid w:val="25A9548B"/>
    <w:rsid w:val="25AD13B1"/>
    <w:rsid w:val="25DA7791"/>
    <w:rsid w:val="25E19354"/>
    <w:rsid w:val="25E1DC22"/>
    <w:rsid w:val="25E5678E"/>
    <w:rsid w:val="25EBC8BD"/>
    <w:rsid w:val="260B10C7"/>
    <w:rsid w:val="26135541"/>
    <w:rsid w:val="2615286D"/>
    <w:rsid w:val="263A9339"/>
    <w:rsid w:val="26426806"/>
    <w:rsid w:val="2650DC8F"/>
    <w:rsid w:val="26620359"/>
    <w:rsid w:val="2662D9A8"/>
    <w:rsid w:val="2668F411"/>
    <w:rsid w:val="26717A9C"/>
    <w:rsid w:val="26719B83"/>
    <w:rsid w:val="267F2AD2"/>
    <w:rsid w:val="268E767C"/>
    <w:rsid w:val="269A2A63"/>
    <w:rsid w:val="26A7E3F9"/>
    <w:rsid w:val="26B6CE91"/>
    <w:rsid w:val="26B728A0"/>
    <w:rsid w:val="26E7783B"/>
    <w:rsid w:val="26FFE982"/>
    <w:rsid w:val="270FE2FE"/>
    <w:rsid w:val="271C9FA5"/>
    <w:rsid w:val="271D5E2D"/>
    <w:rsid w:val="271E7465"/>
    <w:rsid w:val="272954C7"/>
    <w:rsid w:val="273EF366"/>
    <w:rsid w:val="27407049"/>
    <w:rsid w:val="274264C6"/>
    <w:rsid w:val="2743140C"/>
    <w:rsid w:val="274CEFAF"/>
    <w:rsid w:val="275245DD"/>
    <w:rsid w:val="27563C74"/>
    <w:rsid w:val="2762C145"/>
    <w:rsid w:val="27656E0A"/>
    <w:rsid w:val="277630FE"/>
    <w:rsid w:val="27768324"/>
    <w:rsid w:val="277E36E9"/>
    <w:rsid w:val="27857A4A"/>
    <w:rsid w:val="278B816D"/>
    <w:rsid w:val="2797DBF0"/>
    <w:rsid w:val="27A07A9C"/>
    <w:rsid w:val="27AAB7BC"/>
    <w:rsid w:val="27C110A7"/>
    <w:rsid w:val="27D01B13"/>
    <w:rsid w:val="27E0C71C"/>
    <w:rsid w:val="27E734C3"/>
    <w:rsid w:val="27FDD3BA"/>
    <w:rsid w:val="280555C7"/>
    <w:rsid w:val="280CB354"/>
    <w:rsid w:val="281447E9"/>
    <w:rsid w:val="28180F56"/>
    <w:rsid w:val="281A62AD"/>
    <w:rsid w:val="28346683"/>
    <w:rsid w:val="28359199"/>
    <w:rsid w:val="284F15C3"/>
    <w:rsid w:val="286AF226"/>
    <w:rsid w:val="286CD0FE"/>
    <w:rsid w:val="28719C73"/>
    <w:rsid w:val="288025C5"/>
    <w:rsid w:val="28916C59"/>
    <w:rsid w:val="289FC9E4"/>
    <w:rsid w:val="28C150A3"/>
    <w:rsid w:val="28C256E1"/>
    <w:rsid w:val="28C77EBD"/>
    <w:rsid w:val="28C9F455"/>
    <w:rsid w:val="28CC4217"/>
    <w:rsid w:val="28E489BB"/>
    <w:rsid w:val="28E9A927"/>
    <w:rsid w:val="28FE5C33"/>
    <w:rsid w:val="290D13B4"/>
    <w:rsid w:val="290D4ACD"/>
    <w:rsid w:val="291569D5"/>
    <w:rsid w:val="29189CD0"/>
    <w:rsid w:val="291F26C3"/>
    <w:rsid w:val="29249437"/>
    <w:rsid w:val="29353EE4"/>
    <w:rsid w:val="293B1D38"/>
    <w:rsid w:val="293DE252"/>
    <w:rsid w:val="293F697B"/>
    <w:rsid w:val="29472922"/>
    <w:rsid w:val="294836A4"/>
    <w:rsid w:val="295AD275"/>
    <w:rsid w:val="29645EAF"/>
    <w:rsid w:val="29661CEE"/>
    <w:rsid w:val="296D97A2"/>
    <w:rsid w:val="2981D87E"/>
    <w:rsid w:val="29852153"/>
    <w:rsid w:val="2988349E"/>
    <w:rsid w:val="298A5A5B"/>
    <w:rsid w:val="298E964F"/>
    <w:rsid w:val="29A2B3AE"/>
    <w:rsid w:val="29A958F3"/>
    <w:rsid w:val="29AE62F2"/>
    <w:rsid w:val="29AFDCEB"/>
    <w:rsid w:val="29B483E3"/>
    <w:rsid w:val="29BA5D46"/>
    <w:rsid w:val="29CDE24B"/>
    <w:rsid w:val="29FF0C87"/>
    <w:rsid w:val="2A01407F"/>
    <w:rsid w:val="2A0B1ACC"/>
    <w:rsid w:val="2A1C2279"/>
    <w:rsid w:val="2A1C6241"/>
    <w:rsid w:val="2A1E8185"/>
    <w:rsid w:val="2A3D802E"/>
    <w:rsid w:val="2A409FE4"/>
    <w:rsid w:val="2A43B62D"/>
    <w:rsid w:val="2A451A7C"/>
    <w:rsid w:val="2A4C145E"/>
    <w:rsid w:val="2A67A91A"/>
    <w:rsid w:val="2A6C0023"/>
    <w:rsid w:val="2A72CA43"/>
    <w:rsid w:val="2A7A42F1"/>
    <w:rsid w:val="2A8A0181"/>
    <w:rsid w:val="2A8B37F2"/>
    <w:rsid w:val="2A976D8A"/>
    <w:rsid w:val="2A98278B"/>
    <w:rsid w:val="2A9B9200"/>
    <w:rsid w:val="2A9BB77F"/>
    <w:rsid w:val="2AA6A585"/>
    <w:rsid w:val="2AA86DFC"/>
    <w:rsid w:val="2AB4E595"/>
    <w:rsid w:val="2ABBCB97"/>
    <w:rsid w:val="2AC97A81"/>
    <w:rsid w:val="2ACD4E89"/>
    <w:rsid w:val="2AD68A37"/>
    <w:rsid w:val="2AD77F31"/>
    <w:rsid w:val="2ADB1E2A"/>
    <w:rsid w:val="2ADEACCC"/>
    <w:rsid w:val="2AF3CCCB"/>
    <w:rsid w:val="2B068B0C"/>
    <w:rsid w:val="2B0AF851"/>
    <w:rsid w:val="2B0B8EAA"/>
    <w:rsid w:val="2B1FDD7C"/>
    <w:rsid w:val="2B221248"/>
    <w:rsid w:val="2B2872F9"/>
    <w:rsid w:val="2B35747C"/>
    <w:rsid w:val="2B424755"/>
    <w:rsid w:val="2B46E470"/>
    <w:rsid w:val="2B4B450E"/>
    <w:rsid w:val="2B521E50"/>
    <w:rsid w:val="2B5AC2A0"/>
    <w:rsid w:val="2B607E20"/>
    <w:rsid w:val="2B6C2F89"/>
    <w:rsid w:val="2B786D31"/>
    <w:rsid w:val="2B911A3D"/>
    <w:rsid w:val="2B932D7F"/>
    <w:rsid w:val="2B946B34"/>
    <w:rsid w:val="2B95FAE8"/>
    <w:rsid w:val="2B9780F5"/>
    <w:rsid w:val="2BA3EF44"/>
    <w:rsid w:val="2BABB18C"/>
    <w:rsid w:val="2BB5FA79"/>
    <w:rsid w:val="2BBE0235"/>
    <w:rsid w:val="2BD94E84"/>
    <w:rsid w:val="2BDB0FE0"/>
    <w:rsid w:val="2BE2DBCA"/>
    <w:rsid w:val="2BE92905"/>
    <w:rsid w:val="2BECE109"/>
    <w:rsid w:val="2BF62668"/>
    <w:rsid w:val="2BFFF38F"/>
    <w:rsid w:val="2C09F1DC"/>
    <w:rsid w:val="2C16CB79"/>
    <w:rsid w:val="2C1E8CBD"/>
    <w:rsid w:val="2C2B5FB8"/>
    <w:rsid w:val="2C54AC5A"/>
    <w:rsid w:val="2C5A884F"/>
    <w:rsid w:val="2C60757C"/>
    <w:rsid w:val="2C608C52"/>
    <w:rsid w:val="2C60F839"/>
    <w:rsid w:val="2C661A1D"/>
    <w:rsid w:val="2C68DE20"/>
    <w:rsid w:val="2C68E78A"/>
    <w:rsid w:val="2C99938C"/>
    <w:rsid w:val="2CA3D261"/>
    <w:rsid w:val="2CA5CD6E"/>
    <w:rsid w:val="2CACCF49"/>
    <w:rsid w:val="2CAE5CBE"/>
    <w:rsid w:val="2CB06796"/>
    <w:rsid w:val="2CB1E1FB"/>
    <w:rsid w:val="2CB4B05C"/>
    <w:rsid w:val="2CB7AB23"/>
    <w:rsid w:val="2CBFFB6A"/>
    <w:rsid w:val="2CC218E3"/>
    <w:rsid w:val="2CCAF076"/>
    <w:rsid w:val="2CCB89FC"/>
    <w:rsid w:val="2CCEF2B0"/>
    <w:rsid w:val="2CD9B5AA"/>
    <w:rsid w:val="2CE10F2B"/>
    <w:rsid w:val="2CE1E1E8"/>
    <w:rsid w:val="2CE6A1E4"/>
    <w:rsid w:val="2CF20462"/>
    <w:rsid w:val="2CF783C9"/>
    <w:rsid w:val="2CFA95DB"/>
    <w:rsid w:val="2CFDC115"/>
    <w:rsid w:val="2D0A7A8F"/>
    <w:rsid w:val="2D0F0AA5"/>
    <w:rsid w:val="2D1491BD"/>
    <w:rsid w:val="2D19F36F"/>
    <w:rsid w:val="2D1DDAD1"/>
    <w:rsid w:val="2D20AA9E"/>
    <w:rsid w:val="2D3171DC"/>
    <w:rsid w:val="2D3477F6"/>
    <w:rsid w:val="2D3E2411"/>
    <w:rsid w:val="2D4860E3"/>
    <w:rsid w:val="2D4E7058"/>
    <w:rsid w:val="2D528FF4"/>
    <w:rsid w:val="2D58A035"/>
    <w:rsid w:val="2D6DC054"/>
    <w:rsid w:val="2D76A042"/>
    <w:rsid w:val="2D7D4E18"/>
    <w:rsid w:val="2D88DA98"/>
    <w:rsid w:val="2DBF57CF"/>
    <w:rsid w:val="2DCDD431"/>
    <w:rsid w:val="2DD37962"/>
    <w:rsid w:val="2DDF5729"/>
    <w:rsid w:val="2DF6D842"/>
    <w:rsid w:val="2DFC5CB3"/>
    <w:rsid w:val="2E01E3CF"/>
    <w:rsid w:val="2E03A77F"/>
    <w:rsid w:val="2E08D05E"/>
    <w:rsid w:val="2E0E914B"/>
    <w:rsid w:val="2E190CFC"/>
    <w:rsid w:val="2E1C98EC"/>
    <w:rsid w:val="2E25F44F"/>
    <w:rsid w:val="2E2713AE"/>
    <w:rsid w:val="2E2D237C"/>
    <w:rsid w:val="2E339936"/>
    <w:rsid w:val="2E34F34D"/>
    <w:rsid w:val="2E3AD2D9"/>
    <w:rsid w:val="2E3D1BD0"/>
    <w:rsid w:val="2E4BA026"/>
    <w:rsid w:val="2E4C806C"/>
    <w:rsid w:val="2E515AC7"/>
    <w:rsid w:val="2E58CF86"/>
    <w:rsid w:val="2E5E366F"/>
    <w:rsid w:val="2E6293AB"/>
    <w:rsid w:val="2E659BB8"/>
    <w:rsid w:val="2E6D153E"/>
    <w:rsid w:val="2E7990C4"/>
    <w:rsid w:val="2E86C967"/>
    <w:rsid w:val="2E8A6AF1"/>
    <w:rsid w:val="2E97A2C8"/>
    <w:rsid w:val="2E9856FF"/>
    <w:rsid w:val="2EA06230"/>
    <w:rsid w:val="2EA3D04B"/>
    <w:rsid w:val="2EA8B2E1"/>
    <w:rsid w:val="2EAA32C4"/>
    <w:rsid w:val="2ECF805A"/>
    <w:rsid w:val="2EEB514D"/>
    <w:rsid w:val="2EF665DC"/>
    <w:rsid w:val="2F0ADE0C"/>
    <w:rsid w:val="2F2A566F"/>
    <w:rsid w:val="2F2B902E"/>
    <w:rsid w:val="2F33F96F"/>
    <w:rsid w:val="2F357B0B"/>
    <w:rsid w:val="2F3EEFB4"/>
    <w:rsid w:val="2F41FC65"/>
    <w:rsid w:val="2F473FAC"/>
    <w:rsid w:val="2F55A9EC"/>
    <w:rsid w:val="2F693E12"/>
    <w:rsid w:val="2F87EAF7"/>
    <w:rsid w:val="2F9E129B"/>
    <w:rsid w:val="2FA1F2F8"/>
    <w:rsid w:val="2FA25D60"/>
    <w:rsid w:val="2FA5D510"/>
    <w:rsid w:val="2FD7BF08"/>
    <w:rsid w:val="2FEAEE1D"/>
    <w:rsid w:val="2FF037FC"/>
    <w:rsid w:val="2FF85460"/>
    <w:rsid w:val="2FFE5D55"/>
    <w:rsid w:val="30080424"/>
    <w:rsid w:val="30116F4F"/>
    <w:rsid w:val="3013E20D"/>
    <w:rsid w:val="301D95D6"/>
    <w:rsid w:val="3026565B"/>
    <w:rsid w:val="302C9688"/>
    <w:rsid w:val="302CBFE2"/>
    <w:rsid w:val="303A4E58"/>
    <w:rsid w:val="303F0217"/>
    <w:rsid w:val="30448C6D"/>
    <w:rsid w:val="304705B2"/>
    <w:rsid w:val="304883FC"/>
    <w:rsid w:val="3059C353"/>
    <w:rsid w:val="305C5C3B"/>
    <w:rsid w:val="30687F76"/>
    <w:rsid w:val="306CF3DC"/>
    <w:rsid w:val="3072C174"/>
    <w:rsid w:val="307A685E"/>
    <w:rsid w:val="307CE5E5"/>
    <w:rsid w:val="307FA267"/>
    <w:rsid w:val="30876B2F"/>
    <w:rsid w:val="3094665E"/>
    <w:rsid w:val="30961268"/>
    <w:rsid w:val="3096B774"/>
    <w:rsid w:val="3098F2D8"/>
    <w:rsid w:val="309D463B"/>
    <w:rsid w:val="30A68AD9"/>
    <w:rsid w:val="30A831CD"/>
    <w:rsid w:val="30AA02CC"/>
    <w:rsid w:val="30B45375"/>
    <w:rsid w:val="30CCD061"/>
    <w:rsid w:val="30CFED52"/>
    <w:rsid w:val="30CFFB91"/>
    <w:rsid w:val="30D4D918"/>
    <w:rsid w:val="30D5A42D"/>
    <w:rsid w:val="30DFCCD6"/>
    <w:rsid w:val="30E095A9"/>
    <w:rsid w:val="30E33746"/>
    <w:rsid w:val="30E8F805"/>
    <w:rsid w:val="30EEAE79"/>
    <w:rsid w:val="30F80E02"/>
    <w:rsid w:val="30F8D419"/>
    <w:rsid w:val="310C4823"/>
    <w:rsid w:val="31114616"/>
    <w:rsid w:val="312D2E4E"/>
    <w:rsid w:val="313C32A9"/>
    <w:rsid w:val="313CF660"/>
    <w:rsid w:val="314C6DB3"/>
    <w:rsid w:val="316C65E7"/>
    <w:rsid w:val="316E74CA"/>
    <w:rsid w:val="317C70B8"/>
    <w:rsid w:val="318F44DB"/>
    <w:rsid w:val="3199DE05"/>
    <w:rsid w:val="319A51CA"/>
    <w:rsid w:val="31CB6784"/>
    <w:rsid w:val="31CFEAE5"/>
    <w:rsid w:val="31D23631"/>
    <w:rsid w:val="31D4BC6F"/>
    <w:rsid w:val="3200790B"/>
    <w:rsid w:val="320B9884"/>
    <w:rsid w:val="3220832C"/>
    <w:rsid w:val="323717E9"/>
    <w:rsid w:val="3247C0A8"/>
    <w:rsid w:val="325147A6"/>
    <w:rsid w:val="326F1D4E"/>
    <w:rsid w:val="327DD10C"/>
    <w:rsid w:val="328B8A0E"/>
    <w:rsid w:val="3295F5D2"/>
    <w:rsid w:val="329DEE22"/>
    <w:rsid w:val="32BB737F"/>
    <w:rsid w:val="32C3EF04"/>
    <w:rsid w:val="32DDEB04"/>
    <w:rsid w:val="32E2026E"/>
    <w:rsid w:val="32EFD18A"/>
    <w:rsid w:val="32F577EC"/>
    <w:rsid w:val="3301A15A"/>
    <w:rsid w:val="33150F2D"/>
    <w:rsid w:val="331D2F8E"/>
    <w:rsid w:val="3328A5ED"/>
    <w:rsid w:val="333479E7"/>
    <w:rsid w:val="33414220"/>
    <w:rsid w:val="33452304"/>
    <w:rsid w:val="33453917"/>
    <w:rsid w:val="33454580"/>
    <w:rsid w:val="3348CA6D"/>
    <w:rsid w:val="334C9941"/>
    <w:rsid w:val="334CB7DB"/>
    <w:rsid w:val="335E5A9F"/>
    <w:rsid w:val="335EF7A2"/>
    <w:rsid w:val="336DC997"/>
    <w:rsid w:val="33764D96"/>
    <w:rsid w:val="3378CA98"/>
    <w:rsid w:val="33851F21"/>
    <w:rsid w:val="33859A0A"/>
    <w:rsid w:val="33953BD1"/>
    <w:rsid w:val="33961481"/>
    <w:rsid w:val="3397451B"/>
    <w:rsid w:val="3399C902"/>
    <w:rsid w:val="339A107B"/>
    <w:rsid w:val="33A19728"/>
    <w:rsid w:val="33A31F48"/>
    <w:rsid w:val="33AA0B17"/>
    <w:rsid w:val="33AB024D"/>
    <w:rsid w:val="33AD94C6"/>
    <w:rsid w:val="33AEB6F9"/>
    <w:rsid w:val="33BEEE44"/>
    <w:rsid w:val="33C0D341"/>
    <w:rsid w:val="33C1D11F"/>
    <w:rsid w:val="33C2749D"/>
    <w:rsid w:val="33CB0E9C"/>
    <w:rsid w:val="33E207BC"/>
    <w:rsid w:val="33EE260B"/>
    <w:rsid w:val="33F0C83D"/>
    <w:rsid w:val="33F5AE50"/>
    <w:rsid w:val="33F84A2A"/>
    <w:rsid w:val="33F8FF06"/>
    <w:rsid w:val="33FD4067"/>
    <w:rsid w:val="340110C1"/>
    <w:rsid w:val="342C5B1E"/>
    <w:rsid w:val="343018B2"/>
    <w:rsid w:val="343435E7"/>
    <w:rsid w:val="343E429D"/>
    <w:rsid w:val="344B267B"/>
    <w:rsid w:val="3454170B"/>
    <w:rsid w:val="3457E04D"/>
    <w:rsid w:val="345D06A7"/>
    <w:rsid w:val="3463304F"/>
    <w:rsid w:val="346DCE72"/>
    <w:rsid w:val="34710781"/>
    <w:rsid w:val="34761B14"/>
    <w:rsid w:val="347E7E54"/>
    <w:rsid w:val="34853885"/>
    <w:rsid w:val="348D0045"/>
    <w:rsid w:val="3492F018"/>
    <w:rsid w:val="34983E54"/>
    <w:rsid w:val="349881E5"/>
    <w:rsid w:val="349A2C5D"/>
    <w:rsid w:val="34B81F1C"/>
    <w:rsid w:val="34BC3B78"/>
    <w:rsid w:val="34BE84D3"/>
    <w:rsid w:val="34C7536B"/>
    <w:rsid w:val="34CBD9D3"/>
    <w:rsid w:val="34D3FAFB"/>
    <w:rsid w:val="34DC4441"/>
    <w:rsid w:val="34E22F5F"/>
    <w:rsid w:val="34EB367B"/>
    <w:rsid w:val="34ECEFE1"/>
    <w:rsid w:val="34F9BEE3"/>
    <w:rsid w:val="34F9F5E6"/>
    <w:rsid w:val="350DED4F"/>
    <w:rsid w:val="352EBC07"/>
    <w:rsid w:val="353577EB"/>
    <w:rsid w:val="353BACC6"/>
    <w:rsid w:val="35551B83"/>
    <w:rsid w:val="3561D799"/>
    <w:rsid w:val="35641FF3"/>
    <w:rsid w:val="35656313"/>
    <w:rsid w:val="356B61E2"/>
    <w:rsid w:val="35763B3E"/>
    <w:rsid w:val="3580F1DB"/>
    <w:rsid w:val="35818C60"/>
    <w:rsid w:val="3585B38B"/>
    <w:rsid w:val="35925FCF"/>
    <w:rsid w:val="35B042C0"/>
    <w:rsid w:val="35B290A2"/>
    <w:rsid w:val="35B91AC0"/>
    <w:rsid w:val="35BAD632"/>
    <w:rsid w:val="35BB22F5"/>
    <w:rsid w:val="35BD41EC"/>
    <w:rsid w:val="35CA6E55"/>
    <w:rsid w:val="35E0C64F"/>
    <w:rsid w:val="35EBBEB1"/>
    <w:rsid w:val="35EF61D4"/>
    <w:rsid w:val="35FE0946"/>
    <w:rsid w:val="36043944"/>
    <w:rsid w:val="36178E82"/>
    <w:rsid w:val="3619A330"/>
    <w:rsid w:val="36292CA7"/>
    <w:rsid w:val="3636E4D3"/>
    <w:rsid w:val="363FAE71"/>
    <w:rsid w:val="36616B5D"/>
    <w:rsid w:val="3665998A"/>
    <w:rsid w:val="3669D3B5"/>
    <w:rsid w:val="3672FD5B"/>
    <w:rsid w:val="367B384B"/>
    <w:rsid w:val="36875FA1"/>
    <w:rsid w:val="369E8748"/>
    <w:rsid w:val="36B21331"/>
    <w:rsid w:val="36C71507"/>
    <w:rsid w:val="36CB1146"/>
    <w:rsid w:val="36CE43A0"/>
    <w:rsid w:val="36DA7478"/>
    <w:rsid w:val="36E0182E"/>
    <w:rsid w:val="36E40ADE"/>
    <w:rsid w:val="36E8FEC1"/>
    <w:rsid w:val="36EE45DE"/>
    <w:rsid w:val="36F45C4A"/>
    <w:rsid w:val="36F81806"/>
    <w:rsid w:val="36FD582A"/>
    <w:rsid w:val="37145A6E"/>
    <w:rsid w:val="37246B86"/>
    <w:rsid w:val="3727A575"/>
    <w:rsid w:val="372922E0"/>
    <w:rsid w:val="372B6022"/>
    <w:rsid w:val="3736F45B"/>
    <w:rsid w:val="373932E0"/>
    <w:rsid w:val="373DAB8A"/>
    <w:rsid w:val="3749F1C2"/>
    <w:rsid w:val="3750BDE8"/>
    <w:rsid w:val="3761E775"/>
    <w:rsid w:val="37782C2F"/>
    <w:rsid w:val="378B77FE"/>
    <w:rsid w:val="378E4D06"/>
    <w:rsid w:val="379736E5"/>
    <w:rsid w:val="379D32B8"/>
    <w:rsid w:val="379E5CCA"/>
    <w:rsid w:val="379EFA71"/>
    <w:rsid w:val="37AB6513"/>
    <w:rsid w:val="37ABF9A7"/>
    <w:rsid w:val="37AFC1CC"/>
    <w:rsid w:val="37B2C5C0"/>
    <w:rsid w:val="37B7047A"/>
    <w:rsid w:val="37B8A0F9"/>
    <w:rsid w:val="37BB6609"/>
    <w:rsid w:val="37BFB81E"/>
    <w:rsid w:val="37D68DBE"/>
    <w:rsid w:val="37DB71FF"/>
    <w:rsid w:val="37DC3079"/>
    <w:rsid w:val="37E2A726"/>
    <w:rsid w:val="37E4225F"/>
    <w:rsid w:val="37EEE3D4"/>
    <w:rsid w:val="3812E905"/>
    <w:rsid w:val="38178D35"/>
    <w:rsid w:val="38179C59"/>
    <w:rsid w:val="381A9693"/>
    <w:rsid w:val="382841D3"/>
    <w:rsid w:val="382A145E"/>
    <w:rsid w:val="382B2D94"/>
    <w:rsid w:val="383E9000"/>
    <w:rsid w:val="3856D8A5"/>
    <w:rsid w:val="386107D9"/>
    <w:rsid w:val="38629860"/>
    <w:rsid w:val="386B0E38"/>
    <w:rsid w:val="3879DC28"/>
    <w:rsid w:val="387B3143"/>
    <w:rsid w:val="387B7A4B"/>
    <w:rsid w:val="3885C922"/>
    <w:rsid w:val="388FC615"/>
    <w:rsid w:val="3894C44C"/>
    <w:rsid w:val="389636F8"/>
    <w:rsid w:val="38A6CE3E"/>
    <w:rsid w:val="38B909BD"/>
    <w:rsid w:val="38F70736"/>
    <w:rsid w:val="38FAB1E5"/>
    <w:rsid w:val="38FE261E"/>
    <w:rsid w:val="3908A729"/>
    <w:rsid w:val="3909B36A"/>
    <w:rsid w:val="3921E7E0"/>
    <w:rsid w:val="3922F64A"/>
    <w:rsid w:val="39305D90"/>
    <w:rsid w:val="393A49D0"/>
    <w:rsid w:val="394290DF"/>
    <w:rsid w:val="395AC00F"/>
    <w:rsid w:val="39615DEF"/>
    <w:rsid w:val="3969D647"/>
    <w:rsid w:val="396E6D2E"/>
    <w:rsid w:val="3984D523"/>
    <w:rsid w:val="3985031B"/>
    <w:rsid w:val="399290B2"/>
    <w:rsid w:val="399C0B1A"/>
    <w:rsid w:val="399F42FC"/>
    <w:rsid w:val="39A6F561"/>
    <w:rsid w:val="39B077EC"/>
    <w:rsid w:val="39B21A19"/>
    <w:rsid w:val="39B3DD01"/>
    <w:rsid w:val="39E584A3"/>
    <w:rsid w:val="39EB18C3"/>
    <w:rsid w:val="39F0D5DB"/>
    <w:rsid w:val="39FBC0E1"/>
    <w:rsid w:val="3A00B94A"/>
    <w:rsid w:val="3A216484"/>
    <w:rsid w:val="3A22C142"/>
    <w:rsid w:val="3A2585CE"/>
    <w:rsid w:val="3A358A71"/>
    <w:rsid w:val="3A59105A"/>
    <w:rsid w:val="3A595A06"/>
    <w:rsid w:val="3A598B18"/>
    <w:rsid w:val="3A662455"/>
    <w:rsid w:val="3A78DDFC"/>
    <w:rsid w:val="3A7B268D"/>
    <w:rsid w:val="3A839021"/>
    <w:rsid w:val="3A9743D3"/>
    <w:rsid w:val="3A9A2A2B"/>
    <w:rsid w:val="3AA1D665"/>
    <w:rsid w:val="3AB952CF"/>
    <w:rsid w:val="3ABA0AD7"/>
    <w:rsid w:val="3AC4897C"/>
    <w:rsid w:val="3ACDAA56"/>
    <w:rsid w:val="3ADD0697"/>
    <w:rsid w:val="3ADDCFE5"/>
    <w:rsid w:val="3ADF19FF"/>
    <w:rsid w:val="3ADF871F"/>
    <w:rsid w:val="3AF3448D"/>
    <w:rsid w:val="3B02E25D"/>
    <w:rsid w:val="3B18924B"/>
    <w:rsid w:val="3B209197"/>
    <w:rsid w:val="3B23F7AB"/>
    <w:rsid w:val="3B3522AC"/>
    <w:rsid w:val="3B3DAA6A"/>
    <w:rsid w:val="3B3F16C5"/>
    <w:rsid w:val="3B5FDD18"/>
    <w:rsid w:val="3B629B4B"/>
    <w:rsid w:val="3B6AD83E"/>
    <w:rsid w:val="3B757E9A"/>
    <w:rsid w:val="3B7D747A"/>
    <w:rsid w:val="3B814F41"/>
    <w:rsid w:val="3B81CC15"/>
    <w:rsid w:val="3B8F29D4"/>
    <w:rsid w:val="3B98C608"/>
    <w:rsid w:val="3B9C81ED"/>
    <w:rsid w:val="3B9F76BC"/>
    <w:rsid w:val="3BB25A3A"/>
    <w:rsid w:val="3BC06B7F"/>
    <w:rsid w:val="3BD2DF37"/>
    <w:rsid w:val="3BE6F407"/>
    <w:rsid w:val="3BE81031"/>
    <w:rsid w:val="3BED6997"/>
    <w:rsid w:val="3BF36DFB"/>
    <w:rsid w:val="3C02FC06"/>
    <w:rsid w:val="3C040648"/>
    <w:rsid w:val="3C0F8B5C"/>
    <w:rsid w:val="3C11833E"/>
    <w:rsid w:val="3C165097"/>
    <w:rsid w:val="3C33AAC5"/>
    <w:rsid w:val="3C349EAD"/>
    <w:rsid w:val="3C35602A"/>
    <w:rsid w:val="3C37A35D"/>
    <w:rsid w:val="3C38122D"/>
    <w:rsid w:val="3C3DA6C6"/>
    <w:rsid w:val="3C42EA49"/>
    <w:rsid w:val="3C476451"/>
    <w:rsid w:val="3C4B8CDC"/>
    <w:rsid w:val="3C4DBA0D"/>
    <w:rsid w:val="3C577A5A"/>
    <w:rsid w:val="3C5AB22D"/>
    <w:rsid w:val="3C6AFCEE"/>
    <w:rsid w:val="3C74B1F9"/>
    <w:rsid w:val="3C832BFB"/>
    <w:rsid w:val="3C85ADFE"/>
    <w:rsid w:val="3C890566"/>
    <w:rsid w:val="3C8C0605"/>
    <w:rsid w:val="3C94DD41"/>
    <w:rsid w:val="3CB7D723"/>
    <w:rsid w:val="3CBDAA99"/>
    <w:rsid w:val="3CC60A46"/>
    <w:rsid w:val="3CD0A860"/>
    <w:rsid w:val="3CD3BB1F"/>
    <w:rsid w:val="3CD865F4"/>
    <w:rsid w:val="3CE0B4A1"/>
    <w:rsid w:val="3CEE287E"/>
    <w:rsid w:val="3CFB1013"/>
    <w:rsid w:val="3D02FB35"/>
    <w:rsid w:val="3D0C82B2"/>
    <w:rsid w:val="3D0C8C02"/>
    <w:rsid w:val="3D18295C"/>
    <w:rsid w:val="3D185586"/>
    <w:rsid w:val="3D195214"/>
    <w:rsid w:val="3D20EF57"/>
    <w:rsid w:val="3D2FC37E"/>
    <w:rsid w:val="3D4D9770"/>
    <w:rsid w:val="3D5760A4"/>
    <w:rsid w:val="3D6176E8"/>
    <w:rsid w:val="3D62931E"/>
    <w:rsid w:val="3D6B0685"/>
    <w:rsid w:val="3D6C4373"/>
    <w:rsid w:val="3D85402A"/>
    <w:rsid w:val="3D8B5795"/>
    <w:rsid w:val="3D91AFEA"/>
    <w:rsid w:val="3D9CC015"/>
    <w:rsid w:val="3DA75D6E"/>
    <w:rsid w:val="3DA77D14"/>
    <w:rsid w:val="3DB6FEB4"/>
    <w:rsid w:val="3DB93592"/>
    <w:rsid w:val="3DBA98BE"/>
    <w:rsid w:val="3DBC7925"/>
    <w:rsid w:val="3DC81CF8"/>
    <w:rsid w:val="3DC8DCAD"/>
    <w:rsid w:val="3DCEE621"/>
    <w:rsid w:val="3DD30676"/>
    <w:rsid w:val="3DDB5641"/>
    <w:rsid w:val="3DE30E3A"/>
    <w:rsid w:val="3DE43E94"/>
    <w:rsid w:val="3DE6FFC8"/>
    <w:rsid w:val="3DEE167F"/>
    <w:rsid w:val="3DF5B85F"/>
    <w:rsid w:val="3DF85448"/>
    <w:rsid w:val="3E07307D"/>
    <w:rsid w:val="3E0CD879"/>
    <w:rsid w:val="3E13C9B5"/>
    <w:rsid w:val="3E15EB5A"/>
    <w:rsid w:val="3E20B1DB"/>
    <w:rsid w:val="3E2544B1"/>
    <w:rsid w:val="3E269B7A"/>
    <w:rsid w:val="3E2E3C02"/>
    <w:rsid w:val="3E2ECF70"/>
    <w:rsid w:val="3E33E8E6"/>
    <w:rsid w:val="3E3FEEDC"/>
    <w:rsid w:val="3E47E5A6"/>
    <w:rsid w:val="3E5648A8"/>
    <w:rsid w:val="3E69EAC4"/>
    <w:rsid w:val="3E718995"/>
    <w:rsid w:val="3E8BAF4F"/>
    <w:rsid w:val="3E97A6F7"/>
    <w:rsid w:val="3EB46C9B"/>
    <w:rsid w:val="3EBFB38F"/>
    <w:rsid w:val="3EC02D28"/>
    <w:rsid w:val="3EC5F7B6"/>
    <w:rsid w:val="3ECB5E18"/>
    <w:rsid w:val="3ED66CF5"/>
    <w:rsid w:val="3EDF5575"/>
    <w:rsid w:val="3EF60C93"/>
    <w:rsid w:val="3EF6A81D"/>
    <w:rsid w:val="3EFCCD5C"/>
    <w:rsid w:val="3F06CF1F"/>
    <w:rsid w:val="3F166C66"/>
    <w:rsid w:val="3F1B29B3"/>
    <w:rsid w:val="3F1C1C4C"/>
    <w:rsid w:val="3F2381E3"/>
    <w:rsid w:val="3F26A897"/>
    <w:rsid w:val="3F293288"/>
    <w:rsid w:val="3F46A2A5"/>
    <w:rsid w:val="3F562C99"/>
    <w:rsid w:val="3F62B582"/>
    <w:rsid w:val="3F7D5C2A"/>
    <w:rsid w:val="3F864747"/>
    <w:rsid w:val="3F9ECA48"/>
    <w:rsid w:val="3FA0D384"/>
    <w:rsid w:val="3FA25BB9"/>
    <w:rsid w:val="3FA39430"/>
    <w:rsid w:val="3FAB109E"/>
    <w:rsid w:val="3FAF9A16"/>
    <w:rsid w:val="3FAFF5DD"/>
    <w:rsid w:val="3FB5DB40"/>
    <w:rsid w:val="3FB701FF"/>
    <w:rsid w:val="3FB91547"/>
    <w:rsid w:val="3FB9D251"/>
    <w:rsid w:val="3FC1ABF1"/>
    <w:rsid w:val="3FD185FD"/>
    <w:rsid w:val="3FED5CE5"/>
    <w:rsid w:val="3FF41531"/>
    <w:rsid w:val="3FFAD1AD"/>
    <w:rsid w:val="3FFB677D"/>
    <w:rsid w:val="4004C8ED"/>
    <w:rsid w:val="400579D4"/>
    <w:rsid w:val="40070A04"/>
    <w:rsid w:val="40076921"/>
    <w:rsid w:val="40082769"/>
    <w:rsid w:val="400D2019"/>
    <w:rsid w:val="401A1EDB"/>
    <w:rsid w:val="401BFE7A"/>
    <w:rsid w:val="401E6539"/>
    <w:rsid w:val="401EDD5E"/>
    <w:rsid w:val="401F51D8"/>
    <w:rsid w:val="40229F19"/>
    <w:rsid w:val="4028E33A"/>
    <w:rsid w:val="403446FE"/>
    <w:rsid w:val="4043C3BE"/>
    <w:rsid w:val="40441D7A"/>
    <w:rsid w:val="404ACF96"/>
    <w:rsid w:val="404D8E65"/>
    <w:rsid w:val="407C22AA"/>
    <w:rsid w:val="407C2A41"/>
    <w:rsid w:val="4088EB74"/>
    <w:rsid w:val="409A3567"/>
    <w:rsid w:val="409F6ACA"/>
    <w:rsid w:val="40A5640A"/>
    <w:rsid w:val="40AD756F"/>
    <w:rsid w:val="40AEDD9A"/>
    <w:rsid w:val="40B25705"/>
    <w:rsid w:val="40B77C10"/>
    <w:rsid w:val="40B9BFA7"/>
    <w:rsid w:val="40CA9DCF"/>
    <w:rsid w:val="40F1B5C9"/>
    <w:rsid w:val="411F17C8"/>
    <w:rsid w:val="4130EF5D"/>
    <w:rsid w:val="41327B4D"/>
    <w:rsid w:val="41338571"/>
    <w:rsid w:val="4137AC57"/>
    <w:rsid w:val="41395324"/>
    <w:rsid w:val="413D0D80"/>
    <w:rsid w:val="413D29CD"/>
    <w:rsid w:val="414069D5"/>
    <w:rsid w:val="414B6A77"/>
    <w:rsid w:val="41533FA1"/>
    <w:rsid w:val="4156CE46"/>
    <w:rsid w:val="4162DFC7"/>
    <w:rsid w:val="417155CB"/>
    <w:rsid w:val="4174A5BB"/>
    <w:rsid w:val="41781759"/>
    <w:rsid w:val="418AA987"/>
    <w:rsid w:val="4194876B"/>
    <w:rsid w:val="419AE6EF"/>
    <w:rsid w:val="419BA913"/>
    <w:rsid w:val="41A119DF"/>
    <w:rsid w:val="41A38273"/>
    <w:rsid w:val="41B12502"/>
    <w:rsid w:val="41B7DB57"/>
    <w:rsid w:val="41BB9C6A"/>
    <w:rsid w:val="41C72536"/>
    <w:rsid w:val="41CFC800"/>
    <w:rsid w:val="41DD4335"/>
    <w:rsid w:val="41E9CD40"/>
    <w:rsid w:val="41ED9818"/>
    <w:rsid w:val="41EF66F9"/>
    <w:rsid w:val="41F9825D"/>
    <w:rsid w:val="42016F85"/>
    <w:rsid w:val="4207AE7E"/>
    <w:rsid w:val="420A28B8"/>
    <w:rsid w:val="421F12F6"/>
    <w:rsid w:val="421FAFAD"/>
    <w:rsid w:val="4220D15B"/>
    <w:rsid w:val="422FFEF8"/>
    <w:rsid w:val="4235B6E5"/>
    <w:rsid w:val="423EC1ED"/>
    <w:rsid w:val="42472D5F"/>
    <w:rsid w:val="424803F2"/>
    <w:rsid w:val="424E3050"/>
    <w:rsid w:val="425105AA"/>
    <w:rsid w:val="4251CE54"/>
    <w:rsid w:val="42561BB3"/>
    <w:rsid w:val="425B40ED"/>
    <w:rsid w:val="42738531"/>
    <w:rsid w:val="427D2629"/>
    <w:rsid w:val="427D8B56"/>
    <w:rsid w:val="4288A657"/>
    <w:rsid w:val="4288F89C"/>
    <w:rsid w:val="4289C3C8"/>
    <w:rsid w:val="428F0AB6"/>
    <w:rsid w:val="42A4338E"/>
    <w:rsid w:val="42AEC0D6"/>
    <w:rsid w:val="42B141FA"/>
    <w:rsid w:val="42B440C2"/>
    <w:rsid w:val="42BA2712"/>
    <w:rsid w:val="42C1A997"/>
    <w:rsid w:val="42C5DEE6"/>
    <w:rsid w:val="42E654A3"/>
    <w:rsid w:val="42E765E3"/>
    <w:rsid w:val="42E8AD94"/>
    <w:rsid w:val="430751DE"/>
    <w:rsid w:val="4315318B"/>
    <w:rsid w:val="4319C7E3"/>
    <w:rsid w:val="43241FAE"/>
    <w:rsid w:val="432679E8"/>
    <w:rsid w:val="432F9039"/>
    <w:rsid w:val="4334AB19"/>
    <w:rsid w:val="4338B02E"/>
    <w:rsid w:val="43410976"/>
    <w:rsid w:val="4356A14B"/>
    <w:rsid w:val="435BFE99"/>
    <w:rsid w:val="43618144"/>
    <w:rsid w:val="437C3CF0"/>
    <w:rsid w:val="4380CC7F"/>
    <w:rsid w:val="43860184"/>
    <w:rsid w:val="43905DA1"/>
    <w:rsid w:val="4393E198"/>
    <w:rsid w:val="439F7E83"/>
    <w:rsid w:val="43B420A7"/>
    <w:rsid w:val="43BACA5B"/>
    <w:rsid w:val="43BC374A"/>
    <w:rsid w:val="43C647E7"/>
    <w:rsid w:val="43D580D8"/>
    <w:rsid w:val="43D9A29F"/>
    <w:rsid w:val="43E6B26F"/>
    <w:rsid w:val="43F1F594"/>
    <w:rsid w:val="43F93DEC"/>
    <w:rsid w:val="440A81C1"/>
    <w:rsid w:val="440D74DC"/>
    <w:rsid w:val="441B4134"/>
    <w:rsid w:val="441BCCE1"/>
    <w:rsid w:val="441CCD06"/>
    <w:rsid w:val="443DD4E6"/>
    <w:rsid w:val="4450D93C"/>
    <w:rsid w:val="44552A83"/>
    <w:rsid w:val="44610046"/>
    <w:rsid w:val="44634A64"/>
    <w:rsid w:val="44785438"/>
    <w:rsid w:val="44816EA8"/>
    <w:rsid w:val="4491B786"/>
    <w:rsid w:val="4496EFC3"/>
    <w:rsid w:val="449E3EDD"/>
    <w:rsid w:val="44A16C59"/>
    <w:rsid w:val="44A55A7C"/>
    <w:rsid w:val="44A6DF92"/>
    <w:rsid w:val="44B09BC3"/>
    <w:rsid w:val="44B5BD84"/>
    <w:rsid w:val="44BE57DA"/>
    <w:rsid w:val="44C22C56"/>
    <w:rsid w:val="44CBC494"/>
    <w:rsid w:val="44CF4B4B"/>
    <w:rsid w:val="44D1F628"/>
    <w:rsid w:val="44D600B7"/>
    <w:rsid w:val="44DAB5B1"/>
    <w:rsid w:val="44F586EE"/>
    <w:rsid w:val="45119252"/>
    <w:rsid w:val="451529F8"/>
    <w:rsid w:val="451B709C"/>
    <w:rsid w:val="4523C2B8"/>
    <w:rsid w:val="452C5533"/>
    <w:rsid w:val="45311D76"/>
    <w:rsid w:val="4531F361"/>
    <w:rsid w:val="4540A92D"/>
    <w:rsid w:val="45435486"/>
    <w:rsid w:val="45474FC3"/>
    <w:rsid w:val="455244FD"/>
    <w:rsid w:val="456755E5"/>
    <w:rsid w:val="4567D013"/>
    <w:rsid w:val="4581A48A"/>
    <w:rsid w:val="458286CE"/>
    <w:rsid w:val="45842FB6"/>
    <w:rsid w:val="4587C09E"/>
    <w:rsid w:val="45880808"/>
    <w:rsid w:val="458CEC37"/>
    <w:rsid w:val="45C0799B"/>
    <w:rsid w:val="45D2BEB6"/>
    <w:rsid w:val="45D3C0EE"/>
    <w:rsid w:val="45D6ED77"/>
    <w:rsid w:val="45D72727"/>
    <w:rsid w:val="45E06CF9"/>
    <w:rsid w:val="45E74DF6"/>
    <w:rsid w:val="45E98352"/>
    <w:rsid w:val="45F2273D"/>
    <w:rsid w:val="45F32C20"/>
    <w:rsid w:val="45FB355A"/>
    <w:rsid w:val="460B63CB"/>
    <w:rsid w:val="46146C21"/>
    <w:rsid w:val="461770BD"/>
    <w:rsid w:val="461C4AD8"/>
    <w:rsid w:val="46203BA6"/>
    <w:rsid w:val="462D4177"/>
    <w:rsid w:val="463A40F7"/>
    <w:rsid w:val="463AE172"/>
    <w:rsid w:val="464C0655"/>
    <w:rsid w:val="465DA9E5"/>
    <w:rsid w:val="46630781"/>
    <w:rsid w:val="4670016A"/>
    <w:rsid w:val="469216C5"/>
    <w:rsid w:val="4692F4F5"/>
    <w:rsid w:val="469A0DB7"/>
    <w:rsid w:val="469D86B8"/>
    <w:rsid w:val="469EFBDE"/>
    <w:rsid w:val="46A3D038"/>
    <w:rsid w:val="46A3E19C"/>
    <w:rsid w:val="46B3CB23"/>
    <w:rsid w:val="46BFE878"/>
    <w:rsid w:val="46CB0300"/>
    <w:rsid w:val="46D9F634"/>
    <w:rsid w:val="46EAA813"/>
    <w:rsid w:val="46EC29F9"/>
    <w:rsid w:val="46EF1666"/>
    <w:rsid w:val="46F46040"/>
    <w:rsid w:val="46FD0FC7"/>
    <w:rsid w:val="47030C3A"/>
    <w:rsid w:val="47182085"/>
    <w:rsid w:val="4719A055"/>
    <w:rsid w:val="471CABE9"/>
    <w:rsid w:val="47225A6E"/>
    <w:rsid w:val="4722B50C"/>
    <w:rsid w:val="47242368"/>
    <w:rsid w:val="47277822"/>
    <w:rsid w:val="4727BE06"/>
    <w:rsid w:val="4728FF8A"/>
    <w:rsid w:val="4739376F"/>
    <w:rsid w:val="474408B6"/>
    <w:rsid w:val="47468D8A"/>
    <w:rsid w:val="4756977D"/>
    <w:rsid w:val="4760A673"/>
    <w:rsid w:val="476875B0"/>
    <w:rsid w:val="4771E349"/>
    <w:rsid w:val="4773D0B4"/>
    <w:rsid w:val="47833267"/>
    <w:rsid w:val="4793F4AF"/>
    <w:rsid w:val="47AD4FCE"/>
    <w:rsid w:val="47B7D6B6"/>
    <w:rsid w:val="47C66B49"/>
    <w:rsid w:val="47C6B971"/>
    <w:rsid w:val="47D2B229"/>
    <w:rsid w:val="47D2DF0D"/>
    <w:rsid w:val="47D5C20C"/>
    <w:rsid w:val="47DDDC99"/>
    <w:rsid w:val="47E5A6A3"/>
    <w:rsid w:val="47E66516"/>
    <w:rsid w:val="47ECFD0A"/>
    <w:rsid w:val="47F95D51"/>
    <w:rsid w:val="48043CD3"/>
    <w:rsid w:val="480E2FBA"/>
    <w:rsid w:val="4811AFB4"/>
    <w:rsid w:val="48163D06"/>
    <w:rsid w:val="48322CA0"/>
    <w:rsid w:val="48398251"/>
    <w:rsid w:val="484FC01A"/>
    <w:rsid w:val="48585C6F"/>
    <w:rsid w:val="485C145E"/>
    <w:rsid w:val="4862B434"/>
    <w:rsid w:val="486C4E56"/>
    <w:rsid w:val="486FE91D"/>
    <w:rsid w:val="4873C7AF"/>
    <w:rsid w:val="488C0961"/>
    <w:rsid w:val="48993B48"/>
    <w:rsid w:val="48B5202D"/>
    <w:rsid w:val="48BF94CE"/>
    <w:rsid w:val="48C0CF2C"/>
    <w:rsid w:val="48EA6A5D"/>
    <w:rsid w:val="48F85DF2"/>
    <w:rsid w:val="48F8608D"/>
    <w:rsid w:val="48FB267B"/>
    <w:rsid w:val="48FC570D"/>
    <w:rsid w:val="48FE1A17"/>
    <w:rsid w:val="490D97E9"/>
    <w:rsid w:val="492181D3"/>
    <w:rsid w:val="4929BEBE"/>
    <w:rsid w:val="493CFC91"/>
    <w:rsid w:val="495AD261"/>
    <w:rsid w:val="495D306E"/>
    <w:rsid w:val="49668B57"/>
    <w:rsid w:val="496DB336"/>
    <w:rsid w:val="49754D83"/>
    <w:rsid w:val="497672CE"/>
    <w:rsid w:val="497A461D"/>
    <w:rsid w:val="497BB2E6"/>
    <w:rsid w:val="4985D9BA"/>
    <w:rsid w:val="498F6C9B"/>
    <w:rsid w:val="4996700A"/>
    <w:rsid w:val="499CB596"/>
    <w:rsid w:val="499DE037"/>
    <w:rsid w:val="499F70A4"/>
    <w:rsid w:val="49AA001B"/>
    <w:rsid w:val="49AF91C2"/>
    <w:rsid w:val="49D944FA"/>
    <w:rsid w:val="49DAB3DE"/>
    <w:rsid w:val="49DB0D79"/>
    <w:rsid w:val="49E4E7E4"/>
    <w:rsid w:val="49E51E59"/>
    <w:rsid w:val="49F18C1D"/>
    <w:rsid w:val="49FCF79B"/>
    <w:rsid w:val="4A08AC2C"/>
    <w:rsid w:val="4A0A2EBD"/>
    <w:rsid w:val="4A0A5A0A"/>
    <w:rsid w:val="4A128932"/>
    <w:rsid w:val="4A1F1390"/>
    <w:rsid w:val="4A25A3E7"/>
    <w:rsid w:val="4A29296C"/>
    <w:rsid w:val="4A2CC226"/>
    <w:rsid w:val="4A36946D"/>
    <w:rsid w:val="4A3D279A"/>
    <w:rsid w:val="4A3DEB8E"/>
    <w:rsid w:val="4A474D33"/>
    <w:rsid w:val="4A499582"/>
    <w:rsid w:val="4A4B15CF"/>
    <w:rsid w:val="4A4E8F7E"/>
    <w:rsid w:val="4A4EE584"/>
    <w:rsid w:val="4A4F9327"/>
    <w:rsid w:val="4A54059D"/>
    <w:rsid w:val="4A58B5F9"/>
    <w:rsid w:val="4A7F57E1"/>
    <w:rsid w:val="4A80C67B"/>
    <w:rsid w:val="4A85DEEF"/>
    <w:rsid w:val="4A9D96B8"/>
    <w:rsid w:val="4AA150A2"/>
    <w:rsid w:val="4AAFBC3A"/>
    <w:rsid w:val="4ABABCA1"/>
    <w:rsid w:val="4AC71808"/>
    <w:rsid w:val="4AD7A05F"/>
    <w:rsid w:val="4ADBFD03"/>
    <w:rsid w:val="4AEEF01F"/>
    <w:rsid w:val="4AF94F03"/>
    <w:rsid w:val="4B0FBB29"/>
    <w:rsid w:val="4B2076B1"/>
    <w:rsid w:val="4B218080"/>
    <w:rsid w:val="4B236807"/>
    <w:rsid w:val="4B3ED5E5"/>
    <w:rsid w:val="4B4EC5AD"/>
    <w:rsid w:val="4B4FCE11"/>
    <w:rsid w:val="4B62109D"/>
    <w:rsid w:val="4B6E347D"/>
    <w:rsid w:val="4B73206F"/>
    <w:rsid w:val="4B78ACEF"/>
    <w:rsid w:val="4B7922AC"/>
    <w:rsid w:val="4B933F96"/>
    <w:rsid w:val="4B9D2FE4"/>
    <w:rsid w:val="4BA0650D"/>
    <w:rsid w:val="4BA173FB"/>
    <w:rsid w:val="4BB02170"/>
    <w:rsid w:val="4BC5EE4E"/>
    <w:rsid w:val="4BCA4EC5"/>
    <w:rsid w:val="4BD46F22"/>
    <w:rsid w:val="4BD61120"/>
    <w:rsid w:val="4BD77CD0"/>
    <w:rsid w:val="4BDA94AA"/>
    <w:rsid w:val="4BE79D25"/>
    <w:rsid w:val="4BEC2920"/>
    <w:rsid w:val="4BF6E1C3"/>
    <w:rsid w:val="4BFD069D"/>
    <w:rsid w:val="4BFFE9C8"/>
    <w:rsid w:val="4C076AC4"/>
    <w:rsid w:val="4C0EAB81"/>
    <w:rsid w:val="4C15EC73"/>
    <w:rsid w:val="4C283FC5"/>
    <w:rsid w:val="4C343182"/>
    <w:rsid w:val="4C3D9A16"/>
    <w:rsid w:val="4C5334D7"/>
    <w:rsid w:val="4C610A80"/>
    <w:rsid w:val="4C686EFD"/>
    <w:rsid w:val="4C74A6B4"/>
    <w:rsid w:val="4C7BE6D9"/>
    <w:rsid w:val="4C8057D8"/>
    <w:rsid w:val="4C9388F3"/>
    <w:rsid w:val="4CACF366"/>
    <w:rsid w:val="4CB6F452"/>
    <w:rsid w:val="4CC14BA8"/>
    <w:rsid w:val="4CCD5C2E"/>
    <w:rsid w:val="4CD005D0"/>
    <w:rsid w:val="4CDE8A52"/>
    <w:rsid w:val="4CF460BA"/>
    <w:rsid w:val="4CFFD4AF"/>
    <w:rsid w:val="4D0777C8"/>
    <w:rsid w:val="4D0895D2"/>
    <w:rsid w:val="4D0DFE0E"/>
    <w:rsid w:val="4D1DA840"/>
    <w:rsid w:val="4D202AFF"/>
    <w:rsid w:val="4D29E1EA"/>
    <w:rsid w:val="4D3E2542"/>
    <w:rsid w:val="4D3E6813"/>
    <w:rsid w:val="4D535990"/>
    <w:rsid w:val="4D611529"/>
    <w:rsid w:val="4D6304EE"/>
    <w:rsid w:val="4D65996C"/>
    <w:rsid w:val="4D833F86"/>
    <w:rsid w:val="4D944EA1"/>
    <w:rsid w:val="4DB59A1D"/>
    <w:rsid w:val="4DB93197"/>
    <w:rsid w:val="4DC0F60E"/>
    <w:rsid w:val="4DCDA35E"/>
    <w:rsid w:val="4DF92D0A"/>
    <w:rsid w:val="4E01AD19"/>
    <w:rsid w:val="4E09F143"/>
    <w:rsid w:val="4E16CF9A"/>
    <w:rsid w:val="4E1F4B96"/>
    <w:rsid w:val="4E2B4553"/>
    <w:rsid w:val="4E311FB6"/>
    <w:rsid w:val="4E4BEDB1"/>
    <w:rsid w:val="4E4CBB97"/>
    <w:rsid w:val="4E71F6A7"/>
    <w:rsid w:val="4E765FCB"/>
    <w:rsid w:val="4E77E16E"/>
    <w:rsid w:val="4E7B6480"/>
    <w:rsid w:val="4E82D1BD"/>
    <w:rsid w:val="4E835C06"/>
    <w:rsid w:val="4E923A40"/>
    <w:rsid w:val="4E93254F"/>
    <w:rsid w:val="4EB904DA"/>
    <w:rsid w:val="4EBDCF14"/>
    <w:rsid w:val="4EBF29C2"/>
    <w:rsid w:val="4EC5E1AE"/>
    <w:rsid w:val="4ED5B330"/>
    <w:rsid w:val="4ED9FE64"/>
    <w:rsid w:val="4EF26A69"/>
    <w:rsid w:val="4EF828DF"/>
    <w:rsid w:val="4F022F05"/>
    <w:rsid w:val="4F0C73FC"/>
    <w:rsid w:val="4F22CDC3"/>
    <w:rsid w:val="4F2C63DB"/>
    <w:rsid w:val="4F3563AE"/>
    <w:rsid w:val="4F4EAA5A"/>
    <w:rsid w:val="4F58DF25"/>
    <w:rsid w:val="4F5D608D"/>
    <w:rsid w:val="4F61309C"/>
    <w:rsid w:val="4F95E3B0"/>
    <w:rsid w:val="4F9BAA16"/>
    <w:rsid w:val="4F9D1663"/>
    <w:rsid w:val="4FA569AD"/>
    <w:rsid w:val="4FBB33F1"/>
    <w:rsid w:val="4FCF3F0A"/>
    <w:rsid w:val="4FDE39A1"/>
    <w:rsid w:val="4FE0DF57"/>
    <w:rsid w:val="4FEABECF"/>
    <w:rsid w:val="4FF30A90"/>
    <w:rsid w:val="4FF54EC5"/>
    <w:rsid w:val="4FF701D0"/>
    <w:rsid w:val="500024FF"/>
    <w:rsid w:val="500A3D08"/>
    <w:rsid w:val="5032B5B4"/>
    <w:rsid w:val="50477ADD"/>
    <w:rsid w:val="504A3148"/>
    <w:rsid w:val="504B9165"/>
    <w:rsid w:val="50515828"/>
    <w:rsid w:val="5055FF69"/>
    <w:rsid w:val="505C6E5D"/>
    <w:rsid w:val="506EA678"/>
    <w:rsid w:val="507855B0"/>
    <w:rsid w:val="508834A8"/>
    <w:rsid w:val="50943E1A"/>
    <w:rsid w:val="50952378"/>
    <w:rsid w:val="509CF7E0"/>
    <w:rsid w:val="509E7FCD"/>
    <w:rsid w:val="50A8570A"/>
    <w:rsid w:val="50A8D1B4"/>
    <w:rsid w:val="50B48189"/>
    <w:rsid w:val="50B7C34D"/>
    <w:rsid w:val="50BA3678"/>
    <w:rsid w:val="50CBDC26"/>
    <w:rsid w:val="50CFD2F0"/>
    <w:rsid w:val="50D1C94B"/>
    <w:rsid w:val="50D8DEAE"/>
    <w:rsid w:val="50F03936"/>
    <w:rsid w:val="50F4DBFE"/>
    <w:rsid w:val="5101E129"/>
    <w:rsid w:val="5103F88A"/>
    <w:rsid w:val="511574DC"/>
    <w:rsid w:val="51202E8A"/>
    <w:rsid w:val="51271B3E"/>
    <w:rsid w:val="5129FCE1"/>
    <w:rsid w:val="5134F1A4"/>
    <w:rsid w:val="513C6801"/>
    <w:rsid w:val="514E705C"/>
    <w:rsid w:val="515880CB"/>
    <w:rsid w:val="515A7449"/>
    <w:rsid w:val="515D8C37"/>
    <w:rsid w:val="517990A7"/>
    <w:rsid w:val="5182719A"/>
    <w:rsid w:val="519AD9A6"/>
    <w:rsid w:val="51AB0FCD"/>
    <w:rsid w:val="51ACC862"/>
    <w:rsid w:val="51C7F42B"/>
    <w:rsid w:val="51F4FA81"/>
    <w:rsid w:val="520BCB8E"/>
    <w:rsid w:val="52207AAA"/>
    <w:rsid w:val="52248960"/>
    <w:rsid w:val="52276BAC"/>
    <w:rsid w:val="5228DE0A"/>
    <w:rsid w:val="5236BB11"/>
    <w:rsid w:val="523859F1"/>
    <w:rsid w:val="523D1E86"/>
    <w:rsid w:val="523D4CBF"/>
    <w:rsid w:val="52424EF3"/>
    <w:rsid w:val="524C1D73"/>
    <w:rsid w:val="52744FFF"/>
    <w:rsid w:val="52899BA3"/>
    <w:rsid w:val="528EE33E"/>
    <w:rsid w:val="529066CD"/>
    <w:rsid w:val="5298D38C"/>
    <w:rsid w:val="529CE793"/>
    <w:rsid w:val="52A67ABD"/>
    <w:rsid w:val="52AB8D79"/>
    <w:rsid w:val="52B89B0F"/>
    <w:rsid w:val="52BE4E3E"/>
    <w:rsid w:val="52C98526"/>
    <w:rsid w:val="52D52286"/>
    <w:rsid w:val="52D797B8"/>
    <w:rsid w:val="52E8591F"/>
    <w:rsid w:val="52E8A726"/>
    <w:rsid w:val="52ECF50F"/>
    <w:rsid w:val="530429F1"/>
    <w:rsid w:val="53107BFB"/>
    <w:rsid w:val="531B41D8"/>
    <w:rsid w:val="53276C04"/>
    <w:rsid w:val="532A30B0"/>
    <w:rsid w:val="533043BE"/>
    <w:rsid w:val="5330DC94"/>
    <w:rsid w:val="53324062"/>
    <w:rsid w:val="533DC0AE"/>
    <w:rsid w:val="5351CC84"/>
    <w:rsid w:val="53575B2C"/>
    <w:rsid w:val="53600ECF"/>
    <w:rsid w:val="53684039"/>
    <w:rsid w:val="5374C812"/>
    <w:rsid w:val="53818664"/>
    <w:rsid w:val="538285EF"/>
    <w:rsid w:val="538DC814"/>
    <w:rsid w:val="539090F3"/>
    <w:rsid w:val="539735F9"/>
    <w:rsid w:val="53AE2668"/>
    <w:rsid w:val="53B1A8BF"/>
    <w:rsid w:val="53B593ED"/>
    <w:rsid w:val="53BDAA59"/>
    <w:rsid w:val="53C08D91"/>
    <w:rsid w:val="53CB6122"/>
    <w:rsid w:val="53DBE61D"/>
    <w:rsid w:val="53DED61A"/>
    <w:rsid w:val="53E3C22B"/>
    <w:rsid w:val="53FA0D19"/>
    <w:rsid w:val="540D5AB3"/>
    <w:rsid w:val="541292FE"/>
    <w:rsid w:val="541A0AEF"/>
    <w:rsid w:val="542182B3"/>
    <w:rsid w:val="54245831"/>
    <w:rsid w:val="542F1FD9"/>
    <w:rsid w:val="54367C90"/>
    <w:rsid w:val="543734D3"/>
    <w:rsid w:val="543AB26D"/>
    <w:rsid w:val="5440B1BC"/>
    <w:rsid w:val="544B77BA"/>
    <w:rsid w:val="544F2AC5"/>
    <w:rsid w:val="54569CB4"/>
    <w:rsid w:val="5456C321"/>
    <w:rsid w:val="5458B186"/>
    <w:rsid w:val="546F7B71"/>
    <w:rsid w:val="5470524E"/>
    <w:rsid w:val="547054B5"/>
    <w:rsid w:val="54705DCF"/>
    <w:rsid w:val="547D1E83"/>
    <w:rsid w:val="54A01805"/>
    <w:rsid w:val="54A3E5EA"/>
    <w:rsid w:val="54AA390C"/>
    <w:rsid w:val="54CB905D"/>
    <w:rsid w:val="54D27EC0"/>
    <w:rsid w:val="54E3050E"/>
    <w:rsid w:val="54EFDBC8"/>
    <w:rsid w:val="54F1D997"/>
    <w:rsid w:val="54F5960E"/>
    <w:rsid w:val="5502A290"/>
    <w:rsid w:val="5528D3B0"/>
    <w:rsid w:val="552D6C80"/>
    <w:rsid w:val="5535E3FD"/>
    <w:rsid w:val="554D3D35"/>
    <w:rsid w:val="555D3990"/>
    <w:rsid w:val="5560C4D3"/>
    <w:rsid w:val="5565786E"/>
    <w:rsid w:val="556F9065"/>
    <w:rsid w:val="5582342D"/>
    <w:rsid w:val="558273EC"/>
    <w:rsid w:val="5586D041"/>
    <w:rsid w:val="55BD5314"/>
    <w:rsid w:val="55CDEBC3"/>
    <w:rsid w:val="55DE5BAE"/>
    <w:rsid w:val="55E04B9F"/>
    <w:rsid w:val="55E32E3B"/>
    <w:rsid w:val="55E47C5C"/>
    <w:rsid w:val="55F36E1B"/>
    <w:rsid w:val="55F50217"/>
    <w:rsid w:val="562C66DC"/>
    <w:rsid w:val="562EC645"/>
    <w:rsid w:val="5652BF9D"/>
    <w:rsid w:val="5659DD8A"/>
    <w:rsid w:val="565FC9B1"/>
    <w:rsid w:val="566101BF"/>
    <w:rsid w:val="568844F3"/>
    <w:rsid w:val="56892564"/>
    <w:rsid w:val="568AAD31"/>
    <w:rsid w:val="569F8CA2"/>
    <w:rsid w:val="56A8D07C"/>
    <w:rsid w:val="56AE7CA3"/>
    <w:rsid w:val="56BF6DE3"/>
    <w:rsid w:val="56C4BF21"/>
    <w:rsid w:val="56CE010E"/>
    <w:rsid w:val="56D01C60"/>
    <w:rsid w:val="56D2754E"/>
    <w:rsid w:val="56DD523B"/>
    <w:rsid w:val="56F1D292"/>
    <w:rsid w:val="56F38A98"/>
    <w:rsid w:val="56F7EB88"/>
    <w:rsid w:val="57005EAC"/>
    <w:rsid w:val="570220C6"/>
    <w:rsid w:val="571429C8"/>
    <w:rsid w:val="571676DC"/>
    <w:rsid w:val="5718DFAD"/>
    <w:rsid w:val="572AFCB0"/>
    <w:rsid w:val="5733C313"/>
    <w:rsid w:val="573798D8"/>
    <w:rsid w:val="573EDB60"/>
    <w:rsid w:val="57508B8A"/>
    <w:rsid w:val="57662F9A"/>
    <w:rsid w:val="57680167"/>
    <w:rsid w:val="576E16C1"/>
    <w:rsid w:val="5775F878"/>
    <w:rsid w:val="5776D694"/>
    <w:rsid w:val="577EFE9C"/>
    <w:rsid w:val="57830BFD"/>
    <w:rsid w:val="57888496"/>
    <w:rsid w:val="57A53142"/>
    <w:rsid w:val="57A5D212"/>
    <w:rsid w:val="57B9578C"/>
    <w:rsid w:val="57C4685D"/>
    <w:rsid w:val="57C494B5"/>
    <w:rsid w:val="57CBC3A1"/>
    <w:rsid w:val="57CE4108"/>
    <w:rsid w:val="57E1B0E7"/>
    <w:rsid w:val="57E532D9"/>
    <w:rsid w:val="57EB807C"/>
    <w:rsid w:val="57F0A5F3"/>
    <w:rsid w:val="57F5B8E5"/>
    <w:rsid w:val="57F8334A"/>
    <w:rsid w:val="57FE165D"/>
    <w:rsid w:val="57FE7AFE"/>
    <w:rsid w:val="5802F597"/>
    <w:rsid w:val="58285DF9"/>
    <w:rsid w:val="582DD0DE"/>
    <w:rsid w:val="58301FA5"/>
    <w:rsid w:val="583EBD5D"/>
    <w:rsid w:val="5846A791"/>
    <w:rsid w:val="5847D48E"/>
    <w:rsid w:val="584C3EA1"/>
    <w:rsid w:val="586E83ED"/>
    <w:rsid w:val="5871605A"/>
    <w:rsid w:val="587A1510"/>
    <w:rsid w:val="58884509"/>
    <w:rsid w:val="58911684"/>
    <w:rsid w:val="58967125"/>
    <w:rsid w:val="5896DFF7"/>
    <w:rsid w:val="5898124A"/>
    <w:rsid w:val="58A0D8A9"/>
    <w:rsid w:val="58AF21B4"/>
    <w:rsid w:val="58B01AC3"/>
    <w:rsid w:val="58B35AE2"/>
    <w:rsid w:val="58B61E88"/>
    <w:rsid w:val="58B718CC"/>
    <w:rsid w:val="58BB6766"/>
    <w:rsid w:val="58C3D1B0"/>
    <w:rsid w:val="58CE235C"/>
    <w:rsid w:val="58CFF4C4"/>
    <w:rsid w:val="58DD6D24"/>
    <w:rsid w:val="58DEE385"/>
    <w:rsid w:val="58FFB53A"/>
    <w:rsid w:val="59037C76"/>
    <w:rsid w:val="5905E671"/>
    <w:rsid w:val="590F86BA"/>
    <w:rsid w:val="59128FC2"/>
    <w:rsid w:val="59132A84"/>
    <w:rsid w:val="59181677"/>
    <w:rsid w:val="591EF0D9"/>
    <w:rsid w:val="5926B417"/>
    <w:rsid w:val="592B32F1"/>
    <w:rsid w:val="592F1976"/>
    <w:rsid w:val="5930A637"/>
    <w:rsid w:val="593443D9"/>
    <w:rsid w:val="59441F42"/>
    <w:rsid w:val="594776BC"/>
    <w:rsid w:val="594BCDBE"/>
    <w:rsid w:val="595CA400"/>
    <w:rsid w:val="5978520A"/>
    <w:rsid w:val="597C4623"/>
    <w:rsid w:val="597E15AF"/>
    <w:rsid w:val="597F9156"/>
    <w:rsid w:val="5984F150"/>
    <w:rsid w:val="5991C478"/>
    <w:rsid w:val="59A15FCF"/>
    <w:rsid w:val="59B91B47"/>
    <w:rsid w:val="59C0F9A7"/>
    <w:rsid w:val="59CAA8C5"/>
    <w:rsid w:val="59D47141"/>
    <w:rsid w:val="59D6DE7F"/>
    <w:rsid w:val="59D83523"/>
    <w:rsid w:val="59EEE831"/>
    <w:rsid w:val="59F5AE72"/>
    <w:rsid w:val="5A07070B"/>
    <w:rsid w:val="5A20C5C7"/>
    <w:rsid w:val="5A234D34"/>
    <w:rsid w:val="5A3ABDA8"/>
    <w:rsid w:val="5A452688"/>
    <w:rsid w:val="5A4BB41F"/>
    <w:rsid w:val="5A50B7FB"/>
    <w:rsid w:val="5A562798"/>
    <w:rsid w:val="5A5DA331"/>
    <w:rsid w:val="5A5E01CD"/>
    <w:rsid w:val="5A6961EA"/>
    <w:rsid w:val="5A6CBB80"/>
    <w:rsid w:val="5A6FF68C"/>
    <w:rsid w:val="5A71E1BB"/>
    <w:rsid w:val="5A8F8C9D"/>
    <w:rsid w:val="5A99D16A"/>
    <w:rsid w:val="5AB20827"/>
    <w:rsid w:val="5AB8BB9D"/>
    <w:rsid w:val="5ABA32E2"/>
    <w:rsid w:val="5ABCC9B7"/>
    <w:rsid w:val="5AC27C64"/>
    <w:rsid w:val="5AC55C8C"/>
    <w:rsid w:val="5ACEF9C0"/>
    <w:rsid w:val="5B041981"/>
    <w:rsid w:val="5B0B1282"/>
    <w:rsid w:val="5B0BA5D3"/>
    <w:rsid w:val="5B2CA1D6"/>
    <w:rsid w:val="5B33327E"/>
    <w:rsid w:val="5B371C8A"/>
    <w:rsid w:val="5B3826EB"/>
    <w:rsid w:val="5B4F9D1D"/>
    <w:rsid w:val="5B61831D"/>
    <w:rsid w:val="5B6352D8"/>
    <w:rsid w:val="5B662CEC"/>
    <w:rsid w:val="5B67E709"/>
    <w:rsid w:val="5B7CF298"/>
    <w:rsid w:val="5B7D7CBB"/>
    <w:rsid w:val="5B9CF12A"/>
    <w:rsid w:val="5BA070ED"/>
    <w:rsid w:val="5BAA0161"/>
    <w:rsid w:val="5BB22F5B"/>
    <w:rsid w:val="5BB8364D"/>
    <w:rsid w:val="5BCA66FE"/>
    <w:rsid w:val="5BCDBA91"/>
    <w:rsid w:val="5BCFC339"/>
    <w:rsid w:val="5BD54540"/>
    <w:rsid w:val="5BD69D00"/>
    <w:rsid w:val="5BD900D6"/>
    <w:rsid w:val="5BE0C8B8"/>
    <w:rsid w:val="5BE25137"/>
    <w:rsid w:val="5BFD1C0F"/>
    <w:rsid w:val="5C02489E"/>
    <w:rsid w:val="5C0C51AF"/>
    <w:rsid w:val="5C0DB21C"/>
    <w:rsid w:val="5C0E04BA"/>
    <w:rsid w:val="5C10E2AE"/>
    <w:rsid w:val="5C13099E"/>
    <w:rsid w:val="5C193B74"/>
    <w:rsid w:val="5C274CCB"/>
    <w:rsid w:val="5C35B54C"/>
    <w:rsid w:val="5C414369"/>
    <w:rsid w:val="5C458CC3"/>
    <w:rsid w:val="5C476D19"/>
    <w:rsid w:val="5C478AFD"/>
    <w:rsid w:val="5C4BA9B0"/>
    <w:rsid w:val="5C56AE53"/>
    <w:rsid w:val="5C62B9E1"/>
    <w:rsid w:val="5C6D52DB"/>
    <w:rsid w:val="5C83187D"/>
    <w:rsid w:val="5C83D524"/>
    <w:rsid w:val="5C915A82"/>
    <w:rsid w:val="5CB20B25"/>
    <w:rsid w:val="5CB65E91"/>
    <w:rsid w:val="5CB8BF32"/>
    <w:rsid w:val="5CCB7ADA"/>
    <w:rsid w:val="5CCC7533"/>
    <w:rsid w:val="5CCDE803"/>
    <w:rsid w:val="5CE42611"/>
    <w:rsid w:val="5CF0ACFD"/>
    <w:rsid w:val="5D0356FB"/>
    <w:rsid w:val="5D145545"/>
    <w:rsid w:val="5D195D38"/>
    <w:rsid w:val="5D1D4BD8"/>
    <w:rsid w:val="5D236EF0"/>
    <w:rsid w:val="5D2ABC9C"/>
    <w:rsid w:val="5D2B1663"/>
    <w:rsid w:val="5D2E3632"/>
    <w:rsid w:val="5D3F9115"/>
    <w:rsid w:val="5D4780D3"/>
    <w:rsid w:val="5D483CEE"/>
    <w:rsid w:val="5D4F3F87"/>
    <w:rsid w:val="5D4F65B2"/>
    <w:rsid w:val="5D56845F"/>
    <w:rsid w:val="5D5A2077"/>
    <w:rsid w:val="5D746528"/>
    <w:rsid w:val="5D75139E"/>
    <w:rsid w:val="5D78079F"/>
    <w:rsid w:val="5D799B20"/>
    <w:rsid w:val="5D86EFEA"/>
    <w:rsid w:val="5DA73838"/>
    <w:rsid w:val="5DAC999E"/>
    <w:rsid w:val="5DB40761"/>
    <w:rsid w:val="5DB8FA3D"/>
    <w:rsid w:val="5DBC8729"/>
    <w:rsid w:val="5DC3ABCC"/>
    <w:rsid w:val="5DD04262"/>
    <w:rsid w:val="5DD9257C"/>
    <w:rsid w:val="5DDED19D"/>
    <w:rsid w:val="5DEB326E"/>
    <w:rsid w:val="5DF05693"/>
    <w:rsid w:val="5DF10732"/>
    <w:rsid w:val="5DF2AC90"/>
    <w:rsid w:val="5DFE287D"/>
    <w:rsid w:val="5E01C2AC"/>
    <w:rsid w:val="5E024588"/>
    <w:rsid w:val="5E036C1D"/>
    <w:rsid w:val="5E055717"/>
    <w:rsid w:val="5E067B68"/>
    <w:rsid w:val="5E158724"/>
    <w:rsid w:val="5E1926F5"/>
    <w:rsid w:val="5E1AC6FC"/>
    <w:rsid w:val="5E21F95F"/>
    <w:rsid w:val="5E244379"/>
    <w:rsid w:val="5E2E51FE"/>
    <w:rsid w:val="5E321220"/>
    <w:rsid w:val="5E49C758"/>
    <w:rsid w:val="5E4AF43C"/>
    <w:rsid w:val="5E586867"/>
    <w:rsid w:val="5E5B8B7C"/>
    <w:rsid w:val="5E6C5BBC"/>
    <w:rsid w:val="5E7F98CD"/>
    <w:rsid w:val="5E82D503"/>
    <w:rsid w:val="5E8F6DE4"/>
    <w:rsid w:val="5E9C41A4"/>
    <w:rsid w:val="5EA9F6C1"/>
    <w:rsid w:val="5EC3AE3B"/>
    <w:rsid w:val="5EC4AF19"/>
    <w:rsid w:val="5ED2DC9E"/>
    <w:rsid w:val="5EDCEE58"/>
    <w:rsid w:val="5EF61E55"/>
    <w:rsid w:val="5F0F7689"/>
    <w:rsid w:val="5F135D0A"/>
    <w:rsid w:val="5F1CDF49"/>
    <w:rsid w:val="5F26D4AB"/>
    <w:rsid w:val="5F2AD538"/>
    <w:rsid w:val="5F2FCA7F"/>
    <w:rsid w:val="5F3384C5"/>
    <w:rsid w:val="5F3A735C"/>
    <w:rsid w:val="5F41270C"/>
    <w:rsid w:val="5F470E89"/>
    <w:rsid w:val="5F5D2F8F"/>
    <w:rsid w:val="5F6FBC2A"/>
    <w:rsid w:val="5F80B952"/>
    <w:rsid w:val="5F90EDBE"/>
    <w:rsid w:val="5F913F8D"/>
    <w:rsid w:val="5F9C853E"/>
    <w:rsid w:val="5FA4402F"/>
    <w:rsid w:val="5FA6E05E"/>
    <w:rsid w:val="5FC6F3D4"/>
    <w:rsid w:val="5FE02265"/>
    <w:rsid w:val="5FEAC5AF"/>
    <w:rsid w:val="6001CE40"/>
    <w:rsid w:val="60038A27"/>
    <w:rsid w:val="60060FF9"/>
    <w:rsid w:val="600951D5"/>
    <w:rsid w:val="600E63BB"/>
    <w:rsid w:val="600EA57E"/>
    <w:rsid w:val="6011A9B5"/>
    <w:rsid w:val="601270AE"/>
    <w:rsid w:val="603A9321"/>
    <w:rsid w:val="604B9065"/>
    <w:rsid w:val="604DC586"/>
    <w:rsid w:val="605773F2"/>
    <w:rsid w:val="6058AA50"/>
    <w:rsid w:val="605DB4BF"/>
    <w:rsid w:val="60609F0F"/>
    <w:rsid w:val="6064293A"/>
    <w:rsid w:val="606CFD71"/>
    <w:rsid w:val="6071101E"/>
    <w:rsid w:val="6078B91D"/>
    <w:rsid w:val="60886C86"/>
    <w:rsid w:val="6089C3D4"/>
    <w:rsid w:val="608D2921"/>
    <w:rsid w:val="608D2C8F"/>
    <w:rsid w:val="60937BDE"/>
    <w:rsid w:val="60AF97F1"/>
    <w:rsid w:val="60B61A60"/>
    <w:rsid w:val="60B6D05F"/>
    <w:rsid w:val="60BB7455"/>
    <w:rsid w:val="60C39FEF"/>
    <w:rsid w:val="60C798EF"/>
    <w:rsid w:val="60CC48B1"/>
    <w:rsid w:val="60D991F2"/>
    <w:rsid w:val="60D9FAFE"/>
    <w:rsid w:val="60E60B0D"/>
    <w:rsid w:val="60E62896"/>
    <w:rsid w:val="60EE2E76"/>
    <w:rsid w:val="60EF62C2"/>
    <w:rsid w:val="60FC3FD6"/>
    <w:rsid w:val="60FFA017"/>
    <w:rsid w:val="6118E19B"/>
    <w:rsid w:val="611905E7"/>
    <w:rsid w:val="6133780C"/>
    <w:rsid w:val="613B9401"/>
    <w:rsid w:val="613E8A0A"/>
    <w:rsid w:val="6142A495"/>
    <w:rsid w:val="61511FF3"/>
    <w:rsid w:val="61590D11"/>
    <w:rsid w:val="615EA63B"/>
    <w:rsid w:val="615FE2D6"/>
    <w:rsid w:val="616C0CC6"/>
    <w:rsid w:val="61738C0D"/>
    <w:rsid w:val="6174248B"/>
    <w:rsid w:val="61792302"/>
    <w:rsid w:val="6186153F"/>
    <w:rsid w:val="61874786"/>
    <w:rsid w:val="6190E2C0"/>
    <w:rsid w:val="619FC216"/>
    <w:rsid w:val="61B1042B"/>
    <w:rsid w:val="61B563B0"/>
    <w:rsid w:val="61BA55B2"/>
    <w:rsid w:val="61C00EE3"/>
    <w:rsid w:val="61D41722"/>
    <w:rsid w:val="61EF1E7A"/>
    <w:rsid w:val="61F5C0F1"/>
    <w:rsid w:val="6202C186"/>
    <w:rsid w:val="62045D87"/>
    <w:rsid w:val="62053DE0"/>
    <w:rsid w:val="6209DBA8"/>
    <w:rsid w:val="62169378"/>
    <w:rsid w:val="62245B87"/>
    <w:rsid w:val="6226B4E0"/>
    <w:rsid w:val="62303C52"/>
    <w:rsid w:val="624166C1"/>
    <w:rsid w:val="6248B1D8"/>
    <w:rsid w:val="624C8B0C"/>
    <w:rsid w:val="62526BB9"/>
    <w:rsid w:val="6252C5F2"/>
    <w:rsid w:val="625B0F5F"/>
    <w:rsid w:val="62635453"/>
    <w:rsid w:val="6266C5BE"/>
    <w:rsid w:val="62679BB1"/>
    <w:rsid w:val="626A2B1B"/>
    <w:rsid w:val="626B2587"/>
    <w:rsid w:val="626EA67F"/>
    <w:rsid w:val="6277343F"/>
    <w:rsid w:val="62792331"/>
    <w:rsid w:val="627AB21C"/>
    <w:rsid w:val="6280D336"/>
    <w:rsid w:val="62A4DFCF"/>
    <w:rsid w:val="62BBF9A2"/>
    <w:rsid w:val="62C05268"/>
    <w:rsid w:val="62D6191F"/>
    <w:rsid w:val="62D83DB7"/>
    <w:rsid w:val="62E9586B"/>
    <w:rsid w:val="62FA40B8"/>
    <w:rsid w:val="630DABD3"/>
    <w:rsid w:val="6315C233"/>
    <w:rsid w:val="63240E0D"/>
    <w:rsid w:val="63248B54"/>
    <w:rsid w:val="63374657"/>
    <w:rsid w:val="633CE968"/>
    <w:rsid w:val="63546843"/>
    <w:rsid w:val="637CF256"/>
    <w:rsid w:val="63875D4F"/>
    <w:rsid w:val="638B6B11"/>
    <w:rsid w:val="639AFC6E"/>
    <w:rsid w:val="639C568A"/>
    <w:rsid w:val="639E7701"/>
    <w:rsid w:val="63B2823E"/>
    <w:rsid w:val="63C765B6"/>
    <w:rsid w:val="63DC4A17"/>
    <w:rsid w:val="63DF9838"/>
    <w:rsid w:val="63E3677B"/>
    <w:rsid w:val="63E3BD7B"/>
    <w:rsid w:val="63F27307"/>
    <w:rsid w:val="63FFA7D4"/>
    <w:rsid w:val="6407DEF4"/>
    <w:rsid w:val="6423595C"/>
    <w:rsid w:val="642C2E38"/>
    <w:rsid w:val="642D86B2"/>
    <w:rsid w:val="64376A3F"/>
    <w:rsid w:val="6437CEB6"/>
    <w:rsid w:val="643C061B"/>
    <w:rsid w:val="644444BE"/>
    <w:rsid w:val="6446A992"/>
    <w:rsid w:val="644ABDE7"/>
    <w:rsid w:val="644AD515"/>
    <w:rsid w:val="64628A4E"/>
    <w:rsid w:val="6467E452"/>
    <w:rsid w:val="6476ED3F"/>
    <w:rsid w:val="647A4557"/>
    <w:rsid w:val="648A12A2"/>
    <w:rsid w:val="648DB056"/>
    <w:rsid w:val="648DBEF2"/>
    <w:rsid w:val="6490197D"/>
    <w:rsid w:val="64BC0B40"/>
    <w:rsid w:val="64C2792F"/>
    <w:rsid w:val="64C873D8"/>
    <w:rsid w:val="64C92A0B"/>
    <w:rsid w:val="64CCB4F9"/>
    <w:rsid w:val="64E4C9A1"/>
    <w:rsid w:val="64E53F6C"/>
    <w:rsid w:val="64E9A9CE"/>
    <w:rsid w:val="65089340"/>
    <w:rsid w:val="651A0586"/>
    <w:rsid w:val="652669AA"/>
    <w:rsid w:val="653B2A58"/>
    <w:rsid w:val="653D1F0A"/>
    <w:rsid w:val="654A6369"/>
    <w:rsid w:val="655A7923"/>
    <w:rsid w:val="6561CB91"/>
    <w:rsid w:val="6568611E"/>
    <w:rsid w:val="65692A30"/>
    <w:rsid w:val="6573C639"/>
    <w:rsid w:val="657C212B"/>
    <w:rsid w:val="657D01E5"/>
    <w:rsid w:val="658EBADC"/>
    <w:rsid w:val="658F6C63"/>
    <w:rsid w:val="659024E8"/>
    <w:rsid w:val="65902D03"/>
    <w:rsid w:val="6594191C"/>
    <w:rsid w:val="65A1DAB5"/>
    <w:rsid w:val="65A2C649"/>
    <w:rsid w:val="65A452DF"/>
    <w:rsid w:val="65AA6CDF"/>
    <w:rsid w:val="65B8C342"/>
    <w:rsid w:val="65BAA406"/>
    <w:rsid w:val="65C01422"/>
    <w:rsid w:val="65C3C780"/>
    <w:rsid w:val="65E8B2C9"/>
    <w:rsid w:val="65EC380A"/>
    <w:rsid w:val="65EFD9A2"/>
    <w:rsid w:val="65F10BD1"/>
    <w:rsid w:val="6610A834"/>
    <w:rsid w:val="6616372B"/>
    <w:rsid w:val="661C509B"/>
    <w:rsid w:val="66261AA4"/>
    <w:rsid w:val="66294BD3"/>
    <w:rsid w:val="662D0AAC"/>
    <w:rsid w:val="662E941F"/>
    <w:rsid w:val="6637206B"/>
    <w:rsid w:val="663E3937"/>
    <w:rsid w:val="663FA928"/>
    <w:rsid w:val="665B22BA"/>
    <w:rsid w:val="665E1A59"/>
    <w:rsid w:val="66720A28"/>
    <w:rsid w:val="6687F53C"/>
    <w:rsid w:val="668D793F"/>
    <w:rsid w:val="6695BDAE"/>
    <w:rsid w:val="669AD6F1"/>
    <w:rsid w:val="669F976B"/>
    <w:rsid w:val="66A3E28F"/>
    <w:rsid w:val="66A86822"/>
    <w:rsid w:val="66B9ED9A"/>
    <w:rsid w:val="66C353AA"/>
    <w:rsid w:val="66C3C042"/>
    <w:rsid w:val="66CF6BEE"/>
    <w:rsid w:val="66D1E89F"/>
    <w:rsid w:val="66D9E101"/>
    <w:rsid w:val="66E8003D"/>
    <w:rsid w:val="66FCE376"/>
    <w:rsid w:val="6706D3D2"/>
    <w:rsid w:val="6710A2D6"/>
    <w:rsid w:val="6711024C"/>
    <w:rsid w:val="6717DA6B"/>
    <w:rsid w:val="671BEB8C"/>
    <w:rsid w:val="673CF4C8"/>
    <w:rsid w:val="673E0CA4"/>
    <w:rsid w:val="67405222"/>
    <w:rsid w:val="67416D3E"/>
    <w:rsid w:val="67462F33"/>
    <w:rsid w:val="6748507A"/>
    <w:rsid w:val="6759EE1E"/>
    <w:rsid w:val="675B1E27"/>
    <w:rsid w:val="675F4D40"/>
    <w:rsid w:val="6767CC76"/>
    <w:rsid w:val="676E6DD4"/>
    <w:rsid w:val="6798C47F"/>
    <w:rsid w:val="679CFB9C"/>
    <w:rsid w:val="67B59B1A"/>
    <w:rsid w:val="67B67B64"/>
    <w:rsid w:val="67BB754A"/>
    <w:rsid w:val="67BDAE5C"/>
    <w:rsid w:val="67BE7F6F"/>
    <w:rsid w:val="67C1FB50"/>
    <w:rsid w:val="67CEDFE2"/>
    <w:rsid w:val="67D60F2C"/>
    <w:rsid w:val="67D6ECB0"/>
    <w:rsid w:val="67D9D763"/>
    <w:rsid w:val="67DB4014"/>
    <w:rsid w:val="67FF8D16"/>
    <w:rsid w:val="680A2C56"/>
    <w:rsid w:val="680BDF77"/>
    <w:rsid w:val="68126FFF"/>
    <w:rsid w:val="6812ACD8"/>
    <w:rsid w:val="6817A028"/>
    <w:rsid w:val="681BE037"/>
    <w:rsid w:val="68228B3E"/>
    <w:rsid w:val="6822CB4E"/>
    <w:rsid w:val="68273637"/>
    <w:rsid w:val="6831190A"/>
    <w:rsid w:val="68326781"/>
    <w:rsid w:val="683E1B97"/>
    <w:rsid w:val="683EB6D1"/>
    <w:rsid w:val="684052E0"/>
    <w:rsid w:val="6851304F"/>
    <w:rsid w:val="68583F02"/>
    <w:rsid w:val="68639570"/>
    <w:rsid w:val="6868ABCD"/>
    <w:rsid w:val="6873547D"/>
    <w:rsid w:val="6883A6A3"/>
    <w:rsid w:val="6892F777"/>
    <w:rsid w:val="68930D34"/>
    <w:rsid w:val="6896A20C"/>
    <w:rsid w:val="68989FF1"/>
    <w:rsid w:val="689DA26D"/>
    <w:rsid w:val="68A0E9A3"/>
    <w:rsid w:val="68A6FC7C"/>
    <w:rsid w:val="68AE2DF8"/>
    <w:rsid w:val="68BDADD9"/>
    <w:rsid w:val="68CCEF67"/>
    <w:rsid w:val="68D685F7"/>
    <w:rsid w:val="68E9816B"/>
    <w:rsid w:val="68EDA249"/>
    <w:rsid w:val="68FE8516"/>
    <w:rsid w:val="6913EDBF"/>
    <w:rsid w:val="692026D3"/>
    <w:rsid w:val="6920A9C8"/>
    <w:rsid w:val="6924BDE6"/>
    <w:rsid w:val="692EBE13"/>
    <w:rsid w:val="693439B5"/>
    <w:rsid w:val="6935FB71"/>
    <w:rsid w:val="69368952"/>
    <w:rsid w:val="693DB95A"/>
    <w:rsid w:val="693E2BF5"/>
    <w:rsid w:val="69569D06"/>
    <w:rsid w:val="695E08E4"/>
    <w:rsid w:val="69686AB5"/>
    <w:rsid w:val="69737B7D"/>
    <w:rsid w:val="697544A9"/>
    <w:rsid w:val="6977FBCA"/>
    <w:rsid w:val="697E89AA"/>
    <w:rsid w:val="697FE456"/>
    <w:rsid w:val="6986AD66"/>
    <w:rsid w:val="699F19C7"/>
    <w:rsid w:val="69A35BDF"/>
    <w:rsid w:val="69B607A8"/>
    <w:rsid w:val="69CFA1E5"/>
    <w:rsid w:val="69DCBE6E"/>
    <w:rsid w:val="69E37234"/>
    <w:rsid w:val="69E9237C"/>
    <w:rsid w:val="69F491CB"/>
    <w:rsid w:val="69F7CA73"/>
    <w:rsid w:val="69FF8C45"/>
    <w:rsid w:val="6A0F24DE"/>
    <w:rsid w:val="6A163A01"/>
    <w:rsid w:val="6A197DA0"/>
    <w:rsid w:val="6A215BBB"/>
    <w:rsid w:val="6A2BBAD2"/>
    <w:rsid w:val="6A3B7097"/>
    <w:rsid w:val="6A3C20D4"/>
    <w:rsid w:val="6A49CF9E"/>
    <w:rsid w:val="6A4FB087"/>
    <w:rsid w:val="6A57659A"/>
    <w:rsid w:val="6A63250C"/>
    <w:rsid w:val="6A6CB101"/>
    <w:rsid w:val="6A6FF780"/>
    <w:rsid w:val="6A759E1F"/>
    <w:rsid w:val="6A7B810F"/>
    <w:rsid w:val="6A977379"/>
    <w:rsid w:val="6A9F7011"/>
    <w:rsid w:val="6AACADA2"/>
    <w:rsid w:val="6AC418CF"/>
    <w:rsid w:val="6AC88EED"/>
    <w:rsid w:val="6ADB9A8C"/>
    <w:rsid w:val="6AE5AAA7"/>
    <w:rsid w:val="6AF4121B"/>
    <w:rsid w:val="6AF88722"/>
    <w:rsid w:val="6AFEB973"/>
    <w:rsid w:val="6B1C66BF"/>
    <w:rsid w:val="6B292702"/>
    <w:rsid w:val="6B2A4582"/>
    <w:rsid w:val="6B2B8532"/>
    <w:rsid w:val="6B2CB3E4"/>
    <w:rsid w:val="6B39BEA1"/>
    <w:rsid w:val="6B48789A"/>
    <w:rsid w:val="6B48C6B3"/>
    <w:rsid w:val="6B511451"/>
    <w:rsid w:val="6B5146C0"/>
    <w:rsid w:val="6B5272BE"/>
    <w:rsid w:val="6B56E1DE"/>
    <w:rsid w:val="6B5E23A4"/>
    <w:rsid w:val="6B620163"/>
    <w:rsid w:val="6B6540D3"/>
    <w:rsid w:val="6B676B08"/>
    <w:rsid w:val="6B67E651"/>
    <w:rsid w:val="6B69EA06"/>
    <w:rsid w:val="6B74C67C"/>
    <w:rsid w:val="6B77D95E"/>
    <w:rsid w:val="6B7B8197"/>
    <w:rsid w:val="6B866FF3"/>
    <w:rsid w:val="6B881E41"/>
    <w:rsid w:val="6B9A76D7"/>
    <w:rsid w:val="6BA6171E"/>
    <w:rsid w:val="6BA8ABDF"/>
    <w:rsid w:val="6BA8F183"/>
    <w:rsid w:val="6BB315C3"/>
    <w:rsid w:val="6BB335C4"/>
    <w:rsid w:val="6BB7D817"/>
    <w:rsid w:val="6BBC72F6"/>
    <w:rsid w:val="6BCA24FB"/>
    <w:rsid w:val="6BD03604"/>
    <w:rsid w:val="6BDA44F5"/>
    <w:rsid w:val="6BDABD0A"/>
    <w:rsid w:val="6BE97CF6"/>
    <w:rsid w:val="6C056FE5"/>
    <w:rsid w:val="6C095D69"/>
    <w:rsid w:val="6C0F7302"/>
    <w:rsid w:val="6C1AA2F1"/>
    <w:rsid w:val="6C2967A4"/>
    <w:rsid w:val="6C2F55A6"/>
    <w:rsid w:val="6C3C1747"/>
    <w:rsid w:val="6C432724"/>
    <w:rsid w:val="6C441361"/>
    <w:rsid w:val="6C6F04C0"/>
    <w:rsid w:val="6C7821F0"/>
    <w:rsid w:val="6C960175"/>
    <w:rsid w:val="6CA2752D"/>
    <w:rsid w:val="6CAA1270"/>
    <w:rsid w:val="6CBA4637"/>
    <w:rsid w:val="6CC8FB56"/>
    <w:rsid w:val="6CCAC7AC"/>
    <w:rsid w:val="6CDB6BD6"/>
    <w:rsid w:val="6CEBFB34"/>
    <w:rsid w:val="6D08BFC5"/>
    <w:rsid w:val="6D09F942"/>
    <w:rsid w:val="6D1B80BB"/>
    <w:rsid w:val="6D2F5022"/>
    <w:rsid w:val="6D32A118"/>
    <w:rsid w:val="6D353BC5"/>
    <w:rsid w:val="6D3CC89F"/>
    <w:rsid w:val="6D3EC9C6"/>
    <w:rsid w:val="6D5DF8C7"/>
    <w:rsid w:val="6D6C57CB"/>
    <w:rsid w:val="6D77FDA8"/>
    <w:rsid w:val="6D86D6D7"/>
    <w:rsid w:val="6D8A3982"/>
    <w:rsid w:val="6D8D38C2"/>
    <w:rsid w:val="6D977ED8"/>
    <w:rsid w:val="6D98DFA6"/>
    <w:rsid w:val="6D9BBDEA"/>
    <w:rsid w:val="6DA2498A"/>
    <w:rsid w:val="6DAB5C7B"/>
    <w:rsid w:val="6DB76CFF"/>
    <w:rsid w:val="6DBB8023"/>
    <w:rsid w:val="6DE832EB"/>
    <w:rsid w:val="6DEA9565"/>
    <w:rsid w:val="6E068E68"/>
    <w:rsid w:val="6E11284B"/>
    <w:rsid w:val="6E17C0BD"/>
    <w:rsid w:val="6E1FE5E6"/>
    <w:rsid w:val="6E4E7A98"/>
    <w:rsid w:val="6E5094BF"/>
    <w:rsid w:val="6E579FAF"/>
    <w:rsid w:val="6E61D387"/>
    <w:rsid w:val="6E63E3FC"/>
    <w:rsid w:val="6E707064"/>
    <w:rsid w:val="6E75941E"/>
    <w:rsid w:val="6E78B256"/>
    <w:rsid w:val="6E82E0F4"/>
    <w:rsid w:val="6E85EF97"/>
    <w:rsid w:val="6E866820"/>
    <w:rsid w:val="6E911095"/>
    <w:rsid w:val="6E977DC7"/>
    <w:rsid w:val="6EA092BE"/>
    <w:rsid w:val="6EB7BD68"/>
    <w:rsid w:val="6EB8C013"/>
    <w:rsid w:val="6EC9DDDE"/>
    <w:rsid w:val="6ECE5882"/>
    <w:rsid w:val="6ED4735C"/>
    <w:rsid w:val="6EDC8212"/>
    <w:rsid w:val="6EE4B6BD"/>
    <w:rsid w:val="6EEF631A"/>
    <w:rsid w:val="6EF77B16"/>
    <w:rsid w:val="6EFC4AFC"/>
    <w:rsid w:val="6F0683D9"/>
    <w:rsid w:val="6F18E2F0"/>
    <w:rsid w:val="6F20BED3"/>
    <w:rsid w:val="6F40F918"/>
    <w:rsid w:val="6F4CECC6"/>
    <w:rsid w:val="6F528885"/>
    <w:rsid w:val="6F5685EC"/>
    <w:rsid w:val="6F786346"/>
    <w:rsid w:val="6F8BF6E5"/>
    <w:rsid w:val="6F8F1B75"/>
    <w:rsid w:val="6F95F214"/>
    <w:rsid w:val="6F968EB3"/>
    <w:rsid w:val="6FA8798E"/>
    <w:rsid w:val="6FB5D2D1"/>
    <w:rsid w:val="6FBC8158"/>
    <w:rsid w:val="6FC372E7"/>
    <w:rsid w:val="6FCDFD96"/>
    <w:rsid w:val="6FCE4EC4"/>
    <w:rsid w:val="6FE0DDF8"/>
    <w:rsid w:val="6FE1404A"/>
    <w:rsid w:val="6FE5E616"/>
    <w:rsid w:val="6FF4EABD"/>
    <w:rsid w:val="6FFDB412"/>
    <w:rsid w:val="6FFFB45D"/>
    <w:rsid w:val="7005C718"/>
    <w:rsid w:val="7007F4B9"/>
    <w:rsid w:val="701F7BF3"/>
    <w:rsid w:val="70225167"/>
    <w:rsid w:val="7027977E"/>
    <w:rsid w:val="702AAFEB"/>
    <w:rsid w:val="703A5167"/>
    <w:rsid w:val="7060590F"/>
    <w:rsid w:val="7070CD9E"/>
    <w:rsid w:val="70A3C5BC"/>
    <w:rsid w:val="70B43181"/>
    <w:rsid w:val="70B50578"/>
    <w:rsid w:val="70BB36E4"/>
    <w:rsid w:val="70C34DFC"/>
    <w:rsid w:val="70D0D457"/>
    <w:rsid w:val="70DBA4BA"/>
    <w:rsid w:val="70DF263A"/>
    <w:rsid w:val="70E1E7CC"/>
    <w:rsid w:val="70E78DBB"/>
    <w:rsid w:val="70E96539"/>
    <w:rsid w:val="71015ECC"/>
    <w:rsid w:val="7112D1F1"/>
    <w:rsid w:val="71241B08"/>
    <w:rsid w:val="7125B1B0"/>
    <w:rsid w:val="71297131"/>
    <w:rsid w:val="71340477"/>
    <w:rsid w:val="713ED6ED"/>
    <w:rsid w:val="7143B53D"/>
    <w:rsid w:val="71547541"/>
    <w:rsid w:val="716B995A"/>
    <w:rsid w:val="717404F2"/>
    <w:rsid w:val="718F91B9"/>
    <w:rsid w:val="719DF242"/>
    <w:rsid w:val="71A8BB80"/>
    <w:rsid w:val="71BDD4BE"/>
    <w:rsid w:val="71C06F7F"/>
    <w:rsid w:val="71C6BB28"/>
    <w:rsid w:val="71CA2A96"/>
    <w:rsid w:val="71D4634F"/>
    <w:rsid w:val="71E1198A"/>
    <w:rsid w:val="71FA6628"/>
    <w:rsid w:val="72001747"/>
    <w:rsid w:val="72014137"/>
    <w:rsid w:val="7209E72D"/>
    <w:rsid w:val="7226F9AD"/>
    <w:rsid w:val="722DDEA8"/>
    <w:rsid w:val="722E7B98"/>
    <w:rsid w:val="7241B80F"/>
    <w:rsid w:val="72422A10"/>
    <w:rsid w:val="72448B48"/>
    <w:rsid w:val="7246EC56"/>
    <w:rsid w:val="72507324"/>
    <w:rsid w:val="7252B68D"/>
    <w:rsid w:val="725376DA"/>
    <w:rsid w:val="72553FC2"/>
    <w:rsid w:val="72601903"/>
    <w:rsid w:val="7261C300"/>
    <w:rsid w:val="7265D1CD"/>
    <w:rsid w:val="72682D98"/>
    <w:rsid w:val="7274AF7B"/>
    <w:rsid w:val="727B44A4"/>
    <w:rsid w:val="7285EAB2"/>
    <w:rsid w:val="728D9B20"/>
    <w:rsid w:val="72908166"/>
    <w:rsid w:val="72A12498"/>
    <w:rsid w:val="72AE429B"/>
    <w:rsid w:val="72B0A73B"/>
    <w:rsid w:val="72B7C2EF"/>
    <w:rsid w:val="72CCB065"/>
    <w:rsid w:val="72CCD521"/>
    <w:rsid w:val="72D3B135"/>
    <w:rsid w:val="72DA34DC"/>
    <w:rsid w:val="72E63539"/>
    <w:rsid w:val="73002B97"/>
    <w:rsid w:val="730418EC"/>
    <w:rsid w:val="73054D7A"/>
    <w:rsid w:val="73071668"/>
    <w:rsid w:val="730769BB"/>
    <w:rsid w:val="73155C81"/>
    <w:rsid w:val="731DED57"/>
    <w:rsid w:val="7327EEDE"/>
    <w:rsid w:val="73357C12"/>
    <w:rsid w:val="733C4A12"/>
    <w:rsid w:val="733DD8F7"/>
    <w:rsid w:val="7342FE4E"/>
    <w:rsid w:val="734399FF"/>
    <w:rsid w:val="73460BB6"/>
    <w:rsid w:val="73524844"/>
    <w:rsid w:val="735AAA5F"/>
    <w:rsid w:val="735AADBB"/>
    <w:rsid w:val="735FE570"/>
    <w:rsid w:val="736DA24F"/>
    <w:rsid w:val="736E74EC"/>
    <w:rsid w:val="737D0D20"/>
    <w:rsid w:val="737E7C06"/>
    <w:rsid w:val="73818C02"/>
    <w:rsid w:val="73821337"/>
    <w:rsid w:val="7393BE22"/>
    <w:rsid w:val="7394048C"/>
    <w:rsid w:val="7395E686"/>
    <w:rsid w:val="739B63E5"/>
    <w:rsid w:val="73A6806C"/>
    <w:rsid w:val="73C41849"/>
    <w:rsid w:val="73C80433"/>
    <w:rsid w:val="73D1A599"/>
    <w:rsid w:val="73DC23B5"/>
    <w:rsid w:val="73F80732"/>
    <w:rsid w:val="740128DD"/>
    <w:rsid w:val="740AEE9B"/>
    <w:rsid w:val="74171505"/>
    <w:rsid w:val="7419F8EA"/>
    <w:rsid w:val="741A6C23"/>
    <w:rsid w:val="7422E28B"/>
    <w:rsid w:val="74282B2B"/>
    <w:rsid w:val="7440A36C"/>
    <w:rsid w:val="74446AB1"/>
    <w:rsid w:val="7448FA29"/>
    <w:rsid w:val="7450FD4A"/>
    <w:rsid w:val="7456A186"/>
    <w:rsid w:val="7472F67C"/>
    <w:rsid w:val="7474FDB9"/>
    <w:rsid w:val="748BE584"/>
    <w:rsid w:val="748E06D9"/>
    <w:rsid w:val="749787C8"/>
    <w:rsid w:val="74991542"/>
    <w:rsid w:val="749E1823"/>
    <w:rsid w:val="74A33A1C"/>
    <w:rsid w:val="74A8B9EA"/>
    <w:rsid w:val="74B9F4A3"/>
    <w:rsid w:val="74C52953"/>
    <w:rsid w:val="74C8DCF1"/>
    <w:rsid w:val="74C96F03"/>
    <w:rsid w:val="74CE8ECD"/>
    <w:rsid w:val="74CFCE1B"/>
    <w:rsid w:val="74DD681B"/>
    <w:rsid w:val="74EA3E79"/>
    <w:rsid w:val="74EE4648"/>
    <w:rsid w:val="750210BA"/>
    <w:rsid w:val="75042ABB"/>
    <w:rsid w:val="7507DACC"/>
    <w:rsid w:val="750DBB77"/>
    <w:rsid w:val="7514628C"/>
    <w:rsid w:val="751A9C2F"/>
    <w:rsid w:val="751AB279"/>
    <w:rsid w:val="7522D269"/>
    <w:rsid w:val="754D5D81"/>
    <w:rsid w:val="755008A0"/>
    <w:rsid w:val="755201ED"/>
    <w:rsid w:val="75579901"/>
    <w:rsid w:val="75624BCE"/>
    <w:rsid w:val="7574099F"/>
    <w:rsid w:val="7575268B"/>
    <w:rsid w:val="75761B39"/>
    <w:rsid w:val="75810901"/>
    <w:rsid w:val="7599A9A6"/>
    <w:rsid w:val="75A07BBA"/>
    <w:rsid w:val="75AAFB70"/>
    <w:rsid w:val="75B65477"/>
    <w:rsid w:val="75D2860F"/>
    <w:rsid w:val="75DB99FC"/>
    <w:rsid w:val="75DC693A"/>
    <w:rsid w:val="7615E509"/>
    <w:rsid w:val="7616B05C"/>
    <w:rsid w:val="762159EC"/>
    <w:rsid w:val="7624CF6A"/>
    <w:rsid w:val="762DE6AB"/>
    <w:rsid w:val="763B43CA"/>
    <w:rsid w:val="76442212"/>
    <w:rsid w:val="7659C29F"/>
    <w:rsid w:val="766AF9D2"/>
    <w:rsid w:val="767FF87F"/>
    <w:rsid w:val="7682D86E"/>
    <w:rsid w:val="76838D42"/>
    <w:rsid w:val="7688591A"/>
    <w:rsid w:val="76928F53"/>
    <w:rsid w:val="76976C2D"/>
    <w:rsid w:val="769E44E9"/>
    <w:rsid w:val="76B1CB15"/>
    <w:rsid w:val="76B7EE8F"/>
    <w:rsid w:val="76D2F8FA"/>
    <w:rsid w:val="76D9113B"/>
    <w:rsid w:val="76DC685D"/>
    <w:rsid w:val="76E30372"/>
    <w:rsid w:val="76E6F943"/>
    <w:rsid w:val="76E8DC90"/>
    <w:rsid w:val="76EC0032"/>
    <w:rsid w:val="76FA11B4"/>
    <w:rsid w:val="76FC7C3C"/>
    <w:rsid w:val="76FE7E5F"/>
    <w:rsid w:val="770C2928"/>
    <w:rsid w:val="77124479"/>
    <w:rsid w:val="7712C574"/>
    <w:rsid w:val="7727303E"/>
    <w:rsid w:val="772E5314"/>
    <w:rsid w:val="7742797B"/>
    <w:rsid w:val="776289A3"/>
    <w:rsid w:val="776A86F1"/>
    <w:rsid w:val="776D067C"/>
    <w:rsid w:val="776E27F7"/>
    <w:rsid w:val="7787E9BF"/>
    <w:rsid w:val="77A3851C"/>
    <w:rsid w:val="77A5AB33"/>
    <w:rsid w:val="77B1FD2F"/>
    <w:rsid w:val="77B5D47F"/>
    <w:rsid w:val="77BB468C"/>
    <w:rsid w:val="77C0755D"/>
    <w:rsid w:val="77D5E9BF"/>
    <w:rsid w:val="77DB5B49"/>
    <w:rsid w:val="77DBF658"/>
    <w:rsid w:val="77E29980"/>
    <w:rsid w:val="77EC80FE"/>
    <w:rsid w:val="77EE5D1D"/>
    <w:rsid w:val="77F33C2D"/>
    <w:rsid w:val="77FED7CB"/>
    <w:rsid w:val="780311CA"/>
    <w:rsid w:val="78085CF3"/>
    <w:rsid w:val="781C5EC3"/>
    <w:rsid w:val="78226078"/>
    <w:rsid w:val="7835AA52"/>
    <w:rsid w:val="783D9C16"/>
    <w:rsid w:val="783EDE81"/>
    <w:rsid w:val="78460887"/>
    <w:rsid w:val="78501976"/>
    <w:rsid w:val="78528A76"/>
    <w:rsid w:val="7852AC32"/>
    <w:rsid w:val="78564850"/>
    <w:rsid w:val="785BB205"/>
    <w:rsid w:val="786D26E7"/>
    <w:rsid w:val="786DBBFE"/>
    <w:rsid w:val="78747666"/>
    <w:rsid w:val="78755662"/>
    <w:rsid w:val="7876A1DD"/>
    <w:rsid w:val="787E304C"/>
    <w:rsid w:val="78991154"/>
    <w:rsid w:val="78A3ADAC"/>
    <w:rsid w:val="78AC4D93"/>
    <w:rsid w:val="78B97A9B"/>
    <w:rsid w:val="78C07A32"/>
    <w:rsid w:val="78CFAC29"/>
    <w:rsid w:val="78DA43FB"/>
    <w:rsid w:val="78DB0CB1"/>
    <w:rsid w:val="78EA94C0"/>
    <w:rsid w:val="78ED5966"/>
    <w:rsid w:val="790008EA"/>
    <w:rsid w:val="7910E884"/>
    <w:rsid w:val="79196555"/>
    <w:rsid w:val="7925AD2E"/>
    <w:rsid w:val="792EA690"/>
    <w:rsid w:val="794703D0"/>
    <w:rsid w:val="794AA00C"/>
    <w:rsid w:val="7958AB56"/>
    <w:rsid w:val="79859127"/>
    <w:rsid w:val="79A091F7"/>
    <w:rsid w:val="79A6662D"/>
    <w:rsid w:val="79AD39E5"/>
    <w:rsid w:val="79AF51A3"/>
    <w:rsid w:val="79B8C966"/>
    <w:rsid w:val="79B95EA3"/>
    <w:rsid w:val="79BB886B"/>
    <w:rsid w:val="79CA7E55"/>
    <w:rsid w:val="79CAE848"/>
    <w:rsid w:val="79D812F0"/>
    <w:rsid w:val="79DC35D0"/>
    <w:rsid w:val="79DF3E56"/>
    <w:rsid w:val="79F51C03"/>
    <w:rsid w:val="7A18818B"/>
    <w:rsid w:val="7A1F178C"/>
    <w:rsid w:val="7A2307AE"/>
    <w:rsid w:val="7A2462C0"/>
    <w:rsid w:val="7A477B68"/>
    <w:rsid w:val="7A495D7A"/>
    <w:rsid w:val="7A4B71D5"/>
    <w:rsid w:val="7A5B44EA"/>
    <w:rsid w:val="7A5D03F1"/>
    <w:rsid w:val="7A65CDC9"/>
    <w:rsid w:val="7A674ACE"/>
    <w:rsid w:val="7A73F9B8"/>
    <w:rsid w:val="7A740F17"/>
    <w:rsid w:val="7A8B96F2"/>
    <w:rsid w:val="7A8DE430"/>
    <w:rsid w:val="7A9FFEDA"/>
    <w:rsid w:val="7AAEB52C"/>
    <w:rsid w:val="7AB6FDD2"/>
    <w:rsid w:val="7AB8B915"/>
    <w:rsid w:val="7ABCCDB2"/>
    <w:rsid w:val="7ACDE43B"/>
    <w:rsid w:val="7ACEF395"/>
    <w:rsid w:val="7ADAC3EF"/>
    <w:rsid w:val="7AE50C95"/>
    <w:rsid w:val="7B042D22"/>
    <w:rsid w:val="7B047FD1"/>
    <w:rsid w:val="7B242866"/>
    <w:rsid w:val="7B2C9D8F"/>
    <w:rsid w:val="7B3284BD"/>
    <w:rsid w:val="7B32FA7B"/>
    <w:rsid w:val="7B46B8E2"/>
    <w:rsid w:val="7B48570A"/>
    <w:rsid w:val="7B4C7F70"/>
    <w:rsid w:val="7B5C8883"/>
    <w:rsid w:val="7B887DB8"/>
    <w:rsid w:val="7B8D7A63"/>
    <w:rsid w:val="7B93758A"/>
    <w:rsid w:val="7B97E20E"/>
    <w:rsid w:val="7B9A0503"/>
    <w:rsid w:val="7B9D5FCA"/>
    <w:rsid w:val="7BA02E89"/>
    <w:rsid w:val="7BA2523B"/>
    <w:rsid w:val="7BA3019C"/>
    <w:rsid w:val="7BA63636"/>
    <w:rsid w:val="7BAC5162"/>
    <w:rsid w:val="7BB2FB90"/>
    <w:rsid w:val="7BBFF636"/>
    <w:rsid w:val="7BCECF57"/>
    <w:rsid w:val="7BD7ADE7"/>
    <w:rsid w:val="7BD8C904"/>
    <w:rsid w:val="7BD995C2"/>
    <w:rsid w:val="7BF946D1"/>
    <w:rsid w:val="7C0B9978"/>
    <w:rsid w:val="7C18F05B"/>
    <w:rsid w:val="7C1B087A"/>
    <w:rsid w:val="7C1E99BE"/>
    <w:rsid w:val="7C243D23"/>
    <w:rsid w:val="7C26BCB3"/>
    <w:rsid w:val="7C27E971"/>
    <w:rsid w:val="7C306799"/>
    <w:rsid w:val="7C321DF2"/>
    <w:rsid w:val="7C39A2AD"/>
    <w:rsid w:val="7C436CF3"/>
    <w:rsid w:val="7C485814"/>
    <w:rsid w:val="7C48BCBB"/>
    <w:rsid w:val="7C577684"/>
    <w:rsid w:val="7C602D95"/>
    <w:rsid w:val="7C826AD6"/>
    <w:rsid w:val="7C83D6E7"/>
    <w:rsid w:val="7C932DC7"/>
    <w:rsid w:val="7CA2E7B7"/>
    <w:rsid w:val="7CA36B8A"/>
    <w:rsid w:val="7CBA5471"/>
    <w:rsid w:val="7CCDD469"/>
    <w:rsid w:val="7CCEA399"/>
    <w:rsid w:val="7CD10FE9"/>
    <w:rsid w:val="7CD6CB1E"/>
    <w:rsid w:val="7CDEFA7D"/>
    <w:rsid w:val="7CE033DE"/>
    <w:rsid w:val="7CEB9D6B"/>
    <w:rsid w:val="7CF1BCDE"/>
    <w:rsid w:val="7CF30029"/>
    <w:rsid w:val="7CF52F21"/>
    <w:rsid w:val="7CF80971"/>
    <w:rsid w:val="7CF8B7AF"/>
    <w:rsid w:val="7D09009A"/>
    <w:rsid w:val="7D0C74BD"/>
    <w:rsid w:val="7D1E7E11"/>
    <w:rsid w:val="7D25F093"/>
    <w:rsid w:val="7D289DFE"/>
    <w:rsid w:val="7D30D055"/>
    <w:rsid w:val="7D3A53DD"/>
    <w:rsid w:val="7D4134D9"/>
    <w:rsid w:val="7D4CC77A"/>
    <w:rsid w:val="7D55904E"/>
    <w:rsid w:val="7D59C6C9"/>
    <w:rsid w:val="7D75D960"/>
    <w:rsid w:val="7D79D2DA"/>
    <w:rsid w:val="7D79F193"/>
    <w:rsid w:val="7D7E1ABA"/>
    <w:rsid w:val="7D8464D8"/>
    <w:rsid w:val="7D8DA133"/>
    <w:rsid w:val="7D90E14B"/>
    <w:rsid w:val="7D945469"/>
    <w:rsid w:val="7DA1FA2B"/>
    <w:rsid w:val="7DB492D1"/>
    <w:rsid w:val="7DBAC596"/>
    <w:rsid w:val="7DCC5B44"/>
    <w:rsid w:val="7DD22A31"/>
    <w:rsid w:val="7DF805E9"/>
    <w:rsid w:val="7E1513AA"/>
    <w:rsid w:val="7E196B52"/>
    <w:rsid w:val="7E1A6625"/>
    <w:rsid w:val="7E1F98A9"/>
    <w:rsid w:val="7E29BAF5"/>
    <w:rsid w:val="7E2B12F3"/>
    <w:rsid w:val="7E333A89"/>
    <w:rsid w:val="7E40BFE3"/>
    <w:rsid w:val="7E480BBC"/>
    <w:rsid w:val="7E4C6A4C"/>
    <w:rsid w:val="7E5B83BC"/>
    <w:rsid w:val="7E67F655"/>
    <w:rsid w:val="7E72A467"/>
    <w:rsid w:val="7E752C58"/>
    <w:rsid w:val="7E85BAF4"/>
    <w:rsid w:val="7E86A2EC"/>
    <w:rsid w:val="7E870A25"/>
    <w:rsid w:val="7E8A5511"/>
    <w:rsid w:val="7E8C6197"/>
    <w:rsid w:val="7E90C3E8"/>
    <w:rsid w:val="7E9A17AE"/>
    <w:rsid w:val="7EA3DE47"/>
    <w:rsid w:val="7EAC9EEB"/>
    <w:rsid w:val="7EC3B113"/>
    <w:rsid w:val="7ECA4899"/>
    <w:rsid w:val="7ECA824E"/>
    <w:rsid w:val="7ECBFB33"/>
    <w:rsid w:val="7ED18D50"/>
    <w:rsid w:val="7ED23CE3"/>
    <w:rsid w:val="7EDCC199"/>
    <w:rsid w:val="7EE52BE8"/>
    <w:rsid w:val="7EEB4648"/>
    <w:rsid w:val="7EF07132"/>
    <w:rsid w:val="7EF51246"/>
    <w:rsid w:val="7F1503DF"/>
    <w:rsid w:val="7F1715BB"/>
    <w:rsid w:val="7F28F4BF"/>
    <w:rsid w:val="7F292B7F"/>
    <w:rsid w:val="7F2A2230"/>
    <w:rsid w:val="7F38A8D4"/>
    <w:rsid w:val="7F42B2DB"/>
    <w:rsid w:val="7F437E9F"/>
    <w:rsid w:val="7F444610"/>
    <w:rsid w:val="7F51A14A"/>
    <w:rsid w:val="7F570B59"/>
    <w:rsid w:val="7F57FC5B"/>
    <w:rsid w:val="7F590A48"/>
    <w:rsid w:val="7F5AFC0E"/>
    <w:rsid w:val="7F5E190E"/>
    <w:rsid w:val="7F670CDE"/>
    <w:rsid w:val="7F8356A3"/>
    <w:rsid w:val="7F911FF9"/>
    <w:rsid w:val="7F931B39"/>
    <w:rsid w:val="7F9ECACD"/>
    <w:rsid w:val="7FA3C3E0"/>
    <w:rsid w:val="7FA3CC1A"/>
    <w:rsid w:val="7FD35461"/>
    <w:rsid w:val="7FD52A0D"/>
    <w:rsid w:val="7FD80FB2"/>
    <w:rsid w:val="7FE50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3273389"/>
  <w15:docId w15:val="{D83966C1-F224-4538-AC87-BC69871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56AF"/>
    <w:rPr>
      <w:rFonts w:cs="Times New Roman"/>
      <w:sz w:val="16"/>
      <w:szCs w:val="16"/>
    </w:rPr>
  </w:style>
  <w:style w:type="paragraph" w:customStyle="1" w:styleId="Default">
    <w:name w:val="Default"/>
    <w:rsid w:val="001956A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Ordered list,Bullet list,1st level - Bullet List Paragraph,List Paragraph11,Lettre d'introduction,Medium Grid 1 - Accent 21,Normal bullet 2,Numbered List,Paragraphe de liste 2,Reference list,Paragraph,Bullet EY,List1,b1,Dot pt,No TOC"/>
    <w:basedOn w:val="Normal"/>
    <w:link w:val="ListParagraphChar"/>
    <w:uiPriority w:val="34"/>
    <w:qFormat/>
    <w:rsid w:val="001956AF"/>
    <w:pPr>
      <w:ind w:left="720"/>
      <w:contextualSpacing/>
    </w:pPr>
  </w:style>
  <w:style w:type="paragraph" w:customStyle="1" w:styleId="LegalNumPar">
    <w:name w:val="LegalNumPar"/>
    <w:basedOn w:val="Normal"/>
    <w:rsid w:val="001956AF"/>
    <w:pPr>
      <w:numPr>
        <w:numId w:val="1"/>
      </w:numPr>
      <w:spacing w:line="360" w:lineRule="auto"/>
    </w:pPr>
  </w:style>
  <w:style w:type="paragraph" w:customStyle="1" w:styleId="LegalNumPar2">
    <w:name w:val="LegalNumPar2"/>
    <w:basedOn w:val="Normal"/>
    <w:rsid w:val="001956AF"/>
    <w:pPr>
      <w:numPr>
        <w:ilvl w:val="1"/>
        <w:numId w:val="1"/>
      </w:numPr>
      <w:spacing w:line="360" w:lineRule="auto"/>
    </w:pPr>
  </w:style>
  <w:style w:type="paragraph" w:customStyle="1" w:styleId="LegalNumPar3">
    <w:name w:val="LegalNumPar3"/>
    <w:basedOn w:val="Normal"/>
    <w:rsid w:val="001956AF"/>
    <w:pPr>
      <w:numPr>
        <w:ilvl w:val="2"/>
        <w:numId w:val="1"/>
      </w:numPr>
      <w:spacing w:line="360" w:lineRule="auto"/>
    </w:pPr>
  </w:style>
  <w:style w:type="character" w:customStyle="1" w:styleId="ui-provider">
    <w:name w:val="ui-provider"/>
    <w:basedOn w:val="DefaultParagraphFont"/>
    <w:rsid w:val="001956AF"/>
  </w:style>
  <w:style w:type="paragraph" w:styleId="ListBullet">
    <w:name w:val="List Bullet"/>
    <w:basedOn w:val="Normal"/>
    <w:uiPriority w:val="99"/>
    <w:semiHidden/>
    <w:unhideWhenUsed/>
    <w:rsid w:val="008E734B"/>
    <w:pPr>
      <w:numPr>
        <w:numId w:val="2"/>
      </w:numPr>
      <w:contextualSpacing/>
    </w:pPr>
  </w:style>
  <w:style w:type="paragraph" w:styleId="ListBullet2">
    <w:name w:val="List Bullet 2"/>
    <w:basedOn w:val="Normal"/>
    <w:uiPriority w:val="99"/>
    <w:semiHidden/>
    <w:unhideWhenUsed/>
    <w:rsid w:val="008E734B"/>
    <w:pPr>
      <w:numPr>
        <w:numId w:val="3"/>
      </w:numPr>
      <w:contextualSpacing/>
    </w:pPr>
  </w:style>
  <w:style w:type="paragraph" w:styleId="ListBullet3">
    <w:name w:val="List Bullet 3"/>
    <w:basedOn w:val="Normal"/>
    <w:uiPriority w:val="99"/>
    <w:semiHidden/>
    <w:unhideWhenUsed/>
    <w:rsid w:val="008E734B"/>
    <w:pPr>
      <w:numPr>
        <w:numId w:val="4"/>
      </w:numPr>
      <w:contextualSpacing/>
    </w:pPr>
  </w:style>
  <w:style w:type="paragraph" w:styleId="ListBullet4">
    <w:name w:val="List Bullet 4"/>
    <w:basedOn w:val="Normal"/>
    <w:uiPriority w:val="99"/>
    <w:unhideWhenUsed/>
    <w:rsid w:val="008E734B"/>
    <w:pPr>
      <w:numPr>
        <w:numId w:val="5"/>
      </w:numPr>
      <w:contextualSpacing/>
    </w:pPr>
  </w:style>
  <w:style w:type="character" w:styleId="Hyperlink">
    <w:name w:val="Hyperlink"/>
    <w:basedOn w:val="DefaultParagraphFont"/>
    <w:uiPriority w:val="99"/>
    <w:unhideWhenUsed/>
    <w:rsid w:val="00031C74"/>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446EE4"/>
    <w:rPr>
      <w:b/>
      <w:bCs/>
    </w:rPr>
  </w:style>
  <w:style w:type="character" w:customStyle="1" w:styleId="CommentSubjectChar">
    <w:name w:val="Comment Subject Char"/>
    <w:basedOn w:val="CommentTextChar"/>
    <w:link w:val="CommentSubject"/>
    <w:uiPriority w:val="99"/>
    <w:semiHidden/>
    <w:rsid w:val="00446EE4"/>
    <w:rPr>
      <w:rFonts w:ascii="Times New Roman" w:hAnsi="Times New Roman" w:cs="Times New Roman"/>
      <w:b/>
      <w:bCs/>
      <w:sz w:val="20"/>
      <w:szCs w:val="20"/>
      <w:lang w:val="hr-HR"/>
    </w:rPr>
  </w:style>
  <w:style w:type="character" w:customStyle="1" w:styleId="UnresolvedMention">
    <w:name w:val="Unresolved Mention"/>
    <w:basedOn w:val="DefaultParagraphFont"/>
    <w:uiPriority w:val="99"/>
    <w:semiHidden/>
    <w:unhideWhenUsed/>
    <w:rsid w:val="00446EE4"/>
    <w:rPr>
      <w:color w:val="605E5C"/>
      <w:shd w:val="clear" w:color="auto" w:fill="E1DFDD"/>
    </w:rPr>
  </w:style>
  <w:style w:type="paragraph" w:customStyle="1" w:styleId="TableParagraph">
    <w:name w:val="Table Paragraph"/>
    <w:basedOn w:val="Normal"/>
    <w:uiPriority w:val="1"/>
    <w:qFormat/>
    <w:rsid w:val="00141CFD"/>
    <w:pPr>
      <w:widowControl w:val="0"/>
      <w:autoSpaceDE w:val="0"/>
      <w:autoSpaceDN w:val="0"/>
      <w:spacing w:before="0" w:after="0"/>
      <w:ind w:left="107"/>
      <w:jc w:val="left"/>
    </w:pPr>
    <w:rPr>
      <w:rFonts w:eastAsia="Times New Roman"/>
      <w:sz w:val="22"/>
    </w:rPr>
  </w:style>
  <w:style w:type="paragraph" w:styleId="Revision">
    <w:name w:val="Revision"/>
    <w:hidden/>
    <w:uiPriority w:val="99"/>
    <w:semiHidden/>
    <w:rsid w:val="00AE45C7"/>
    <w:pPr>
      <w:spacing w:after="0" w:line="240" w:lineRule="auto"/>
    </w:pPr>
    <w:rPr>
      <w:rFonts w:ascii="Times New Roman" w:hAnsi="Times New Roman" w:cs="Times New Roman"/>
      <w:sz w:val="24"/>
    </w:rPr>
  </w:style>
  <w:style w:type="table" w:styleId="TableGrid">
    <w:name w:val="Table Grid"/>
    <w:basedOn w:val="TableNormal"/>
    <w:rsid w:val="00AA657A"/>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2">
    <w:name w:val="List Dash 2"/>
    <w:basedOn w:val="Normal"/>
    <w:rsid w:val="00052297"/>
    <w:pPr>
      <w:numPr>
        <w:numId w:val="7"/>
      </w:numPr>
      <w:tabs>
        <w:tab w:val="clear" w:pos="1134"/>
        <w:tab w:val="num" w:pos="850"/>
      </w:tabs>
      <w:ind w:left="850" w:hanging="850"/>
    </w:pPr>
    <w:rPr>
      <w:rFonts w:eastAsia="Times New Roman"/>
      <w:lang w:eastAsia="de-DE"/>
    </w:rPr>
  </w:style>
  <w:style w:type="paragraph" w:customStyle="1" w:styleId="ListDash1">
    <w:name w:val="List Dash 1"/>
    <w:basedOn w:val="Normal"/>
    <w:rsid w:val="00052297"/>
    <w:pPr>
      <w:numPr>
        <w:numId w:val="8"/>
      </w:numPr>
    </w:pPr>
    <w:rPr>
      <w:rFonts w:eastAsia="Times New Roman"/>
      <w:lang w:eastAsia="de-DE"/>
    </w:rPr>
  </w:style>
  <w:style w:type="character" w:customStyle="1" w:styleId="ListParagraphChar">
    <w:name w:val="List Paragraph Char"/>
    <w:aliases w:val="List Char,Ordered list Char,Bullet list Char,1st level - Bullet List Paragraph Char,List Paragraph11 Char,Lettre d'introduction Char,Medium Grid 1 - Accent 21 Char,Normal bullet 2 Char,Numbered List Char,Paragraphe de liste 2 Char"/>
    <w:basedOn w:val="DefaultParagraphFont"/>
    <w:link w:val="ListParagraph"/>
    <w:uiPriority w:val="34"/>
    <w:qFormat/>
    <w:rsid w:val="00052297"/>
    <w:rPr>
      <w:rFonts w:ascii="Times New Roman" w:hAnsi="Times New Roman" w:cs="Times New Roman"/>
      <w:sz w:val="24"/>
      <w:lang w:val="hr-HR"/>
    </w:rPr>
  </w:style>
  <w:style w:type="paragraph" w:customStyle="1" w:styleId="footnotedescription">
    <w:name w:val="footnote description"/>
    <w:next w:val="Normal"/>
    <w:link w:val="footnotedescriptionChar"/>
    <w:hidden/>
    <w:rsid w:val="0087757C"/>
    <w:pPr>
      <w:spacing w:after="0" w:line="259" w:lineRule="auto"/>
      <w:ind w:left="720" w:hanging="720"/>
      <w:jc w:val="both"/>
    </w:pPr>
    <w:rPr>
      <w:rFonts w:ascii="Times New Roman" w:eastAsia="Times New Roman" w:hAnsi="Times New Roman" w:cs="Times New Roman"/>
      <w:color w:val="000000"/>
      <w:sz w:val="20"/>
      <w:lang w:eastAsia="en-IE"/>
    </w:rPr>
  </w:style>
  <w:style w:type="character" w:customStyle="1" w:styleId="footnotedescriptionChar">
    <w:name w:val="footnote description Char"/>
    <w:link w:val="footnotedescription"/>
    <w:rsid w:val="0087757C"/>
    <w:rPr>
      <w:rFonts w:ascii="Times New Roman" w:eastAsia="Times New Roman" w:hAnsi="Times New Roman" w:cs="Times New Roman"/>
      <w:color w:val="000000"/>
      <w:sz w:val="20"/>
      <w:lang w:val="hr-HR" w:eastAsia="en-IE"/>
    </w:rPr>
  </w:style>
  <w:style w:type="character" w:customStyle="1" w:styleId="footnotemark">
    <w:name w:val="footnote mark"/>
    <w:hidden/>
    <w:rsid w:val="0087757C"/>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133061"/>
    <w:pPr>
      <w:spacing w:before="100" w:beforeAutospacing="1" w:after="100" w:afterAutospacing="1"/>
      <w:jc w:val="left"/>
    </w:pPr>
    <w:rPr>
      <w:rFonts w:eastAsia="Times New Roman"/>
      <w:szCs w:val="24"/>
      <w:lang w:eastAsia="en-IE"/>
    </w:rPr>
  </w:style>
  <w:style w:type="paragraph" w:styleId="PlainText">
    <w:name w:val="Plain Text"/>
    <w:basedOn w:val="Normal"/>
    <w:link w:val="PlainTextChar"/>
    <w:uiPriority w:val="99"/>
    <w:semiHidden/>
    <w:unhideWhenUsed/>
    <w:rsid w:val="00FF25CF"/>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F25CF"/>
    <w:rPr>
      <w:rFonts w:ascii="Consolas" w:hAnsi="Consolas" w:cs="Times New Roman"/>
      <w:sz w:val="21"/>
      <w:szCs w:val="21"/>
      <w:lang w:val="hr-HR"/>
    </w:rPr>
  </w:style>
  <w:style w:type="character" w:customStyle="1" w:styleId="Mention">
    <w:name w:val="Mention"/>
    <w:basedOn w:val="DefaultParagraphFont"/>
    <w:uiPriority w:val="99"/>
    <w:unhideWhenUsed/>
    <w:rsid w:val="00263B08"/>
    <w:rPr>
      <w:color w:val="2B579A"/>
      <w:shd w:val="clear" w:color="auto" w:fill="E6E6E6"/>
    </w:rPr>
  </w:style>
  <w:style w:type="character" w:styleId="FollowedHyperlink">
    <w:name w:val="FollowedHyperlink"/>
    <w:basedOn w:val="DefaultParagraphFont"/>
    <w:uiPriority w:val="99"/>
    <w:semiHidden/>
    <w:unhideWhenUsed/>
    <w:rsid w:val="00F7481F"/>
    <w:rPr>
      <w:color w:val="800080" w:themeColor="followedHyperlink"/>
      <w:u w:val="single"/>
    </w:rPr>
  </w:style>
  <w:style w:type="character" w:customStyle="1" w:styleId="normaltextrun">
    <w:name w:val="normaltextrun"/>
    <w:basedOn w:val="DefaultParagraphFont"/>
    <w:rsid w:val="003160AD"/>
  </w:style>
  <w:style w:type="paragraph" w:customStyle="1" w:styleId="title-bold">
    <w:name w:val="title-bold"/>
    <w:basedOn w:val="Normal"/>
    <w:rsid w:val="00F82D67"/>
    <w:pPr>
      <w:spacing w:before="100" w:beforeAutospacing="1" w:after="100" w:afterAutospacing="1"/>
      <w:jc w:val="left"/>
    </w:pPr>
    <w:rPr>
      <w:rFonts w:eastAsia="Times New Roman"/>
      <w:szCs w:val="24"/>
      <w:lang w:eastAsia="en-IE"/>
    </w:rPr>
  </w:style>
  <w:style w:type="paragraph" w:styleId="Header">
    <w:name w:val="header"/>
    <w:basedOn w:val="Normal"/>
    <w:link w:val="HeaderChar"/>
    <w:uiPriority w:val="99"/>
    <w:unhideWhenUsed/>
    <w:rsid w:val="00BE4874"/>
    <w:pPr>
      <w:tabs>
        <w:tab w:val="center" w:pos="4535"/>
        <w:tab w:val="right" w:pos="9071"/>
      </w:tabs>
      <w:spacing w:before="0"/>
    </w:pPr>
  </w:style>
  <w:style w:type="character" w:customStyle="1" w:styleId="HeaderChar">
    <w:name w:val="Header Char"/>
    <w:basedOn w:val="DefaultParagraphFont"/>
    <w:link w:val="Header"/>
    <w:uiPriority w:val="99"/>
    <w:rsid w:val="00BE4874"/>
    <w:rPr>
      <w:rFonts w:ascii="Times New Roman" w:hAnsi="Times New Roman" w:cs="Times New Roman"/>
      <w:sz w:val="24"/>
      <w:lang w:val="hr-HR"/>
    </w:rPr>
  </w:style>
  <w:style w:type="paragraph" w:styleId="Footer">
    <w:name w:val="footer"/>
    <w:basedOn w:val="Normal"/>
    <w:link w:val="FooterChar"/>
    <w:uiPriority w:val="99"/>
    <w:unhideWhenUsed/>
    <w:rsid w:val="00BE487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E4874"/>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E4874"/>
    <w:pPr>
      <w:tabs>
        <w:tab w:val="center" w:pos="7285"/>
        <w:tab w:val="right" w:pos="14003"/>
      </w:tabs>
      <w:spacing w:before="0"/>
    </w:pPr>
  </w:style>
  <w:style w:type="paragraph" w:customStyle="1" w:styleId="FooterLandscape">
    <w:name w:val="FooterLandscape"/>
    <w:basedOn w:val="Normal"/>
    <w:rsid w:val="00BE487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E487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E4874"/>
    <w:pPr>
      <w:spacing w:before="0"/>
      <w:jc w:val="right"/>
    </w:pPr>
    <w:rPr>
      <w:sz w:val="28"/>
    </w:rPr>
  </w:style>
  <w:style w:type="paragraph" w:customStyle="1" w:styleId="FooterSensitivity">
    <w:name w:val="Footer Sensitivity"/>
    <w:basedOn w:val="Normal"/>
    <w:rsid w:val="00BE487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Tiret5">
    <w:name w:val="Tiret 5"/>
    <w:basedOn w:val="Point5"/>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NumPar5">
    <w:name w:val="NumPar 5"/>
    <w:basedOn w:val="Normal"/>
    <w:next w:val="Text2"/>
    <w:pPr>
      <w:numPr>
        <w:ilvl w:val="4"/>
        <w:numId w:val="44"/>
      </w:numPr>
    </w:pPr>
  </w:style>
  <w:style w:type="paragraph" w:customStyle="1" w:styleId="NumPar6">
    <w:name w:val="NumPar 6"/>
    <w:basedOn w:val="Normal"/>
    <w:next w:val="Text2"/>
    <w:pPr>
      <w:numPr>
        <w:ilvl w:val="5"/>
        <w:numId w:val="44"/>
      </w:numPr>
    </w:pPr>
  </w:style>
  <w:style w:type="paragraph" w:customStyle="1" w:styleId="NumPar7">
    <w:name w:val="NumPar 7"/>
    <w:basedOn w:val="Normal"/>
    <w:next w:val="Text2"/>
    <w:pPr>
      <w:numPr>
        <w:ilvl w:val="6"/>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9351">
      <w:bodyDiv w:val="1"/>
      <w:marLeft w:val="0"/>
      <w:marRight w:val="0"/>
      <w:marTop w:val="0"/>
      <w:marBottom w:val="0"/>
      <w:divBdr>
        <w:top w:val="none" w:sz="0" w:space="0" w:color="auto"/>
        <w:left w:val="none" w:sz="0" w:space="0" w:color="auto"/>
        <w:bottom w:val="none" w:sz="0" w:space="0" w:color="auto"/>
        <w:right w:val="none" w:sz="0" w:space="0" w:color="auto"/>
      </w:divBdr>
    </w:div>
    <w:div w:id="419763196">
      <w:bodyDiv w:val="1"/>
      <w:marLeft w:val="0"/>
      <w:marRight w:val="0"/>
      <w:marTop w:val="0"/>
      <w:marBottom w:val="0"/>
      <w:divBdr>
        <w:top w:val="none" w:sz="0" w:space="0" w:color="auto"/>
        <w:left w:val="none" w:sz="0" w:space="0" w:color="auto"/>
        <w:bottom w:val="none" w:sz="0" w:space="0" w:color="auto"/>
        <w:right w:val="none" w:sz="0" w:space="0" w:color="auto"/>
      </w:divBdr>
    </w:div>
    <w:div w:id="518589100">
      <w:bodyDiv w:val="1"/>
      <w:marLeft w:val="0"/>
      <w:marRight w:val="0"/>
      <w:marTop w:val="0"/>
      <w:marBottom w:val="0"/>
      <w:divBdr>
        <w:top w:val="none" w:sz="0" w:space="0" w:color="auto"/>
        <w:left w:val="none" w:sz="0" w:space="0" w:color="auto"/>
        <w:bottom w:val="none" w:sz="0" w:space="0" w:color="auto"/>
        <w:right w:val="none" w:sz="0" w:space="0" w:color="auto"/>
      </w:divBdr>
    </w:div>
    <w:div w:id="610625648">
      <w:bodyDiv w:val="1"/>
      <w:marLeft w:val="0"/>
      <w:marRight w:val="0"/>
      <w:marTop w:val="0"/>
      <w:marBottom w:val="0"/>
      <w:divBdr>
        <w:top w:val="none" w:sz="0" w:space="0" w:color="auto"/>
        <w:left w:val="none" w:sz="0" w:space="0" w:color="auto"/>
        <w:bottom w:val="none" w:sz="0" w:space="0" w:color="auto"/>
        <w:right w:val="none" w:sz="0" w:space="0" w:color="auto"/>
      </w:divBdr>
    </w:div>
    <w:div w:id="675965958">
      <w:bodyDiv w:val="1"/>
      <w:marLeft w:val="0"/>
      <w:marRight w:val="0"/>
      <w:marTop w:val="0"/>
      <w:marBottom w:val="0"/>
      <w:divBdr>
        <w:top w:val="none" w:sz="0" w:space="0" w:color="auto"/>
        <w:left w:val="none" w:sz="0" w:space="0" w:color="auto"/>
        <w:bottom w:val="none" w:sz="0" w:space="0" w:color="auto"/>
        <w:right w:val="none" w:sz="0" w:space="0" w:color="auto"/>
      </w:divBdr>
    </w:div>
    <w:div w:id="88776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yintracomm.ec.europa.eu/budgweb/EN/leg/internal/Documents/2016-5-legislative-financial-statement-ann-en.docx"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tp/exchange-of-tax-information/treatyreliefandcomplianceenhancementtrace.htm" TargetMode="External"/><Relationship Id="rId2" Type="http://schemas.openxmlformats.org/officeDocument/2006/relationships/hyperlink" Target="https://taxation-customs.ec.europa.eu/system/files/2017-12/code_of_conduct_on_witholding_tax.pdf" TargetMode="External"/><Relationship Id="rId1" Type="http://schemas.openxmlformats.org/officeDocument/2006/relationships/hyperlink" Target="https://finance.ec.europa.eu/publications/retail-investment-package_en" TargetMode="External"/><Relationship Id="rId4" Type="http://schemas.openxmlformats.org/officeDocument/2006/relationships/hyperlink" Target="https://ec.europa.eu/info/law/better-regulation/have-your-say/initiatives/13031-Withholding-taxes-new-EU-system-to-avoid-double-taxation_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076_y28 xmlns="ae6cfab4-27cb-4408-82ad-0f0a830288e8" xsi:nil="true"/>
    <EC_Collab_Status xmlns="ae6cfab4-27cb-4408-82ad-0f0a830288e8">Not Started</EC_Collab_Status>
    <EC_Collab_DocumentLanguage xmlns="ae6cfab4-27cb-4408-82ad-0f0a830288e8">EN</EC_Collab_DocumentLanguage>
    <EC_Collab_Reference xmlns="ae6cfab4-27cb-4408-82ad-0f0a830288e8"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DA8A-70A8-45FB-90D5-2784825EE91C}">
  <ds:schemaRefs>
    <ds:schemaRef ds:uri="http://schemas.microsoft.com/sharepoint/v3/contenttype/forms"/>
  </ds:schemaRefs>
</ds:datastoreItem>
</file>

<file path=customXml/itemProps2.xml><?xml version="1.0" encoding="utf-8"?>
<ds:datastoreItem xmlns:ds="http://schemas.openxmlformats.org/officeDocument/2006/customXml" ds:itemID="{ED66E37F-945D-4D06-A7FE-0BD01E63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D7DC8-E0C9-4586-8EE7-A8F57F5A63AB}">
  <ds:schemaRefs>
    <ds:schemaRef ds:uri="http://schemas.microsoft.com/sharepoint/v3/contenttype/forms"/>
  </ds:schemaRefs>
</ds:datastoreItem>
</file>

<file path=customXml/itemProps4.xml><?xml version="1.0" encoding="utf-8"?>
<ds:datastoreItem xmlns:ds="http://schemas.openxmlformats.org/officeDocument/2006/customXml" ds:itemID="{3352A364-56E1-4851-B2CE-59CBE1CA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AF0CAC-B39A-49C0-BED8-6E49E33E30C5}">
  <ds:schemaRefs>
    <ds:schemaRef ds:uri="http://schemas.microsoft.com/office/2006/metadata/properties"/>
    <ds:schemaRef ds:uri="http://schemas.microsoft.com/office/infopath/2007/PartnerControls"/>
    <ds:schemaRef ds:uri="ae6cfab4-27cb-4408-82ad-0f0a830288e8"/>
  </ds:schemaRefs>
</ds:datastoreItem>
</file>

<file path=customXml/itemProps6.xml><?xml version="1.0" encoding="utf-8"?>
<ds:datastoreItem xmlns:ds="http://schemas.openxmlformats.org/officeDocument/2006/customXml" ds:itemID="{ADC14AF6-E523-46C9-B1B8-7AC4F9B5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30</TotalTime>
  <Pages>53</Pages>
  <Words>16282</Words>
  <Characters>99485</Characters>
  <Application>Microsoft Office Word</Application>
  <DocSecurity>0</DocSecurity>
  <Lines>2550</Lines>
  <Paragraphs>941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66</cp:revision>
  <cp:lastPrinted>2023-06-01T08:44:00Z</cp:lastPrinted>
  <dcterms:created xsi:type="dcterms:W3CDTF">2023-06-12T10:42:00Z</dcterms:created>
  <dcterms:modified xsi:type="dcterms:W3CDTF">2023-07-24T15:00:00Z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2023-04-11T14:18:38Z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7e4594fd-2f36-40f1-8da8-c19fc39299e8</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0x010100258AA79CEB83498886A3A086811232500010C4B8CEF398C046BA02B04000B35719</vt:lpwstr>
  </property>
  <property fmtid="{D5CDD505-2E9C-101B-9397-08002B2CF9AE}" pid="18" name="DQCStatus">
    <vt:lpwstr>Green (DQC version 03)</vt:lpwstr>
  </property>
</Properties>
</file>